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E060BE" w:rsidRDefault="00000000"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4pt;margin-top:-53.35pt;width:52.5pt;height:48.75pt;z-index:251657728;mso-wrap-edited:f;mso-width-percent:0;mso-height-percent:0;mso-width-percent:0;mso-height-percent:0" fillcolor="#0c9">
            <v:imagedata r:id="rId7" o:title=""/>
          </v:shape>
          <o:OLEObject Type="Embed" ProgID="PBrush" ShapeID="_x0000_s2050" DrawAspect="Content" ObjectID="_1751696688" r:id="rId8"/>
        </w:object>
      </w:r>
    </w:p>
    <w:p w14:paraId="67770A74"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0FB131C2" w:rsidR="00A06511" w:rsidRPr="00E060BE" w:rsidRDefault="00A06511" w:rsidP="00A0651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35389D" w:rsidRPr="0035389D">
        <w:rPr>
          <w:rFonts w:ascii="Bookman Old Style" w:hAnsi="Bookman Old Style"/>
          <w:szCs w:val="28"/>
        </w:rPr>
        <w:t>502 035 DE 2023</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3C80F663"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w:t>
      </w:r>
      <w:r w:rsidR="0035389D" w:rsidRPr="0035389D">
        <w:rPr>
          <w:rFonts w:ascii="Bookman Old Style" w:hAnsi="Bookman Old Style"/>
          <w:bCs/>
          <w:szCs w:val="24"/>
        </w:rPr>
        <w:t>19 MAY. 2023</w:t>
      </w:r>
      <w:r w:rsidRPr="00E060BE">
        <w:rPr>
          <w:rFonts w:ascii="Bookman Old Style" w:hAnsi="Bookman Old Style"/>
          <w:b w:val="0"/>
          <w:szCs w:val="24"/>
        </w:rPr>
        <w:t>)</w:t>
      </w:r>
    </w:p>
    <w:p w14:paraId="57D77EBA"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15A71B8E" w14:textId="77777777" w:rsidR="00B351B4" w:rsidRPr="00E060BE" w:rsidRDefault="00B351B4" w:rsidP="00012259">
      <w:pPr>
        <w:ind w:left="0"/>
        <w:rPr>
          <w:rFonts w:ascii="Bookman Old Style" w:hAnsi="Bookman Old Style"/>
          <w:bCs/>
          <w:lang w:val="es-CO"/>
        </w:rPr>
      </w:pPr>
    </w:p>
    <w:p w14:paraId="00B06D36" w14:textId="77777777" w:rsidR="005763A2" w:rsidRPr="005763A2" w:rsidRDefault="005763A2" w:rsidP="005763A2">
      <w:pPr>
        <w:widowControl w:val="0"/>
        <w:adjustRightInd w:val="0"/>
        <w:ind w:right="23"/>
        <w:jc w:val="center"/>
        <w:rPr>
          <w:rFonts w:ascii="Bookman Old Style" w:hAnsi="Bookman Old Style" w:cs="Arial"/>
        </w:rPr>
      </w:pPr>
      <w:r w:rsidRPr="005763A2">
        <w:rPr>
          <w:rFonts w:ascii="Bookman Old Style" w:hAnsi="Bookman Old Style" w:cs="Arial"/>
        </w:rPr>
        <w:t xml:space="preserve">Por la cual se aprueba el Componente Fijo del Costo de Comercialización para el Mercado Relevante conformado por el municipio de Pueblo Bello, departamento del Cesar, </w:t>
      </w:r>
      <w:r w:rsidRPr="005763A2">
        <w:rPr>
          <w:rFonts w:ascii="Bookman Old Style" w:hAnsi="Bookman Old Style" w:cs="Arial"/>
          <w:lang w:val="es-ES_tradnl"/>
        </w:rPr>
        <w:t xml:space="preserve">según solicitud tarifaria presentada por la empresa </w:t>
      </w:r>
      <w:r w:rsidRPr="005763A2">
        <w:rPr>
          <w:rFonts w:ascii="Bookman Old Style" w:hAnsi="Bookman Old Style" w:cs="Arial"/>
        </w:rPr>
        <w:t>PROMOTORA DE SERVICIOS PÚBLICOS S.A. E.S.P.</w:t>
      </w:r>
    </w:p>
    <w:p w14:paraId="053FCB54" w14:textId="77777777" w:rsidR="00045D3D" w:rsidRPr="00C435C3" w:rsidRDefault="00045D3D" w:rsidP="00045D3D">
      <w:pPr>
        <w:ind w:right="51"/>
        <w:rPr>
          <w:rFonts w:ascii="Bookman Old Style" w:hAnsi="Bookman Old Style"/>
        </w:rPr>
      </w:pPr>
    </w:p>
    <w:p w14:paraId="7B67FAFA"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5F144221" w14:textId="77777777" w:rsidR="00045D3D" w:rsidRPr="00C435C3" w:rsidRDefault="00045D3D" w:rsidP="00045D3D">
      <w:pPr>
        <w:ind w:left="0" w:right="51"/>
        <w:rPr>
          <w:rFonts w:ascii="Bookman Old Style" w:hAnsi="Bookman Old Style"/>
        </w:rPr>
      </w:pPr>
    </w:p>
    <w:p w14:paraId="2739C8D4" w14:textId="77777777" w:rsidR="00045D3D" w:rsidRPr="00C435C3" w:rsidRDefault="00045D3D" w:rsidP="00045D3D">
      <w:pPr>
        <w:ind w:left="0" w:right="51"/>
        <w:rPr>
          <w:rFonts w:ascii="Bookman Old Style" w:hAnsi="Bookman Old Style"/>
        </w:rPr>
      </w:pPr>
    </w:p>
    <w:p w14:paraId="6EDA2283" w14:textId="77777777"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ecretos 1524 y 2253 de 1994.</w:t>
      </w:r>
    </w:p>
    <w:p w14:paraId="416AEFF4" w14:textId="77777777" w:rsidR="00045D3D" w:rsidRDefault="00045D3D" w:rsidP="00045D3D">
      <w:pPr>
        <w:ind w:right="51"/>
        <w:rPr>
          <w:rFonts w:ascii="Bookman Old Style" w:hAnsi="Bookman Old Style"/>
        </w:rPr>
      </w:pPr>
    </w:p>
    <w:p w14:paraId="3E8440ED" w14:textId="77777777" w:rsidR="00045D3D" w:rsidRDefault="00045D3D" w:rsidP="00045D3D">
      <w:pPr>
        <w:ind w:right="51"/>
        <w:rPr>
          <w:rFonts w:ascii="Bookman Old Style" w:hAnsi="Bookman Old Style"/>
        </w:rPr>
      </w:pPr>
    </w:p>
    <w:p w14:paraId="72BBA367" w14:textId="39387176"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C O N S I D E R A N D </w:t>
      </w:r>
      <w:r w:rsidR="007B5A60" w:rsidRPr="00C435C3">
        <w:rPr>
          <w:rFonts w:ascii="Bookman Old Style" w:hAnsi="Bookman Old Style"/>
          <w:b/>
        </w:rPr>
        <w:t>O</w:t>
      </w:r>
      <w:r w:rsidR="007B5A60">
        <w:rPr>
          <w:rFonts w:ascii="Bookman Old Style" w:hAnsi="Bookman Old Style"/>
          <w:b/>
        </w:rPr>
        <w:t xml:space="preserve"> </w:t>
      </w:r>
      <w:r w:rsidR="006460FC">
        <w:rPr>
          <w:rFonts w:ascii="Bookman Old Style" w:hAnsi="Bookman Old Style"/>
          <w:b/>
        </w:rPr>
        <w:t xml:space="preserve">  </w:t>
      </w:r>
      <w:r w:rsidR="007B5A60">
        <w:rPr>
          <w:rFonts w:ascii="Bookman Old Style" w:hAnsi="Bookman Old Style"/>
          <w:b/>
        </w:rPr>
        <w:t>Q</w:t>
      </w:r>
      <w:r>
        <w:rPr>
          <w:rFonts w:ascii="Bookman Old Style" w:hAnsi="Bookman Old Style"/>
          <w:b/>
        </w:rPr>
        <w:t xml:space="preserve"> U E</w:t>
      </w:r>
      <w:r w:rsidRPr="00C435C3">
        <w:rPr>
          <w:rFonts w:ascii="Bookman Old Style" w:hAnsi="Bookman Old Style"/>
          <w:b/>
        </w:rPr>
        <w:t>:</w:t>
      </w:r>
    </w:p>
    <w:p w14:paraId="2378A86C" w14:textId="77777777" w:rsidR="00045D3D" w:rsidRPr="00C435C3" w:rsidRDefault="00045D3D" w:rsidP="00045D3D">
      <w:pPr>
        <w:ind w:right="51"/>
        <w:jc w:val="center"/>
        <w:rPr>
          <w:rFonts w:ascii="Bookman Old Style" w:hAnsi="Bookman Old Style"/>
          <w:b/>
        </w:rPr>
      </w:pPr>
    </w:p>
    <w:p w14:paraId="66E1F067" w14:textId="77777777" w:rsidR="00045D3D" w:rsidRPr="00C435C3" w:rsidRDefault="00045D3D" w:rsidP="00045D3D">
      <w:pPr>
        <w:rPr>
          <w:rFonts w:ascii="Bookman Old Style" w:hAnsi="Bookman Old Style"/>
          <w:b/>
        </w:rPr>
      </w:pPr>
    </w:p>
    <w:p w14:paraId="25F60F39" w14:textId="4E42F13A" w:rsidR="006460FC" w:rsidRPr="006460FC" w:rsidRDefault="006460FC" w:rsidP="0005430D">
      <w:pPr>
        <w:adjustRightInd w:val="0"/>
        <w:spacing w:before="240" w:after="240"/>
        <w:ind w:left="0"/>
        <w:jc w:val="both"/>
        <w:rPr>
          <w:rFonts w:ascii="Bookman Old Style" w:hAnsi="Bookman Old Style" w:cs="Arial"/>
          <w:i/>
          <w:iCs/>
        </w:rPr>
      </w:pPr>
      <w:r w:rsidRPr="006460FC">
        <w:rPr>
          <w:rFonts w:ascii="Bookman Old Style" w:hAnsi="Bookman Old Style" w:cs="Arial"/>
        </w:rPr>
        <w:t xml:space="preserve">El </w:t>
      </w:r>
      <w:r w:rsidR="00B4129F">
        <w:rPr>
          <w:rFonts w:ascii="Bookman Old Style" w:hAnsi="Bookman Old Style" w:cs="Arial"/>
        </w:rPr>
        <w:t>n</w:t>
      </w:r>
      <w:r w:rsidRPr="006460FC">
        <w:rPr>
          <w:rFonts w:ascii="Bookman Old Style" w:hAnsi="Bookman Old Style" w:cs="Arial"/>
        </w:rPr>
        <w:t xml:space="preserve">umeral 14.28 del </w:t>
      </w:r>
      <w:r w:rsidR="00BA27E1">
        <w:rPr>
          <w:rFonts w:ascii="Bookman Old Style" w:hAnsi="Bookman Old Style" w:cs="Arial"/>
        </w:rPr>
        <w:t>a</w:t>
      </w:r>
      <w:r w:rsidRPr="006460FC">
        <w:rPr>
          <w:rFonts w:ascii="Bookman Old Style" w:hAnsi="Bookman Old Style" w:cs="Arial"/>
        </w:rPr>
        <w:t>rtículo 14 de la Ley 142 de 1994 define el servicio público domiciliario de gas combustible como “</w:t>
      </w:r>
      <w:r w:rsidRPr="006460FC">
        <w:rPr>
          <w:rFonts w:ascii="Bookman Old Style" w:hAnsi="Bookman Old Style" w:cs="Arial"/>
          <w:i/>
          <w:iCs/>
        </w:rPr>
        <w:t>… el conjunto de actividades ordenadas a la distribución de gas combustible, por tubería u otro medio, desde un sitio de acopio de grandes volúmenes o desde un gasoducto central hasta la instalación de un consumidor final, incluyendo su conexión y medición</w:t>
      </w:r>
      <w:r w:rsidRPr="006460FC">
        <w:rPr>
          <w:rFonts w:ascii="Bookman Old Style" w:hAnsi="Bookman Old Style" w:cs="Arial"/>
        </w:rPr>
        <w:t>”.</w:t>
      </w:r>
    </w:p>
    <w:p w14:paraId="6BB2BDC5" w14:textId="5714DF63" w:rsidR="006460FC" w:rsidRPr="006460FC" w:rsidRDefault="006460FC" w:rsidP="0005430D">
      <w:pPr>
        <w:adjustRightInd w:val="0"/>
        <w:spacing w:before="240" w:after="240"/>
        <w:ind w:left="0" w:right="20"/>
        <w:jc w:val="both"/>
        <w:rPr>
          <w:rFonts w:ascii="Bookman Old Style" w:hAnsi="Bookman Old Style" w:cs="Arial"/>
        </w:rPr>
      </w:pPr>
      <w:r w:rsidRPr="006460FC">
        <w:rPr>
          <w:rFonts w:ascii="Bookman Old Style" w:hAnsi="Bookman Old Style" w:cs="Arial"/>
        </w:rPr>
        <w:t xml:space="preserve">El </w:t>
      </w:r>
      <w:r w:rsidR="00B4129F">
        <w:rPr>
          <w:rFonts w:ascii="Bookman Old Style" w:hAnsi="Bookman Old Style" w:cs="Arial"/>
        </w:rPr>
        <w:t>n</w:t>
      </w:r>
      <w:r w:rsidRPr="006460FC">
        <w:rPr>
          <w:rFonts w:ascii="Bookman Old Style" w:hAnsi="Bookman Old Style" w:cs="Arial"/>
        </w:rPr>
        <w:t xml:space="preserve">umeral 73.11 del </w:t>
      </w:r>
      <w:r w:rsidR="00BA27E1">
        <w:rPr>
          <w:rFonts w:ascii="Bookman Old Style" w:hAnsi="Bookman Old Style" w:cs="Arial"/>
        </w:rPr>
        <w:t>a</w:t>
      </w:r>
      <w:r w:rsidRPr="006460FC">
        <w:rPr>
          <w:rFonts w:ascii="Bookman Old Style" w:hAnsi="Bookman Old Style" w:cs="Arial"/>
        </w:rPr>
        <w:t xml:space="preserve">rtículo 73 de la Ley 142 de 1994 atribuyó a la Comisión de Regulación de Energía y Gas, CREG, la competencia para establecer las fórmulas para la fijación de las tarifas del servicio público domiciliario de gas combustible. </w:t>
      </w:r>
    </w:p>
    <w:p w14:paraId="43271405" w14:textId="0A8CEB45" w:rsidR="006460FC" w:rsidRPr="006460FC" w:rsidRDefault="006460FC" w:rsidP="0005430D">
      <w:pPr>
        <w:adjustRightInd w:val="0"/>
        <w:spacing w:before="240" w:after="240"/>
        <w:ind w:left="0" w:right="20"/>
        <w:jc w:val="both"/>
        <w:rPr>
          <w:rFonts w:ascii="Bookman Old Style" w:hAnsi="Bookman Old Style" w:cs="Arial"/>
        </w:rPr>
      </w:pPr>
      <w:r w:rsidRPr="006460FC">
        <w:rPr>
          <w:rFonts w:ascii="Bookman Old Style" w:hAnsi="Bookman Old Style" w:cs="Arial"/>
        </w:rPr>
        <w:t xml:space="preserve">Según lo dispuesto en el </w:t>
      </w:r>
      <w:r w:rsidR="00B4129F">
        <w:rPr>
          <w:rFonts w:ascii="Bookman Old Style" w:hAnsi="Bookman Old Style" w:cs="Arial"/>
        </w:rPr>
        <w:t>n</w:t>
      </w:r>
      <w:r w:rsidRPr="006460FC">
        <w:rPr>
          <w:rFonts w:ascii="Bookman Old Style" w:hAnsi="Bookman Old Style" w:cs="Arial"/>
        </w:rPr>
        <w:t xml:space="preserve">umeral 88.1 del </w:t>
      </w:r>
      <w:r w:rsidR="00BA27E1">
        <w:rPr>
          <w:rFonts w:ascii="Bookman Old Style" w:hAnsi="Bookman Old Style" w:cs="Arial"/>
        </w:rPr>
        <w:t>a</w:t>
      </w:r>
      <w:r w:rsidRPr="006460FC">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4D37DB8F" w14:textId="3A346F42" w:rsidR="006460FC" w:rsidRPr="006460FC" w:rsidRDefault="006460FC" w:rsidP="0005430D">
      <w:pPr>
        <w:adjustRightInd w:val="0"/>
        <w:spacing w:before="240" w:after="240"/>
        <w:ind w:left="0" w:right="20"/>
        <w:jc w:val="both"/>
        <w:rPr>
          <w:rFonts w:ascii="Bookman Old Style" w:hAnsi="Bookman Old Style" w:cs="Arial"/>
        </w:rPr>
      </w:pPr>
      <w:r w:rsidRPr="006460FC">
        <w:rPr>
          <w:rFonts w:ascii="Bookman Old Style" w:hAnsi="Bookman Old Style" w:cs="Arial"/>
        </w:rPr>
        <w:t xml:space="preserve">El </w:t>
      </w:r>
      <w:r w:rsidR="00BA27E1">
        <w:rPr>
          <w:rFonts w:ascii="Bookman Old Style" w:hAnsi="Bookman Old Style" w:cs="Arial"/>
        </w:rPr>
        <w:t>a</w:t>
      </w:r>
      <w:r w:rsidRPr="006460FC">
        <w:rPr>
          <w:rFonts w:ascii="Bookman Old Style" w:hAnsi="Bookman Old Style" w:cs="Arial"/>
        </w:rPr>
        <w:t>rtículo 126 de la Ley 142 de 1994, modificado por el artículo 52 de la Ley 2099 de 2021 establece que, vencido el período de vigencia de las fórmulas tarifarias, éstas continuarán rigiendo mientras la Comisión no fije las nuevas.</w:t>
      </w:r>
    </w:p>
    <w:p w14:paraId="72EECB52" w14:textId="022D22FB" w:rsidR="006460FC" w:rsidRPr="006460FC" w:rsidRDefault="006460FC" w:rsidP="0005430D">
      <w:pPr>
        <w:spacing w:before="240" w:after="240"/>
        <w:ind w:left="0"/>
        <w:jc w:val="both"/>
        <w:rPr>
          <w:rFonts w:ascii="Bookman Old Style" w:hAnsi="Bookman Old Style" w:cs="Arial"/>
        </w:rPr>
      </w:pPr>
      <w:r w:rsidRPr="006460FC">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AC293F">
        <w:rPr>
          <w:rFonts w:ascii="Bookman Old Style" w:hAnsi="Bookman Old Style" w:cs="Arial"/>
        </w:rPr>
        <w:t xml:space="preserve">. </w:t>
      </w:r>
      <w:r w:rsidR="002950CF">
        <w:rPr>
          <w:rFonts w:ascii="Bookman Old Style" w:hAnsi="Bookman Old Style" w:cs="Arial"/>
        </w:rPr>
        <w:t xml:space="preserve">En el </w:t>
      </w:r>
      <w:r w:rsidR="00BA27E1">
        <w:rPr>
          <w:rFonts w:ascii="Bookman Old Style" w:hAnsi="Bookman Old Style" w:cs="Arial"/>
        </w:rPr>
        <w:t>a</w:t>
      </w:r>
      <w:r w:rsidRPr="006460FC">
        <w:rPr>
          <w:rFonts w:ascii="Bookman Old Style" w:hAnsi="Bookman Old Style" w:cs="Arial"/>
        </w:rPr>
        <w:t>rtículo 4</w:t>
      </w:r>
      <w:r w:rsidR="00914BFA">
        <w:rPr>
          <w:rFonts w:ascii="Bookman Old Style" w:hAnsi="Bookman Old Style" w:cs="Arial"/>
        </w:rPr>
        <w:t xml:space="preserve"> de la mencionada resolución, se fijaron</w:t>
      </w:r>
      <w:r w:rsidRPr="006460FC">
        <w:rPr>
          <w:rFonts w:ascii="Bookman Old Style" w:hAnsi="Bookman Old Style" w:cs="Arial"/>
        </w:rPr>
        <w:t xml:space="preserve"> las Fórmulas Tarifarias Generales aplicables </w:t>
      </w:r>
      <w:r w:rsidRPr="006460FC">
        <w:rPr>
          <w:rFonts w:ascii="Bookman Old Style" w:hAnsi="Bookman Old Style" w:cs="Arial"/>
        </w:rPr>
        <w:lastRenderedPageBreak/>
        <w:t xml:space="preserve">a los usuarios regulados del servicio público domiciliario de gas combustible por redes de tubería y en </w:t>
      </w:r>
      <w:r w:rsidR="00596569">
        <w:rPr>
          <w:rFonts w:ascii="Bookman Old Style" w:hAnsi="Bookman Old Style" w:cs="Arial"/>
        </w:rPr>
        <w:t>el</w:t>
      </w:r>
      <w:r w:rsidRPr="006460FC">
        <w:rPr>
          <w:rFonts w:ascii="Bookman Old Style" w:hAnsi="Bookman Old Style" w:cs="Arial"/>
        </w:rPr>
        <w:t xml:space="preserve"> </w:t>
      </w:r>
      <w:r w:rsidR="00BA27E1">
        <w:rPr>
          <w:rFonts w:ascii="Bookman Old Style" w:hAnsi="Bookman Old Style" w:cs="Arial"/>
        </w:rPr>
        <w:t>a</w:t>
      </w:r>
      <w:r w:rsidRPr="006460FC">
        <w:rPr>
          <w:rFonts w:ascii="Bookman Old Style" w:hAnsi="Bookman Old Style" w:cs="Arial"/>
        </w:rPr>
        <w:t xml:space="preserve">rtículo 14, </w:t>
      </w:r>
      <w:r w:rsidR="00AC075D">
        <w:rPr>
          <w:rFonts w:ascii="Bookman Old Style" w:hAnsi="Bookman Old Style" w:cs="Arial"/>
        </w:rPr>
        <w:t xml:space="preserve">se dispuso que </w:t>
      </w:r>
      <w:r w:rsidRPr="006460FC">
        <w:rPr>
          <w:rFonts w:ascii="Bookman Old Style" w:hAnsi="Bookman Old Style" w:cs="Arial"/>
        </w:rPr>
        <w:t>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w:t>
      </w:r>
    </w:p>
    <w:p w14:paraId="4DFB08D7" w14:textId="43C0E8FF" w:rsidR="006460FC" w:rsidRPr="006460FC" w:rsidRDefault="006460FC" w:rsidP="0005430D">
      <w:pPr>
        <w:spacing w:before="240" w:after="240"/>
        <w:ind w:left="0"/>
        <w:jc w:val="both"/>
        <w:rPr>
          <w:rFonts w:ascii="Bookman Old Style" w:hAnsi="Bookman Old Style"/>
        </w:rPr>
      </w:pPr>
      <w:r w:rsidRPr="006460FC">
        <w:rPr>
          <w:rFonts w:ascii="Bookman Old Style" w:hAnsi="Bookman Old Style" w:cs="Arial"/>
        </w:rPr>
        <w:t xml:space="preserve">Mediante Resolución CREG 102 003 de 2022, se </w:t>
      </w:r>
      <w:r w:rsidRPr="006460FC">
        <w:rPr>
          <w:rFonts w:ascii="Bookman Old Style" w:hAnsi="Bookman Old Style"/>
        </w:rPr>
        <w:t xml:space="preserve">establecieron los criterios generales para remunerar la actividad de comercialización minorista de gas combustible a usuarios regulados y se establecieron las reglas para la solicitud y aprobación de los cargos tarifarios correspondientes. En el </w:t>
      </w:r>
      <w:r w:rsidR="00BA27E1">
        <w:rPr>
          <w:rFonts w:ascii="Bookman Old Style" w:hAnsi="Bookman Old Style"/>
        </w:rPr>
        <w:t>a</w:t>
      </w:r>
      <w:r w:rsidRPr="006460FC">
        <w:rPr>
          <w:rFonts w:ascii="Bookman Old Style" w:hAnsi="Bookman Old Style"/>
        </w:rPr>
        <w:t xml:space="preserve">rtículo 21, </w:t>
      </w:r>
      <w:r w:rsidRPr="006460FC">
        <w:rPr>
          <w:rFonts w:ascii="Bookman Old Style" w:hAnsi="Bookman Old Style" w:cs="Arial"/>
        </w:rPr>
        <w:t xml:space="preserve">se derogó expresamente </w:t>
      </w:r>
      <w:r w:rsidRPr="006460FC">
        <w:rPr>
          <w:rFonts w:ascii="Bookman Old Style" w:hAnsi="Bookman Old Style" w:cs="Arial"/>
          <w:lang w:eastAsia="es-CO"/>
        </w:rPr>
        <w:t>la metodología para la remuneración de la actividad de comercialización de gas combustible</w:t>
      </w:r>
      <w:r w:rsidRPr="006460FC">
        <w:rPr>
          <w:rFonts w:ascii="Bookman Old Style" w:hAnsi="Bookman Old Style" w:cs="Arial"/>
        </w:rPr>
        <w:t xml:space="preserve"> contenida en la Resolución CREG 011 de 2003.</w:t>
      </w:r>
    </w:p>
    <w:p w14:paraId="328F0A48" w14:textId="4434EFBD" w:rsidR="006460FC" w:rsidRPr="006460FC" w:rsidRDefault="006460FC" w:rsidP="0005430D">
      <w:pPr>
        <w:keepNext/>
        <w:widowControl w:val="0"/>
        <w:tabs>
          <w:tab w:val="num" w:pos="1560"/>
        </w:tabs>
        <w:adjustRightInd w:val="0"/>
        <w:spacing w:before="240" w:after="240"/>
        <w:ind w:left="0" w:right="47"/>
        <w:jc w:val="both"/>
        <w:textAlignment w:val="baseline"/>
        <w:outlineLvl w:val="1"/>
        <w:rPr>
          <w:rFonts w:ascii="Bookman Old Style" w:hAnsi="Bookman Old Style" w:cs="Arial"/>
        </w:rPr>
      </w:pPr>
      <w:bookmarkStart w:id="0" w:name="_Toc502480932"/>
      <w:r w:rsidRPr="006460FC">
        <w:rPr>
          <w:rFonts w:ascii="Bookman Old Style" w:hAnsi="Bookman Old Style" w:cs="Arial"/>
        </w:rPr>
        <w:t xml:space="preserve">El </w:t>
      </w:r>
      <w:r w:rsidR="00BA27E1">
        <w:rPr>
          <w:rFonts w:ascii="Bookman Old Style" w:hAnsi="Bookman Old Style" w:cs="Arial"/>
        </w:rPr>
        <w:t>a</w:t>
      </w:r>
      <w:r w:rsidRPr="006460FC">
        <w:rPr>
          <w:rFonts w:ascii="Bookman Old Style" w:hAnsi="Bookman Old Style" w:cs="Arial"/>
        </w:rPr>
        <w:t xml:space="preserve">rtículo 5 de la Resolución CREG 102 003 de 2022 </w:t>
      </w:r>
      <w:r w:rsidRPr="006460FC">
        <w:rPr>
          <w:rFonts w:ascii="Bookman Old Style" w:hAnsi="Bookman Old Style"/>
        </w:rPr>
        <w:t xml:space="preserve">establece que: </w:t>
      </w:r>
      <w:r w:rsidRPr="006460FC">
        <w:rPr>
          <w:rFonts w:ascii="Bookman Old Style" w:hAnsi="Bookman Old Style" w:cs="Arial"/>
          <w:i/>
          <w:iCs/>
          <w:lang w:eastAsia="es-CO"/>
        </w:rPr>
        <w:t>El costo máximo de comercialización está conformado por un componente fijo (Cf), que será aprobado por la Comisión, y un componente variable (Cv),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6460FC">
        <w:rPr>
          <w:rFonts w:ascii="Bookman Old Style" w:hAnsi="Bookman Old Style" w:cs="Arial"/>
          <w:i/>
          <w:iCs/>
          <w:lang w:eastAsia="es-CO"/>
        </w:rPr>
        <w:t>.</w:t>
      </w:r>
      <w:r w:rsidRPr="006460FC">
        <w:rPr>
          <w:rFonts w:ascii="Bookman Old Style" w:hAnsi="Bookman Old Style" w:cs="Arial"/>
        </w:rPr>
        <w:t xml:space="preserve"> </w:t>
      </w:r>
    </w:p>
    <w:p w14:paraId="348A2E65" w14:textId="06DF375A" w:rsidR="006460FC" w:rsidRPr="006460FC" w:rsidRDefault="006460FC" w:rsidP="0005430D">
      <w:pPr>
        <w:keepNext/>
        <w:widowControl w:val="0"/>
        <w:tabs>
          <w:tab w:val="num" w:pos="1560"/>
        </w:tabs>
        <w:adjustRightInd w:val="0"/>
        <w:spacing w:before="240" w:after="240"/>
        <w:ind w:left="0" w:right="47"/>
        <w:jc w:val="both"/>
        <w:textAlignment w:val="baseline"/>
        <w:outlineLvl w:val="1"/>
        <w:rPr>
          <w:rFonts w:ascii="Bookman Old Style" w:hAnsi="Bookman Old Style" w:cs="Arial"/>
          <w:lang w:eastAsia="es-CO"/>
        </w:rPr>
      </w:pPr>
      <w:r w:rsidRPr="006460FC">
        <w:rPr>
          <w:rFonts w:ascii="Bookman Old Style" w:hAnsi="Bookman Old Style" w:cs="Arial"/>
        </w:rPr>
        <w:t xml:space="preserve">De acuerdo con la fórmula prevista en el </w:t>
      </w:r>
      <w:r w:rsidR="00BA27E1">
        <w:rPr>
          <w:rFonts w:ascii="Bookman Old Style" w:hAnsi="Bookman Old Style" w:cs="Arial"/>
        </w:rPr>
        <w:t>a</w:t>
      </w:r>
      <w:r w:rsidRPr="006460FC">
        <w:rPr>
          <w:rFonts w:ascii="Bookman Old Style" w:hAnsi="Bookman Old Style" w:cs="Arial"/>
        </w:rPr>
        <w:t>rtículo 6 de la Resolución CREG 102 003 de 2022, esta Comisión únicamente determinará el Componente Fijo del Costo de</w:t>
      </w:r>
      <w:r w:rsidRPr="006460FC">
        <w:rPr>
          <w:rFonts w:ascii="Bookman Old Style" w:hAnsi="Bookman Old Style" w:cs="Arial"/>
          <w:lang w:eastAsia="es-CO"/>
        </w:rPr>
        <w:t xml:space="preserve"> Comercialización (</w:t>
      </w:r>
      <w:r w:rsidRPr="006460FC">
        <w:rPr>
          <w:rFonts w:ascii="Bookman Old Style" w:hAnsi="Bookman Old Style" w:cs="Arial"/>
          <w:i/>
          <w:iCs/>
          <w:lang w:eastAsia="es-CO"/>
        </w:rPr>
        <w:t>Cf</w:t>
      </w:r>
      <w:r w:rsidRPr="006460FC">
        <w:rPr>
          <w:rFonts w:ascii="Bookman Old Style" w:hAnsi="Bookman Old Style" w:cs="Arial"/>
          <w:lang w:eastAsia="es-CO"/>
        </w:rPr>
        <w:t xml:space="preserve">). </w:t>
      </w:r>
    </w:p>
    <w:p w14:paraId="3422A20C" w14:textId="0F1E5979" w:rsidR="006460FC" w:rsidRDefault="006460FC" w:rsidP="0005430D">
      <w:pPr>
        <w:adjustRightInd w:val="0"/>
        <w:ind w:left="0"/>
        <w:jc w:val="both"/>
        <w:rPr>
          <w:rFonts w:ascii="Bookman Old Style" w:hAnsi="Bookman Old Style" w:cs="Arial"/>
          <w:lang w:val="es-CO"/>
        </w:rPr>
      </w:pPr>
      <w:r w:rsidRPr="006460FC">
        <w:rPr>
          <w:rFonts w:ascii="Bookman Old Style" w:hAnsi="Bookman Old Style" w:cs="Arial"/>
          <w:color w:val="000000" w:themeColor="text1"/>
        </w:rPr>
        <w:t xml:space="preserve">En vigencia y de conformidad con lo establecido en el </w:t>
      </w:r>
      <w:r w:rsidR="00BA27E1">
        <w:rPr>
          <w:rFonts w:ascii="Bookman Old Style" w:hAnsi="Bookman Old Style" w:cs="Arial"/>
          <w:color w:val="000000" w:themeColor="text1"/>
        </w:rPr>
        <w:t>a</w:t>
      </w:r>
      <w:r w:rsidRPr="006460FC">
        <w:rPr>
          <w:rFonts w:ascii="Bookman Old Style" w:hAnsi="Bookman Old Style" w:cs="Arial"/>
          <w:color w:val="000000" w:themeColor="text1"/>
        </w:rPr>
        <w:t>rtículo 23 de la Resolución CREG 011 de 2003, la empresa PROMOTORA DE SERVICIOS PÚBLICOS S.A. E.S.P. (en adelante, PROVISERVICIOS S.A. E.S.P.) mediante comunicación con radicado CREG E-2021-013542 del 17 de noviembre de 2021 y número de solicitud Apligas 2533, presentó solicitud tarifaria para aprobación de cargos</w:t>
      </w:r>
      <w:r w:rsidRPr="006460FC">
        <w:rPr>
          <w:rFonts w:ascii="Bookman Old Style" w:hAnsi="Bookman Old Style" w:cs="Arial"/>
        </w:rPr>
        <w:t xml:space="preserve"> de distribución y comercialización de Gas Licuado de Petróleo – GLP por redes en el mercado conformado por el municipio </w:t>
      </w:r>
      <w:r w:rsidRPr="006460FC">
        <w:rPr>
          <w:rFonts w:ascii="Bookman Old Style" w:hAnsi="Bookman Old Style" w:cs="Arial"/>
          <w:lang w:val="es-CO"/>
        </w:rPr>
        <w:t>que se relaciona a continuación:</w:t>
      </w:r>
    </w:p>
    <w:p w14:paraId="0374F30B" w14:textId="77777777" w:rsidR="00E21F27" w:rsidRPr="006460FC" w:rsidRDefault="00E21F27" w:rsidP="0005430D">
      <w:pPr>
        <w:adjustRightInd w:val="0"/>
        <w:ind w:left="0"/>
        <w:jc w:val="both"/>
        <w:rPr>
          <w:rFonts w:ascii="Bookman Old Style" w:hAnsi="Bookman Old Style" w:cs="Arial"/>
          <w:lang w:val="es-CO"/>
        </w:rPr>
      </w:pPr>
    </w:p>
    <w:p w14:paraId="2FAF7988" w14:textId="77777777" w:rsidR="006460FC" w:rsidRPr="006460FC" w:rsidRDefault="006460FC" w:rsidP="006460FC">
      <w:pPr>
        <w:adjustRightInd w:val="0"/>
        <w:ind w:left="0"/>
        <w:jc w:val="center"/>
        <w:rPr>
          <w:rFonts w:ascii="Bookman Old Style" w:hAnsi="Bookman Old Style" w:cs="Arial"/>
          <w:lang w:val="es-CO"/>
        </w:rPr>
      </w:pPr>
      <w:r w:rsidRPr="006460FC">
        <w:rPr>
          <w:rFonts w:ascii="Bookman Old Style" w:hAnsi="Bookman Old Style" w:cs="Arial"/>
          <w:b/>
          <w:bCs/>
          <w:lang w:val="x-none"/>
        </w:rPr>
        <w:t xml:space="preserve">Cuadro </w:t>
      </w:r>
      <w:r w:rsidRPr="006460FC">
        <w:rPr>
          <w:rFonts w:ascii="Bookman Old Style" w:hAnsi="Bookman Old Style" w:cs="Arial"/>
          <w:b/>
          <w:bCs/>
          <w:lang w:val="es-CO"/>
        </w:rPr>
        <w:t>1</w:t>
      </w:r>
      <w:r w:rsidRPr="006460FC">
        <w:rPr>
          <w:rFonts w:ascii="Bookman Old Style" w:hAnsi="Bookman Old Style" w:cs="Arial"/>
          <w:b/>
          <w:bCs/>
          <w:lang w:val="x-none"/>
        </w:rPr>
        <w:t xml:space="preserve">. </w:t>
      </w:r>
      <w:r w:rsidRPr="006460FC">
        <w:rPr>
          <w:rFonts w:ascii="Bookman Old Style" w:hAnsi="Bookman Old Style" w:cs="Arial"/>
          <w:lang w:val="es-CO"/>
        </w:rPr>
        <w:t>Mercado Relevante Propuesto</w:t>
      </w:r>
    </w:p>
    <w:tbl>
      <w:tblPr>
        <w:tblStyle w:val="Tablaconcuadrcula"/>
        <w:tblW w:w="7225" w:type="dxa"/>
        <w:jc w:val="center"/>
        <w:tblLayout w:type="fixed"/>
        <w:tblLook w:val="04A0" w:firstRow="1" w:lastRow="0" w:firstColumn="1" w:lastColumn="0" w:noHBand="0" w:noVBand="1"/>
      </w:tblPr>
      <w:tblGrid>
        <w:gridCol w:w="2408"/>
        <w:gridCol w:w="2408"/>
        <w:gridCol w:w="2409"/>
      </w:tblGrid>
      <w:tr w:rsidR="006460FC" w:rsidRPr="006460FC" w14:paraId="45259D7E" w14:textId="77777777" w:rsidTr="00E21F27">
        <w:trPr>
          <w:trHeight w:val="567"/>
          <w:tblHeader/>
          <w:jc w:val="center"/>
        </w:trPr>
        <w:tc>
          <w:tcPr>
            <w:tcW w:w="2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D621B5" w14:textId="77777777" w:rsidR="006460FC" w:rsidRPr="006460FC" w:rsidRDefault="006460FC" w:rsidP="006460FC">
            <w:pPr>
              <w:keepNext/>
              <w:ind w:left="0"/>
              <w:jc w:val="center"/>
              <w:rPr>
                <w:rFonts w:ascii="Bookman Old Style" w:hAnsi="Bookman Old Style" w:cs="Arial"/>
                <w:b/>
              </w:rPr>
            </w:pPr>
            <w:r w:rsidRPr="006460FC">
              <w:rPr>
                <w:rFonts w:ascii="Bookman Old Style" w:hAnsi="Bookman Old Style" w:cs="Arial"/>
                <w:b/>
              </w:rPr>
              <w:t>CÓDIGO DANE</w:t>
            </w:r>
          </w:p>
        </w:tc>
        <w:tc>
          <w:tcPr>
            <w:tcW w:w="2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D80BA6" w14:textId="77777777" w:rsidR="006460FC" w:rsidRPr="006460FC" w:rsidRDefault="006460FC" w:rsidP="006460FC">
            <w:pPr>
              <w:keepNext/>
              <w:ind w:left="0"/>
              <w:jc w:val="center"/>
              <w:rPr>
                <w:rFonts w:ascii="Bookman Old Style" w:hAnsi="Bookman Old Style" w:cs="Arial"/>
                <w:b/>
              </w:rPr>
            </w:pPr>
            <w:r w:rsidRPr="006460FC">
              <w:rPr>
                <w:rFonts w:ascii="Bookman Old Style" w:hAnsi="Bookman Old Style" w:cs="Arial"/>
                <w:b/>
              </w:rPr>
              <w:t>MUNICIPIO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43B28D" w14:textId="77777777" w:rsidR="006460FC" w:rsidRPr="006460FC" w:rsidRDefault="006460FC" w:rsidP="006460FC">
            <w:pPr>
              <w:keepNext/>
              <w:ind w:left="0"/>
              <w:jc w:val="center"/>
              <w:rPr>
                <w:rFonts w:ascii="Bookman Old Style" w:hAnsi="Bookman Old Style" w:cs="Arial"/>
                <w:b/>
              </w:rPr>
            </w:pPr>
            <w:r w:rsidRPr="006460FC">
              <w:rPr>
                <w:rFonts w:ascii="Bookman Old Style" w:hAnsi="Bookman Old Style" w:cs="Arial"/>
                <w:b/>
              </w:rPr>
              <w:t>DEPARTAMENTO</w:t>
            </w:r>
          </w:p>
        </w:tc>
      </w:tr>
      <w:tr w:rsidR="006460FC" w:rsidRPr="006460FC" w14:paraId="4604887E" w14:textId="77777777" w:rsidTr="00E21F27">
        <w:trPr>
          <w:trHeight w:val="397"/>
          <w:jc w:val="center"/>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F17D58C" w14:textId="77777777" w:rsidR="006460FC" w:rsidRPr="006460FC" w:rsidRDefault="006460FC" w:rsidP="006460FC">
            <w:pPr>
              <w:ind w:left="0"/>
              <w:jc w:val="center"/>
              <w:rPr>
                <w:rFonts w:ascii="Bookman Old Style" w:hAnsi="Bookman Old Style" w:cs="Arial"/>
              </w:rPr>
            </w:pPr>
            <w:r w:rsidRPr="006460FC">
              <w:rPr>
                <w:rFonts w:ascii="Bookman Old Style" w:hAnsi="Bookman Old Style" w:cs="Arial"/>
                <w:color w:val="000000"/>
              </w:rPr>
              <w:t>20570</w:t>
            </w:r>
          </w:p>
        </w:tc>
        <w:sdt>
          <w:sdtPr>
            <w:rPr>
              <w:rFonts w:ascii="Bookman Old Style" w:hAnsi="Bookman Old Style" w:cs="Arial"/>
            </w:rPr>
            <w:id w:val="879363864"/>
            <w:placeholder>
              <w:docPart w:val="CAAF228866554DBF8995A2BA09E1AC7D"/>
            </w:placeholder>
            <w:text/>
          </w:sdtPr>
          <w:sdtContent>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82F7A" w14:textId="77777777" w:rsidR="006460FC" w:rsidRPr="006460FC" w:rsidRDefault="006460FC" w:rsidP="006460FC">
                <w:pPr>
                  <w:ind w:left="0"/>
                  <w:jc w:val="center"/>
                  <w:rPr>
                    <w:rFonts w:ascii="Bookman Old Style" w:hAnsi="Bookman Old Style" w:cs="Arial"/>
                  </w:rPr>
                </w:pPr>
                <w:r w:rsidRPr="006460FC">
                  <w:rPr>
                    <w:rFonts w:ascii="Bookman Old Style" w:hAnsi="Bookman Old Style" w:cs="Arial"/>
                  </w:rPr>
                  <w:t>Pueblo Bello</w:t>
                </w:r>
              </w:p>
            </w:tc>
          </w:sdtContent>
        </w:sdt>
        <w:sdt>
          <w:sdtPr>
            <w:rPr>
              <w:rFonts w:ascii="Bookman Old Style" w:hAnsi="Bookman Old Style" w:cs="Arial"/>
            </w:rPr>
            <w:id w:val="1880662380"/>
            <w:placeholder>
              <w:docPart w:val="BF9B9EBDB0C3472EAEC3EC19F5BFE53F"/>
            </w:placeholder>
            <w:text/>
          </w:sdtPr>
          <w:sdtContent>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5070" w14:textId="77777777" w:rsidR="006460FC" w:rsidRPr="006460FC" w:rsidRDefault="006460FC" w:rsidP="006460FC">
                <w:pPr>
                  <w:ind w:left="0"/>
                  <w:jc w:val="center"/>
                  <w:rPr>
                    <w:rFonts w:ascii="Bookman Old Style" w:hAnsi="Bookman Old Style" w:cs="Arial"/>
                  </w:rPr>
                </w:pPr>
                <w:r w:rsidRPr="006460FC">
                  <w:rPr>
                    <w:rFonts w:ascii="Bookman Old Style" w:hAnsi="Bookman Old Style" w:cs="Arial"/>
                  </w:rPr>
                  <w:t>Cesar</w:t>
                </w:r>
              </w:p>
            </w:tc>
          </w:sdtContent>
        </w:sdt>
      </w:tr>
    </w:tbl>
    <w:p w14:paraId="74BD5734" w14:textId="77777777" w:rsidR="006460FC" w:rsidRPr="006460FC" w:rsidRDefault="006460FC" w:rsidP="0005430D">
      <w:pPr>
        <w:adjustRightInd w:val="0"/>
        <w:spacing w:before="240" w:after="240"/>
        <w:ind w:left="0" w:right="20"/>
        <w:jc w:val="both"/>
        <w:rPr>
          <w:rFonts w:ascii="Bookman Old Style" w:hAnsi="Bookman Old Style" w:cs="Arial"/>
          <w:lang w:val="es-ES_tradnl"/>
        </w:rPr>
      </w:pPr>
      <w:r w:rsidRPr="006460FC">
        <w:rPr>
          <w:rFonts w:ascii="Bookman Old Style" w:hAnsi="Bookman Old Style" w:cs="Arial"/>
        </w:rPr>
        <w:t>Mediante Auto CREG I2022004916 proferido el 25 de febrero de 2022 y comunicado a la empresa PROVISERVICIOS S.A. E.S.P. mediante radicado S2022000659 del 25 de febrero de 2022, la Dirección Ejecutiva de la Comisión dispuso iniciar la respectiva actuación administrativa de aprobación de cargos de distribución y comercialización de Gas Licuado de Petróleo – GLP por redes presentada por la empresa PROVISERVICIOS S.A. E.S.P. para el mercado relevante de distribución para el siguiente periodo tarifario conformado por el municipio de Pueblo Bello, departamento del Cesar</w:t>
      </w:r>
      <w:r w:rsidRPr="006460FC">
        <w:rPr>
          <w:rFonts w:ascii="Bookman Old Style" w:hAnsi="Bookman Old Style" w:cs="Arial"/>
          <w:lang w:val="es-ES_tradnl"/>
        </w:rPr>
        <w:t>.</w:t>
      </w:r>
    </w:p>
    <w:p w14:paraId="63E669FB" w14:textId="3632B91A" w:rsidR="006460FC" w:rsidRPr="006460FC" w:rsidRDefault="006460FC" w:rsidP="0005430D">
      <w:pPr>
        <w:adjustRightInd w:val="0"/>
        <w:spacing w:before="240" w:after="240"/>
        <w:ind w:left="0" w:right="20"/>
        <w:jc w:val="both"/>
        <w:rPr>
          <w:rFonts w:ascii="Bookman Old Style" w:hAnsi="Bookman Old Style" w:cs="Arial"/>
        </w:rPr>
      </w:pPr>
      <w:r w:rsidRPr="006460FC">
        <w:rPr>
          <w:rFonts w:ascii="Bookman Old Style" w:hAnsi="Bookman Old Style" w:cs="Arial"/>
          <w:lang w:val="es-ES_tradnl"/>
        </w:rPr>
        <w:t>De acuerdo con lo establecido</w:t>
      </w:r>
      <w:r w:rsidRPr="006460FC">
        <w:rPr>
          <w:rFonts w:ascii="Bookman Old Style" w:hAnsi="Bookman Old Style" w:cs="Arial"/>
        </w:rPr>
        <w:t xml:space="preserve"> en Auto de Inicio de la actuación administrativa y, conforme a lo dispuesto en el </w:t>
      </w:r>
      <w:r w:rsidR="00BA27E1">
        <w:rPr>
          <w:rFonts w:ascii="Bookman Old Style" w:hAnsi="Bookman Old Style" w:cs="Arial"/>
        </w:rPr>
        <w:t>a</w:t>
      </w:r>
      <w:r w:rsidRPr="006460FC">
        <w:rPr>
          <w:rFonts w:ascii="Bookman Old Style" w:hAnsi="Bookman Old Style" w:cs="Arial"/>
        </w:rPr>
        <w:t>rtículo 37 del Código de Procedimiento Administrativo y de lo Contencioso Administrativo, C.P.A.C.A., con el fin de que los terceros interesados pudieran hacerse parte en la respectiva actuación, se publicó en el Diario Oficial No. 51962 de 28 de febrero de 2022, el Aviso No. 012 de 25 de febrero del mismo año, que contiene el resumen de la solicitud tarifaria presentada por la empresa PROVISERVICIOS S.A. E.S.P. para la aprobación del cargo de comercialización de Gas Licuado de Petróleo – GLP por redes de tubería.</w:t>
      </w:r>
    </w:p>
    <w:p w14:paraId="5D467AAB" w14:textId="2CD73F30" w:rsidR="006460FC" w:rsidRPr="006460FC" w:rsidRDefault="006460FC" w:rsidP="0005430D">
      <w:pPr>
        <w:spacing w:before="240" w:after="240"/>
        <w:ind w:left="0"/>
        <w:jc w:val="both"/>
        <w:rPr>
          <w:rFonts w:ascii="Bookman Old Style" w:hAnsi="Bookman Old Style" w:cs="Arial"/>
        </w:rPr>
      </w:pPr>
      <w:r w:rsidRPr="006460FC">
        <w:rPr>
          <w:rFonts w:ascii="Bookman Old Style" w:hAnsi="Bookman Old Style"/>
          <w:lang w:val="es-ES_tradnl"/>
        </w:rPr>
        <w:t xml:space="preserve">Mediante auto I2022006363 del 8 de junio de 2022 comunicado a PROVISERVICIOS S.A. E.S.P. con el radicado CREG S2022001988 del 8 de junio de 2022, </w:t>
      </w:r>
      <w:r w:rsidRPr="006460FC">
        <w:rPr>
          <w:rFonts w:ascii="Bookman Old Style" w:hAnsi="Bookman Old Style" w:cs="Arial"/>
        </w:rPr>
        <w:t>la Dirección Ejecutiva solicitó a la empresa PROVISERVICIOS S.A. E.S.P. para que procediera al cargue de la información necesaria para la determinación del componente fijo del costo de comercialización en el módulo de comercialización asociado a la solicitud de Apligas 2533</w:t>
      </w:r>
      <w:r w:rsidR="002950CF">
        <w:rPr>
          <w:rFonts w:ascii="Bookman Old Style" w:hAnsi="Bookman Old Style" w:cs="Arial"/>
        </w:rPr>
        <w:t>, de conformidad con lo establecido en la Resolución CREG 102 003 de 2022, Metodología de comercialización.</w:t>
      </w:r>
    </w:p>
    <w:p w14:paraId="73DCD9D2" w14:textId="7520625B" w:rsidR="006460FC" w:rsidRPr="006460FC" w:rsidRDefault="006460FC" w:rsidP="0005430D">
      <w:pPr>
        <w:pStyle w:val="Textoindependiente"/>
        <w:spacing w:before="240" w:after="240"/>
        <w:ind w:left="0"/>
        <w:jc w:val="both"/>
        <w:rPr>
          <w:rFonts w:ascii="Bookman Old Style" w:hAnsi="Bookman Old Style"/>
          <w:b w:val="0"/>
          <w:bCs w:val="0"/>
        </w:rPr>
      </w:pPr>
      <w:r w:rsidRPr="006460FC">
        <w:rPr>
          <w:rFonts w:ascii="Bookman Old Style" w:hAnsi="Bookman Old Style"/>
          <w:b w:val="0"/>
          <w:bCs w:val="0"/>
        </w:rPr>
        <w:t>El día 13 de junio de 2022, la empresa atendió el requerimiento y confirmó la solicitud bajo el número 2752 asignado por el aplicativo Apligas. Sin embargo, el día 15 de marzo de 2023, mediante radicado CREG S2023001796, fue necesario requerir nuevamente a PROVISERVICIOS S.A. E.S.P. para que allegara documentos e información necesaria para la revisión de la solicitud tarifaria</w:t>
      </w:r>
      <w:r w:rsidR="007141E8">
        <w:rPr>
          <w:rFonts w:ascii="Bookman Old Style" w:hAnsi="Bookman Old Style"/>
          <w:b w:val="0"/>
          <w:bCs w:val="0"/>
        </w:rPr>
        <w:t>.</w:t>
      </w:r>
    </w:p>
    <w:p w14:paraId="7A9D361C" w14:textId="77777777" w:rsidR="006460FC" w:rsidRPr="006460FC" w:rsidRDefault="006460FC" w:rsidP="0005430D">
      <w:pPr>
        <w:pStyle w:val="Textoindependiente"/>
        <w:spacing w:before="240" w:after="240"/>
        <w:ind w:left="0"/>
        <w:jc w:val="both"/>
        <w:rPr>
          <w:rFonts w:ascii="Bookman Old Style" w:hAnsi="Bookman Old Style"/>
          <w:b w:val="0"/>
          <w:bCs w:val="0"/>
        </w:rPr>
      </w:pPr>
      <w:r w:rsidRPr="006460FC">
        <w:rPr>
          <w:rFonts w:ascii="Bookman Old Style" w:hAnsi="Bookman Old Style"/>
          <w:b w:val="0"/>
          <w:bCs w:val="0"/>
        </w:rPr>
        <w:t>PROVISERVICIOS S.A. E.S.P. allegó lo requerido por la CREG, mediante radicado CREG E2022004672 de 17 de marzo de 2023.</w:t>
      </w:r>
    </w:p>
    <w:p w14:paraId="7C31D4DE" w14:textId="6DB89E71" w:rsidR="006460FC" w:rsidRDefault="006460FC" w:rsidP="00F86A7B">
      <w:pPr>
        <w:spacing w:before="240" w:after="240"/>
        <w:ind w:left="0" w:firstLine="1"/>
        <w:jc w:val="both"/>
        <w:rPr>
          <w:rFonts w:ascii="Bookman Old Style" w:hAnsi="Bookman Old Style" w:cs="Arial"/>
        </w:rPr>
      </w:pPr>
      <w:r w:rsidRPr="006460FC">
        <w:rPr>
          <w:rFonts w:ascii="Bookman Old Style" w:hAnsi="Bookman Old Style" w:cs="Arial"/>
        </w:rPr>
        <w:t xml:space="preserve">Como resultado del análisis de la información presentada a la Comisión por la empresa PROVISERVICIOS S.A. E.S.P., en desarrollo de la correspondiente actuación administrativa, se realizaron </w:t>
      </w:r>
      <w:r w:rsidR="002D7BB0">
        <w:rPr>
          <w:rFonts w:ascii="Bookman Old Style" w:hAnsi="Bookman Old Style" w:cs="Arial"/>
        </w:rPr>
        <w:t>los ajustes correspondientes para realizar el cálculo</w:t>
      </w:r>
      <w:r w:rsidR="00F86A7B">
        <w:rPr>
          <w:rFonts w:ascii="Bookman Old Style" w:hAnsi="Bookman Old Style" w:cs="Arial"/>
        </w:rPr>
        <w:t xml:space="preserve"> del componente </w:t>
      </w:r>
      <w:r w:rsidRPr="006460FC">
        <w:rPr>
          <w:rFonts w:ascii="Bookman Old Style" w:hAnsi="Bookman Old Style" w:cs="Arial"/>
        </w:rPr>
        <w:t xml:space="preserve">Fijo del Costo de Comercialización de que trata el </w:t>
      </w:r>
      <w:r w:rsidR="00BA27E1">
        <w:rPr>
          <w:rFonts w:ascii="Bookman Old Style" w:hAnsi="Bookman Old Style" w:cs="Arial"/>
        </w:rPr>
        <w:t>a</w:t>
      </w:r>
      <w:r w:rsidRPr="006460FC">
        <w:rPr>
          <w:rFonts w:ascii="Bookman Old Style" w:hAnsi="Bookman Old Style" w:cs="Arial"/>
        </w:rPr>
        <w:t xml:space="preserve">rtículo 6 de la Resolución CREG 102 003 de 2022. </w:t>
      </w:r>
      <w:r w:rsidRPr="006460FC" w:rsidDel="00F519B9">
        <w:rPr>
          <w:rFonts w:ascii="Bookman Old Style" w:hAnsi="Bookman Old Style" w:cs="Arial"/>
        </w:rPr>
        <w:t xml:space="preserve">El análisis de la solicitud tarifaria y los cálculos correspondientes efectuados por parte de la Comisión de Regulación de Energía y Gas, así como las consideraciones que soportan la presente Resolución están contenidos en </w:t>
      </w:r>
      <w:r w:rsidRPr="006460FC">
        <w:rPr>
          <w:rFonts w:ascii="Bookman Old Style" w:hAnsi="Bookman Old Style" w:cs="Arial"/>
        </w:rPr>
        <w:t xml:space="preserve">el documento </w:t>
      </w:r>
      <w:r w:rsidRPr="0035389D">
        <w:rPr>
          <w:rFonts w:ascii="Bookman Old Style" w:hAnsi="Bookman Old Style" w:cs="Arial"/>
        </w:rPr>
        <w:t xml:space="preserve">CREG </w:t>
      </w:r>
      <w:r w:rsidR="0035389D">
        <w:rPr>
          <w:rFonts w:ascii="Bookman Old Style" w:hAnsi="Bookman Old Style" w:cs="Arial"/>
        </w:rPr>
        <w:t>902 005</w:t>
      </w:r>
      <w:r w:rsidRPr="0035389D">
        <w:rPr>
          <w:rFonts w:ascii="Bookman Old Style" w:hAnsi="Bookman Old Style" w:cs="Arial"/>
        </w:rPr>
        <w:t xml:space="preserve"> de 2023,</w:t>
      </w:r>
      <w:r w:rsidRPr="006460FC">
        <w:rPr>
          <w:rFonts w:ascii="Bookman Old Style" w:hAnsi="Bookman Old Style" w:cs="Arial"/>
        </w:rPr>
        <w:t xml:space="preserve"> el cual hace parte integral de la presente Resolución. </w:t>
      </w:r>
    </w:p>
    <w:p w14:paraId="7738E3F9" w14:textId="378312ED" w:rsidR="00EA57DC" w:rsidRPr="006460FC" w:rsidRDefault="00EA57DC" w:rsidP="00F86A7B">
      <w:pPr>
        <w:spacing w:before="240" w:after="240"/>
        <w:ind w:left="0" w:firstLine="1"/>
        <w:jc w:val="both"/>
        <w:rPr>
          <w:rFonts w:ascii="Bookman Old Style" w:hAnsi="Bookman Old Style" w:cs="Arial"/>
        </w:rPr>
      </w:pPr>
      <w:r w:rsidRPr="00EA57DC">
        <w:rPr>
          <w:rFonts w:ascii="Bookman Old Style" w:hAnsi="Bookman Old Style" w:cs="Arial"/>
        </w:rPr>
        <w:t>Una vez diligenciado el cuestionario de que trata el artículo 2.2.2.30.5 del Decreto 1074 de 2015, se concluyó que el acto administrativo propuesto no tiene incidencia sobre la libre competencia y, por ende, no fue remitido a la Superintendencia de Industria y Comercio, SIC para efectos de lo establecido en el artículo 7 de la Ley 1340 de 2009. La respuesta al cuestionario establecido por la Superintendencia de Industria y Comercio se encuentra en el Documento CREG 902 005 de 2023, que hace parte integral de la presente resolución</w:t>
      </w:r>
      <w:r>
        <w:rPr>
          <w:rFonts w:ascii="Bookman Old Style" w:hAnsi="Bookman Old Style" w:cs="Arial"/>
        </w:rPr>
        <w:t>.</w:t>
      </w:r>
    </w:p>
    <w:p w14:paraId="4FEBB9A2" w14:textId="3F2D8E82" w:rsidR="006460FC" w:rsidRDefault="006460FC" w:rsidP="0005430D">
      <w:pPr>
        <w:spacing w:before="240" w:after="240"/>
        <w:ind w:left="0" w:firstLine="1"/>
        <w:jc w:val="both"/>
        <w:rPr>
          <w:rFonts w:ascii="Bookman Old Style" w:hAnsi="Bookman Old Style"/>
          <w:spacing w:val="-3"/>
        </w:rPr>
      </w:pPr>
      <w:r w:rsidRPr="006460FC">
        <w:rPr>
          <w:rFonts w:ascii="Bookman Old Style" w:hAnsi="Bookman Old Style"/>
          <w:spacing w:val="-3"/>
        </w:rPr>
        <w:t>Con base en lo anterior, la Comisión de Regulación de Energía y Gas, en su sesión No.</w:t>
      </w:r>
      <w:r w:rsidR="0035389D">
        <w:rPr>
          <w:rFonts w:ascii="Bookman Old Style" w:hAnsi="Bookman Old Style"/>
          <w:spacing w:val="-3"/>
        </w:rPr>
        <w:t xml:space="preserve"> </w:t>
      </w:r>
      <w:r w:rsidR="0035389D" w:rsidRPr="0035389D">
        <w:rPr>
          <w:rFonts w:ascii="Bookman Old Style" w:hAnsi="Bookman Old Style"/>
          <w:spacing w:val="-3"/>
        </w:rPr>
        <w:t>1266</w:t>
      </w:r>
      <w:r w:rsidRPr="0035389D">
        <w:rPr>
          <w:rFonts w:ascii="Bookman Old Style" w:hAnsi="Bookman Old Style"/>
          <w:spacing w:val="-3"/>
        </w:rPr>
        <w:t xml:space="preserve"> del </w:t>
      </w:r>
      <w:r w:rsidR="0035389D" w:rsidRPr="0035389D">
        <w:rPr>
          <w:rFonts w:ascii="Bookman Old Style" w:hAnsi="Bookman Old Style"/>
          <w:spacing w:val="-3"/>
        </w:rPr>
        <w:t>19</w:t>
      </w:r>
      <w:r w:rsidRPr="0035389D">
        <w:rPr>
          <w:rFonts w:ascii="Bookman Old Style" w:hAnsi="Bookman Old Style"/>
          <w:spacing w:val="-3"/>
        </w:rPr>
        <w:t xml:space="preserve"> de </w:t>
      </w:r>
      <w:r w:rsidR="0035389D" w:rsidRPr="0035389D">
        <w:rPr>
          <w:rFonts w:ascii="Bookman Old Style" w:hAnsi="Bookman Old Style"/>
          <w:spacing w:val="-3"/>
        </w:rPr>
        <w:t>mayo</w:t>
      </w:r>
      <w:r w:rsidRPr="0035389D">
        <w:rPr>
          <w:rFonts w:ascii="Bookman Old Style" w:hAnsi="Bookman Old Style"/>
          <w:spacing w:val="-3"/>
        </w:rPr>
        <w:t xml:space="preserve"> de 2023</w:t>
      </w:r>
      <w:r w:rsidRPr="006460FC">
        <w:rPr>
          <w:rFonts w:ascii="Bookman Old Style" w:hAnsi="Bookman Old Style"/>
          <w:spacing w:val="-3"/>
        </w:rPr>
        <w:t xml:space="preserve">, aprobó expedir esta Resolución y, en consecuencia. </w:t>
      </w:r>
    </w:p>
    <w:p w14:paraId="71BBD4B3" w14:textId="77777777" w:rsidR="0035389D" w:rsidRDefault="0035389D" w:rsidP="0005430D">
      <w:pPr>
        <w:spacing w:before="240" w:after="240"/>
        <w:ind w:left="0" w:firstLine="1"/>
        <w:jc w:val="both"/>
        <w:rPr>
          <w:rFonts w:ascii="Bookman Old Style" w:hAnsi="Bookman Old Style"/>
          <w:spacing w:val="-3"/>
        </w:rPr>
      </w:pPr>
    </w:p>
    <w:p w14:paraId="0161D7B6" w14:textId="77777777" w:rsidR="0035389D" w:rsidRPr="006460FC" w:rsidRDefault="0035389D" w:rsidP="0005430D">
      <w:pPr>
        <w:spacing w:before="240" w:after="240"/>
        <w:ind w:left="0" w:firstLine="1"/>
        <w:jc w:val="both"/>
        <w:rPr>
          <w:rFonts w:ascii="Bookman Old Style" w:hAnsi="Bookman Old Style"/>
          <w:spacing w:val="-3"/>
        </w:rPr>
      </w:pPr>
    </w:p>
    <w:p w14:paraId="04D08FF7" w14:textId="77777777" w:rsidR="00045D3D" w:rsidRDefault="00045D3D" w:rsidP="0005430D">
      <w:pPr>
        <w:ind w:left="0"/>
        <w:jc w:val="both"/>
        <w:rPr>
          <w:rFonts w:ascii="Bookman Old Style" w:hAnsi="Bookman Old Style"/>
        </w:rPr>
      </w:pPr>
    </w:p>
    <w:p w14:paraId="40EFC463"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67987A78" w14:textId="77777777" w:rsidR="0005430D" w:rsidRPr="0005430D" w:rsidRDefault="0005430D" w:rsidP="0005430D">
      <w:pPr>
        <w:keepNext/>
        <w:spacing w:before="480" w:after="240"/>
        <w:ind w:left="0"/>
        <w:jc w:val="center"/>
        <w:rPr>
          <w:rFonts w:ascii="Bookman Old Style" w:hAnsi="Bookman Old Style" w:cs="Arial"/>
          <w:b/>
          <w:spacing w:val="80"/>
        </w:rPr>
      </w:pPr>
      <w:r w:rsidRPr="0005430D">
        <w:rPr>
          <w:rFonts w:ascii="Bookman Old Style" w:hAnsi="Bookman Old Style" w:cs="Arial"/>
          <w:b/>
          <w:spacing w:val="80"/>
        </w:rPr>
        <w:t>CAPÍTULO I</w:t>
      </w:r>
    </w:p>
    <w:p w14:paraId="5F9F3212" w14:textId="77777777" w:rsidR="0005430D" w:rsidRPr="0005430D" w:rsidRDefault="0005430D" w:rsidP="0005430D">
      <w:pPr>
        <w:keepNext/>
        <w:spacing w:before="240" w:after="240"/>
        <w:ind w:left="0"/>
        <w:jc w:val="center"/>
        <w:rPr>
          <w:rFonts w:ascii="Bookman Old Style" w:hAnsi="Bookman Old Style" w:cs="Arial"/>
          <w:b/>
          <w:spacing w:val="80"/>
        </w:rPr>
      </w:pPr>
      <w:r w:rsidRPr="0005430D">
        <w:rPr>
          <w:rFonts w:ascii="Bookman Old Style" w:hAnsi="Bookman Old Style" w:cs="Arial"/>
          <w:b/>
          <w:spacing w:val="80"/>
        </w:rPr>
        <w:t>CARGO DE COMERCIALIZACIÓN</w:t>
      </w:r>
    </w:p>
    <w:p w14:paraId="7950CCA1" w14:textId="77777777" w:rsidR="0005430D" w:rsidRPr="0005430D" w:rsidRDefault="0005430D" w:rsidP="0005430D">
      <w:pPr>
        <w:widowControl w:val="0"/>
        <w:adjustRightInd w:val="0"/>
        <w:spacing w:before="240" w:after="240"/>
        <w:ind w:left="0" w:right="23"/>
        <w:jc w:val="both"/>
        <w:rPr>
          <w:rFonts w:ascii="Bookman Old Style" w:hAnsi="Bookman Old Style" w:cs="Arial"/>
          <w:b/>
        </w:rPr>
      </w:pPr>
      <w:r w:rsidRPr="0005430D">
        <w:rPr>
          <w:rFonts w:ascii="Bookman Old Style" w:hAnsi="Bookman Old Style" w:cs="Arial"/>
          <w:b/>
        </w:rPr>
        <w:t xml:space="preserve">ARTÍCULO 1. </w:t>
      </w:r>
      <w:bookmarkStart w:id="1" w:name="_Hlk106717606"/>
      <w:r w:rsidRPr="0005430D">
        <w:rPr>
          <w:rFonts w:ascii="Bookman Old Style" w:hAnsi="Bookman Old Style" w:cs="Arial"/>
          <w:b/>
        </w:rPr>
        <w:t xml:space="preserve"> Componente Fijo del Costo de Comercialización Aplicable al Mercado Relevante conformado por el municipio de Pueblo Bello, departamento del Cesar. </w:t>
      </w:r>
    </w:p>
    <w:bookmarkEnd w:id="1"/>
    <w:p w14:paraId="2BC73280" w14:textId="77777777" w:rsidR="0005430D" w:rsidRPr="0005430D" w:rsidRDefault="0005430D" w:rsidP="0005430D">
      <w:pPr>
        <w:widowControl w:val="0"/>
        <w:adjustRightInd w:val="0"/>
        <w:spacing w:before="240" w:after="240"/>
        <w:ind w:left="0" w:right="-142"/>
        <w:jc w:val="both"/>
        <w:rPr>
          <w:rFonts w:ascii="Bookman Old Style" w:hAnsi="Bookman Old Style" w:cs="Arial"/>
        </w:rPr>
      </w:pPr>
      <w:r w:rsidRPr="0005430D">
        <w:rPr>
          <w:rFonts w:ascii="Bookman Old Style" w:hAnsi="Bookman Old Style" w:cs="Arial"/>
        </w:rPr>
        <w:t>A partir de la vigencia de la presente Resolución, el Componente Fijo del Costo de Comercialización Aplicable para el Mercado Relevante para el Siguiente Período Tarifario, para recuperar los costos de inversión y los gastos de AOM para la comercialización minorista de gas por redes de tubería, se fija de la siguiente manera:</w:t>
      </w:r>
    </w:p>
    <w:p w14:paraId="13E935A4" w14:textId="77777777" w:rsidR="0005430D" w:rsidRPr="0005430D" w:rsidRDefault="0005430D" w:rsidP="0005430D">
      <w:pPr>
        <w:keepNext/>
        <w:adjustRightInd w:val="0"/>
        <w:spacing w:before="240"/>
        <w:ind w:left="0" w:right="23"/>
        <w:jc w:val="center"/>
        <w:rPr>
          <w:rFonts w:ascii="Bookman Old Style" w:hAnsi="Bookman Old Style" w:cs="Arial"/>
          <w:lang w:val="es-CO"/>
        </w:rPr>
      </w:pPr>
      <w:r w:rsidRPr="0005430D">
        <w:rPr>
          <w:rFonts w:ascii="Bookman Old Style" w:hAnsi="Bookman Old Style" w:cs="Arial"/>
          <w:b/>
          <w:bCs/>
          <w:lang w:val="x-none"/>
        </w:rPr>
        <w:t xml:space="preserve">Cuadro </w:t>
      </w:r>
      <w:r w:rsidRPr="0005430D">
        <w:rPr>
          <w:rFonts w:ascii="Bookman Old Style" w:hAnsi="Bookman Old Style" w:cs="Arial"/>
          <w:b/>
          <w:bCs/>
          <w:lang w:val="es-CO"/>
        </w:rPr>
        <w:t>2</w:t>
      </w:r>
      <w:r w:rsidRPr="0005430D">
        <w:rPr>
          <w:rFonts w:ascii="Bookman Old Style" w:hAnsi="Bookman Old Style" w:cs="Arial"/>
          <w:b/>
          <w:bCs/>
          <w:lang w:val="x-none"/>
        </w:rPr>
        <w:t xml:space="preserve">. </w:t>
      </w:r>
      <w:r w:rsidRPr="0005430D">
        <w:rPr>
          <w:rFonts w:ascii="Bookman Old Style" w:hAnsi="Bookman Old Style" w:cs="Arial"/>
          <w:lang w:val="es-CO"/>
        </w:rPr>
        <w:t>Componente Fijo del Costo de Comercialización</w:t>
      </w:r>
    </w:p>
    <w:tbl>
      <w:tblPr>
        <w:tblW w:w="36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2268"/>
      </w:tblGrid>
      <w:tr w:rsidR="0005430D" w:rsidRPr="0005430D" w14:paraId="0BE1F84D" w14:textId="77777777" w:rsidTr="00A26495">
        <w:trPr>
          <w:trHeight w:val="850"/>
          <w:tblHeader/>
          <w:jc w:val="center"/>
        </w:trPr>
        <w:tc>
          <w:tcPr>
            <w:tcW w:w="3332" w:type="pct"/>
            <w:shd w:val="clear" w:color="auto" w:fill="BFBFBF" w:themeFill="background1" w:themeFillShade="BF"/>
            <w:vAlign w:val="center"/>
          </w:tcPr>
          <w:p w14:paraId="74BB7F96" w14:textId="77777777" w:rsidR="0005430D" w:rsidRPr="0005430D" w:rsidRDefault="0005430D" w:rsidP="0005430D">
            <w:pPr>
              <w:widowControl w:val="0"/>
              <w:adjustRightInd w:val="0"/>
              <w:ind w:left="0" w:right="20"/>
              <w:jc w:val="both"/>
              <w:rPr>
                <w:rFonts w:ascii="Bookman Old Style" w:hAnsi="Bookman Old Style" w:cs="Arial"/>
              </w:rPr>
            </w:pPr>
            <w:r w:rsidRPr="0005430D">
              <w:rPr>
                <w:rFonts w:ascii="Bookman Old Style" w:hAnsi="Bookman Old Style"/>
                <w:b/>
                <w:bCs/>
                <w:color w:val="000000"/>
                <w:lang w:val="es-ES_tradnl" w:eastAsia="es-CO"/>
              </w:rPr>
              <w:t>Componente Fijo del Costo de Comercialización</w:t>
            </w:r>
          </w:p>
        </w:tc>
        <w:tc>
          <w:tcPr>
            <w:tcW w:w="1668" w:type="pct"/>
            <w:shd w:val="clear" w:color="auto" w:fill="BFBFBF" w:themeFill="background1" w:themeFillShade="BF"/>
            <w:vAlign w:val="center"/>
          </w:tcPr>
          <w:p w14:paraId="581A815F" w14:textId="77777777" w:rsidR="0005430D" w:rsidRPr="0005430D" w:rsidRDefault="0005430D" w:rsidP="00E21F27">
            <w:pPr>
              <w:widowControl w:val="0"/>
              <w:adjustRightInd w:val="0"/>
              <w:ind w:left="0" w:right="20"/>
              <w:jc w:val="center"/>
              <w:rPr>
                <w:rFonts w:ascii="Bookman Old Style" w:hAnsi="Bookman Old Style" w:cs="Arial"/>
              </w:rPr>
            </w:pPr>
            <w:r w:rsidRPr="0005430D">
              <w:rPr>
                <w:rFonts w:ascii="Bookman Old Style" w:hAnsi="Bookman Old Style"/>
                <w:b/>
                <w:bCs/>
                <w:color w:val="000000"/>
                <w:lang w:val="es-ES_tradnl" w:eastAsia="es-CO"/>
              </w:rPr>
              <w:t>$/factura</w:t>
            </w:r>
          </w:p>
        </w:tc>
      </w:tr>
      <w:tr w:rsidR="0005430D" w:rsidRPr="0005430D" w14:paraId="7A6F9765" w14:textId="77777777" w:rsidTr="00A26495">
        <w:trPr>
          <w:trHeight w:val="680"/>
          <w:jc w:val="center"/>
        </w:trPr>
        <w:tc>
          <w:tcPr>
            <w:tcW w:w="3332" w:type="pct"/>
            <w:shd w:val="clear" w:color="auto" w:fill="auto"/>
            <w:vAlign w:val="center"/>
          </w:tcPr>
          <w:p w14:paraId="76FF4CD4" w14:textId="77777777" w:rsidR="0005430D" w:rsidRPr="0005430D" w:rsidRDefault="0005430D" w:rsidP="0005430D">
            <w:pPr>
              <w:widowControl w:val="0"/>
              <w:adjustRightInd w:val="0"/>
              <w:ind w:left="0" w:right="23"/>
              <w:jc w:val="both"/>
              <w:rPr>
                <w:rFonts w:ascii="Bookman Old Style" w:hAnsi="Bookman Old Style" w:cs="Arial"/>
                <w:b/>
                <w:lang w:val="es-CO"/>
              </w:rPr>
            </w:pPr>
            <w:r w:rsidRPr="0005430D">
              <w:rPr>
                <w:rFonts w:ascii="Bookman Old Style" w:hAnsi="Bookman Old Style" w:cs="Arial"/>
                <w:b/>
                <w:lang w:val="es-CO"/>
              </w:rPr>
              <w:t xml:space="preserve">Cargo de Comercialización </w:t>
            </w:r>
          </w:p>
          <w:p w14:paraId="3B335D53" w14:textId="77777777" w:rsidR="0005430D" w:rsidRPr="0005430D" w:rsidRDefault="0005430D" w:rsidP="0005430D">
            <w:pPr>
              <w:widowControl w:val="0"/>
              <w:adjustRightInd w:val="0"/>
              <w:ind w:left="0" w:right="23"/>
              <w:jc w:val="both"/>
              <w:rPr>
                <w:rFonts w:ascii="Bookman Old Style" w:hAnsi="Bookman Old Style" w:cs="Arial"/>
              </w:rPr>
            </w:pPr>
            <w:r w:rsidRPr="0005430D">
              <w:rPr>
                <w:rFonts w:ascii="Bookman Old Style" w:hAnsi="Bookman Old Style" w:cs="Arial"/>
                <w:b/>
                <w:lang w:val="es-CO"/>
              </w:rPr>
              <w:t>($/factura)</w:t>
            </w:r>
          </w:p>
        </w:tc>
        <w:tc>
          <w:tcPr>
            <w:tcW w:w="1668" w:type="pct"/>
            <w:shd w:val="clear" w:color="auto" w:fill="auto"/>
            <w:vAlign w:val="center"/>
          </w:tcPr>
          <w:p w14:paraId="3C8FF9D1" w14:textId="77777777" w:rsidR="0005430D" w:rsidRPr="0005430D" w:rsidRDefault="0005430D" w:rsidP="00E21F27">
            <w:pPr>
              <w:widowControl w:val="0"/>
              <w:adjustRightInd w:val="0"/>
              <w:ind w:left="0" w:right="20"/>
              <w:jc w:val="center"/>
              <w:rPr>
                <w:rFonts w:ascii="Bookman Old Style" w:hAnsi="Bookman Old Style" w:cs="Arial"/>
              </w:rPr>
            </w:pPr>
            <w:r w:rsidRPr="0005430D">
              <w:rPr>
                <w:rFonts w:ascii="Bookman Old Style" w:hAnsi="Bookman Old Style" w:cs="Arial"/>
              </w:rPr>
              <w:t>3,767.82</w:t>
            </w:r>
          </w:p>
        </w:tc>
      </w:tr>
    </w:tbl>
    <w:p w14:paraId="2610010B" w14:textId="77777777" w:rsidR="0005430D" w:rsidRPr="0005430D" w:rsidRDefault="0005430D" w:rsidP="0005430D">
      <w:pPr>
        <w:widowControl w:val="0"/>
        <w:adjustRightInd w:val="0"/>
        <w:spacing w:after="240"/>
        <w:ind w:left="0" w:right="23"/>
        <w:jc w:val="center"/>
        <w:rPr>
          <w:rFonts w:ascii="Bookman Old Style" w:hAnsi="Bookman Old Style" w:cs="Arial"/>
          <w:sz w:val="20"/>
          <w:szCs w:val="20"/>
          <w:lang w:val="es-CO" w:eastAsia="x-none"/>
        </w:rPr>
      </w:pPr>
      <w:r w:rsidRPr="0005430D">
        <w:rPr>
          <w:rFonts w:ascii="Bookman Old Style" w:hAnsi="Bookman Old Style" w:cs="Arial"/>
          <w:sz w:val="20"/>
          <w:szCs w:val="20"/>
          <w:lang w:val="x-none" w:eastAsia="x-none"/>
        </w:rPr>
        <w:t>Cifras en pesos de diciembre d</w:t>
      </w:r>
      <w:r w:rsidRPr="0005430D">
        <w:rPr>
          <w:rFonts w:ascii="Bookman Old Style" w:hAnsi="Bookman Old Style" w:cs="Arial"/>
          <w:sz w:val="20"/>
          <w:szCs w:val="20"/>
          <w:lang w:val="es-CO" w:eastAsia="x-none"/>
        </w:rPr>
        <w:t>e 2021</w:t>
      </w:r>
    </w:p>
    <w:p w14:paraId="4F04C682" w14:textId="08D11D67" w:rsidR="0005430D" w:rsidRPr="0005430D" w:rsidRDefault="0005430D" w:rsidP="0005430D">
      <w:pPr>
        <w:spacing w:before="240" w:after="240"/>
        <w:ind w:left="0"/>
        <w:jc w:val="both"/>
        <w:rPr>
          <w:rFonts w:ascii="Bookman Old Style" w:hAnsi="Bookman Old Style" w:cs="Arial"/>
        </w:rPr>
      </w:pPr>
      <w:r w:rsidRPr="0005430D">
        <w:rPr>
          <w:rFonts w:ascii="Bookman Old Style" w:hAnsi="Bookman Old Style" w:cs="Arial"/>
          <w:b/>
          <w:bCs/>
        </w:rPr>
        <w:t>Parágrafo.</w:t>
      </w:r>
      <w:r w:rsidRPr="0005430D">
        <w:rPr>
          <w:rFonts w:ascii="Bookman Old Style" w:hAnsi="Bookman Old Style" w:cs="Arial"/>
        </w:rPr>
        <w:t xml:space="preserve"> El cargo asociado al Componente Fijo de los Costos de Comercialización del presente </w:t>
      </w:r>
      <w:r w:rsidR="00BA27E1">
        <w:rPr>
          <w:rFonts w:ascii="Bookman Old Style" w:hAnsi="Bookman Old Style" w:cs="Arial"/>
        </w:rPr>
        <w:t>a</w:t>
      </w:r>
      <w:r w:rsidRPr="0005430D">
        <w:rPr>
          <w:rFonts w:ascii="Bookman Old Style" w:hAnsi="Bookman Old Style" w:cs="Arial"/>
        </w:rPr>
        <w:t xml:space="preserve">rtículo se actualizará de conformidad con lo establecido en el </w:t>
      </w:r>
      <w:r w:rsidR="00BA27E1">
        <w:rPr>
          <w:rFonts w:ascii="Bookman Old Style" w:hAnsi="Bookman Old Style" w:cs="Arial"/>
        </w:rPr>
        <w:t>a</w:t>
      </w:r>
      <w:r w:rsidRPr="0005430D">
        <w:rPr>
          <w:rFonts w:ascii="Bookman Old Style" w:hAnsi="Bookman Old Style" w:cs="Arial"/>
        </w:rPr>
        <w:t xml:space="preserve">rtículo 10 de la Resolución CREG 102 003 de 2022. </w:t>
      </w:r>
    </w:p>
    <w:p w14:paraId="054035F5" w14:textId="116B749E" w:rsidR="0005430D" w:rsidRPr="0005430D" w:rsidRDefault="0005430D" w:rsidP="0005430D">
      <w:pPr>
        <w:widowControl w:val="0"/>
        <w:adjustRightInd w:val="0"/>
        <w:spacing w:before="240" w:after="240"/>
        <w:ind w:left="0" w:right="23"/>
        <w:jc w:val="both"/>
        <w:rPr>
          <w:rFonts w:ascii="Bookman Old Style" w:hAnsi="Bookman Old Style" w:cs="Arial"/>
        </w:rPr>
      </w:pPr>
      <w:r w:rsidRPr="0005430D">
        <w:rPr>
          <w:rFonts w:ascii="Bookman Old Style" w:hAnsi="Bookman Old Style" w:cs="Arial"/>
          <w:b/>
          <w:bCs/>
        </w:rPr>
        <w:t>ARTÍCULO 2</w:t>
      </w:r>
      <w:r w:rsidRPr="0005430D">
        <w:rPr>
          <w:rFonts w:ascii="Bookman Old Style" w:hAnsi="Bookman Old Style" w:cs="Arial"/>
        </w:rPr>
        <w:t xml:space="preserve">. La inversión y el monto eficiente de gastos de AOM con base en los cuales se determinó el Componente Fijo aprobado en el </w:t>
      </w:r>
      <w:r w:rsidR="00BA27E1">
        <w:rPr>
          <w:rFonts w:ascii="Bookman Old Style" w:hAnsi="Bookman Old Style" w:cs="Arial"/>
        </w:rPr>
        <w:t>a</w:t>
      </w:r>
      <w:r w:rsidRPr="0005430D">
        <w:rPr>
          <w:rFonts w:ascii="Bookman Old Style" w:hAnsi="Bookman Old Style" w:cs="Arial"/>
        </w:rPr>
        <w:t>rtículo 1 de la presente Resolución se presentan en los Anexos 1 y 2.</w:t>
      </w:r>
    </w:p>
    <w:p w14:paraId="0B62AB7C" w14:textId="6EE611AB" w:rsidR="0005430D" w:rsidRPr="0005430D" w:rsidRDefault="0005430D" w:rsidP="0005430D">
      <w:pPr>
        <w:widowControl w:val="0"/>
        <w:adjustRightInd w:val="0"/>
        <w:spacing w:before="240" w:after="240"/>
        <w:ind w:left="0" w:right="23"/>
        <w:jc w:val="both"/>
        <w:rPr>
          <w:rFonts w:ascii="Bookman Old Style" w:hAnsi="Bookman Old Style" w:cs="Arial"/>
        </w:rPr>
      </w:pPr>
      <w:r w:rsidRPr="0005430D">
        <w:rPr>
          <w:rFonts w:ascii="Bookman Old Style" w:hAnsi="Bookman Old Style" w:cs="Arial"/>
          <w:b/>
          <w:bCs/>
        </w:rPr>
        <w:t xml:space="preserve">ARTÍCULO 3. </w:t>
      </w:r>
      <w:r w:rsidRPr="0005430D">
        <w:rPr>
          <w:rFonts w:ascii="Bookman Old Style" w:hAnsi="Bookman Old Style" w:cs="Arial"/>
        </w:rPr>
        <w:t xml:space="preserve">Las empresas prestadoras de servicios públicos domiciliarios debidamente constituidas y registradas en el SUI como comercializadoras de gas combustible, que decidan prestar el servicio público domiciliario de Gas Licuado de Petróleo – GLP, por redes a usuarios regulados del Mercado Relevante conformado por el municipio de Pueblo Bello, departamento del Cesar, deberán aplicar el Componente Fijo de Comercialización aprobado en el </w:t>
      </w:r>
      <w:r w:rsidR="00BA27E1">
        <w:rPr>
          <w:rFonts w:ascii="Bookman Old Style" w:hAnsi="Bookman Old Style" w:cs="Arial"/>
        </w:rPr>
        <w:t>a</w:t>
      </w:r>
      <w:r w:rsidRPr="0005430D">
        <w:rPr>
          <w:rFonts w:ascii="Bookman Old Style" w:hAnsi="Bookman Old Style" w:cs="Arial"/>
        </w:rPr>
        <w:t xml:space="preserve">rtículo 1 de este mismo acto administrativo. </w:t>
      </w:r>
    </w:p>
    <w:p w14:paraId="63595F5B" w14:textId="5A39194B" w:rsidR="0005430D" w:rsidRPr="0005430D" w:rsidRDefault="0005430D" w:rsidP="0005430D">
      <w:pPr>
        <w:widowControl w:val="0"/>
        <w:adjustRightInd w:val="0"/>
        <w:spacing w:before="240" w:after="240"/>
        <w:ind w:left="0" w:right="20"/>
        <w:jc w:val="both"/>
        <w:rPr>
          <w:rFonts w:ascii="Bookman Old Style" w:hAnsi="Bookman Old Style" w:cs="Arial"/>
        </w:rPr>
      </w:pPr>
      <w:r w:rsidRPr="0005430D">
        <w:rPr>
          <w:rFonts w:ascii="Bookman Old Style" w:hAnsi="Bookman Old Style" w:cs="Arial"/>
          <w:b/>
        </w:rPr>
        <w:t xml:space="preserve">ARTÍCULO 4. Vigencia del Cargo de Comercialización aprobados. </w:t>
      </w:r>
      <w:r w:rsidRPr="0005430D">
        <w:rPr>
          <w:rFonts w:ascii="Bookman Old Style" w:hAnsi="Bookman Old Style" w:cs="Arial"/>
        </w:rPr>
        <w:t xml:space="preserve">El Componente Fijo del Costo de Comercialización aprobado en el </w:t>
      </w:r>
      <w:r w:rsidR="00BA27E1">
        <w:rPr>
          <w:rFonts w:ascii="Bookman Old Style" w:hAnsi="Bookman Old Style" w:cs="Arial"/>
        </w:rPr>
        <w:t>a</w:t>
      </w:r>
      <w:r w:rsidRPr="0005430D">
        <w:rPr>
          <w:rFonts w:ascii="Bookman Old Style" w:hAnsi="Bookman Old Style" w:cs="Arial"/>
        </w:rPr>
        <w:t xml:space="preserve">rtículo 1 </w:t>
      </w:r>
      <w:r w:rsidRPr="0005430D">
        <w:rPr>
          <w:rFonts w:ascii="Bookman Old Style" w:hAnsi="Bookman Old Style"/>
          <w:bCs/>
        </w:rPr>
        <w:t xml:space="preserve">estará vigente por un término de cinco (5) años, contados desde la fecha en que quede en firme la presente Resolución. </w:t>
      </w:r>
      <w:r w:rsidRPr="0005430D">
        <w:rPr>
          <w:rFonts w:ascii="Bookman Old Style" w:hAnsi="Bookman Old Style" w:cs="Arial"/>
        </w:rPr>
        <w:t xml:space="preserve">Vencido este período los cargos de comercialización continuarán rigiendo mientras la Comisión no fije los nuevos, </w:t>
      </w:r>
      <w:r w:rsidRPr="0005430D">
        <w:rPr>
          <w:rFonts w:ascii="Bookman Old Style" w:hAnsi="Bookman Old Style"/>
          <w:bCs/>
        </w:rPr>
        <w:t xml:space="preserve">de conformidad con el </w:t>
      </w:r>
      <w:r w:rsidR="00BA27E1">
        <w:rPr>
          <w:rFonts w:ascii="Bookman Old Style" w:hAnsi="Bookman Old Style"/>
          <w:bCs/>
        </w:rPr>
        <w:t>a</w:t>
      </w:r>
      <w:r w:rsidRPr="0005430D">
        <w:rPr>
          <w:rFonts w:ascii="Bookman Old Style" w:hAnsi="Bookman Old Style" w:cs="Arial"/>
        </w:rPr>
        <w:t xml:space="preserve">rtículo 126 de la Ley 142 de 1994, modificado por el </w:t>
      </w:r>
      <w:r w:rsidR="00BA27E1">
        <w:rPr>
          <w:rFonts w:ascii="Bookman Old Style" w:hAnsi="Bookman Old Style" w:cs="Arial"/>
        </w:rPr>
        <w:t>a</w:t>
      </w:r>
      <w:r w:rsidRPr="0005430D">
        <w:rPr>
          <w:rFonts w:ascii="Bookman Old Style" w:hAnsi="Bookman Old Style" w:cs="Arial"/>
        </w:rPr>
        <w:t>rtículo 52 de la Ley 2099 de 2021.</w:t>
      </w:r>
    </w:p>
    <w:p w14:paraId="76ABFF72" w14:textId="77777777" w:rsidR="0005430D" w:rsidRPr="0005430D" w:rsidRDefault="0005430D" w:rsidP="0005430D">
      <w:pPr>
        <w:keepNext/>
        <w:spacing w:before="360" w:after="240"/>
        <w:ind w:left="0"/>
        <w:jc w:val="center"/>
        <w:rPr>
          <w:rFonts w:ascii="Bookman Old Style" w:hAnsi="Bookman Old Style" w:cs="Arial"/>
          <w:b/>
          <w:spacing w:val="80"/>
        </w:rPr>
      </w:pPr>
      <w:r w:rsidRPr="0005430D">
        <w:rPr>
          <w:rFonts w:ascii="Bookman Old Style" w:hAnsi="Bookman Old Style" w:cs="Arial"/>
          <w:b/>
          <w:spacing w:val="80"/>
        </w:rPr>
        <w:t>CAPÍTULO II</w:t>
      </w:r>
    </w:p>
    <w:p w14:paraId="3F73AD01" w14:textId="77777777" w:rsidR="0005430D" w:rsidRPr="0005430D" w:rsidRDefault="0005430D" w:rsidP="0005430D">
      <w:pPr>
        <w:keepNext/>
        <w:spacing w:before="240"/>
        <w:ind w:left="0"/>
        <w:jc w:val="center"/>
        <w:rPr>
          <w:rFonts w:ascii="Bookman Old Style" w:hAnsi="Bookman Old Style" w:cs="Arial"/>
          <w:b/>
          <w:spacing w:val="80"/>
        </w:rPr>
      </w:pPr>
      <w:r w:rsidRPr="0005430D">
        <w:rPr>
          <w:rFonts w:ascii="Bookman Old Style" w:hAnsi="Bookman Old Style" w:cs="Arial"/>
          <w:b/>
          <w:spacing w:val="80"/>
        </w:rPr>
        <w:t>FÓRMULA TARIFARIA</w:t>
      </w:r>
    </w:p>
    <w:p w14:paraId="53C0CB1D" w14:textId="77777777" w:rsidR="0005430D" w:rsidRPr="0005430D" w:rsidRDefault="0005430D" w:rsidP="0005430D">
      <w:pPr>
        <w:keepNext/>
        <w:spacing w:before="240"/>
        <w:ind w:left="0"/>
        <w:jc w:val="center"/>
        <w:rPr>
          <w:rFonts w:ascii="Bookman Old Style" w:hAnsi="Bookman Old Style" w:cs="Arial"/>
          <w:b/>
          <w:spacing w:val="80"/>
        </w:rPr>
      </w:pPr>
    </w:p>
    <w:p w14:paraId="263D09E1" w14:textId="13508004" w:rsidR="0005430D" w:rsidRPr="0005430D" w:rsidRDefault="0005430D" w:rsidP="0005430D">
      <w:pPr>
        <w:adjustRightInd w:val="0"/>
        <w:ind w:left="0" w:right="23"/>
        <w:jc w:val="both"/>
        <w:rPr>
          <w:rFonts w:ascii="Bookman Old Style" w:hAnsi="Bookman Old Style" w:cs="Arial"/>
        </w:rPr>
      </w:pPr>
      <w:r w:rsidRPr="0005430D">
        <w:rPr>
          <w:rFonts w:ascii="Bookman Old Style" w:hAnsi="Bookman Old Style" w:cs="Arial"/>
          <w:b/>
        </w:rPr>
        <w:t>ARTÍCULO 5. Fórmula Tarifaria</w:t>
      </w:r>
      <w:r w:rsidRPr="0005430D">
        <w:rPr>
          <w:rFonts w:ascii="Bookman Old Style" w:hAnsi="Bookman Old Style" w:cs="Arial"/>
          <w:b/>
          <w:bCs/>
        </w:rPr>
        <w:t>.</w:t>
      </w:r>
      <w:r w:rsidRPr="0005430D">
        <w:rPr>
          <w:rFonts w:ascii="Bookman Old Style" w:hAnsi="Bookman Old Style" w:cs="Arial"/>
        </w:rPr>
        <w:t xml:space="preserve"> La Fórmula Tarifaria aplicable al mercado relevante aprobado en el </w:t>
      </w:r>
      <w:r w:rsidR="00BA27E1">
        <w:rPr>
          <w:rFonts w:ascii="Bookman Old Style" w:hAnsi="Bookman Old Style" w:cs="Arial"/>
        </w:rPr>
        <w:t>a</w:t>
      </w:r>
      <w:r w:rsidRPr="0005430D">
        <w:rPr>
          <w:rFonts w:ascii="Bookman Old Style" w:hAnsi="Bookman Old Style" w:cs="Arial"/>
        </w:rPr>
        <w:t xml:space="preserve">rtículo 1 de la presente Resolución corresponderá a la establecida en el </w:t>
      </w:r>
      <w:r w:rsidR="00BA27E1">
        <w:rPr>
          <w:rFonts w:ascii="Bookman Old Style" w:hAnsi="Bookman Old Style" w:cs="Arial"/>
        </w:rPr>
        <w:t>a</w:t>
      </w:r>
      <w:r w:rsidRPr="0005430D">
        <w:rPr>
          <w:rFonts w:ascii="Bookman Old Style" w:hAnsi="Bookman Old Style" w:cs="Arial"/>
        </w:rPr>
        <w:t>rtículo 4 de la Resolución CREG 137 de 2013 o a aquella que la modifique, adicione o sustituya.</w:t>
      </w:r>
    </w:p>
    <w:p w14:paraId="0EB0B743" w14:textId="4913B11E" w:rsidR="0005430D" w:rsidRPr="0005430D" w:rsidRDefault="0005430D" w:rsidP="0005430D">
      <w:pPr>
        <w:widowControl w:val="0"/>
        <w:adjustRightInd w:val="0"/>
        <w:spacing w:before="240" w:after="240"/>
        <w:ind w:left="0" w:right="23"/>
        <w:jc w:val="both"/>
        <w:rPr>
          <w:rFonts w:ascii="Bookman Old Style" w:hAnsi="Bookman Old Style" w:cs="Arial"/>
        </w:rPr>
      </w:pPr>
      <w:r w:rsidRPr="0005430D">
        <w:rPr>
          <w:rFonts w:ascii="Bookman Old Style" w:hAnsi="Bookman Old Style" w:cs="Arial"/>
          <w:b/>
        </w:rPr>
        <w:t xml:space="preserve">ARTÍCULO 6. Vigencia de la Fórmula Tarifaria. </w:t>
      </w:r>
      <w:r w:rsidRPr="0005430D">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w:t>
      </w:r>
      <w:r w:rsidR="00BA27E1">
        <w:rPr>
          <w:rFonts w:ascii="Bookman Old Style" w:hAnsi="Bookman Old Style" w:cs="Arial"/>
        </w:rPr>
        <w:t>a</w:t>
      </w:r>
      <w:r w:rsidRPr="0005430D">
        <w:rPr>
          <w:rFonts w:ascii="Bookman Old Style" w:hAnsi="Bookman Old Style" w:cs="Arial"/>
        </w:rPr>
        <w:t xml:space="preserve">rtículo 126 de la Ley 142 de 1994 modificado por el </w:t>
      </w:r>
      <w:r w:rsidR="00BA27E1">
        <w:rPr>
          <w:rFonts w:ascii="Bookman Old Style" w:hAnsi="Bookman Old Style" w:cs="Arial"/>
        </w:rPr>
        <w:t>a</w:t>
      </w:r>
      <w:r w:rsidRPr="0005430D">
        <w:rPr>
          <w:rFonts w:ascii="Bookman Old Style" w:hAnsi="Bookman Old Style" w:cs="Arial"/>
        </w:rPr>
        <w:t>rtículo 52 de la Ley 2099 de 2021.</w:t>
      </w:r>
    </w:p>
    <w:p w14:paraId="2C73337F" w14:textId="77777777" w:rsidR="0005430D" w:rsidRPr="0005430D" w:rsidRDefault="0005430D" w:rsidP="0005430D">
      <w:pPr>
        <w:keepNext/>
        <w:adjustRightInd w:val="0"/>
        <w:spacing w:before="360" w:after="240"/>
        <w:ind w:left="0" w:right="23"/>
        <w:jc w:val="center"/>
        <w:rPr>
          <w:rFonts w:ascii="Bookman Old Style" w:hAnsi="Bookman Old Style" w:cs="Arial"/>
          <w:b/>
          <w:spacing w:val="80"/>
        </w:rPr>
      </w:pPr>
      <w:r w:rsidRPr="0005430D">
        <w:rPr>
          <w:rFonts w:ascii="Bookman Old Style" w:hAnsi="Bookman Old Style" w:cs="Arial"/>
          <w:b/>
          <w:spacing w:val="80"/>
        </w:rPr>
        <w:t>CAPÍTULO III</w:t>
      </w:r>
    </w:p>
    <w:p w14:paraId="5A8B64C7" w14:textId="77777777" w:rsidR="0005430D" w:rsidRPr="0005430D" w:rsidRDefault="0005430D" w:rsidP="0005430D">
      <w:pPr>
        <w:keepNext/>
        <w:spacing w:before="240"/>
        <w:ind w:left="0"/>
        <w:jc w:val="center"/>
        <w:rPr>
          <w:rFonts w:ascii="Bookman Old Style" w:hAnsi="Bookman Old Style" w:cs="Arial"/>
          <w:b/>
          <w:spacing w:val="80"/>
        </w:rPr>
      </w:pPr>
      <w:r w:rsidRPr="0005430D">
        <w:rPr>
          <w:rFonts w:ascii="Bookman Old Style" w:hAnsi="Bookman Old Style" w:cs="Arial"/>
          <w:b/>
          <w:spacing w:val="80"/>
        </w:rPr>
        <w:t>OTRAS DISPOSICIONES</w:t>
      </w:r>
    </w:p>
    <w:p w14:paraId="30A617BC" w14:textId="77777777" w:rsidR="0005430D" w:rsidRPr="0005430D" w:rsidRDefault="0005430D" w:rsidP="0005430D">
      <w:pPr>
        <w:widowControl w:val="0"/>
        <w:adjustRightInd w:val="0"/>
        <w:ind w:left="0" w:right="20"/>
        <w:jc w:val="both"/>
        <w:rPr>
          <w:rFonts w:ascii="Bookman Old Style" w:hAnsi="Bookman Old Style" w:cs="Arial"/>
          <w:b/>
          <w:spacing w:val="80"/>
        </w:rPr>
      </w:pPr>
    </w:p>
    <w:p w14:paraId="6EE96149" w14:textId="11D8827B" w:rsidR="0005430D" w:rsidRPr="0005430D" w:rsidRDefault="0005430D" w:rsidP="00E21F27">
      <w:pPr>
        <w:widowControl w:val="0"/>
        <w:adjustRightInd w:val="0"/>
        <w:spacing w:before="240" w:after="240"/>
        <w:ind w:left="0" w:right="23"/>
        <w:jc w:val="both"/>
        <w:rPr>
          <w:rFonts w:ascii="Bookman Old Style" w:hAnsi="Bookman Old Style" w:cs="Arial"/>
          <w:spacing w:val="-4"/>
        </w:rPr>
      </w:pPr>
      <w:r w:rsidRPr="0005430D">
        <w:rPr>
          <w:rFonts w:ascii="Bookman Old Style" w:hAnsi="Bookman Old Style" w:cs="Arial"/>
          <w:b/>
        </w:rPr>
        <w:t>ARTÍCULO 7</w:t>
      </w:r>
      <w:r w:rsidRPr="0005430D">
        <w:rPr>
          <w:rFonts w:ascii="Bookman Old Style" w:hAnsi="Bookman Old Style" w:cs="Arial"/>
          <w:b/>
          <w:spacing w:val="-4"/>
        </w:rPr>
        <w:t>.</w:t>
      </w:r>
      <w:r w:rsidRPr="0005430D">
        <w:rPr>
          <w:rFonts w:ascii="Bookman Old Style" w:hAnsi="Bookman Old Style" w:cs="Arial"/>
          <w:spacing w:val="-4"/>
        </w:rPr>
        <w:t xml:space="preserve"> </w:t>
      </w:r>
      <w:r w:rsidRPr="0005430D">
        <w:rPr>
          <w:rFonts w:ascii="Bookman Old Style" w:hAnsi="Bookman Old Style" w:cs="Arial"/>
          <w:b/>
          <w:spacing w:val="-4"/>
        </w:rPr>
        <w:t>Notificación y Recursos.</w:t>
      </w:r>
      <w:r w:rsidRPr="0005430D">
        <w:rPr>
          <w:rFonts w:ascii="Bookman Old Style" w:hAnsi="Bookman Old Style" w:cs="Arial"/>
          <w:spacing w:val="-4"/>
        </w:rPr>
        <w:t xml:space="preserve"> La presente Resolución deberá notificarse al representante legal de la empresa </w:t>
      </w:r>
      <w:r w:rsidRPr="0005430D">
        <w:rPr>
          <w:rFonts w:ascii="Bookman Old Style" w:hAnsi="Bookman Old Style" w:cs="Arial"/>
          <w:lang w:val="es-ES_tradnl"/>
        </w:rPr>
        <w:t>PROVISERVICIOS S.A. E.S.P.</w:t>
      </w:r>
      <w:r w:rsidRPr="0005430D">
        <w:rPr>
          <w:rFonts w:ascii="Bookman Old Style" w:hAnsi="Bookman Old Style" w:cs="Arial"/>
          <w:spacing w:val="-4"/>
        </w:rPr>
        <w:t xml:space="preserve">, y una vez en firme, deberá publicarse en el </w:t>
      </w:r>
      <w:r w:rsidRPr="0005430D">
        <w:rPr>
          <w:rFonts w:ascii="Bookman Old Style" w:hAnsi="Bookman Old Style" w:cs="Arial"/>
          <w:i/>
          <w:iCs/>
          <w:spacing w:val="-4"/>
        </w:rPr>
        <w:t>Diario Oficial.</w:t>
      </w:r>
      <w:r w:rsidRPr="0005430D">
        <w:rPr>
          <w:rFonts w:ascii="Bookman Old Style" w:hAnsi="Bookman Old Style" w:cs="Arial"/>
          <w:spacing w:val="-4"/>
        </w:rPr>
        <w:t xml:space="preserve"> </w:t>
      </w:r>
    </w:p>
    <w:p w14:paraId="0A460D22" w14:textId="7B1AF747" w:rsidR="0005430D" w:rsidRPr="0005430D" w:rsidRDefault="0005430D" w:rsidP="00E21F27">
      <w:pPr>
        <w:widowControl w:val="0"/>
        <w:adjustRightInd w:val="0"/>
        <w:spacing w:before="240" w:after="240"/>
        <w:ind w:left="0" w:right="23"/>
        <w:jc w:val="both"/>
        <w:rPr>
          <w:rFonts w:ascii="Bookman Old Style" w:hAnsi="Bookman Old Style" w:cs="Arial"/>
          <w:spacing w:val="-4"/>
        </w:rPr>
      </w:pPr>
      <w:r w:rsidRPr="0005430D">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conforme a lo dispuesto en el </w:t>
      </w:r>
      <w:r w:rsidR="00BA27E1">
        <w:rPr>
          <w:rFonts w:ascii="Bookman Old Style" w:hAnsi="Bookman Old Style" w:cs="Arial"/>
          <w:spacing w:val="-4"/>
        </w:rPr>
        <w:t>a</w:t>
      </w:r>
      <w:r w:rsidRPr="0005430D">
        <w:rPr>
          <w:rFonts w:ascii="Bookman Old Style" w:hAnsi="Bookman Old Style" w:cs="Arial"/>
          <w:spacing w:val="-4"/>
        </w:rPr>
        <w:t>rtículo 113 de la Ley 142 de 1994.</w:t>
      </w:r>
    </w:p>
    <w:p w14:paraId="1A65BDF4" w14:textId="77777777" w:rsidR="00045D3D" w:rsidRPr="0005430D" w:rsidRDefault="00045D3D" w:rsidP="0005430D">
      <w:pPr>
        <w:ind w:left="0"/>
        <w:jc w:val="both"/>
        <w:rPr>
          <w:rFonts w:ascii="Bookman Old Style" w:hAnsi="Bookman Old Style"/>
          <w:i/>
        </w:rPr>
      </w:pPr>
    </w:p>
    <w:p w14:paraId="4C3505C4" w14:textId="77777777" w:rsidR="00045D3D" w:rsidRPr="00C435C3" w:rsidRDefault="00045D3D" w:rsidP="00045D3D">
      <w:pPr>
        <w:ind w:left="0"/>
        <w:rPr>
          <w:rFonts w:ascii="Bookman Old Style" w:hAnsi="Bookman Old Style"/>
        </w:rPr>
      </w:pPr>
    </w:p>
    <w:p w14:paraId="292B1F06"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p w14:paraId="7C8E85C2" w14:textId="0552168C" w:rsidR="00E21F27" w:rsidRPr="00E21F27" w:rsidRDefault="00E21F27" w:rsidP="00E21F27">
      <w:pPr>
        <w:widowControl w:val="0"/>
        <w:adjustRightInd w:val="0"/>
        <w:ind w:left="0" w:right="20"/>
        <w:rPr>
          <w:rFonts w:ascii="Bookman Old Style" w:hAnsi="Bookman Old Style" w:cs="Arial"/>
          <w:b/>
          <w:bCs/>
        </w:rPr>
      </w:pPr>
      <w:r w:rsidRPr="00E21F27">
        <w:rPr>
          <w:rFonts w:ascii="Bookman Old Style" w:hAnsi="Bookman Old Style" w:cs="Arial"/>
        </w:rPr>
        <w:t xml:space="preserve">Dada en Bogotá, D.C., a los </w:t>
      </w:r>
      <w:r w:rsidR="0035389D">
        <w:rPr>
          <w:rFonts w:ascii="Bookman Old Style" w:hAnsi="Bookman Old Style" w:cs="Arial"/>
        </w:rPr>
        <w:t>19</w:t>
      </w:r>
      <w:r w:rsidRPr="00E21F27">
        <w:rPr>
          <w:rFonts w:ascii="Bookman Old Style" w:hAnsi="Bookman Old Style" w:cs="Arial"/>
        </w:rPr>
        <w:t xml:space="preserve"> días del mes de </w:t>
      </w:r>
      <w:r w:rsidR="0035389D">
        <w:rPr>
          <w:rFonts w:ascii="Bookman Old Style" w:hAnsi="Bookman Old Style" w:cs="Arial"/>
        </w:rPr>
        <w:t>mayo</w:t>
      </w:r>
      <w:r w:rsidRPr="00E21F27">
        <w:rPr>
          <w:rFonts w:ascii="Bookman Old Style" w:hAnsi="Bookman Old Style" w:cs="Arial"/>
        </w:rPr>
        <w:t xml:space="preserve"> de 2023</w:t>
      </w:r>
      <w:r w:rsidR="008D0121">
        <w:rPr>
          <w:rFonts w:ascii="Bookman Old Style" w:hAnsi="Bookman Old Style" w:cs="Arial"/>
        </w:rPr>
        <w:t>.</w:t>
      </w:r>
    </w:p>
    <w:p w14:paraId="02AE6987"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781311DE"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0EA169D7"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61660EC8"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2351F8E8"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E21F27" w:rsidRPr="00E21F27" w14:paraId="2FDD32EA" w14:textId="77777777" w:rsidTr="00A26495">
        <w:trPr>
          <w:trHeight w:val="887"/>
          <w:jc w:val="center"/>
        </w:trPr>
        <w:tc>
          <w:tcPr>
            <w:tcW w:w="5246" w:type="dxa"/>
          </w:tcPr>
          <w:p w14:paraId="1AC6A57D"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cs="Arial"/>
                <w:b/>
                <w:spacing w:val="-3"/>
              </w:rPr>
              <w:t>CRISTIAN ANDRÉS DIAZ DURÁN</w:t>
            </w:r>
            <w:r w:rsidRPr="00E21F27" w:rsidDel="001D68FA">
              <w:rPr>
                <w:rFonts w:ascii="Bookman Old Style" w:hAnsi="Bookman Old Style"/>
                <w:b/>
              </w:rPr>
              <w:t xml:space="preserve"> </w:t>
            </w:r>
            <w:r w:rsidRPr="00E21F27">
              <w:rPr>
                <w:rFonts w:ascii="Bookman Old Style" w:hAnsi="Bookman Old Style"/>
              </w:rPr>
              <w:t>Viceministro de Energía (E)</w:t>
            </w:r>
          </w:p>
          <w:p w14:paraId="51C771A5"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 xml:space="preserve">Delegado de la Ministra de Minas y </w:t>
            </w:r>
          </w:p>
          <w:p w14:paraId="6B5F9A7C"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Energía</w:t>
            </w:r>
          </w:p>
          <w:p w14:paraId="4DB67531" w14:textId="77777777" w:rsidR="00E21F27" w:rsidRPr="00E21F27" w:rsidRDefault="00E21F27" w:rsidP="00E21F27">
            <w:pPr>
              <w:tabs>
                <w:tab w:val="left" w:pos="-720"/>
              </w:tabs>
              <w:suppressAutoHyphens/>
              <w:ind w:left="0"/>
              <w:jc w:val="center"/>
              <w:rPr>
                <w:rFonts w:ascii="Bookman Old Style" w:hAnsi="Bookman Old Style" w:cs="Arial"/>
                <w:b/>
                <w:strike/>
                <w:spacing w:val="-3"/>
              </w:rPr>
            </w:pPr>
            <w:r w:rsidRPr="00E21F27">
              <w:rPr>
                <w:rFonts w:ascii="Bookman Old Style" w:hAnsi="Bookman Old Style"/>
              </w:rPr>
              <w:t>Presidente</w:t>
            </w:r>
          </w:p>
        </w:tc>
        <w:tc>
          <w:tcPr>
            <w:tcW w:w="4820" w:type="dxa"/>
          </w:tcPr>
          <w:p w14:paraId="6BBAB33D" w14:textId="1AA693B5" w:rsidR="00E21F27" w:rsidRPr="00E21F27" w:rsidRDefault="00E21F27" w:rsidP="00E21F27">
            <w:pPr>
              <w:tabs>
                <w:tab w:val="left" w:pos="-720"/>
              </w:tabs>
              <w:suppressAutoHyphens/>
              <w:ind w:left="0" w:right="66"/>
              <w:jc w:val="center"/>
              <w:rPr>
                <w:rFonts w:ascii="Bookman Old Style" w:hAnsi="Bookman Old Style" w:cs="Arial"/>
                <w:b/>
              </w:rPr>
            </w:pPr>
            <w:r w:rsidRPr="00E21F27">
              <w:rPr>
                <w:rFonts w:ascii="Bookman Old Style" w:hAnsi="Bookman Old Style" w:cs="Arial"/>
                <w:b/>
              </w:rPr>
              <w:t>JOS</w:t>
            </w:r>
            <w:r w:rsidR="0035389D">
              <w:rPr>
                <w:rFonts w:ascii="Bookman Old Style" w:hAnsi="Bookman Old Style" w:cs="Arial"/>
                <w:b/>
              </w:rPr>
              <w:t>E</w:t>
            </w:r>
            <w:r w:rsidRPr="00E21F27">
              <w:rPr>
                <w:rFonts w:ascii="Bookman Old Style" w:hAnsi="Bookman Old Style" w:cs="Arial"/>
                <w:b/>
              </w:rPr>
              <w:t xml:space="preserve"> FERNANDO PRADA RIOS</w:t>
            </w:r>
          </w:p>
          <w:p w14:paraId="747B0E36" w14:textId="77777777" w:rsidR="00E21F27" w:rsidRPr="00E21F27" w:rsidRDefault="00E21F27" w:rsidP="00E21F27">
            <w:pPr>
              <w:tabs>
                <w:tab w:val="left" w:pos="-720"/>
              </w:tabs>
              <w:suppressAutoHyphens/>
              <w:ind w:left="0"/>
              <w:jc w:val="center"/>
              <w:rPr>
                <w:rFonts w:ascii="Bookman Old Style" w:hAnsi="Bookman Old Style" w:cs="Arial"/>
                <w:b/>
                <w:spacing w:val="-3"/>
              </w:rPr>
            </w:pPr>
            <w:r w:rsidRPr="00E21F27">
              <w:rPr>
                <w:rFonts w:ascii="Bookman Old Style" w:hAnsi="Bookman Old Style" w:cs="Arial"/>
                <w:spacing w:val="-3"/>
              </w:rPr>
              <w:t xml:space="preserve">Director Ejecutivo </w:t>
            </w:r>
          </w:p>
        </w:tc>
      </w:tr>
    </w:tbl>
    <w:p w14:paraId="53F71A3E"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49B69131" w14:textId="77777777" w:rsidR="00E21F27" w:rsidRPr="00E21F27" w:rsidRDefault="00E21F27" w:rsidP="00E21F27">
      <w:pPr>
        <w:ind w:left="0"/>
        <w:rPr>
          <w:rFonts w:ascii="Bookman Old Style" w:hAnsi="Bookman Old Style" w:cs="Arial"/>
          <w:b/>
          <w:bCs/>
          <w:spacing w:val="-3"/>
        </w:rPr>
      </w:pPr>
      <w:r w:rsidRPr="00E21F27">
        <w:rPr>
          <w:rFonts w:ascii="Bookman Old Style" w:hAnsi="Bookman Old Style" w:cs="Arial"/>
          <w:b/>
          <w:bCs/>
          <w:spacing w:val="-3"/>
        </w:rPr>
        <w:br w:type="page"/>
      </w:r>
    </w:p>
    <w:p w14:paraId="7BECE861"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spacing w:val="-3"/>
        </w:rPr>
      </w:pPr>
    </w:p>
    <w:p w14:paraId="4A9BBA70"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spacing w:val="-3"/>
        </w:rPr>
      </w:pPr>
      <w:r w:rsidRPr="00E21F27">
        <w:rPr>
          <w:rFonts w:ascii="Bookman Old Style" w:hAnsi="Bookman Old Style" w:cs="Arial"/>
          <w:b/>
          <w:bCs/>
          <w:spacing w:val="-3"/>
        </w:rPr>
        <w:t xml:space="preserve">ANEXO 1 </w:t>
      </w:r>
    </w:p>
    <w:p w14:paraId="534C356D" w14:textId="77777777" w:rsidR="00E21F27" w:rsidRPr="00E21F27" w:rsidRDefault="00E21F27" w:rsidP="00E21F27">
      <w:pPr>
        <w:adjustRightInd w:val="0"/>
        <w:spacing w:before="240" w:after="240"/>
        <w:ind w:left="0" w:right="23"/>
        <w:jc w:val="center"/>
        <w:rPr>
          <w:rFonts w:ascii="Bookman Old Style" w:hAnsi="Bookman Old Style" w:cs="Arial"/>
          <w:b/>
        </w:rPr>
      </w:pPr>
      <w:r w:rsidRPr="00E21F27">
        <w:rPr>
          <w:rFonts w:ascii="Bookman Old Style" w:hAnsi="Bookman Old Style" w:cs="Arial"/>
          <w:b/>
        </w:rPr>
        <w:t xml:space="preserve">INVERSIÓN </w:t>
      </w:r>
    </w:p>
    <w:p w14:paraId="2DAA6F2A" w14:textId="3F45A704" w:rsidR="00E21F27" w:rsidRPr="00E21F27" w:rsidRDefault="00E21F27" w:rsidP="00E21F27">
      <w:pPr>
        <w:ind w:left="0"/>
        <w:jc w:val="both"/>
        <w:rPr>
          <w:rFonts w:ascii="Bookman Old Style" w:hAnsi="Bookman Old Style" w:cs="Arial"/>
          <w:bCs/>
        </w:rPr>
      </w:pPr>
      <w:r w:rsidRPr="00E21F27">
        <w:rPr>
          <w:rFonts w:ascii="Bookman Old Style" w:hAnsi="Bookman Old Style" w:cs="Arial"/>
          <w:bCs/>
        </w:rPr>
        <w:t xml:space="preserve">La inversión aprobada </w:t>
      </w:r>
      <w:r w:rsidRPr="00E21F27">
        <w:rPr>
          <w:rFonts w:ascii="Bookman Old Style" w:hAnsi="Bookman Old Style" w:cs="Arial"/>
        </w:rPr>
        <w:t>para recuperar los costos de inversión</w:t>
      </w:r>
      <w:r w:rsidRPr="00E21F27" w:rsidDel="009A09AA">
        <w:rPr>
          <w:rFonts w:ascii="Bookman Old Style" w:hAnsi="Bookman Old Style" w:cs="Arial"/>
          <w:bCs/>
        </w:rPr>
        <w:t xml:space="preserve"> </w:t>
      </w:r>
      <w:r w:rsidRPr="00E21F27">
        <w:rPr>
          <w:rFonts w:ascii="Bookman Old Style" w:hAnsi="Bookman Old Style" w:cs="Arial"/>
          <w:bCs/>
        </w:rPr>
        <w:t>de la comercialización minorista de GLP por redes de tubería para el mercado relevante aprobado en el artículo 1 de esta resolución, corresponde al valor presente de las inversiones con nivel de eficiencia por $7,315,080 (</w:t>
      </w:r>
      <w:r w:rsidR="00DA2251">
        <w:rPr>
          <w:rFonts w:ascii="Bookman Old Style" w:hAnsi="Bookman Old Style" w:cs="Arial"/>
          <w:bCs/>
        </w:rPr>
        <w:t>pesos</w:t>
      </w:r>
      <w:r w:rsidRPr="00E21F27">
        <w:rPr>
          <w:rFonts w:ascii="Bookman Old Style" w:hAnsi="Bookman Old Style" w:cs="Arial"/>
          <w:bCs/>
        </w:rPr>
        <w:t xml:space="preserve"> de diciembre de 2021).</w:t>
      </w:r>
    </w:p>
    <w:p w14:paraId="7E776C8E"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b/>
          <w:bCs/>
          <w:color w:val="FF0000"/>
          <w:spacing w:val="-3"/>
        </w:rPr>
      </w:pPr>
    </w:p>
    <w:p w14:paraId="468C7CAC"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16979A58"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p w14:paraId="5108DCDD"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E21F27" w:rsidRPr="00E21F27" w14:paraId="358678FF" w14:textId="77777777" w:rsidTr="00A26495">
        <w:trPr>
          <w:trHeight w:val="887"/>
          <w:jc w:val="center"/>
        </w:trPr>
        <w:tc>
          <w:tcPr>
            <w:tcW w:w="5246" w:type="dxa"/>
          </w:tcPr>
          <w:p w14:paraId="5C0DDB48" w14:textId="77777777" w:rsidR="00E21F27" w:rsidRPr="00E21F27" w:rsidRDefault="00E21F27" w:rsidP="00E21F27">
            <w:pPr>
              <w:tabs>
                <w:tab w:val="left" w:pos="-720"/>
              </w:tabs>
              <w:suppressAutoHyphens/>
              <w:ind w:left="0"/>
              <w:jc w:val="center"/>
              <w:rPr>
                <w:rFonts w:ascii="Bookman Old Style" w:hAnsi="Bookman Old Style" w:cs="Arial"/>
                <w:b/>
              </w:rPr>
            </w:pPr>
            <w:r w:rsidRPr="00E21F27">
              <w:rPr>
                <w:rFonts w:ascii="Bookman Old Style" w:hAnsi="Bookman Old Style" w:cs="Arial"/>
                <w:b/>
                <w:spacing w:val="-3"/>
              </w:rPr>
              <w:t>CRISTIAN ANDRÉS DIAZ DURÁN</w:t>
            </w:r>
          </w:p>
          <w:p w14:paraId="1AA2408F"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Viceministro de Energía (E)</w:t>
            </w:r>
          </w:p>
          <w:p w14:paraId="5D937AE6"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 xml:space="preserve">Delegado de la Ministra de Minas y </w:t>
            </w:r>
          </w:p>
          <w:p w14:paraId="7DDEB84C"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Energía</w:t>
            </w:r>
          </w:p>
          <w:p w14:paraId="64512748" w14:textId="77777777" w:rsidR="00E21F27" w:rsidRPr="00E21F27" w:rsidRDefault="00E21F27" w:rsidP="00E21F27">
            <w:pPr>
              <w:tabs>
                <w:tab w:val="left" w:pos="-720"/>
              </w:tabs>
              <w:suppressAutoHyphens/>
              <w:ind w:left="0"/>
              <w:jc w:val="center"/>
              <w:rPr>
                <w:rFonts w:ascii="Bookman Old Style" w:hAnsi="Bookman Old Style" w:cs="Arial"/>
                <w:b/>
                <w:strike/>
                <w:spacing w:val="-3"/>
              </w:rPr>
            </w:pPr>
            <w:r w:rsidRPr="00E21F27">
              <w:rPr>
                <w:rFonts w:ascii="Bookman Old Style" w:hAnsi="Bookman Old Style"/>
              </w:rPr>
              <w:t>Presidente</w:t>
            </w:r>
          </w:p>
        </w:tc>
        <w:tc>
          <w:tcPr>
            <w:tcW w:w="4820" w:type="dxa"/>
          </w:tcPr>
          <w:p w14:paraId="185CCFBF" w14:textId="79CE9368" w:rsidR="00E21F27" w:rsidRPr="00E21F27" w:rsidRDefault="00E21F27" w:rsidP="00E21F27">
            <w:pPr>
              <w:tabs>
                <w:tab w:val="left" w:pos="-720"/>
              </w:tabs>
              <w:suppressAutoHyphens/>
              <w:ind w:left="0" w:right="66"/>
              <w:jc w:val="center"/>
              <w:rPr>
                <w:rFonts w:ascii="Bookman Old Style" w:hAnsi="Bookman Old Style" w:cs="Arial"/>
                <w:b/>
              </w:rPr>
            </w:pPr>
            <w:r w:rsidRPr="00E21F27">
              <w:rPr>
                <w:rFonts w:ascii="Bookman Old Style" w:hAnsi="Bookman Old Style" w:cs="Arial"/>
                <w:b/>
              </w:rPr>
              <w:t>JOS</w:t>
            </w:r>
            <w:r w:rsidR="0035389D">
              <w:rPr>
                <w:rFonts w:ascii="Bookman Old Style" w:hAnsi="Bookman Old Style" w:cs="Arial"/>
                <w:b/>
              </w:rPr>
              <w:t>E</w:t>
            </w:r>
            <w:r w:rsidRPr="00E21F27">
              <w:rPr>
                <w:rFonts w:ascii="Bookman Old Style" w:hAnsi="Bookman Old Style" w:cs="Arial"/>
                <w:b/>
              </w:rPr>
              <w:t xml:space="preserve"> FERNANDO PRADA RIOS</w:t>
            </w:r>
          </w:p>
          <w:p w14:paraId="3B9A9D04" w14:textId="77777777" w:rsidR="00E21F27" w:rsidRPr="00E21F27" w:rsidRDefault="00E21F27" w:rsidP="00E21F27">
            <w:pPr>
              <w:tabs>
                <w:tab w:val="left" w:pos="-720"/>
              </w:tabs>
              <w:suppressAutoHyphens/>
              <w:ind w:left="0"/>
              <w:jc w:val="center"/>
              <w:rPr>
                <w:rFonts w:ascii="Bookman Old Style" w:hAnsi="Bookman Old Style" w:cs="Arial"/>
                <w:b/>
                <w:spacing w:val="-3"/>
              </w:rPr>
            </w:pPr>
            <w:r w:rsidRPr="00E21F27">
              <w:rPr>
                <w:rFonts w:ascii="Bookman Old Style" w:hAnsi="Bookman Old Style" w:cs="Arial"/>
                <w:spacing w:val="-3"/>
              </w:rPr>
              <w:t xml:space="preserve">Director Ejecutivo </w:t>
            </w:r>
          </w:p>
        </w:tc>
      </w:tr>
    </w:tbl>
    <w:p w14:paraId="02DCA09D"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650A4F92" w14:textId="77777777" w:rsidR="00E21F27" w:rsidRPr="00E21F27" w:rsidRDefault="00E21F27" w:rsidP="00E21F27">
      <w:pPr>
        <w:ind w:left="0"/>
        <w:jc w:val="center"/>
        <w:rPr>
          <w:rFonts w:ascii="Bookman Old Style" w:hAnsi="Bookman Old Style" w:cs="Arial"/>
          <w:b/>
          <w:bCs/>
          <w:spacing w:val="-3"/>
        </w:rPr>
      </w:pPr>
    </w:p>
    <w:p w14:paraId="579B7825" w14:textId="77777777" w:rsidR="00E21F27" w:rsidRPr="00E21F27" w:rsidRDefault="00E21F27" w:rsidP="00E21F27">
      <w:pPr>
        <w:ind w:left="0"/>
        <w:jc w:val="center"/>
        <w:rPr>
          <w:rFonts w:ascii="Bookman Old Style" w:hAnsi="Bookman Old Style" w:cs="Arial"/>
          <w:b/>
          <w:bCs/>
          <w:spacing w:val="-3"/>
        </w:rPr>
      </w:pPr>
    </w:p>
    <w:p w14:paraId="025D07B3" w14:textId="77777777" w:rsidR="00E21F27" w:rsidRPr="00E21F27" w:rsidRDefault="00E21F27" w:rsidP="00E21F27">
      <w:pPr>
        <w:ind w:left="0"/>
        <w:jc w:val="center"/>
        <w:rPr>
          <w:rFonts w:ascii="Bookman Old Style" w:hAnsi="Bookman Old Style" w:cs="Arial"/>
          <w:b/>
          <w:bCs/>
          <w:spacing w:val="-3"/>
        </w:rPr>
      </w:pPr>
      <w:r w:rsidRPr="00E21F27">
        <w:rPr>
          <w:rFonts w:ascii="Bookman Old Style" w:hAnsi="Bookman Old Style" w:cs="Arial"/>
          <w:b/>
          <w:bCs/>
          <w:spacing w:val="-3"/>
        </w:rPr>
        <w:br w:type="page"/>
      </w:r>
    </w:p>
    <w:p w14:paraId="45FD12DA" w14:textId="77777777" w:rsidR="00E21F27" w:rsidRPr="00E21F27" w:rsidRDefault="00E21F27" w:rsidP="00E21F27">
      <w:pPr>
        <w:ind w:left="0"/>
        <w:jc w:val="center"/>
        <w:rPr>
          <w:rFonts w:ascii="Bookman Old Style" w:hAnsi="Bookman Old Style" w:cs="Arial"/>
          <w:b/>
          <w:bCs/>
          <w:spacing w:val="-3"/>
        </w:rPr>
      </w:pPr>
    </w:p>
    <w:p w14:paraId="18C91136" w14:textId="77777777" w:rsidR="00E21F27" w:rsidRPr="00E21F27" w:rsidRDefault="00E21F27" w:rsidP="00E21F27">
      <w:pPr>
        <w:ind w:left="0"/>
        <w:jc w:val="center"/>
        <w:rPr>
          <w:rFonts w:ascii="Bookman Old Style" w:hAnsi="Bookman Old Style" w:cs="Arial"/>
          <w:b/>
          <w:bCs/>
          <w:spacing w:val="-3"/>
        </w:rPr>
      </w:pPr>
      <w:r w:rsidRPr="00E21F27">
        <w:rPr>
          <w:rFonts w:ascii="Bookman Old Style" w:hAnsi="Bookman Old Style" w:cs="Arial"/>
          <w:b/>
          <w:bCs/>
          <w:spacing w:val="-3"/>
        </w:rPr>
        <w:t>ANEXO 2</w:t>
      </w:r>
    </w:p>
    <w:p w14:paraId="74A61131" w14:textId="77777777" w:rsidR="00E21F27" w:rsidRPr="00E21F27" w:rsidRDefault="00E21F27" w:rsidP="00E21F27">
      <w:pPr>
        <w:spacing w:before="240" w:after="240"/>
        <w:ind w:left="0"/>
        <w:jc w:val="center"/>
        <w:rPr>
          <w:rFonts w:ascii="Bookman Old Style" w:hAnsi="Bookman Old Style" w:cs="Arial"/>
          <w:b/>
        </w:rPr>
      </w:pPr>
      <w:r w:rsidRPr="00E21F27">
        <w:rPr>
          <w:rFonts w:ascii="Bookman Old Style" w:hAnsi="Bookman Old Style" w:cs="Arial"/>
          <w:b/>
        </w:rPr>
        <w:t>GASTOS DE ADMINISTRACIÓN, OPERACIÓN Y MANTENIMIENTO - AOM.</w:t>
      </w:r>
    </w:p>
    <w:tbl>
      <w:tblPr>
        <w:tblW w:w="3685" w:type="dxa"/>
        <w:jc w:val="center"/>
        <w:tblCellMar>
          <w:left w:w="70" w:type="dxa"/>
          <w:right w:w="70" w:type="dxa"/>
        </w:tblCellMar>
        <w:tblLook w:val="04A0" w:firstRow="1" w:lastRow="0" w:firstColumn="1" w:lastColumn="0" w:noHBand="0" w:noVBand="1"/>
      </w:tblPr>
      <w:tblGrid>
        <w:gridCol w:w="1417"/>
        <w:gridCol w:w="2268"/>
      </w:tblGrid>
      <w:tr w:rsidR="00E21F27" w:rsidRPr="00E21F27" w14:paraId="33E5A7DE" w14:textId="77777777" w:rsidTr="00A26495">
        <w:trPr>
          <w:trHeight w:val="660"/>
          <w:jc w:val="center"/>
        </w:trPr>
        <w:tc>
          <w:tcPr>
            <w:tcW w:w="14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EE7712" w14:textId="77777777" w:rsidR="00E21F27" w:rsidRPr="00E21F27" w:rsidRDefault="00E21F27" w:rsidP="00E21F27">
            <w:pPr>
              <w:ind w:left="0"/>
              <w:jc w:val="center"/>
              <w:rPr>
                <w:rFonts w:ascii="Bookman Old Style" w:hAnsi="Bookman Old Style"/>
                <w:b/>
                <w:bCs/>
                <w:color w:val="000000"/>
                <w:sz w:val="22"/>
                <w:szCs w:val="22"/>
                <w:lang w:val="es-CO" w:eastAsia="es-CO"/>
              </w:rPr>
            </w:pPr>
            <w:r w:rsidRPr="00E21F27">
              <w:rPr>
                <w:rFonts w:ascii="Bookman Old Style" w:hAnsi="Bookman Old Style"/>
                <w:b/>
                <w:bCs/>
                <w:color w:val="000000"/>
                <w:sz w:val="22"/>
                <w:szCs w:val="22"/>
                <w:lang w:eastAsia="es-CO"/>
              </w:rPr>
              <w:t>Año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45AA12A" w14:textId="77777777" w:rsidR="00E21F27" w:rsidRPr="00E21F27" w:rsidRDefault="00E21F27" w:rsidP="00E21F27">
            <w:pPr>
              <w:ind w:left="0"/>
              <w:jc w:val="center"/>
              <w:rPr>
                <w:rFonts w:ascii="Bookman Old Style" w:hAnsi="Bookman Old Style"/>
                <w:b/>
                <w:bCs/>
                <w:color w:val="000000"/>
                <w:sz w:val="22"/>
                <w:szCs w:val="22"/>
                <w:lang w:val="es-CO" w:eastAsia="es-CO"/>
              </w:rPr>
            </w:pPr>
            <w:r w:rsidRPr="00E21F27">
              <w:rPr>
                <w:rFonts w:ascii="Bookman Old Style" w:hAnsi="Bookman Old Style"/>
                <w:b/>
                <w:bCs/>
                <w:color w:val="000000"/>
                <w:sz w:val="22"/>
                <w:szCs w:val="22"/>
                <w:lang w:eastAsia="es-CO"/>
              </w:rPr>
              <w:t>Gastos AOM</w:t>
            </w:r>
            <w:r w:rsidRPr="00E21F27">
              <w:rPr>
                <w:rFonts w:ascii="Bookman Old Style" w:hAnsi="Bookman Old Style"/>
                <w:b/>
                <w:bCs/>
                <w:color w:val="000000"/>
                <w:sz w:val="22"/>
                <w:szCs w:val="22"/>
                <w:lang w:eastAsia="es-CO"/>
              </w:rPr>
              <w:br/>
              <w:t>(Dic/21)</w:t>
            </w:r>
          </w:p>
        </w:tc>
      </w:tr>
      <w:tr w:rsidR="00E21F27" w:rsidRPr="00E21F27" w14:paraId="04DC0DB5"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C65C0CD"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w:t>
            </w:r>
          </w:p>
        </w:tc>
        <w:tc>
          <w:tcPr>
            <w:tcW w:w="2268" w:type="dxa"/>
            <w:tcBorders>
              <w:top w:val="nil"/>
              <w:left w:val="nil"/>
              <w:bottom w:val="single" w:sz="4" w:space="0" w:color="auto"/>
              <w:right w:val="single" w:sz="4" w:space="0" w:color="auto"/>
            </w:tcBorders>
            <w:shd w:val="clear" w:color="auto" w:fill="auto"/>
            <w:noWrap/>
            <w:vAlign w:val="center"/>
            <w:hideMark/>
          </w:tcPr>
          <w:p w14:paraId="36A22116"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102,940,778</w:t>
            </w:r>
          </w:p>
        </w:tc>
      </w:tr>
      <w:tr w:rsidR="00E21F27" w:rsidRPr="00E21F27" w14:paraId="792EF894"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9067B86"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2</w:t>
            </w:r>
          </w:p>
        </w:tc>
        <w:tc>
          <w:tcPr>
            <w:tcW w:w="2268" w:type="dxa"/>
            <w:tcBorders>
              <w:top w:val="nil"/>
              <w:left w:val="nil"/>
              <w:bottom w:val="single" w:sz="4" w:space="0" w:color="auto"/>
              <w:right w:val="single" w:sz="4" w:space="0" w:color="auto"/>
            </w:tcBorders>
            <w:shd w:val="clear" w:color="auto" w:fill="auto"/>
            <w:noWrap/>
            <w:vAlign w:val="center"/>
            <w:hideMark/>
          </w:tcPr>
          <w:p w14:paraId="58BD81F2"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104,961,910</w:t>
            </w:r>
          </w:p>
        </w:tc>
      </w:tr>
      <w:tr w:rsidR="00E21F27" w:rsidRPr="00E21F27" w14:paraId="416FB35C"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A03338A"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3</w:t>
            </w:r>
          </w:p>
        </w:tc>
        <w:tc>
          <w:tcPr>
            <w:tcW w:w="2268" w:type="dxa"/>
            <w:tcBorders>
              <w:top w:val="nil"/>
              <w:left w:val="nil"/>
              <w:bottom w:val="single" w:sz="4" w:space="0" w:color="auto"/>
              <w:right w:val="single" w:sz="4" w:space="0" w:color="auto"/>
            </w:tcBorders>
            <w:shd w:val="clear" w:color="auto" w:fill="auto"/>
            <w:noWrap/>
            <w:vAlign w:val="center"/>
            <w:hideMark/>
          </w:tcPr>
          <w:p w14:paraId="07DCECA9"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107,099,585</w:t>
            </w:r>
          </w:p>
        </w:tc>
      </w:tr>
      <w:tr w:rsidR="00E21F27" w:rsidRPr="00E21F27" w14:paraId="54B26822"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540B173"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4</w:t>
            </w:r>
          </w:p>
        </w:tc>
        <w:tc>
          <w:tcPr>
            <w:tcW w:w="2268" w:type="dxa"/>
            <w:tcBorders>
              <w:top w:val="nil"/>
              <w:left w:val="nil"/>
              <w:bottom w:val="single" w:sz="4" w:space="0" w:color="auto"/>
              <w:right w:val="single" w:sz="4" w:space="0" w:color="auto"/>
            </w:tcBorders>
            <w:shd w:val="clear" w:color="auto" w:fill="auto"/>
            <w:noWrap/>
            <w:vAlign w:val="center"/>
            <w:hideMark/>
          </w:tcPr>
          <w:p w14:paraId="4DE49199"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109,241,577</w:t>
            </w:r>
          </w:p>
        </w:tc>
      </w:tr>
      <w:tr w:rsidR="00E21F27" w:rsidRPr="00E21F27" w14:paraId="50BE8075"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B51BA1D"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5</w:t>
            </w:r>
          </w:p>
        </w:tc>
        <w:tc>
          <w:tcPr>
            <w:tcW w:w="2268" w:type="dxa"/>
            <w:tcBorders>
              <w:top w:val="nil"/>
              <w:left w:val="nil"/>
              <w:bottom w:val="single" w:sz="4" w:space="0" w:color="auto"/>
              <w:right w:val="single" w:sz="4" w:space="0" w:color="auto"/>
            </w:tcBorders>
            <w:shd w:val="clear" w:color="auto" w:fill="auto"/>
            <w:noWrap/>
            <w:vAlign w:val="center"/>
            <w:hideMark/>
          </w:tcPr>
          <w:p w14:paraId="695DDB9A"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22A90D77"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752D65B"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6</w:t>
            </w:r>
          </w:p>
        </w:tc>
        <w:tc>
          <w:tcPr>
            <w:tcW w:w="2268" w:type="dxa"/>
            <w:tcBorders>
              <w:top w:val="nil"/>
              <w:left w:val="nil"/>
              <w:bottom w:val="single" w:sz="4" w:space="0" w:color="auto"/>
              <w:right w:val="single" w:sz="4" w:space="0" w:color="auto"/>
            </w:tcBorders>
            <w:shd w:val="clear" w:color="auto" w:fill="auto"/>
            <w:noWrap/>
            <w:vAlign w:val="center"/>
            <w:hideMark/>
          </w:tcPr>
          <w:p w14:paraId="7FF63054"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517CB955"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A7646F3"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7</w:t>
            </w:r>
          </w:p>
        </w:tc>
        <w:tc>
          <w:tcPr>
            <w:tcW w:w="2268" w:type="dxa"/>
            <w:tcBorders>
              <w:top w:val="nil"/>
              <w:left w:val="nil"/>
              <w:bottom w:val="single" w:sz="4" w:space="0" w:color="auto"/>
              <w:right w:val="single" w:sz="4" w:space="0" w:color="auto"/>
            </w:tcBorders>
            <w:shd w:val="clear" w:color="auto" w:fill="auto"/>
            <w:noWrap/>
            <w:vAlign w:val="center"/>
            <w:hideMark/>
          </w:tcPr>
          <w:p w14:paraId="368CC560"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0F140106"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8DEDA54"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8</w:t>
            </w:r>
          </w:p>
        </w:tc>
        <w:tc>
          <w:tcPr>
            <w:tcW w:w="2268" w:type="dxa"/>
            <w:tcBorders>
              <w:top w:val="nil"/>
              <w:left w:val="nil"/>
              <w:bottom w:val="single" w:sz="4" w:space="0" w:color="auto"/>
              <w:right w:val="single" w:sz="4" w:space="0" w:color="auto"/>
            </w:tcBorders>
            <w:shd w:val="clear" w:color="auto" w:fill="auto"/>
            <w:noWrap/>
            <w:vAlign w:val="center"/>
            <w:hideMark/>
          </w:tcPr>
          <w:p w14:paraId="586AAA4C"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762EA51A"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D780DBD"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9</w:t>
            </w:r>
          </w:p>
        </w:tc>
        <w:tc>
          <w:tcPr>
            <w:tcW w:w="2268" w:type="dxa"/>
            <w:tcBorders>
              <w:top w:val="nil"/>
              <w:left w:val="nil"/>
              <w:bottom w:val="single" w:sz="4" w:space="0" w:color="auto"/>
              <w:right w:val="single" w:sz="4" w:space="0" w:color="auto"/>
            </w:tcBorders>
            <w:shd w:val="clear" w:color="auto" w:fill="auto"/>
            <w:noWrap/>
            <w:vAlign w:val="center"/>
            <w:hideMark/>
          </w:tcPr>
          <w:p w14:paraId="51B3B4DF"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57C72DCB"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680CB55"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6056381"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0A136E05"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F34AE19"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w:t>
            </w:r>
          </w:p>
        </w:tc>
        <w:tc>
          <w:tcPr>
            <w:tcW w:w="2268" w:type="dxa"/>
            <w:tcBorders>
              <w:top w:val="nil"/>
              <w:left w:val="nil"/>
              <w:bottom w:val="single" w:sz="4" w:space="0" w:color="auto"/>
              <w:right w:val="single" w:sz="4" w:space="0" w:color="auto"/>
            </w:tcBorders>
            <w:shd w:val="clear" w:color="auto" w:fill="auto"/>
            <w:noWrap/>
            <w:vAlign w:val="center"/>
            <w:hideMark/>
          </w:tcPr>
          <w:p w14:paraId="7307B764"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002D0782"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6705E81"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12</w:t>
            </w:r>
          </w:p>
        </w:tc>
        <w:tc>
          <w:tcPr>
            <w:tcW w:w="2268" w:type="dxa"/>
            <w:tcBorders>
              <w:top w:val="nil"/>
              <w:left w:val="nil"/>
              <w:bottom w:val="single" w:sz="4" w:space="0" w:color="auto"/>
              <w:right w:val="single" w:sz="4" w:space="0" w:color="auto"/>
            </w:tcBorders>
            <w:shd w:val="clear" w:color="auto" w:fill="auto"/>
            <w:noWrap/>
            <w:vAlign w:val="center"/>
            <w:hideMark/>
          </w:tcPr>
          <w:p w14:paraId="3FE6468B"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6334EF4C"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A85C4DE"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13</w:t>
            </w:r>
          </w:p>
        </w:tc>
        <w:tc>
          <w:tcPr>
            <w:tcW w:w="2268" w:type="dxa"/>
            <w:tcBorders>
              <w:top w:val="nil"/>
              <w:left w:val="nil"/>
              <w:bottom w:val="single" w:sz="4" w:space="0" w:color="auto"/>
              <w:right w:val="single" w:sz="4" w:space="0" w:color="auto"/>
            </w:tcBorders>
            <w:shd w:val="clear" w:color="auto" w:fill="auto"/>
            <w:noWrap/>
            <w:vAlign w:val="center"/>
            <w:hideMark/>
          </w:tcPr>
          <w:p w14:paraId="58DE4CCB"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68A228A3"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0CD1180"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14</w:t>
            </w:r>
          </w:p>
        </w:tc>
        <w:tc>
          <w:tcPr>
            <w:tcW w:w="2268" w:type="dxa"/>
            <w:tcBorders>
              <w:top w:val="nil"/>
              <w:left w:val="nil"/>
              <w:bottom w:val="single" w:sz="4" w:space="0" w:color="auto"/>
              <w:right w:val="single" w:sz="4" w:space="0" w:color="auto"/>
            </w:tcBorders>
            <w:shd w:val="clear" w:color="auto" w:fill="auto"/>
            <w:noWrap/>
            <w:vAlign w:val="center"/>
            <w:hideMark/>
          </w:tcPr>
          <w:p w14:paraId="56251BA3"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721F956E"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FFDD426"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7C094F7"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3410B29B"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0B484A9"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16</w:t>
            </w:r>
          </w:p>
        </w:tc>
        <w:tc>
          <w:tcPr>
            <w:tcW w:w="2268" w:type="dxa"/>
            <w:tcBorders>
              <w:top w:val="nil"/>
              <w:left w:val="nil"/>
              <w:bottom w:val="single" w:sz="4" w:space="0" w:color="auto"/>
              <w:right w:val="single" w:sz="4" w:space="0" w:color="auto"/>
            </w:tcBorders>
            <w:shd w:val="clear" w:color="auto" w:fill="auto"/>
            <w:noWrap/>
            <w:vAlign w:val="center"/>
            <w:hideMark/>
          </w:tcPr>
          <w:p w14:paraId="68523038"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69E8D67B"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A0AB1D"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17</w:t>
            </w:r>
          </w:p>
        </w:tc>
        <w:tc>
          <w:tcPr>
            <w:tcW w:w="2268" w:type="dxa"/>
            <w:tcBorders>
              <w:top w:val="nil"/>
              <w:left w:val="nil"/>
              <w:bottom w:val="single" w:sz="4" w:space="0" w:color="auto"/>
              <w:right w:val="single" w:sz="4" w:space="0" w:color="auto"/>
            </w:tcBorders>
            <w:shd w:val="clear" w:color="auto" w:fill="auto"/>
            <w:noWrap/>
            <w:vAlign w:val="center"/>
            <w:hideMark/>
          </w:tcPr>
          <w:p w14:paraId="51D16A53"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1F2D83F3"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4790ED7"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18</w:t>
            </w:r>
          </w:p>
        </w:tc>
        <w:tc>
          <w:tcPr>
            <w:tcW w:w="2268" w:type="dxa"/>
            <w:tcBorders>
              <w:top w:val="nil"/>
              <w:left w:val="nil"/>
              <w:bottom w:val="single" w:sz="4" w:space="0" w:color="auto"/>
              <w:right w:val="single" w:sz="4" w:space="0" w:color="auto"/>
            </w:tcBorders>
            <w:shd w:val="clear" w:color="auto" w:fill="auto"/>
            <w:noWrap/>
            <w:vAlign w:val="center"/>
            <w:hideMark/>
          </w:tcPr>
          <w:p w14:paraId="533B25FF"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5B9C69AC"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02BD2BA"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19</w:t>
            </w:r>
          </w:p>
        </w:tc>
        <w:tc>
          <w:tcPr>
            <w:tcW w:w="2268" w:type="dxa"/>
            <w:tcBorders>
              <w:top w:val="nil"/>
              <w:left w:val="nil"/>
              <w:bottom w:val="single" w:sz="4" w:space="0" w:color="auto"/>
              <w:right w:val="single" w:sz="4" w:space="0" w:color="auto"/>
            </w:tcBorders>
            <w:shd w:val="clear" w:color="auto" w:fill="auto"/>
            <w:noWrap/>
            <w:vAlign w:val="center"/>
            <w:hideMark/>
          </w:tcPr>
          <w:p w14:paraId="1C3FEE0F"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r w:rsidR="00E21F27" w:rsidRPr="00E21F27" w14:paraId="0A869243" w14:textId="77777777" w:rsidTr="00A26495">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A8EDC7B"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20</w:t>
            </w:r>
          </w:p>
        </w:tc>
        <w:tc>
          <w:tcPr>
            <w:tcW w:w="2268" w:type="dxa"/>
            <w:tcBorders>
              <w:top w:val="nil"/>
              <w:left w:val="nil"/>
              <w:bottom w:val="single" w:sz="4" w:space="0" w:color="auto"/>
              <w:right w:val="single" w:sz="4" w:space="0" w:color="auto"/>
            </w:tcBorders>
            <w:shd w:val="clear" w:color="auto" w:fill="auto"/>
            <w:noWrap/>
            <w:vAlign w:val="center"/>
            <w:hideMark/>
          </w:tcPr>
          <w:p w14:paraId="75AD0ADC" w14:textId="77777777" w:rsidR="00E21F27" w:rsidRPr="00E21F27" w:rsidRDefault="00E21F27" w:rsidP="00E21F27">
            <w:pPr>
              <w:ind w:left="0"/>
              <w:jc w:val="center"/>
              <w:rPr>
                <w:rFonts w:ascii="Bookman Old Style" w:hAnsi="Bookman Old Style"/>
                <w:color w:val="000000"/>
                <w:sz w:val="22"/>
                <w:szCs w:val="22"/>
                <w:lang w:val="es-CO" w:eastAsia="es-CO"/>
              </w:rPr>
            </w:pPr>
            <w:r w:rsidRPr="00E21F27">
              <w:rPr>
                <w:rFonts w:ascii="Bookman Old Style" w:hAnsi="Bookman Old Style"/>
                <w:color w:val="000000"/>
                <w:sz w:val="22"/>
                <w:szCs w:val="22"/>
                <w:lang w:val="es-CO" w:eastAsia="es-CO"/>
              </w:rPr>
              <w:t>111,390,383</w:t>
            </w:r>
          </w:p>
        </w:tc>
      </w:tr>
    </w:tbl>
    <w:p w14:paraId="67A5BD06" w14:textId="77777777" w:rsid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5973676F" w14:textId="77777777" w:rsid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217B3285"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5C518138" w14:textId="77777777" w:rsidR="00E21F27" w:rsidRPr="00E21F27" w:rsidRDefault="00E21F27" w:rsidP="00E21F27">
      <w:pPr>
        <w:widowControl w:val="0"/>
        <w:tabs>
          <w:tab w:val="left" w:pos="-720"/>
        </w:tabs>
        <w:suppressAutoHyphens/>
        <w:adjustRightInd w:val="0"/>
        <w:ind w:left="0" w:right="20"/>
        <w:jc w:val="center"/>
        <w:rPr>
          <w:rFonts w:ascii="Bookman Old Style" w:hAnsi="Bookman Old Style" w:cs="Arial"/>
          <w:b/>
          <w:bCs/>
          <w:color w:val="FF0000"/>
          <w:spacing w:val="-3"/>
        </w:rPr>
      </w:pPr>
    </w:p>
    <w:p w14:paraId="3DD72CB7"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E21F27" w:rsidRPr="00E21F27" w14:paraId="7D512783" w14:textId="77777777" w:rsidTr="00A26495">
        <w:trPr>
          <w:trHeight w:val="887"/>
          <w:jc w:val="center"/>
        </w:trPr>
        <w:tc>
          <w:tcPr>
            <w:tcW w:w="5246" w:type="dxa"/>
          </w:tcPr>
          <w:p w14:paraId="02DB4D7D"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cs="Arial"/>
                <w:b/>
                <w:spacing w:val="-3"/>
              </w:rPr>
              <w:t>CRISTIAN ANDRÉS DIAZ DURÁN</w:t>
            </w:r>
            <w:r w:rsidRPr="00E21F27" w:rsidDel="001D68FA">
              <w:rPr>
                <w:rFonts w:ascii="Bookman Old Style" w:hAnsi="Bookman Old Style"/>
                <w:b/>
              </w:rPr>
              <w:t xml:space="preserve"> </w:t>
            </w:r>
            <w:r w:rsidRPr="00E21F27">
              <w:rPr>
                <w:rFonts w:ascii="Bookman Old Style" w:hAnsi="Bookman Old Style"/>
              </w:rPr>
              <w:t>Viceministro de Energía (E)</w:t>
            </w:r>
          </w:p>
          <w:p w14:paraId="32386231"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 xml:space="preserve">Delegado de la Ministra de Minas y </w:t>
            </w:r>
          </w:p>
          <w:p w14:paraId="381BCAF8" w14:textId="77777777" w:rsidR="00E21F27" w:rsidRPr="00E21F27" w:rsidRDefault="00E21F27" w:rsidP="00E21F27">
            <w:pPr>
              <w:tabs>
                <w:tab w:val="left" w:pos="-720"/>
              </w:tabs>
              <w:suppressAutoHyphens/>
              <w:ind w:left="0"/>
              <w:jc w:val="center"/>
              <w:rPr>
                <w:rFonts w:ascii="Bookman Old Style" w:hAnsi="Bookman Old Style"/>
              </w:rPr>
            </w:pPr>
            <w:r w:rsidRPr="00E21F27">
              <w:rPr>
                <w:rFonts w:ascii="Bookman Old Style" w:hAnsi="Bookman Old Style"/>
              </w:rPr>
              <w:t>Energía</w:t>
            </w:r>
          </w:p>
          <w:p w14:paraId="1D465C6B" w14:textId="77777777" w:rsidR="00E21F27" w:rsidRPr="00E21F27" w:rsidRDefault="00E21F27" w:rsidP="00E21F27">
            <w:pPr>
              <w:tabs>
                <w:tab w:val="left" w:pos="-720"/>
              </w:tabs>
              <w:suppressAutoHyphens/>
              <w:ind w:left="0"/>
              <w:jc w:val="center"/>
              <w:rPr>
                <w:rFonts w:ascii="Bookman Old Style" w:hAnsi="Bookman Old Style" w:cs="Arial"/>
                <w:b/>
                <w:strike/>
                <w:spacing w:val="-3"/>
              </w:rPr>
            </w:pPr>
            <w:r w:rsidRPr="00E21F27">
              <w:rPr>
                <w:rFonts w:ascii="Bookman Old Style" w:hAnsi="Bookman Old Style"/>
              </w:rPr>
              <w:t>Presidente</w:t>
            </w:r>
          </w:p>
        </w:tc>
        <w:tc>
          <w:tcPr>
            <w:tcW w:w="4820" w:type="dxa"/>
          </w:tcPr>
          <w:p w14:paraId="2F5443EC" w14:textId="4A70BEB4" w:rsidR="00E21F27" w:rsidRPr="00E21F27" w:rsidRDefault="00E21F27" w:rsidP="00E21F27">
            <w:pPr>
              <w:tabs>
                <w:tab w:val="left" w:pos="-720"/>
              </w:tabs>
              <w:suppressAutoHyphens/>
              <w:ind w:left="0" w:right="66"/>
              <w:jc w:val="center"/>
              <w:rPr>
                <w:rFonts w:ascii="Bookman Old Style" w:hAnsi="Bookman Old Style" w:cs="Arial"/>
                <w:b/>
              </w:rPr>
            </w:pPr>
            <w:r w:rsidRPr="00E21F27">
              <w:rPr>
                <w:rFonts w:ascii="Bookman Old Style" w:hAnsi="Bookman Old Style" w:cs="Arial"/>
                <w:b/>
              </w:rPr>
              <w:t>JOS</w:t>
            </w:r>
            <w:r w:rsidR="0035389D">
              <w:rPr>
                <w:rFonts w:ascii="Bookman Old Style" w:hAnsi="Bookman Old Style" w:cs="Arial"/>
                <w:b/>
              </w:rPr>
              <w:t xml:space="preserve">E </w:t>
            </w:r>
            <w:r w:rsidRPr="00E21F27">
              <w:rPr>
                <w:rFonts w:ascii="Bookman Old Style" w:hAnsi="Bookman Old Style" w:cs="Arial"/>
                <w:b/>
              </w:rPr>
              <w:t>FERNANDO PRADA RIOS</w:t>
            </w:r>
          </w:p>
          <w:p w14:paraId="4EBE8069" w14:textId="77777777" w:rsidR="00E21F27" w:rsidRPr="00E21F27" w:rsidRDefault="00E21F27" w:rsidP="00E21F27">
            <w:pPr>
              <w:tabs>
                <w:tab w:val="left" w:pos="-720"/>
              </w:tabs>
              <w:suppressAutoHyphens/>
              <w:ind w:left="0"/>
              <w:jc w:val="center"/>
              <w:rPr>
                <w:rFonts w:ascii="Bookman Old Style" w:hAnsi="Bookman Old Style" w:cs="Arial"/>
                <w:b/>
                <w:spacing w:val="-3"/>
              </w:rPr>
            </w:pPr>
            <w:r w:rsidRPr="00E21F27">
              <w:rPr>
                <w:rFonts w:ascii="Bookman Old Style" w:hAnsi="Bookman Old Style" w:cs="Arial"/>
                <w:spacing w:val="-3"/>
              </w:rPr>
              <w:t xml:space="preserve">Director Ejecutivo </w:t>
            </w:r>
          </w:p>
        </w:tc>
      </w:tr>
    </w:tbl>
    <w:p w14:paraId="2D65D7F5" w14:textId="77777777" w:rsidR="00E21F27" w:rsidRPr="00E21F27" w:rsidRDefault="00E21F27" w:rsidP="00E21F27">
      <w:pPr>
        <w:widowControl w:val="0"/>
        <w:tabs>
          <w:tab w:val="left" w:pos="-720"/>
        </w:tabs>
        <w:suppressAutoHyphens/>
        <w:adjustRightInd w:val="0"/>
        <w:ind w:left="0" w:right="20"/>
        <w:rPr>
          <w:rFonts w:ascii="Bookman Old Style" w:hAnsi="Bookman Old Style" w:cs="Arial"/>
          <w:b/>
          <w:bCs/>
          <w:color w:val="FF0000"/>
          <w:spacing w:val="-3"/>
        </w:rPr>
      </w:pPr>
    </w:p>
    <w:p w14:paraId="185A0E4A" w14:textId="1093436E" w:rsidR="00E060BE" w:rsidRPr="00E21F27" w:rsidRDefault="00E060BE" w:rsidP="00E21F27">
      <w:pPr>
        <w:ind w:left="0"/>
        <w:rPr>
          <w:rFonts w:ascii="Bookman Old Style" w:hAnsi="Bookman Old Style" w:cs="Arial"/>
        </w:rPr>
      </w:pPr>
    </w:p>
    <w:sectPr w:rsidR="00E060BE" w:rsidRPr="00E21F27"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3400" w14:textId="77777777" w:rsidR="00231D41" w:rsidRDefault="00231D41">
      <w:r>
        <w:separator/>
      </w:r>
    </w:p>
  </w:endnote>
  <w:endnote w:type="continuationSeparator" w:id="0">
    <w:p w14:paraId="2AD21C6C" w14:textId="77777777" w:rsidR="00231D41" w:rsidRDefault="0023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38BA" w14:textId="77777777" w:rsidR="00231D41" w:rsidRDefault="00231D41">
      <w:r>
        <w:separator/>
      </w:r>
    </w:p>
  </w:footnote>
  <w:footnote w:type="continuationSeparator" w:id="0">
    <w:p w14:paraId="4EC735FE" w14:textId="77777777" w:rsidR="00231D41" w:rsidRDefault="0023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7896735A"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35389D" w:rsidRPr="0035389D">
      <w:rPr>
        <w:rFonts w:ascii="Bookman Old Style" w:hAnsi="Bookman Old Style" w:cs="Arial"/>
        <w:bCs/>
        <w:sz w:val="22"/>
        <w:szCs w:val="22"/>
        <w:u w:val="single"/>
      </w:rPr>
      <w:t xml:space="preserve">502 </w:t>
    </w:r>
    <w:r w:rsidR="0035389D">
      <w:rPr>
        <w:rFonts w:ascii="Bookman Old Style" w:hAnsi="Bookman Old Style" w:cs="Arial"/>
        <w:bCs/>
        <w:sz w:val="22"/>
        <w:szCs w:val="22"/>
        <w:u w:val="single"/>
      </w:rPr>
      <w:t xml:space="preserve"> </w:t>
    </w:r>
    <w:r w:rsidR="0035389D" w:rsidRPr="0035389D">
      <w:rPr>
        <w:rFonts w:ascii="Bookman Old Style" w:hAnsi="Bookman Old Style" w:cs="Arial"/>
        <w:bCs/>
        <w:sz w:val="22"/>
        <w:szCs w:val="22"/>
        <w:u w:val="single"/>
      </w:rPr>
      <w:t>035</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35389D">
      <w:rPr>
        <w:rFonts w:ascii="Bookman Old Style" w:hAnsi="Bookman Old Style" w:cs="Arial"/>
        <w:b w:val="0"/>
        <w:sz w:val="22"/>
        <w:szCs w:val="22"/>
      </w:rPr>
      <w:t xml:space="preserve"> </w:t>
    </w:r>
    <w:r w:rsidR="0035389D" w:rsidRPr="0035389D">
      <w:rPr>
        <w:rFonts w:ascii="Bookman Old Style" w:hAnsi="Bookman Old Style" w:cs="Arial"/>
        <w:bCs/>
        <w:sz w:val="22"/>
        <w:szCs w:val="22"/>
        <w:u w:val="single"/>
      </w:rPr>
      <w:t>19 MAY. 2023</w:t>
    </w:r>
    <w:r w:rsidR="0035389D">
      <w:rPr>
        <w:rFonts w:ascii="Bookman Old Style" w:hAnsi="Bookman Old Style" w:cs="Arial"/>
        <w:bCs/>
        <w:sz w:val="22"/>
        <w:szCs w:val="22"/>
        <w:u w:val="single"/>
      </w:rPr>
      <w:t xml:space="preserve"> </w:t>
    </w:r>
    <w:r w:rsidR="003D076C">
      <w:rPr>
        <w:rFonts w:ascii="Bookman Old Style" w:hAnsi="Bookman Old Style" w:cs="Arial"/>
        <w:b w:val="0"/>
        <w:sz w:val="22"/>
        <w:szCs w:val="22"/>
      </w:rPr>
      <w:tab/>
    </w:r>
    <w:r w:rsidR="0035389D">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02A2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086E3D" w14:textId="5795C132" w:rsidR="0044318E" w:rsidRPr="00045D3D" w:rsidRDefault="0035389D" w:rsidP="00AD01E4">
    <w:pPr>
      <w:pBdr>
        <w:bottom w:val="single" w:sz="4" w:space="1" w:color="auto"/>
      </w:pBdr>
      <w:ind w:left="142" w:right="148"/>
      <w:rPr>
        <w:b/>
      </w:rPr>
    </w:pPr>
    <w:r w:rsidRPr="0035389D">
      <w:rPr>
        <w:rFonts w:ascii="Bookman Old Style" w:hAnsi="Bookman Old Style"/>
        <w:sz w:val="22"/>
        <w:szCs w:val="22"/>
      </w:rPr>
      <w:t>Por la cual se aprueba el Componente Fijo del Costo de Comercialización para el Mercado Relevante conformado por el municipio de Pueblo Bello, departamento del Cesar, según solicitud tarifaria presentada por la empresa PROMOTORA DE SERVICIOS PÚBLICOS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64710"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1"/>
  </w:num>
  <w:num w:numId="2" w16cid:durableId="1497382030">
    <w:abstractNumId w:val="5"/>
  </w:num>
  <w:num w:numId="3" w16cid:durableId="1643658739">
    <w:abstractNumId w:val="20"/>
  </w:num>
  <w:num w:numId="4" w16cid:durableId="1416053916">
    <w:abstractNumId w:val="6"/>
  </w:num>
  <w:num w:numId="5" w16cid:durableId="1460681335">
    <w:abstractNumId w:val="15"/>
  </w:num>
  <w:num w:numId="6" w16cid:durableId="432214895">
    <w:abstractNumId w:val="4"/>
  </w:num>
  <w:num w:numId="7" w16cid:durableId="845751384">
    <w:abstractNumId w:val="3"/>
  </w:num>
  <w:num w:numId="8" w16cid:durableId="29301030">
    <w:abstractNumId w:val="17"/>
  </w:num>
  <w:num w:numId="9" w16cid:durableId="2003662021">
    <w:abstractNumId w:val="16"/>
  </w:num>
  <w:num w:numId="10" w16cid:durableId="2014674860">
    <w:abstractNumId w:val="12"/>
  </w:num>
  <w:num w:numId="11" w16cid:durableId="958032325">
    <w:abstractNumId w:val="21"/>
  </w:num>
  <w:num w:numId="12" w16cid:durableId="1838691975">
    <w:abstractNumId w:val="19"/>
  </w:num>
  <w:num w:numId="13" w16cid:durableId="273679532">
    <w:abstractNumId w:val="10"/>
  </w:num>
  <w:num w:numId="14" w16cid:durableId="2070683866">
    <w:abstractNumId w:val="2"/>
  </w:num>
  <w:num w:numId="15" w16cid:durableId="1975476040">
    <w:abstractNumId w:val="13"/>
  </w:num>
  <w:num w:numId="16" w16cid:durableId="83963299">
    <w:abstractNumId w:val="1"/>
  </w:num>
  <w:num w:numId="17" w16cid:durableId="353533871">
    <w:abstractNumId w:val="9"/>
  </w:num>
  <w:num w:numId="18" w16cid:durableId="788664195">
    <w:abstractNumId w:val="0"/>
  </w:num>
  <w:num w:numId="19" w16cid:durableId="1454788596">
    <w:abstractNumId w:val="18"/>
  </w:num>
  <w:num w:numId="20" w16cid:durableId="1999069271">
    <w:abstractNumId w:val="14"/>
  </w:num>
  <w:num w:numId="21" w16cid:durableId="1075667280">
    <w:abstractNumId w:val="7"/>
  </w:num>
  <w:num w:numId="22" w16cid:durableId="40371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5430D"/>
    <w:rsid w:val="00063657"/>
    <w:rsid w:val="00076680"/>
    <w:rsid w:val="00076A1D"/>
    <w:rsid w:val="0008073E"/>
    <w:rsid w:val="00091CDB"/>
    <w:rsid w:val="000A19AC"/>
    <w:rsid w:val="000B2EC9"/>
    <w:rsid w:val="000C3E46"/>
    <w:rsid w:val="000D26F8"/>
    <w:rsid w:val="00106654"/>
    <w:rsid w:val="0013526C"/>
    <w:rsid w:val="001405C6"/>
    <w:rsid w:val="00141013"/>
    <w:rsid w:val="00192CBF"/>
    <w:rsid w:val="00192FF1"/>
    <w:rsid w:val="001A5F1B"/>
    <w:rsid w:val="001B1C22"/>
    <w:rsid w:val="001B34C6"/>
    <w:rsid w:val="001D7832"/>
    <w:rsid w:val="00210DC1"/>
    <w:rsid w:val="00211D34"/>
    <w:rsid w:val="00214F04"/>
    <w:rsid w:val="00231D41"/>
    <w:rsid w:val="002352B9"/>
    <w:rsid w:val="00265498"/>
    <w:rsid w:val="00266CD6"/>
    <w:rsid w:val="002673AC"/>
    <w:rsid w:val="00275DAB"/>
    <w:rsid w:val="002903C0"/>
    <w:rsid w:val="002950CF"/>
    <w:rsid w:val="002A782A"/>
    <w:rsid w:val="002B11E2"/>
    <w:rsid w:val="002B24B8"/>
    <w:rsid w:val="002D3AE9"/>
    <w:rsid w:val="002D4510"/>
    <w:rsid w:val="002D7BB0"/>
    <w:rsid w:val="002F0734"/>
    <w:rsid w:val="002F175F"/>
    <w:rsid w:val="002F46E7"/>
    <w:rsid w:val="002F5510"/>
    <w:rsid w:val="003101DA"/>
    <w:rsid w:val="003111C3"/>
    <w:rsid w:val="00314757"/>
    <w:rsid w:val="003163BC"/>
    <w:rsid w:val="003211CE"/>
    <w:rsid w:val="00325232"/>
    <w:rsid w:val="0035389D"/>
    <w:rsid w:val="0035403A"/>
    <w:rsid w:val="0036394B"/>
    <w:rsid w:val="00366DB6"/>
    <w:rsid w:val="003709B5"/>
    <w:rsid w:val="00374444"/>
    <w:rsid w:val="003759C2"/>
    <w:rsid w:val="00385CFF"/>
    <w:rsid w:val="00397365"/>
    <w:rsid w:val="003A31F6"/>
    <w:rsid w:val="003C3447"/>
    <w:rsid w:val="003D076C"/>
    <w:rsid w:val="003E78B5"/>
    <w:rsid w:val="00415BAB"/>
    <w:rsid w:val="00415ED2"/>
    <w:rsid w:val="0042068C"/>
    <w:rsid w:val="0044318E"/>
    <w:rsid w:val="00443B35"/>
    <w:rsid w:val="0045488D"/>
    <w:rsid w:val="0047122B"/>
    <w:rsid w:val="00473B7A"/>
    <w:rsid w:val="004960E9"/>
    <w:rsid w:val="004A2E88"/>
    <w:rsid w:val="004A5305"/>
    <w:rsid w:val="004D7634"/>
    <w:rsid w:val="004E611A"/>
    <w:rsid w:val="004F6460"/>
    <w:rsid w:val="005300D3"/>
    <w:rsid w:val="00542A10"/>
    <w:rsid w:val="00544F82"/>
    <w:rsid w:val="005509D2"/>
    <w:rsid w:val="005763A2"/>
    <w:rsid w:val="005839BC"/>
    <w:rsid w:val="00593C4F"/>
    <w:rsid w:val="005946A8"/>
    <w:rsid w:val="00596569"/>
    <w:rsid w:val="005A4407"/>
    <w:rsid w:val="005A59EF"/>
    <w:rsid w:val="005B1C7E"/>
    <w:rsid w:val="005C6976"/>
    <w:rsid w:val="005F6F41"/>
    <w:rsid w:val="00606746"/>
    <w:rsid w:val="00625DC6"/>
    <w:rsid w:val="00626295"/>
    <w:rsid w:val="0064391D"/>
    <w:rsid w:val="006460FC"/>
    <w:rsid w:val="00651821"/>
    <w:rsid w:val="00654384"/>
    <w:rsid w:val="006675CD"/>
    <w:rsid w:val="00684D9B"/>
    <w:rsid w:val="0068510A"/>
    <w:rsid w:val="00697556"/>
    <w:rsid w:val="006B4647"/>
    <w:rsid w:val="006B4C2B"/>
    <w:rsid w:val="006B6194"/>
    <w:rsid w:val="006B6D47"/>
    <w:rsid w:val="006C53B3"/>
    <w:rsid w:val="006C5AFE"/>
    <w:rsid w:val="006F2EC8"/>
    <w:rsid w:val="006F6D95"/>
    <w:rsid w:val="00706F13"/>
    <w:rsid w:val="007072E8"/>
    <w:rsid w:val="007141E8"/>
    <w:rsid w:val="0071618D"/>
    <w:rsid w:val="00725FA4"/>
    <w:rsid w:val="00740446"/>
    <w:rsid w:val="007438A9"/>
    <w:rsid w:val="0074491E"/>
    <w:rsid w:val="0076247A"/>
    <w:rsid w:val="00775964"/>
    <w:rsid w:val="007765FE"/>
    <w:rsid w:val="00794E2E"/>
    <w:rsid w:val="00795BFB"/>
    <w:rsid w:val="007A6181"/>
    <w:rsid w:val="007B2760"/>
    <w:rsid w:val="007B5A60"/>
    <w:rsid w:val="00806C01"/>
    <w:rsid w:val="008148CC"/>
    <w:rsid w:val="008211A4"/>
    <w:rsid w:val="0083025E"/>
    <w:rsid w:val="0084693A"/>
    <w:rsid w:val="00873150"/>
    <w:rsid w:val="0087657D"/>
    <w:rsid w:val="00876678"/>
    <w:rsid w:val="008807D5"/>
    <w:rsid w:val="00880832"/>
    <w:rsid w:val="00886EE1"/>
    <w:rsid w:val="0088727D"/>
    <w:rsid w:val="00897C75"/>
    <w:rsid w:val="008C1130"/>
    <w:rsid w:val="008D0121"/>
    <w:rsid w:val="008D18E6"/>
    <w:rsid w:val="008D7A9B"/>
    <w:rsid w:val="008E0060"/>
    <w:rsid w:val="008E7091"/>
    <w:rsid w:val="008E76AC"/>
    <w:rsid w:val="008F21F6"/>
    <w:rsid w:val="00914BFA"/>
    <w:rsid w:val="00951F79"/>
    <w:rsid w:val="00974AB5"/>
    <w:rsid w:val="0098706D"/>
    <w:rsid w:val="009935FB"/>
    <w:rsid w:val="009F4A54"/>
    <w:rsid w:val="009F4BEC"/>
    <w:rsid w:val="009F5874"/>
    <w:rsid w:val="00A00CF4"/>
    <w:rsid w:val="00A06511"/>
    <w:rsid w:val="00A25FD7"/>
    <w:rsid w:val="00A43AFF"/>
    <w:rsid w:val="00A7793A"/>
    <w:rsid w:val="00AA4CC7"/>
    <w:rsid w:val="00AA5E8E"/>
    <w:rsid w:val="00AB2BAD"/>
    <w:rsid w:val="00AB6CA7"/>
    <w:rsid w:val="00AC075D"/>
    <w:rsid w:val="00AC293F"/>
    <w:rsid w:val="00AD01E4"/>
    <w:rsid w:val="00AD0858"/>
    <w:rsid w:val="00AE02E3"/>
    <w:rsid w:val="00AE7340"/>
    <w:rsid w:val="00AF1BBD"/>
    <w:rsid w:val="00B10207"/>
    <w:rsid w:val="00B141E7"/>
    <w:rsid w:val="00B351B4"/>
    <w:rsid w:val="00B4129F"/>
    <w:rsid w:val="00B46BCA"/>
    <w:rsid w:val="00B478AA"/>
    <w:rsid w:val="00B808C0"/>
    <w:rsid w:val="00B87806"/>
    <w:rsid w:val="00B87EC9"/>
    <w:rsid w:val="00B926BD"/>
    <w:rsid w:val="00BA27E1"/>
    <w:rsid w:val="00BC38FD"/>
    <w:rsid w:val="00C034CB"/>
    <w:rsid w:val="00C051A8"/>
    <w:rsid w:val="00C054BC"/>
    <w:rsid w:val="00C17897"/>
    <w:rsid w:val="00C409D5"/>
    <w:rsid w:val="00C435C3"/>
    <w:rsid w:val="00C44E5F"/>
    <w:rsid w:val="00C51B7C"/>
    <w:rsid w:val="00C6234B"/>
    <w:rsid w:val="00C63EAE"/>
    <w:rsid w:val="00C71231"/>
    <w:rsid w:val="00C73260"/>
    <w:rsid w:val="00C7629F"/>
    <w:rsid w:val="00C8661B"/>
    <w:rsid w:val="00C8687A"/>
    <w:rsid w:val="00CA03C8"/>
    <w:rsid w:val="00CA139A"/>
    <w:rsid w:val="00CA2899"/>
    <w:rsid w:val="00CA3A3D"/>
    <w:rsid w:val="00CA3AA6"/>
    <w:rsid w:val="00CA77FB"/>
    <w:rsid w:val="00CB379B"/>
    <w:rsid w:val="00CB5DD0"/>
    <w:rsid w:val="00CC51D4"/>
    <w:rsid w:val="00CC65DA"/>
    <w:rsid w:val="00CF21B9"/>
    <w:rsid w:val="00CF6BF9"/>
    <w:rsid w:val="00D03800"/>
    <w:rsid w:val="00D065D3"/>
    <w:rsid w:val="00D14C94"/>
    <w:rsid w:val="00D24A52"/>
    <w:rsid w:val="00D342A6"/>
    <w:rsid w:val="00D45CA6"/>
    <w:rsid w:val="00D464BF"/>
    <w:rsid w:val="00D53E26"/>
    <w:rsid w:val="00D83F43"/>
    <w:rsid w:val="00DA2251"/>
    <w:rsid w:val="00DB182C"/>
    <w:rsid w:val="00DD4F0E"/>
    <w:rsid w:val="00DF0BF0"/>
    <w:rsid w:val="00DF16F5"/>
    <w:rsid w:val="00DF3CA2"/>
    <w:rsid w:val="00DF753F"/>
    <w:rsid w:val="00E01463"/>
    <w:rsid w:val="00E05596"/>
    <w:rsid w:val="00E05E0A"/>
    <w:rsid w:val="00E060BE"/>
    <w:rsid w:val="00E21F27"/>
    <w:rsid w:val="00E33718"/>
    <w:rsid w:val="00E534CF"/>
    <w:rsid w:val="00E63920"/>
    <w:rsid w:val="00E73B59"/>
    <w:rsid w:val="00E81CB4"/>
    <w:rsid w:val="00E8585B"/>
    <w:rsid w:val="00E87F41"/>
    <w:rsid w:val="00EA3F15"/>
    <w:rsid w:val="00EA57DC"/>
    <w:rsid w:val="00EA7847"/>
    <w:rsid w:val="00EB4C2F"/>
    <w:rsid w:val="00EE2E6E"/>
    <w:rsid w:val="00F0759E"/>
    <w:rsid w:val="00F16A43"/>
    <w:rsid w:val="00F46780"/>
    <w:rsid w:val="00F55DB1"/>
    <w:rsid w:val="00F74C5F"/>
    <w:rsid w:val="00F77D2D"/>
    <w:rsid w:val="00F821A3"/>
    <w:rsid w:val="00F86A7B"/>
    <w:rsid w:val="00F9314A"/>
    <w:rsid w:val="00F940B2"/>
    <w:rsid w:val="00FC58EF"/>
    <w:rsid w:val="00FD33DF"/>
    <w:rsid w:val="00FE39D7"/>
    <w:rsid w:val="00FE42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NormalWeb">
    <w:name w:val="Normal (Web)"/>
    <w:basedOn w:val="Normal"/>
    <w:uiPriority w:val="99"/>
    <w:rsid w:val="006460FC"/>
    <w:pPr>
      <w:widowControl w:val="0"/>
      <w:adjustRightInd w:val="0"/>
      <w:spacing w:before="100" w:beforeAutospacing="1" w:after="100" w:afterAutospacing="1"/>
      <w:ind w:left="0"/>
      <w:jc w:val="both"/>
      <w:textAlignment w:val="baseline"/>
    </w:pPr>
    <w:rPr>
      <w:rFonts w:ascii="Bookman Old Style" w:hAnsi="Bookman Old Style"/>
    </w:rPr>
  </w:style>
  <w:style w:type="paragraph" w:styleId="Revisin">
    <w:name w:val="Revision"/>
    <w:hidden/>
    <w:uiPriority w:val="99"/>
    <w:semiHidden/>
    <w:rsid w:val="002950CF"/>
    <w:rPr>
      <w:sz w:val="24"/>
      <w:szCs w:val="24"/>
      <w:lang w:val="es-ES" w:eastAsia="es-ES"/>
    </w:rPr>
  </w:style>
  <w:style w:type="character" w:styleId="Refdecomentario">
    <w:name w:val="annotation reference"/>
    <w:basedOn w:val="Fuentedeprrafopredeter"/>
    <w:uiPriority w:val="99"/>
    <w:semiHidden/>
    <w:unhideWhenUsed/>
    <w:rsid w:val="002950CF"/>
    <w:rPr>
      <w:sz w:val="16"/>
      <w:szCs w:val="16"/>
    </w:rPr>
  </w:style>
  <w:style w:type="paragraph" w:styleId="Textocomentario">
    <w:name w:val="annotation text"/>
    <w:basedOn w:val="Normal"/>
    <w:link w:val="TextocomentarioCar"/>
    <w:uiPriority w:val="99"/>
    <w:unhideWhenUsed/>
    <w:rsid w:val="002950CF"/>
    <w:rPr>
      <w:sz w:val="20"/>
      <w:szCs w:val="20"/>
    </w:rPr>
  </w:style>
  <w:style w:type="character" w:customStyle="1" w:styleId="TextocomentarioCar">
    <w:name w:val="Texto comentario Car"/>
    <w:basedOn w:val="Fuentedeprrafopredeter"/>
    <w:link w:val="Textocomentario"/>
    <w:uiPriority w:val="99"/>
    <w:rsid w:val="002950CF"/>
    <w:rPr>
      <w:lang w:val="es-ES" w:eastAsia="es-ES"/>
    </w:rPr>
  </w:style>
  <w:style w:type="paragraph" w:styleId="Asuntodelcomentario">
    <w:name w:val="annotation subject"/>
    <w:basedOn w:val="Textocomentario"/>
    <w:next w:val="Textocomentario"/>
    <w:link w:val="AsuntodelcomentarioCar"/>
    <w:uiPriority w:val="99"/>
    <w:semiHidden/>
    <w:unhideWhenUsed/>
    <w:rsid w:val="002950CF"/>
    <w:rPr>
      <w:b/>
      <w:bCs/>
    </w:rPr>
  </w:style>
  <w:style w:type="character" w:customStyle="1" w:styleId="AsuntodelcomentarioCar">
    <w:name w:val="Asunto del comentario Car"/>
    <w:basedOn w:val="TextocomentarioCar"/>
    <w:link w:val="Asuntodelcomentario"/>
    <w:uiPriority w:val="99"/>
    <w:semiHidden/>
    <w:rsid w:val="002950C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AF228866554DBF8995A2BA09E1AC7D"/>
        <w:category>
          <w:name w:val="General"/>
          <w:gallery w:val="placeholder"/>
        </w:category>
        <w:types>
          <w:type w:val="bbPlcHdr"/>
        </w:types>
        <w:behaviors>
          <w:behavior w:val="content"/>
        </w:behaviors>
        <w:guid w:val="{E83AEF94-DA0B-4560-8258-322DFE70B8DC}"/>
      </w:docPartPr>
      <w:docPartBody>
        <w:p w:rsidR="00D716F5" w:rsidRDefault="007C3B80" w:rsidP="007C3B80">
          <w:pPr>
            <w:pStyle w:val="CAAF228866554DBF8995A2BA09E1AC7D"/>
          </w:pPr>
          <w:r>
            <w:rPr>
              <w:rFonts w:ascii="Arial" w:hAnsi="Arial" w:cs="Arial"/>
              <w:sz w:val="20"/>
              <w:szCs w:val="20"/>
              <w:highlight w:val="yellow"/>
            </w:rPr>
            <w:t>[Insertar nombre del municipio]</w:t>
          </w:r>
        </w:p>
      </w:docPartBody>
    </w:docPart>
    <w:docPart>
      <w:docPartPr>
        <w:name w:val="BF9B9EBDB0C3472EAEC3EC19F5BFE53F"/>
        <w:category>
          <w:name w:val="General"/>
          <w:gallery w:val="placeholder"/>
        </w:category>
        <w:types>
          <w:type w:val="bbPlcHdr"/>
        </w:types>
        <w:behaviors>
          <w:behavior w:val="content"/>
        </w:behaviors>
        <w:guid w:val="{1C563D1D-0A00-4063-B556-D5845778C733}"/>
      </w:docPartPr>
      <w:docPartBody>
        <w:p w:rsidR="00D716F5" w:rsidRDefault="007C3B80" w:rsidP="007C3B80">
          <w:pPr>
            <w:pStyle w:val="BF9B9EBDB0C3472EAEC3EC19F5BFE53F"/>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80"/>
    <w:rsid w:val="00283811"/>
    <w:rsid w:val="005B1CF3"/>
    <w:rsid w:val="007C3B80"/>
    <w:rsid w:val="00D716F5"/>
    <w:rsid w:val="00F427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AF228866554DBF8995A2BA09E1AC7D">
    <w:name w:val="CAAF228866554DBF8995A2BA09E1AC7D"/>
    <w:rsid w:val="007C3B80"/>
  </w:style>
  <w:style w:type="paragraph" w:customStyle="1" w:styleId="BF9B9EBDB0C3472EAEC3EC19F5BFE53F">
    <w:name w:val="BF9B9EBDB0C3472EAEC3EC19F5BFE53F"/>
    <w:rsid w:val="007C3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6</TotalTime>
  <Pages>7</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3</cp:revision>
  <cp:lastPrinted>2011-07-21T13:53:00Z</cp:lastPrinted>
  <dcterms:created xsi:type="dcterms:W3CDTF">2023-07-24T14:38:00Z</dcterms:created>
  <dcterms:modified xsi:type="dcterms:W3CDTF">2023-07-24T14:38:00Z</dcterms:modified>
</cp:coreProperties>
</file>