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03FE" w14:textId="77777777" w:rsidR="005C1BCA" w:rsidRPr="0086374B" w:rsidRDefault="00000000" w:rsidP="00C513B6">
      <w:pPr>
        <w:jc w:val="center"/>
        <w:rPr>
          <w:noProof/>
          <w:snapToGrid w:val="0"/>
          <w:szCs w:val="24"/>
          <w:lang w:val="es-ES" w:eastAsia="es-ES"/>
        </w:rPr>
      </w:pPr>
      <w:r>
        <w:rPr>
          <w:noProof/>
          <w:szCs w:val="24"/>
          <w:lang w:eastAsia="es-CO"/>
        </w:rPr>
        <w:object w:dxaOrig="1440" w:dyaOrig="1440" w14:anchorId="0DB0A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pt;margin-top:-48.55pt;width:38pt;height:39.05pt;z-index:251658240;mso-wrap-edited:f;mso-width-percent:0;mso-height-percent:0;mso-width-percent:0;mso-height-percent:0" fillcolor="#0c9">
            <v:imagedata r:id="rId11" o:title=""/>
          </v:shape>
          <o:OLEObject Type="Embed" ProgID="PBrush" ShapeID="_x0000_s2050" DrawAspect="Content" ObjectID="_1749540802" r:id="rId12"/>
        </w:object>
      </w:r>
      <w:r w:rsidR="005C1BCA" w:rsidRPr="0086374B">
        <w:rPr>
          <w:snapToGrid w:val="0"/>
          <w:szCs w:val="24"/>
          <w:lang w:val="es-ES_tradnl" w:eastAsia="es-ES"/>
        </w:rPr>
        <w:t>Ministerio de Minas y Energía</w:t>
      </w:r>
    </w:p>
    <w:p w14:paraId="1359E799" w14:textId="77777777" w:rsidR="005C1BCA" w:rsidRPr="005C1BCA" w:rsidRDefault="005C1BCA" w:rsidP="00C513B6">
      <w:pPr>
        <w:rPr>
          <w:snapToGrid w:val="0"/>
          <w:lang w:val="es-ES_tradnl" w:eastAsia="es-ES"/>
        </w:rPr>
      </w:pPr>
    </w:p>
    <w:p w14:paraId="7B1697F8" w14:textId="77777777" w:rsidR="005C1BCA" w:rsidRPr="00982158" w:rsidRDefault="005C1BCA" w:rsidP="00C513B6">
      <w:pPr>
        <w:jc w:val="center"/>
        <w:rPr>
          <w:b/>
          <w:bCs/>
          <w:snapToGrid w:val="0"/>
          <w:szCs w:val="24"/>
          <w:lang w:val="es-ES_tradnl" w:eastAsia="es-ES"/>
        </w:rPr>
      </w:pPr>
      <w:r w:rsidRPr="00982158">
        <w:rPr>
          <w:b/>
          <w:bCs/>
          <w:snapToGrid w:val="0"/>
          <w:szCs w:val="24"/>
          <w:lang w:val="es-ES_tradnl" w:eastAsia="es-ES"/>
        </w:rPr>
        <w:t>COMISIÓN DE REGULACIÓN DE ENERGÍA Y GAS</w:t>
      </w:r>
    </w:p>
    <w:p w14:paraId="67DC5C57" w14:textId="77777777" w:rsidR="005C1BCA" w:rsidRPr="005C1BCA" w:rsidRDefault="005C1BCA" w:rsidP="00C513B6">
      <w:pPr>
        <w:rPr>
          <w:snapToGrid w:val="0"/>
          <w:lang w:val="es-ES_tradnl" w:eastAsia="es-ES"/>
        </w:rPr>
      </w:pPr>
    </w:p>
    <w:p w14:paraId="74D50832" w14:textId="77777777" w:rsidR="00650CBD" w:rsidRDefault="00650CBD" w:rsidP="00C513B6">
      <w:pPr>
        <w:jc w:val="center"/>
        <w:rPr>
          <w:b/>
          <w:bCs/>
          <w:snapToGrid w:val="0"/>
          <w:lang w:val="es-ES" w:eastAsia="es-ES"/>
        </w:rPr>
      </w:pPr>
    </w:p>
    <w:p w14:paraId="0BCF6002" w14:textId="3BA7F65F" w:rsidR="005C1BCA" w:rsidRPr="0086374B" w:rsidRDefault="005C1BCA" w:rsidP="00C513B6">
      <w:pPr>
        <w:jc w:val="center"/>
        <w:rPr>
          <w:b/>
          <w:bCs/>
          <w:snapToGrid w:val="0"/>
          <w:lang w:val="es-ES" w:eastAsia="es-ES"/>
        </w:rPr>
      </w:pPr>
      <w:r w:rsidRPr="3D500F87">
        <w:rPr>
          <w:b/>
          <w:bCs/>
          <w:snapToGrid w:val="0"/>
          <w:lang w:val="es-ES" w:eastAsia="es-ES"/>
        </w:rPr>
        <w:t xml:space="preserve">RESOLUCIÓN No. </w:t>
      </w:r>
      <w:r w:rsidR="004C2A3A">
        <w:rPr>
          <w:b/>
          <w:bCs/>
          <w:snapToGrid w:val="0"/>
          <w:sz w:val="32"/>
          <w:szCs w:val="32"/>
          <w:lang w:val="es-ES" w:eastAsia="es-ES"/>
        </w:rPr>
        <w:t>502 031</w:t>
      </w:r>
    </w:p>
    <w:p w14:paraId="2DA2DD82" w14:textId="77777777" w:rsidR="005C1BCA" w:rsidRPr="005C1BCA" w:rsidRDefault="005C1BCA" w:rsidP="00C513B6">
      <w:pPr>
        <w:tabs>
          <w:tab w:val="left" w:pos="0"/>
          <w:tab w:val="right" w:pos="9356"/>
        </w:tabs>
        <w:spacing w:after="0"/>
        <w:jc w:val="center"/>
        <w:rPr>
          <w:rFonts w:eastAsia="Times New Roman" w:cs="Arial"/>
          <w:b/>
          <w:snapToGrid w:val="0"/>
          <w:color w:val="000000"/>
          <w:szCs w:val="24"/>
          <w:lang w:val="es-ES_tradnl" w:eastAsia="es-ES"/>
        </w:rPr>
      </w:pPr>
    </w:p>
    <w:p w14:paraId="5C188138" w14:textId="5C52AA7D" w:rsidR="005C1BCA" w:rsidRPr="004C2A3A" w:rsidRDefault="005C1BCA" w:rsidP="00C513B6">
      <w:pPr>
        <w:jc w:val="center"/>
        <w:rPr>
          <w:b/>
          <w:bCs/>
          <w:snapToGrid w:val="0"/>
          <w:sz w:val="28"/>
          <w:szCs w:val="28"/>
          <w:lang w:val="es-ES" w:eastAsia="es-ES"/>
        </w:rPr>
      </w:pPr>
      <w:r w:rsidRPr="004C2A3A">
        <w:rPr>
          <w:b/>
          <w:bCs/>
          <w:snapToGrid w:val="0"/>
          <w:sz w:val="28"/>
          <w:szCs w:val="28"/>
          <w:lang w:val="es-ES" w:eastAsia="es-ES"/>
        </w:rPr>
        <w:t>(</w:t>
      </w:r>
      <w:r w:rsidR="004C2A3A" w:rsidRPr="004C2A3A">
        <w:rPr>
          <w:b/>
          <w:bCs/>
          <w:snapToGrid w:val="0"/>
          <w:sz w:val="28"/>
          <w:szCs w:val="28"/>
          <w:lang w:val="es-ES" w:eastAsia="es-ES"/>
        </w:rPr>
        <w:t>17 ABR. 2023</w:t>
      </w:r>
      <w:r w:rsidRPr="004C2A3A">
        <w:rPr>
          <w:b/>
          <w:bCs/>
          <w:snapToGrid w:val="0"/>
          <w:sz w:val="28"/>
          <w:szCs w:val="28"/>
          <w:lang w:val="es-ES" w:eastAsia="es-ES"/>
        </w:rPr>
        <w:t>)</w:t>
      </w:r>
    </w:p>
    <w:p w14:paraId="61B9F9AF" w14:textId="77777777" w:rsidR="00650CBD" w:rsidRDefault="00650CBD" w:rsidP="00C513B6">
      <w:pPr>
        <w:spacing w:after="0"/>
        <w:jc w:val="center"/>
        <w:rPr>
          <w:rFonts w:eastAsia="Times New Roman" w:cs="Times New Roman"/>
          <w:szCs w:val="24"/>
          <w:lang w:val="es-ES" w:eastAsia="es-ES"/>
        </w:rPr>
      </w:pPr>
    </w:p>
    <w:p w14:paraId="5FC0746B" w14:textId="26A24984" w:rsidR="581A1D86" w:rsidRDefault="581A1D86" w:rsidP="00C513B6">
      <w:pPr>
        <w:spacing w:after="0"/>
        <w:ind w:right="51"/>
        <w:jc w:val="center"/>
        <w:rPr>
          <w:rFonts w:eastAsia="Bookman Old Style" w:cs="Bookman Old Style"/>
          <w:szCs w:val="24"/>
          <w:lang w:val="es-ES"/>
        </w:rPr>
      </w:pPr>
      <w:r w:rsidRPr="64E800C5">
        <w:rPr>
          <w:rFonts w:eastAsia="Bookman Old Style" w:cs="Bookman Old Style"/>
          <w:color w:val="000000" w:themeColor="text1"/>
          <w:szCs w:val="24"/>
          <w:lang w:val="es-ES"/>
        </w:rPr>
        <w:t xml:space="preserve">Por la cual se oficializan los flujos de ingresos anuales para remunerar la inversión y los gastos de AOM del proyecto IPAT Ampliación de la capacidad </w:t>
      </w:r>
      <w:r w:rsidR="00C513B6">
        <w:rPr>
          <w:rFonts w:eastAsia="Bookman Old Style" w:cs="Bookman Old Style"/>
          <w:color w:val="000000" w:themeColor="text1"/>
          <w:szCs w:val="24"/>
          <w:lang w:val="es-ES"/>
        </w:rPr>
        <w:br/>
      </w:r>
      <w:r w:rsidRPr="64E800C5">
        <w:rPr>
          <w:rFonts w:eastAsia="Bookman Old Style" w:cs="Bookman Old Style"/>
          <w:color w:val="000000" w:themeColor="text1"/>
          <w:szCs w:val="24"/>
          <w:lang w:val="es-ES"/>
        </w:rPr>
        <w:t xml:space="preserve">de transporte ramal Jamundí - Valle del Cauca de </w:t>
      </w:r>
      <w:r w:rsidR="00E71794">
        <w:rPr>
          <w:rFonts w:eastAsia="Bookman Old Style" w:cs="Bookman Old Style"/>
          <w:color w:val="000000" w:themeColor="text1"/>
          <w:szCs w:val="24"/>
          <w:lang w:val="es-ES"/>
        </w:rPr>
        <w:t xml:space="preserve">la </w:t>
      </w:r>
      <w:r w:rsidRPr="64E800C5">
        <w:rPr>
          <w:rFonts w:eastAsia="Bookman Old Style" w:cs="Bookman Old Style"/>
          <w:color w:val="000000" w:themeColor="text1"/>
          <w:szCs w:val="24"/>
          <w:lang w:val="es-ES"/>
        </w:rPr>
        <w:t>TRANSPORTADORA DE GAS INTERNACIONAL S.A. E.S.P.</w:t>
      </w:r>
    </w:p>
    <w:p w14:paraId="446289C8" w14:textId="516DEB79" w:rsidR="3D500F87" w:rsidRPr="000D3140" w:rsidRDefault="3D500F87" w:rsidP="00C513B6">
      <w:pPr>
        <w:spacing w:after="0"/>
        <w:jc w:val="center"/>
        <w:rPr>
          <w:rFonts w:eastAsia="Times New Roman" w:cs="Times New Roman"/>
          <w:szCs w:val="24"/>
          <w:lang w:val="es-ES" w:eastAsia="es-ES"/>
        </w:rPr>
      </w:pPr>
    </w:p>
    <w:p w14:paraId="10A25076" w14:textId="77777777" w:rsidR="00676D84" w:rsidRPr="000D3140" w:rsidRDefault="00676D84" w:rsidP="00C513B6">
      <w:pPr>
        <w:spacing w:after="0"/>
        <w:jc w:val="center"/>
        <w:rPr>
          <w:rFonts w:eastAsia="Times New Roman" w:cs="Times New Roman"/>
          <w:szCs w:val="24"/>
          <w:lang w:val="es-ES" w:eastAsia="es-ES"/>
        </w:rPr>
      </w:pPr>
    </w:p>
    <w:p w14:paraId="12FE27EB" w14:textId="77777777" w:rsidR="005C1BCA" w:rsidRPr="005C1BCA" w:rsidRDefault="005C1BCA" w:rsidP="00C513B6">
      <w:pPr>
        <w:spacing w:after="0"/>
        <w:ind w:right="51"/>
        <w:jc w:val="center"/>
        <w:rPr>
          <w:rFonts w:eastAsia="Times New Roman" w:cs="Times New Roman"/>
          <w:b/>
          <w:szCs w:val="24"/>
          <w:lang w:val="es-ES" w:eastAsia="es-ES"/>
        </w:rPr>
      </w:pPr>
      <w:r w:rsidRPr="005C1BCA">
        <w:rPr>
          <w:rFonts w:eastAsia="Times New Roman" w:cs="Times New Roman"/>
          <w:b/>
          <w:szCs w:val="24"/>
          <w:lang w:val="es-ES" w:eastAsia="es-ES"/>
        </w:rPr>
        <w:t>LA COMISIÓN DE REGULACIÓN DE ENERGÍA Y GAS</w:t>
      </w:r>
    </w:p>
    <w:p w14:paraId="3B4E0C2F" w14:textId="77777777" w:rsidR="005C1BCA" w:rsidRPr="005C1BCA" w:rsidRDefault="005C1BCA" w:rsidP="00C513B6">
      <w:pPr>
        <w:spacing w:after="0"/>
        <w:jc w:val="center"/>
        <w:rPr>
          <w:rFonts w:eastAsia="Times New Roman" w:cs="Times New Roman"/>
          <w:szCs w:val="24"/>
          <w:lang w:val="es-ES" w:eastAsia="es-ES"/>
        </w:rPr>
      </w:pPr>
    </w:p>
    <w:p w14:paraId="042BC6AF" w14:textId="35E6BB9E" w:rsidR="005C1BCA" w:rsidRPr="005C1BCA" w:rsidRDefault="00A51D7A" w:rsidP="00C513B6">
      <w:pPr>
        <w:spacing w:after="0"/>
        <w:ind w:right="51"/>
        <w:jc w:val="center"/>
        <w:rPr>
          <w:rFonts w:eastAsia="Times New Roman" w:cs="Arial"/>
          <w:bCs/>
          <w:spacing w:val="-3"/>
          <w:szCs w:val="24"/>
          <w:lang w:val="es-ES" w:eastAsia="es-ES"/>
        </w:rPr>
      </w:pPr>
      <w:r w:rsidRPr="00A51D7A">
        <w:rPr>
          <w:rFonts w:eastAsia="Times New Roman" w:cs="Arial"/>
          <w:color w:val="000000"/>
          <w:szCs w:val="24"/>
          <w:lang w:val="es-ES" w:eastAsia="es-ES"/>
        </w:rPr>
        <w:t>En ejercicio de sus atribuciones legales, en especial de las conferidas por la Ley 142 de 1994, y en desarrollo de los Decret</w:t>
      </w:r>
      <w:r w:rsidRPr="004F2853">
        <w:rPr>
          <w:rFonts w:eastAsia="Times New Roman" w:cs="Arial"/>
          <w:color w:val="000000"/>
          <w:szCs w:val="24"/>
          <w:lang w:val="es-ES" w:eastAsia="es-ES"/>
        </w:rPr>
        <w:t xml:space="preserve">os </w:t>
      </w:r>
      <w:r w:rsidR="005E33B1" w:rsidRPr="004F2853">
        <w:rPr>
          <w:rFonts w:eastAsia="Times New Roman" w:cs="Arial"/>
          <w:color w:val="000000"/>
          <w:szCs w:val="24"/>
          <w:lang w:val="es-ES" w:eastAsia="es-ES"/>
        </w:rPr>
        <w:t>1524 y</w:t>
      </w:r>
      <w:r w:rsidR="005E33B1">
        <w:rPr>
          <w:rFonts w:eastAsia="Times New Roman" w:cs="Arial"/>
          <w:color w:val="000000"/>
          <w:szCs w:val="24"/>
          <w:lang w:val="es-ES" w:eastAsia="es-ES"/>
        </w:rPr>
        <w:t xml:space="preserve"> </w:t>
      </w:r>
      <w:r w:rsidRPr="00A51D7A">
        <w:rPr>
          <w:rFonts w:eastAsia="Times New Roman" w:cs="Arial"/>
          <w:color w:val="000000"/>
          <w:szCs w:val="24"/>
          <w:lang w:val="es-ES" w:eastAsia="es-ES"/>
        </w:rPr>
        <w:t>2253 de 1994,</w:t>
      </w:r>
      <w:r w:rsidR="005E33B1">
        <w:rPr>
          <w:rFonts w:eastAsia="Times New Roman" w:cs="Arial"/>
          <w:color w:val="000000"/>
          <w:szCs w:val="24"/>
          <w:lang w:val="es-ES" w:eastAsia="es-ES"/>
        </w:rPr>
        <w:t xml:space="preserve"> y</w:t>
      </w:r>
      <w:r w:rsidRPr="00A51D7A">
        <w:rPr>
          <w:rFonts w:eastAsia="Times New Roman" w:cs="Arial"/>
          <w:color w:val="000000"/>
          <w:szCs w:val="24"/>
          <w:lang w:val="es-ES" w:eastAsia="es-ES"/>
        </w:rPr>
        <w:t xml:space="preserve"> 1260 de 2013, y</w:t>
      </w:r>
    </w:p>
    <w:p w14:paraId="1E71ED43" w14:textId="77777777" w:rsidR="005C1BCA" w:rsidRPr="00C513B6" w:rsidRDefault="005C1BCA" w:rsidP="00C513B6">
      <w:pPr>
        <w:spacing w:after="0"/>
        <w:jc w:val="center"/>
        <w:rPr>
          <w:rFonts w:eastAsia="Times New Roman" w:cs="Times New Roman"/>
          <w:szCs w:val="24"/>
          <w:lang w:val="es-ES" w:eastAsia="es-ES"/>
        </w:rPr>
      </w:pPr>
    </w:p>
    <w:p w14:paraId="35A93CE6" w14:textId="77777777" w:rsidR="000D3140" w:rsidRPr="00C513B6" w:rsidRDefault="000D3140" w:rsidP="00C513B6">
      <w:pPr>
        <w:spacing w:after="0"/>
        <w:jc w:val="center"/>
        <w:rPr>
          <w:rFonts w:eastAsia="Times New Roman" w:cs="Times New Roman"/>
          <w:szCs w:val="24"/>
          <w:lang w:val="es-ES" w:eastAsia="es-ES"/>
        </w:rPr>
      </w:pPr>
    </w:p>
    <w:p w14:paraId="13A7D3F9" w14:textId="18AB3817" w:rsidR="00A33677" w:rsidRPr="00CE515C" w:rsidRDefault="005C1BCA" w:rsidP="00C513B6">
      <w:pPr>
        <w:spacing w:after="0"/>
        <w:jc w:val="center"/>
        <w:rPr>
          <w:rFonts w:eastAsia="Times New Roman" w:cs="Arial"/>
          <w:b/>
          <w:color w:val="000000"/>
          <w:szCs w:val="24"/>
          <w:lang w:val="es-ES" w:eastAsia="es-ES"/>
        </w:rPr>
      </w:pPr>
      <w:r w:rsidRPr="005C1BCA">
        <w:rPr>
          <w:rFonts w:eastAsia="Times New Roman" w:cs="Arial"/>
          <w:b/>
          <w:color w:val="000000"/>
          <w:szCs w:val="24"/>
          <w:lang w:val="es-ES" w:eastAsia="es-ES"/>
        </w:rPr>
        <w:t xml:space="preserve">C O N S I D E R A N D </w:t>
      </w:r>
      <w:r w:rsidR="00976BCC" w:rsidRPr="005C1BCA">
        <w:rPr>
          <w:rFonts w:eastAsia="Times New Roman" w:cs="Arial"/>
          <w:b/>
          <w:color w:val="000000"/>
          <w:szCs w:val="24"/>
          <w:lang w:val="es-ES" w:eastAsia="es-ES"/>
        </w:rPr>
        <w:t xml:space="preserve">O </w:t>
      </w:r>
      <w:r w:rsidR="00976BCC">
        <w:rPr>
          <w:rFonts w:eastAsia="Times New Roman" w:cs="Arial"/>
          <w:b/>
          <w:color w:val="000000"/>
          <w:szCs w:val="24"/>
          <w:lang w:val="es-ES" w:eastAsia="es-ES"/>
        </w:rPr>
        <w:t xml:space="preserve"> </w:t>
      </w:r>
      <w:r w:rsidR="00976BCC" w:rsidRPr="005C1BCA">
        <w:rPr>
          <w:rFonts w:eastAsia="Times New Roman" w:cs="Arial"/>
          <w:b/>
          <w:color w:val="000000"/>
          <w:szCs w:val="24"/>
          <w:lang w:val="es-ES" w:eastAsia="es-ES"/>
        </w:rPr>
        <w:t>Q</w:t>
      </w:r>
      <w:r w:rsidRPr="005C1BCA">
        <w:rPr>
          <w:rFonts w:eastAsia="Times New Roman" w:cs="Arial"/>
          <w:b/>
          <w:color w:val="000000"/>
          <w:szCs w:val="24"/>
          <w:lang w:val="es-ES" w:eastAsia="es-ES"/>
        </w:rPr>
        <w:t xml:space="preserve"> U E:</w:t>
      </w:r>
    </w:p>
    <w:p w14:paraId="287BA684" w14:textId="77777777" w:rsidR="00A33677" w:rsidRDefault="00A33677" w:rsidP="00C513B6">
      <w:pPr>
        <w:pStyle w:val="Textoindependiente2"/>
        <w:spacing w:after="0" w:line="240" w:lineRule="auto"/>
        <w:ind w:left="0" w:right="-142"/>
        <w:jc w:val="both"/>
        <w:rPr>
          <w:rFonts w:ascii="Bookman Old Style" w:hAnsi="Bookman Old Style"/>
          <w:b/>
        </w:rPr>
      </w:pPr>
    </w:p>
    <w:p w14:paraId="0E97CDDC" w14:textId="77777777" w:rsidR="00D93DCA" w:rsidRDefault="00D93DCA" w:rsidP="00C513B6">
      <w:pPr>
        <w:pStyle w:val="Textoindependiente2"/>
        <w:spacing w:after="0" w:line="240" w:lineRule="auto"/>
        <w:ind w:left="0" w:right="-142"/>
        <w:jc w:val="both"/>
        <w:rPr>
          <w:rFonts w:ascii="Bookman Old Style" w:hAnsi="Bookman Old Style"/>
          <w:b/>
        </w:rPr>
      </w:pPr>
    </w:p>
    <w:p w14:paraId="64B497EB" w14:textId="510A74C0" w:rsidR="25F852F4" w:rsidRDefault="25F852F4" w:rsidP="58A4698C">
      <w:pPr>
        <w:widowControl w:val="0"/>
        <w:spacing w:after="0"/>
        <w:jc w:val="both"/>
        <w:rPr>
          <w:rFonts w:eastAsia="Bookman Old Style" w:cs="Bookman Old Style"/>
          <w:color w:val="000000" w:themeColor="text1"/>
          <w:szCs w:val="24"/>
          <w:lang w:val="es-ES"/>
        </w:rPr>
      </w:pPr>
      <w:r w:rsidRPr="58A4698C">
        <w:rPr>
          <w:rFonts w:eastAsia="Bookman Old Style" w:cs="Bookman Old Style"/>
          <w:color w:val="000000" w:themeColor="text1"/>
          <w:szCs w:val="24"/>
        </w:rPr>
        <w:t xml:space="preserve">De conformidad con lo establecido en el artículo 14.28 de la Ley 142 de 1994, el servicio público domiciliario de gas combustible </w:t>
      </w:r>
      <w:r w:rsidRPr="58A4698C">
        <w:rPr>
          <w:rFonts w:eastAsia="Bookman Old Style" w:cs="Bookman Old Style"/>
          <w:i/>
          <w:iCs/>
          <w:color w:val="000000" w:themeColor="text1"/>
          <w:szCs w:val="24"/>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58A4698C">
        <w:rPr>
          <w:rFonts w:eastAsia="Bookman Old Style" w:cs="Bookman Old Style"/>
          <w:color w:val="000000" w:themeColor="text1"/>
          <w:szCs w:val="24"/>
        </w:rPr>
        <w:t>.</w:t>
      </w:r>
    </w:p>
    <w:p w14:paraId="478B2A49" w14:textId="3B03A65F" w:rsidR="58A4698C" w:rsidRDefault="58A4698C" w:rsidP="58A4698C">
      <w:pPr>
        <w:widowControl w:val="0"/>
        <w:spacing w:after="0"/>
        <w:jc w:val="both"/>
        <w:rPr>
          <w:rFonts w:eastAsia="Bookman Old Style" w:cs="Bookman Old Style"/>
          <w:color w:val="000000" w:themeColor="text1"/>
          <w:szCs w:val="24"/>
          <w:lang w:val="es-ES"/>
        </w:rPr>
      </w:pPr>
    </w:p>
    <w:p w14:paraId="0356C525" w14:textId="246ED21A" w:rsidR="25F852F4" w:rsidRDefault="25F852F4" w:rsidP="58A4698C">
      <w:pPr>
        <w:widowControl w:val="0"/>
        <w:spacing w:after="0"/>
        <w:jc w:val="both"/>
        <w:rPr>
          <w:rFonts w:eastAsia="Bookman Old Style" w:cs="Bookman Old Style"/>
          <w:color w:val="000000" w:themeColor="text1"/>
          <w:szCs w:val="24"/>
          <w:lang w:val="es-ES"/>
        </w:rPr>
      </w:pPr>
      <w:r w:rsidRPr="58A4698C">
        <w:rPr>
          <w:rFonts w:eastAsia="Bookman Old Style" w:cs="Bookman Old Style"/>
          <w:color w:val="000000" w:themeColor="text1"/>
          <w:szCs w:val="24"/>
        </w:rPr>
        <w:t>Según lo dispuesto por el artículo 28 de la Ley 142 de 1994, la construcción y operación de redes para el transporte de gas, así como el señalamiento de las tarifas por su uso, se regirán exclusivamente por dicha Ley.</w:t>
      </w:r>
    </w:p>
    <w:p w14:paraId="05BD2D3A" w14:textId="506380F8" w:rsidR="58A4698C" w:rsidRDefault="58A4698C" w:rsidP="58A4698C">
      <w:pPr>
        <w:widowControl w:val="0"/>
        <w:spacing w:after="0"/>
        <w:jc w:val="both"/>
        <w:rPr>
          <w:rFonts w:eastAsia="Bookman Old Style" w:cs="Bookman Old Style"/>
          <w:color w:val="000000" w:themeColor="text1"/>
          <w:szCs w:val="24"/>
          <w:lang w:val="es-ES"/>
        </w:rPr>
      </w:pPr>
    </w:p>
    <w:p w14:paraId="6E196D90" w14:textId="7DBB4005" w:rsidR="25F852F4" w:rsidRDefault="25F852F4" w:rsidP="58A4698C">
      <w:pPr>
        <w:widowControl w:val="0"/>
        <w:spacing w:after="0"/>
        <w:jc w:val="both"/>
        <w:rPr>
          <w:rFonts w:eastAsia="Bookman Old Style" w:cs="Bookman Old Style"/>
          <w:color w:val="000000" w:themeColor="text1"/>
          <w:szCs w:val="24"/>
        </w:rPr>
      </w:pPr>
      <w:r w:rsidRPr="58A4698C">
        <w:rPr>
          <w:rFonts w:eastAsia="Bookman Old Style" w:cs="Bookman Old Style"/>
          <w:color w:val="000000" w:themeColor="text1"/>
          <w:szCs w:val="24"/>
        </w:rPr>
        <w:t>El artículo 73.11 de la Ley 142 de 1994 atribuyó a la Comisión de Regulación de Energía y Gas, CREG, la competencia para establecer las fórmulas para la fijación de las tarifas del servicio público domiciliario de gas combustible.</w:t>
      </w:r>
    </w:p>
    <w:p w14:paraId="1393E892" w14:textId="2C4DDA1E" w:rsidR="008F03A3" w:rsidRDefault="008F03A3" w:rsidP="58A4698C">
      <w:pPr>
        <w:widowControl w:val="0"/>
        <w:spacing w:after="0"/>
        <w:jc w:val="both"/>
        <w:rPr>
          <w:rFonts w:eastAsia="Bookman Old Style" w:cs="Bookman Old Style"/>
          <w:color w:val="000000" w:themeColor="text1"/>
          <w:szCs w:val="24"/>
        </w:rPr>
      </w:pPr>
    </w:p>
    <w:p w14:paraId="41B589C3" w14:textId="6C72E803" w:rsidR="008F03A3" w:rsidRDefault="008F03A3" w:rsidP="58A4698C">
      <w:pPr>
        <w:widowControl w:val="0"/>
        <w:spacing w:after="0"/>
        <w:jc w:val="both"/>
        <w:rPr>
          <w:rFonts w:eastAsia="Bookman Old Style" w:cs="Bookman Old Style"/>
          <w:color w:val="000000" w:themeColor="text1"/>
          <w:szCs w:val="24"/>
          <w:lang w:val="es-ES"/>
        </w:rPr>
      </w:pPr>
      <w:r w:rsidRPr="2626B8C9">
        <w:rPr>
          <w:rFonts w:eastAsia="Bookman Old Style" w:cs="Bookman Old Style"/>
          <w:color w:val="000000" w:themeColor="text1"/>
          <w:szCs w:val="24"/>
          <w:lang w:val="es-ES"/>
        </w:rPr>
        <w:t>El artículo 109 de la Ley 142 de 1994, en relación con las facultades con las que cuenta la Comisión dentro del ejercicio de las actuaciones administrativas que se adelanten en materia regulatoria, ha previsto que, al practicar pruebas, las funciones que corresponderían al juez en un proceso civil las cumplirá la autoridad, o la persona que acuerden la autoridad y el interesado.</w:t>
      </w:r>
    </w:p>
    <w:p w14:paraId="04BF44B3" w14:textId="462ED5A0" w:rsidR="58A4698C" w:rsidRDefault="58A4698C" w:rsidP="58A4698C">
      <w:pPr>
        <w:tabs>
          <w:tab w:val="left" w:pos="144"/>
          <w:tab w:val="left" w:pos="864"/>
          <w:tab w:val="left" w:pos="1584"/>
          <w:tab w:val="left" w:pos="2304"/>
          <w:tab w:val="left" w:pos="3024"/>
          <w:tab w:val="left" w:pos="3744"/>
          <w:tab w:val="left" w:pos="4464"/>
          <w:tab w:val="left" w:pos="5184"/>
          <w:tab w:val="left" w:pos="5904"/>
          <w:tab w:val="left" w:pos="6624"/>
          <w:tab w:val="left" w:pos="7200"/>
        </w:tabs>
        <w:spacing w:after="0"/>
        <w:jc w:val="both"/>
        <w:rPr>
          <w:rFonts w:eastAsia="Bookman Old Style" w:cs="Bookman Old Style"/>
          <w:color w:val="000000" w:themeColor="text1"/>
          <w:szCs w:val="24"/>
          <w:lang w:val="es-ES"/>
        </w:rPr>
      </w:pPr>
    </w:p>
    <w:p w14:paraId="61F85797" w14:textId="4FAA5CC5" w:rsidR="25F852F4" w:rsidRDefault="00976BCC" w:rsidP="58A4698C">
      <w:pPr>
        <w:spacing w:line="257" w:lineRule="auto"/>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En l</w:t>
      </w:r>
      <w:r w:rsidR="25F852F4" w:rsidRPr="58A4698C">
        <w:rPr>
          <w:rFonts w:eastAsia="Bookman Old Style" w:cs="Bookman Old Style"/>
          <w:color w:val="000000" w:themeColor="text1"/>
          <w:szCs w:val="24"/>
          <w:lang w:val="es-ES"/>
        </w:rPr>
        <w:t xml:space="preserve">a Resolución CREG 102 008 de 2022, la Comisión definió la regulación asociada con los procedimientos que se deben seguir para ejecutar proyectos del </w:t>
      </w:r>
      <w:r w:rsidR="25F852F4" w:rsidRPr="58A4698C">
        <w:rPr>
          <w:rFonts w:eastAsia="Bookman Old Style" w:cs="Bookman Old Style"/>
          <w:color w:val="000000" w:themeColor="text1"/>
          <w:szCs w:val="24"/>
          <w:lang w:val="es-ES"/>
        </w:rPr>
        <w:lastRenderedPageBreak/>
        <w:t>plan de abastecimiento de gas natural adoptado por el Ministerio de Minas y Energía</w:t>
      </w:r>
      <w:r w:rsidR="00EE6D33">
        <w:rPr>
          <w:rFonts w:eastAsia="Bookman Old Style" w:cs="Bookman Old Style"/>
          <w:color w:val="000000" w:themeColor="text1"/>
          <w:szCs w:val="24"/>
          <w:lang w:val="es-ES"/>
        </w:rPr>
        <w:t xml:space="preserve">, y en </w:t>
      </w:r>
      <w:r w:rsidR="00160575">
        <w:rPr>
          <w:rFonts w:eastAsia="Bookman Old Style" w:cs="Bookman Old Style"/>
          <w:color w:val="000000" w:themeColor="text1"/>
          <w:szCs w:val="24"/>
          <w:lang w:val="es-ES"/>
        </w:rPr>
        <w:t xml:space="preserve">su </w:t>
      </w:r>
      <w:r w:rsidR="00EE6D33">
        <w:rPr>
          <w:rFonts w:eastAsia="Bookman Old Style" w:cs="Bookman Old Style"/>
          <w:color w:val="000000" w:themeColor="text1"/>
          <w:szCs w:val="24"/>
          <w:lang w:val="es-ES"/>
        </w:rPr>
        <w:t xml:space="preserve">artículo 4, </w:t>
      </w:r>
      <w:r w:rsidR="25F852F4" w:rsidRPr="004F2853">
        <w:rPr>
          <w:rFonts w:eastAsia="Bookman Old Style" w:cs="Bookman Old Style"/>
          <w:color w:val="000000" w:themeColor="text1"/>
          <w:szCs w:val="24"/>
          <w:lang w:val="es-ES"/>
        </w:rPr>
        <w:t>se establec</w:t>
      </w:r>
      <w:r w:rsidR="00A57890">
        <w:rPr>
          <w:rFonts w:eastAsia="Bookman Old Style" w:cs="Bookman Old Style"/>
          <w:color w:val="000000" w:themeColor="text1"/>
          <w:szCs w:val="24"/>
          <w:lang w:val="es-ES"/>
        </w:rPr>
        <w:t>ieron</w:t>
      </w:r>
      <w:r w:rsidR="25F852F4" w:rsidRPr="004F2853">
        <w:rPr>
          <w:rFonts w:eastAsia="Bookman Old Style" w:cs="Bookman Old Style"/>
          <w:color w:val="000000" w:themeColor="text1"/>
          <w:szCs w:val="24"/>
          <w:lang w:val="es-ES"/>
        </w:rPr>
        <w:t xml:space="preserve"> las disposiciones relacionadas con la ejecución de inversiones en proyectos prioritarios del plan de abastecimiento en un sistema de transporte, IPAT, por parte del transportador incumbente.</w:t>
      </w:r>
    </w:p>
    <w:p w14:paraId="48AC735A" w14:textId="7107B7F5" w:rsidR="58A4698C" w:rsidRDefault="58A4698C" w:rsidP="58A4698C">
      <w:pPr>
        <w:spacing w:line="257" w:lineRule="auto"/>
        <w:jc w:val="both"/>
        <w:rPr>
          <w:rFonts w:eastAsia="Bookman Old Style" w:cs="Bookman Old Style"/>
          <w:color w:val="000000" w:themeColor="text1"/>
          <w:szCs w:val="24"/>
          <w:lang w:val="es-ES"/>
        </w:rPr>
      </w:pPr>
    </w:p>
    <w:p w14:paraId="3942C4DF" w14:textId="0B86B5B0" w:rsidR="25F852F4" w:rsidRDefault="00976BCC" w:rsidP="58A4698C">
      <w:pPr>
        <w:spacing w:line="257" w:lineRule="auto"/>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Por medio de l</w:t>
      </w:r>
      <w:r w:rsidR="25F852F4" w:rsidRPr="58A4698C">
        <w:rPr>
          <w:rFonts w:eastAsia="Bookman Old Style" w:cs="Bookman Old Style"/>
          <w:color w:val="000000" w:themeColor="text1"/>
          <w:szCs w:val="24"/>
          <w:lang w:val="es-ES"/>
        </w:rPr>
        <w:t>a Resolución 40304 de 2020</w:t>
      </w:r>
      <w:r>
        <w:rPr>
          <w:rFonts w:eastAsia="Bookman Old Style" w:cs="Bookman Old Style"/>
          <w:color w:val="000000" w:themeColor="text1"/>
          <w:szCs w:val="24"/>
          <w:lang w:val="es-ES"/>
        </w:rPr>
        <w:t>,</w:t>
      </w:r>
      <w:r w:rsidR="25F852F4" w:rsidRPr="58A4698C">
        <w:rPr>
          <w:rFonts w:eastAsia="Bookman Old Style" w:cs="Bookman Old Style"/>
          <w:color w:val="000000" w:themeColor="text1"/>
          <w:szCs w:val="24"/>
          <w:lang w:val="es-ES"/>
        </w:rPr>
        <w:t xml:space="preserve"> el Ministerio de Minas y Energía adoptó el Plan de Abastecimiento de Gas Natural</w:t>
      </w:r>
      <w:r w:rsidR="00740C7C">
        <w:rPr>
          <w:rFonts w:eastAsia="Bookman Old Style" w:cs="Bookman Old Style"/>
          <w:color w:val="000000" w:themeColor="text1"/>
          <w:szCs w:val="24"/>
          <w:lang w:val="es-ES"/>
        </w:rPr>
        <w:t>, PAGN,</w:t>
      </w:r>
      <w:r w:rsidR="25F852F4" w:rsidRPr="58A4698C">
        <w:rPr>
          <w:rFonts w:eastAsia="Bookman Old Style" w:cs="Bookman Old Style"/>
          <w:color w:val="000000" w:themeColor="text1"/>
          <w:szCs w:val="24"/>
          <w:lang w:val="es-ES"/>
        </w:rPr>
        <w:t xml:space="preserve"> en atención a lo dispuesto en el Decreto 2345 de 2015. Esta resolución derogó la Resolución 40006 de 2017.</w:t>
      </w:r>
    </w:p>
    <w:p w14:paraId="764D45AF" w14:textId="01ECE40F" w:rsidR="58A4698C" w:rsidRDefault="58A4698C" w:rsidP="58A4698C">
      <w:pPr>
        <w:spacing w:line="257" w:lineRule="auto"/>
        <w:jc w:val="both"/>
        <w:rPr>
          <w:rFonts w:eastAsia="Bookman Old Style" w:cs="Bookman Old Style"/>
          <w:color w:val="000000" w:themeColor="text1"/>
          <w:szCs w:val="24"/>
          <w:lang w:val="es-ES"/>
        </w:rPr>
      </w:pPr>
    </w:p>
    <w:p w14:paraId="17A3BE26" w14:textId="28022405" w:rsidR="00E002EC" w:rsidRDefault="00E002EC" w:rsidP="00E002EC">
      <w:pPr>
        <w:spacing w:line="257" w:lineRule="auto"/>
        <w:jc w:val="both"/>
        <w:rPr>
          <w:rFonts w:eastAsiaTheme="minorEastAsia"/>
          <w:color w:val="000000" w:themeColor="text1"/>
          <w:szCs w:val="24"/>
          <w:lang w:val="es-ES" w:eastAsia="es-ES"/>
        </w:rPr>
      </w:pPr>
      <w:r>
        <w:rPr>
          <w:rFonts w:eastAsiaTheme="minorEastAsia"/>
          <w:color w:val="000000" w:themeColor="text1"/>
          <w:szCs w:val="24"/>
          <w:lang w:val="es-ES" w:eastAsia="es-ES"/>
        </w:rPr>
        <w:t xml:space="preserve">Mediante comunicación con radicado </w:t>
      </w:r>
      <w:r w:rsidR="00B7657D">
        <w:rPr>
          <w:rFonts w:eastAsiaTheme="minorEastAsia"/>
          <w:color w:val="000000" w:themeColor="text1"/>
          <w:szCs w:val="24"/>
          <w:lang w:val="es-ES" w:eastAsia="es-ES"/>
        </w:rPr>
        <w:t xml:space="preserve">CREG </w:t>
      </w:r>
      <w:r w:rsidR="00B7657D" w:rsidRPr="00BE4F52">
        <w:rPr>
          <w:rFonts w:eastAsiaTheme="minorEastAsia"/>
          <w:color w:val="000000" w:themeColor="text1"/>
          <w:szCs w:val="24"/>
          <w:lang w:val="es-ES" w:eastAsia="es-ES"/>
        </w:rPr>
        <w:t>E</w:t>
      </w:r>
      <w:r w:rsidR="00337958">
        <w:rPr>
          <w:rFonts w:eastAsiaTheme="minorEastAsia"/>
          <w:color w:val="000000" w:themeColor="text1"/>
          <w:szCs w:val="24"/>
          <w:lang w:val="es-ES" w:eastAsia="es-ES"/>
        </w:rPr>
        <w:t>-</w:t>
      </w:r>
      <w:r w:rsidR="00B7657D" w:rsidRPr="00BE4F52">
        <w:rPr>
          <w:rFonts w:eastAsiaTheme="minorEastAsia"/>
          <w:color w:val="000000" w:themeColor="text1"/>
          <w:szCs w:val="24"/>
          <w:lang w:val="es-ES" w:eastAsia="es-ES"/>
        </w:rPr>
        <w:t>2020</w:t>
      </w:r>
      <w:r w:rsidR="008A5CB0">
        <w:rPr>
          <w:rFonts w:eastAsiaTheme="minorEastAsia"/>
          <w:color w:val="000000" w:themeColor="text1"/>
          <w:szCs w:val="24"/>
          <w:lang w:val="es-ES" w:eastAsia="es-ES"/>
        </w:rPr>
        <w:t>-</w:t>
      </w:r>
      <w:r w:rsidR="00B7657D" w:rsidRPr="00BE4F52">
        <w:rPr>
          <w:rFonts w:eastAsiaTheme="minorEastAsia"/>
          <w:color w:val="000000" w:themeColor="text1"/>
          <w:szCs w:val="24"/>
          <w:lang w:val="es-ES" w:eastAsia="es-ES"/>
        </w:rPr>
        <w:t>014776</w:t>
      </w:r>
      <w:r w:rsidR="00B7657D">
        <w:rPr>
          <w:rFonts w:eastAsiaTheme="minorEastAsia"/>
          <w:color w:val="000000" w:themeColor="text1"/>
          <w:szCs w:val="24"/>
          <w:lang w:val="es-ES" w:eastAsia="es-ES"/>
        </w:rPr>
        <w:t xml:space="preserve"> </w:t>
      </w:r>
      <w:r>
        <w:rPr>
          <w:rFonts w:eastAsiaTheme="minorEastAsia"/>
          <w:color w:val="000000" w:themeColor="text1"/>
          <w:szCs w:val="24"/>
          <w:lang w:val="es-ES" w:eastAsia="es-ES"/>
        </w:rPr>
        <w:t xml:space="preserve">del 1 de diciembre de 2020, la </w:t>
      </w:r>
      <w:r w:rsidRPr="00E11A70">
        <w:rPr>
          <w:rFonts w:eastAsiaTheme="minorEastAsia"/>
          <w:color w:val="000000" w:themeColor="text1"/>
          <w:szCs w:val="24"/>
          <w:lang w:val="es-ES" w:eastAsia="es-ES"/>
        </w:rPr>
        <w:t xml:space="preserve">Unidad de Planeación </w:t>
      </w:r>
      <w:r w:rsidR="001D47B6" w:rsidRPr="00E11A70">
        <w:rPr>
          <w:rFonts w:eastAsiaTheme="minorEastAsia"/>
          <w:color w:val="000000" w:themeColor="text1"/>
          <w:szCs w:val="24"/>
          <w:lang w:val="es-ES" w:eastAsia="es-ES"/>
        </w:rPr>
        <w:t>Minero</w:t>
      </w:r>
      <w:r w:rsidR="001D47B6">
        <w:rPr>
          <w:rFonts w:eastAsiaTheme="minorEastAsia"/>
          <w:color w:val="000000" w:themeColor="text1"/>
          <w:szCs w:val="24"/>
          <w:lang w:val="es-ES" w:eastAsia="es-ES"/>
        </w:rPr>
        <w:t>-Energética</w:t>
      </w:r>
      <w:r w:rsidRPr="00E11A70">
        <w:rPr>
          <w:rFonts w:eastAsiaTheme="minorEastAsia"/>
          <w:color w:val="000000" w:themeColor="text1"/>
          <w:szCs w:val="24"/>
          <w:lang w:val="es-ES" w:eastAsia="es-ES"/>
        </w:rPr>
        <w:t xml:space="preserve">, UPME, </w:t>
      </w:r>
      <w:r>
        <w:rPr>
          <w:rFonts w:eastAsiaTheme="minorEastAsia"/>
          <w:color w:val="000000" w:themeColor="text1"/>
          <w:szCs w:val="24"/>
          <w:lang w:val="es-ES" w:eastAsia="es-ES"/>
        </w:rPr>
        <w:t xml:space="preserve">remitió a la Comisión la información relacionada con </w:t>
      </w:r>
      <w:r w:rsidRPr="00677871">
        <w:rPr>
          <w:rFonts w:eastAsiaTheme="minorEastAsia"/>
          <w:color w:val="000000" w:themeColor="text1"/>
          <w:szCs w:val="24"/>
          <w:lang w:val="es-ES" w:eastAsia="es-ES"/>
        </w:rPr>
        <w:t>la identificación</w:t>
      </w:r>
      <w:r>
        <w:rPr>
          <w:rFonts w:eastAsiaTheme="minorEastAsia"/>
          <w:color w:val="000000" w:themeColor="text1"/>
          <w:szCs w:val="24"/>
          <w:lang w:val="es-ES" w:eastAsia="es-ES"/>
        </w:rPr>
        <w:t xml:space="preserve"> </w:t>
      </w:r>
      <w:r w:rsidRPr="00677871">
        <w:rPr>
          <w:rFonts w:eastAsiaTheme="minorEastAsia"/>
          <w:color w:val="000000" w:themeColor="text1"/>
          <w:szCs w:val="24"/>
          <w:lang w:val="es-ES" w:eastAsia="es-ES"/>
        </w:rPr>
        <w:t xml:space="preserve">de los beneficiarios de cada una de las obras del </w:t>
      </w:r>
      <w:r>
        <w:rPr>
          <w:rFonts w:eastAsiaTheme="minorEastAsia"/>
          <w:color w:val="000000" w:themeColor="text1"/>
          <w:szCs w:val="24"/>
          <w:lang w:val="es-ES" w:eastAsia="es-ES"/>
        </w:rPr>
        <w:t>PAGN, de la siguiente manera:</w:t>
      </w:r>
    </w:p>
    <w:p w14:paraId="7FC275B1" w14:textId="77777777" w:rsidR="00E002EC" w:rsidRDefault="00E002EC" w:rsidP="00E002EC">
      <w:pPr>
        <w:spacing w:line="257" w:lineRule="auto"/>
        <w:jc w:val="both"/>
        <w:rPr>
          <w:rFonts w:eastAsiaTheme="minorEastAsia"/>
          <w:color w:val="000000" w:themeColor="text1"/>
          <w:szCs w:val="24"/>
          <w:lang w:val="es-ES" w:eastAsia="es-ES"/>
        </w:rPr>
      </w:pPr>
    </w:p>
    <w:p w14:paraId="622A08DA"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 xml:space="preserve">“La UPME, en concordancia con lo establecido en el inciso </w:t>
      </w:r>
      <w:proofErr w:type="spellStart"/>
      <w:r w:rsidRPr="006516ED">
        <w:rPr>
          <w:rFonts w:eastAsiaTheme="minorEastAsia"/>
          <w:i/>
          <w:iCs/>
          <w:color w:val="000000" w:themeColor="text1"/>
          <w:szCs w:val="24"/>
          <w:lang w:val="es-ES" w:eastAsia="es-ES"/>
        </w:rPr>
        <w:t>ii</w:t>
      </w:r>
      <w:proofErr w:type="spellEnd"/>
      <w:r w:rsidRPr="006516ED">
        <w:rPr>
          <w:rFonts w:eastAsiaTheme="minorEastAsia"/>
          <w:i/>
          <w:iCs/>
          <w:color w:val="000000" w:themeColor="text1"/>
          <w:szCs w:val="24"/>
          <w:lang w:val="es-ES" w:eastAsia="es-ES"/>
        </w:rPr>
        <w:t>) del artículo 1 de la Resolución 40052 del 18 de enero de 2016, remite a través de la presente comunicación la identificación de los beneficiarios de cada una de las obras que forman parte del Plan de Abastecimiento de Gas Natural adoptado por el Ministerio de Minas y Energía a través de la Resolución 40304 del 15 de octubre de 2020, a saber:</w:t>
      </w:r>
    </w:p>
    <w:p w14:paraId="01A26F49"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p>
    <w:p w14:paraId="4F940010"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 xml:space="preserve">1. Planta de regasificación del Pacífico (abreviada Planta de </w:t>
      </w:r>
      <w:proofErr w:type="spellStart"/>
      <w:r w:rsidRPr="006516ED">
        <w:rPr>
          <w:rFonts w:eastAsiaTheme="minorEastAsia"/>
          <w:i/>
          <w:iCs/>
          <w:color w:val="000000" w:themeColor="text1"/>
          <w:szCs w:val="24"/>
          <w:lang w:val="es-ES" w:eastAsia="es-ES"/>
        </w:rPr>
        <w:t>Regas</w:t>
      </w:r>
      <w:proofErr w:type="spellEnd"/>
      <w:r w:rsidRPr="006516ED">
        <w:rPr>
          <w:rFonts w:eastAsiaTheme="minorEastAsia"/>
          <w:i/>
          <w:iCs/>
          <w:color w:val="000000" w:themeColor="text1"/>
          <w:szCs w:val="24"/>
          <w:lang w:val="es-ES" w:eastAsia="es-ES"/>
        </w:rPr>
        <w:t>. del Pacífico).</w:t>
      </w:r>
    </w:p>
    <w:p w14:paraId="7BD336A8"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2. Gasoducto Buenaventura – Yumbo.</w:t>
      </w:r>
    </w:p>
    <w:p w14:paraId="70E4D652"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3. Bidireccionalidad Barrancabermeja – Ballena.</w:t>
      </w:r>
    </w:p>
    <w:p w14:paraId="15FEFB68"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4. Bidireccionalidad Barranquilla – Ballena.</w:t>
      </w:r>
    </w:p>
    <w:p w14:paraId="71FF82BF"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5. Bidireccionalidad Yumbo – Mariquita.</w:t>
      </w:r>
    </w:p>
    <w:p w14:paraId="7247BB8A"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 xml:space="preserve">6. Interconexión Barranquilla – Ballena con Ballena - Barrancabermeja (abreviada </w:t>
      </w:r>
      <w:proofErr w:type="spellStart"/>
      <w:r w:rsidRPr="006516ED">
        <w:rPr>
          <w:rFonts w:eastAsiaTheme="minorEastAsia"/>
          <w:i/>
          <w:iCs/>
          <w:color w:val="000000" w:themeColor="text1"/>
          <w:szCs w:val="24"/>
          <w:lang w:val="es-ES" w:eastAsia="es-ES"/>
        </w:rPr>
        <w:t>Int</w:t>
      </w:r>
      <w:proofErr w:type="spellEnd"/>
      <w:r w:rsidRPr="006516ED">
        <w:rPr>
          <w:rFonts w:eastAsiaTheme="minorEastAsia"/>
          <w:i/>
          <w:iCs/>
          <w:color w:val="000000" w:themeColor="text1"/>
          <w:szCs w:val="24"/>
          <w:lang w:val="es-ES" w:eastAsia="es-ES"/>
        </w:rPr>
        <w:t>. Ballena Costa e Interior).</w:t>
      </w:r>
    </w:p>
    <w:p w14:paraId="44F29B89"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7. Capacidad de Transporte en el tramo Mariquita – Gualanday</w:t>
      </w:r>
    </w:p>
    <w:p w14:paraId="2A45C118"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8. Ampliación Capacidad de transporte Ramal Jamundí (abreviada Ramal Jamundí)</w:t>
      </w:r>
    </w:p>
    <w:p w14:paraId="510D85E4"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p>
    <w:p w14:paraId="0ED6634F" w14:textId="551C16B8"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En este contexto, la UPME suministra a la CREG la demanda identificada que hace uso directo</w:t>
      </w:r>
      <w:r w:rsidR="008F03A3">
        <w:rPr>
          <w:rStyle w:val="Refdenotaalpie"/>
          <w:rFonts w:eastAsiaTheme="minorEastAsia"/>
          <w:i/>
          <w:iCs/>
          <w:color w:val="000000" w:themeColor="text1"/>
          <w:szCs w:val="24"/>
          <w:lang w:val="es-ES" w:eastAsia="es-ES"/>
        </w:rPr>
        <w:footnoteReference w:id="2"/>
      </w:r>
      <w:r w:rsidRPr="006516ED">
        <w:rPr>
          <w:rFonts w:eastAsiaTheme="minorEastAsia"/>
          <w:i/>
          <w:iCs/>
          <w:color w:val="000000" w:themeColor="text1"/>
          <w:szCs w:val="24"/>
          <w:lang w:val="es-ES" w:eastAsia="es-ES"/>
        </w:rPr>
        <w:t xml:space="preserve"> del servicio de gas natural a través de las citadas obras. Los beneficiarios se identifican a un nivel de resolución nodal, que es un modelo simplificado de la red de gas implementado por esta Unidad en el Estudio Técnico para el Plan de Abastecimiento de Gas Natural, el cual consta de 105 nodos ubicados en a lo largo del SNT. En los documentos Excel anexos a la presente comunicación existe una hoja con el nombre “mapa”, en esta podrán consultar los nodos en SNT mencionados anteriormente.</w:t>
      </w:r>
    </w:p>
    <w:p w14:paraId="51AC7B41"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p>
    <w:p w14:paraId="6101573C"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Los beneficiarios se dividen en dos rubros principales que son, (i) abastecimiento y (</w:t>
      </w:r>
      <w:proofErr w:type="spellStart"/>
      <w:r w:rsidRPr="006516ED">
        <w:rPr>
          <w:rFonts w:eastAsiaTheme="minorEastAsia"/>
          <w:i/>
          <w:iCs/>
          <w:color w:val="000000" w:themeColor="text1"/>
          <w:szCs w:val="24"/>
          <w:lang w:val="es-ES" w:eastAsia="es-ES"/>
        </w:rPr>
        <w:t>ii</w:t>
      </w:r>
      <w:proofErr w:type="spellEnd"/>
      <w:r w:rsidRPr="006516ED">
        <w:rPr>
          <w:rFonts w:eastAsiaTheme="minorEastAsia"/>
          <w:i/>
          <w:iCs/>
          <w:color w:val="000000" w:themeColor="text1"/>
          <w:szCs w:val="24"/>
          <w:lang w:val="es-ES" w:eastAsia="es-ES"/>
        </w:rPr>
        <w:t>) confiabilidad. El primero es el beneficiario que recibe gas de la obra en consideración en condiciones normales de operación y el segundo es la demanda que hace uso de la obra cuando se deben atender interrupciones de corta duración ante de fallas de la infraestructura.</w:t>
      </w:r>
    </w:p>
    <w:p w14:paraId="0B7C84D9"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p>
    <w:p w14:paraId="43012976"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A su vez, los beneficiarios de abastecimiento se descomponen en dos rubros: El primero es bajo demanda en condiciones normales, nombrada demanda media, correspondientes a condiciones hidrológicas que no estresan el sistema de gas y el segundo es demanda Niño, correspondiente a condiciones hidrológicas severas producto de la falta de agua para generación.</w:t>
      </w:r>
    </w:p>
    <w:p w14:paraId="1EA0694A"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p>
    <w:p w14:paraId="0AF3F20F"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Los archivos Excel adjuntos al presente oficio son cuatro (4), beneficiarios obtenidos bajo demanda media, beneficiarios obtenidos bajo demanda Niño y beneficiarios obtenidos por confiabilidad; el cuarto archivo incluye la ponderación de los tres anteriores según los pesos como se indican a continuación, con resolución mensual iniciando desde diciembre de 2022</w:t>
      </w:r>
    </w:p>
    <w:p w14:paraId="4B99E970"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y finalizando en diciembre de 2040.</w:t>
      </w:r>
    </w:p>
    <w:p w14:paraId="6A9D4C2B" w14:textId="77777777" w:rsidR="00E002EC" w:rsidRPr="006516ED" w:rsidRDefault="00E002EC" w:rsidP="00EE1FF5">
      <w:pPr>
        <w:spacing w:line="257" w:lineRule="auto"/>
        <w:ind w:left="426"/>
        <w:jc w:val="both"/>
        <w:rPr>
          <w:rFonts w:eastAsiaTheme="minorEastAsia"/>
          <w:i/>
          <w:iCs/>
          <w:color w:val="000000" w:themeColor="text1"/>
          <w:szCs w:val="24"/>
          <w:lang w:val="es-ES" w:eastAsia="es-ES"/>
        </w:rPr>
      </w:pPr>
    </w:p>
    <w:p w14:paraId="2F800FB3" w14:textId="00D1D840" w:rsidR="00E002EC" w:rsidRPr="006516ED" w:rsidRDefault="00E002EC" w:rsidP="00EE1FF5">
      <w:pPr>
        <w:spacing w:line="257" w:lineRule="auto"/>
        <w:ind w:left="426"/>
        <w:jc w:val="both"/>
        <w:rPr>
          <w:rFonts w:eastAsiaTheme="minorEastAsia"/>
          <w:i/>
          <w:iCs/>
          <w:color w:val="000000" w:themeColor="text1"/>
          <w:szCs w:val="24"/>
          <w:lang w:val="es-ES" w:eastAsia="es-ES"/>
        </w:rPr>
      </w:pPr>
      <w:r w:rsidRPr="006516ED">
        <w:rPr>
          <w:rFonts w:eastAsiaTheme="minorEastAsia"/>
          <w:i/>
          <w:iCs/>
          <w:color w:val="000000" w:themeColor="text1"/>
          <w:szCs w:val="24"/>
          <w:lang w:val="es-ES" w:eastAsia="es-ES"/>
        </w:rPr>
        <w:t>La primera ponderación se hace entre demanda Niño y demanda media, la cual, de acuerdo con las observaciones del ONI resultan en 11.2% y 88.8% respectivamente. Esta demanda es la que corresponde a abastecimiento. De acuerdo con la utilización del tubo que registra dicha demanda el resto de la capacidad de la obra se imputa a confiabilidad, y finalmente se obtiene un ponderado entre abastecimiento y confiabilidad determinado por la utilización del activo”</w:t>
      </w:r>
      <w:r w:rsidR="001D47B6" w:rsidRPr="006516ED">
        <w:rPr>
          <w:rFonts w:eastAsiaTheme="minorEastAsia"/>
          <w:i/>
          <w:iCs/>
          <w:color w:val="000000" w:themeColor="text1"/>
          <w:szCs w:val="24"/>
          <w:lang w:val="es-ES" w:eastAsia="es-ES"/>
        </w:rPr>
        <w:t>.</w:t>
      </w:r>
    </w:p>
    <w:p w14:paraId="5EE70617" w14:textId="77777777" w:rsidR="00E002EC" w:rsidRDefault="00E002EC" w:rsidP="00EE1FF5">
      <w:pPr>
        <w:spacing w:line="257" w:lineRule="auto"/>
        <w:ind w:left="426"/>
        <w:jc w:val="both"/>
        <w:rPr>
          <w:rFonts w:eastAsia="Times New Roman" w:cs="Times New Roman"/>
          <w:i/>
          <w:iCs/>
          <w:color w:val="000000" w:themeColor="text1"/>
          <w:lang w:val="es-ES" w:eastAsia="es-ES"/>
        </w:rPr>
      </w:pPr>
    </w:p>
    <w:p w14:paraId="5FE185CF" w14:textId="7F562CD0" w:rsidR="00E002EC" w:rsidRDefault="00E002EC" w:rsidP="00E002EC">
      <w:pPr>
        <w:spacing w:line="257" w:lineRule="auto"/>
        <w:jc w:val="both"/>
        <w:rPr>
          <w:rFonts w:eastAsiaTheme="minorEastAsia"/>
          <w:color w:val="000000" w:themeColor="text1"/>
          <w:szCs w:val="24"/>
          <w:lang w:val="es-ES" w:eastAsia="es-ES"/>
        </w:rPr>
      </w:pPr>
      <w:r>
        <w:rPr>
          <w:rFonts w:eastAsiaTheme="minorEastAsia"/>
          <w:color w:val="000000" w:themeColor="text1"/>
          <w:szCs w:val="24"/>
          <w:lang w:val="es-ES" w:eastAsia="es-ES"/>
        </w:rPr>
        <w:t xml:space="preserve">Posteriormente mediante comunicación con radicado CREG </w:t>
      </w:r>
      <w:r w:rsidRPr="004A4A01">
        <w:rPr>
          <w:rFonts w:eastAsiaTheme="minorEastAsia"/>
          <w:color w:val="000000" w:themeColor="text1"/>
          <w:szCs w:val="24"/>
          <w:lang w:val="es-ES" w:eastAsia="es-ES"/>
        </w:rPr>
        <w:t>E</w:t>
      </w:r>
      <w:r w:rsidR="00337958">
        <w:rPr>
          <w:rFonts w:eastAsiaTheme="minorEastAsia"/>
          <w:color w:val="000000" w:themeColor="text1"/>
          <w:szCs w:val="24"/>
          <w:lang w:val="es-ES" w:eastAsia="es-ES"/>
        </w:rPr>
        <w:t>-</w:t>
      </w:r>
      <w:r w:rsidRPr="004A4A01">
        <w:rPr>
          <w:rFonts w:eastAsiaTheme="minorEastAsia"/>
          <w:color w:val="000000" w:themeColor="text1"/>
          <w:szCs w:val="24"/>
          <w:lang w:val="es-ES" w:eastAsia="es-ES"/>
        </w:rPr>
        <w:t>202</w:t>
      </w:r>
      <w:r w:rsidR="003C3B90">
        <w:rPr>
          <w:rFonts w:eastAsiaTheme="minorEastAsia"/>
          <w:color w:val="000000" w:themeColor="text1"/>
          <w:szCs w:val="24"/>
          <w:lang w:val="es-ES" w:eastAsia="es-ES"/>
        </w:rPr>
        <w:t>1</w:t>
      </w:r>
      <w:r w:rsidR="008A5CB0">
        <w:rPr>
          <w:rFonts w:eastAsiaTheme="minorEastAsia"/>
          <w:color w:val="000000" w:themeColor="text1"/>
          <w:szCs w:val="24"/>
          <w:lang w:val="es-ES" w:eastAsia="es-ES"/>
        </w:rPr>
        <w:t>-</w:t>
      </w:r>
      <w:r>
        <w:rPr>
          <w:rFonts w:eastAsiaTheme="minorEastAsia"/>
          <w:color w:val="000000" w:themeColor="text1"/>
          <w:szCs w:val="24"/>
          <w:lang w:val="es-ES" w:eastAsia="es-ES"/>
        </w:rPr>
        <w:t xml:space="preserve">00399 del 12 de enero de 2021, la UPME remitió a la Comisión un </w:t>
      </w:r>
      <w:r w:rsidR="007D3626">
        <w:rPr>
          <w:rFonts w:eastAsiaTheme="minorEastAsia"/>
          <w:color w:val="000000" w:themeColor="text1"/>
          <w:szCs w:val="24"/>
          <w:lang w:val="es-ES" w:eastAsia="es-ES"/>
        </w:rPr>
        <w:t>vínculo</w:t>
      </w:r>
      <w:r>
        <w:rPr>
          <w:rFonts w:eastAsiaTheme="minorEastAsia"/>
          <w:color w:val="000000" w:themeColor="text1"/>
          <w:szCs w:val="24"/>
          <w:lang w:val="es-ES" w:eastAsia="es-ES"/>
        </w:rPr>
        <w:t xml:space="preserve"> para acceder a los archivos en formato Excel con la información relacionada con los beneficiarios de los proyectos del PAGN</w:t>
      </w:r>
      <w:r w:rsidR="00F460A6">
        <w:rPr>
          <w:rFonts w:eastAsiaTheme="minorEastAsia"/>
          <w:color w:val="000000" w:themeColor="text1"/>
          <w:szCs w:val="24"/>
          <w:lang w:val="es-ES" w:eastAsia="es-ES"/>
        </w:rPr>
        <w:t>.</w:t>
      </w:r>
    </w:p>
    <w:p w14:paraId="69D72DCA" w14:textId="77777777" w:rsidR="00E002EC" w:rsidRDefault="00E002EC" w:rsidP="00E002EC">
      <w:pPr>
        <w:spacing w:line="257" w:lineRule="auto"/>
        <w:jc w:val="both"/>
        <w:rPr>
          <w:rFonts w:eastAsiaTheme="minorEastAsia"/>
          <w:color w:val="000000" w:themeColor="text1"/>
          <w:szCs w:val="24"/>
          <w:lang w:val="es-ES" w:eastAsia="es-ES"/>
        </w:rPr>
      </w:pPr>
    </w:p>
    <w:p w14:paraId="378A7742" w14:textId="22F249F3" w:rsidR="25F852F4" w:rsidRDefault="00976BCC" w:rsidP="58A4698C">
      <w:pPr>
        <w:spacing w:line="257" w:lineRule="auto"/>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Por medio de l</w:t>
      </w:r>
      <w:r w:rsidR="25F852F4" w:rsidRPr="58A4698C">
        <w:rPr>
          <w:rFonts w:eastAsia="Bookman Old Style" w:cs="Bookman Old Style"/>
          <w:color w:val="000000" w:themeColor="text1"/>
          <w:szCs w:val="24"/>
          <w:lang w:val="es-ES"/>
        </w:rPr>
        <w:t>a Resolución 000330 de 2021, la Unidad de Planeación Minero-Energética, UPME, definió los proyectos IPAT del Plan de Abastecimiento de Gas Natural susceptibles de ser ejecutados en primera instancia por el transportador incumbente del sistema de transporte correspondiente.</w:t>
      </w:r>
    </w:p>
    <w:p w14:paraId="4719AFFD" w14:textId="7CAFDC27" w:rsidR="58A4698C" w:rsidRDefault="58A4698C" w:rsidP="58A4698C">
      <w:pPr>
        <w:tabs>
          <w:tab w:val="left" w:pos="144"/>
          <w:tab w:val="left" w:pos="864"/>
          <w:tab w:val="left" w:pos="1584"/>
          <w:tab w:val="left" w:pos="2304"/>
          <w:tab w:val="left" w:pos="3024"/>
          <w:tab w:val="left" w:pos="3744"/>
          <w:tab w:val="left" w:pos="4464"/>
          <w:tab w:val="left" w:pos="5184"/>
          <w:tab w:val="left" w:pos="5904"/>
          <w:tab w:val="left" w:pos="6624"/>
          <w:tab w:val="left" w:pos="7200"/>
        </w:tabs>
        <w:spacing w:after="0"/>
        <w:jc w:val="both"/>
        <w:rPr>
          <w:rFonts w:eastAsia="Bookman Old Style" w:cs="Bookman Old Style"/>
          <w:color w:val="000000" w:themeColor="text1"/>
          <w:szCs w:val="24"/>
          <w:lang w:val="es-ES"/>
        </w:rPr>
      </w:pPr>
    </w:p>
    <w:p w14:paraId="7C963A0C" w14:textId="158858A9" w:rsidR="25F852F4" w:rsidRDefault="00976BCC" w:rsidP="58A4698C">
      <w:pPr>
        <w:spacing w:after="0"/>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Mediante l</w:t>
      </w:r>
      <w:r w:rsidR="25F852F4" w:rsidRPr="58A4698C">
        <w:rPr>
          <w:rFonts w:eastAsia="Bookman Old Style" w:cs="Bookman Old Style"/>
          <w:color w:val="000000" w:themeColor="text1"/>
          <w:szCs w:val="24"/>
          <w:lang w:val="es-ES"/>
        </w:rPr>
        <w:t xml:space="preserve">a Resolución CREG 175 de 2021, </w:t>
      </w:r>
      <w:r w:rsidR="00160575">
        <w:rPr>
          <w:rFonts w:eastAsia="Bookman Old Style" w:cs="Bookman Old Style"/>
          <w:color w:val="000000" w:themeColor="text1"/>
          <w:szCs w:val="24"/>
          <w:lang w:val="es-ES"/>
        </w:rPr>
        <w:t xml:space="preserve">se </w:t>
      </w:r>
      <w:r w:rsidR="00B347AD">
        <w:rPr>
          <w:rFonts w:eastAsia="Bookman Old Style" w:cs="Bookman Old Style"/>
          <w:color w:val="000000" w:themeColor="text1"/>
          <w:szCs w:val="24"/>
          <w:lang w:val="es-ES"/>
        </w:rPr>
        <w:t>definieron</w:t>
      </w:r>
      <w:r w:rsidR="00B347AD" w:rsidRPr="58A4698C">
        <w:rPr>
          <w:rFonts w:eastAsia="Bookman Old Style" w:cs="Bookman Old Style"/>
          <w:color w:val="000000" w:themeColor="text1"/>
          <w:szCs w:val="24"/>
          <w:lang w:val="es-ES"/>
        </w:rPr>
        <w:t xml:space="preserve"> </w:t>
      </w:r>
      <w:r w:rsidR="25F852F4" w:rsidRPr="58A4698C">
        <w:rPr>
          <w:rFonts w:eastAsia="Bookman Old Style" w:cs="Bookman Old Style"/>
          <w:color w:val="000000" w:themeColor="text1"/>
          <w:szCs w:val="24"/>
          <w:lang w:val="es-ES"/>
        </w:rPr>
        <w:t xml:space="preserve">los criterios generales para la remuneración del servicio de transporte de gas natural y el esquema general de cargos del Sistema Nacional de Transporte, y además se dictaron otras disposiciones en materia de transporte de gas natural. El artículo 31 del capítulo II </w:t>
      </w:r>
      <w:r w:rsidR="00160575">
        <w:rPr>
          <w:rFonts w:eastAsia="Bookman Old Style" w:cs="Bookman Old Style"/>
          <w:color w:val="000000" w:themeColor="text1"/>
          <w:szCs w:val="24"/>
          <w:lang w:val="es-ES"/>
        </w:rPr>
        <w:t>de esta resolución</w:t>
      </w:r>
      <w:r w:rsidR="25F852F4" w:rsidRPr="58A4698C">
        <w:rPr>
          <w:rFonts w:eastAsia="Bookman Old Style" w:cs="Bookman Old Style"/>
          <w:color w:val="000000" w:themeColor="text1"/>
          <w:szCs w:val="24"/>
          <w:lang w:val="es-ES"/>
        </w:rPr>
        <w:t xml:space="preserve"> </w:t>
      </w:r>
      <w:r w:rsidR="25F852F4" w:rsidRPr="004D1585">
        <w:rPr>
          <w:rFonts w:eastAsia="Bookman Old Style" w:cs="Bookman Old Style"/>
          <w:color w:val="000000" w:themeColor="text1"/>
          <w:szCs w:val="24"/>
          <w:lang w:val="es-ES"/>
        </w:rPr>
        <w:t>establec</w:t>
      </w:r>
      <w:r w:rsidR="00A57890">
        <w:rPr>
          <w:rFonts w:eastAsia="Bookman Old Style" w:cs="Bookman Old Style"/>
          <w:color w:val="000000" w:themeColor="text1"/>
          <w:szCs w:val="24"/>
          <w:lang w:val="es-ES"/>
        </w:rPr>
        <w:t>ió</w:t>
      </w:r>
      <w:r w:rsidR="001255D6" w:rsidRPr="004D1585">
        <w:rPr>
          <w:rFonts w:eastAsia="Bookman Old Style" w:cs="Bookman Old Style"/>
          <w:color w:val="000000" w:themeColor="text1"/>
          <w:szCs w:val="24"/>
          <w:lang w:val="es-ES"/>
        </w:rPr>
        <w:t>, que</w:t>
      </w:r>
      <w:r w:rsidR="25F852F4" w:rsidRPr="004D1585">
        <w:rPr>
          <w:rFonts w:eastAsia="Bookman Old Style" w:cs="Bookman Old Style"/>
          <w:color w:val="000000" w:themeColor="text1"/>
          <w:szCs w:val="24"/>
          <w:lang w:val="es-ES"/>
        </w:rPr>
        <w:t>:</w:t>
      </w:r>
    </w:p>
    <w:p w14:paraId="3EB9339A" w14:textId="733C4D17" w:rsidR="58A4698C" w:rsidRDefault="58A4698C" w:rsidP="58A4698C">
      <w:pPr>
        <w:spacing w:after="0"/>
        <w:jc w:val="both"/>
        <w:rPr>
          <w:rFonts w:eastAsia="Bookman Old Style" w:cs="Bookman Old Style"/>
          <w:color w:val="000000" w:themeColor="text1"/>
          <w:szCs w:val="24"/>
          <w:lang w:val="es-ES"/>
        </w:rPr>
      </w:pPr>
    </w:p>
    <w:p w14:paraId="37CDC886" w14:textId="74D4596F" w:rsidR="25F852F4" w:rsidRPr="000D2322" w:rsidRDefault="25F852F4" w:rsidP="00831A30">
      <w:pPr>
        <w:spacing w:line="257" w:lineRule="auto"/>
        <w:ind w:left="426"/>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w:t>
      </w:r>
      <w:r w:rsidRPr="008E439A">
        <w:rPr>
          <w:rFonts w:eastAsiaTheme="minorEastAsia"/>
          <w:b/>
          <w:bCs/>
          <w:i/>
          <w:iCs/>
          <w:color w:val="000000" w:themeColor="text1"/>
          <w:szCs w:val="24"/>
          <w:lang w:val="es-ES" w:eastAsia="es-ES"/>
        </w:rPr>
        <w:t>Artículo 31. Inversión en proyectos de</w:t>
      </w:r>
      <w:r w:rsidR="00F6762B">
        <w:rPr>
          <w:rFonts w:eastAsiaTheme="minorEastAsia"/>
          <w:b/>
          <w:bCs/>
          <w:i/>
          <w:iCs/>
          <w:color w:val="000000" w:themeColor="text1"/>
          <w:szCs w:val="24"/>
          <w:lang w:val="es-ES" w:eastAsia="es-ES"/>
        </w:rPr>
        <w:t xml:space="preserve"> IPAT</w:t>
      </w:r>
      <w:r w:rsidRPr="008E439A">
        <w:rPr>
          <w:rFonts w:eastAsiaTheme="minorEastAsia"/>
          <w:b/>
          <w:bCs/>
          <w:i/>
          <w:iCs/>
          <w:color w:val="000000" w:themeColor="text1"/>
          <w:szCs w:val="24"/>
          <w:lang w:val="es-ES" w:eastAsia="es-ES"/>
        </w:rPr>
        <w:t xml:space="preserve"> que ejecuta el transportador incumbente</w:t>
      </w:r>
      <w:r w:rsidRPr="000D2322">
        <w:rPr>
          <w:rFonts w:eastAsiaTheme="minorEastAsia"/>
          <w:i/>
          <w:iCs/>
          <w:color w:val="000000" w:themeColor="text1"/>
          <w:szCs w:val="24"/>
          <w:lang w:val="es-ES" w:eastAsia="es-ES"/>
        </w:rPr>
        <w:t>. Durante el período tarifario el transportador podrá ejecutar inversiones en proyectos prioritarios incluidos en el plan de abastecimiento de gas natural aprobado por el Ministerio de Minas y Energía, que se encuentren embebidos dentro de su sistema de transporte, IPAT, para lo cual se aplicará el procedimiento establecido en el artículo 4 de la Resolución CREG 107 de 2017, o aquellas que lo modifiquen o sustituyan.</w:t>
      </w:r>
    </w:p>
    <w:p w14:paraId="004BB0D5" w14:textId="13CFE906" w:rsidR="25F852F4" w:rsidRPr="000D2322" w:rsidRDefault="25F852F4" w:rsidP="00831A30">
      <w:pPr>
        <w:spacing w:line="257" w:lineRule="auto"/>
        <w:ind w:left="426"/>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 xml:space="preserve">Cuando se trate de gasoductos y estaciones de compresión, el transportador deberá declarar a la Comisión la información establecida en el Anexo 2 de la presente resolución asociada al respectivo proyecto. Con base en esta información, y aplicando el mecanismo de valoración establecido en el Anexo 1 de la presente resolución, la Comisión determinará el valor a reconocer por los activos correspondientes a gasoductos y estaciones de compresión u otros activos, expresado en pesos colombianos del 31 de diciembre del año anterior a la declaración de información. </w:t>
      </w:r>
    </w:p>
    <w:p w14:paraId="318728DA" w14:textId="0AFC78E3" w:rsidR="25F852F4" w:rsidRPr="000D2322" w:rsidRDefault="25F852F4" w:rsidP="00831A30">
      <w:pPr>
        <w:spacing w:line="257" w:lineRule="auto"/>
        <w:ind w:left="426"/>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 xml:space="preserve"> </w:t>
      </w:r>
    </w:p>
    <w:p w14:paraId="327E5327" w14:textId="7B2AC98D" w:rsidR="25F852F4" w:rsidRPr="000D2322" w:rsidRDefault="25F852F4" w:rsidP="00831A30">
      <w:pPr>
        <w:spacing w:line="257" w:lineRule="auto"/>
        <w:ind w:left="426"/>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 xml:space="preserve">Para el caso de activos distintos a gasoductos y estaciones de compresión, la Comisión establecerá el valor a reconocer de estos activos a partir de costos eficientes de otros activos comparables u otros criterios de que disponga. Este valor estará expresado en pesos colombianos del 31 de diciembre del año anterior a la declaración de información. </w:t>
      </w:r>
    </w:p>
    <w:p w14:paraId="7D3E7B42" w14:textId="712797B9" w:rsidR="25F852F4" w:rsidRPr="000D2322" w:rsidRDefault="25F852F4" w:rsidP="00831A30">
      <w:pPr>
        <w:spacing w:line="257" w:lineRule="auto"/>
        <w:ind w:left="426"/>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 xml:space="preserve"> </w:t>
      </w:r>
    </w:p>
    <w:p w14:paraId="70347342" w14:textId="48920EFE" w:rsidR="25F852F4" w:rsidRPr="000D2322" w:rsidRDefault="25F852F4" w:rsidP="00831A30">
      <w:pPr>
        <w:spacing w:line="257" w:lineRule="auto"/>
        <w:ind w:left="426"/>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Los anteriores valores corresponderán a las inversiones del plan de abastecimiento asociados a cada proyecto en el respectivo tramo de gasoducto.</w:t>
      </w:r>
    </w:p>
    <w:p w14:paraId="76FA27CB" w14:textId="5EFCBA96" w:rsidR="25F852F4" w:rsidRPr="000D2322" w:rsidRDefault="25F852F4" w:rsidP="00831A30">
      <w:pPr>
        <w:spacing w:line="257" w:lineRule="auto"/>
        <w:ind w:left="426"/>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 xml:space="preserve"> </w:t>
      </w:r>
    </w:p>
    <w:p w14:paraId="5AC5F916" w14:textId="21909D83" w:rsidR="25F852F4" w:rsidRPr="000D2322" w:rsidRDefault="25F852F4" w:rsidP="00831A30">
      <w:pPr>
        <w:spacing w:after="120" w:line="257" w:lineRule="auto"/>
        <w:ind w:left="425"/>
        <w:contextualSpacing w:val="0"/>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Cada vez que un proyecto entre en operación comercial, y dentro de los tres meses siguientes, el transportador deberá declarar a la Comisión el valor real del respectivo activo. Estos valores se deberán declarar en el formato del Anexo 3 de la presente resolución, y deberán estar expresados en pesos colombianos del 31 de diciembre del año anterior a la declaración de información establecida en el Anexo 2 de la presente resolución.</w:t>
      </w:r>
    </w:p>
    <w:p w14:paraId="0154C638" w14:textId="392C5250" w:rsidR="25F852F4" w:rsidRPr="000D2322" w:rsidRDefault="25F852F4" w:rsidP="00831A30">
      <w:pPr>
        <w:spacing w:before="120" w:after="120" w:line="257" w:lineRule="auto"/>
        <w:ind w:left="425"/>
        <w:contextualSpacing w:val="0"/>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w:t>
      </w:r>
    </w:p>
    <w:p w14:paraId="5C9197B1" w14:textId="6D5B3A17" w:rsidR="25F852F4" w:rsidRPr="000D2322" w:rsidRDefault="25F852F4" w:rsidP="00831A30">
      <w:pPr>
        <w:spacing w:line="257" w:lineRule="auto"/>
        <w:ind w:left="426"/>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 xml:space="preserve">La Comisión realizará el ajuste a que haya lugar, con el fin de incluir en el flujo de ingresos el valor ajustado de las inversiones del proyecto IPAT, </w:t>
      </w:r>
      <m:oMath>
        <m:sSub>
          <m:sSubPr>
            <m:ctrlPr>
              <w:rPr>
                <w:rFonts w:ascii="Cambria Math" w:eastAsiaTheme="minorEastAsia" w:hAnsi="Cambria Math"/>
                <w:i/>
                <w:iCs/>
                <w:color w:val="000000" w:themeColor="text1"/>
                <w:szCs w:val="24"/>
                <w:lang w:val="es-ES" w:eastAsia="es-ES"/>
              </w:rPr>
            </m:ctrlPr>
          </m:sSubPr>
          <m:e>
            <m:r>
              <w:rPr>
                <w:rFonts w:ascii="Cambria Math" w:eastAsiaTheme="minorEastAsia" w:hAnsi="Cambria Math"/>
                <w:color w:val="000000" w:themeColor="text1"/>
                <w:szCs w:val="24"/>
                <w:lang w:val="es-ES" w:eastAsia="es-ES"/>
              </w:rPr>
              <m:t>I</m:t>
            </m:r>
          </m:e>
          <m:sub>
            <m:r>
              <w:rPr>
                <w:rFonts w:ascii="Cambria Math" w:eastAsiaTheme="minorEastAsia" w:hAnsi="Cambria Math"/>
                <w:color w:val="000000" w:themeColor="text1"/>
                <w:szCs w:val="24"/>
                <w:lang w:val="es-ES" w:eastAsia="es-ES"/>
              </w:rPr>
              <m:t>IPAT</m:t>
            </m:r>
          </m:sub>
        </m:sSub>
      </m:oMath>
      <w:r w:rsidRPr="000D2322">
        <w:rPr>
          <w:rFonts w:eastAsiaTheme="minorEastAsia"/>
          <w:i/>
          <w:iCs/>
          <w:color w:val="000000" w:themeColor="text1"/>
          <w:szCs w:val="24"/>
          <w:lang w:val="es-ES" w:eastAsia="es-ES"/>
        </w:rPr>
        <w:t>.</w:t>
      </w:r>
    </w:p>
    <w:p w14:paraId="6D227FAC" w14:textId="5BEFBC5D" w:rsidR="25F852F4" w:rsidRPr="000D2322" w:rsidRDefault="25F852F4" w:rsidP="00831A30">
      <w:pPr>
        <w:spacing w:line="257" w:lineRule="auto"/>
        <w:ind w:left="426"/>
        <w:jc w:val="both"/>
        <w:rPr>
          <w:rFonts w:eastAsiaTheme="minorEastAsia"/>
          <w:i/>
          <w:iCs/>
          <w:color w:val="000000" w:themeColor="text1"/>
          <w:szCs w:val="24"/>
          <w:lang w:val="es-ES" w:eastAsia="es-ES"/>
        </w:rPr>
      </w:pPr>
      <w:r w:rsidRPr="000D2322">
        <w:rPr>
          <w:rFonts w:eastAsiaTheme="minorEastAsia"/>
          <w:i/>
          <w:iCs/>
          <w:color w:val="000000" w:themeColor="text1"/>
          <w:szCs w:val="24"/>
          <w:lang w:val="es-ES" w:eastAsia="es-ES"/>
        </w:rPr>
        <w:t xml:space="preserve"> </w:t>
      </w:r>
    </w:p>
    <w:p w14:paraId="6F12A527" w14:textId="69672846" w:rsidR="25F852F4" w:rsidRDefault="25F852F4" w:rsidP="00831A30">
      <w:pPr>
        <w:spacing w:line="257" w:lineRule="auto"/>
        <w:ind w:left="426"/>
        <w:jc w:val="both"/>
        <w:rPr>
          <w:rFonts w:eastAsiaTheme="minorEastAsia"/>
          <w:i/>
          <w:iCs/>
          <w:color w:val="000000" w:themeColor="text1"/>
          <w:szCs w:val="24"/>
          <w:lang w:val="es-ES" w:eastAsia="es-ES"/>
        </w:rPr>
      </w:pPr>
      <w:r w:rsidRPr="008E439A">
        <w:rPr>
          <w:rFonts w:eastAsiaTheme="minorEastAsia"/>
          <w:b/>
          <w:bCs/>
          <w:i/>
          <w:iCs/>
          <w:color w:val="000000" w:themeColor="text1"/>
          <w:szCs w:val="24"/>
          <w:lang w:val="es-ES" w:eastAsia="es-ES"/>
        </w:rPr>
        <w:t>Parágrafo1</w:t>
      </w:r>
      <w:r w:rsidRPr="000D2322">
        <w:rPr>
          <w:rFonts w:eastAsiaTheme="minorEastAsia"/>
          <w:i/>
          <w:iCs/>
          <w:color w:val="000000" w:themeColor="text1"/>
          <w:szCs w:val="24"/>
          <w:lang w:val="es-ES" w:eastAsia="es-ES"/>
        </w:rPr>
        <w:t xml:space="preserve">. La Comisión podrá verificar la información reportada en el Anexo 3 de la presente resolución mediante los mecanismos que considere pertinentes. </w:t>
      </w:r>
    </w:p>
    <w:p w14:paraId="2A8DA30B" w14:textId="77777777" w:rsidR="00831A30" w:rsidRPr="000D2322" w:rsidRDefault="00831A30" w:rsidP="00831A30">
      <w:pPr>
        <w:spacing w:line="257" w:lineRule="auto"/>
        <w:ind w:left="426"/>
        <w:jc w:val="both"/>
        <w:rPr>
          <w:rFonts w:eastAsiaTheme="minorEastAsia"/>
          <w:i/>
          <w:iCs/>
          <w:color w:val="000000" w:themeColor="text1"/>
          <w:szCs w:val="24"/>
          <w:lang w:val="es-ES" w:eastAsia="es-ES"/>
        </w:rPr>
      </w:pPr>
    </w:p>
    <w:p w14:paraId="5F7D5E25" w14:textId="73A0B4FA" w:rsidR="25F852F4" w:rsidRPr="000D2322" w:rsidRDefault="25F852F4" w:rsidP="00831A30">
      <w:pPr>
        <w:spacing w:line="257" w:lineRule="auto"/>
        <w:ind w:left="426"/>
        <w:jc w:val="both"/>
        <w:rPr>
          <w:rFonts w:eastAsiaTheme="minorEastAsia"/>
          <w:i/>
          <w:iCs/>
          <w:color w:val="000000" w:themeColor="text1"/>
          <w:szCs w:val="24"/>
          <w:lang w:val="es-ES" w:eastAsia="es-ES"/>
        </w:rPr>
      </w:pPr>
      <w:r w:rsidRPr="008E439A">
        <w:rPr>
          <w:rFonts w:eastAsiaTheme="minorEastAsia"/>
          <w:b/>
          <w:bCs/>
          <w:i/>
          <w:iCs/>
          <w:color w:val="000000" w:themeColor="text1"/>
          <w:szCs w:val="24"/>
          <w:lang w:val="es-ES" w:eastAsia="es-ES"/>
        </w:rPr>
        <w:t>Parágrafo 2</w:t>
      </w:r>
      <w:r w:rsidRPr="000D2322">
        <w:rPr>
          <w:rFonts w:eastAsiaTheme="minorEastAsia"/>
          <w:i/>
          <w:iCs/>
          <w:color w:val="000000" w:themeColor="text1"/>
          <w:szCs w:val="24"/>
          <w:lang w:val="es-ES" w:eastAsia="es-ES"/>
        </w:rPr>
        <w:t>. Los valores eficientes que se determinen aplicando lo dispuesto en este artículo incluyen costos ambientales, sociales, de abandono y contingencias estándar”</w:t>
      </w:r>
      <w:r w:rsidR="007D66A6" w:rsidRPr="000D2322">
        <w:rPr>
          <w:rFonts w:eastAsiaTheme="minorEastAsia"/>
          <w:i/>
          <w:iCs/>
          <w:color w:val="000000" w:themeColor="text1"/>
          <w:szCs w:val="24"/>
          <w:lang w:val="es-ES" w:eastAsia="es-ES"/>
        </w:rPr>
        <w:t>.</w:t>
      </w:r>
    </w:p>
    <w:p w14:paraId="6B7AD9BC" w14:textId="5932E602" w:rsidR="69FE4592" w:rsidRDefault="69FE4592" w:rsidP="7A210EA7">
      <w:pPr>
        <w:spacing w:after="0" w:line="257" w:lineRule="auto"/>
        <w:jc w:val="both"/>
        <w:rPr>
          <w:rFonts w:eastAsia="Bookman Old Style" w:cs="Bookman Old Style"/>
          <w:color w:val="000000" w:themeColor="text1"/>
          <w:szCs w:val="24"/>
          <w:lang w:val="es-ES"/>
        </w:rPr>
      </w:pPr>
    </w:p>
    <w:p w14:paraId="3C539B01" w14:textId="0E343845" w:rsidR="0511A894" w:rsidRDefault="669F91F2" w:rsidP="7D026996">
      <w:pPr>
        <w:jc w:val="both"/>
        <w:rPr>
          <w:rFonts w:eastAsia="Bookman Old Style" w:cs="Bookman Old Style"/>
          <w:color w:val="000000" w:themeColor="text1"/>
          <w:lang w:val="es-ES"/>
        </w:rPr>
      </w:pPr>
      <w:r w:rsidRPr="7D026996">
        <w:rPr>
          <w:rFonts w:eastAsiaTheme="minorEastAsia"/>
          <w:color w:val="000000" w:themeColor="text1"/>
          <w:lang w:val="es-ES"/>
        </w:rPr>
        <w:t>M</w:t>
      </w:r>
      <w:r w:rsidR="0511A894" w:rsidRPr="7D026996">
        <w:rPr>
          <w:rFonts w:eastAsiaTheme="minorEastAsia"/>
          <w:color w:val="000000" w:themeColor="text1"/>
          <w:lang w:val="es-ES"/>
        </w:rPr>
        <w:t xml:space="preserve">ediante </w:t>
      </w:r>
      <w:r w:rsidR="00EA7465" w:rsidRPr="7D026996">
        <w:rPr>
          <w:rFonts w:eastAsiaTheme="minorEastAsia"/>
          <w:color w:val="000000" w:themeColor="text1"/>
          <w:lang w:val="es-ES"/>
        </w:rPr>
        <w:t>radicado CREG</w:t>
      </w:r>
      <w:r w:rsidR="0511A894" w:rsidRPr="7D026996">
        <w:rPr>
          <w:rFonts w:eastAsiaTheme="minorEastAsia"/>
          <w:color w:val="000000" w:themeColor="text1"/>
          <w:lang w:val="es-ES"/>
        </w:rPr>
        <w:t xml:space="preserve"> E-2022-000476</w:t>
      </w:r>
      <w:r w:rsidR="6748AE2E" w:rsidRPr="7D026996">
        <w:rPr>
          <w:rFonts w:eastAsiaTheme="minorEastAsia"/>
          <w:color w:val="000000" w:themeColor="text1"/>
          <w:lang w:val="es-ES"/>
        </w:rPr>
        <w:t xml:space="preserve"> </w:t>
      </w:r>
      <w:r w:rsidR="0511A894" w:rsidRPr="7D026996">
        <w:rPr>
          <w:rFonts w:eastAsiaTheme="minorEastAsia"/>
          <w:color w:val="000000" w:themeColor="text1"/>
          <w:lang w:val="es-ES"/>
        </w:rPr>
        <w:t>del 11</w:t>
      </w:r>
      <w:r w:rsidR="4C765850" w:rsidRPr="7D026996">
        <w:rPr>
          <w:rFonts w:eastAsiaTheme="minorEastAsia"/>
          <w:color w:val="000000" w:themeColor="text1"/>
          <w:lang w:val="es-ES"/>
        </w:rPr>
        <w:t xml:space="preserve"> </w:t>
      </w:r>
      <w:r w:rsidR="0511A894" w:rsidRPr="7D026996">
        <w:rPr>
          <w:rFonts w:eastAsiaTheme="minorEastAsia"/>
          <w:color w:val="000000" w:themeColor="text1"/>
          <w:lang w:val="es-ES"/>
        </w:rPr>
        <w:t>de</w:t>
      </w:r>
      <w:r w:rsidR="1E063616" w:rsidRPr="7D026996">
        <w:rPr>
          <w:rFonts w:eastAsiaTheme="minorEastAsia"/>
          <w:color w:val="000000" w:themeColor="text1"/>
          <w:lang w:val="es-ES"/>
        </w:rPr>
        <w:t xml:space="preserve"> </w:t>
      </w:r>
      <w:r w:rsidR="0511A894" w:rsidRPr="7D026996">
        <w:rPr>
          <w:rFonts w:eastAsiaTheme="minorEastAsia"/>
          <w:color w:val="000000" w:themeColor="text1"/>
          <w:lang w:val="es-ES"/>
        </w:rPr>
        <w:t>enero</w:t>
      </w:r>
      <w:r w:rsidR="643986C6" w:rsidRPr="7D026996">
        <w:rPr>
          <w:rFonts w:eastAsiaTheme="minorEastAsia"/>
          <w:color w:val="000000" w:themeColor="text1"/>
          <w:lang w:val="es-ES"/>
        </w:rPr>
        <w:t xml:space="preserve"> </w:t>
      </w:r>
      <w:r w:rsidR="0511A894" w:rsidRPr="7D026996">
        <w:rPr>
          <w:rFonts w:eastAsiaTheme="minorEastAsia"/>
          <w:color w:val="000000" w:themeColor="text1"/>
          <w:lang w:val="es-ES"/>
        </w:rPr>
        <w:t xml:space="preserve">de 2022, </w:t>
      </w:r>
      <w:r w:rsidR="6ED48610" w:rsidRPr="7D026996">
        <w:rPr>
          <w:rFonts w:eastAsiaTheme="minorEastAsia"/>
          <w:color w:val="000000" w:themeColor="text1"/>
          <w:lang w:val="es-ES"/>
        </w:rPr>
        <w:t xml:space="preserve">la empresa TGI S.A. E.S.P. </w:t>
      </w:r>
      <w:r w:rsidR="0511A894" w:rsidRPr="7D026996">
        <w:rPr>
          <w:rFonts w:eastAsiaTheme="minorEastAsia"/>
          <w:color w:val="000000" w:themeColor="text1"/>
          <w:lang w:val="es-ES"/>
        </w:rPr>
        <w:t xml:space="preserve">declaró la información correspondiente al Proyecto IPAT </w:t>
      </w:r>
      <w:r w:rsidR="0511A894" w:rsidRPr="001E04AC">
        <w:rPr>
          <w:rFonts w:eastAsiaTheme="minorEastAsia"/>
          <w:color w:val="000000" w:themeColor="text1"/>
          <w:lang w:val="es-ES"/>
        </w:rPr>
        <w:t xml:space="preserve">Ampliación </w:t>
      </w:r>
      <w:r w:rsidR="001E04AC">
        <w:rPr>
          <w:rFonts w:eastAsiaTheme="minorEastAsia"/>
          <w:color w:val="000000" w:themeColor="text1"/>
          <w:lang w:val="es-ES"/>
        </w:rPr>
        <w:t>c</w:t>
      </w:r>
      <w:r w:rsidR="0511A894" w:rsidRPr="001E04AC">
        <w:rPr>
          <w:rFonts w:eastAsiaTheme="minorEastAsia"/>
          <w:color w:val="000000" w:themeColor="text1"/>
          <w:lang w:val="es-ES"/>
        </w:rPr>
        <w:t>apacidad de transporte ramal Jamundí –Valle del Cauca.</w:t>
      </w:r>
    </w:p>
    <w:p w14:paraId="233ED943" w14:textId="1844C659" w:rsidR="0511A894" w:rsidRDefault="0511A894" w:rsidP="7A210EA7">
      <w:pPr>
        <w:spacing w:line="257" w:lineRule="auto"/>
        <w:jc w:val="both"/>
        <w:rPr>
          <w:rFonts w:eastAsia="Bookman Old Style" w:cs="Bookman Old Style"/>
          <w:color w:val="000000" w:themeColor="text1"/>
          <w:szCs w:val="24"/>
          <w:lang w:val="es-ES"/>
        </w:rPr>
      </w:pPr>
    </w:p>
    <w:p w14:paraId="17105175" w14:textId="752CA26A" w:rsidR="00446794" w:rsidRPr="009329CA" w:rsidRDefault="00446794" w:rsidP="00446794">
      <w:pPr>
        <w:jc w:val="both"/>
        <w:rPr>
          <w:rFonts w:eastAsiaTheme="minorEastAsia"/>
          <w:i/>
          <w:iCs/>
          <w:color w:val="000000" w:themeColor="text1"/>
          <w:lang w:val="es-ES"/>
        </w:rPr>
      </w:pPr>
      <w:r w:rsidRPr="004D1585">
        <w:rPr>
          <w:rFonts w:eastAsiaTheme="minorEastAsia"/>
          <w:color w:val="000000" w:themeColor="text1"/>
          <w:lang w:val="es-ES"/>
        </w:rPr>
        <w:t xml:space="preserve">La </w:t>
      </w:r>
      <w:r w:rsidR="00337958">
        <w:rPr>
          <w:rFonts w:eastAsiaTheme="minorEastAsia"/>
          <w:color w:val="000000" w:themeColor="text1"/>
          <w:lang w:val="es-ES"/>
        </w:rPr>
        <w:t>C</w:t>
      </w:r>
      <w:r w:rsidR="00337958" w:rsidRPr="004D1585">
        <w:rPr>
          <w:rFonts w:eastAsiaTheme="minorEastAsia"/>
          <w:color w:val="000000" w:themeColor="text1"/>
          <w:lang w:val="es-ES"/>
        </w:rPr>
        <w:t xml:space="preserve">omisión </w:t>
      </w:r>
      <w:r w:rsidRPr="004D1585">
        <w:rPr>
          <w:rFonts w:eastAsiaTheme="minorEastAsia"/>
          <w:color w:val="000000" w:themeColor="text1"/>
          <w:lang w:val="es-ES"/>
        </w:rPr>
        <w:t>mediante auto CREG I</w:t>
      </w:r>
      <w:r w:rsidR="00337958">
        <w:rPr>
          <w:rFonts w:eastAsiaTheme="minorEastAsia"/>
          <w:color w:val="000000" w:themeColor="text1"/>
          <w:lang w:val="es-ES"/>
        </w:rPr>
        <w:t>-</w:t>
      </w:r>
      <w:r w:rsidRPr="004D1585">
        <w:rPr>
          <w:rFonts w:eastAsiaTheme="minorEastAsia"/>
          <w:color w:val="000000" w:themeColor="text1"/>
          <w:lang w:val="es-ES"/>
        </w:rPr>
        <w:t>2022</w:t>
      </w:r>
      <w:r w:rsidR="008A5CB0">
        <w:rPr>
          <w:rFonts w:eastAsiaTheme="minorEastAsia"/>
          <w:color w:val="000000" w:themeColor="text1"/>
          <w:lang w:val="es-ES"/>
        </w:rPr>
        <w:t>-</w:t>
      </w:r>
      <w:r w:rsidRPr="004D1585">
        <w:rPr>
          <w:rFonts w:eastAsiaTheme="minorEastAsia"/>
          <w:color w:val="000000" w:themeColor="text1"/>
          <w:lang w:val="es-ES"/>
        </w:rPr>
        <w:t xml:space="preserve">004802 del 9 de marzo del 2022 resuelve </w:t>
      </w:r>
      <w:r w:rsidRPr="004D1585">
        <w:rPr>
          <w:rFonts w:eastAsiaTheme="minorEastAsia"/>
          <w:i/>
          <w:iCs/>
          <w:color w:val="000000" w:themeColor="text1"/>
          <w:lang w:val="es-ES"/>
        </w:rPr>
        <w:t xml:space="preserve">“Iniciar una actuación administrativa con el objeto de determinar el valor eficiente de la inversión y de los gastos de AOM del proyecto prioritario identificado en el plan de abastecimiento de gas natural como </w:t>
      </w:r>
      <w:r w:rsidR="00D3174F" w:rsidRPr="004D1585">
        <w:rPr>
          <w:rFonts w:eastAsiaTheme="minorEastAsia"/>
          <w:i/>
          <w:iCs/>
          <w:color w:val="000000" w:themeColor="text1"/>
          <w:lang w:val="es-ES"/>
        </w:rPr>
        <w:t xml:space="preserve">Ampliación </w:t>
      </w:r>
      <w:r w:rsidR="006467D4" w:rsidRPr="004D1585">
        <w:rPr>
          <w:rFonts w:eastAsiaTheme="minorEastAsia"/>
          <w:i/>
          <w:iCs/>
          <w:color w:val="000000" w:themeColor="text1"/>
          <w:lang w:val="es-ES"/>
        </w:rPr>
        <w:t>c</w:t>
      </w:r>
      <w:r w:rsidR="00D3174F" w:rsidRPr="004D1585">
        <w:rPr>
          <w:rFonts w:eastAsiaTheme="minorEastAsia"/>
          <w:i/>
          <w:iCs/>
          <w:color w:val="000000" w:themeColor="text1"/>
          <w:lang w:val="es-ES"/>
        </w:rPr>
        <w:t xml:space="preserve">apacidad de </w:t>
      </w:r>
      <w:r w:rsidR="006467D4" w:rsidRPr="004D1585">
        <w:rPr>
          <w:rFonts w:eastAsiaTheme="minorEastAsia"/>
          <w:i/>
          <w:iCs/>
          <w:color w:val="000000" w:themeColor="text1"/>
          <w:lang w:val="es-ES"/>
        </w:rPr>
        <w:t>t</w:t>
      </w:r>
      <w:r w:rsidR="00D3174F" w:rsidRPr="004D1585">
        <w:rPr>
          <w:rFonts w:eastAsiaTheme="minorEastAsia"/>
          <w:i/>
          <w:iCs/>
          <w:color w:val="000000" w:themeColor="text1"/>
          <w:lang w:val="es-ES"/>
        </w:rPr>
        <w:t xml:space="preserve">ransporte </w:t>
      </w:r>
      <w:r w:rsidR="008E67D8" w:rsidRPr="004D1585">
        <w:rPr>
          <w:rFonts w:eastAsiaTheme="minorEastAsia"/>
          <w:i/>
          <w:iCs/>
          <w:color w:val="000000" w:themeColor="text1"/>
          <w:lang w:val="es-ES"/>
        </w:rPr>
        <w:t>ramal Jamundí – Valle del Cauca</w:t>
      </w:r>
      <w:r w:rsidR="009722EB" w:rsidRPr="004D1585">
        <w:rPr>
          <w:rFonts w:eastAsiaTheme="minorEastAsia"/>
          <w:i/>
          <w:iCs/>
          <w:color w:val="000000" w:themeColor="text1"/>
          <w:lang w:val="es-ES"/>
        </w:rPr>
        <w:t>”</w:t>
      </w:r>
      <w:r w:rsidRPr="004D1585">
        <w:rPr>
          <w:rFonts w:eastAsiaTheme="minorEastAsia"/>
          <w:color w:val="000000" w:themeColor="text1"/>
          <w:lang w:val="es-ES"/>
        </w:rPr>
        <w:t>.</w:t>
      </w:r>
    </w:p>
    <w:p w14:paraId="414793A7" w14:textId="77777777" w:rsidR="00931C6F" w:rsidRDefault="00931C6F" w:rsidP="7D026996">
      <w:pPr>
        <w:spacing w:after="0" w:line="257" w:lineRule="auto"/>
        <w:jc w:val="both"/>
        <w:rPr>
          <w:rFonts w:eastAsia="Bookman Old Style" w:cs="Bookman Old Style"/>
          <w:color w:val="000000" w:themeColor="text1"/>
          <w:lang w:val="es-ES"/>
        </w:rPr>
      </w:pPr>
    </w:p>
    <w:p w14:paraId="4B8A286D" w14:textId="13B92831" w:rsidR="176B64E1" w:rsidRDefault="00046E59" w:rsidP="7D026996">
      <w:pPr>
        <w:spacing w:after="0" w:line="257" w:lineRule="auto"/>
        <w:jc w:val="both"/>
        <w:rPr>
          <w:rFonts w:eastAsia="Bookman Old Style" w:cs="Bookman Old Style"/>
          <w:lang w:val="es-ES"/>
        </w:rPr>
      </w:pPr>
      <w:r>
        <w:rPr>
          <w:rFonts w:eastAsia="Bookman Old Style" w:cs="Bookman Old Style"/>
          <w:color w:val="000000" w:themeColor="text1"/>
          <w:lang w:val="es-ES"/>
        </w:rPr>
        <w:t>L</w:t>
      </w:r>
      <w:r w:rsidRPr="7D026996">
        <w:rPr>
          <w:rFonts w:eastAsia="Bookman Old Style" w:cs="Bookman Old Style"/>
          <w:color w:val="000000" w:themeColor="text1"/>
          <w:lang w:val="es-ES"/>
        </w:rPr>
        <w:t xml:space="preserve">a Comisión </w:t>
      </w:r>
      <w:r>
        <w:rPr>
          <w:rFonts w:eastAsia="Bookman Old Style" w:cs="Bookman Old Style"/>
          <w:color w:val="000000" w:themeColor="text1"/>
          <w:lang w:val="es-ES"/>
        </w:rPr>
        <w:t>m</w:t>
      </w:r>
      <w:r w:rsidR="176B64E1" w:rsidRPr="7D026996">
        <w:rPr>
          <w:rFonts w:eastAsia="Bookman Old Style" w:cs="Bookman Old Style"/>
          <w:color w:val="000000" w:themeColor="text1"/>
          <w:lang w:val="es-ES"/>
        </w:rPr>
        <w:t>ediante radicado CRE</w:t>
      </w:r>
      <w:r>
        <w:rPr>
          <w:rFonts w:eastAsia="Bookman Old Style" w:cs="Bookman Old Style"/>
          <w:color w:val="000000" w:themeColor="text1"/>
          <w:lang w:val="es-ES"/>
        </w:rPr>
        <w:t>G</w:t>
      </w:r>
      <w:r w:rsidR="176B64E1" w:rsidRPr="7D026996">
        <w:rPr>
          <w:rFonts w:eastAsia="Bookman Old Style" w:cs="Bookman Old Style"/>
          <w:color w:val="000000" w:themeColor="text1"/>
          <w:lang w:val="es-ES"/>
        </w:rPr>
        <w:t xml:space="preserve"> S-2022-002334</w:t>
      </w:r>
      <w:r>
        <w:rPr>
          <w:rFonts w:eastAsia="Bookman Old Style" w:cs="Bookman Old Style"/>
          <w:color w:val="000000" w:themeColor="text1"/>
          <w:lang w:val="es-ES"/>
        </w:rPr>
        <w:t>,</w:t>
      </w:r>
      <w:r w:rsidR="176B64E1" w:rsidRPr="7D026996">
        <w:rPr>
          <w:rFonts w:eastAsia="Bookman Old Style" w:cs="Bookman Old Style"/>
          <w:color w:val="000000" w:themeColor="text1"/>
          <w:lang w:val="es-ES"/>
        </w:rPr>
        <w:t xml:space="preserve"> del 17 de junio del 2022</w:t>
      </w:r>
      <w:r w:rsidR="440B78E5" w:rsidRPr="7D026996">
        <w:rPr>
          <w:rFonts w:eastAsia="Bookman Old Style" w:cs="Bookman Old Style"/>
          <w:color w:val="000000" w:themeColor="text1"/>
          <w:lang w:val="es-ES"/>
        </w:rPr>
        <w:t xml:space="preserve">, </w:t>
      </w:r>
      <w:r w:rsidR="00EE6D33">
        <w:rPr>
          <w:rFonts w:eastAsia="Bookman Old Style" w:cs="Bookman Old Style"/>
          <w:color w:val="000000" w:themeColor="text1"/>
          <w:lang w:val="es-ES"/>
        </w:rPr>
        <w:t>solicitó</w:t>
      </w:r>
      <w:r w:rsidR="176B64E1" w:rsidRPr="7D026996">
        <w:rPr>
          <w:rFonts w:eastAsia="Bookman Old Style" w:cs="Bookman Old Style"/>
          <w:color w:val="000000" w:themeColor="text1"/>
          <w:lang w:val="es-ES"/>
        </w:rPr>
        <w:t xml:space="preserve"> a la UPME los valores de los análisis de beneficio - costo de los proyectos IPAT</w:t>
      </w:r>
      <w:r w:rsidR="00177203">
        <w:rPr>
          <w:rFonts w:eastAsiaTheme="minorEastAsia"/>
          <w:color w:val="000000" w:themeColor="text1"/>
          <w:szCs w:val="24"/>
          <w:lang w:val="es-ES"/>
        </w:rPr>
        <w:t xml:space="preserve">: </w:t>
      </w:r>
      <w:r w:rsidR="00177203" w:rsidRPr="3E4F4AFE">
        <w:rPr>
          <w:rFonts w:eastAsia="Bookman Old Style" w:cs="Bookman Old Style"/>
          <w:color w:val="000000" w:themeColor="text1"/>
          <w:szCs w:val="24"/>
          <w:lang w:val="es-ES"/>
        </w:rPr>
        <w:t>Capacidad de transporte en el tramo Mariquita – Gualanday, Bidireccionalidad Barrancabermeja – Ballena, Bidireccionalidad Barranquilla – Ballena, Interconexión Barranquilla – Ballena con Ballena – Barranca</w:t>
      </w:r>
      <w:r w:rsidR="00177203">
        <w:rPr>
          <w:rFonts w:eastAsia="Bookman Old Style" w:cs="Bookman Old Style"/>
          <w:color w:val="000000" w:themeColor="text1"/>
          <w:szCs w:val="24"/>
          <w:lang w:val="es-ES"/>
        </w:rPr>
        <w:t xml:space="preserve">, Bidireccionalidad Yumbo - Mariquita </w:t>
      </w:r>
      <w:r w:rsidR="00177203" w:rsidRPr="3E4F4AFE">
        <w:rPr>
          <w:rFonts w:eastAsia="Bookman Old Style" w:cs="Bookman Old Style"/>
          <w:color w:val="000000" w:themeColor="text1"/>
          <w:szCs w:val="24"/>
          <w:lang w:val="es-ES"/>
        </w:rPr>
        <w:t>y Ampliación de la capacidad de transporte ramal Jamundí – Valle del Cauca</w:t>
      </w:r>
      <w:r w:rsidR="00177203" w:rsidRPr="00B9CB0C">
        <w:rPr>
          <w:rFonts w:eastAsia="Bookman Old Style" w:cs="Bookman Old Style"/>
          <w:color w:val="000000" w:themeColor="text1"/>
          <w:szCs w:val="24"/>
          <w:lang w:val="es-ES"/>
        </w:rPr>
        <w:t>.</w:t>
      </w:r>
    </w:p>
    <w:p w14:paraId="6EA1B30C" w14:textId="7C91D773" w:rsidR="0511A894" w:rsidRDefault="0511A894" w:rsidP="64024036">
      <w:pPr>
        <w:spacing w:line="257" w:lineRule="auto"/>
        <w:jc w:val="both"/>
        <w:rPr>
          <w:rFonts w:eastAsiaTheme="minorEastAsia"/>
          <w:color w:val="000000" w:themeColor="text1"/>
          <w:szCs w:val="24"/>
          <w:lang w:val="es-ES"/>
        </w:rPr>
      </w:pPr>
    </w:p>
    <w:p w14:paraId="6B8FBB7E" w14:textId="7250FC88" w:rsidR="00F80677" w:rsidRDefault="00F80677" w:rsidP="007A4FA5">
      <w:pPr>
        <w:jc w:val="both"/>
        <w:rPr>
          <w:rFonts w:eastAsiaTheme="minorEastAsia"/>
          <w:i/>
          <w:iCs/>
          <w:color w:val="000000" w:themeColor="text1"/>
          <w:szCs w:val="24"/>
          <w:lang w:val="es-ES" w:eastAsia="es-ES"/>
        </w:rPr>
      </w:pPr>
      <w:r w:rsidRPr="00EE4731">
        <w:rPr>
          <w:rFonts w:eastAsiaTheme="minorEastAsia"/>
          <w:color w:val="000000" w:themeColor="text1"/>
          <w:szCs w:val="24"/>
          <w:lang w:val="es-ES" w:eastAsia="es-ES"/>
        </w:rPr>
        <w:t>La UPME mediante comunicación con radicado CREG E</w:t>
      </w:r>
      <w:r w:rsidR="00337958">
        <w:rPr>
          <w:rFonts w:eastAsiaTheme="minorEastAsia"/>
          <w:color w:val="000000" w:themeColor="text1"/>
          <w:szCs w:val="24"/>
          <w:lang w:val="es-ES" w:eastAsia="es-ES"/>
        </w:rPr>
        <w:t>-</w:t>
      </w:r>
      <w:r w:rsidRPr="00EE4731">
        <w:rPr>
          <w:rFonts w:eastAsiaTheme="minorEastAsia"/>
          <w:color w:val="000000" w:themeColor="text1"/>
          <w:szCs w:val="24"/>
          <w:lang w:val="es-ES" w:eastAsia="es-ES"/>
        </w:rPr>
        <w:t>2022</w:t>
      </w:r>
      <w:r w:rsidR="008A5CB0">
        <w:rPr>
          <w:rFonts w:eastAsiaTheme="minorEastAsia"/>
          <w:color w:val="000000" w:themeColor="text1"/>
          <w:szCs w:val="24"/>
          <w:lang w:val="es-ES" w:eastAsia="es-ES"/>
        </w:rPr>
        <w:t>-</w:t>
      </w:r>
      <w:r w:rsidRPr="00EE4731">
        <w:rPr>
          <w:rFonts w:eastAsiaTheme="minorEastAsia"/>
          <w:color w:val="000000" w:themeColor="text1"/>
          <w:szCs w:val="24"/>
          <w:lang w:val="es-ES" w:eastAsia="es-ES"/>
        </w:rPr>
        <w:t>009654 del 31 de agosto del 2022 inform</w:t>
      </w:r>
      <w:r w:rsidR="002C770A">
        <w:rPr>
          <w:rFonts w:eastAsiaTheme="minorEastAsia"/>
          <w:color w:val="000000" w:themeColor="text1"/>
          <w:szCs w:val="24"/>
          <w:lang w:val="es-ES" w:eastAsia="es-ES"/>
        </w:rPr>
        <w:t>ó</w:t>
      </w:r>
      <w:r w:rsidRPr="00EE4731">
        <w:rPr>
          <w:rFonts w:eastAsiaTheme="minorEastAsia"/>
          <w:color w:val="000000" w:themeColor="text1"/>
          <w:szCs w:val="24"/>
          <w:lang w:val="es-ES" w:eastAsia="es-ES"/>
        </w:rPr>
        <w:t xml:space="preserve"> a la Comisión que </w:t>
      </w:r>
      <w:r w:rsidRPr="00EE4731">
        <w:rPr>
          <w:rFonts w:eastAsiaTheme="minorEastAsia"/>
          <w:i/>
          <w:iCs/>
          <w:color w:val="000000" w:themeColor="text1"/>
          <w:szCs w:val="24"/>
          <w:lang w:val="es-ES" w:eastAsia="es-ES"/>
        </w:rPr>
        <w:t xml:space="preserve">“se encuentra actualizando con la última información oficial disponible los siguientes insumos para las variables de entrada del modelo de planeación: i) Declaración de producción 2022-2031 publicada por el </w:t>
      </w:r>
      <w:proofErr w:type="spellStart"/>
      <w:r w:rsidRPr="00EE4731">
        <w:rPr>
          <w:rFonts w:eastAsiaTheme="minorEastAsia"/>
          <w:i/>
          <w:iCs/>
          <w:color w:val="000000" w:themeColor="text1"/>
          <w:szCs w:val="24"/>
          <w:lang w:val="es-ES" w:eastAsia="es-ES"/>
        </w:rPr>
        <w:t>Minenergía</w:t>
      </w:r>
      <w:proofErr w:type="spellEnd"/>
      <w:r w:rsidRPr="00EE4731">
        <w:rPr>
          <w:rFonts w:eastAsiaTheme="minorEastAsia"/>
          <w:i/>
          <w:iCs/>
          <w:color w:val="000000" w:themeColor="text1"/>
          <w:szCs w:val="24"/>
          <w:lang w:val="es-ES" w:eastAsia="es-ES"/>
        </w:rPr>
        <w:t xml:space="preserve"> en agosto de 2022; </w:t>
      </w:r>
      <w:proofErr w:type="spellStart"/>
      <w:r w:rsidRPr="00EE4731">
        <w:rPr>
          <w:rFonts w:eastAsiaTheme="minorEastAsia"/>
          <w:i/>
          <w:iCs/>
          <w:color w:val="000000" w:themeColor="text1"/>
          <w:szCs w:val="24"/>
          <w:lang w:val="es-ES" w:eastAsia="es-ES"/>
        </w:rPr>
        <w:t>ii</w:t>
      </w:r>
      <w:proofErr w:type="spellEnd"/>
      <w:r w:rsidRPr="00EE4731">
        <w:rPr>
          <w:rFonts w:eastAsiaTheme="minorEastAsia"/>
          <w:i/>
          <w:iCs/>
          <w:color w:val="000000" w:themeColor="text1"/>
          <w:szCs w:val="24"/>
          <w:lang w:val="es-ES" w:eastAsia="es-ES"/>
        </w:rPr>
        <w:t xml:space="preserve">) Proyección de demanda con la actualización que corresponde a la versión de junio 2022; y  </w:t>
      </w:r>
      <w:proofErr w:type="spellStart"/>
      <w:r w:rsidRPr="00EE4731">
        <w:rPr>
          <w:rFonts w:eastAsiaTheme="minorEastAsia"/>
          <w:i/>
          <w:iCs/>
          <w:color w:val="000000" w:themeColor="text1"/>
          <w:szCs w:val="24"/>
          <w:lang w:val="es-ES" w:eastAsia="es-ES"/>
        </w:rPr>
        <w:t>iii</w:t>
      </w:r>
      <w:proofErr w:type="spellEnd"/>
      <w:r w:rsidRPr="00EE4731">
        <w:rPr>
          <w:rFonts w:eastAsiaTheme="minorEastAsia"/>
          <w:i/>
          <w:iCs/>
          <w:color w:val="000000" w:themeColor="text1"/>
          <w:szCs w:val="24"/>
          <w:lang w:val="es-ES" w:eastAsia="es-ES"/>
        </w:rPr>
        <w:t>) Reservas, recursos contingentes y recursos prospectivos suministrados por la ANH el pasado 12 de agosto de 2022. Una vez se actualicen estas variables y se definan los escenarios de planeación se procederá a correr el modelo”</w:t>
      </w:r>
      <w:r>
        <w:rPr>
          <w:rFonts w:eastAsiaTheme="minorEastAsia"/>
          <w:i/>
          <w:iCs/>
          <w:color w:val="000000" w:themeColor="text1"/>
          <w:szCs w:val="24"/>
          <w:lang w:val="es-ES" w:eastAsia="es-ES"/>
        </w:rPr>
        <w:t>.</w:t>
      </w:r>
    </w:p>
    <w:p w14:paraId="6FD28959" w14:textId="77777777" w:rsidR="009A1B7F" w:rsidRDefault="009A1B7F" w:rsidP="00F80677">
      <w:pPr>
        <w:jc w:val="both"/>
        <w:rPr>
          <w:rFonts w:eastAsiaTheme="minorEastAsia"/>
          <w:i/>
          <w:iCs/>
          <w:color w:val="000000" w:themeColor="text1"/>
          <w:szCs w:val="24"/>
          <w:lang w:val="es-ES" w:eastAsia="es-ES"/>
        </w:rPr>
      </w:pPr>
    </w:p>
    <w:p w14:paraId="65D16C00" w14:textId="79D6C891" w:rsidR="00D350FF" w:rsidRDefault="00D350FF" w:rsidP="00D350FF">
      <w:pPr>
        <w:spacing w:after="0" w:line="257" w:lineRule="auto"/>
        <w:jc w:val="both"/>
        <w:rPr>
          <w:rFonts w:eastAsia="Bookman Old Style" w:cs="Bookman Old Style"/>
          <w:color w:val="000000" w:themeColor="text1"/>
          <w:szCs w:val="24"/>
          <w:lang w:val="es-ES"/>
        </w:rPr>
      </w:pPr>
      <w:bookmarkStart w:id="0" w:name="_Hlk133331480"/>
      <w:r w:rsidRPr="00D350FF">
        <w:rPr>
          <w:rFonts w:eastAsia="Bookman Old Style" w:cs="Bookman Old Style"/>
          <w:color w:val="000000" w:themeColor="text1"/>
          <w:szCs w:val="24"/>
          <w:lang w:val="es-ES"/>
        </w:rPr>
        <w:t>La UPME mediante los radicados CREG E-2022</w:t>
      </w:r>
      <w:r w:rsidR="008A5CB0">
        <w:rPr>
          <w:rFonts w:eastAsia="Bookman Old Style" w:cs="Bookman Old Style"/>
          <w:color w:val="000000" w:themeColor="text1"/>
          <w:szCs w:val="24"/>
          <w:lang w:val="es-ES"/>
        </w:rPr>
        <w:t>-</w:t>
      </w:r>
      <w:r w:rsidRPr="00D350FF">
        <w:rPr>
          <w:rFonts w:eastAsia="Bookman Old Style" w:cs="Bookman Old Style"/>
          <w:color w:val="000000" w:themeColor="text1"/>
          <w:szCs w:val="24"/>
          <w:lang w:val="es-ES"/>
        </w:rPr>
        <w:t>009723, E-2022</w:t>
      </w:r>
      <w:r w:rsidR="008A5CB0">
        <w:rPr>
          <w:rFonts w:eastAsia="Bookman Old Style" w:cs="Bookman Old Style"/>
          <w:color w:val="000000" w:themeColor="text1"/>
          <w:szCs w:val="24"/>
          <w:lang w:val="es-ES"/>
        </w:rPr>
        <w:t>-</w:t>
      </w:r>
      <w:r w:rsidRPr="00D350FF">
        <w:rPr>
          <w:rFonts w:eastAsia="Bookman Old Style" w:cs="Bookman Old Style"/>
          <w:color w:val="000000" w:themeColor="text1"/>
          <w:szCs w:val="24"/>
          <w:lang w:val="es-ES"/>
        </w:rPr>
        <w:t>009725, E-2022</w:t>
      </w:r>
      <w:r w:rsidR="008A5CB0">
        <w:rPr>
          <w:rFonts w:eastAsia="Bookman Old Style" w:cs="Bookman Old Style"/>
          <w:color w:val="000000" w:themeColor="text1"/>
          <w:szCs w:val="24"/>
          <w:lang w:val="es-ES"/>
        </w:rPr>
        <w:t>-</w:t>
      </w:r>
      <w:r w:rsidRPr="00D350FF">
        <w:rPr>
          <w:rFonts w:eastAsia="Bookman Old Style" w:cs="Bookman Old Style"/>
          <w:color w:val="000000" w:themeColor="text1"/>
          <w:szCs w:val="24"/>
          <w:lang w:val="es-ES"/>
        </w:rPr>
        <w:t>009728 del 31 de agosto del 2022 y CREG E-2022</w:t>
      </w:r>
      <w:r w:rsidR="008A5CB0">
        <w:rPr>
          <w:rFonts w:eastAsia="Bookman Old Style" w:cs="Bookman Old Style"/>
          <w:color w:val="000000" w:themeColor="text1"/>
          <w:szCs w:val="24"/>
          <w:lang w:val="es-ES"/>
        </w:rPr>
        <w:t>-</w:t>
      </w:r>
      <w:r w:rsidRPr="00D350FF">
        <w:rPr>
          <w:rFonts w:eastAsia="Bookman Old Style" w:cs="Bookman Old Style"/>
          <w:color w:val="000000" w:themeColor="text1"/>
          <w:szCs w:val="24"/>
          <w:lang w:val="es-ES"/>
        </w:rPr>
        <w:t xml:space="preserve">009821 del 02 de septiembre del 2022, dio respuesta al requerimiento realizado por la CREG en relación con el costo beneficio del proyecto IPAT </w:t>
      </w:r>
      <w:r w:rsidRPr="00D350FF">
        <w:rPr>
          <w:rFonts w:eastAsiaTheme="minorEastAsia"/>
          <w:color w:val="000000" w:themeColor="text1"/>
          <w:lang w:val="es-ES"/>
        </w:rPr>
        <w:t>Ampliación capacidad de transporte ramal Jamundí –Valle del Cauca</w:t>
      </w:r>
      <w:r w:rsidRPr="00D350FF">
        <w:rPr>
          <w:rFonts w:eastAsia="Bookman Old Style" w:cs="Bookman Old Style"/>
          <w:color w:val="000000" w:themeColor="text1"/>
          <w:szCs w:val="24"/>
          <w:lang w:val="es-ES"/>
        </w:rPr>
        <w:t xml:space="preserve">, así: </w:t>
      </w:r>
    </w:p>
    <w:bookmarkEnd w:id="0"/>
    <w:p w14:paraId="0AD34381" w14:textId="77777777" w:rsidR="00D350FF" w:rsidRPr="00EE4731" w:rsidRDefault="00D350FF" w:rsidP="00F80677">
      <w:pPr>
        <w:jc w:val="both"/>
        <w:rPr>
          <w:rFonts w:eastAsia="Times New Roman" w:cs="Arial"/>
          <w:color w:val="000000" w:themeColor="text1"/>
          <w:lang w:val="es-ES" w:eastAsia="es-ES"/>
        </w:rPr>
      </w:pPr>
    </w:p>
    <w:p w14:paraId="011FF156" w14:textId="77777777" w:rsidR="00017F10" w:rsidRPr="00017F10" w:rsidRDefault="00017F10" w:rsidP="00831A30">
      <w:pPr>
        <w:spacing w:line="257" w:lineRule="auto"/>
        <w:ind w:left="426"/>
        <w:jc w:val="both"/>
        <w:rPr>
          <w:rFonts w:eastAsiaTheme="minorEastAsia"/>
          <w:i/>
          <w:iCs/>
          <w:color w:val="000000" w:themeColor="text1"/>
          <w:szCs w:val="24"/>
          <w:lang w:val="es-ES" w:eastAsia="es-ES"/>
        </w:rPr>
      </w:pPr>
      <w:r w:rsidRPr="00017F10">
        <w:rPr>
          <w:rFonts w:eastAsiaTheme="minorEastAsia"/>
          <w:i/>
          <w:iCs/>
          <w:color w:val="000000" w:themeColor="text1"/>
          <w:szCs w:val="24"/>
          <w:lang w:val="es-ES" w:eastAsia="es-ES"/>
        </w:rPr>
        <w:t>“En respuesta a su solicitud le informamos que adjunto a la presente comunicación se remiten los resultados obtenidos por abastecimiento de la estimación del valor de racionamiento causado por la no disponibilidad del proyecto bajo los escenarios de oferta. Al respecto, es importante aclarar que: 1. De acuerdo con los análisis presentados por esta Unidad, se asume que el proyecto presenta un beneficio si su costo es inferior al promedio del valor de racionamiento total de los tres escenarios analizados (banda superior, media e inferior). 2. Conforme al numeral anterior, el beneficio identificado no es equivalente al valor de inversión de los proyectos IPAT en 2022 ni contiene la valoración económica de las externalidades asociadas al proyecto. 3. Los análisis realizados tienen como data de insumo la declaración de producción 2021 y proyección de demanda 2021”.</w:t>
      </w:r>
    </w:p>
    <w:p w14:paraId="72BD8477" w14:textId="77777777" w:rsidR="00F80677" w:rsidRDefault="00F80677" w:rsidP="64024036">
      <w:pPr>
        <w:spacing w:line="257" w:lineRule="auto"/>
        <w:jc w:val="both"/>
        <w:rPr>
          <w:rFonts w:eastAsiaTheme="minorEastAsia"/>
          <w:color w:val="000000" w:themeColor="text1"/>
          <w:szCs w:val="24"/>
          <w:lang w:val="es-ES"/>
        </w:rPr>
      </w:pPr>
    </w:p>
    <w:p w14:paraId="5902FC1F" w14:textId="4B9E6098" w:rsidR="007B7E5F" w:rsidRPr="009329CA" w:rsidRDefault="004C37D7" w:rsidP="007B7E5F">
      <w:pPr>
        <w:jc w:val="both"/>
        <w:rPr>
          <w:rFonts w:eastAsiaTheme="minorEastAsia"/>
          <w:i/>
          <w:iCs/>
          <w:color w:val="000000" w:themeColor="text1"/>
          <w:lang w:val="es-ES"/>
        </w:rPr>
      </w:pPr>
      <w:r>
        <w:rPr>
          <w:rFonts w:eastAsiaTheme="minorEastAsia"/>
          <w:color w:val="000000" w:themeColor="text1"/>
          <w:szCs w:val="24"/>
          <w:lang w:val="es-ES"/>
        </w:rPr>
        <w:t>P</w:t>
      </w:r>
      <w:r w:rsidR="00017F10">
        <w:rPr>
          <w:rFonts w:eastAsiaTheme="minorEastAsia"/>
          <w:color w:val="000000" w:themeColor="text1"/>
          <w:szCs w:val="24"/>
          <w:lang w:val="es-ES"/>
        </w:rPr>
        <w:t xml:space="preserve">ara el proyecto </w:t>
      </w:r>
      <w:r w:rsidR="007B7E5F">
        <w:rPr>
          <w:rFonts w:eastAsiaTheme="minorEastAsia"/>
          <w:color w:val="000000" w:themeColor="text1"/>
          <w:szCs w:val="24"/>
          <w:lang w:val="es-ES"/>
        </w:rPr>
        <w:t xml:space="preserve">IPAT </w:t>
      </w:r>
      <w:r w:rsidR="007B7E5F">
        <w:rPr>
          <w:rFonts w:eastAsiaTheme="minorEastAsia"/>
          <w:color w:val="000000" w:themeColor="text1"/>
          <w:lang w:val="es-ES"/>
        </w:rPr>
        <w:t xml:space="preserve">Ampliación </w:t>
      </w:r>
      <w:r w:rsidR="006467D4">
        <w:rPr>
          <w:rFonts w:eastAsiaTheme="minorEastAsia"/>
          <w:color w:val="000000" w:themeColor="text1"/>
          <w:lang w:val="es-ES"/>
        </w:rPr>
        <w:t>c</w:t>
      </w:r>
      <w:r w:rsidR="007B7E5F">
        <w:rPr>
          <w:rFonts w:eastAsiaTheme="minorEastAsia"/>
          <w:color w:val="000000" w:themeColor="text1"/>
          <w:lang w:val="es-ES"/>
        </w:rPr>
        <w:t xml:space="preserve">apacidad de </w:t>
      </w:r>
      <w:r w:rsidR="006467D4">
        <w:rPr>
          <w:rFonts w:eastAsiaTheme="minorEastAsia"/>
          <w:color w:val="000000" w:themeColor="text1"/>
          <w:lang w:val="es-ES"/>
        </w:rPr>
        <w:t>t</w:t>
      </w:r>
      <w:r w:rsidR="007B7E5F">
        <w:rPr>
          <w:rFonts w:eastAsiaTheme="minorEastAsia"/>
          <w:color w:val="000000" w:themeColor="text1"/>
          <w:lang w:val="es-ES"/>
        </w:rPr>
        <w:t>ransporte ramal Jamundí – Valle del Cauca</w:t>
      </w:r>
      <w:r w:rsidR="00160575">
        <w:rPr>
          <w:rFonts w:eastAsiaTheme="minorEastAsia"/>
          <w:color w:val="000000" w:themeColor="text1"/>
          <w:lang w:val="es-ES"/>
        </w:rPr>
        <w:t>,</w:t>
      </w:r>
      <w:r w:rsidR="007B7E5F">
        <w:rPr>
          <w:rFonts w:eastAsiaTheme="minorEastAsia"/>
          <w:color w:val="000000" w:themeColor="text1"/>
          <w:lang w:val="es-ES"/>
        </w:rPr>
        <w:t xml:space="preserve"> la </w:t>
      </w:r>
      <w:r w:rsidR="001560D5">
        <w:rPr>
          <w:rFonts w:eastAsiaTheme="minorEastAsia"/>
          <w:color w:val="000000" w:themeColor="text1"/>
          <w:lang w:val="es-ES"/>
        </w:rPr>
        <w:t xml:space="preserve">UPME </w:t>
      </w:r>
      <w:r>
        <w:rPr>
          <w:rFonts w:eastAsiaTheme="minorEastAsia"/>
          <w:color w:val="000000" w:themeColor="text1"/>
          <w:lang w:val="es-ES"/>
        </w:rPr>
        <w:t>señal</w:t>
      </w:r>
      <w:r w:rsidR="002C770A">
        <w:rPr>
          <w:rFonts w:eastAsiaTheme="minorEastAsia"/>
          <w:color w:val="000000" w:themeColor="text1"/>
          <w:lang w:val="es-ES"/>
        </w:rPr>
        <w:t>ó</w:t>
      </w:r>
      <w:r w:rsidR="001560D5">
        <w:rPr>
          <w:rFonts w:eastAsiaTheme="minorEastAsia"/>
          <w:color w:val="000000" w:themeColor="text1"/>
          <w:lang w:val="es-ES"/>
        </w:rPr>
        <w:t>:</w:t>
      </w:r>
    </w:p>
    <w:p w14:paraId="0AD74FE0" w14:textId="628F075A" w:rsidR="00017F10" w:rsidRDefault="00017F10" w:rsidP="64024036">
      <w:pPr>
        <w:spacing w:line="257" w:lineRule="auto"/>
        <w:jc w:val="both"/>
        <w:rPr>
          <w:rFonts w:eastAsiaTheme="minorEastAsia"/>
          <w:color w:val="000000" w:themeColor="text1"/>
          <w:szCs w:val="24"/>
          <w:lang w:val="es-ES"/>
        </w:rPr>
      </w:pPr>
    </w:p>
    <w:p w14:paraId="0CF54368" w14:textId="3B2440C7" w:rsidR="00017F10" w:rsidRPr="008612E1" w:rsidRDefault="008612E1" w:rsidP="00831A30">
      <w:pPr>
        <w:spacing w:line="257" w:lineRule="auto"/>
        <w:ind w:left="426"/>
        <w:jc w:val="both"/>
        <w:rPr>
          <w:rFonts w:eastAsiaTheme="minorEastAsia"/>
          <w:i/>
          <w:iCs/>
          <w:color w:val="000000" w:themeColor="text1"/>
          <w:szCs w:val="24"/>
          <w:lang w:val="es-ES" w:eastAsia="es-ES"/>
        </w:rPr>
      </w:pPr>
      <w:r>
        <w:rPr>
          <w:rFonts w:eastAsiaTheme="minorEastAsia"/>
          <w:i/>
          <w:iCs/>
          <w:color w:val="000000" w:themeColor="text1"/>
          <w:szCs w:val="24"/>
          <w:lang w:val="es-ES" w:eastAsia="es-ES"/>
        </w:rPr>
        <w:t>“</w:t>
      </w:r>
      <w:r w:rsidRPr="008612E1">
        <w:rPr>
          <w:rFonts w:eastAsiaTheme="minorEastAsia"/>
          <w:i/>
          <w:iCs/>
          <w:color w:val="000000" w:themeColor="text1"/>
          <w:szCs w:val="24"/>
          <w:lang w:val="es-ES" w:eastAsia="es-ES"/>
        </w:rPr>
        <w:t>Teniendo en cuenta los análisis presentados, se asume que este proyecto IPAT presenta</w:t>
      </w:r>
      <w:r>
        <w:rPr>
          <w:rFonts w:eastAsiaTheme="minorEastAsia"/>
          <w:i/>
          <w:iCs/>
          <w:color w:val="000000" w:themeColor="text1"/>
          <w:szCs w:val="24"/>
          <w:lang w:val="es-ES" w:eastAsia="es-ES"/>
        </w:rPr>
        <w:t xml:space="preserve"> </w:t>
      </w:r>
      <w:r w:rsidRPr="008612E1">
        <w:rPr>
          <w:rFonts w:eastAsiaTheme="minorEastAsia"/>
          <w:i/>
          <w:iCs/>
          <w:color w:val="000000" w:themeColor="text1"/>
          <w:szCs w:val="24"/>
          <w:lang w:val="es-ES" w:eastAsia="es-ES"/>
        </w:rPr>
        <w:t>beneficio si su costo es inferior al promedio del valor de racionamiento total de los tres</w:t>
      </w:r>
      <w:r>
        <w:rPr>
          <w:rFonts w:eastAsiaTheme="minorEastAsia"/>
          <w:i/>
          <w:iCs/>
          <w:color w:val="000000" w:themeColor="text1"/>
          <w:szCs w:val="24"/>
          <w:lang w:val="es-ES" w:eastAsia="es-ES"/>
        </w:rPr>
        <w:t xml:space="preserve"> </w:t>
      </w:r>
      <w:r w:rsidRPr="008612E1">
        <w:rPr>
          <w:rFonts w:eastAsiaTheme="minorEastAsia"/>
          <w:i/>
          <w:iCs/>
          <w:color w:val="000000" w:themeColor="text1"/>
          <w:szCs w:val="24"/>
          <w:lang w:val="es-ES" w:eastAsia="es-ES"/>
        </w:rPr>
        <w:t xml:space="preserve">escenarios analizados, el cual se determina en 42.6 MUSD (Valor Presente </w:t>
      </w:r>
      <w:proofErr w:type="gramStart"/>
      <w:r w:rsidRPr="008612E1">
        <w:rPr>
          <w:rFonts w:eastAsiaTheme="minorEastAsia"/>
          <w:i/>
          <w:iCs/>
          <w:color w:val="000000" w:themeColor="text1"/>
          <w:szCs w:val="24"/>
          <w:lang w:val="es-ES" w:eastAsia="es-ES"/>
        </w:rPr>
        <w:t>Dic.</w:t>
      </w:r>
      <w:proofErr w:type="gramEnd"/>
      <w:r w:rsidRPr="008612E1">
        <w:rPr>
          <w:rFonts w:eastAsiaTheme="minorEastAsia"/>
          <w:i/>
          <w:iCs/>
          <w:color w:val="000000" w:themeColor="text1"/>
          <w:szCs w:val="24"/>
          <w:lang w:val="es-ES" w:eastAsia="es-ES"/>
        </w:rPr>
        <w:t xml:space="preserve"> 2021)</w:t>
      </w:r>
      <w:r>
        <w:rPr>
          <w:rFonts w:eastAsiaTheme="minorEastAsia"/>
          <w:i/>
          <w:iCs/>
          <w:color w:val="000000" w:themeColor="text1"/>
          <w:szCs w:val="24"/>
          <w:lang w:val="es-ES" w:eastAsia="es-ES"/>
        </w:rPr>
        <w:t>”</w:t>
      </w:r>
      <w:r w:rsidRPr="008612E1">
        <w:rPr>
          <w:rFonts w:eastAsiaTheme="minorEastAsia"/>
          <w:i/>
          <w:iCs/>
          <w:color w:val="000000" w:themeColor="text1"/>
          <w:szCs w:val="24"/>
          <w:lang w:val="es-ES" w:eastAsia="es-ES"/>
        </w:rPr>
        <w:t>.</w:t>
      </w:r>
    </w:p>
    <w:p w14:paraId="722D66EF" w14:textId="4D3A3A4A" w:rsidR="0511A894" w:rsidRDefault="008A5CB0" w:rsidP="7A210EA7">
      <w:pPr>
        <w:spacing w:line="257" w:lineRule="auto"/>
        <w:jc w:val="both"/>
        <w:rPr>
          <w:rFonts w:eastAsiaTheme="minorEastAsia"/>
          <w:color w:val="000000" w:themeColor="text1"/>
          <w:szCs w:val="24"/>
          <w:lang w:val="es-ES"/>
        </w:rPr>
      </w:pPr>
      <w:r w:rsidRPr="008A5CB0">
        <w:rPr>
          <w:rFonts w:eastAsiaTheme="minorEastAsia"/>
          <w:color w:val="000000" w:themeColor="text1"/>
          <w:szCs w:val="24"/>
          <w:lang w:val="es-ES"/>
        </w:rPr>
        <w:t xml:space="preserve">Tomando en consideración </w:t>
      </w:r>
      <w:r w:rsidRPr="00F4419C">
        <w:rPr>
          <w:rFonts w:eastAsiaTheme="minorEastAsia"/>
          <w:color w:val="000000" w:themeColor="text1"/>
          <w:szCs w:val="24"/>
          <w:lang w:val="es-ES"/>
        </w:rPr>
        <w:t xml:space="preserve">el valor de inversión y las especificaciones del proyecto IPAT </w:t>
      </w:r>
      <w:r w:rsidR="00455BDF">
        <w:rPr>
          <w:rFonts w:eastAsiaTheme="minorEastAsia"/>
          <w:color w:val="000000" w:themeColor="text1"/>
          <w:szCs w:val="24"/>
          <w:lang w:val="es-ES"/>
        </w:rPr>
        <w:t xml:space="preserve">Ampliación capacidad de transporte </w:t>
      </w:r>
      <w:r w:rsidR="000979CC">
        <w:rPr>
          <w:rFonts w:eastAsiaTheme="minorEastAsia"/>
          <w:color w:val="000000" w:themeColor="text1"/>
          <w:szCs w:val="24"/>
          <w:lang w:val="es-ES"/>
        </w:rPr>
        <w:t xml:space="preserve">ramal Jamundí – Valle del Cauca </w:t>
      </w:r>
      <w:r w:rsidRPr="00F4419C">
        <w:rPr>
          <w:rFonts w:eastAsiaTheme="minorEastAsia"/>
          <w:color w:val="000000" w:themeColor="text1"/>
          <w:szCs w:val="24"/>
          <w:lang w:val="es-ES"/>
        </w:rPr>
        <w:t xml:space="preserve">por TGI S.A. E.S.P mediante radicado </w:t>
      </w:r>
      <w:r w:rsidRPr="00F4419C">
        <w:rPr>
          <w:rFonts w:eastAsiaTheme="minorEastAsia"/>
          <w:color w:val="000000" w:themeColor="text1"/>
          <w:lang w:val="es-ES"/>
        </w:rPr>
        <w:t xml:space="preserve">CREG E-2022-000476 del 11 de enero de 2022, </w:t>
      </w:r>
      <w:r w:rsidRPr="00F4419C">
        <w:rPr>
          <w:rFonts w:eastAsiaTheme="minorEastAsia"/>
          <w:color w:val="000000" w:themeColor="text1"/>
          <w:szCs w:val="24"/>
          <w:lang w:val="es-ES"/>
        </w:rPr>
        <w:t>la Comisión identificó la necesidad de contar con un concepto técnico al respecto.</w:t>
      </w:r>
    </w:p>
    <w:p w14:paraId="51EAD055" w14:textId="77777777" w:rsidR="008A5CB0" w:rsidRDefault="008A5CB0" w:rsidP="7D026996">
      <w:pPr>
        <w:jc w:val="both"/>
        <w:rPr>
          <w:rFonts w:eastAsiaTheme="minorEastAsia"/>
          <w:color w:val="000000" w:themeColor="text1"/>
          <w:lang w:val="es-ES"/>
        </w:rPr>
      </w:pPr>
    </w:p>
    <w:p w14:paraId="47CFB7A0" w14:textId="536C0B5C" w:rsidR="0511A894" w:rsidRDefault="628A9E20" w:rsidP="7D026996">
      <w:pPr>
        <w:jc w:val="both"/>
        <w:rPr>
          <w:rFonts w:eastAsiaTheme="minorEastAsia"/>
          <w:color w:val="000000" w:themeColor="text1"/>
          <w:lang w:val="es-ES"/>
        </w:rPr>
      </w:pPr>
      <w:r w:rsidRPr="00CD6FE6">
        <w:rPr>
          <w:rFonts w:eastAsiaTheme="minorEastAsia"/>
          <w:color w:val="000000" w:themeColor="text1"/>
          <w:lang w:val="es-ES"/>
        </w:rPr>
        <w:t xml:space="preserve">Mediante </w:t>
      </w:r>
      <w:r w:rsidR="00587911" w:rsidRPr="00CD6FE6">
        <w:rPr>
          <w:rFonts w:eastAsiaTheme="minorEastAsia"/>
          <w:color w:val="000000" w:themeColor="text1"/>
          <w:lang w:val="es-ES"/>
        </w:rPr>
        <w:t>el auto</w:t>
      </w:r>
      <w:r w:rsidR="00425D88" w:rsidRPr="00CD6FE6">
        <w:rPr>
          <w:rFonts w:eastAsiaTheme="minorEastAsia"/>
          <w:color w:val="000000" w:themeColor="text1"/>
          <w:lang w:val="es-ES"/>
        </w:rPr>
        <w:t xml:space="preserve"> </w:t>
      </w:r>
      <w:r w:rsidR="004C37D7" w:rsidRPr="00CD6FE6">
        <w:rPr>
          <w:rFonts w:eastAsiaTheme="minorEastAsia"/>
          <w:color w:val="000000" w:themeColor="text1"/>
          <w:lang w:val="es-ES"/>
        </w:rPr>
        <w:t xml:space="preserve">CREG </w:t>
      </w:r>
      <w:r w:rsidRPr="00CD6FE6">
        <w:rPr>
          <w:rFonts w:eastAsiaTheme="minorEastAsia"/>
          <w:color w:val="000000" w:themeColor="text1"/>
          <w:lang w:val="es-ES"/>
        </w:rPr>
        <w:t>I</w:t>
      </w:r>
      <w:r w:rsidR="004C37D7" w:rsidRPr="00CD6FE6">
        <w:rPr>
          <w:rFonts w:eastAsiaTheme="minorEastAsia"/>
          <w:color w:val="000000" w:themeColor="text1"/>
          <w:lang w:val="es-ES"/>
        </w:rPr>
        <w:t>-</w:t>
      </w:r>
      <w:r w:rsidRPr="00CD6FE6">
        <w:rPr>
          <w:rFonts w:eastAsiaTheme="minorEastAsia"/>
          <w:color w:val="000000" w:themeColor="text1"/>
          <w:lang w:val="es-ES"/>
        </w:rPr>
        <w:t>2022</w:t>
      </w:r>
      <w:r w:rsidR="008A5CB0" w:rsidRPr="00CD6FE6">
        <w:rPr>
          <w:rFonts w:eastAsiaTheme="minorEastAsia"/>
          <w:color w:val="000000" w:themeColor="text1"/>
          <w:lang w:val="es-ES"/>
        </w:rPr>
        <w:t>-</w:t>
      </w:r>
      <w:r w:rsidRPr="00CD6FE6">
        <w:rPr>
          <w:rFonts w:eastAsiaTheme="minorEastAsia"/>
          <w:color w:val="000000" w:themeColor="text1"/>
          <w:lang w:val="es-ES"/>
        </w:rPr>
        <w:t>007059</w:t>
      </w:r>
      <w:r w:rsidR="00BE56E9" w:rsidRPr="00CD6FE6">
        <w:rPr>
          <w:rFonts w:eastAsiaTheme="minorEastAsia"/>
          <w:color w:val="000000" w:themeColor="text1"/>
          <w:lang w:val="es-ES"/>
        </w:rPr>
        <w:t xml:space="preserve"> del</w:t>
      </w:r>
      <w:r w:rsidR="0036567C" w:rsidRPr="00CD6FE6">
        <w:rPr>
          <w:rFonts w:eastAsiaTheme="minorEastAsia"/>
          <w:color w:val="000000" w:themeColor="text1"/>
          <w:lang w:val="es-ES"/>
        </w:rPr>
        <w:t xml:space="preserve"> 7 de septiembre de 2022</w:t>
      </w:r>
      <w:r w:rsidR="00EE6D33">
        <w:rPr>
          <w:rFonts w:eastAsiaTheme="minorEastAsia"/>
          <w:color w:val="000000" w:themeColor="text1"/>
          <w:lang w:val="es-ES"/>
        </w:rPr>
        <w:t>,</w:t>
      </w:r>
      <w:r w:rsidRPr="00CD6FE6">
        <w:rPr>
          <w:rFonts w:eastAsiaTheme="minorEastAsia"/>
          <w:color w:val="000000" w:themeColor="text1"/>
          <w:lang w:val="es-ES"/>
        </w:rPr>
        <w:t xml:space="preserve"> </w:t>
      </w:r>
      <w:r w:rsidR="00316315" w:rsidRPr="00CD6FE6">
        <w:rPr>
          <w:rFonts w:eastAsiaTheme="minorEastAsia"/>
          <w:color w:val="000000" w:themeColor="text1"/>
          <w:lang w:val="es-ES"/>
        </w:rPr>
        <w:t>la CREG orden</w:t>
      </w:r>
      <w:r w:rsidR="00EE6D33">
        <w:rPr>
          <w:rFonts w:eastAsiaTheme="minorEastAsia"/>
          <w:color w:val="000000" w:themeColor="text1"/>
          <w:lang w:val="es-ES"/>
        </w:rPr>
        <w:t>ó</w:t>
      </w:r>
      <w:r w:rsidR="0511A894" w:rsidRPr="00CD6FE6">
        <w:rPr>
          <w:rFonts w:eastAsiaTheme="minorEastAsia"/>
          <w:color w:val="000000" w:themeColor="text1"/>
          <w:lang w:val="es-ES"/>
        </w:rPr>
        <w:t xml:space="preserve"> decretar la práctica de una prueba pericial </w:t>
      </w:r>
      <w:r w:rsidR="002C770A" w:rsidRPr="00CD6FE6">
        <w:rPr>
          <w:rFonts w:eastAsiaTheme="minorEastAsia"/>
          <w:color w:val="000000" w:themeColor="text1"/>
          <w:lang w:val="es-ES"/>
        </w:rPr>
        <w:t xml:space="preserve">para verificar la información y las especificaciones </w:t>
      </w:r>
      <w:r w:rsidR="002C770A">
        <w:rPr>
          <w:rFonts w:eastAsiaTheme="minorEastAsia"/>
          <w:color w:val="000000" w:themeColor="text1"/>
          <w:lang w:val="es-ES"/>
        </w:rPr>
        <w:t>del</w:t>
      </w:r>
      <w:r w:rsidR="0511A894" w:rsidRPr="00CD6FE6">
        <w:rPr>
          <w:rFonts w:eastAsiaTheme="minorEastAsia"/>
          <w:color w:val="000000" w:themeColor="text1"/>
          <w:lang w:val="es-ES"/>
        </w:rPr>
        <w:t xml:space="preserve"> proyecto IPAT Ampliación </w:t>
      </w:r>
      <w:r w:rsidR="006467D4" w:rsidRPr="00CD6FE6">
        <w:rPr>
          <w:rFonts w:eastAsiaTheme="minorEastAsia"/>
          <w:color w:val="000000" w:themeColor="text1"/>
          <w:lang w:val="es-ES"/>
        </w:rPr>
        <w:t>c</w:t>
      </w:r>
      <w:r w:rsidR="0511A894" w:rsidRPr="00CD6FE6">
        <w:rPr>
          <w:rFonts w:eastAsiaTheme="minorEastAsia"/>
          <w:color w:val="000000" w:themeColor="text1"/>
          <w:lang w:val="es-ES"/>
        </w:rPr>
        <w:t>apacidad de transporte ramal Jamundí-Valle del Cauca</w:t>
      </w:r>
      <w:r w:rsidR="002C770A">
        <w:rPr>
          <w:rFonts w:eastAsiaTheme="minorEastAsia"/>
          <w:color w:val="000000" w:themeColor="text1"/>
          <w:lang w:val="es-ES"/>
        </w:rPr>
        <w:t>,</w:t>
      </w:r>
      <w:r w:rsidR="00BE56E9" w:rsidRPr="00CD6FE6">
        <w:rPr>
          <w:rFonts w:eastAsiaTheme="minorEastAsia"/>
          <w:color w:val="000000" w:themeColor="text1"/>
          <w:lang w:val="es-ES"/>
        </w:rPr>
        <w:t xml:space="preserve"> en línea con el Plan de Abastecimiento de Gas Natural y determinar su</w:t>
      </w:r>
      <w:r w:rsidR="00BE56E9">
        <w:rPr>
          <w:rFonts w:eastAsiaTheme="minorEastAsia"/>
          <w:color w:val="000000" w:themeColor="text1"/>
          <w:lang w:val="es-ES"/>
        </w:rPr>
        <w:t xml:space="preserve"> valor y los gastos de AOM en pesos de diciembre de 2021 para una infraestructura embebida en una red de transporte.</w:t>
      </w:r>
      <w:r w:rsidR="0511A894" w:rsidRPr="7D026996">
        <w:rPr>
          <w:rFonts w:eastAsiaTheme="minorEastAsia"/>
          <w:color w:val="000000" w:themeColor="text1"/>
          <w:lang w:val="es-ES"/>
        </w:rPr>
        <w:t xml:space="preserve"> </w:t>
      </w:r>
    </w:p>
    <w:p w14:paraId="010E3BAD" w14:textId="733BDF8F" w:rsidR="7D026996" w:rsidRDefault="7D026996" w:rsidP="7D026996">
      <w:pPr>
        <w:jc w:val="both"/>
        <w:rPr>
          <w:rFonts w:eastAsiaTheme="minorEastAsia"/>
          <w:color w:val="000000" w:themeColor="text1"/>
          <w:lang w:val="es-ES"/>
        </w:rPr>
      </w:pPr>
    </w:p>
    <w:p w14:paraId="76570852" w14:textId="531E48B3" w:rsidR="4AA86F1F" w:rsidRPr="00AE4791" w:rsidRDefault="00316315" w:rsidP="00213028">
      <w:pPr>
        <w:spacing w:after="0"/>
        <w:jc w:val="both"/>
        <w:rPr>
          <w:rFonts w:eastAsia="Bookman Old Style" w:cs="Bookman Old Style"/>
          <w:szCs w:val="24"/>
          <w:lang w:val="es-ES"/>
        </w:rPr>
      </w:pPr>
      <w:r>
        <w:rPr>
          <w:rFonts w:eastAsia="Bookman Old Style" w:cs="Bookman Old Style"/>
          <w:szCs w:val="24"/>
          <w:lang w:val="es-ES"/>
        </w:rPr>
        <w:t>En atención al mencionado auto, m</w:t>
      </w:r>
      <w:r w:rsidR="4AA86F1F" w:rsidRPr="00AE4791">
        <w:rPr>
          <w:rFonts w:eastAsia="Bookman Old Style" w:cs="Bookman Old Style"/>
          <w:szCs w:val="24"/>
          <w:lang w:val="es-ES"/>
        </w:rPr>
        <w:t xml:space="preserve">ediante la Resolución CREG 502 028 de 2022 del 29 de septiembre de 2022, </w:t>
      </w:r>
      <w:r w:rsidR="008A5CB0">
        <w:rPr>
          <w:rFonts w:eastAsia="Bookman Old Style" w:cs="Bookman Old Style"/>
          <w:szCs w:val="24"/>
          <w:lang w:val="es-ES"/>
        </w:rPr>
        <w:t xml:space="preserve">se </w:t>
      </w:r>
      <w:r w:rsidR="4AA86F1F" w:rsidRPr="00AE4791">
        <w:rPr>
          <w:rFonts w:eastAsia="Bookman Old Style" w:cs="Bookman Old Style"/>
          <w:szCs w:val="24"/>
          <w:lang w:val="es-ES"/>
        </w:rPr>
        <w:t xml:space="preserve">decretó la práctica de seis pruebas periciales para cada uno de los siguientes proyectos: i. Capacidad de transporte en el tramo Mariquita – Gualanday (Capacidad 20 MPCD); </w:t>
      </w:r>
      <w:proofErr w:type="spellStart"/>
      <w:r w:rsidR="4AA86F1F" w:rsidRPr="00AE4791">
        <w:rPr>
          <w:rFonts w:eastAsia="Bookman Old Style" w:cs="Bookman Old Style"/>
          <w:szCs w:val="24"/>
          <w:lang w:val="es-ES"/>
        </w:rPr>
        <w:t>ii</w:t>
      </w:r>
      <w:proofErr w:type="spellEnd"/>
      <w:r w:rsidR="4AA86F1F" w:rsidRPr="00AE4791">
        <w:rPr>
          <w:rFonts w:eastAsia="Bookman Old Style" w:cs="Bookman Old Style"/>
          <w:szCs w:val="24"/>
          <w:lang w:val="es-ES"/>
        </w:rPr>
        <w:t xml:space="preserve">. Bidireccionalidad Barrancabermeja – Ballena (Capacidad 100 MPCD); </w:t>
      </w:r>
      <w:proofErr w:type="spellStart"/>
      <w:r w:rsidR="4AA86F1F" w:rsidRPr="00AE4791">
        <w:rPr>
          <w:rFonts w:eastAsia="Bookman Old Style" w:cs="Bookman Old Style"/>
          <w:szCs w:val="24"/>
          <w:lang w:val="es-ES"/>
        </w:rPr>
        <w:t>iii</w:t>
      </w:r>
      <w:proofErr w:type="spellEnd"/>
      <w:r w:rsidR="4AA86F1F" w:rsidRPr="00AE4791">
        <w:rPr>
          <w:rFonts w:eastAsia="Bookman Old Style" w:cs="Bookman Old Style"/>
          <w:szCs w:val="24"/>
          <w:lang w:val="es-ES"/>
        </w:rPr>
        <w:t xml:space="preserve">. Bidireccionalidad Barranquilla – Ballena (Capacidad 170 MPCD); </w:t>
      </w:r>
      <w:proofErr w:type="spellStart"/>
      <w:r w:rsidR="4AA86F1F" w:rsidRPr="00AE4791">
        <w:rPr>
          <w:rFonts w:eastAsia="Bookman Old Style" w:cs="Bookman Old Style"/>
          <w:szCs w:val="24"/>
          <w:lang w:val="es-ES"/>
        </w:rPr>
        <w:t>iv</w:t>
      </w:r>
      <w:proofErr w:type="spellEnd"/>
      <w:r w:rsidR="4AA86F1F" w:rsidRPr="00AE4791">
        <w:rPr>
          <w:rFonts w:eastAsia="Bookman Old Style" w:cs="Bookman Old Style"/>
          <w:szCs w:val="24"/>
          <w:lang w:val="es-ES"/>
        </w:rPr>
        <w:t>. Interconexión Barranquilla – Ballena con Ballena – Barrancabermeja (Capacidad 170 MPCD) v. Ampliación capacidad de transporte ramal Jamundí – Valle del Cauca (Atención en el nodo Popayán 3 MPCD) y vi. Bidireccionalidad Yumbo – Mariquita (Capacidad 250 MPCD)</w:t>
      </w:r>
      <w:r w:rsidR="004141DC">
        <w:rPr>
          <w:rFonts w:eastAsia="Bookman Old Style" w:cs="Bookman Old Style"/>
          <w:szCs w:val="24"/>
          <w:lang w:val="es-ES"/>
        </w:rPr>
        <w:t xml:space="preserve"> con el objetivo de</w:t>
      </w:r>
      <w:r w:rsidR="4AA86F1F" w:rsidRPr="00AE4791">
        <w:rPr>
          <w:rFonts w:eastAsia="Bookman Old Style" w:cs="Bookman Old Style"/>
          <w:szCs w:val="24"/>
          <w:lang w:val="es-ES"/>
        </w:rPr>
        <w:t>:</w:t>
      </w:r>
    </w:p>
    <w:p w14:paraId="4E931CEB" w14:textId="2A60F7B0" w:rsidR="7D026996" w:rsidRPr="00977451" w:rsidRDefault="7D026996" w:rsidP="00831A30">
      <w:pPr>
        <w:ind w:left="284"/>
        <w:jc w:val="both"/>
        <w:rPr>
          <w:rFonts w:eastAsiaTheme="minorEastAsia"/>
          <w:i/>
          <w:iCs/>
          <w:color w:val="000000" w:themeColor="text1"/>
          <w:szCs w:val="24"/>
          <w:lang w:val="es-ES" w:eastAsia="es-ES"/>
        </w:rPr>
      </w:pPr>
    </w:p>
    <w:p w14:paraId="2784FD6A" w14:textId="55A7C7C4" w:rsidR="4AA86F1F" w:rsidRPr="00977451" w:rsidRDefault="4AA86F1F" w:rsidP="00831A30">
      <w:pPr>
        <w:spacing w:line="257" w:lineRule="auto"/>
        <w:ind w:left="426" w:hanging="283"/>
        <w:jc w:val="both"/>
        <w:rPr>
          <w:rFonts w:eastAsiaTheme="minorEastAsia"/>
          <w:i/>
          <w:iCs/>
          <w:color w:val="000000" w:themeColor="text1"/>
          <w:szCs w:val="24"/>
          <w:lang w:val="es-ES" w:eastAsia="es-ES"/>
        </w:rPr>
      </w:pPr>
      <w:r w:rsidRPr="00977451">
        <w:rPr>
          <w:rFonts w:eastAsiaTheme="minorEastAsia"/>
          <w:i/>
          <w:iCs/>
          <w:color w:val="000000" w:themeColor="text1"/>
          <w:szCs w:val="24"/>
          <w:lang w:val="es-ES" w:eastAsia="es-ES"/>
        </w:rPr>
        <w:t>“i. Verificar que con la información y las especificaciones de los proyectos entregados por las empresas a la Comisión se puede prestar el servicio de acuerdo con las características que para cada proyecto se definen en el Plan De Abastecimiento de Gas Natural adoptado en la Resolución MME 40304 de 2020.</w:t>
      </w:r>
    </w:p>
    <w:p w14:paraId="7BF7DA22" w14:textId="0BCE14DB" w:rsidR="7D026996" w:rsidRPr="00977451" w:rsidRDefault="7D026996" w:rsidP="00831A30">
      <w:pPr>
        <w:spacing w:line="257" w:lineRule="auto"/>
        <w:ind w:left="426" w:hanging="283"/>
        <w:jc w:val="both"/>
        <w:rPr>
          <w:rFonts w:eastAsiaTheme="minorEastAsia"/>
          <w:i/>
          <w:iCs/>
          <w:color w:val="000000" w:themeColor="text1"/>
          <w:szCs w:val="24"/>
          <w:lang w:val="es-ES" w:eastAsia="es-ES"/>
        </w:rPr>
      </w:pPr>
    </w:p>
    <w:p w14:paraId="5532DF9B" w14:textId="21C90923" w:rsidR="4AA86F1F" w:rsidRPr="00977451" w:rsidRDefault="4AA86F1F" w:rsidP="00831A30">
      <w:pPr>
        <w:spacing w:line="257" w:lineRule="auto"/>
        <w:ind w:left="426" w:hanging="283"/>
        <w:jc w:val="both"/>
        <w:rPr>
          <w:rFonts w:eastAsiaTheme="minorEastAsia"/>
          <w:i/>
          <w:iCs/>
          <w:color w:val="000000" w:themeColor="text1"/>
          <w:szCs w:val="24"/>
          <w:lang w:val="es-ES" w:eastAsia="es-ES"/>
        </w:rPr>
      </w:pPr>
      <w:proofErr w:type="spellStart"/>
      <w:r w:rsidRPr="00977451">
        <w:rPr>
          <w:rFonts w:eastAsiaTheme="minorEastAsia"/>
          <w:i/>
          <w:iCs/>
          <w:color w:val="000000" w:themeColor="text1"/>
          <w:szCs w:val="24"/>
          <w:lang w:val="es-ES" w:eastAsia="es-ES"/>
        </w:rPr>
        <w:t>ii</w:t>
      </w:r>
      <w:proofErr w:type="spellEnd"/>
      <w:r w:rsidRPr="00977451">
        <w:rPr>
          <w:rFonts w:eastAsiaTheme="minorEastAsia"/>
          <w:i/>
          <w:iCs/>
          <w:color w:val="000000" w:themeColor="text1"/>
          <w:szCs w:val="24"/>
          <w:lang w:val="es-ES" w:eastAsia="es-ES"/>
        </w:rPr>
        <w:t>. Determinar el valor del proyecto en pesos de diciembre de 2021 y los valores de los gastos de administración, operación y mantenimiento, AOM, en pesos de diciembre de 2021, que requeriría el proyecto, teniendo en cuenta que se trata de una infraestructura embebida en una red de transporte existente y que, como consecuencia de ello, el transportador tendría unas economías o ahorros en los gastos de AOM”</w:t>
      </w:r>
      <w:r w:rsidR="00977478" w:rsidRPr="00977451">
        <w:rPr>
          <w:rFonts w:eastAsiaTheme="minorEastAsia"/>
          <w:i/>
          <w:iCs/>
          <w:color w:val="000000" w:themeColor="text1"/>
          <w:szCs w:val="24"/>
          <w:lang w:val="es-ES" w:eastAsia="es-ES"/>
        </w:rPr>
        <w:t>.</w:t>
      </w:r>
    </w:p>
    <w:p w14:paraId="03DD71A0" w14:textId="38D10CB8" w:rsidR="0511A894" w:rsidRDefault="0511A894" w:rsidP="7A210EA7">
      <w:pPr>
        <w:spacing w:line="257" w:lineRule="auto"/>
        <w:jc w:val="both"/>
        <w:rPr>
          <w:rFonts w:eastAsiaTheme="minorEastAsia"/>
          <w:color w:val="000000" w:themeColor="text1"/>
          <w:szCs w:val="24"/>
          <w:lang w:val="es-ES"/>
        </w:rPr>
      </w:pPr>
    </w:p>
    <w:p w14:paraId="1365C6EF" w14:textId="3B6B0E4E" w:rsidR="009F73CA" w:rsidRDefault="0511A894" w:rsidP="7D026996">
      <w:pPr>
        <w:jc w:val="both"/>
        <w:rPr>
          <w:rFonts w:eastAsiaTheme="minorEastAsia"/>
          <w:color w:val="000000" w:themeColor="text1"/>
          <w:lang w:val="es-ES"/>
        </w:rPr>
      </w:pPr>
      <w:r w:rsidRPr="7D026996">
        <w:rPr>
          <w:rFonts w:eastAsiaTheme="minorEastAsia"/>
          <w:color w:val="000000" w:themeColor="text1"/>
          <w:lang w:val="es-ES"/>
        </w:rPr>
        <w:t xml:space="preserve">La CREG mediante </w:t>
      </w:r>
      <w:r w:rsidR="009722EB">
        <w:rPr>
          <w:rFonts w:eastAsiaTheme="minorEastAsia"/>
          <w:color w:val="000000" w:themeColor="text1"/>
          <w:lang w:val="es-ES"/>
        </w:rPr>
        <w:t xml:space="preserve">comunicación con </w:t>
      </w:r>
      <w:r w:rsidRPr="7D026996">
        <w:rPr>
          <w:rFonts w:eastAsiaTheme="minorEastAsia"/>
          <w:color w:val="000000" w:themeColor="text1"/>
          <w:lang w:val="es-ES"/>
        </w:rPr>
        <w:t xml:space="preserve">radicado CREG S2022005190 del 3 de noviembre del 2022 </w:t>
      </w:r>
      <w:r w:rsidR="002C770A">
        <w:rPr>
          <w:rFonts w:eastAsiaTheme="minorEastAsia"/>
          <w:color w:val="000000" w:themeColor="text1"/>
          <w:lang w:val="es-ES"/>
        </w:rPr>
        <w:t>informó</w:t>
      </w:r>
      <w:r w:rsidRPr="7D026996">
        <w:rPr>
          <w:rFonts w:eastAsiaTheme="minorEastAsia"/>
          <w:color w:val="000000" w:themeColor="text1"/>
          <w:lang w:val="es-ES"/>
        </w:rPr>
        <w:t xml:space="preserve"> a TGI S.A. E.S.P. que</w:t>
      </w:r>
      <w:r w:rsidR="009722EB">
        <w:rPr>
          <w:rFonts w:eastAsiaTheme="minorEastAsia"/>
          <w:color w:val="000000" w:themeColor="text1"/>
          <w:lang w:val="es-ES"/>
        </w:rPr>
        <w:t xml:space="preserve"> conforme a lo dispuesto en el </w:t>
      </w:r>
      <w:r w:rsidRPr="7D026996">
        <w:rPr>
          <w:rFonts w:eastAsiaTheme="minorEastAsia"/>
          <w:color w:val="000000" w:themeColor="text1"/>
          <w:lang w:val="es-ES"/>
        </w:rPr>
        <w:t>Artículo 2 de la Resolución CREG 5</w:t>
      </w:r>
      <w:r w:rsidR="00DB5DAE">
        <w:rPr>
          <w:rFonts w:eastAsiaTheme="minorEastAsia"/>
          <w:color w:val="000000" w:themeColor="text1"/>
          <w:lang w:val="es-ES"/>
        </w:rPr>
        <w:t>0</w:t>
      </w:r>
      <w:r w:rsidRPr="7D026996">
        <w:rPr>
          <w:rFonts w:eastAsiaTheme="minorEastAsia"/>
          <w:color w:val="000000" w:themeColor="text1"/>
          <w:lang w:val="es-ES"/>
        </w:rPr>
        <w:t>2 028 de 2022 se designó al señor Rafael Daniel Barragán</w:t>
      </w:r>
      <w:r w:rsidR="00752DA9">
        <w:rPr>
          <w:rFonts w:eastAsiaTheme="minorEastAsia"/>
          <w:color w:val="000000" w:themeColor="text1"/>
          <w:lang w:val="es-ES"/>
        </w:rPr>
        <w:t xml:space="preserve"> Boh</w:t>
      </w:r>
      <w:r w:rsidR="00976BCC">
        <w:rPr>
          <w:rFonts w:eastAsiaTheme="minorEastAsia"/>
          <w:color w:val="000000" w:themeColor="text1"/>
          <w:lang w:val="es-ES"/>
        </w:rPr>
        <w:t>ó</w:t>
      </w:r>
      <w:r w:rsidR="00752DA9">
        <w:rPr>
          <w:rFonts w:eastAsiaTheme="minorEastAsia"/>
          <w:color w:val="000000" w:themeColor="text1"/>
          <w:lang w:val="es-ES"/>
        </w:rPr>
        <w:t>rquez</w:t>
      </w:r>
      <w:r w:rsidRPr="7D026996">
        <w:rPr>
          <w:rFonts w:eastAsiaTheme="minorEastAsia"/>
          <w:color w:val="000000" w:themeColor="text1"/>
          <w:lang w:val="es-ES"/>
        </w:rPr>
        <w:t xml:space="preserve"> como perito a los proyectos IPAT que presentaron PROMIGAS S.A. E.S.P. y TGI S.A. E.S.P. </w:t>
      </w:r>
    </w:p>
    <w:p w14:paraId="4B0CFB9D" w14:textId="77777777" w:rsidR="009F73CA" w:rsidRDefault="009F73CA" w:rsidP="7D026996">
      <w:pPr>
        <w:jc w:val="both"/>
        <w:rPr>
          <w:rFonts w:eastAsiaTheme="minorEastAsia"/>
          <w:color w:val="000000" w:themeColor="text1"/>
          <w:lang w:val="es-ES"/>
        </w:rPr>
      </w:pPr>
    </w:p>
    <w:p w14:paraId="04E01116" w14:textId="0DC4D38E" w:rsidR="0511A894" w:rsidRDefault="008851A3" w:rsidP="7A210EA7">
      <w:pPr>
        <w:spacing w:line="257" w:lineRule="auto"/>
        <w:jc w:val="both"/>
        <w:rPr>
          <w:rStyle w:val="ui-provider"/>
        </w:rPr>
      </w:pPr>
      <w:r>
        <w:rPr>
          <w:rStyle w:val="ui-provider"/>
        </w:rPr>
        <w:t>De acuerdo con lo establecido en el artículo 3 de la Resolución CREG 502 028 de 2022, la posesión del perito</w:t>
      </w:r>
      <w:r w:rsidR="00FF3A7F">
        <w:rPr>
          <w:rStyle w:val="ui-provider"/>
        </w:rPr>
        <w:t xml:space="preserve"> </w:t>
      </w:r>
      <w:r w:rsidR="00FF7ACD">
        <w:rPr>
          <w:rStyle w:val="ui-provider"/>
        </w:rPr>
        <w:t>señor</w:t>
      </w:r>
      <w:r w:rsidR="00FF3A7F">
        <w:rPr>
          <w:rStyle w:val="ui-provider"/>
        </w:rPr>
        <w:t xml:space="preserve"> </w:t>
      </w:r>
      <w:r>
        <w:rPr>
          <w:rStyle w:val="ui-provider"/>
        </w:rPr>
        <w:t>Rafael Daniel Barragán Bohórquez</w:t>
      </w:r>
      <w:r w:rsidR="00FF3A7F">
        <w:rPr>
          <w:rStyle w:val="ui-provider"/>
        </w:rPr>
        <w:t xml:space="preserve"> </w:t>
      </w:r>
      <w:r>
        <w:rPr>
          <w:rStyle w:val="ui-provider"/>
        </w:rPr>
        <w:t>se realizó el 21 de octubre de 2022 ante la Dirección Ejecutiva de la CREG.</w:t>
      </w:r>
    </w:p>
    <w:p w14:paraId="0E603DC1" w14:textId="77777777" w:rsidR="00FF3A7F" w:rsidRDefault="00FF3A7F" w:rsidP="7A210EA7">
      <w:pPr>
        <w:spacing w:line="257" w:lineRule="auto"/>
        <w:jc w:val="both"/>
        <w:rPr>
          <w:rFonts w:eastAsiaTheme="minorEastAsia"/>
          <w:color w:val="000000" w:themeColor="text1"/>
          <w:szCs w:val="24"/>
          <w:lang w:val="es-ES"/>
        </w:rPr>
      </w:pPr>
    </w:p>
    <w:p w14:paraId="64BFE382" w14:textId="0106CC0F" w:rsidR="0511A894" w:rsidRDefault="00FF1D07" w:rsidP="43934065">
      <w:pPr>
        <w:jc w:val="both"/>
        <w:rPr>
          <w:rFonts w:eastAsiaTheme="minorEastAsia"/>
          <w:color w:val="000000" w:themeColor="text1"/>
          <w:szCs w:val="24"/>
          <w:lang w:val="es-ES"/>
        </w:rPr>
      </w:pPr>
      <w:r>
        <w:rPr>
          <w:rFonts w:eastAsiaTheme="minorEastAsia"/>
          <w:color w:val="000000" w:themeColor="text1"/>
          <w:szCs w:val="24"/>
          <w:lang w:val="es-ES"/>
        </w:rPr>
        <w:t>Con radicado</w:t>
      </w:r>
      <w:r w:rsidR="0511A894" w:rsidRPr="43934065">
        <w:rPr>
          <w:rFonts w:eastAsiaTheme="minorEastAsia"/>
          <w:color w:val="000000" w:themeColor="text1"/>
          <w:szCs w:val="24"/>
          <w:lang w:val="es-ES"/>
        </w:rPr>
        <w:t xml:space="preserve"> CREG E2022015462 del 15 de diciembre del 2022</w:t>
      </w:r>
      <w:r w:rsidR="00976BCC">
        <w:rPr>
          <w:rFonts w:eastAsiaTheme="minorEastAsia"/>
          <w:color w:val="000000" w:themeColor="text1"/>
          <w:szCs w:val="24"/>
          <w:lang w:val="es-ES"/>
        </w:rPr>
        <w:t>,</w:t>
      </w:r>
      <w:r w:rsidR="0511A894" w:rsidRPr="43934065">
        <w:rPr>
          <w:rFonts w:eastAsiaTheme="minorEastAsia"/>
          <w:color w:val="000000" w:themeColor="text1"/>
          <w:szCs w:val="24"/>
          <w:lang w:val="es-ES"/>
        </w:rPr>
        <w:t xml:space="preserve"> el señor Rafael Daniel Barragán Bohórquez</w:t>
      </w:r>
      <w:bookmarkStart w:id="1" w:name="_Hlk133335704"/>
      <w:r w:rsidR="00976BCC">
        <w:rPr>
          <w:rFonts w:eastAsiaTheme="minorEastAsia"/>
          <w:color w:val="000000" w:themeColor="text1"/>
          <w:szCs w:val="24"/>
          <w:lang w:val="es-ES"/>
        </w:rPr>
        <w:t>,</w:t>
      </w:r>
      <w:r w:rsidR="0511A894" w:rsidRPr="43934065">
        <w:rPr>
          <w:rFonts w:eastAsiaTheme="minorEastAsia"/>
          <w:color w:val="000000" w:themeColor="text1"/>
          <w:szCs w:val="24"/>
          <w:lang w:val="es-ES"/>
        </w:rPr>
        <w:t xml:space="preserve"> en el marco de lo dispuesto en la Resolución CREG 502 028 de 2022</w:t>
      </w:r>
      <w:bookmarkEnd w:id="1"/>
      <w:r w:rsidR="00976BCC">
        <w:rPr>
          <w:rFonts w:eastAsiaTheme="minorEastAsia"/>
          <w:color w:val="000000" w:themeColor="text1"/>
          <w:szCs w:val="24"/>
          <w:lang w:val="es-ES"/>
        </w:rPr>
        <w:t>,</w:t>
      </w:r>
      <w:r w:rsidR="0511A894" w:rsidRPr="43934065">
        <w:rPr>
          <w:rFonts w:eastAsiaTheme="minorEastAsia"/>
          <w:color w:val="000000" w:themeColor="text1"/>
          <w:szCs w:val="24"/>
          <w:lang w:val="es-ES"/>
        </w:rPr>
        <w:t xml:space="preserve"> </w:t>
      </w:r>
      <w:r w:rsidR="002C770A">
        <w:rPr>
          <w:rFonts w:eastAsiaTheme="minorEastAsia"/>
          <w:color w:val="000000" w:themeColor="text1"/>
          <w:szCs w:val="24"/>
          <w:lang w:val="es-ES"/>
        </w:rPr>
        <w:t>hizo</w:t>
      </w:r>
      <w:r>
        <w:rPr>
          <w:rFonts w:eastAsiaTheme="minorEastAsia"/>
          <w:color w:val="000000" w:themeColor="text1"/>
          <w:szCs w:val="24"/>
          <w:lang w:val="es-ES"/>
        </w:rPr>
        <w:t xml:space="preserve"> </w:t>
      </w:r>
      <w:r w:rsidR="0511A894" w:rsidRPr="43934065">
        <w:rPr>
          <w:rFonts w:eastAsiaTheme="minorEastAsia"/>
          <w:color w:val="000000" w:themeColor="text1"/>
          <w:szCs w:val="24"/>
          <w:lang w:val="es-ES"/>
        </w:rPr>
        <w:t xml:space="preserve">entrega </w:t>
      </w:r>
      <w:r>
        <w:rPr>
          <w:rFonts w:eastAsiaTheme="minorEastAsia"/>
          <w:color w:val="000000" w:themeColor="text1"/>
          <w:szCs w:val="24"/>
          <w:lang w:val="es-ES"/>
        </w:rPr>
        <w:t xml:space="preserve">a la CREG del </w:t>
      </w:r>
      <w:r w:rsidR="0511A894" w:rsidRPr="43934065">
        <w:rPr>
          <w:rFonts w:eastAsiaTheme="minorEastAsia"/>
          <w:color w:val="000000" w:themeColor="text1"/>
          <w:szCs w:val="24"/>
          <w:lang w:val="es-ES"/>
        </w:rPr>
        <w:t xml:space="preserve">informe de prueba pericial del proyecto IPAT </w:t>
      </w:r>
      <w:r w:rsidR="0511A894" w:rsidRPr="00304A9F">
        <w:rPr>
          <w:rFonts w:eastAsiaTheme="minorEastAsia"/>
          <w:color w:val="000000" w:themeColor="text1"/>
          <w:szCs w:val="24"/>
          <w:lang w:val="es-ES"/>
        </w:rPr>
        <w:t>A</w:t>
      </w:r>
      <w:r w:rsidR="00304A9F">
        <w:rPr>
          <w:rFonts w:eastAsiaTheme="minorEastAsia"/>
          <w:color w:val="000000" w:themeColor="text1"/>
          <w:szCs w:val="24"/>
          <w:lang w:val="es-ES"/>
        </w:rPr>
        <w:t>mpliación de la capacidad</w:t>
      </w:r>
      <w:r w:rsidR="008E37F7">
        <w:rPr>
          <w:rFonts w:eastAsiaTheme="minorEastAsia"/>
          <w:color w:val="000000" w:themeColor="text1"/>
          <w:szCs w:val="24"/>
          <w:lang w:val="es-ES"/>
        </w:rPr>
        <w:t xml:space="preserve"> r</w:t>
      </w:r>
      <w:r w:rsidR="0511A894" w:rsidRPr="00304A9F">
        <w:rPr>
          <w:rFonts w:eastAsiaTheme="minorEastAsia"/>
          <w:color w:val="000000" w:themeColor="text1"/>
          <w:szCs w:val="24"/>
          <w:lang w:val="es-ES"/>
        </w:rPr>
        <w:t>amal Jamundí – Valle de Cauca</w:t>
      </w:r>
      <w:r w:rsidR="009B6C8C">
        <w:rPr>
          <w:rFonts w:eastAsiaTheme="minorEastAsia"/>
          <w:color w:val="000000" w:themeColor="text1"/>
          <w:szCs w:val="24"/>
          <w:lang w:val="es-ES"/>
        </w:rPr>
        <w:t>.</w:t>
      </w:r>
    </w:p>
    <w:p w14:paraId="26443B01" w14:textId="334E778D" w:rsidR="43934065" w:rsidRDefault="43934065" w:rsidP="43934065">
      <w:pPr>
        <w:jc w:val="both"/>
        <w:rPr>
          <w:rFonts w:eastAsiaTheme="minorEastAsia"/>
          <w:color w:val="000000" w:themeColor="text1"/>
          <w:szCs w:val="24"/>
          <w:lang w:val="es-ES"/>
        </w:rPr>
      </w:pPr>
    </w:p>
    <w:p w14:paraId="2207DCAE" w14:textId="6FF0D37B" w:rsidR="008E439A" w:rsidRPr="00DD019B" w:rsidRDefault="008E439A" w:rsidP="008E439A">
      <w:pPr>
        <w:spacing w:after="0" w:line="257" w:lineRule="auto"/>
        <w:jc w:val="both"/>
        <w:rPr>
          <w:rFonts w:eastAsiaTheme="minorEastAsia"/>
          <w:color w:val="000000" w:themeColor="text1"/>
          <w:szCs w:val="24"/>
          <w:lang w:val="es-ES"/>
        </w:rPr>
      </w:pPr>
      <w:r w:rsidRPr="00DD019B">
        <w:rPr>
          <w:rFonts w:eastAsiaTheme="minorEastAsia"/>
          <w:color w:val="000000" w:themeColor="text1"/>
          <w:szCs w:val="24"/>
          <w:lang w:val="es-ES"/>
        </w:rPr>
        <w:t>La CREG</w:t>
      </w:r>
      <w:r w:rsidR="00160575">
        <w:rPr>
          <w:rFonts w:eastAsiaTheme="minorEastAsia"/>
          <w:color w:val="000000" w:themeColor="text1"/>
          <w:szCs w:val="24"/>
          <w:lang w:val="es-ES"/>
        </w:rPr>
        <w:t>,</w:t>
      </w:r>
      <w:r w:rsidRPr="00DD019B">
        <w:rPr>
          <w:rFonts w:eastAsiaTheme="minorEastAsia"/>
          <w:color w:val="000000" w:themeColor="text1"/>
          <w:szCs w:val="24"/>
          <w:lang w:val="es-ES"/>
        </w:rPr>
        <w:t xml:space="preserve"> </w:t>
      </w:r>
      <w:r>
        <w:rPr>
          <w:rFonts w:eastAsiaTheme="minorEastAsia"/>
          <w:color w:val="000000" w:themeColor="text1"/>
          <w:szCs w:val="24"/>
          <w:lang w:val="es-ES"/>
        </w:rPr>
        <w:t>a través de la comunicación</w:t>
      </w:r>
      <w:r w:rsidRPr="00DD019B">
        <w:rPr>
          <w:rFonts w:eastAsiaTheme="minorEastAsia"/>
          <w:color w:val="000000" w:themeColor="text1"/>
          <w:szCs w:val="24"/>
          <w:lang w:val="es-ES"/>
        </w:rPr>
        <w:t xml:space="preserve"> CREG S2022006377 del 26 de diciembre del 2022</w:t>
      </w:r>
      <w:r>
        <w:rPr>
          <w:rFonts w:eastAsiaTheme="minorEastAsia"/>
          <w:color w:val="000000" w:themeColor="text1"/>
          <w:szCs w:val="24"/>
          <w:lang w:val="es-ES"/>
        </w:rPr>
        <w:t>,</w:t>
      </w:r>
      <w:r w:rsidRPr="00DD019B">
        <w:rPr>
          <w:rFonts w:eastAsiaTheme="minorEastAsia"/>
          <w:color w:val="000000" w:themeColor="text1"/>
          <w:szCs w:val="24"/>
          <w:lang w:val="es-ES"/>
        </w:rPr>
        <w:t xml:space="preserve"> comunic</w:t>
      </w:r>
      <w:r w:rsidR="002C770A">
        <w:rPr>
          <w:rFonts w:eastAsiaTheme="minorEastAsia"/>
          <w:color w:val="000000" w:themeColor="text1"/>
          <w:szCs w:val="24"/>
          <w:lang w:val="es-ES"/>
        </w:rPr>
        <w:t>ó</w:t>
      </w:r>
      <w:r w:rsidRPr="00DD019B">
        <w:rPr>
          <w:rFonts w:eastAsiaTheme="minorEastAsia"/>
          <w:color w:val="000000" w:themeColor="text1"/>
          <w:szCs w:val="24"/>
          <w:lang w:val="es-ES"/>
        </w:rPr>
        <w:t xml:space="preserve"> a TGI S.A. E.S.P que se agreg</w:t>
      </w:r>
      <w:r w:rsidR="002C770A">
        <w:rPr>
          <w:rFonts w:eastAsiaTheme="minorEastAsia"/>
          <w:color w:val="000000" w:themeColor="text1"/>
          <w:szCs w:val="24"/>
          <w:lang w:val="es-ES"/>
        </w:rPr>
        <w:t>ó</w:t>
      </w:r>
      <w:r w:rsidRPr="00DD019B">
        <w:rPr>
          <w:rFonts w:eastAsiaTheme="minorEastAsia"/>
          <w:color w:val="000000" w:themeColor="text1"/>
          <w:szCs w:val="24"/>
          <w:lang w:val="es-ES"/>
        </w:rPr>
        <w:t xml:space="preserve"> al expediente digital</w:t>
      </w:r>
      <w:r w:rsidR="002C770A">
        <w:rPr>
          <w:rFonts w:eastAsiaTheme="minorEastAsia"/>
          <w:color w:val="000000" w:themeColor="text1"/>
          <w:szCs w:val="24"/>
          <w:lang w:val="es-ES"/>
        </w:rPr>
        <w:t>,</w:t>
      </w:r>
      <w:r w:rsidRPr="00DD019B">
        <w:rPr>
          <w:rFonts w:eastAsiaTheme="minorEastAsia"/>
          <w:color w:val="000000" w:themeColor="text1"/>
          <w:szCs w:val="24"/>
          <w:lang w:val="es-ES"/>
        </w:rPr>
        <w:t xml:space="preserve"> el informe pericial sobre el proyecto </w:t>
      </w:r>
      <w:r w:rsidRPr="43934065">
        <w:rPr>
          <w:rFonts w:eastAsiaTheme="minorEastAsia"/>
          <w:color w:val="000000" w:themeColor="text1"/>
          <w:szCs w:val="24"/>
          <w:lang w:val="es-ES"/>
        </w:rPr>
        <w:t xml:space="preserve">IPAT </w:t>
      </w:r>
      <w:r w:rsidRPr="00304A9F">
        <w:rPr>
          <w:rFonts w:eastAsiaTheme="minorEastAsia"/>
          <w:color w:val="000000" w:themeColor="text1"/>
          <w:szCs w:val="24"/>
          <w:lang w:val="es-ES"/>
        </w:rPr>
        <w:t>A</w:t>
      </w:r>
      <w:r>
        <w:rPr>
          <w:rFonts w:eastAsiaTheme="minorEastAsia"/>
          <w:color w:val="000000" w:themeColor="text1"/>
          <w:szCs w:val="24"/>
          <w:lang w:val="es-ES"/>
        </w:rPr>
        <w:t>mpliación de la capacidad r</w:t>
      </w:r>
      <w:r w:rsidRPr="00304A9F">
        <w:rPr>
          <w:rFonts w:eastAsiaTheme="minorEastAsia"/>
          <w:color w:val="000000" w:themeColor="text1"/>
          <w:szCs w:val="24"/>
          <w:lang w:val="es-ES"/>
        </w:rPr>
        <w:t>amal Jamundí – Valle de Cauca</w:t>
      </w:r>
      <w:r w:rsidRPr="00DD019B">
        <w:rPr>
          <w:rFonts w:eastAsiaTheme="minorEastAsia"/>
          <w:color w:val="000000" w:themeColor="text1"/>
          <w:szCs w:val="24"/>
          <w:lang w:val="es-ES"/>
        </w:rPr>
        <w:t xml:space="preserve"> y </w:t>
      </w:r>
      <w:r>
        <w:rPr>
          <w:rFonts w:eastAsiaTheme="minorEastAsia"/>
          <w:color w:val="000000" w:themeColor="text1"/>
          <w:szCs w:val="24"/>
          <w:lang w:val="es-ES"/>
        </w:rPr>
        <w:t>cit</w:t>
      </w:r>
      <w:r w:rsidR="002C770A">
        <w:rPr>
          <w:rFonts w:eastAsiaTheme="minorEastAsia"/>
          <w:color w:val="000000" w:themeColor="text1"/>
          <w:szCs w:val="24"/>
          <w:lang w:val="es-ES"/>
        </w:rPr>
        <w:t>ó</w:t>
      </w:r>
      <w:r>
        <w:rPr>
          <w:rFonts w:eastAsiaTheme="minorEastAsia"/>
          <w:color w:val="000000" w:themeColor="text1"/>
          <w:szCs w:val="24"/>
          <w:lang w:val="es-ES"/>
        </w:rPr>
        <w:t xml:space="preserve"> a</w:t>
      </w:r>
      <w:r w:rsidRPr="00DD019B">
        <w:rPr>
          <w:rFonts w:eastAsiaTheme="minorEastAsia"/>
          <w:color w:val="000000" w:themeColor="text1"/>
          <w:szCs w:val="24"/>
          <w:lang w:val="es-ES"/>
        </w:rPr>
        <w:t xml:space="preserve"> audiencia de contradicción el día 18 de enero de 2023.</w:t>
      </w:r>
    </w:p>
    <w:p w14:paraId="18CE0C11" w14:textId="05742E30" w:rsidR="0511A894" w:rsidRDefault="0511A894" w:rsidP="7A210EA7">
      <w:pPr>
        <w:spacing w:line="257" w:lineRule="auto"/>
        <w:jc w:val="both"/>
        <w:rPr>
          <w:rFonts w:eastAsiaTheme="minorEastAsia"/>
          <w:color w:val="000000" w:themeColor="text1"/>
          <w:szCs w:val="24"/>
          <w:lang w:val="es-ES"/>
        </w:rPr>
      </w:pPr>
      <w:r w:rsidRPr="7A210EA7">
        <w:rPr>
          <w:rFonts w:eastAsiaTheme="minorEastAsia"/>
          <w:color w:val="000000" w:themeColor="text1"/>
          <w:szCs w:val="24"/>
          <w:lang w:val="es-ES"/>
        </w:rPr>
        <w:t xml:space="preserve"> </w:t>
      </w:r>
    </w:p>
    <w:p w14:paraId="3E506071" w14:textId="71585A01" w:rsidR="0511A894" w:rsidRDefault="00CD6FE6">
      <w:pPr>
        <w:jc w:val="both"/>
        <w:rPr>
          <w:rFonts w:eastAsiaTheme="minorEastAsia"/>
          <w:color w:val="000000" w:themeColor="text1"/>
          <w:lang w:val="es-ES"/>
        </w:rPr>
      </w:pPr>
      <w:r>
        <w:rPr>
          <w:rFonts w:eastAsiaTheme="minorEastAsia"/>
          <w:color w:val="000000" w:themeColor="text1"/>
          <w:lang w:val="es-ES"/>
        </w:rPr>
        <w:t xml:space="preserve">La CREG a través de comunicación </w:t>
      </w:r>
      <w:r w:rsidR="0511A894" w:rsidRPr="7D026996">
        <w:rPr>
          <w:rFonts w:eastAsiaTheme="minorEastAsia"/>
          <w:color w:val="000000" w:themeColor="text1"/>
          <w:lang w:val="es-ES"/>
        </w:rPr>
        <w:t>CREG S2023000214 del 18 de enero del 2023,</w:t>
      </w:r>
      <w:r w:rsidR="74683F5C" w:rsidRPr="7D026996">
        <w:rPr>
          <w:rFonts w:eastAsiaTheme="minorEastAsia"/>
          <w:color w:val="000000" w:themeColor="text1"/>
          <w:lang w:val="es-ES"/>
        </w:rPr>
        <w:t xml:space="preserve"> </w:t>
      </w:r>
      <w:r w:rsidR="002C770A">
        <w:rPr>
          <w:rFonts w:eastAsiaTheme="minorEastAsia"/>
          <w:color w:val="000000" w:themeColor="text1"/>
          <w:lang w:val="es-ES"/>
        </w:rPr>
        <w:t>informó</w:t>
      </w:r>
      <w:r w:rsidR="00FF1D07" w:rsidRPr="7D026996">
        <w:rPr>
          <w:rFonts w:eastAsiaTheme="minorEastAsia"/>
          <w:color w:val="000000" w:themeColor="text1"/>
          <w:lang w:val="es-ES"/>
        </w:rPr>
        <w:t xml:space="preserve"> </w:t>
      </w:r>
      <w:r w:rsidR="002C770A" w:rsidRPr="7D026996">
        <w:rPr>
          <w:rFonts w:eastAsia="Bookman Old Style" w:cs="Bookman Old Style"/>
          <w:color w:val="000000" w:themeColor="text1"/>
          <w:szCs w:val="24"/>
          <w:lang w:val="es-ES"/>
        </w:rPr>
        <w:t xml:space="preserve">TGI S.A. E.S.P. </w:t>
      </w:r>
      <w:r w:rsidR="0511A894" w:rsidRPr="7D026996">
        <w:rPr>
          <w:rFonts w:eastAsiaTheme="minorEastAsia"/>
          <w:color w:val="000000" w:themeColor="text1"/>
          <w:lang w:val="es-ES"/>
        </w:rPr>
        <w:t>la cancelación de la audiencia programada para el día 18 de enero del 2023 dado que el perito Rafael Daniel Barragán</w:t>
      </w:r>
      <w:r w:rsidR="00752DA9">
        <w:rPr>
          <w:rFonts w:eastAsiaTheme="minorEastAsia"/>
          <w:color w:val="000000" w:themeColor="text1"/>
          <w:lang w:val="es-ES"/>
        </w:rPr>
        <w:t xml:space="preserve"> Bohórquez</w:t>
      </w:r>
      <w:r w:rsidR="0511A894" w:rsidRPr="7D026996">
        <w:rPr>
          <w:rFonts w:eastAsiaTheme="minorEastAsia"/>
          <w:color w:val="000000" w:themeColor="text1"/>
          <w:lang w:val="es-ES"/>
        </w:rPr>
        <w:t xml:space="preserve"> presentó una calamidad doméstica</w:t>
      </w:r>
      <w:r w:rsidR="00BE56E9">
        <w:rPr>
          <w:rFonts w:eastAsiaTheme="minorEastAsia"/>
          <w:color w:val="000000" w:themeColor="text1"/>
          <w:lang w:val="es-ES"/>
        </w:rPr>
        <w:t xml:space="preserve"> </w:t>
      </w:r>
      <w:r w:rsidR="00FF1D07">
        <w:rPr>
          <w:rFonts w:eastAsiaTheme="minorEastAsia"/>
          <w:color w:val="000000" w:themeColor="text1"/>
          <w:lang w:val="es-ES"/>
        </w:rPr>
        <w:t>e</w:t>
      </w:r>
      <w:r w:rsidR="0511A894" w:rsidRPr="7D026996">
        <w:rPr>
          <w:rFonts w:eastAsiaTheme="minorEastAsia"/>
          <w:color w:val="000000" w:themeColor="text1"/>
          <w:lang w:val="es-ES"/>
        </w:rPr>
        <w:t xml:space="preserve"> </w:t>
      </w:r>
      <w:r w:rsidR="00FF1D07">
        <w:rPr>
          <w:rFonts w:eastAsiaTheme="minorEastAsia"/>
          <w:color w:val="000000" w:themeColor="text1"/>
          <w:lang w:val="es-ES"/>
        </w:rPr>
        <w:t>indic</w:t>
      </w:r>
      <w:r w:rsidR="002C770A">
        <w:rPr>
          <w:rFonts w:eastAsiaTheme="minorEastAsia"/>
          <w:color w:val="000000" w:themeColor="text1"/>
          <w:lang w:val="es-ES"/>
        </w:rPr>
        <w:t>ó</w:t>
      </w:r>
      <w:r w:rsidR="00FF1D07" w:rsidRPr="7D026996">
        <w:rPr>
          <w:rFonts w:eastAsiaTheme="minorEastAsia"/>
          <w:color w:val="000000" w:themeColor="text1"/>
          <w:lang w:val="es-ES"/>
        </w:rPr>
        <w:t xml:space="preserve"> </w:t>
      </w:r>
      <w:r w:rsidR="0511A894" w:rsidRPr="7D026996">
        <w:rPr>
          <w:rFonts w:eastAsiaTheme="minorEastAsia"/>
          <w:color w:val="000000" w:themeColor="text1"/>
          <w:lang w:val="es-ES"/>
        </w:rPr>
        <w:t>que reagendar</w:t>
      </w:r>
      <w:r w:rsidR="002C770A">
        <w:rPr>
          <w:rFonts w:eastAsiaTheme="minorEastAsia"/>
          <w:color w:val="000000" w:themeColor="text1"/>
          <w:lang w:val="es-ES"/>
        </w:rPr>
        <w:t>ía</w:t>
      </w:r>
      <w:r w:rsidR="0511A894" w:rsidRPr="7D026996">
        <w:rPr>
          <w:rFonts w:eastAsiaTheme="minorEastAsia"/>
          <w:color w:val="000000" w:themeColor="text1"/>
          <w:lang w:val="es-ES"/>
        </w:rPr>
        <w:t xml:space="preserve"> la audiencia.</w:t>
      </w:r>
    </w:p>
    <w:p w14:paraId="28A2C5FD" w14:textId="06DA27BB" w:rsidR="0511A894" w:rsidRDefault="0511A894" w:rsidP="7A210EA7">
      <w:pPr>
        <w:spacing w:line="257" w:lineRule="auto"/>
        <w:jc w:val="both"/>
        <w:rPr>
          <w:rFonts w:eastAsiaTheme="minorEastAsia"/>
          <w:color w:val="000000" w:themeColor="text1"/>
          <w:szCs w:val="24"/>
          <w:lang w:val="es-ES"/>
        </w:rPr>
      </w:pPr>
      <w:r w:rsidRPr="7A210EA7">
        <w:rPr>
          <w:rFonts w:eastAsiaTheme="minorEastAsia"/>
          <w:color w:val="000000" w:themeColor="text1"/>
          <w:szCs w:val="24"/>
          <w:lang w:val="es-ES"/>
        </w:rPr>
        <w:t xml:space="preserve"> </w:t>
      </w:r>
    </w:p>
    <w:p w14:paraId="01EF1E79" w14:textId="3D11F21D" w:rsidR="0511A894" w:rsidRDefault="315BA346" w:rsidP="00CD6FE6">
      <w:pPr>
        <w:spacing w:after="0"/>
        <w:jc w:val="both"/>
        <w:rPr>
          <w:rFonts w:eastAsiaTheme="minorEastAsia"/>
          <w:i/>
          <w:iCs/>
          <w:color w:val="000000" w:themeColor="text1"/>
          <w:szCs w:val="24"/>
          <w:lang w:val="es-ES" w:eastAsia="es-ES"/>
        </w:rPr>
      </w:pPr>
      <w:r w:rsidRPr="7D026996">
        <w:rPr>
          <w:rFonts w:eastAsia="Bookman Old Style" w:cs="Bookman Old Style"/>
          <w:color w:val="000000" w:themeColor="text1"/>
          <w:szCs w:val="24"/>
          <w:lang w:val="es-ES"/>
        </w:rPr>
        <w:t xml:space="preserve">Mediante radicado CREG S2023000540 del 20 de enero del 2023, la Comisión </w:t>
      </w:r>
      <w:r w:rsidR="00B347AD" w:rsidRPr="7D026996">
        <w:rPr>
          <w:rFonts w:eastAsia="Bookman Old Style" w:cs="Bookman Old Style"/>
          <w:color w:val="000000" w:themeColor="text1"/>
          <w:szCs w:val="24"/>
          <w:lang w:val="es-ES"/>
        </w:rPr>
        <w:t>notific</w:t>
      </w:r>
      <w:r w:rsidR="00B347AD">
        <w:rPr>
          <w:rFonts w:eastAsia="Bookman Old Style" w:cs="Bookman Old Style"/>
          <w:color w:val="000000" w:themeColor="text1"/>
          <w:szCs w:val="24"/>
          <w:lang w:val="es-ES"/>
        </w:rPr>
        <w:t>ó</w:t>
      </w:r>
      <w:r w:rsidR="00B347AD" w:rsidRPr="7D026996">
        <w:rPr>
          <w:rFonts w:eastAsia="Bookman Old Style" w:cs="Bookman Old Style"/>
          <w:color w:val="000000" w:themeColor="text1"/>
          <w:szCs w:val="24"/>
          <w:lang w:val="es-ES"/>
        </w:rPr>
        <w:t xml:space="preserve"> </w:t>
      </w:r>
      <w:r w:rsidRPr="7D026996">
        <w:rPr>
          <w:rFonts w:eastAsia="Bookman Old Style" w:cs="Bookman Old Style"/>
          <w:color w:val="000000" w:themeColor="text1"/>
          <w:szCs w:val="24"/>
          <w:lang w:val="es-ES"/>
        </w:rPr>
        <w:t xml:space="preserve">a TGI S.A. E.S.P. la citación para audiencia de contradicción, el día 24 de enero del </w:t>
      </w:r>
      <w:r w:rsidRPr="008F01B5">
        <w:rPr>
          <w:rFonts w:eastAsia="Bookman Old Style" w:cs="Bookman Old Style"/>
          <w:color w:val="000000" w:themeColor="text1"/>
          <w:szCs w:val="24"/>
          <w:lang w:val="es-ES"/>
        </w:rPr>
        <w:t xml:space="preserve">2023, </w:t>
      </w:r>
      <w:r w:rsidR="009722EB" w:rsidRPr="008F01B5">
        <w:rPr>
          <w:rFonts w:eastAsia="Bookman Old Style" w:cs="Bookman Old Style"/>
          <w:color w:val="000000" w:themeColor="text1"/>
          <w:szCs w:val="24"/>
          <w:lang w:val="es-ES"/>
        </w:rPr>
        <w:t xml:space="preserve">la cual se adelantó ese día, </w:t>
      </w:r>
      <w:r w:rsidRPr="008F01B5">
        <w:rPr>
          <w:rFonts w:eastAsia="Bookman Old Style" w:cs="Bookman Old Style"/>
          <w:color w:val="000000" w:themeColor="text1"/>
          <w:szCs w:val="24"/>
          <w:lang w:val="es-ES"/>
        </w:rPr>
        <w:t>en</w:t>
      </w:r>
      <w:r w:rsidRPr="7D026996">
        <w:rPr>
          <w:rFonts w:eastAsia="Bookman Old Style" w:cs="Bookman Old Style"/>
          <w:color w:val="000000" w:themeColor="text1"/>
          <w:szCs w:val="24"/>
          <w:lang w:val="es-ES"/>
        </w:rPr>
        <w:t xml:space="preserve"> relación </w:t>
      </w:r>
      <w:r w:rsidR="009722EB">
        <w:rPr>
          <w:rFonts w:eastAsia="Bookman Old Style" w:cs="Bookman Old Style"/>
          <w:color w:val="000000" w:themeColor="text1"/>
          <w:szCs w:val="24"/>
          <w:lang w:val="es-ES"/>
        </w:rPr>
        <w:t xml:space="preserve">con </w:t>
      </w:r>
      <w:r w:rsidRPr="7D026996">
        <w:rPr>
          <w:rFonts w:eastAsia="Bookman Old Style" w:cs="Bookman Old Style"/>
          <w:color w:val="000000" w:themeColor="text1"/>
          <w:szCs w:val="24"/>
          <w:lang w:val="es-ES"/>
        </w:rPr>
        <w:t xml:space="preserve">los informes periciales emitidos por el señor Rafael Daniel Barragán </w:t>
      </w:r>
      <w:r w:rsidR="00752DA9">
        <w:rPr>
          <w:rFonts w:eastAsiaTheme="minorEastAsia"/>
          <w:color w:val="000000" w:themeColor="text1"/>
          <w:lang w:val="es-ES"/>
        </w:rPr>
        <w:t>Bohórquez</w:t>
      </w:r>
      <w:r w:rsidR="00752DA9" w:rsidRPr="7D026996">
        <w:rPr>
          <w:rFonts w:eastAsia="Bookman Old Style" w:cs="Bookman Old Style"/>
          <w:color w:val="000000" w:themeColor="text1"/>
          <w:szCs w:val="24"/>
          <w:lang w:val="es-ES"/>
        </w:rPr>
        <w:t xml:space="preserve"> </w:t>
      </w:r>
      <w:r w:rsidRPr="7D026996">
        <w:rPr>
          <w:rFonts w:eastAsia="Bookman Old Style" w:cs="Bookman Old Style"/>
          <w:color w:val="000000" w:themeColor="text1"/>
          <w:szCs w:val="24"/>
          <w:lang w:val="es-ES"/>
        </w:rPr>
        <w:t>sobre los proyectos IPAT</w:t>
      </w:r>
      <w:r w:rsidR="00CD6FE6">
        <w:rPr>
          <w:rFonts w:eastAsia="Bookman Old Style" w:cs="Bookman Old Style"/>
          <w:color w:val="000000" w:themeColor="text1"/>
          <w:szCs w:val="24"/>
          <w:lang w:val="es-ES"/>
        </w:rPr>
        <w:t>.</w:t>
      </w:r>
    </w:p>
    <w:p w14:paraId="0F7CBA72" w14:textId="06E8F48A" w:rsidR="0511A894" w:rsidRDefault="0511A894" w:rsidP="3D25045F">
      <w:pPr>
        <w:spacing w:line="257" w:lineRule="auto"/>
        <w:jc w:val="both"/>
        <w:rPr>
          <w:rFonts w:eastAsiaTheme="minorEastAsia"/>
          <w:color w:val="000000" w:themeColor="text1"/>
          <w:szCs w:val="24"/>
          <w:lang w:val="es-ES"/>
        </w:rPr>
      </w:pPr>
      <w:r w:rsidRPr="3D25045F">
        <w:rPr>
          <w:rFonts w:eastAsiaTheme="minorEastAsia"/>
          <w:color w:val="000000" w:themeColor="text1"/>
          <w:szCs w:val="24"/>
          <w:lang w:val="es-ES"/>
        </w:rPr>
        <w:t xml:space="preserve"> </w:t>
      </w:r>
    </w:p>
    <w:p w14:paraId="7AA7FF0B" w14:textId="133E3527" w:rsidR="724D04AB" w:rsidRDefault="0ACBB19D" w:rsidP="7D026996">
      <w:pPr>
        <w:spacing w:line="257" w:lineRule="auto"/>
        <w:jc w:val="both"/>
        <w:rPr>
          <w:rFonts w:eastAsiaTheme="minorEastAsia"/>
          <w:color w:val="000000" w:themeColor="text1"/>
          <w:lang w:val="es-ES"/>
        </w:rPr>
      </w:pPr>
      <w:r w:rsidRPr="7D026996">
        <w:rPr>
          <w:rFonts w:eastAsiaTheme="minorEastAsia"/>
          <w:color w:val="000000" w:themeColor="text1"/>
          <w:lang w:val="es-ES"/>
        </w:rPr>
        <w:t>TGI S.A. E.S.P.</w:t>
      </w:r>
      <w:r w:rsidR="724D04AB" w:rsidRPr="7D026996">
        <w:rPr>
          <w:rFonts w:eastAsiaTheme="minorEastAsia"/>
          <w:color w:val="000000" w:themeColor="text1"/>
          <w:lang w:val="es-ES"/>
        </w:rPr>
        <w:t xml:space="preserve"> </w:t>
      </w:r>
      <w:r w:rsidR="724D04AB" w:rsidRPr="008F01B5">
        <w:rPr>
          <w:rFonts w:eastAsiaTheme="minorEastAsia"/>
          <w:color w:val="000000" w:themeColor="text1"/>
          <w:lang w:val="es-ES"/>
        </w:rPr>
        <w:t>remit</w:t>
      </w:r>
      <w:r w:rsidR="00CB65D1">
        <w:rPr>
          <w:rFonts w:eastAsiaTheme="minorEastAsia"/>
          <w:color w:val="000000" w:themeColor="text1"/>
          <w:lang w:val="es-ES"/>
        </w:rPr>
        <w:t>ió</w:t>
      </w:r>
      <w:r w:rsidR="724D04AB" w:rsidRPr="008F01B5">
        <w:rPr>
          <w:rFonts w:eastAsiaTheme="minorEastAsia"/>
          <w:color w:val="000000" w:themeColor="text1"/>
          <w:lang w:val="es-ES"/>
        </w:rPr>
        <w:t xml:space="preserve"> a la </w:t>
      </w:r>
      <w:r w:rsidR="00FF1D07">
        <w:rPr>
          <w:rFonts w:eastAsiaTheme="minorEastAsia"/>
          <w:color w:val="000000" w:themeColor="text1"/>
          <w:lang w:val="es-ES"/>
        </w:rPr>
        <w:t>C</w:t>
      </w:r>
      <w:r w:rsidR="00FF1D07" w:rsidRPr="008F01B5">
        <w:rPr>
          <w:rFonts w:eastAsiaTheme="minorEastAsia"/>
          <w:color w:val="000000" w:themeColor="text1"/>
          <w:lang w:val="es-ES"/>
        </w:rPr>
        <w:t xml:space="preserve">omisión </w:t>
      </w:r>
      <w:r w:rsidR="009722EB" w:rsidRPr="008F01B5">
        <w:rPr>
          <w:rFonts w:eastAsiaTheme="minorEastAsia"/>
          <w:color w:val="000000" w:themeColor="text1"/>
          <w:lang w:val="es-ES"/>
        </w:rPr>
        <w:t xml:space="preserve">la </w:t>
      </w:r>
      <w:r w:rsidR="724D04AB" w:rsidRPr="008F01B5">
        <w:rPr>
          <w:rFonts w:eastAsiaTheme="minorEastAsia"/>
          <w:color w:val="000000" w:themeColor="text1"/>
          <w:lang w:val="es-ES"/>
        </w:rPr>
        <w:t xml:space="preserve">presentación </w:t>
      </w:r>
      <w:r w:rsidR="009722EB" w:rsidRPr="008F01B5">
        <w:rPr>
          <w:rFonts w:eastAsiaTheme="minorEastAsia"/>
          <w:color w:val="000000" w:themeColor="text1"/>
          <w:lang w:val="es-ES"/>
        </w:rPr>
        <w:t xml:space="preserve">que utilizó en la </w:t>
      </w:r>
      <w:r w:rsidR="724D04AB" w:rsidRPr="008F01B5">
        <w:rPr>
          <w:rFonts w:eastAsiaTheme="minorEastAsia"/>
          <w:color w:val="000000" w:themeColor="text1"/>
          <w:lang w:val="es-ES"/>
        </w:rPr>
        <w:t>audiencia de contradicción de los proyectos IPAT a su cargo</w:t>
      </w:r>
      <w:r w:rsidR="00FF1D07">
        <w:rPr>
          <w:rFonts w:eastAsiaTheme="minorEastAsia"/>
          <w:color w:val="000000" w:themeColor="text1"/>
          <w:lang w:val="es-ES"/>
        </w:rPr>
        <w:t>, la cual fue</w:t>
      </w:r>
      <w:r w:rsidR="00FF1D07" w:rsidRPr="7D026996">
        <w:rPr>
          <w:rFonts w:eastAsiaTheme="minorEastAsia"/>
          <w:color w:val="000000" w:themeColor="text1"/>
          <w:lang w:val="es-ES"/>
        </w:rPr>
        <w:t xml:space="preserve"> radicad</w:t>
      </w:r>
      <w:r w:rsidR="00FF1D07">
        <w:rPr>
          <w:rFonts w:eastAsiaTheme="minorEastAsia"/>
          <w:color w:val="000000" w:themeColor="text1"/>
          <w:lang w:val="es-ES"/>
        </w:rPr>
        <w:t>a</w:t>
      </w:r>
      <w:r w:rsidR="00FF1D07" w:rsidRPr="7D026996">
        <w:rPr>
          <w:rFonts w:eastAsiaTheme="minorEastAsia"/>
          <w:color w:val="000000" w:themeColor="text1"/>
          <w:lang w:val="es-ES"/>
        </w:rPr>
        <w:t xml:space="preserve"> </w:t>
      </w:r>
      <w:r w:rsidR="00FF1D07">
        <w:rPr>
          <w:rFonts w:eastAsiaTheme="minorEastAsia"/>
          <w:color w:val="000000" w:themeColor="text1"/>
          <w:lang w:val="es-ES"/>
        </w:rPr>
        <w:t xml:space="preserve">con oficio </w:t>
      </w:r>
      <w:r w:rsidR="00FF1D07" w:rsidRPr="7D026996">
        <w:rPr>
          <w:rFonts w:eastAsiaTheme="minorEastAsia"/>
          <w:color w:val="000000" w:themeColor="text1"/>
          <w:lang w:val="es-ES"/>
        </w:rPr>
        <w:t>CREG E2023001190 del 25 de enero del 2023</w:t>
      </w:r>
      <w:r w:rsidR="00CB65D1">
        <w:rPr>
          <w:rFonts w:eastAsiaTheme="minorEastAsia"/>
          <w:color w:val="000000" w:themeColor="text1"/>
          <w:lang w:val="es-ES"/>
        </w:rPr>
        <w:t>.</w:t>
      </w:r>
    </w:p>
    <w:p w14:paraId="6ED05F48" w14:textId="106885B8" w:rsidR="63E2EE1F" w:rsidRDefault="63E2EE1F" w:rsidP="63E2EE1F">
      <w:pPr>
        <w:spacing w:line="257" w:lineRule="auto"/>
        <w:jc w:val="both"/>
        <w:rPr>
          <w:rFonts w:eastAsiaTheme="minorEastAsia"/>
          <w:color w:val="000000" w:themeColor="text1"/>
          <w:szCs w:val="24"/>
          <w:lang w:val="es-ES"/>
        </w:rPr>
      </w:pPr>
    </w:p>
    <w:p w14:paraId="1E705E27" w14:textId="77777777" w:rsidR="00D95B33" w:rsidRPr="000A66DB" w:rsidRDefault="00D95B33" w:rsidP="00D95B33">
      <w:pPr>
        <w:spacing w:line="257" w:lineRule="auto"/>
        <w:jc w:val="both"/>
        <w:rPr>
          <w:rFonts w:eastAsiaTheme="minorEastAsia"/>
          <w:color w:val="000000" w:themeColor="text1"/>
          <w:lang w:val="es-ES"/>
        </w:rPr>
      </w:pPr>
      <w:r w:rsidRPr="7D026996">
        <w:rPr>
          <w:rFonts w:eastAsiaTheme="minorEastAsia"/>
          <w:color w:val="000000" w:themeColor="text1"/>
          <w:lang w:val="es-ES"/>
        </w:rPr>
        <w:t xml:space="preserve">Mediante </w:t>
      </w:r>
      <w:r w:rsidRPr="000A66DB">
        <w:rPr>
          <w:rFonts w:eastAsiaTheme="minorEastAsia"/>
          <w:color w:val="000000" w:themeColor="text1"/>
          <w:lang w:val="es-ES"/>
        </w:rPr>
        <w:t>radicado CREG S2023000682 del 01 de febrero del 2023, la Comisión envió a TGI S.A. E.S.P. copia del Auto No. 0010, de fecha 1 de febrero de 2023.</w:t>
      </w:r>
    </w:p>
    <w:p w14:paraId="14D568AF" w14:textId="77777777" w:rsidR="00D95B33" w:rsidRPr="000A66DB" w:rsidRDefault="00D95B33" w:rsidP="00250532">
      <w:pPr>
        <w:spacing w:line="257" w:lineRule="auto"/>
        <w:jc w:val="both"/>
        <w:rPr>
          <w:rFonts w:eastAsiaTheme="minorEastAsia"/>
          <w:color w:val="000000" w:themeColor="text1"/>
          <w:lang w:val="es-ES"/>
        </w:rPr>
      </w:pPr>
    </w:p>
    <w:p w14:paraId="084FBF8E" w14:textId="1EC470C3" w:rsidR="0511A894" w:rsidRDefault="00CD6FE6" w:rsidP="00250532">
      <w:pPr>
        <w:spacing w:line="257" w:lineRule="auto"/>
        <w:jc w:val="both"/>
        <w:rPr>
          <w:rFonts w:eastAsiaTheme="minorEastAsia"/>
          <w:color w:val="000000" w:themeColor="text1"/>
          <w:szCs w:val="24"/>
          <w:lang w:val="es-ES"/>
        </w:rPr>
      </w:pPr>
      <w:r w:rsidRPr="000A66DB">
        <w:rPr>
          <w:rFonts w:eastAsiaTheme="minorEastAsia"/>
          <w:color w:val="000000" w:themeColor="text1"/>
          <w:lang w:val="es-ES"/>
        </w:rPr>
        <w:t>La Comisión</w:t>
      </w:r>
      <w:r w:rsidR="00B347AD">
        <w:rPr>
          <w:rFonts w:eastAsiaTheme="minorEastAsia"/>
          <w:color w:val="000000" w:themeColor="text1"/>
          <w:lang w:val="es-ES"/>
        </w:rPr>
        <w:t>,</w:t>
      </w:r>
      <w:r w:rsidRPr="000A66DB">
        <w:rPr>
          <w:rFonts w:eastAsiaTheme="minorEastAsia"/>
          <w:color w:val="000000" w:themeColor="text1"/>
          <w:lang w:val="es-ES"/>
        </w:rPr>
        <w:t xml:space="preserve"> por medio del radicado</w:t>
      </w:r>
      <w:r w:rsidR="2B53B08B" w:rsidRPr="000A66DB">
        <w:rPr>
          <w:rFonts w:eastAsiaTheme="minorEastAsia"/>
          <w:color w:val="000000" w:themeColor="text1"/>
          <w:lang w:val="es-ES"/>
        </w:rPr>
        <w:t xml:space="preserve"> CREG S2023000683 del 01 de febrero del 2023</w:t>
      </w:r>
      <w:r w:rsidR="567F5454" w:rsidRPr="000A66DB">
        <w:rPr>
          <w:rFonts w:eastAsiaTheme="minorEastAsia"/>
          <w:color w:val="000000" w:themeColor="text1"/>
          <w:lang w:val="es-ES"/>
        </w:rPr>
        <w:t xml:space="preserve">, </w:t>
      </w:r>
      <w:r w:rsidR="2B53B08B" w:rsidRPr="000A66DB">
        <w:rPr>
          <w:rFonts w:eastAsiaTheme="minorEastAsia"/>
          <w:color w:val="000000" w:themeColor="text1"/>
          <w:lang w:val="es-ES"/>
        </w:rPr>
        <w:t>solicit</w:t>
      </w:r>
      <w:r w:rsidR="00CB65D1" w:rsidRPr="000A66DB">
        <w:rPr>
          <w:rFonts w:eastAsiaTheme="minorEastAsia"/>
          <w:color w:val="000000" w:themeColor="text1"/>
          <w:lang w:val="es-ES"/>
        </w:rPr>
        <w:t>ó</w:t>
      </w:r>
      <w:r w:rsidR="2B53B08B" w:rsidRPr="000A66DB">
        <w:rPr>
          <w:rFonts w:eastAsiaTheme="minorEastAsia"/>
          <w:color w:val="000000" w:themeColor="text1"/>
          <w:lang w:val="es-ES"/>
        </w:rPr>
        <w:t xml:space="preserve"> al perito Rafael Daniel </w:t>
      </w:r>
      <w:r w:rsidR="31F9782E" w:rsidRPr="000A66DB">
        <w:rPr>
          <w:rFonts w:eastAsiaTheme="minorEastAsia"/>
          <w:color w:val="000000" w:themeColor="text1"/>
          <w:lang w:val="es-ES"/>
        </w:rPr>
        <w:t>Barragán</w:t>
      </w:r>
      <w:r w:rsidR="2B53B08B" w:rsidRPr="000A66DB">
        <w:rPr>
          <w:rFonts w:eastAsiaTheme="minorEastAsia"/>
          <w:color w:val="000000" w:themeColor="text1"/>
          <w:lang w:val="es-ES"/>
        </w:rPr>
        <w:t xml:space="preserve"> Bohórquez</w:t>
      </w:r>
      <w:r w:rsidR="20EF0838" w:rsidRPr="000A66DB">
        <w:rPr>
          <w:rFonts w:eastAsiaTheme="minorEastAsia"/>
          <w:color w:val="000000" w:themeColor="text1"/>
          <w:lang w:val="es-ES"/>
        </w:rPr>
        <w:t xml:space="preserve"> dar respuesta a inquietudes planteadas en audiencia de contradicción desarrollada el 24 de enero del 2023 frente al proyecto Ampliación de </w:t>
      </w:r>
      <w:r w:rsidR="00790EDE" w:rsidRPr="000A66DB">
        <w:rPr>
          <w:rFonts w:eastAsiaTheme="minorEastAsia"/>
          <w:color w:val="000000" w:themeColor="text1"/>
          <w:lang w:val="es-ES"/>
        </w:rPr>
        <w:t>c</w:t>
      </w:r>
      <w:r w:rsidR="20EF0838" w:rsidRPr="000A66DB">
        <w:rPr>
          <w:rFonts w:eastAsiaTheme="minorEastAsia"/>
          <w:color w:val="000000" w:themeColor="text1"/>
          <w:lang w:val="es-ES"/>
        </w:rPr>
        <w:t xml:space="preserve">apacidad </w:t>
      </w:r>
      <w:r w:rsidR="3D020DAF" w:rsidRPr="000A66DB">
        <w:rPr>
          <w:rFonts w:eastAsiaTheme="minorEastAsia"/>
          <w:color w:val="000000" w:themeColor="text1"/>
          <w:lang w:val="es-ES"/>
        </w:rPr>
        <w:t xml:space="preserve">de </w:t>
      </w:r>
      <w:r w:rsidR="00790EDE" w:rsidRPr="000A66DB">
        <w:rPr>
          <w:rFonts w:eastAsiaTheme="minorEastAsia"/>
          <w:color w:val="000000" w:themeColor="text1"/>
          <w:lang w:val="es-ES"/>
        </w:rPr>
        <w:t>t</w:t>
      </w:r>
      <w:r w:rsidR="3D020DAF" w:rsidRPr="000A66DB">
        <w:rPr>
          <w:rFonts w:eastAsiaTheme="minorEastAsia"/>
          <w:color w:val="000000" w:themeColor="text1"/>
          <w:lang w:val="es-ES"/>
        </w:rPr>
        <w:t xml:space="preserve">ransporte ramal </w:t>
      </w:r>
      <w:r w:rsidR="20EF0838" w:rsidRPr="000A66DB">
        <w:rPr>
          <w:rFonts w:eastAsiaTheme="minorEastAsia"/>
          <w:color w:val="000000" w:themeColor="text1"/>
          <w:lang w:val="es-ES"/>
        </w:rPr>
        <w:t>Jamundí - Valle del Cauca</w:t>
      </w:r>
      <w:r w:rsidR="5166A070" w:rsidRPr="000A66DB">
        <w:rPr>
          <w:rFonts w:eastAsiaTheme="minorEastAsia"/>
          <w:color w:val="000000" w:themeColor="text1"/>
          <w:lang w:val="es-ES"/>
        </w:rPr>
        <w:t xml:space="preserve"> a través de Auto No. 010</w:t>
      </w:r>
      <w:r w:rsidR="00EA067C" w:rsidRPr="000A66DB">
        <w:rPr>
          <w:rFonts w:eastAsiaTheme="minorEastAsia"/>
          <w:color w:val="000000" w:themeColor="text1"/>
          <w:lang w:val="es-ES"/>
        </w:rPr>
        <w:t>, de fecha 1 de febrero de 2023</w:t>
      </w:r>
      <w:r w:rsidR="00250532" w:rsidRPr="000A66DB">
        <w:rPr>
          <w:rFonts w:eastAsiaTheme="minorEastAsia"/>
          <w:color w:val="000000" w:themeColor="text1"/>
          <w:lang w:val="es-ES"/>
        </w:rPr>
        <w:t>, quien, a su vez, d</w:t>
      </w:r>
      <w:r w:rsidR="00193D3A">
        <w:rPr>
          <w:rFonts w:eastAsiaTheme="minorEastAsia"/>
          <w:color w:val="000000" w:themeColor="text1"/>
          <w:lang w:val="es-ES"/>
        </w:rPr>
        <w:t>io</w:t>
      </w:r>
      <w:r w:rsidR="00250532" w:rsidRPr="000A66DB">
        <w:rPr>
          <w:rFonts w:eastAsiaTheme="minorEastAsia"/>
          <w:color w:val="000000" w:themeColor="text1"/>
          <w:lang w:val="es-ES"/>
        </w:rPr>
        <w:t xml:space="preserve"> respuesta a los requerimientos realizados en el Auto No. 010 del 1 de febrero de 2023, sobre el proyecto IPAT </w:t>
      </w:r>
      <w:r w:rsidR="00250532" w:rsidRPr="000A66DB">
        <w:rPr>
          <w:rFonts w:eastAsiaTheme="minorEastAsia"/>
          <w:i/>
          <w:iCs/>
          <w:color w:val="000000" w:themeColor="text1"/>
          <w:lang w:val="es-ES"/>
        </w:rPr>
        <w:t>Ampliación de capacidad de transporte ramal Jamundí - Valle del Cauca</w:t>
      </w:r>
      <w:r w:rsidR="00250532" w:rsidRPr="000A66DB">
        <w:rPr>
          <w:rFonts w:eastAsiaTheme="minorEastAsia"/>
          <w:color w:val="000000" w:themeColor="text1"/>
          <w:lang w:val="es-ES"/>
        </w:rPr>
        <w:t xml:space="preserve">, con radicado </w:t>
      </w:r>
      <w:r w:rsidR="0511A894" w:rsidRPr="000A66DB">
        <w:rPr>
          <w:rFonts w:eastAsiaTheme="minorEastAsia"/>
          <w:color w:val="000000" w:themeColor="text1"/>
          <w:szCs w:val="24"/>
          <w:lang w:val="es-ES"/>
        </w:rPr>
        <w:t xml:space="preserve">CREG E2023001830 del </w:t>
      </w:r>
      <w:r w:rsidR="77A04D16" w:rsidRPr="000A66DB">
        <w:rPr>
          <w:rFonts w:eastAsiaTheme="minorEastAsia"/>
          <w:color w:val="000000" w:themeColor="text1"/>
          <w:szCs w:val="24"/>
          <w:lang w:val="es-ES"/>
        </w:rPr>
        <w:t>6</w:t>
      </w:r>
      <w:r w:rsidR="0511A894" w:rsidRPr="000A66DB">
        <w:rPr>
          <w:rFonts w:eastAsiaTheme="minorEastAsia"/>
          <w:color w:val="000000" w:themeColor="text1"/>
          <w:szCs w:val="24"/>
          <w:lang w:val="es-ES"/>
        </w:rPr>
        <w:t xml:space="preserve"> de febrero del 2023.</w:t>
      </w:r>
    </w:p>
    <w:p w14:paraId="2BF066FD" w14:textId="0DA995E7" w:rsidR="7A210EA7" w:rsidRDefault="7A210EA7" w:rsidP="00213028">
      <w:pPr>
        <w:spacing w:after="0"/>
        <w:jc w:val="both"/>
        <w:rPr>
          <w:rFonts w:eastAsia="Bookman Old Style" w:cs="Bookman Old Style"/>
          <w:color w:val="000000" w:themeColor="text1"/>
          <w:szCs w:val="24"/>
          <w:lang w:val="es-ES"/>
        </w:rPr>
      </w:pPr>
    </w:p>
    <w:p w14:paraId="66492F54" w14:textId="19C5F042" w:rsidR="7A210EA7" w:rsidRDefault="00250532" w:rsidP="00213028">
      <w:pPr>
        <w:spacing w:after="0"/>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 xml:space="preserve">La Comisión bajo </w:t>
      </w:r>
      <w:r w:rsidR="00A821DA">
        <w:rPr>
          <w:rFonts w:eastAsia="Bookman Old Style" w:cs="Bookman Old Style"/>
          <w:color w:val="000000" w:themeColor="text1"/>
          <w:szCs w:val="24"/>
          <w:lang w:val="es-ES"/>
        </w:rPr>
        <w:t xml:space="preserve">los </w:t>
      </w:r>
      <w:r w:rsidR="76D2B93E" w:rsidRPr="7D026996">
        <w:rPr>
          <w:rFonts w:eastAsia="Bookman Old Style" w:cs="Bookman Old Style"/>
          <w:color w:val="000000" w:themeColor="text1"/>
          <w:szCs w:val="24"/>
          <w:lang w:val="es-ES"/>
        </w:rPr>
        <w:t>radicado</w:t>
      </w:r>
      <w:r w:rsidR="00A821DA">
        <w:rPr>
          <w:rFonts w:eastAsia="Bookman Old Style" w:cs="Bookman Old Style"/>
          <w:color w:val="000000" w:themeColor="text1"/>
          <w:szCs w:val="24"/>
          <w:lang w:val="es-ES"/>
        </w:rPr>
        <w:t>s</w:t>
      </w:r>
      <w:r w:rsidR="002452BF">
        <w:rPr>
          <w:rFonts w:eastAsia="Bookman Old Style" w:cs="Bookman Old Style"/>
          <w:color w:val="000000" w:themeColor="text1"/>
          <w:szCs w:val="24"/>
          <w:lang w:val="es-ES"/>
        </w:rPr>
        <w:t xml:space="preserve"> CREG S202</w:t>
      </w:r>
      <w:r>
        <w:rPr>
          <w:rFonts w:eastAsia="Bookman Old Style" w:cs="Bookman Old Style"/>
          <w:color w:val="000000" w:themeColor="text1"/>
          <w:szCs w:val="24"/>
          <w:lang w:val="es-ES"/>
        </w:rPr>
        <w:t>3</w:t>
      </w:r>
      <w:r w:rsidR="00A821DA">
        <w:rPr>
          <w:rFonts w:eastAsia="Bookman Old Style" w:cs="Bookman Old Style"/>
          <w:color w:val="000000" w:themeColor="text1"/>
          <w:szCs w:val="24"/>
          <w:lang w:val="es-ES"/>
        </w:rPr>
        <w:t xml:space="preserve">001942 y </w:t>
      </w:r>
      <w:r w:rsidR="76D2B93E" w:rsidRPr="7D026996">
        <w:rPr>
          <w:rFonts w:eastAsia="Bookman Old Style" w:cs="Bookman Old Style"/>
          <w:color w:val="000000" w:themeColor="text1"/>
          <w:szCs w:val="24"/>
          <w:lang w:val="es-ES"/>
        </w:rPr>
        <w:t>S202300</w:t>
      </w:r>
      <w:r w:rsidR="30FDD5ED" w:rsidRPr="7D026996">
        <w:rPr>
          <w:rFonts w:eastAsia="Bookman Old Style" w:cs="Bookman Old Style"/>
          <w:color w:val="000000" w:themeColor="text1"/>
          <w:szCs w:val="24"/>
          <w:lang w:val="es-ES"/>
        </w:rPr>
        <w:t>1943</w:t>
      </w:r>
      <w:r w:rsidR="00A821DA">
        <w:rPr>
          <w:rFonts w:eastAsia="Bookman Old Style" w:cs="Bookman Old Style"/>
          <w:color w:val="000000" w:themeColor="text1"/>
          <w:szCs w:val="24"/>
          <w:lang w:val="es-ES"/>
        </w:rPr>
        <w:t>, ambos</w:t>
      </w:r>
      <w:r w:rsidR="76D2B93E" w:rsidRPr="7D026996">
        <w:rPr>
          <w:rFonts w:eastAsia="Bookman Old Style" w:cs="Bookman Old Style"/>
          <w:color w:val="000000" w:themeColor="text1"/>
          <w:szCs w:val="24"/>
          <w:lang w:val="es-ES"/>
        </w:rPr>
        <w:t xml:space="preserve"> del </w:t>
      </w:r>
      <w:r w:rsidR="73E75973" w:rsidRPr="7D026996">
        <w:rPr>
          <w:rFonts w:eastAsia="Bookman Old Style" w:cs="Bookman Old Style"/>
          <w:color w:val="000000" w:themeColor="text1"/>
          <w:szCs w:val="24"/>
          <w:lang w:val="es-ES"/>
        </w:rPr>
        <w:t>28</w:t>
      </w:r>
      <w:r w:rsidR="76D2B93E" w:rsidRPr="7D026996">
        <w:rPr>
          <w:rFonts w:eastAsia="Bookman Old Style" w:cs="Bookman Old Style"/>
          <w:color w:val="000000" w:themeColor="text1"/>
          <w:szCs w:val="24"/>
          <w:lang w:val="es-ES"/>
        </w:rPr>
        <w:t xml:space="preserve"> de marzo del 2023, </w:t>
      </w:r>
      <w:r w:rsidR="00C7283F">
        <w:rPr>
          <w:rFonts w:eastAsia="Bookman Old Style" w:cs="Bookman Old Style"/>
          <w:color w:val="000000" w:themeColor="text1"/>
          <w:szCs w:val="24"/>
          <w:lang w:val="es-ES"/>
        </w:rPr>
        <w:t xml:space="preserve">informó </w:t>
      </w:r>
      <w:r w:rsidRPr="7D026996">
        <w:rPr>
          <w:rFonts w:eastAsia="Bookman Old Style" w:cs="Bookman Old Style"/>
          <w:color w:val="000000" w:themeColor="text1"/>
          <w:szCs w:val="24"/>
          <w:lang w:val="es-ES"/>
        </w:rPr>
        <w:t xml:space="preserve">a </w:t>
      </w:r>
      <w:r>
        <w:rPr>
          <w:rFonts w:eastAsia="Bookman Old Style" w:cs="Bookman Old Style"/>
          <w:color w:val="000000" w:themeColor="text1"/>
          <w:szCs w:val="24"/>
          <w:lang w:val="es-ES"/>
        </w:rPr>
        <w:t xml:space="preserve">la UPME y a </w:t>
      </w:r>
      <w:r w:rsidRPr="7D026996">
        <w:rPr>
          <w:rFonts w:eastAsia="Bookman Old Style" w:cs="Bookman Old Style"/>
          <w:color w:val="000000" w:themeColor="text1"/>
          <w:szCs w:val="24"/>
          <w:lang w:val="es-ES"/>
        </w:rPr>
        <w:t xml:space="preserve">TGI S.A. E.S.P </w:t>
      </w:r>
      <w:r>
        <w:rPr>
          <w:rFonts w:eastAsia="Bookman Old Style" w:cs="Bookman Old Style"/>
          <w:color w:val="000000" w:themeColor="text1"/>
          <w:szCs w:val="24"/>
          <w:lang w:val="es-ES"/>
        </w:rPr>
        <w:t xml:space="preserve">el </w:t>
      </w:r>
      <w:r w:rsidR="76D2B93E" w:rsidRPr="7D026996">
        <w:rPr>
          <w:rFonts w:eastAsia="Bookman Old Style" w:cs="Bookman Old Style"/>
          <w:color w:val="000000" w:themeColor="text1"/>
          <w:szCs w:val="24"/>
          <w:lang w:val="es-ES"/>
        </w:rPr>
        <w:t>contenido del Auto No. 0</w:t>
      </w:r>
      <w:r w:rsidR="23BA83A6" w:rsidRPr="7D026996">
        <w:rPr>
          <w:rFonts w:eastAsia="Bookman Old Style" w:cs="Bookman Old Style"/>
          <w:color w:val="000000" w:themeColor="text1"/>
          <w:szCs w:val="24"/>
          <w:lang w:val="es-ES"/>
        </w:rPr>
        <w:t>22</w:t>
      </w:r>
      <w:r w:rsidR="76D2B93E" w:rsidRPr="7D026996">
        <w:rPr>
          <w:rFonts w:eastAsia="Bookman Old Style" w:cs="Bookman Old Style"/>
          <w:color w:val="000000" w:themeColor="text1"/>
          <w:szCs w:val="24"/>
          <w:lang w:val="es-ES"/>
        </w:rPr>
        <w:t xml:space="preserve"> del </w:t>
      </w:r>
      <w:r w:rsidR="3AF55A1C" w:rsidRPr="7D026996">
        <w:rPr>
          <w:rFonts w:eastAsia="Bookman Old Style" w:cs="Bookman Old Style"/>
          <w:color w:val="000000" w:themeColor="text1"/>
          <w:szCs w:val="24"/>
          <w:lang w:val="es-ES"/>
        </w:rPr>
        <w:t>2</w:t>
      </w:r>
      <w:r w:rsidR="768224DD" w:rsidRPr="7D026996">
        <w:rPr>
          <w:rFonts w:eastAsia="Bookman Old Style" w:cs="Bookman Old Style"/>
          <w:color w:val="000000" w:themeColor="text1"/>
          <w:szCs w:val="24"/>
          <w:lang w:val="es-ES"/>
        </w:rPr>
        <w:t>7</w:t>
      </w:r>
      <w:r w:rsidR="76D2B93E" w:rsidRPr="7D026996">
        <w:rPr>
          <w:rFonts w:eastAsia="Bookman Old Style" w:cs="Bookman Old Style"/>
          <w:color w:val="000000" w:themeColor="text1"/>
          <w:szCs w:val="24"/>
          <w:lang w:val="es-ES"/>
        </w:rPr>
        <w:t xml:space="preserve"> de marzo del 2023.</w:t>
      </w:r>
    </w:p>
    <w:p w14:paraId="46E96CE4" w14:textId="53874456" w:rsidR="7A210EA7" w:rsidRDefault="7A210EA7" w:rsidP="00213028">
      <w:pPr>
        <w:spacing w:after="0"/>
        <w:jc w:val="both"/>
        <w:rPr>
          <w:rFonts w:eastAsia="Bookman Old Style" w:cs="Bookman Old Style"/>
          <w:color w:val="000000" w:themeColor="text1"/>
          <w:szCs w:val="24"/>
          <w:lang w:val="es-ES"/>
        </w:rPr>
      </w:pPr>
    </w:p>
    <w:p w14:paraId="243D0F0C" w14:textId="0FB04C77" w:rsidR="00915E56" w:rsidRPr="00915E56" w:rsidRDefault="00915E56" w:rsidP="00915E56">
      <w:pPr>
        <w:spacing w:after="0"/>
        <w:jc w:val="both"/>
        <w:rPr>
          <w:rFonts w:eastAsia="Bookman Old Style" w:cs="Bookman Old Style"/>
          <w:color w:val="000000" w:themeColor="text1"/>
          <w:szCs w:val="24"/>
          <w:lang w:val="es-ES"/>
        </w:rPr>
      </w:pPr>
      <w:r w:rsidRPr="008E439A">
        <w:rPr>
          <w:rFonts w:eastAsia="Bookman Old Style" w:cs="Bookman Old Style"/>
          <w:color w:val="000000" w:themeColor="text1"/>
          <w:szCs w:val="24"/>
          <w:lang w:val="es-ES"/>
        </w:rPr>
        <w:t>De acuerdo con lo anteriormente expuesto, una vez analizada la información y el informe pericial emitido por el Sr. Rafael Daniel Barragán Bohórquez</w:t>
      </w:r>
      <w:r w:rsidR="00C7283F">
        <w:rPr>
          <w:rFonts w:eastAsia="Bookman Old Style" w:cs="Bookman Old Style"/>
          <w:color w:val="000000" w:themeColor="text1"/>
          <w:szCs w:val="24"/>
          <w:lang w:val="es-ES"/>
        </w:rPr>
        <w:t xml:space="preserve"> y</w:t>
      </w:r>
      <w:r w:rsidRPr="008E439A">
        <w:rPr>
          <w:rFonts w:eastAsia="Bookman Old Style" w:cs="Bookman Old Style"/>
          <w:color w:val="000000" w:themeColor="text1"/>
          <w:szCs w:val="24"/>
          <w:lang w:val="es-ES"/>
        </w:rPr>
        <w:t xml:space="preserve"> teniendo en cuenta el procedimiento descrito en el artículo 4 de la Resolución CREG 102 008 de 2022, la Comisión </w:t>
      </w:r>
      <w:r w:rsidR="00250532">
        <w:rPr>
          <w:rFonts w:eastAsia="Bookman Old Style" w:cs="Bookman Old Style"/>
          <w:color w:val="000000" w:themeColor="text1"/>
          <w:szCs w:val="24"/>
          <w:lang w:val="es-ES"/>
        </w:rPr>
        <w:t xml:space="preserve">en </w:t>
      </w:r>
      <w:r w:rsidRPr="008E439A">
        <w:rPr>
          <w:rFonts w:eastAsia="Bookman Old Style" w:cs="Bookman Old Style"/>
          <w:color w:val="000000" w:themeColor="text1"/>
          <w:szCs w:val="24"/>
          <w:lang w:val="es-ES"/>
        </w:rPr>
        <w:t xml:space="preserve">la presente resolución </w:t>
      </w:r>
      <w:r w:rsidR="00250532">
        <w:rPr>
          <w:rFonts w:eastAsia="Bookman Old Style" w:cs="Bookman Old Style"/>
          <w:color w:val="000000" w:themeColor="text1"/>
          <w:szCs w:val="24"/>
          <w:lang w:val="es-ES"/>
        </w:rPr>
        <w:t xml:space="preserve">define </w:t>
      </w:r>
      <w:r w:rsidRPr="008E439A">
        <w:rPr>
          <w:rFonts w:eastAsia="Bookman Old Style" w:cs="Bookman Old Style"/>
          <w:color w:val="000000" w:themeColor="text1"/>
          <w:szCs w:val="24"/>
          <w:lang w:val="es-ES"/>
        </w:rPr>
        <w:t xml:space="preserve">para el proyecto </w:t>
      </w:r>
      <w:r w:rsidR="004143D0" w:rsidRPr="008E439A">
        <w:rPr>
          <w:rFonts w:eastAsia="Bookman Old Style" w:cs="Bookman Old Style"/>
          <w:color w:val="000000" w:themeColor="text1"/>
          <w:szCs w:val="24"/>
          <w:lang w:val="es-ES"/>
        </w:rPr>
        <w:t>IPAT Ampliación de la capacidad de transporte ramal Jamundí - Valle del Cauca</w:t>
      </w:r>
      <w:r w:rsidR="00C15AAF">
        <w:rPr>
          <w:rFonts w:eastAsia="Bookman Old Style" w:cs="Bookman Old Style"/>
          <w:color w:val="000000" w:themeColor="text1"/>
          <w:szCs w:val="24"/>
          <w:lang w:val="es-ES"/>
        </w:rPr>
        <w:t xml:space="preserve"> </w:t>
      </w:r>
      <w:r w:rsidRPr="008E439A">
        <w:rPr>
          <w:rFonts w:eastAsia="Bookman Old Style" w:cs="Bookman Old Style"/>
          <w:color w:val="000000" w:themeColor="text1"/>
          <w:szCs w:val="24"/>
          <w:lang w:val="es-ES"/>
        </w:rPr>
        <w:t xml:space="preserve">los flujos de ingresos anuales para remunerar la inversión y los gastos de AOM del proyecto declarado por el transportador incumbente, identificando, entre otros aspectos: i) el nombre del proyecto y nombre del transportador; y </w:t>
      </w:r>
      <w:proofErr w:type="spellStart"/>
      <w:r w:rsidRPr="008E439A">
        <w:rPr>
          <w:rFonts w:eastAsia="Bookman Old Style" w:cs="Bookman Old Style"/>
          <w:color w:val="000000" w:themeColor="text1"/>
          <w:szCs w:val="24"/>
          <w:lang w:val="es-ES"/>
        </w:rPr>
        <w:t>ii</w:t>
      </w:r>
      <w:proofErr w:type="spellEnd"/>
      <w:r w:rsidRPr="008E439A">
        <w:rPr>
          <w:rFonts w:eastAsia="Bookman Old Style" w:cs="Bookman Old Style"/>
          <w:color w:val="000000" w:themeColor="text1"/>
          <w:szCs w:val="24"/>
          <w:lang w:val="es-ES"/>
        </w:rPr>
        <w:t>) el ingreso en pesos colombianos que recibirá el transportador incumbente en cada uno de los años del período estándar de pagos, PEP,</w:t>
      </w:r>
      <w:r w:rsidR="00B07D01" w:rsidRPr="008E439A">
        <w:rPr>
          <w:rFonts w:eastAsia="Bookman Old Style" w:cs="Bookman Old Style"/>
          <w:color w:val="000000" w:themeColor="text1"/>
          <w:szCs w:val="24"/>
          <w:lang w:val="es-ES"/>
        </w:rPr>
        <w:t xml:space="preserve"> </w:t>
      </w:r>
      <w:r w:rsidRPr="008E439A">
        <w:rPr>
          <w:rFonts w:eastAsia="Bookman Old Style" w:cs="Bookman Old Style"/>
          <w:color w:val="000000" w:themeColor="text1"/>
          <w:szCs w:val="24"/>
          <w:lang w:val="es-ES"/>
        </w:rPr>
        <w:t>cuyo detalle se</w:t>
      </w:r>
      <w:r w:rsidRPr="00915E56">
        <w:rPr>
          <w:rFonts w:eastAsia="Bookman Old Style" w:cs="Bookman Old Style"/>
          <w:color w:val="000000" w:themeColor="text1"/>
          <w:szCs w:val="24"/>
          <w:lang w:val="es-ES"/>
        </w:rPr>
        <w:t xml:space="preserve"> encuentra en el documento soporte </w:t>
      </w:r>
      <w:r w:rsidRPr="00BC0A7A">
        <w:rPr>
          <w:rFonts w:eastAsia="Bookman Old Style" w:cs="Bookman Old Style"/>
          <w:color w:val="000000" w:themeColor="text1"/>
          <w:szCs w:val="24"/>
          <w:lang w:val="es-ES"/>
        </w:rPr>
        <w:t xml:space="preserve">CREG </w:t>
      </w:r>
      <w:r w:rsidR="00BC0A7A">
        <w:rPr>
          <w:rFonts w:eastAsia="Bookman Old Style" w:cs="Bookman Old Style"/>
          <w:color w:val="000000" w:themeColor="text1"/>
          <w:szCs w:val="24"/>
          <w:lang w:val="es-ES"/>
        </w:rPr>
        <w:t>502 028</w:t>
      </w:r>
      <w:r w:rsidRPr="00BC0A7A">
        <w:rPr>
          <w:rFonts w:eastAsia="Bookman Old Style" w:cs="Bookman Old Style"/>
          <w:color w:val="000000" w:themeColor="text1"/>
          <w:szCs w:val="24"/>
          <w:lang w:val="es-ES"/>
        </w:rPr>
        <w:t xml:space="preserve"> de</w:t>
      </w:r>
      <w:r w:rsidRPr="00915E56">
        <w:rPr>
          <w:rFonts w:eastAsia="Bookman Old Style" w:cs="Bookman Old Style"/>
          <w:color w:val="000000" w:themeColor="text1"/>
          <w:szCs w:val="24"/>
          <w:lang w:val="es-ES"/>
        </w:rPr>
        <w:t xml:space="preserve"> 2023, el cual hace parte integral de la presente resolución.</w:t>
      </w:r>
    </w:p>
    <w:p w14:paraId="7773CD4A" w14:textId="3C5B1127" w:rsidR="00915E56" w:rsidRPr="00915E56" w:rsidRDefault="00915E56" w:rsidP="00915E56">
      <w:pPr>
        <w:spacing w:after="0"/>
        <w:jc w:val="both"/>
        <w:rPr>
          <w:rFonts w:eastAsia="Bookman Old Style" w:cs="Bookman Old Style"/>
          <w:color w:val="000000" w:themeColor="text1"/>
          <w:szCs w:val="24"/>
          <w:lang w:val="es-ES"/>
        </w:rPr>
      </w:pPr>
    </w:p>
    <w:p w14:paraId="059C7ED9" w14:textId="6CE8B4A9" w:rsidR="00B939A4" w:rsidRPr="00012F00" w:rsidRDefault="00B939A4" w:rsidP="00213028">
      <w:pPr>
        <w:spacing w:after="0"/>
        <w:jc w:val="both"/>
        <w:rPr>
          <w:rFonts w:eastAsia="Bookman Old Style" w:cs="Bookman Old Style"/>
          <w:color w:val="000000" w:themeColor="text1"/>
          <w:szCs w:val="24"/>
          <w:lang w:val="es-ES"/>
        </w:rPr>
      </w:pPr>
      <w:r w:rsidRPr="00012F00">
        <w:rPr>
          <w:rFonts w:eastAsia="Bookman Old Style" w:cs="Bookman Old Style"/>
          <w:color w:val="000000" w:themeColor="text1"/>
          <w:szCs w:val="24"/>
          <w:lang w:val="es-ES"/>
        </w:rPr>
        <w:t>Una vez diligenciado el cuestionario de que trata el artículo 2.2.2.30.</w:t>
      </w:r>
      <w:r w:rsidR="00012F00" w:rsidRPr="00012F00">
        <w:rPr>
          <w:rFonts w:eastAsia="Bookman Old Style" w:cs="Bookman Old Style"/>
          <w:color w:val="000000" w:themeColor="text1"/>
          <w:szCs w:val="24"/>
          <w:lang w:val="es-ES"/>
        </w:rPr>
        <w:t>5</w:t>
      </w:r>
      <w:r w:rsidRPr="00012F00">
        <w:rPr>
          <w:rFonts w:eastAsia="Bookman Old Style" w:cs="Bookman Old Style"/>
          <w:color w:val="000000" w:themeColor="text1"/>
          <w:szCs w:val="24"/>
          <w:lang w:val="es-ES"/>
        </w:rPr>
        <w:t xml:space="preserve"> del Decreto 1074 de 2015, se concluyó que el acto administrativo propuesto no tiene incidencia sobre la libre competencia y, por ende, no fue remitido a la Superintendencia de Industria y Comercio, SIC para efecto de lo establecido en el artículo 7 de la Ley 1340 de 2009. La respuesta al cuestionario establecido por la Superintendencia de Industria y Comercio se encuentra en el Documento CREG 502 0</w:t>
      </w:r>
      <w:r w:rsidR="009F34B8">
        <w:rPr>
          <w:rFonts w:eastAsia="Bookman Old Style" w:cs="Bookman Old Style"/>
          <w:color w:val="000000" w:themeColor="text1"/>
          <w:szCs w:val="24"/>
          <w:lang w:val="es-ES"/>
        </w:rPr>
        <w:t>28</w:t>
      </w:r>
      <w:r w:rsidRPr="00012F00">
        <w:rPr>
          <w:rFonts w:eastAsia="Bookman Old Style" w:cs="Bookman Old Style"/>
          <w:color w:val="000000" w:themeColor="text1"/>
          <w:szCs w:val="24"/>
          <w:lang w:val="es-ES"/>
        </w:rPr>
        <w:t xml:space="preserve"> de 2023, que hace parte integral de la presente resolución.  </w:t>
      </w:r>
    </w:p>
    <w:p w14:paraId="38C1F7D2" w14:textId="77777777" w:rsidR="00B939A4" w:rsidRDefault="00B939A4" w:rsidP="00213028">
      <w:pPr>
        <w:spacing w:after="0"/>
        <w:jc w:val="both"/>
        <w:rPr>
          <w:rFonts w:eastAsia="Bookman Old Style" w:cs="Bookman Old Style"/>
          <w:color w:val="000000" w:themeColor="text1"/>
          <w:szCs w:val="24"/>
          <w:lang w:val="es-ES"/>
        </w:rPr>
      </w:pPr>
    </w:p>
    <w:p w14:paraId="107B84B1" w14:textId="012F1099" w:rsidR="7A210EA7" w:rsidRDefault="76D2B93E" w:rsidP="00213028">
      <w:pPr>
        <w:spacing w:after="0"/>
        <w:jc w:val="both"/>
        <w:rPr>
          <w:rFonts w:eastAsia="Bookman Old Style" w:cs="Bookman Old Style"/>
          <w:color w:val="000000" w:themeColor="text1"/>
          <w:szCs w:val="24"/>
          <w:lang w:val="es-ES"/>
        </w:rPr>
      </w:pPr>
      <w:r w:rsidRPr="7D026996">
        <w:rPr>
          <w:rFonts w:eastAsia="Bookman Old Style" w:cs="Bookman Old Style"/>
          <w:color w:val="000000" w:themeColor="text1"/>
          <w:szCs w:val="24"/>
          <w:lang w:val="es-ES"/>
        </w:rPr>
        <w:t xml:space="preserve">La Comisión en </w:t>
      </w:r>
      <w:r w:rsidRPr="00DC0A4C">
        <w:rPr>
          <w:rFonts w:eastAsia="Bookman Old Style" w:cs="Bookman Old Style"/>
          <w:color w:val="000000" w:themeColor="text1"/>
          <w:szCs w:val="24"/>
          <w:lang w:val="es-ES"/>
        </w:rPr>
        <w:t xml:space="preserve">sesión </w:t>
      </w:r>
      <w:r w:rsidR="00DC0A4C" w:rsidRPr="00DC0A4C">
        <w:rPr>
          <w:rFonts w:eastAsia="Bookman Old Style" w:cs="Bookman Old Style"/>
          <w:color w:val="000000" w:themeColor="text1"/>
          <w:szCs w:val="24"/>
          <w:lang w:val="es-ES"/>
        </w:rPr>
        <w:t>1257</w:t>
      </w:r>
      <w:r w:rsidRPr="00DC0A4C">
        <w:rPr>
          <w:rFonts w:eastAsia="Bookman Old Style" w:cs="Bookman Old Style"/>
          <w:color w:val="000000" w:themeColor="text1"/>
          <w:szCs w:val="24"/>
          <w:lang w:val="es-ES"/>
        </w:rPr>
        <w:t xml:space="preserve"> del </w:t>
      </w:r>
      <w:r w:rsidR="00DC0A4C" w:rsidRPr="00DC0A4C">
        <w:rPr>
          <w:rFonts w:eastAsia="Bookman Old Style" w:cs="Bookman Old Style"/>
          <w:color w:val="000000" w:themeColor="text1"/>
          <w:szCs w:val="24"/>
          <w:lang w:val="es-ES"/>
        </w:rPr>
        <w:t>17 de abril</w:t>
      </w:r>
      <w:r w:rsidRPr="00DC0A4C">
        <w:rPr>
          <w:rFonts w:eastAsia="Bookman Old Style" w:cs="Bookman Old Style"/>
          <w:color w:val="000000" w:themeColor="text1"/>
          <w:szCs w:val="24"/>
          <w:lang w:val="es-ES"/>
        </w:rPr>
        <w:t xml:space="preserve"> de 2023, aprobó la expedición</w:t>
      </w:r>
      <w:r w:rsidRPr="7D026996">
        <w:rPr>
          <w:rFonts w:eastAsia="Bookman Old Style" w:cs="Bookman Old Style"/>
          <w:color w:val="000000" w:themeColor="text1"/>
          <w:szCs w:val="24"/>
          <w:lang w:val="es-ES"/>
        </w:rPr>
        <w:t xml:space="preserve"> de la presente resolución.</w:t>
      </w:r>
    </w:p>
    <w:p w14:paraId="1EA9BE66" w14:textId="31D2DF48" w:rsidR="7A210EA7" w:rsidRDefault="7A210EA7" w:rsidP="7D026996">
      <w:pPr>
        <w:spacing w:after="0" w:line="257" w:lineRule="auto"/>
        <w:jc w:val="both"/>
        <w:rPr>
          <w:lang w:val="es-ES"/>
        </w:rPr>
      </w:pPr>
    </w:p>
    <w:p w14:paraId="591B3491" w14:textId="03BC718D" w:rsidR="00BB6C39" w:rsidRPr="00366983" w:rsidRDefault="00BB6C39" w:rsidP="003B1686">
      <w:pPr>
        <w:pStyle w:val="Textoindependiente2"/>
        <w:spacing w:after="0" w:line="240" w:lineRule="auto"/>
        <w:ind w:left="0" w:right="284"/>
        <w:jc w:val="both"/>
        <w:rPr>
          <w:rFonts w:ascii="Bookman Old Style" w:hAnsi="Bookman Old Style"/>
        </w:rPr>
      </w:pPr>
    </w:p>
    <w:p w14:paraId="2562B76D" w14:textId="1CAD7EE6" w:rsidR="00620335" w:rsidRDefault="00620335" w:rsidP="00501A2C">
      <w:pPr>
        <w:pStyle w:val="Tit1"/>
        <w:numPr>
          <w:ilvl w:val="0"/>
          <w:numId w:val="0"/>
        </w:numPr>
        <w:ind w:left="357" w:hanging="357"/>
        <w:jc w:val="center"/>
      </w:pPr>
      <w:r w:rsidRPr="005A1326">
        <w:t>R E S U E L V E:</w:t>
      </w:r>
    </w:p>
    <w:p w14:paraId="22430C20" w14:textId="77777777" w:rsidR="00E015AF" w:rsidRPr="00CE4888" w:rsidRDefault="00E015AF" w:rsidP="00E015AF">
      <w:pPr>
        <w:ind w:left="-142"/>
        <w:jc w:val="center"/>
        <w:rPr>
          <w:b/>
          <w:bCs/>
        </w:rPr>
      </w:pPr>
    </w:p>
    <w:p w14:paraId="05D317BC" w14:textId="70E03B00" w:rsidR="00E015AF" w:rsidRPr="0060451C" w:rsidRDefault="0995C94C" w:rsidP="765146E2">
      <w:pPr>
        <w:pStyle w:val="ARTICULOS"/>
        <w:tabs>
          <w:tab w:val="left" w:pos="709"/>
          <w:tab w:val="left" w:pos="1701"/>
          <w:tab w:val="right" w:leader="dot" w:pos="9356"/>
        </w:tabs>
        <w:ind w:firstLine="0"/>
        <w:rPr>
          <w:rFonts w:eastAsia="Bookman Old Style" w:cs="Bookman Old Style"/>
          <w:lang w:val="es-CO"/>
        </w:rPr>
      </w:pPr>
      <w:r w:rsidRPr="0060451C">
        <w:rPr>
          <w:rFonts w:eastAsia="Bookman Old Style" w:cs="Bookman Old Style"/>
          <w:b/>
          <w:bCs w:val="0"/>
          <w:lang w:val="es-ES"/>
        </w:rPr>
        <w:t>Objeto.</w:t>
      </w:r>
      <w:r w:rsidRPr="0060451C">
        <w:rPr>
          <w:rFonts w:eastAsia="Bookman Old Style" w:cs="Bookman Old Style"/>
          <w:lang w:val="es-ES"/>
        </w:rPr>
        <w:t xml:space="preserve"> Oficializar los flujos de ingresos anuales para remunerar la inversión y los gastos de AOM del proyecto IPAT </w:t>
      </w:r>
      <w:r w:rsidR="72F802B1" w:rsidRPr="0060451C">
        <w:rPr>
          <w:rFonts w:eastAsia="Bookman Old Style" w:cs="Bookman Old Style"/>
          <w:lang w:val="es-ES"/>
        </w:rPr>
        <w:t>Ampliación de la capacidad de transporte ramal Jamundí - Valle del Cauca</w:t>
      </w:r>
      <w:r w:rsidRPr="0060451C">
        <w:rPr>
          <w:rFonts w:eastAsia="Bookman Old Style" w:cs="Bookman Old Style"/>
          <w:lang w:val="es-ES"/>
        </w:rPr>
        <w:t xml:space="preserve"> a cargo de</w:t>
      </w:r>
      <w:r w:rsidR="6D710FB8" w:rsidRPr="0060451C">
        <w:rPr>
          <w:rFonts w:eastAsia="Bookman Old Style" w:cs="Bookman Old Style"/>
          <w:lang w:val="es-ES"/>
        </w:rPr>
        <w:t>l transportador incumbente</w:t>
      </w:r>
      <w:r w:rsidRPr="0060451C">
        <w:rPr>
          <w:rFonts w:eastAsia="Bookman Old Style" w:cs="Bookman Old Style"/>
          <w:lang w:val="es-ES"/>
        </w:rPr>
        <w:t xml:space="preserve"> </w:t>
      </w:r>
      <w:r w:rsidR="009447A1" w:rsidRPr="005A0D2D">
        <w:rPr>
          <w:rFonts w:eastAsia="Bookman Old Style" w:cs="Bookman Old Style"/>
          <w:bCs w:val="0"/>
          <w:lang w:val="es-ES"/>
        </w:rPr>
        <w:t>Transportadora de Gas Internacional</w:t>
      </w:r>
      <w:r w:rsidR="009447A1">
        <w:rPr>
          <w:rFonts w:eastAsia="Bookman Old Style" w:cs="Bookman Old Style"/>
          <w:bCs w:val="0"/>
          <w:lang w:val="es-ES"/>
        </w:rPr>
        <w:t xml:space="preserve"> -</w:t>
      </w:r>
      <w:r w:rsidR="009447A1" w:rsidRPr="007D7F35">
        <w:rPr>
          <w:rFonts w:eastAsia="Bookman Old Style" w:cs="Bookman Old Style"/>
          <w:lang w:val="es-ES"/>
        </w:rPr>
        <w:t>TGI S.A. E.S.P.</w:t>
      </w:r>
    </w:p>
    <w:p w14:paraId="0C4C3895" w14:textId="7B1E6DEE" w:rsidR="765146E2" w:rsidRPr="0060451C" w:rsidRDefault="765146E2" w:rsidP="765146E2">
      <w:pPr>
        <w:keepNext/>
        <w:widowControl w:val="0"/>
        <w:tabs>
          <w:tab w:val="left" w:pos="709"/>
          <w:tab w:val="left" w:pos="1701"/>
          <w:tab w:val="right" w:leader="dot" w:pos="9356"/>
        </w:tabs>
        <w:spacing w:after="0"/>
        <w:jc w:val="both"/>
        <w:rPr>
          <w:rFonts w:eastAsia="Bookman Old Style" w:cs="Bookman Old Style"/>
          <w:szCs w:val="24"/>
          <w:lang w:val="es-ES"/>
        </w:rPr>
      </w:pPr>
    </w:p>
    <w:p w14:paraId="1451F3DC" w14:textId="6598CAB0" w:rsidR="009731F5" w:rsidRDefault="0995C94C" w:rsidP="765146E2">
      <w:pPr>
        <w:pStyle w:val="ARTICULOS"/>
        <w:tabs>
          <w:tab w:val="left" w:pos="709"/>
          <w:tab w:val="left" w:pos="1701"/>
          <w:tab w:val="right" w:leader="dot" w:pos="9356"/>
        </w:tabs>
        <w:ind w:firstLine="0"/>
        <w:rPr>
          <w:rFonts w:eastAsia="Bookman Old Style" w:cs="Bookman Old Style"/>
          <w:bCs w:val="0"/>
          <w:lang w:val="es-ES"/>
        </w:rPr>
      </w:pPr>
      <w:r w:rsidRPr="0060451C">
        <w:rPr>
          <w:rFonts w:eastAsia="Bookman Old Style" w:cs="Bookman Old Style"/>
          <w:bCs w:val="0"/>
          <w:lang w:val="es-ES"/>
        </w:rPr>
        <w:t xml:space="preserve">Conforme a lo ordenado en el ítem v) del numeral 1 del artículo 1 de la Resolución del MME 40281 del 3 de agosto de 2022, TGI S.A. E.S.P. cuenta con </w:t>
      </w:r>
      <w:r w:rsidR="46017AA4" w:rsidRPr="0060451C">
        <w:rPr>
          <w:rFonts w:eastAsia="Bookman Old Style" w:cs="Bookman Old Style"/>
          <w:bCs w:val="0"/>
          <w:lang w:val="es-ES"/>
        </w:rPr>
        <w:t>15</w:t>
      </w:r>
      <w:r w:rsidRPr="0060451C">
        <w:rPr>
          <w:rFonts w:eastAsia="Bookman Old Style" w:cs="Bookman Old Style"/>
          <w:bCs w:val="0"/>
          <w:lang w:val="es-ES"/>
        </w:rPr>
        <w:t xml:space="preserve"> meses </w:t>
      </w:r>
      <w:r w:rsidR="004E7B30" w:rsidRPr="003B3A99">
        <w:rPr>
          <w:rFonts w:eastAsia="Bookman Old Style" w:cs="Bookman Old Style"/>
          <w:lang w:val="es-ES"/>
        </w:rPr>
        <w:t xml:space="preserve">para adelantar </w:t>
      </w:r>
      <w:r w:rsidR="00884988">
        <w:rPr>
          <w:rFonts w:eastAsia="Bookman Old Style" w:cs="Bookman Old Style"/>
          <w:lang w:val="es-ES"/>
        </w:rPr>
        <w:t>la</w:t>
      </w:r>
      <w:r w:rsidR="004E7B30" w:rsidRPr="003B3A99">
        <w:rPr>
          <w:rFonts w:eastAsia="Bookman Old Style" w:cs="Bookman Old Style"/>
          <w:lang w:val="es-ES"/>
        </w:rPr>
        <w:t xml:space="preserve"> ejecución</w:t>
      </w:r>
      <w:r w:rsidR="00884988">
        <w:rPr>
          <w:rFonts w:eastAsia="Bookman Old Style" w:cs="Bookman Old Style"/>
          <w:lang w:val="es-ES"/>
        </w:rPr>
        <w:t xml:space="preserve"> del proyecto</w:t>
      </w:r>
      <w:r w:rsidR="004E7B30">
        <w:rPr>
          <w:rFonts w:eastAsia="Bookman Old Style" w:cs="Bookman Old Style"/>
          <w:lang w:val="es-ES"/>
        </w:rPr>
        <w:t>,</w:t>
      </w:r>
      <w:r w:rsidR="004E7B30" w:rsidRPr="0060451C">
        <w:rPr>
          <w:rFonts w:eastAsia="Bookman Old Style" w:cs="Bookman Old Style"/>
          <w:bCs w:val="0"/>
          <w:lang w:val="es-ES"/>
        </w:rPr>
        <w:t xml:space="preserve"> </w:t>
      </w:r>
      <w:r w:rsidRPr="0060451C">
        <w:rPr>
          <w:rFonts w:eastAsia="Bookman Old Style" w:cs="Bookman Old Style"/>
          <w:bCs w:val="0"/>
          <w:lang w:val="es-ES"/>
        </w:rPr>
        <w:t>contados a partir de que el representante legal de la empresa transportadora incumbente manifieste por escrito su voluntad irrevocable de ejecutar el proyecto</w:t>
      </w:r>
      <w:r w:rsidR="001E6EDD">
        <w:rPr>
          <w:rFonts w:eastAsia="Bookman Old Style" w:cs="Bookman Old Style"/>
          <w:bCs w:val="0"/>
          <w:lang w:val="es-ES"/>
        </w:rPr>
        <w:t xml:space="preserve"> IPAT </w:t>
      </w:r>
      <w:r w:rsidR="001E6EDD" w:rsidRPr="0060451C">
        <w:rPr>
          <w:rFonts w:eastAsia="Bookman Old Style" w:cs="Bookman Old Style"/>
          <w:lang w:val="es-ES"/>
        </w:rPr>
        <w:t xml:space="preserve">Ampliación de la capacidad de transporte ramal Jamundí - Valle del </w:t>
      </w:r>
      <w:r w:rsidR="001E6EDD" w:rsidRPr="003B3A99">
        <w:rPr>
          <w:rFonts w:eastAsia="Bookman Old Style" w:cs="Bookman Old Style"/>
          <w:lang w:val="es-ES"/>
        </w:rPr>
        <w:t>Cauca</w:t>
      </w:r>
      <w:r w:rsidRPr="003B3A99">
        <w:rPr>
          <w:rFonts w:eastAsia="Bookman Old Style" w:cs="Bookman Old Style"/>
          <w:bCs w:val="0"/>
          <w:lang w:val="es-ES"/>
        </w:rPr>
        <w:t>.</w:t>
      </w:r>
    </w:p>
    <w:p w14:paraId="2704FE8A" w14:textId="77777777" w:rsidR="009731F5" w:rsidRPr="00831A30" w:rsidRDefault="009731F5" w:rsidP="00831A30">
      <w:pPr>
        <w:keepNext/>
        <w:widowControl w:val="0"/>
        <w:tabs>
          <w:tab w:val="left" w:pos="709"/>
          <w:tab w:val="left" w:pos="1701"/>
          <w:tab w:val="right" w:leader="dot" w:pos="9356"/>
        </w:tabs>
        <w:spacing w:after="0"/>
        <w:jc w:val="both"/>
        <w:rPr>
          <w:rFonts w:eastAsia="Bookman Old Style" w:cs="Bookman Old Style"/>
          <w:szCs w:val="24"/>
          <w:lang w:val="es-ES"/>
        </w:rPr>
      </w:pPr>
    </w:p>
    <w:p w14:paraId="3E62CA5A" w14:textId="48F91591" w:rsidR="0995C94C" w:rsidRPr="0060451C" w:rsidRDefault="0995C94C" w:rsidP="765146E2">
      <w:pPr>
        <w:pStyle w:val="ARTICULOS"/>
        <w:tabs>
          <w:tab w:val="left" w:pos="709"/>
          <w:tab w:val="left" w:pos="1701"/>
          <w:tab w:val="right" w:leader="dot" w:pos="9356"/>
        </w:tabs>
        <w:ind w:firstLine="0"/>
        <w:rPr>
          <w:rFonts w:eastAsia="Bookman Old Style" w:cs="Bookman Old Style"/>
          <w:bCs w:val="0"/>
          <w:lang w:val="es-ES"/>
        </w:rPr>
      </w:pPr>
      <w:r w:rsidRPr="0060451C">
        <w:rPr>
          <w:rFonts w:eastAsia="Bookman Old Style" w:cs="Bookman Old Style"/>
          <w:bCs w:val="0"/>
          <w:lang w:val="es-ES"/>
        </w:rPr>
        <w:t>Conforme a la metodología de transporte contenida en la Resolución CREG 175 de 2021</w:t>
      </w:r>
      <w:r w:rsidR="00C513B6">
        <w:rPr>
          <w:rFonts w:eastAsia="Bookman Old Style" w:cs="Bookman Old Style"/>
          <w:bCs w:val="0"/>
          <w:lang w:val="es-ES"/>
        </w:rPr>
        <w:t>,</w:t>
      </w:r>
      <w:r w:rsidR="00CD1646">
        <w:rPr>
          <w:rFonts w:eastAsia="Bookman Old Style" w:cs="Bookman Old Style"/>
          <w:bCs w:val="0"/>
          <w:lang w:val="es-ES"/>
        </w:rPr>
        <w:t xml:space="preserve"> </w:t>
      </w:r>
      <w:r w:rsidR="004770B0">
        <w:rPr>
          <w:rFonts w:eastAsia="Bookman Old Style" w:cs="Bookman Old Style"/>
          <w:bCs w:val="0"/>
          <w:lang w:val="es-ES"/>
        </w:rPr>
        <w:t>en su artículo 2</w:t>
      </w:r>
      <w:r w:rsidR="00C513B6">
        <w:rPr>
          <w:rFonts w:eastAsia="Bookman Old Style" w:cs="Bookman Old Style"/>
          <w:bCs w:val="0"/>
          <w:lang w:val="es-ES"/>
        </w:rPr>
        <w:t xml:space="preserve"> </w:t>
      </w:r>
      <w:r w:rsidR="004E7B30">
        <w:rPr>
          <w:rFonts w:eastAsia="Bookman Old Style" w:cs="Bookman Old Style"/>
          <w:bCs w:val="0"/>
          <w:lang w:val="es-ES"/>
        </w:rPr>
        <w:t xml:space="preserve">se </w:t>
      </w:r>
      <w:r w:rsidR="004770B0">
        <w:rPr>
          <w:rFonts w:eastAsia="Bookman Old Style" w:cs="Bookman Old Style"/>
          <w:bCs w:val="0"/>
          <w:lang w:val="es-ES"/>
        </w:rPr>
        <w:t xml:space="preserve">define que </w:t>
      </w:r>
      <w:r w:rsidRPr="0060451C">
        <w:rPr>
          <w:rFonts w:eastAsia="Bookman Old Style" w:cs="Bookman Old Style"/>
          <w:bCs w:val="0"/>
          <w:lang w:val="es-ES"/>
        </w:rPr>
        <w:t>el periodo estándar de pagos, PEP, es de 20 años.</w:t>
      </w:r>
    </w:p>
    <w:p w14:paraId="24F2FDAD" w14:textId="2371AAAB" w:rsidR="765146E2" w:rsidRPr="0060451C" w:rsidRDefault="765146E2" w:rsidP="765146E2">
      <w:pPr>
        <w:keepNext/>
        <w:widowControl w:val="0"/>
        <w:tabs>
          <w:tab w:val="left" w:pos="709"/>
          <w:tab w:val="left" w:pos="1701"/>
          <w:tab w:val="right" w:leader="dot" w:pos="9356"/>
        </w:tabs>
        <w:spacing w:after="0"/>
        <w:jc w:val="both"/>
        <w:rPr>
          <w:rFonts w:eastAsia="Bookman Old Style" w:cs="Bookman Old Style"/>
          <w:szCs w:val="24"/>
          <w:lang w:val="es-ES"/>
        </w:rPr>
      </w:pPr>
    </w:p>
    <w:p w14:paraId="3EF2C501" w14:textId="0F937DF6" w:rsidR="00BD418A" w:rsidRDefault="00BD418A" w:rsidP="765146E2">
      <w:pPr>
        <w:pStyle w:val="ARTICULOS"/>
        <w:tabs>
          <w:tab w:val="left" w:pos="709"/>
          <w:tab w:val="left" w:pos="1701"/>
          <w:tab w:val="right" w:leader="dot" w:pos="9356"/>
        </w:tabs>
        <w:ind w:firstLine="0"/>
        <w:rPr>
          <w:rFonts w:eastAsia="Bookman Old Style" w:cs="Bookman Old Style"/>
          <w:lang w:val="es-ES"/>
        </w:rPr>
      </w:pPr>
      <w:r>
        <w:rPr>
          <w:rFonts w:eastAsia="Bookman Old Style" w:cs="Bookman Old Style"/>
          <w:lang w:val="es-ES"/>
        </w:rPr>
        <w:t xml:space="preserve">El valor que se aprueba como inversión eficiente para el proyecto </w:t>
      </w:r>
      <w:r w:rsidR="004D0282" w:rsidRPr="0060451C">
        <w:rPr>
          <w:rFonts w:eastAsia="Bookman Old Style" w:cs="Bookman Old Style"/>
          <w:lang w:val="es-ES"/>
        </w:rPr>
        <w:t>Ampliación de la capacidad de transporte ramal Jamundí - Valle del Cauca</w:t>
      </w:r>
      <w:r w:rsidR="004D0282">
        <w:rPr>
          <w:rFonts w:eastAsia="Bookman Old Style" w:cs="Bookman Old Style"/>
          <w:lang w:val="es-ES"/>
        </w:rPr>
        <w:t xml:space="preserve"> a cargo de TGI S.A. E.S.P. es</w:t>
      </w:r>
      <w:r w:rsidR="004770B0">
        <w:rPr>
          <w:rFonts w:eastAsia="Bookman Old Style" w:cs="Bookman Old Style"/>
          <w:lang w:val="es-ES"/>
        </w:rPr>
        <w:t xml:space="preserve"> </w:t>
      </w:r>
      <w:r w:rsidR="00DE3D5D">
        <w:rPr>
          <w:rFonts w:eastAsia="Bookman Old Style" w:cs="Bookman Old Style"/>
          <w:lang w:val="es-ES"/>
        </w:rPr>
        <w:t xml:space="preserve">$ </w:t>
      </w:r>
      <w:r w:rsidR="004770B0">
        <w:rPr>
          <w:rFonts w:eastAsia="Bookman Old Style" w:cs="Bookman Old Style"/>
          <w:lang w:val="es-ES"/>
        </w:rPr>
        <w:t>COP</w:t>
      </w:r>
      <w:r w:rsidR="00B3084A">
        <w:rPr>
          <w:rFonts w:eastAsia="Bookman Old Style" w:cs="Bookman Old Style"/>
          <w:lang w:val="es-ES"/>
        </w:rPr>
        <w:t xml:space="preserve"> </w:t>
      </w:r>
      <w:r w:rsidR="00CB5A90">
        <w:rPr>
          <w:rFonts w:eastAsia="Bookman Old Style" w:cs="Bookman Old Style"/>
          <w:lang w:val="es-ES"/>
        </w:rPr>
        <w:t>2</w:t>
      </w:r>
      <w:r w:rsidR="00B24A96">
        <w:rPr>
          <w:rFonts w:eastAsia="Bookman Old Style" w:cs="Bookman Old Style"/>
          <w:lang w:val="es-ES"/>
        </w:rPr>
        <w:t>8</w:t>
      </w:r>
      <w:r w:rsidR="00CB5A90">
        <w:rPr>
          <w:rFonts w:eastAsia="Bookman Old Style" w:cs="Bookman Old Style"/>
          <w:lang w:val="es-ES"/>
        </w:rPr>
        <w:t>.</w:t>
      </w:r>
      <w:r w:rsidR="00B24A96">
        <w:rPr>
          <w:rFonts w:eastAsia="Bookman Old Style" w:cs="Bookman Old Style"/>
          <w:lang w:val="es-ES"/>
        </w:rPr>
        <w:t>262</w:t>
      </w:r>
      <w:r w:rsidR="00CB5A90">
        <w:rPr>
          <w:rFonts w:eastAsia="Bookman Old Style" w:cs="Bookman Old Style"/>
          <w:lang w:val="es-ES"/>
        </w:rPr>
        <w:t>.</w:t>
      </w:r>
      <w:r w:rsidR="006B2404">
        <w:rPr>
          <w:rFonts w:eastAsia="Bookman Old Style" w:cs="Bookman Old Style"/>
          <w:lang w:val="es-ES"/>
        </w:rPr>
        <w:t>007</w:t>
      </w:r>
      <w:r w:rsidR="00CB5A90">
        <w:rPr>
          <w:rFonts w:eastAsia="Bookman Old Style" w:cs="Bookman Old Style"/>
          <w:lang w:val="es-ES"/>
        </w:rPr>
        <w:t>.</w:t>
      </w:r>
      <w:r w:rsidR="006B2404">
        <w:rPr>
          <w:rFonts w:eastAsia="Bookman Old Style" w:cs="Bookman Old Style"/>
          <w:lang w:val="es-ES"/>
        </w:rPr>
        <w:t>4</w:t>
      </w:r>
      <w:r w:rsidR="00CB5A90">
        <w:rPr>
          <w:rFonts w:eastAsia="Bookman Old Style" w:cs="Bookman Old Style"/>
          <w:lang w:val="es-ES"/>
        </w:rPr>
        <w:t>02</w:t>
      </w:r>
      <w:r w:rsidR="004D0282">
        <w:rPr>
          <w:rFonts w:eastAsia="Bookman Old Style" w:cs="Bookman Old Style"/>
          <w:lang w:val="es-ES"/>
        </w:rPr>
        <w:t>.</w:t>
      </w:r>
      <w:r w:rsidR="00FA5107">
        <w:rPr>
          <w:rFonts w:eastAsia="Bookman Old Style" w:cs="Bookman Old Style"/>
          <w:lang w:val="es-ES"/>
        </w:rPr>
        <w:t xml:space="preserve"> </w:t>
      </w:r>
      <w:r w:rsidR="004D0282">
        <w:rPr>
          <w:rFonts w:eastAsia="Bookman Old Style" w:cs="Bookman Old Style"/>
          <w:lang w:val="es-ES"/>
        </w:rPr>
        <w:t xml:space="preserve">Valores expresados en pesos </w:t>
      </w:r>
      <w:r w:rsidR="0098250D">
        <w:rPr>
          <w:rFonts w:eastAsia="Bookman Old Style" w:cs="Bookman Old Style"/>
          <w:lang w:val="es-ES"/>
        </w:rPr>
        <w:t xml:space="preserve">colombianos </w:t>
      </w:r>
      <w:r w:rsidR="004D0282">
        <w:rPr>
          <w:rFonts w:eastAsia="Bookman Old Style" w:cs="Bookman Old Style"/>
          <w:lang w:val="es-ES"/>
        </w:rPr>
        <w:t>de diciembre de 2021.</w:t>
      </w:r>
    </w:p>
    <w:p w14:paraId="080AF671" w14:textId="77777777" w:rsidR="00D93DCA" w:rsidRPr="003D302A" w:rsidRDefault="00D93DCA" w:rsidP="003D302A">
      <w:pPr>
        <w:keepNext/>
        <w:widowControl w:val="0"/>
        <w:tabs>
          <w:tab w:val="left" w:pos="709"/>
          <w:tab w:val="left" w:pos="1701"/>
          <w:tab w:val="right" w:leader="dot" w:pos="9356"/>
        </w:tabs>
        <w:spacing w:after="0"/>
        <w:jc w:val="both"/>
        <w:rPr>
          <w:rFonts w:eastAsia="Bookman Old Style" w:cs="Bookman Old Style"/>
          <w:szCs w:val="24"/>
          <w:lang w:val="es-ES"/>
        </w:rPr>
      </w:pPr>
    </w:p>
    <w:p w14:paraId="082C1A61" w14:textId="784B991E" w:rsidR="001B10F2" w:rsidRDefault="00A51D58" w:rsidP="001B10F2">
      <w:pPr>
        <w:pStyle w:val="ARTICULOS"/>
        <w:tabs>
          <w:tab w:val="left" w:pos="709"/>
          <w:tab w:val="left" w:pos="1701"/>
          <w:tab w:val="right" w:leader="dot" w:pos="9356"/>
        </w:tabs>
        <w:ind w:firstLine="0"/>
        <w:rPr>
          <w:rFonts w:eastAsia="Bookman Old Style" w:cs="Bookman Old Style"/>
          <w:lang w:val="es-ES"/>
        </w:rPr>
      </w:pPr>
      <w:r>
        <w:rPr>
          <w:rFonts w:eastAsia="Bookman Old Style" w:cs="Bookman Old Style"/>
          <w:lang w:val="es-ES"/>
        </w:rPr>
        <w:t>E</w:t>
      </w:r>
      <w:r w:rsidR="0995C94C" w:rsidRPr="0060451C">
        <w:rPr>
          <w:rFonts w:eastAsia="Bookman Old Style" w:cs="Bookman Old Style"/>
          <w:lang w:val="es-ES"/>
        </w:rPr>
        <w:t xml:space="preserve">l valor que se aprueba como ingreso anual para remunerar la inversión </w:t>
      </w:r>
      <w:r>
        <w:rPr>
          <w:rFonts w:eastAsia="Bookman Old Style" w:cs="Bookman Old Style"/>
          <w:lang w:val="es-ES"/>
        </w:rPr>
        <w:t>eficiente señalada en el artículo 4 de la presente resolución</w:t>
      </w:r>
      <w:r w:rsidR="00471DFF">
        <w:rPr>
          <w:rFonts w:eastAsia="Bookman Old Style" w:cs="Bookman Old Style"/>
          <w:lang w:val="es-ES"/>
        </w:rPr>
        <w:t xml:space="preserve"> para el </w:t>
      </w:r>
      <w:r w:rsidR="0995C94C" w:rsidRPr="0060451C">
        <w:rPr>
          <w:rFonts w:eastAsia="Bookman Old Style" w:cs="Bookman Old Style"/>
          <w:lang w:val="es-ES"/>
        </w:rPr>
        <w:t xml:space="preserve">proyecto </w:t>
      </w:r>
      <w:r w:rsidR="190AF297" w:rsidRPr="0060451C">
        <w:rPr>
          <w:rFonts w:eastAsia="Bookman Old Style" w:cs="Bookman Old Style"/>
          <w:lang w:val="es-ES"/>
        </w:rPr>
        <w:t>Ampliación de la capacidad de transporte ramal Jamundí - Valle del Cauca</w:t>
      </w:r>
      <w:r w:rsidR="0995C94C" w:rsidRPr="0060451C">
        <w:rPr>
          <w:rFonts w:eastAsia="Bookman Old Style" w:cs="Bookman Old Style"/>
          <w:lang w:val="es-ES"/>
        </w:rPr>
        <w:t xml:space="preserve"> a cargo de TGI S.A. E.S.P. es </w:t>
      </w:r>
      <w:r w:rsidR="00DE3D5D">
        <w:rPr>
          <w:rFonts w:eastAsia="Bookman Old Style" w:cs="Bookman Old Style"/>
          <w:lang w:val="es-ES"/>
        </w:rPr>
        <w:t xml:space="preserve">$ </w:t>
      </w:r>
      <w:r w:rsidR="004770B0">
        <w:rPr>
          <w:rFonts w:eastAsia="Bookman Old Style" w:cs="Bookman Old Style"/>
          <w:lang w:val="es-ES"/>
        </w:rPr>
        <w:t xml:space="preserve">COP </w:t>
      </w:r>
      <w:r w:rsidR="00B3084A">
        <w:rPr>
          <w:rFonts w:eastAsia="Bookman Old Style" w:cs="Bookman Old Style"/>
          <w:lang w:val="es-ES"/>
        </w:rPr>
        <w:t>3.</w:t>
      </w:r>
      <w:r w:rsidR="00467150">
        <w:rPr>
          <w:rFonts w:eastAsia="Bookman Old Style" w:cs="Bookman Old Style"/>
          <w:lang w:val="es-ES"/>
        </w:rPr>
        <w:t>535</w:t>
      </w:r>
      <w:r w:rsidR="00B3084A">
        <w:rPr>
          <w:rFonts w:eastAsia="Bookman Old Style" w:cs="Bookman Old Style"/>
          <w:lang w:val="es-ES"/>
        </w:rPr>
        <w:t>.</w:t>
      </w:r>
      <w:r w:rsidR="00467150">
        <w:rPr>
          <w:rFonts w:eastAsia="Bookman Old Style" w:cs="Bookman Old Style"/>
          <w:lang w:val="es-ES"/>
        </w:rPr>
        <w:t>103</w:t>
      </w:r>
      <w:r w:rsidR="00B3084A">
        <w:rPr>
          <w:rFonts w:eastAsia="Bookman Old Style" w:cs="Bookman Old Style"/>
          <w:lang w:val="es-ES"/>
        </w:rPr>
        <w:t>.</w:t>
      </w:r>
      <w:r w:rsidR="003773C9">
        <w:rPr>
          <w:rFonts w:eastAsia="Bookman Old Style" w:cs="Bookman Old Style"/>
          <w:lang w:val="es-ES"/>
        </w:rPr>
        <w:t>575</w:t>
      </w:r>
      <w:r w:rsidR="0995C94C" w:rsidRPr="0060451C">
        <w:rPr>
          <w:rFonts w:eastAsia="Bookman Old Style" w:cs="Bookman Old Style"/>
          <w:lang w:val="es-ES"/>
        </w:rPr>
        <w:t xml:space="preserve"> durante el PEP.</w:t>
      </w:r>
      <w:r w:rsidR="001B10F2">
        <w:rPr>
          <w:rFonts w:eastAsia="Bookman Old Style" w:cs="Bookman Old Style"/>
          <w:lang w:val="es-ES"/>
        </w:rPr>
        <w:t xml:space="preserve"> Valores expresados en pesos </w:t>
      </w:r>
      <w:r w:rsidR="00F27FD6">
        <w:rPr>
          <w:rFonts w:eastAsia="Bookman Old Style" w:cs="Bookman Old Style"/>
          <w:lang w:val="es-ES"/>
        </w:rPr>
        <w:t xml:space="preserve">colombianos </w:t>
      </w:r>
      <w:r w:rsidR="001B10F2">
        <w:rPr>
          <w:rFonts w:eastAsia="Bookman Old Style" w:cs="Bookman Old Style"/>
          <w:lang w:val="es-ES"/>
        </w:rPr>
        <w:t>de diciembre de 2021.</w:t>
      </w:r>
    </w:p>
    <w:p w14:paraId="57D4B113" w14:textId="6B1F0614" w:rsidR="765146E2" w:rsidRDefault="765146E2" w:rsidP="765146E2">
      <w:pPr>
        <w:keepNext/>
        <w:widowControl w:val="0"/>
        <w:tabs>
          <w:tab w:val="left" w:pos="709"/>
          <w:tab w:val="left" w:pos="1701"/>
          <w:tab w:val="right" w:leader="dot" w:pos="9356"/>
        </w:tabs>
        <w:spacing w:after="0"/>
        <w:jc w:val="both"/>
        <w:rPr>
          <w:rFonts w:eastAsia="Bookman Old Style" w:cs="Bookman Old Style"/>
          <w:szCs w:val="24"/>
          <w:lang w:val="x-none"/>
        </w:rPr>
      </w:pPr>
    </w:p>
    <w:p w14:paraId="58374B0B" w14:textId="77777777" w:rsidR="006D3006" w:rsidRPr="00FD7DA1" w:rsidRDefault="006D3006" w:rsidP="006D3006">
      <w:pPr>
        <w:pStyle w:val="ARTICULOS"/>
        <w:numPr>
          <w:ilvl w:val="0"/>
          <w:numId w:val="0"/>
        </w:numPr>
        <w:tabs>
          <w:tab w:val="left" w:pos="709"/>
          <w:tab w:val="left" w:pos="1701"/>
          <w:tab w:val="right" w:leader="dot" w:pos="9356"/>
        </w:tabs>
        <w:ind w:firstLine="1"/>
        <w:rPr>
          <w:rFonts w:eastAsia="Bookman Old Style"/>
        </w:rPr>
      </w:pPr>
      <w:r w:rsidRPr="009A5544">
        <w:rPr>
          <w:rFonts w:eastAsia="Bookman Old Style"/>
          <w:b/>
          <w:bCs w:val="0"/>
          <w:lang w:val="es-CO"/>
        </w:rPr>
        <w:t>Parágrafo</w:t>
      </w:r>
      <w:r>
        <w:rPr>
          <w:rFonts w:eastAsia="Bookman Old Style"/>
          <w:lang w:val="es-CO"/>
        </w:rPr>
        <w:t xml:space="preserve">. </w:t>
      </w:r>
      <w:r w:rsidRPr="00275A6B">
        <w:rPr>
          <w:rFonts w:eastAsia="Bookman Old Style"/>
          <w:lang w:val="es-CO"/>
        </w:rPr>
        <w:t xml:space="preserve">Para </w:t>
      </w:r>
      <w:r>
        <w:rPr>
          <w:rFonts w:eastAsia="Bookman Old Style"/>
          <w:lang w:val="es-CO"/>
        </w:rPr>
        <w:t xml:space="preserve">calcular el ingreso anual </w:t>
      </w:r>
      <w:r w:rsidRPr="00275A6B">
        <w:rPr>
          <w:rFonts w:eastAsia="Bookman Old Style"/>
          <w:lang w:val="es-CO"/>
        </w:rPr>
        <w:t>del proyecto</w:t>
      </w:r>
      <w:r>
        <w:rPr>
          <w:rFonts w:eastAsia="Bookman Old Style"/>
          <w:lang w:val="es-CO"/>
        </w:rPr>
        <w:t xml:space="preserve"> </w:t>
      </w:r>
      <w:r w:rsidRPr="00275A6B">
        <w:rPr>
          <w:rFonts w:eastAsia="Bookman Old Style"/>
          <w:lang w:val="es-CO"/>
        </w:rPr>
        <w:t xml:space="preserve">IPAT </w:t>
      </w:r>
      <w:r w:rsidRPr="001A10B6">
        <w:rPr>
          <w:rFonts w:eastAsia="Bookman Old Style"/>
          <w:sz w:val="22"/>
          <w:szCs w:val="22"/>
          <w:lang w:val="es-CO"/>
        </w:rPr>
        <w:t xml:space="preserve">se utilizó </w:t>
      </w:r>
      <w:r>
        <w:rPr>
          <w:rFonts w:eastAsiaTheme="minorEastAsia"/>
          <w:color w:val="000000" w:themeColor="text1"/>
          <w:lang w:val="es-ES"/>
        </w:rPr>
        <w:t>l</w:t>
      </w:r>
      <w:r w:rsidRPr="00275A6B">
        <w:rPr>
          <w:rFonts w:eastAsia="Bookman Old Style"/>
          <w:lang w:val="es-CO"/>
        </w:rPr>
        <w:t xml:space="preserve">a tasa de descuento </w:t>
      </w:r>
      <w:r>
        <w:rPr>
          <w:rFonts w:eastAsia="Bookman Old Style"/>
          <w:lang w:val="es-CO"/>
        </w:rPr>
        <w:t xml:space="preserve">definida en el artículo 25 de la resolución CREG 175 de 2021, </w:t>
      </w:r>
      <w:proofErr w:type="spellStart"/>
      <w:r w:rsidRPr="00275A6B">
        <w:rPr>
          <w:rFonts w:eastAsia="Bookman Old Style"/>
          <w:lang w:val="es-CO"/>
        </w:rPr>
        <w:t>Tkip</w:t>
      </w:r>
      <w:proofErr w:type="spellEnd"/>
      <w:r>
        <w:rPr>
          <w:rFonts w:eastAsia="Bookman Old Style"/>
          <w:lang w:val="es-CO"/>
        </w:rPr>
        <w:t>, cuyo cálculo está incluido en</w:t>
      </w:r>
      <w:r w:rsidRPr="00275A6B">
        <w:rPr>
          <w:rFonts w:eastAsia="Bookman Old Style"/>
          <w:lang w:val="es-CO"/>
        </w:rPr>
        <w:t xml:space="preserve"> la Resolución CREG 103 de 2021</w:t>
      </w:r>
      <w:r>
        <w:rPr>
          <w:rFonts w:eastAsia="Bookman Old Style"/>
          <w:lang w:val="es-CO"/>
        </w:rPr>
        <w:t xml:space="preserve">. </w:t>
      </w:r>
    </w:p>
    <w:p w14:paraId="31E5CEB2" w14:textId="77777777" w:rsidR="006D3006" w:rsidRPr="006D3006" w:rsidRDefault="006D3006" w:rsidP="765146E2">
      <w:pPr>
        <w:keepNext/>
        <w:widowControl w:val="0"/>
        <w:tabs>
          <w:tab w:val="left" w:pos="709"/>
          <w:tab w:val="left" w:pos="1701"/>
          <w:tab w:val="right" w:leader="dot" w:pos="9356"/>
        </w:tabs>
        <w:spacing w:after="0"/>
        <w:jc w:val="both"/>
        <w:rPr>
          <w:rFonts w:eastAsia="Bookman Old Style" w:cs="Bookman Old Style"/>
          <w:szCs w:val="24"/>
          <w:lang w:val="x-none"/>
        </w:rPr>
      </w:pPr>
    </w:p>
    <w:p w14:paraId="2C2DF77E" w14:textId="2796BB0A" w:rsidR="0995C94C" w:rsidRDefault="006C171E" w:rsidP="002D0F83">
      <w:pPr>
        <w:pStyle w:val="ARTICULOS"/>
        <w:tabs>
          <w:tab w:val="left" w:pos="0"/>
          <w:tab w:val="left" w:pos="1701"/>
          <w:tab w:val="right" w:leader="dot" w:pos="9356"/>
        </w:tabs>
        <w:ind w:firstLine="0"/>
        <w:rPr>
          <w:rFonts w:eastAsia="Bookman Old Style" w:cs="Bookman Old Style"/>
          <w:bCs w:val="0"/>
          <w:lang w:val="es-ES"/>
        </w:rPr>
      </w:pPr>
      <w:r>
        <w:rPr>
          <w:rFonts w:eastAsia="Bookman Old Style" w:cs="Bookman Old Style"/>
          <w:bCs w:val="0"/>
          <w:lang w:val="es-ES"/>
        </w:rPr>
        <w:t>L</w:t>
      </w:r>
      <w:r w:rsidR="0995C94C" w:rsidRPr="0060451C">
        <w:rPr>
          <w:rFonts w:eastAsia="Bookman Old Style" w:cs="Bookman Old Style"/>
          <w:bCs w:val="0"/>
          <w:lang w:val="es-ES"/>
        </w:rPr>
        <w:t xml:space="preserve">os valores que se aprueban para remunerar los gastos de AOM del proyecto </w:t>
      </w:r>
      <w:r w:rsidR="795E6CB3" w:rsidRPr="0060451C">
        <w:rPr>
          <w:rFonts w:eastAsia="Bookman Old Style" w:cs="Bookman Old Style"/>
          <w:bCs w:val="0"/>
          <w:lang w:val="es-ES"/>
        </w:rPr>
        <w:t>Ampliación de la capacidad de transporte ramal Jamundí - Valle del Cauca</w:t>
      </w:r>
      <w:r w:rsidR="0995C94C" w:rsidRPr="0060451C">
        <w:rPr>
          <w:rFonts w:eastAsia="Bookman Old Style" w:cs="Bookman Old Style"/>
          <w:bCs w:val="0"/>
          <w:lang w:val="es-ES"/>
        </w:rPr>
        <w:t xml:space="preserve"> a cargo de TGI S.A. E.S.P. en cada uno de los años del PEP se indica en la siguiente tabla</w:t>
      </w:r>
      <w:r w:rsidR="00F27FD6">
        <w:rPr>
          <w:rFonts w:eastAsia="Bookman Old Style" w:cs="Bookman Old Style"/>
          <w:bCs w:val="0"/>
          <w:lang w:val="es-ES"/>
        </w:rPr>
        <w:t xml:space="preserve"> (</w:t>
      </w:r>
      <w:r w:rsidR="0077318B">
        <w:rPr>
          <w:rFonts w:eastAsia="Bookman Old Style" w:cs="Bookman Old Style"/>
          <w:bCs w:val="0"/>
          <w:lang w:val="es-ES"/>
        </w:rPr>
        <w:t>valores expresados en pesos colombianos de diciembre de 2021)</w:t>
      </w:r>
      <w:r w:rsidR="0995C94C" w:rsidRPr="0060451C">
        <w:rPr>
          <w:rFonts w:eastAsia="Bookman Old Style" w:cs="Bookman Old Style"/>
          <w:bCs w:val="0"/>
          <w:lang w:val="es-ES"/>
        </w:rPr>
        <w:t>:</w:t>
      </w:r>
    </w:p>
    <w:p w14:paraId="7899D201" w14:textId="77777777" w:rsidR="0009505B" w:rsidRDefault="0009505B" w:rsidP="0009505B">
      <w:pPr>
        <w:pStyle w:val="Prrafodelista"/>
        <w:rPr>
          <w:rFonts w:eastAsia="Bookman Old Style" w:cs="Bookman Old Style"/>
          <w:bCs/>
          <w:lang w:val="es-ES"/>
        </w:rPr>
      </w:pPr>
    </w:p>
    <w:tbl>
      <w:tblPr>
        <w:tblW w:w="4390" w:type="dxa"/>
        <w:jc w:val="center"/>
        <w:tblCellMar>
          <w:left w:w="70" w:type="dxa"/>
          <w:right w:w="70" w:type="dxa"/>
        </w:tblCellMar>
        <w:tblLook w:val="04A0" w:firstRow="1" w:lastRow="0" w:firstColumn="1" w:lastColumn="0" w:noHBand="0" w:noVBand="1"/>
      </w:tblPr>
      <w:tblGrid>
        <w:gridCol w:w="1200"/>
        <w:gridCol w:w="3190"/>
      </w:tblGrid>
      <w:tr w:rsidR="0009505B" w:rsidRPr="0009505B" w14:paraId="2639B932" w14:textId="77777777" w:rsidTr="00E27C68">
        <w:trPr>
          <w:trHeight w:val="84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D5332" w14:textId="77777777" w:rsidR="0009505B" w:rsidRDefault="0009505B" w:rsidP="0009505B">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w:t>
            </w:r>
          </w:p>
          <w:p w14:paraId="699E5D19" w14:textId="245BCE7D" w:rsidR="00AC32CE" w:rsidRPr="0009505B" w:rsidRDefault="00AC32CE" w:rsidP="0009505B">
            <w:pPr>
              <w:spacing w:after="0"/>
              <w:contextualSpacing w:val="0"/>
              <w:jc w:val="center"/>
              <w:rPr>
                <w:rFonts w:ascii="Book old style" w:eastAsia="Times New Roman" w:hAnsi="Book old style" w:cs="Calibri"/>
                <w:color w:val="000000"/>
                <w:sz w:val="22"/>
                <w:lang w:eastAsia="es-CO"/>
              </w:rPr>
            </w:pPr>
          </w:p>
        </w:tc>
        <w:tc>
          <w:tcPr>
            <w:tcW w:w="3190" w:type="dxa"/>
            <w:tcBorders>
              <w:top w:val="single" w:sz="4" w:space="0" w:color="auto"/>
              <w:left w:val="nil"/>
              <w:bottom w:val="single" w:sz="4" w:space="0" w:color="auto"/>
              <w:right w:val="single" w:sz="4" w:space="0" w:color="auto"/>
            </w:tcBorders>
            <w:shd w:val="clear" w:color="auto" w:fill="auto"/>
            <w:vAlign w:val="center"/>
            <w:hideMark/>
          </w:tcPr>
          <w:p w14:paraId="098FADAE" w14:textId="77777777" w:rsidR="00E27C68" w:rsidRDefault="0009505B" w:rsidP="0009505B">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 xml:space="preserve">Valor AOM </w:t>
            </w:r>
          </w:p>
          <w:p w14:paraId="7B667F97" w14:textId="0E6310FF" w:rsidR="0009505B" w:rsidRPr="0009505B" w:rsidRDefault="0009505B" w:rsidP="0009505B">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 COP diciembre de 2021)</w:t>
            </w:r>
          </w:p>
        </w:tc>
      </w:tr>
      <w:tr w:rsidR="0009505B" w:rsidRPr="0009505B" w14:paraId="012A2E47"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F827807"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w:t>
            </w:r>
          </w:p>
        </w:tc>
        <w:tc>
          <w:tcPr>
            <w:tcW w:w="3190" w:type="dxa"/>
            <w:tcBorders>
              <w:top w:val="nil"/>
              <w:left w:val="nil"/>
              <w:bottom w:val="single" w:sz="4" w:space="0" w:color="auto"/>
              <w:right w:val="single" w:sz="4" w:space="0" w:color="auto"/>
            </w:tcBorders>
            <w:shd w:val="clear" w:color="auto" w:fill="auto"/>
            <w:noWrap/>
            <w:vAlign w:val="bottom"/>
            <w:hideMark/>
          </w:tcPr>
          <w:p w14:paraId="1B435540"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1.035.162.412</w:t>
            </w:r>
          </w:p>
        </w:tc>
      </w:tr>
      <w:tr w:rsidR="0009505B" w:rsidRPr="0009505B" w14:paraId="009A1898"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3E0BD8"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Año2</w:t>
            </w:r>
          </w:p>
        </w:tc>
        <w:tc>
          <w:tcPr>
            <w:tcW w:w="3190" w:type="dxa"/>
            <w:tcBorders>
              <w:top w:val="nil"/>
              <w:left w:val="nil"/>
              <w:bottom w:val="single" w:sz="4" w:space="0" w:color="auto"/>
              <w:right w:val="single" w:sz="4" w:space="0" w:color="auto"/>
            </w:tcBorders>
            <w:shd w:val="clear" w:color="auto" w:fill="auto"/>
            <w:noWrap/>
            <w:vAlign w:val="bottom"/>
            <w:hideMark/>
          </w:tcPr>
          <w:p w14:paraId="49594432"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1.429.270.412</w:t>
            </w:r>
          </w:p>
        </w:tc>
      </w:tr>
      <w:tr w:rsidR="0009505B" w:rsidRPr="0009505B" w14:paraId="4D77ED2F"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2AE3E4F"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3</w:t>
            </w:r>
          </w:p>
        </w:tc>
        <w:tc>
          <w:tcPr>
            <w:tcW w:w="3190" w:type="dxa"/>
            <w:tcBorders>
              <w:top w:val="nil"/>
              <w:left w:val="nil"/>
              <w:bottom w:val="single" w:sz="4" w:space="0" w:color="auto"/>
              <w:right w:val="single" w:sz="4" w:space="0" w:color="auto"/>
            </w:tcBorders>
            <w:shd w:val="clear" w:color="auto" w:fill="auto"/>
            <w:noWrap/>
            <w:vAlign w:val="bottom"/>
            <w:hideMark/>
          </w:tcPr>
          <w:p w14:paraId="6199344A"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1.363.162.412</w:t>
            </w:r>
          </w:p>
        </w:tc>
      </w:tr>
      <w:tr w:rsidR="0009505B" w:rsidRPr="0009505B" w14:paraId="35E10079"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CD3149F"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4</w:t>
            </w:r>
          </w:p>
        </w:tc>
        <w:tc>
          <w:tcPr>
            <w:tcW w:w="3190" w:type="dxa"/>
            <w:tcBorders>
              <w:top w:val="nil"/>
              <w:left w:val="nil"/>
              <w:bottom w:val="single" w:sz="4" w:space="0" w:color="auto"/>
              <w:right w:val="single" w:sz="4" w:space="0" w:color="auto"/>
            </w:tcBorders>
            <w:shd w:val="clear" w:color="auto" w:fill="auto"/>
            <w:noWrap/>
            <w:vAlign w:val="bottom"/>
            <w:hideMark/>
          </w:tcPr>
          <w:p w14:paraId="18CAC47F"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1.429.270.412</w:t>
            </w:r>
          </w:p>
        </w:tc>
      </w:tr>
      <w:tr w:rsidR="0009505B" w:rsidRPr="0009505B" w14:paraId="5F3E0F4A"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DBEE9D"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5</w:t>
            </w:r>
          </w:p>
        </w:tc>
        <w:tc>
          <w:tcPr>
            <w:tcW w:w="3190" w:type="dxa"/>
            <w:tcBorders>
              <w:top w:val="nil"/>
              <w:left w:val="nil"/>
              <w:bottom w:val="single" w:sz="4" w:space="0" w:color="auto"/>
              <w:right w:val="single" w:sz="4" w:space="0" w:color="auto"/>
            </w:tcBorders>
            <w:shd w:val="clear" w:color="auto" w:fill="auto"/>
            <w:noWrap/>
            <w:vAlign w:val="bottom"/>
            <w:hideMark/>
          </w:tcPr>
          <w:p w14:paraId="775DA98A"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1.654.162.412</w:t>
            </w:r>
          </w:p>
        </w:tc>
      </w:tr>
      <w:tr w:rsidR="0009505B" w:rsidRPr="0009505B" w14:paraId="658E4B38"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DD62F8"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6</w:t>
            </w:r>
          </w:p>
        </w:tc>
        <w:tc>
          <w:tcPr>
            <w:tcW w:w="3190" w:type="dxa"/>
            <w:tcBorders>
              <w:top w:val="nil"/>
              <w:left w:val="nil"/>
              <w:bottom w:val="single" w:sz="4" w:space="0" w:color="auto"/>
              <w:right w:val="single" w:sz="4" w:space="0" w:color="auto"/>
            </w:tcBorders>
            <w:shd w:val="clear" w:color="auto" w:fill="auto"/>
            <w:noWrap/>
            <w:vAlign w:val="bottom"/>
            <w:hideMark/>
          </w:tcPr>
          <w:p w14:paraId="4A2AC32C"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1.580.270.412</w:t>
            </w:r>
          </w:p>
        </w:tc>
      </w:tr>
      <w:tr w:rsidR="0009505B" w:rsidRPr="0009505B" w14:paraId="4E4C8636"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E89430"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7</w:t>
            </w:r>
          </w:p>
        </w:tc>
        <w:tc>
          <w:tcPr>
            <w:tcW w:w="3190" w:type="dxa"/>
            <w:tcBorders>
              <w:top w:val="nil"/>
              <w:left w:val="nil"/>
              <w:bottom w:val="single" w:sz="4" w:space="0" w:color="auto"/>
              <w:right w:val="single" w:sz="4" w:space="0" w:color="auto"/>
            </w:tcBorders>
            <w:shd w:val="clear" w:color="auto" w:fill="auto"/>
            <w:noWrap/>
            <w:vAlign w:val="bottom"/>
            <w:hideMark/>
          </w:tcPr>
          <w:p w14:paraId="5B89BE0B"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1.212.162.412</w:t>
            </w:r>
          </w:p>
        </w:tc>
      </w:tr>
      <w:tr w:rsidR="0009505B" w:rsidRPr="0009505B" w14:paraId="0E1A99CC"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C593C4"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8</w:t>
            </w:r>
          </w:p>
        </w:tc>
        <w:tc>
          <w:tcPr>
            <w:tcW w:w="3190" w:type="dxa"/>
            <w:tcBorders>
              <w:top w:val="nil"/>
              <w:left w:val="nil"/>
              <w:bottom w:val="single" w:sz="4" w:space="0" w:color="auto"/>
              <w:right w:val="single" w:sz="4" w:space="0" w:color="auto"/>
            </w:tcBorders>
            <w:shd w:val="clear" w:color="auto" w:fill="auto"/>
            <w:noWrap/>
            <w:vAlign w:val="bottom"/>
            <w:hideMark/>
          </w:tcPr>
          <w:p w14:paraId="7EC2B159"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1.429.270.412</w:t>
            </w:r>
          </w:p>
        </w:tc>
      </w:tr>
      <w:tr w:rsidR="0009505B" w:rsidRPr="0009505B" w14:paraId="63E624CE"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8AE155"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9</w:t>
            </w:r>
          </w:p>
        </w:tc>
        <w:tc>
          <w:tcPr>
            <w:tcW w:w="3190" w:type="dxa"/>
            <w:tcBorders>
              <w:top w:val="nil"/>
              <w:left w:val="nil"/>
              <w:bottom w:val="single" w:sz="4" w:space="0" w:color="auto"/>
              <w:right w:val="single" w:sz="4" w:space="0" w:color="auto"/>
            </w:tcBorders>
            <w:shd w:val="clear" w:color="auto" w:fill="auto"/>
            <w:noWrap/>
            <w:vAlign w:val="bottom"/>
            <w:hideMark/>
          </w:tcPr>
          <w:p w14:paraId="43F33286"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1.463.162.412</w:t>
            </w:r>
          </w:p>
        </w:tc>
      </w:tr>
      <w:tr w:rsidR="0009505B" w:rsidRPr="0009505B" w14:paraId="1B55FF74"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F1EE2C8"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10</w:t>
            </w:r>
          </w:p>
        </w:tc>
        <w:tc>
          <w:tcPr>
            <w:tcW w:w="3190" w:type="dxa"/>
            <w:tcBorders>
              <w:top w:val="nil"/>
              <w:left w:val="nil"/>
              <w:bottom w:val="single" w:sz="4" w:space="0" w:color="auto"/>
              <w:right w:val="single" w:sz="4" w:space="0" w:color="auto"/>
            </w:tcBorders>
            <w:shd w:val="clear" w:color="auto" w:fill="auto"/>
            <w:noWrap/>
            <w:vAlign w:val="bottom"/>
            <w:hideMark/>
          </w:tcPr>
          <w:p w14:paraId="2EEED45F"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2.059.270.412</w:t>
            </w:r>
          </w:p>
        </w:tc>
      </w:tr>
      <w:tr w:rsidR="0009505B" w:rsidRPr="0009505B" w14:paraId="739B9690"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35CECB"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11</w:t>
            </w:r>
          </w:p>
        </w:tc>
        <w:tc>
          <w:tcPr>
            <w:tcW w:w="3190" w:type="dxa"/>
            <w:tcBorders>
              <w:top w:val="nil"/>
              <w:left w:val="nil"/>
              <w:bottom w:val="single" w:sz="4" w:space="0" w:color="auto"/>
              <w:right w:val="single" w:sz="4" w:space="0" w:color="auto"/>
            </w:tcBorders>
            <w:shd w:val="clear" w:color="auto" w:fill="auto"/>
            <w:noWrap/>
            <w:vAlign w:val="bottom"/>
            <w:hideMark/>
          </w:tcPr>
          <w:p w14:paraId="244B30CB"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1.212.162.412</w:t>
            </w:r>
          </w:p>
        </w:tc>
      </w:tr>
      <w:tr w:rsidR="0009505B" w:rsidRPr="0009505B" w14:paraId="1B4D4396"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2EC02B5"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12</w:t>
            </w:r>
          </w:p>
        </w:tc>
        <w:tc>
          <w:tcPr>
            <w:tcW w:w="3190" w:type="dxa"/>
            <w:tcBorders>
              <w:top w:val="nil"/>
              <w:left w:val="nil"/>
              <w:bottom w:val="single" w:sz="4" w:space="0" w:color="auto"/>
              <w:right w:val="single" w:sz="4" w:space="0" w:color="auto"/>
            </w:tcBorders>
            <w:shd w:val="clear" w:color="auto" w:fill="auto"/>
            <w:noWrap/>
            <w:vAlign w:val="bottom"/>
            <w:hideMark/>
          </w:tcPr>
          <w:p w14:paraId="23309EEA"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1.580.270.412</w:t>
            </w:r>
          </w:p>
        </w:tc>
      </w:tr>
      <w:tr w:rsidR="0009505B" w:rsidRPr="0009505B" w14:paraId="4CF0E3F3"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269D64"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13</w:t>
            </w:r>
          </w:p>
        </w:tc>
        <w:tc>
          <w:tcPr>
            <w:tcW w:w="3190" w:type="dxa"/>
            <w:tcBorders>
              <w:top w:val="nil"/>
              <w:left w:val="nil"/>
              <w:bottom w:val="single" w:sz="4" w:space="0" w:color="auto"/>
              <w:right w:val="single" w:sz="4" w:space="0" w:color="auto"/>
            </w:tcBorders>
            <w:shd w:val="clear" w:color="auto" w:fill="auto"/>
            <w:noWrap/>
            <w:vAlign w:val="bottom"/>
            <w:hideMark/>
          </w:tcPr>
          <w:p w14:paraId="2A71059B"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1.312.162.412</w:t>
            </w:r>
          </w:p>
        </w:tc>
      </w:tr>
      <w:tr w:rsidR="0009505B" w:rsidRPr="0009505B" w14:paraId="7B746218"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65B68C"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14</w:t>
            </w:r>
          </w:p>
        </w:tc>
        <w:tc>
          <w:tcPr>
            <w:tcW w:w="3190" w:type="dxa"/>
            <w:tcBorders>
              <w:top w:val="nil"/>
              <w:left w:val="nil"/>
              <w:bottom w:val="single" w:sz="4" w:space="0" w:color="auto"/>
              <w:right w:val="single" w:sz="4" w:space="0" w:color="auto"/>
            </w:tcBorders>
            <w:shd w:val="clear" w:color="auto" w:fill="auto"/>
            <w:noWrap/>
            <w:vAlign w:val="bottom"/>
            <w:hideMark/>
          </w:tcPr>
          <w:p w14:paraId="6918E775"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1.429.270.412</w:t>
            </w:r>
          </w:p>
        </w:tc>
      </w:tr>
      <w:tr w:rsidR="0009505B" w:rsidRPr="0009505B" w14:paraId="0CFD265C"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E436D1"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15</w:t>
            </w:r>
          </w:p>
        </w:tc>
        <w:tc>
          <w:tcPr>
            <w:tcW w:w="3190" w:type="dxa"/>
            <w:tcBorders>
              <w:top w:val="nil"/>
              <w:left w:val="nil"/>
              <w:bottom w:val="single" w:sz="4" w:space="0" w:color="auto"/>
              <w:right w:val="single" w:sz="4" w:space="0" w:color="auto"/>
            </w:tcBorders>
            <w:shd w:val="clear" w:color="auto" w:fill="auto"/>
            <w:noWrap/>
            <w:vAlign w:val="bottom"/>
            <w:hideMark/>
          </w:tcPr>
          <w:p w14:paraId="6017D2C1"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1.705.162.412</w:t>
            </w:r>
          </w:p>
        </w:tc>
      </w:tr>
      <w:tr w:rsidR="0009505B" w:rsidRPr="0009505B" w14:paraId="3BD2D7FE"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B54EA4"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16</w:t>
            </w:r>
          </w:p>
        </w:tc>
        <w:tc>
          <w:tcPr>
            <w:tcW w:w="3190" w:type="dxa"/>
            <w:tcBorders>
              <w:top w:val="nil"/>
              <w:left w:val="nil"/>
              <w:bottom w:val="single" w:sz="4" w:space="0" w:color="auto"/>
              <w:right w:val="single" w:sz="4" w:space="0" w:color="auto"/>
            </w:tcBorders>
            <w:shd w:val="clear" w:color="auto" w:fill="auto"/>
            <w:noWrap/>
            <w:vAlign w:val="bottom"/>
            <w:hideMark/>
          </w:tcPr>
          <w:p w14:paraId="5496E4C2"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1.429.270.412</w:t>
            </w:r>
          </w:p>
        </w:tc>
      </w:tr>
      <w:tr w:rsidR="0009505B" w:rsidRPr="0009505B" w14:paraId="08804543"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B50C3C"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17</w:t>
            </w:r>
          </w:p>
        </w:tc>
        <w:tc>
          <w:tcPr>
            <w:tcW w:w="3190" w:type="dxa"/>
            <w:tcBorders>
              <w:top w:val="nil"/>
              <w:left w:val="nil"/>
              <w:bottom w:val="single" w:sz="4" w:space="0" w:color="auto"/>
              <w:right w:val="single" w:sz="4" w:space="0" w:color="auto"/>
            </w:tcBorders>
            <w:shd w:val="clear" w:color="auto" w:fill="auto"/>
            <w:noWrap/>
            <w:vAlign w:val="bottom"/>
            <w:hideMark/>
          </w:tcPr>
          <w:p w14:paraId="16A30EED"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1.312.162.412</w:t>
            </w:r>
          </w:p>
        </w:tc>
      </w:tr>
      <w:tr w:rsidR="0009505B" w:rsidRPr="0009505B" w14:paraId="235BD0F7"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EDC06E"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18</w:t>
            </w:r>
          </w:p>
        </w:tc>
        <w:tc>
          <w:tcPr>
            <w:tcW w:w="3190" w:type="dxa"/>
            <w:tcBorders>
              <w:top w:val="nil"/>
              <w:left w:val="nil"/>
              <w:bottom w:val="single" w:sz="4" w:space="0" w:color="auto"/>
              <w:right w:val="single" w:sz="4" w:space="0" w:color="auto"/>
            </w:tcBorders>
            <w:shd w:val="clear" w:color="auto" w:fill="auto"/>
            <w:noWrap/>
            <w:vAlign w:val="bottom"/>
            <w:hideMark/>
          </w:tcPr>
          <w:p w14:paraId="2AFC126E"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1.580.270.412</w:t>
            </w:r>
          </w:p>
        </w:tc>
      </w:tr>
      <w:tr w:rsidR="0009505B" w:rsidRPr="0009505B" w14:paraId="52C1BA75"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6C66C1"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19</w:t>
            </w:r>
          </w:p>
        </w:tc>
        <w:tc>
          <w:tcPr>
            <w:tcW w:w="3190" w:type="dxa"/>
            <w:tcBorders>
              <w:top w:val="nil"/>
              <w:left w:val="nil"/>
              <w:bottom w:val="single" w:sz="4" w:space="0" w:color="auto"/>
              <w:right w:val="single" w:sz="4" w:space="0" w:color="auto"/>
            </w:tcBorders>
            <w:shd w:val="clear" w:color="auto" w:fill="auto"/>
            <w:noWrap/>
            <w:vAlign w:val="bottom"/>
            <w:hideMark/>
          </w:tcPr>
          <w:p w14:paraId="1DAEB77B"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1.212.162.412</w:t>
            </w:r>
          </w:p>
        </w:tc>
      </w:tr>
      <w:tr w:rsidR="0009505B" w:rsidRPr="0009505B" w14:paraId="3516D4AF" w14:textId="77777777" w:rsidTr="00E27C68">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1AECFF" w14:textId="77777777" w:rsidR="0009505B" w:rsidRPr="0009505B" w:rsidRDefault="0009505B" w:rsidP="0009505B">
            <w:pPr>
              <w:spacing w:after="0"/>
              <w:contextualSpacing w:val="0"/>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Año 20</w:t>
            </w:r>
          </w:p>
        </w:tc>
        <w:tc>
          <w:tcPr>
            <w:tcW w:w="3190" w:type="dxa"/>
            <w:tcBorders>
              <w:top w:val="nil"/>
              <w:left w:val="nil"/>
              <w:bottom w:val="single" w:sz="4" w:space="0" w:color="auto"/>
              <w:right w:val="single" w:sz="4" w:space="0" w:color="auto"/>
            </w:tcBorders>
            <w:shd w:val="clear" w:color="auto" w:fill="auto"/>
            <w:noWrap/>
            <w:vAlign w:val="bottom"/>
            <w:hideMark/>
          </w:tcPr>
          <w:p w14:paraId="3D02F251" w14:textId="77777777" w:rsidR="0009505B" w:rsidRPr="0009505B" w:rsidRDefault="0009505B" w:rsidP="00E27C68">
            <w:pPr>
              <w:spacing w:after="0"/>
              <w:contextualSpacing w:val="0"/>
              <w:jc w:val="center"/>
              <w:rPr>
                <w:rFonts w:ascii="Book old style" w:eastAsia="Times New Roman" w:hAnsi="Book old style" w:cs="Calibri"/>
                <w:color w:val="000000"/>
                <w:sz w:val="22"/>
                <w:lang w:eastAsia="es-CO"/>
              </w:rPr>
            </w:pPr>
            <w:r w:rsidRPr="0009505B">
              <w:rPr>
                <w:rFonts w:ascii="Book old style" w:eastAsia="Times New Roman" w:hAnsi="Book old style" w:cs="Calibri"/>
                <w:color w:val="000000"/>
                <w:sz w:val="22"/>
                <w:lang w:eastAsia="es-CO"/>
              </w:rPr>
              <w:t>1.939.270.412</w:t>
            </w:r>
          </w:p>
        </w:tc>
      </w:tr>
    </w:tbl>
    <w:p w14:paraId="026F0830" w14:textId="77777777" w:rsidR="0009505B" w:rsidRPr="0060451C" w:rsidRDefault="0009505B" w:rsidP="0009505B">
      <w:pPr>
        <w:pStyle w:val="ARTICULOS"/>
        <w:numPr>
          <w:ilvl w:val="0"/>
          <w:numId w:val="0"/>
        </w:numPr>
        <w:tabs>
          <w:tab w:val="left" w:pos="709"/>
          <w:tab w:val="left" w:pos="1701"/>
          <w:tab w:val="right" w:leader="dot" w:pos="9356"/>
        </w:tabs>
        <w:rPr>
          <w:rFonts w:eastAsia="Bookman Old Style" w:cs="Bookman Old Style"/>
          <w:bCs w:val="0"/>
          <w:lang w:val="es-ES"/>
        </w:rPr>
      </w:pPr>
    </w:p>
    <w:p w14:paraId="4A4CA2A2" w14:textId="5D302FE4" w:rsidR="00AC32CE" w:rsidRPr="00554F76" w:rsidRDefault="00AC32CE" w:rsidP="00AC32CE">
      <w:pPr>
        <w:jc w:val="both"/>
        <w:rPr>
          <w:lang w:val="es-ES"/>
        </w:rPr>
      </w:pPr>
      <w:r w:rsidRPr="00554F76">
        <w:rPr>
          <w:b/>
          <w:bCs/>
          <w:lang w:val="es-ES"/>
        </w:rPr>
        <w:t>Parágrafo</w:t>
      </w:r>
      <w:r w:rsidRPr="00554F76">
        <w:rPr>
          <w:lang w:val="es-ES"/>
        </w:rPr>
        <w:t xml:space="preserve">. Conforme al literal h del </w:t>
      </w:r>
      <w:r>
        <w:rPr>
          <w:lang w:val="es-ES"/>
        </w:rPr>
        <w:t>artículo</w:t>
      </w:r>
      <w:r w:rsidRPr="00554F76">
        <w:rPr>
          <w:lang w:val="es-ES"/>
        </w:rPr>
        <w:t xml:space="preserve"> 4 de la Resolución CREG 102-008 de 202</w:t>
      </w:r>
      <w:r>
        <w:rPr>
          <w:lang w:val="es-ES"/>
        </w:rPr>
        <w:t>2</w:t>
      </w:r>
      <w:r w:rsidR="004E7B30">
        <w:rPr>
          <w:lang w:val="es-ES"/>
        </w:rPr>
        <w:t>,</w:t>
      </w:r>
      <w:r w:rsidRPr="00554F76">
        <w:rPr>
          <w:lang w:val="es-ES"/>
        </w:rPr>
        <w:t xml:space="preserve"> estos valores se podrán ajustar incluyendo los costos de los servicios del auditor y del patrimonio autónomo</w:t>
      </w:r>
      <w:r>
        <w:rPr>
          <w:lang w:val="es-ES"/>
        </w:rPr>
        <w:t>.</w:t>
      </w:r>
    </w:p>
    <w:p w14:paraId="00013B4D" w14:textId="77777777" w:rsidR="00AC32CE" w:rsidRPr="0060451C" w:rsidRDefault="00AC32CE" w:rsidP="765146E2">
      <w:pPr>
        <w:keepNext/>
        <w:widowControl w:val="0"/>
        <w:tabs>
          <w:tab w:val="left" w:pos="709"/>
          <w:tab w:val="left" w:pos="1701"/>
          <w:tab w:val="right" w:leader="dot" w:pos="9356"/>
        </w:tabs>
        <w:spacing w:after="0"/>
        <w:jc w:val="both"/>
        <w:rPr>
          <w:rFonts w:eastAsia="Bookman Old Style" w:cs="Bookman Old Style"/>
          <w:szCs w:val="24"/>
          <w:lang w:val="es-ES"/>
        </w:rPr>
      </w:pPr>
    </w:p>
    <w:p w14:paraId="481CB4BA" w14:textId="7126B916" w:rsidR="0995C94C" w:rsidRPr="00DE3D5D" w:rsidRDefault="0995C94C" w:rsidP="765146E2">
      <w:pPr>
        <w:pStyle w:val="ARTICULOS"/>
        <w:tabs>
          <w:tab w:val="left" w:pos="709"/>
          <w:tab w:val="left" w:pos="1701"/>
          <w:tab w:val="right" w:leader="dot" w:pos="9356"/>
        </w:tabs>
        <w:ind w:firstLine="0"/>
        <w:rPr>
          <w:rFonts w:eastAsia="Bookman Old Style" w:cs="Bookman Old Style"/>
          <w:lang w:val="es-ES"/>
        </w:rPr>
      </w:pPr>
      <w:r w:rsidRPr="00DE3D5D">
        <w:rPr>
          <w:rFonts w:eastAsia="Bookman Old Style" w:cs="Bookman Old Style"/>
          <w:lang w:val="es-ES"/>
        </w:rPr>
        <w:t>Una vez en firme la presente resolución</w:t>
      </w:r>
      <w:r w:rsidR="00193D3A">
        <w:rPr>
          <w:rFonts w:eastAsia="Bookman Old Style" w:cs="Bookman Old Style"/>
          <w:lang w:val="es-ES"/>
        </w:rPr>
        <w:t>,</w:t>
      </w:r>
      <w:r w:rsidR="00DB4871">
        <w:rPr>
          <w:rFonts w:eastAsia="Bookman Old Style" w:cs="Bookman Old Style"/>
          <w:lang w:val="es-ES"/>
        </w:rPr>
        <w:t xml:space="preserve"> el representante legal de la empresa</w:t>
      </w:r>
      <w:r w:rsidRPr="00DE3D5D">
        <w:rPr>
          <w:rFonts w:eastAsia="Bookman Old Style" w:cs="Bookman Old Style"/>
          <w:lang w:val="es-ES"/>
        </w:rPr>
        <w:t xml:space="preserve"> TGI S.A. E.S.P. dispone de cinco (5) días hábiles </w:t>
      </w:r>
      <w:r w:rsidR="004A58FD">
        <w:rPr>
          <w:rFonts w:eastAsia="Bookman Old Style" w:cs="Bookman Old Style"/>
          <w:lang w:val="es-ES"/>
        </w:rPr>
        <w:t xml:space="preserve">para </w:t>
      </w:r>
      <w:r w:rsidR="00B347AD" w:rsidRPr="00DE3D5D">
        <w:rPr>
          <w:rFonts w:eastAsia="Bookman Old Style" w:cs="Bookman Old Style"/>
          <w:lang w:val="es-ES"/>
        </w:rPr>
        <w:t>manifesta</w:t>
      </w:r>
      <w:r w:rsidR="00B347AD">
        <w:rPr>
          <w:rFonts w:eastAsia="Bookman Old Style" w:cs="Bookman Old Style"/>
          <w:lang w:val="es-ES"/>
        </w:rPr>
        <w:t>r</w:t>
      </w:r>
      <w:r w:rsidRPr="00DE3D5D">
        <w:rPr>
          <w:rFonts w:eastAsia="Bookman Old Style" w:cs="Bookman Old Style"/>
          <w:lang w:val="es-ES"/>
        </w:rPr>
        <w:t xml:space="preserve"> por escrito a la CREG la voluntad irrevocable de ejecutar el proyecto, en el formato </w:t>
      </w:r>
      <w:r w:rsidR="001255D6" w:rsidRPr="00DE3D5D">
        <w:rPr>
          <w:rFonts w:eastAsia="Bookman Old Style" w:cs="Bookman Old Style"/>
          <w:lang w:val="es-ES"/>
        </w:rPr>
        <w:t xml:space="preserve">que </w:t>
      </w:r>
      <w:r w:rsidR="00417376">
        <w:rPr>
          <w:rFonts w:eastAsia="Bookman Old Style" w:cs="Bookman Old Style"/>
          <w:lang w:val="es-ES"/>
        </w:rPr>
        <w:t>para</w:t>
      </w:r>
      <w:r w:rsidR="001255D6" w:rsidRPr="00DE3D5D">
        <w:rPr>
          <w:rFonts w:eastAsia="Bookman Old Style" w:cs="Bookman Old Style"/>
          <w:lang w:val="es-ES"/>
        </w:rPr>
        <w:t xml:space="preserve"> el efecto se dispuso a través de la </w:t>
      </w:r>
      <w:r w:rsidRPr="00DE3D5D">
        <w:rPr>
          <w:rFonts w:eastAsia="Bookman Old Style" w:cs="Bookman Old Style"/>
          <w:lang w:val="es-ES"/>
        </w:rPr>
        <w:t xml:space="preserve">Circular </w:t>
      </w:r>
      <w:r w:rsidR="00CF3A41" w:rsidRPr="00DE3D5D">
        <w:rPr>
          <w:rFonts w:eastAsia="Bookman Old Style" w:cs="Bookman Old Style"/>
          <w:lang w:val="es-ES"/>
        </w:rPr>
        <w:t>034</w:t>
      </w:r>
      <w:r w:rsidRPr="00DE3D5D">
        <w:rPr>
          <w:rFonts w:eastAsia="Bookman Old Style" w:cs="Bookman Old Style"/>
          <w:lang w:val="es-ES"/>
        </w:rPr>
        <w:t xml:space="preserve"> de 2023.</w:t>
      </w:r>
    </w:p>
    <w:p w14:paraId="0801F742" w14:textId="6DCDFBA2" w:rsidR="765146E2" w:rsidRPr="0060451C" w:rsidRDefault="765146E2" w:rsidP="765146E2">
      <w:pPr>
        <w:keepNext/>
        <w:widowControl w:val="0"/>
        <w:tabs>
          <w:tab w:val="left" w:pos="709"/>
          <w:tab w:val="left" w:pos="1701"/>
          <w:tab w:val="right" w:leader="dot" w:pos="9356"/>
        </w:tabs>
        <w:spacing w:after="0"/>
        <w:jc w:val="both"/>
        <w:rPr>
          <w:rFonts w:eastAsia="Bookman Old Style" w:cs="Bookman Old Style"/>
          <w:szCs w:val="24"/>
          <w:lang w:val="es-ES"/>
        </w:rPr>
      </w:pPr>
    </w:p>
    <w:p w14:paraId="5D667D95" w14:textId="4B4E9EDC" w:rsidR="0995C94C" w:rsidRPr="0060451C" w:rsidRDefault="0995C94C" w:rsidP="765146E2">
      <w:pPr>
        <w:pStyle w:val="ARTICULOS"/>
        <w:tabs>
          <w:tab w:val="left" w:pos="709"/>
          <w:tab w:val="left" w:pos="1701"/>
          <w:tab w:val="right" w:leader="dot" w:pos="9356"/>
        </w:tabs>
        <w:ind w:firstLine="0"/>
        <w:rPr>
          <w:rFonts w:eastAsia="Bookman Old Style" w:cs="Bookman Old Style"/>
          <w:lang w:val="es-ES"/>
        </w:rPr>
      </w:pPr>
      <w:r w:rsidRPr="0060451C">
        <w:rPr>
          <w:rFonts w:eastAsia="Bookman Old Style" w:cs="Bookman Old Style"/>
          <w:lang w:val="es-CO"/>
        </w:rPr>
        <w:t xml:space="preserve">A partir del momento en que </w:t>
      </w:r>
      <w:r w:rsidRPr="0060451C">
        <w:rPr>
          <w:rFonts w:eastAsia="Bookman Old Style" w:cs="Bookman Old Style"/>
          <w:lang w:val="es-MX"/>
        </w:rPr>
        <w:t>TGI S.A. E.S.P.</w:t>
      </w:r>
      <w:r w:rsidRPr="0060451C">
        <w:rPr>
          <w:rFonts w:eastAsia="Bookman Old Style" w:cs="Bookman Old Style"/>
          <w:lang w:val="es-CO"/>
        </w:rPr>
        <w:t xml:space="preserve"> manifieste su voluntad irrevocable de ejecutar el proyecto, </w:t>
      </w:r>
      <w:r w:rsidR="00193D3A">
        <w:rPr>
          <w:rFonts w:eastAsia="Bookman Old Style" w:cs="Bookman Old Style"/>
          <w:lang w:val="es-CO"/>
        </w:rPr>
        <w:t>la</w:t>
      </w:r>
      <w:r w:rsidR="00B347AD">
        <w:rPr>
          <w:rFonts w:eastAsia="Bookman Old Style" w:cs="Bookman Old Style"/>
          <w:lang w:val="es-CO"/>
        </w:rPr>
        <w:t xml:space="preserve"> empresa</w:t>
      </w:r>
      <w:r w:rsidR="00B347AD" w:rsidRPr="0060451C">
        <w:rPr>
          <w:rFonts w:eastAsia="Bookman Old Style" w:cs="Bookman Old Style"/>
          <w:lang w:val="es-CO"/>
        </w:rPr>
        <w:t xml:space="preserve"> </w:t>
      </w:r>
      <w:r w:rsidRPr="0060451C">
        <w:rPr>
          <w:rFonts w:eastAsia="Bookman Old Style" w:cs="Bookman Old Style"/>
          <w:lang w:val="es-CO"/>
        </w:rPr>
        <w:t xml:space="preserve">contará con sesenta (60) días calendario para radicar la </w:t>
      </w:r>
      <w:r w:rsidRPr="0060451C">
        <w:rPr>
          <w:rFonts w:eastAsia="Bookman Old Style" w:cs="Bookman Old Style"/>
          <w:lang w:val="es-MX"/>
        </w:rPr>
        <w:t>información que se indica en el literal f) del artículo 4 de la Resolución CREG 102 008 de 2022, o aquella que la modifique o sustituya.</w:t>
      </w:r>
      <w:r w:rsidR="20208E77" w:rsidRPr="0060451C">
        <w:rPr>
          <w:rFonts w:eastAsia="Bookman Old Style" w:cs="Bookman Old Style"/>
          <w:lang w:val="es-MX"/>
        </w:rPr>
        <w:t xml:space="preserve"> </w:t>
      </w:r>
    </w:p>
    <w:p w14:paraId="02292C6E" w14:textId="660EB2B1" w:rsidR="765146E2" w:rsidRPr="0060451C" w:rsidRDefault="765146E2" w:rsidP="00C513B6">
      <w:pPr>
        <w:spacing w:after="0"/>
        <w:rPr>
          <w:rFonts w:eastAsia="Bookman Old Style" w:cs="Bookman Old Style"/>
          <w:szCs w:val="24"/>
          <w:lang w:val="es-ES"/>
        </w:rPr>
      </w:pPr>
    </w:p>
    <w:p w14:paraId="422C5C50" w14:textId="09E3501E" w:rsidR="0995C94C" w:rsidRPr="0060451C" w:rsidRDefault="00C51D11" w:rsidP="765146E2">
      <w:pPr>
        <w:pStyle w:val="Prrafodelista"/>
        <w:keepNext/>
        <w:widowControl w:val="0"/>
        <w:tabs>
          <w:tab w:val="left" w:pos="709"/>
          <w:tab w:val="left" w:pos="1701"/>
          <w:tab w:val="right" w:leader="dot" w:pos="9356"/>
        </w:tabs>
        <w:spacing w:after="0"/>
        <w:ind w:left="0"/>
        <w:jc w:val="both"/>
        <w:rPr>
          <w:rFonts w:eastAsia="Bookman Old Style" w:cs="Bookman Old Style"/>
          <w:szCs w:val="24"/>
          <w:lang w:val="es-ES"/>
        </w:rPr>
      </w:pPr>
      <w:r w:rsidRPr="00CF3A41">
        <w:rPr>
          <w:rStyle w:val="normaltextrun"/>
          <w:rFonts w:eastAsia="Bookman Old Style" w:cs="Bookman Old Style"/>
          <w:b/>
          <w:bCs/>
          <w:szCs w:val="24"/>
        </w:rPr>
        <w:t xml:space="preserve">Artículo 9. </w:t>
      </w:r>
      <w:r w:rsidRPr="00CF3A41">
        <w:rPr>
          <w:rStyle w:val="normaltextrun"/>
          <w:rFonts w:eastAsia="Bookman Old Style" w:cs="Bookman Old Style"/>
          <w:b/>
          <w:bCs/>
          <w:szCs w:val="24"/>
        </w:rPr>
        <w:tab/>
      </w:r>
      <w:r w:rsidR="0995C94C" w:rsidRPr="00CF3A41">
        <w:rPr>
          <w:rStyle w:val="normaltextrun"/>
          <w:rFonts w:eastAsia="Bookman Old Style" w:cs="Bookman Old Style"/>
          <w:szCs w:val="24"/>
        </w:rPr>
        <w:t xml:space="preserve">Notificar a la empresa TGI S.A. E.S.P. y </w:t>
      </w:r>
      <w:r w:rsidR="0995C94C" w:rsidRPr="00CF3A41">
        <w:rPr>
          <w:rStyle w:val="normaltextrun"/>
          <w:rFonts w:eastAsia="Bookman Old Style" w:cs="Bookman Old Style"/>
          <w:szCs w:val="24"/>
          <w:lang w:val="es-MX"/>
        </w:rPr>
        <w:t xml:space="preserve">a la Unidad de Planeación </w:t>
      </w:r>
      <w:proofErr w:type="gramStart"/>
      <w:r w:rsidR="004E7B30" w:rsidRPr="00CF3A41">
        <w:rPr>
          <w:rStyle w:val="normaltextrun"/>
          <w:rFonts w:eastAsia="Bookman Old Style" w:cs="Bookman Old Style"/>
          <w:szCs w:val="24"/>
          <w:lang w:val="es-MX"/>
        </w:rPr>
        <w:t>Minero</w:t>
      </w:r>
      <w:r w:rsidR="00012F00">
        <w:rPr>
          <w:rStyle w:val="normaltextrun"/>
          <w:rFonts w:eastAsia="Bookman Old Style" w:cs="Bookman Old Style"/>
          <w:szCs w:val="24"/>
          <w:lang w:val="es-MX"/>
        </w:rPr>
        <w:t xml:space="preserve"> </w:t>
      </w:r>
      <w:r w:rsidR="004E7B30" w:rsidRPr="00CF3A41">
        <w:rPr>
          <w:rStyle w:val="normaltextrun"/>
          <w:rFonts w:eastAsia="Bookman Old Style" w:cs="Bookman Old Style"/>
          <w:szCs w:val="24"/>
          <w:lang w:val="es-MX"/>
        </w:rPr>
        <w:t>Energética</w:t>
      </w:r>
      <w:proofErr w:type="gramEnd"/>
      <w:r w:rsidR="004E7B30">
        <w:rPr>
          <w:rStyle w:val="normaltextrun"/>
          <w:rFonts w:eastAsia="Bookman Old Style" w:cs="Bookman Old Style"/>
          <w:szCs w:val="24"/>
          <w:lang w:val="es-MX"/>
        </w:rPr>
        <w:t>,</w:t>
      </w:r>
      <w:r w:rsidR="0995C94C" w:rsidRPr="00CF3A41">
        <w:rPr>
          <w:rStyle w:val="normaltextrun"/>
          <w:rFonts w:eastAsia="Bookman Old Style" w:cs="Bookman Old Style"/>
          <w:szCs w:val="24"/>
        </w:rPr>
        <w:t xml:space="preserve"> el contenido de esta Resolución y publicarla en el </w:t>
      </w:r>
      <w:r w:rsidR="0995C94C" w:rsidRPr="00CF3A41">
        <w:rPr>
          <w:rStyle w:val="normaltextrun"/>
          <w:rFonts w:eastAsia="Bookman Old Style" w:cs="Bookman Old Style"/>
          <w:i/>
          <w:iCs/>
          <w:szCs w:val="24"/>
        </w:rPr>
        <w:t>Diario Oficial</w:t>
      </w:r>
      <w:r w:rsidR="0995C94C" w:rsidRPr="00CF3A41">
        <w:rPr>
          <w:rStyle w:val="normaltextrun"/>
          <w:rFonts w:eastAsia="Bookman Old Style" w:cs="Bookman Old Style"/>
          <w:szCs w:val="24"/>
        </w:rPr>
        <w:t xml:space="preserve">. </w:t>
      </w:r>
      <w:r w:rsidR="00B347AD">
        <w:rPr>
          <w:rStyle w:val="normaltextrun"/>
          <w:rFonts w:eastAsia="Bookman Old Style" w:cs="Bookman Old Style"/>
          <w:szCs w:val="24"/>
        </w:rPr>
        <w:t xml:space="preserve"> </w:t>
      </w:r>
      <w:r w:rsidR="0995C94C" w:rsidRPr="00CF3A41">
        <w:rPr>
          <w:rStyle w:val="normaltextrun"/>
          <w:rFonts w:eastAsia="Bookman Old Style" w:cs="Bookman Old Style"/>
          <w:szCs w:val="24"/>
        </w:rPr>
        <w:t>Contra lo dispuesto en este acto procede el recurso de reposición, el cual se podrá interponer ante la Dirección Ejecutiva de la CREG dentro de los cinco (5) días hábiles siguientes a la fecha de su notificación.</w:t>
      </w:r>
    </w:p>
    <w:p w14:paraId="0A926DE3" w14:textId="006A880F" w:rsidR="765146E2" w:rsidRPr="00C513B6" w:rsidRDefault="765146E2" w:rsidP="00C513B6"/>
    <w:p w14:paraId="4EE0E9E2" w14:textId="77777777" w:rsidR="00E015AF" w:rsidRPr="0060451C" w:rsidRDefault="00E015AF" w:rsidP="00AD2F7A"/>
    <w:p w14:paraId="25795EBE" w14:textId="77777777" w:rsidR="00E015AF" w:rsidRPr="0060451C" w:rsidRDefault="00E015AF" w:rsidP="00E015AF">
      <w:pPr>
        <w:jc w:val="center"/>
        <w:rPr>
          <w:rFonts w:cs="Arial"/>
          <w:b/>
        </w:rPr>
      </w:pPr>
      <w:r w:rsidRPr="0060451C">
        <w:rPr>
          <w:rFonts w:cs="Arial"/>
          <w:b/>
        </w:rPr>
        <w:t>NOTIFÍQUESE, PUBLÍQUESE Y CÚMPLASE</w:t>
      </w:r>
    </w:p>
    <w:p w14:paraId="283206FE" w14:textId="77777777" w:rsidR="00E015AF" w:rsidRPr="0060451C" w:rsidRDefault="00E015AF" w:rsidP="00E015AF">
      <w:pPr>
        <w:jc w:val="both"/>
      </w:pPr>
    </w:p>
    <w:p w14:paraId="4238507E" w14:textId="77777777" w:rsidR="0075288F" w:rsidRPr="003C3B90" w:rsidRDefault="0075288F" w:rsidP="0075288F">
      <w:pPr>
        <w:spacing w:after="0"/>
        <w:rPr>
          <w:rFonts w:eastAsia="Times New Roman" w:cs="Times New Roman"/>
          <w:szCs w:val="24"/>
          <w:lang w:val="es-ES" w:eastAsia="es-ES"/>
        </w:rPr>
      </w:pPr>
    </w:p>
    <w:p w14:paraId="0574B86F" w14:textId="069ED984" w:rsidR="0075288F" w:rsidRPr="003C3B90" w:rsidRDefault="0075288F" w:rsidP="0075288F">
      <w:pPr>
        <w:spacing w:after="0"/>
        <w:rPr>
          <w:rFonts w:eastAsia="Times New Roman" w:cs="Times New Roman"/>
          <w:b/>
          <w:bCs/>
          <w:szCs w:val="24"/>
          <w:lang w:val="es-ES" w:eastAsia="es-ES"/>
        </w:rPr>
      </w:pPr>
      <w:r w:rsidRPr="003C3B90">
        <w:rPr>
          <w:rFonts w:eastAsia="Times New Roman" w:cs="Times New Roman"/>
          <w:szCs w:val="24"/>
          <w:lang w:val="es-ES" w:eastAsia="es-ES"/>
        </w:rPr>
        <w:t>Dada en Bogotá D.C.</w:t>
      </w:r>
      <w:r w:rsidR="00BC0A7A">
        <w:rPr>
          <w:rFonts w:eastAsia="Times New Roman" w:cs="Times New Roman"/>
          <w:szCs w:val="24"/>
          <w:lang w:val="es-ES" w:eastAsia="es-ES"/>
        </w:rPr>
        <w:t xml:space="preserve">, </w:t>
      </w:r>
      <w:r w:rsidR="00BC0A7A" w:rsidRPr="00BC0A7A">
        <w:rPr>
          <w:rFonts w:eastAsia="Times New Roman" w:cs="Times New Roman"/>
          <w:szCs w:val="24"/>
          <w:lang w:val="es-ES" w:eastAsia="es-ES"/>
        </w:rPr>
        <w:t>el</w:t>
      </w:r>
      <w:r w:rsidR="007B3C4F" w:rsidRPr="00BC0A7A">
        <w:rPr>
          <w:rFonts w:eastAsia="Times New Roman" w:cs="Times New Roman"/>
          <w:szCs w:val="24"/>
          <w:lang w:val="es-ES" w:eastAsia="es-ES"/>
        </w:rPr>
        <w:t xml:space="preserve"> </w:t>
      </w:r>
      <w:r w:rsidR="006E5133" w:rsidRPr="00BC0A7A">
        <w:rPr>
          <w:rFonts w:eastAsia="Times New Roman" w:cs="Times New Roman"/>
          <w:szCs w:val="24"/>
          <w:lang w:val="es-ES" w:eastAsia="es-ES"/>
        </w:rPr>
        <w:t>17</w:t>
      </w:r>
      <w:r w:rsidR="007B3C4F" w:rsidRPr="00BC0A7A">
        <w:rPr>
          <w:rFonts w:eastAsia="Times New Roman" w:cs="Times New Roman"/>
          <w:szCs w:val="24"/>
          <w:lang w:val="es-ES" w:eastAsia="es-ES"/>
        </w:rPr>
        <w:t xml:space="preserve"> </w:t>
      </w:r>
      <w:r w:rsidR="000B019A">
        <w:rPr>
          <w:rFonts w:eastAsia="Times New Roman" w:cs="Times New Roman"/>
          <w:szCs w:val="24"/>
          <w:lang w:val="es-ES" w:eastAsia="es-ES"/>
        </w:rPr>
        <w:t xml:space="preserve">de </w:t>
      </w:r>
      <w:r w:rsidR="006E5133" w:rsidRPr="00BC0A7A">
        <w:rPr>
          <w:rFonts w:eastAsia="Times New Roman" w:cs="Times New Roman"/>
          <w:szCs w:val="24"/>
          <w:lang w:val="es-ES" w:eastAsia="es-ES"/>
        </w:rPr>
        <w:t>abril</w:t>
      </w:r>
      <w:r w:rsidR="00BC0A7A" w:rsidRPr="00BC0A7A">
        <w:rPr>
          <w:rFonts w:eastAsia="Times New Roman" w:cs="Times New Roman"/>
          <w:szCs w:val="24"/>
          <w:lang w:val="es-ES" w:eastAsia="es-ES"/>
        </w:rPr>
        <w:t xml:space="preserve"> de</w:t>
      </w:r>
      <w:r w:rsidR="007B3C4F" w:rsidRPr="00BC0A7A">
        <w:rPr>
          <w:rFonts w:eastAsia="Times New Roman" w:cs="Times New Roman"/>
          <w:szCs w:val="24"/>
          <w:lang w:val="es-ES" w:eastAsia="es-ES"/>
        </w:rPr>
        <w:t xml:space="preserve"> 202</w:t>
      </w:r>
      <w:r w:rsidR="000B0B83" w:rsidRPr="00BC0A7A">
        <w:rPr>
          <w:rFonts w:eastAsia="Times New Roman" w:cs="Times New Roman"/>
          <w:szCs w:val="24"/>
          <w:lang w:val="es-ES" w:eastAsia="es-ES"/>
        </w:rPr>
        <w:t>3</w:t>
      </w:r>
      <w:r w:rsidR="00BC0A7A" w:rsidRPr="00BC0A7A">
        <w:rPr>
          <w:rFonts w:eastAsia="Times New Roman" w:cs="Times New Roman"/>
          <w:szCs w:val="24"/>
          <w:lang w:val="es-ES" w:eastAsia="es-ES"/>
        </w:rPr>
        <w:t>.</w:t>
      </w:r>
    </w:p>
    <w:p w14:paraId="69D438D0" w14:textId="77777777" w:rsidR="0075288F" w:rsidRPr="003C3B90" w:rsidRDefault="0075288F" w:rsidP="0075288F">
      <w:pPr>
        <w:spacing w:after="0"/>
        <w:rPr>
          <w:rFonts w:eastAsia="Times New Roman" w:cs="Times New Roman"/>
          <w:szCs w:val="24"/>
          <w:lang w:val="es-ES" w:eastAsia="es-ES"/>
        </w:rPr>
      </w:pPr>
    </w:p>
    <w:p w14:paraId="0D947023" w14:textId="77777777" w:rsidR="0075288F" w:rsidRPr="003C3B90" w:rsidRDefault="0075288F" w:rsidP="0075288F">
      <w:pPr>
        <w:spacing w:after="0"/>
        <w:rPr>
          <w:rFonts w:eastAsia="Times New Roman" w:cs="Times New Roman"/>
          <w:sz w:val="20"/>
          <w:szCs w:val="24"/>
          <w:lang w:val="es-ES" w:eastAsia="es-ES"/>
        </w:rPr>
      </w:pPr>
    </w:p>
    <w:p w14:paraId="6BE35669" w14:textId="77777777" w:rsidR="0075288F" w:rsidRPr="003C3B90" w:rsidRDefault="0075288F" w:rsidP="0075288F">
      <w:pPr>
        <w:spacing w:after="0"/>
        <w:rPr>
          <w:rFonts w:eastAsia="Times New Roman" w:cs="Times New Roman"/>
          <w:szCs w:val="24"/>
          <w:lang w:val="es-ES" w:eastAsia="es-ES"/>
        </w:rPr>
      </w:pPr>
    </w:p>
    <w:p w14:paraId="0B76D94F" w14:textId="77777777" w:rsidR="0075288F" w:rsidRPr="003C3B90" w:rsidRDefault="0075288F" w:rsidP="0075288F">
      <w:pPr>
        <w:spacing w:after="0"/>
        <w:rPr>
          <w:rFonts w:eastAsia="Times New Roman" w:cs="Times New Roman"/>
          <w:szCs w:val="24"/>
          <w:lang w:val="es-ES" w:eastAsia="es-ES"/>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3C3B90" w:rsidRPr="003C3B90" w14:paraId="7C244CA2" w14:textId="77777777" w:rsidTr="007B3C4F">
        <w:trPr>
          <w:trHeight w:val="864"/>
          <w:jc w:val="center"/>
        </w:trPr>
        <w:tc>
          <w:tcPr>
            <w:tcW w:w="4536" w:type="dxa"/>
          </w:tcPr>
          <w:p w14:paraId="697B532F" w14:textId="7641AE08" w:rsidR="00A67F1D" w:rsidRPr="003C3B90" w:rsidRDefault="00D36EA2" w:rsidP="00A67F1D">
            <w:pPr>
              <w:tabs>
                <w:tab w:val="left" w:pos="-720"/>
              </w:tabs>
              <w:suppressAutoHyphens/>
              <w:spacing w:after="0"/>
              <w:jc w:val="center"/>
              <w:rPr>
                <w:rFonts w:eastAsia="Times New Roman" w:cs="Arial"/>
                <w:b/>
                <w:spacing w:val="-3"/>
                <w:szCs w:val="24"/>
                <w:lang w:val="es-ES" w:eastAsia="es-ES"/>
              </w:rPr>
            </w:pPr>
            <w:r w:rsidRPr="003C3B90">
              <w:rPr>
                <w:rFonts w:eastAsia="Times New Roman" w:cs="Arial"/>
                <w:b/>
                <w:spacing w:val="-3"/>
                <w:szCs w:val="24"/>
                <w:lang w:val="es-ES" w:eastAsia="es-ES"/>
              </w:rPr>
              <w:t>IRENE VÉLEZ TORRES</w:t>
            </w:r>
          </w:p>
          <w:p w14:paraId="3B3327B6" w14:textId="7BF0DE1C" w:rsidR="00A67F1D" w:rsidRPr="003C3B90" w:rsidRDefault="00D36EA2" w:rsidP="00A67F1D">
            <w:pPr>
              <w:tabs>
                <w:tab w:val="left" w:pos="-720"/>
              </w:tabs>
              <w:suppressAutoHyphens/>
              <w:spacing w:after="0"/>
              <w:jc w:val="center"/>
              <w:rPr>
                <w:rFonts w:eastAsia="Times New Roman" w:cs="Times New Roman"/>
                <w:szCs w:val="24"/>
                <w:lang w:val="es-ES" w:eastAsia="es-ES"/>
              </w:rPr>
            </w:pPr>
            <w:r w:rsidRPr="003C3B90">
              <w:rPr>
                <w:rFonts w:eastAsia="Times New Roman" w:cs="Times New Roman"/>
                <w:szCs w:val="24"/>
                <w:lang w:val="es-ES" w:eastAsia="es-ES"/>
              </w:rPr>
              <w:t>M</w:t>
            </w:r>
            <w:r w:rsidR="00A67F1D" w:rsidRPr="003C3B90">
              <w:rPr>
                <w:rFonts w:eastAsia="Times New Roman" w:cs="Times New Roman"/>
                <w:szCs w:val="24"/>
                <w:lang w:val="es-ES" w:eastAsia="es-ES"/>
              </w:rPr>
              <w:t>inistr</w:t>
            </w:r>
            <w:r w:rsidRPr="003C3B90">
              <w:rPr>
                <w:rFonts w:eastAsia="Times New Roman" w:cs="Times New Roman"/>
                <w:szCs w:val="24"/>
                <w:lang w:val="es-ES" w:eastAsia="es-ES"/>
              </w:rPr>
              <w:t xml:space="preserve">a </w:t>
            </w:r>
            <w:r w:rsidR="00120817" w:rsidRPr="003C3B90">
              <w:rPr>
                <w:rFonts w:eastAsia="Times New Roman" w:cs="Times New Roman"/>
                <w:szCs w:val="24"/>
                <w:lang w:val="es-ES" w:eastAsia="es-ES"/>
              </w:rPr>
              <w:t>de Minas y Energía</w:t>
            </w:r>
          </w:p>
          <w:p w14:paraId="348751B3" w14:textId="4060D3F0" w:rsidR="00A67F1D" w:rsidRPr="003C3B90" w:rsidRDefault="00A67F1D" w:rsidP="00A67F1D">
            <w:pPr>
              <w:tabs>
                <w:tab w:val="left" w:pos="-720"/>
              </w:tabs>
              <w:suppressAutoHyphens/>
              <w:spacing w:after="0"/>
              <w:jc w:val="center"/>
              <w:rPr>
                <w:rFonts w:eastAsia="Times New Roman" w:cs="Arial"/>
                <w:b/>
                <w:strike/>
                <w:spacing w:val="-3"/>
                <w:szCs w:val="24"/>
                <w:lang w:val="es-ES" w:eastAsia="es-ES"/>
              </w:rPr>
            </w:pPr>
            <w:r w:rsidRPr="003C3B90">
              <w:rPr>
                <w:rFonts w:ascii="Times New Roman" w:eastAsia="Times New Roman" w:hAnsi="Times New Roman" w:cs="Times New Roman"/>
                <w:szCs w:val="24"/>
                <w:lang w:val="es-ES" w:eastAsia="es-ES"/>
              </w:rPr>
              <w:t xml:space="preserve"> </w:t>
            </w:r>
            <w:r w:rsidRPr="003C3B90">
              <w:rPr>
                <w:rFonts w:eastAsia="Times New Roman" w:cs="Times New Roman"/>
                <w:szCs w:val="24"/>
                <w:lang w:val="es-ES" w:eastAsia="es-ES"/>
              </w:rPr>
              <w:t>President</w:t>
            </w:r>
            <w:r w:rsidR="00D36EA2" w:rsidRPr="003C3B90">
              <w:rPr>
                <w:rFonts w:eastAsia="Times New Roman" w:cs="Times New Roman"/>
                <w:szCs w:val="24"/>
                <w:lang w:val="es-ES" w:eastAsia="es-ES"/>
              </w:rPr>
              <w:t>a</w:t>
            </w:r>
          </w:p>
        </w:tc>
        <w:tc>
          <w:tcPr>
            <w:tcW w:w="4962" w:type="dxa"/>
          </w:tcPr>
          <w:p w14:paraId="46561F09" w14:textId="3605EAC6" w:rsidR="00A67F1D" w:rsidRPr="003C3B90" w:rsidRDefault="00A67F1D" w:rsidP="00A67F1D">
            <w:pPr>
              <w:tabs>
                <w:tab w:val="left" w:pos="-720"/>
              </w:tabs>
              <w:suppressAutoHyphens/>
              <w:spacing w:after="0"/>
              <w:jc w:val="center"/>
              <w:rPr>
                <w:rFonts w:eastAsia="Times New Roman" w:cs="Arial"/>
                <w:b/>
                <w:szCs w:val="24"/>
                <w:lang w:val="es-ES" w:eastAsia="es-ES"/>
              </w:rPr>
            </w:pPr>
            <w:r w:rsidRPr="003C3B90">
              <w:rPr>
                <w:rFonts w:eastAsia="Times New Roman" w:cs="Arial"/>
                <w:b/>
                <w:szCs w:val="24"/>
                <w:lang w:val="es-ES" w:eastAsia="es-ES"/>
              </w:rPr>
              <w:t>JO</w:t>
            </w:r>
            <w:r w:rsidR="003C3B90">
              <w:rPr>
                <w:rFonts w:eastAsia="Times New Roman" w:cs="Arial"/>
                <w:b/>
                <w:szCs w:val="24"/>
                <w:lang w:val="es-ES" w:eastAsia="es-ES"/>
              </w:rPr>
              <w:t>SE FERNANDO PRADA R</w:t>
            </w:r>
            <w:r w:rsidR="00BC0A7A">
              <w:rPr>
                <w:rFonts w:eastAsia="Times New Roman" w:cs="Arial"/>
                <w:b/>
                <w:szCs w:val="24"/>
                <w:lang w:val="es-ES" w:eastAsia="es-ES"/>
              </w:rPr>
              <w:t>Í</w:t>
            </w:r>
            <w:r w:rsidR="003C3B90">
              <w:rPr>
                <w:rFonts w:eastAsia="Times New Roman" w:cs="Arial"/>
                <w:b/>
                <w:szCs w:val="24"/>
                <w:lang w:val="es-ES" w:eastAsia="es-ES"/>
              </w:rPr>
              <w:t xml:space="preserve">OS </w:t>
            </w:r>
          </w:p>
          <w:p w14:paraId="70F18265" w14:textId="77777777" w:rsidR="00A67F1D" w:rsidRPr="003C3B90" w:rsidRDefault="00A67F1D" w:rsidP="00A67F1D">
            <w:pPr>
              <w:tabs>
                <w:tab w:val="left" w:pos="-720"/>
              </w:tabs>
              <w:suppressAutoHyphens/>
              <w:spacing w:after="0"/>
              <w:jc w:val="center"/>
              <w:rPr>
                <w:rFonts w:eastAsia="Times New Roman" w:cs="Arial"/>
                <w:b/>
                <w:spacing w:val="-3"/>
                <w:szCs w:val="24"/>
                <w:lang w:val="es-ES" w:eastAsia="es-ES"/>
              </w:rPr>
            </w:pPr>
            <w:r w:rsidRPr="003C3B90">
              <w:rPr>
                <w:rFonts w:eastAsia="Times New Roman" w:cs="Arial"/>
                <w:spacing w:val="-3"/>
                <w:szCs w:val="24"/>
                <w:lang w:val="es-ES" w:eastAsia="es-ES"/>
              </w:rPr>
              <w:t>Director Ejecutivo</w:t>
            </w:r>
          </w:p>
        </w:tc>
      </w:tr>
    </w:tbl>
    <w:p w14:paraId="0EF399B0" w14:textId="7FA8DFE0" w:rsidR="0075288F" w:rsidRPr="003D302A" w:rsidRDefault="00A371FB" w:rsidP="003D302A">
      <w:pPr>
        <w:spacing w:after="0"/>
        <w:rPr>
          <w:rFonts w:eastAsia="Times New Roman" w:cs="Times New Roman"/>
          <w:szCs w:val="24"/>
          <w:lang w:val="es-ES" w:eastAsia="es-ES"/>
        </w:rPr>
      </w:pPr>
      <w:r w:rsidRPr="003D302A">
        <w:rPr>
          <w:rFonts w:eastAsia="Times New Roman" w:cs="Times New Roman"/>
          <w:szCs w:val="24"/>
          <w:lang w:val="es-ES" w:eastAsia="es-ES"/>
        </w:rPr>
        <w:t xml:space="preserve"> </w:t>
      </w:r>
    </w:p>
    <w:sectPr w:rsidR="0075288F" w:rsidRPr="003D302A" w:rsidSect="005C1BCA">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E7C7" w14:textId="77777777" w:rsidR="009A3894" w:rsidRDefault="009A3894" w:rsidP="005C1BCA">
      <w:pPr>
        <w:spacing w:after="0"/>
      </w:pPr>
      <w:r>
        <w:separator/>
      </w:r>
    </w:p>
  </w:endnote>
  <w:endnote w:type="continuationSeparator" w:id="0">
    <w:p w14:paraId="5A6D4AB6" w14:textId="77777777" w:rsidR="009A3894" w:rsidRDefault="009A3894" w:rsidP="005C1BCA">
      <w:pPr>
        <w:spacing w:after="0"/>
      </w:pPr>
      <w:r>
        <w:continuationSeparator/>
      </w:r>
    </w:p>
  </w:endnote>
  <w:endnote w:type="continuationNotice" w:id="1">
    <w:p w14:paraId="56EBF657" w14:textId="77777777" w:rsidR="009A3894" w:rsidRDefault="009A38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 old styl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FFA2C" w14:textId="77777777" w:rsidR="009A3894" w:rsidRDefault="009A3894" w:rsidP="005C1BCA">
      <w:pPr>
        <w:spacing w:after="0"/>
      </w:pPr>
      <w:r>
        <w:separator/>
      </w:r>
    </w:p>
  </w:footnote>
  <w:footnote w:type="continuationSeparator" w:id="0">
    <w:p w14:paraId="10B50AB1" w14:textId="77777777" w:rsidR="009A3894" w:rsidRDefault="009A3894" w:rsidP="005C1BCA">
      <w:pPr>
        <w:spacing w:after="0"/>
      </w:pPr>
      <w:r>
        <w:continuationSeparator/>
      </w:r>
    </w:p>
  </w:footnote>
  <w:footnote w:type="continuationNotice" w:id="1">
    <w:p w14:paraId="06254174" w14:textId="77777777" w:rsidR="009A3894" w:rsidRDefault="009A3894">
      <w:pPr>
        <w:spacing w:after="0"/>
      </w:pPr>
    </w:p>
  </w:footnote>
  <w:footnote w:id="2">
    <w:p w14:paraId="31A0745A" w14:textId="673DC7E0" w:rsidR="008F03A3" w:rsidRPr="008F03A3" w:rsidRDefault="008F03A3">
      <w:pPr>
        <w:pStyle w:val="Textonotapie"/>
        <w:rPr>
          <w:lang w:val="es-CO"/>
        </w:rPr>
      </w:pPr>
      <w:r>
        <w:rPr>
          <w:rStyle w:val="Refdenotaalpie"/>
        </w:rPr>
        <w:footnoteRef/>
      </w:r>
      <w:r>
        <w:t xml:space="preserve"> </w:t>
      </w:r>
      <w:r w:rsidRPr="00DB7663">
        <w:rPr>
          <w:rFonts w:ascii="Bookman Old Style" w:hAnsi="Bookman Old Style" w:cs="ArialMT"/>
          <w:i/>
          <w:iCs/>
        </w:rPr>
        <w:t>El uso directo está definido como la parte del gas consumido en la demanda proveniente de la obra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6BA0" w14:textId="5D2950CE" w:rsidR="002F1F67" w:rsidRDefault="002F1F67" w:rsidP="001F2B83">
    <w:pPr>
      <w:pStyle w:val="Ttulo1"/>
      <w:ind w:right="6"/>
      <w:jc w:val="left"/>
      <w:rPr>
        <w:rFonts w:ascii="Bookman Old Style" w:hAnsi="Bookman Old Style" w:cs="Arial"/>
        <w:b w:val="0"/>
        <w:sz w:val="22"/>
        <w:szCs w:val="22"/>
      </w:rPr>
    </w:pPr>
  </w:p>
  <w:p w14:paraId="2C9B156E" w14:textId="03149997" w:rsidR="00BE7550" w:rsidRPr="00BE7550" w:rsidRDefault="00BE7550" w:rsidP="00BE7550">
    <w:pPr>
      <w:spacing w:after="0"/>
      <w:jc w:val="both"/>
      <w:rPr>
        <w:rFonts w:eastAsia="Times New Roman" w:cs="Times New Roman"/>
        <w:szCs w:val="24"/>
        <w:lang w:eastAsia="es-ES_tradnl"/>
      </w:rPr>
    </w:pPr>
    <w:r w:rsidRPr="00BE7550">
      <w:rPr>
        <w:rFonts w:eastAsia="Times New Roman" w:cs="Times New Roman"/>
        <w:szCs w:val="24"/>
        <w:lang w:eastAsia="es-ES_tradnl"/>
      </w:rPr>
      <w:t>RESOLUCIÓN No</w:t>
    </w:r>
    <w:r w:rsidRPr="004C2A3A">
      <w:rPr>
        <w:rFonts w:eastAsia="Times New Roman" w:cs="Times New Roman"/>
        <w:szCs w:val="24"/>
        <w:lang w:eastAsia="es-ES_tradnl"/>
      </w:rPr>
      <w:t xml:space="preserve">. </w:t>
    </w:r>
    <w:r w:rsidR="00A44864" w:rsidRPr="00BC0A7A">
      <w:rPr>
        <w:rFonts w:eastAsia="Times New Roman" w:cs="Times New Roman"/>
        <w:b/>
        <w:bCs/>
        <w:szCs w:val="24"/>
        <w:u w:val="single"/>
        <w:lang w:eastAsia="es-ES_tradnl"/>
      </w:rPr>
      <w:t>502</w:t>
    </w:r>
    <w:r w:rsidR="006C39D7" w:rsidRPr="00BC0A7A">
      <w:rPr>
        <w:rFonts w:eastAsia="Times New Roman" w:cs="Times New Roman"/>
        <w:b/>
        <w:bCs/>
        <w:szCs w:val="24"/>
        <w:u w:val="single"/>
        <w:lang w:eastAsia="es-ES_tradnl"/>
      </w:rPr>
      <w:t xml:space="preserve"> </w:t>
    </w:r>
    <w:r w:rsidR="004C2A3A" w:rsidRPr="00BC0A7A">
      <w:rPr>
        <w:rFonts w:eastAsia="Times New Roman" w:cs="Times New Roman"/>
        <w:b/>
        <w:bCs/>
        <w:szCs w:val="24"/>
        <w:u w:val="single"/>
        <w:lang w:eastAsia="es-ES_tradnl"/>
      </w:rPr>
      <w:t>031</w:t>
    </w:r>
    <w:r w:rsidR="00BC0A7A" w:rsidRPr="00BC0A7A">
      <w:rPr>
        <w:rFonts w:eastAsia="Times New Roman" w:cs="Times New Roman"/>
        <w:szCs w:val="24"/>
        <w:lang w:eastAsia="es-ES_tradnl"/>
      </w:rPr>
      <w:t xml:space="preserve">  </w:t>
    </w:r>
    <w:r w:rsidR="00BC0A7A">
      <w:rPr>
        <w:rFonts w:eastAsia="Times New Roman" w:cs="Times New Roman"/>
        <w:szCs w:val="24"/>
        <w:lang w:eastAsia="es-ES_tradnl"/>
      </w:rPr>
      <w:t xml:space="preserve"> </w:t>
    </w:r>
    <w:r w:rsidRPr="004C2A3A">
      <w:rPr>
        <w:rFonts w:eastAsia="Times New Roman" w:cs="Times New Roman"/>
        <w:szCs w:val="24"/>
        <w:lang w:eastAsia="es-ES_tradnl"/>
      </w:rPr>
      <w:t xml:space="preserve">DE </w:t>
    </w:r>
    <w:r w:rsidR="00E10D33">
      <w:rPr>
        <w:rFonts w:eastAsia="Times New Roman" w:cs="Times New Roman"/>
        <w:szCs w:val="24"/>
        <w:lang w:eastAsia="es-ES_tradnl"/>
      </w:rPr>
      <w:t xml:space="preserve">  </w:t>
    </w:r>
    <w:r w:rsidR="007B3C4F" w:rsidRPr="004C2A3A">
      <w:rPr>
        <w:rFonts w:eastAsia="Times New Roman" w:cs="Times New Roman"/>
        <w:szCs w:val="24"/>
        <w:lang w:eastAsia="es-ES_tradnl"/>
      </w:rPr>
      <w:t xml:space="preserve"> </w:t>
    </w:r>
    <w:r w:rsidR="00BC0A7A">
      <w:rPr>
        <w:rFonts w:eastAsia="Times New Roman" w:cs="Times New Roman"/>
        <w:szCs w:val="24"/>
        <w:lang w:eastAsia="es-ES_tradnl"/>
      </w:rPr>
      <w:tab/>
    </w:r>
    <w:r w:rsidR="00BC0A7A">
      <w:rPr>
        <w:rFonts w:eastAsia="Times New Roman" w:cs="Times New Roman"/>
        <w:b/>
        <w:bCs/>
        <w:szCs w:val="24"/>
        <w:u w:val="single"/>
        <w:lang w:eastAsia="es-ES_tradnl"/>
      </w:rPr>
      <w:t>17 ABR</w:t>
    </w:r>
    <w:r w:rsidR="007B3C4F" w:rsidRPr="004C2A3A">
      <w:rPr>
        <w:rFonts w:eastAsia="Times New Roman" w:cs="Times New Roman"/>
        <w:b/>
        <w:bCs/>
        <w:szCs w:val="24"/>
        <w:u w:val="single"/>
        <w:lang w:eastAsia="es-ES_tradnl"/>
      </w:rPr>
      <w:t xml:space="preserve">. </w:t>
    </w:r>
    <w:r w:rsidRPr="004C2A3A">
      <w:rPr>
        <w:rFonts w:eastAsia="Times New Roman" w:cs="Times New Roman"/>
        <w:b/>
        <w:bCs/>
        <w:szCs w:val="24"/>
        <w:u w:val="single"/>
        <w:lang w:eastAsia="es-ES_tradnl"/>
      </w:rPr>
      <w:t>202</w:t>
    </w:r>
    <w:r w:rsidR="000B0B83" w:rsidRPr="004C2A3A">
      <w:rPr>
        <w:rFonts w:eastAsia="Times New Roman" w:cs="Times New Roman"/>
        <w:b/>
        <w:bCs/>
        <w:szCs w:val="24"/>
        <w:u w:val="single"/>
        <w:lang w:eastAsia="es-ES_tradnl"/>
      </w:rPr>
      <w:t>3</w:t>
    </w:r>
    <w:r w:rsidR="007B3C4F" w:rsidRPr="007B3C4F">
      <w:rPr>
        <w:rFonts w:eastAsia="Times New Roman" w:cs="Times New Roman"/>
        <w:b/>
        <w:bCs/>
        <w:szCs w:val="24"/>
        <w:lang w:eastAsia="es-ES_tradnl"/>
      </w:rPr>
      <w:t xml:space="preserve"> </w:t>
    </w:r>
    <w:r w:rsidRPr="007B3C4F">
      <w:rPr>
        <w:rFonts w:eastAsia="Times New Roman" w:cs="Times New Roman"/>
        <w:b/>
        <w:bCs/>
        <w:szCs w:val="24"/>
        <w:lang w:eastAsia="es-ES_tradnl"/>
      </w:rPr>
      <w:t xml:space="preserve"> </w:t>
    </w:r>
    <w:r w:rsidR="007B3C4F" w:rsidRPr="007B3C4F">
      <w:rPr>
        <w:rFonts w:eastAsia="Times New Roman" w:cs="Times New Roman"/>
        <w:b/>
        <w:bCs/>
        <w:szCs w:val="24"/>
        <w:lang w:eastAsia="es-ES_tradnl"/>
      </w:rPr>
      <w:t xml:space="preserve"> </w:t>
    </w:r>
    <w:r w:rsidR="00BC0A7A">
      <w:rPr>
        <w:rFonts w:eastAsia="Times New Roman" w:cs="Times New Roman"/>
        <w:b/>
        <w:bCs/>
        <w:szCs w:val="24"/>
        <w:lang w:eastAsia="es-ES_tradnl"/>
      </w:rPr>
      <w:tab/>
    </w:r>
    <w:r w:rsidR="00BC0A7A">
      <w:rPr>
        <w:rFonts w:eastAsia="Times New Roman" w:cs="Times New Roman"/>
        <w:b/>
        <w:bCs/>
        <w:szCs w:val="24"/>
        <w:lang w:eastAsia="es-ES_tradnl"/>
      </w:rPr>
      <w:tab/>
    </w:r>
    <w:r w:rsidRPr="00BE7550">
      <w:rPr>
        <w:rFonts w:eastAsia="Times New Roman" w:cs="Times New Roman"/>
        <w:szCs w:val="24"/>
        <w:lang w:eastAsia="es-ES_tradnl"/>
      </w:rPr>
      <w:t xml:space="preserve">HOJA No. </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 xml:space="preserve"> PAGE   \* MERGEFORMAT </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2</w:t>
    </w:r>
    <w:r w:rsidRPr="00BE7550">
      <w:rPr>
        <w:rFonts w:eastAsia="Times New Roman" w:cs="Times New Roman"/>
        <w:szCs w:val="24"/>
        <w:lang w:eastAsia="es-ES_tradnl"/>
      </w:rPr>
      <w:fldChar w:fldCharType="end"/>
    </w:r>
    <w:r w:rsidRPr="00BE7550">
      <w:rPr>
        <w:rFonts w:eastAsia="Times New Roman" w:cs="Times New Roman"/>
        <w:szCs w:val="24"/>
        <w:lang w:eastAsia="es-ES_tradnl"/>
      </w:rPr>
      <w:t>/</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NUMPAGES  \* MERGEFORMAT</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4</w:t>
    </w:r>
    <w:r w:rsidRPr="00BE7550">
      <w:rPr>
        <w:rFonts w:eastAsia="Times New Roman" w:cs="Times New Roman"/>
        <w:szCs w:val="24"/>
        <w:lang w:eastAsia="es-ES_tradnl"/>
      </w:rPr>
      <w:fldChar w:fldCharType="end"/>
    </w:r>
  </w:p>
  <w:p w14:paraId="058D3816" w14:textId="7065CD49" w:rsidR="002F1F67" w:rsidRDefault="000E179E" w:rsidP="001F2B83">
    <w:pPr>
      <w:ind w:left="142" w:right="148"/>
      <w:rPr>
        <w:rFonts w:cs="Arial"/>
      </w:rPr>
    </w:pPr>
    <w:r>
      <w:rPr>
        <w:noProof/>
        <w:lang w:eastAsia="es-CO"/>
      </w:rPr>
      <mc:AlternateContent>
        <mc:Choice Requires="wps">
          <w:drawing>
            <wp:anchor distT="0" distB="0" distL="114300" distR="114300" simplePos="0" relativeHeight="251678208" behindDoc="1" locked="0" layoutInCell="1" allowOverlap="1" wp14:anchorId="40F2437B" wp14:editId="753ECFCA">
              <wp:simplePos x="0" y="0"/>
              <wp:positionH relativeFrom="column">
                <wp:posOffset>-184785</wp:posOffset>
              </wp:positionH>
              <wp:positionV relativeFrom="paragraph">
                <wp:posOffset>83185</wp:posOffset>
              </wp:positionV>
              <wp:extent cx="6267450" cy="993457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345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2C273C" w14:textId="0464C3EB" w:rsidR="00E40729" w:rsidRPr="00E40729" w:rsidRDefault="00E40729" w:rsidP="004406E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437B" id="Rectangle 1" o:spid="_x0000_s1026" style="position:absolute;left:0;text-align:left;margin-left:-14.55pt;margin-top:6.55pt;width:493.5pt;height:782.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" filled="f" strokeweight="1.5pt">
              <v:textbox>
                <w:txbxContent>
                  <w:p w14:paraId="292C273C" w14:textId="0464C3EB" w:rsidR="00E40729" w:rsidRPr="00E40729" w:rsidRDefault="00E40729" w:rsidP="004406E3">
                    <w:pPr>
                      <w:rPr>
                        <w:lang w:val="es-ES"/>
                      </w:rPr>
                    </w:pPr>
                  </w:p>
                </w:txbxContent>
              </v:textbox>
            </v:rect>
          </w:pict>
        </mc:Fallback>
      </mc:AlternateContent>
    </w:r>
  </w:p>
  <w:p w14:paraId="0075D567" w14:textId="77777777" w:rsidR="004406E3" w:rsidRPr="00C513B6" w:rsidRDefault="004406E3" w:rsidP="00B01A5A">
    <w:pPr>
      <w:spacing w:after="0"/>
      <w:ind w:right="51"/>
      <w:jc w:val="both"/>
      <w:rPr>
        <w:rFonts w:eastAsia="Bookman Old Style" w:cs="Bookman Old Style"/>
        <w:i/>
        <w:iCs/>
        <w:sz w:val="23"/>
        <w:szCs w:val="23"/>
        <w:lang w:val="es-ES"/>
      </w:rPr>
    </w:pPr>
    <w:r w:rsidRPr="00C513B6">
      <w:rPr>
        <w:rFonts w:eastAsia="Bookman Old Style" w:cs="Bookman Old Style"/>
        <w:i/>
        <w:iCs/>
        <w:color w:val="000000" w:themeColor="text1"/>
        <w:sz w:val="23"/>
        <w:szCs w:val="23"/>
        <w:lang w:val="es-ES"/>
      </w:rPr>
      <w:t>Por la cual se oficializan los flujos de ingresos anuales para remunerar la inversión y los gastos de AOM del proyecto IPAT Ampliación de la capacidad de transporte ramal Jamundí - Valle del Cauca de la TRANSPORTADORA DE GAS INTERNACIONAL S.A. E.S.P.</w:t>
    </w:r>
  </w:p>
  <w:p w14:paraId="17832FCE" w14:textId="36FD6724" w:rsidR="003A3BAC" w:rsidRPr="00C513B6" w:rsidRDefault="003A3BAC" w:rsidP="000D3140">
    <w:pPr>
      <w:pBdr>
        <w:bottom w:val="single" w:sz="4" w:space="6" w:color="auto"/>
      </w:pBdr>
      <w:spacing w:after="120"/>
      <w:ind w:right="147"/>
      <w:rPr>
        <w:rFonts w:eastAsia="Times New Roman" w:cs="Times New Roman"/>
        <w:i/>
        <w:iCs/>
        <w:sz w:val="2"/>
        <w:szCs w:val="2"/>
        <w:lang w:val="es-ES"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751" w14:textId="5BD3B2E1" w:rsidR="002F1F67" w:rsidRDefault="002F1F67" w:rsidP="000D3140">
    <w:pPr>
      <w:pStyle w:val="Encabezado"/>
      <w:ind w:left="0"/>
      <w:jc w:val="center"/>
      <w:rPr>
        <w:rFonts w:ascii="Arial" w:hAnsi="Arial" w:cs="Arial"/>
        <w:spacing w:val="20"/>
        <w:sz w:val="20"/>
      </w:rPr>
    </w:pPr>
    <w:r>
      <w:rPr>
        <w:rFonts w:ascii="Arial" w:hAnsi="Arial" w:cs="Arial"/>
        <w:spacing w:val="20"/>
        <w:sz w:val="20"/>
      </w:rPr>
      <w:t>República de Colombia</w:t>
    </w:r>
  </w:p>
  <w:p w14:paraId="33491D84" w14:textId="77777777" w:rsidR="002F1F67" w:rsidRDefault="002F1F67" w:rsidP="000D3140">
    <w:pPr>
      <w:pStyle w:val="Encabezado"/>
      <w:ind w:left="0"/>
      <w:jc w:val="center"/>
      <w:rPr>
        <w:rFonts w:ascii="Arial" w:hAnsi="Arial" w:cs="Arial"/>
        <w:spacing w:val="20"/>
        <w:sz w:val="20"/>
      </w:rPr>
    </w:pPr>
  </w:p>
  <w:p w14:paraId="16FE288C" w14:textId="77777777" w:rsidR="002F1F67" w:rsidRDefault="002F1F67" w:rsidP="000D3140">
    <w:pPr>
      <w:pStyle w:val="Encabezado"/>
      <w:ind w:left="0"/>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14DB35" wp14:editId="022A6DA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CEE3608"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FA1C28"/>
    <w:multiLevelType w:val="hybridMultilevel"/>
    <w:tmpl w:val="CCD20A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493CE6"/>
    <w:multiLevelType w:val="hybridMultilevel"/>
    <w:tmpl w:val="2536F3A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5"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EB76E4"/>
    <w:multiLevelType w:val="hybridMultilevel"/>
    <w:tmpl w:val="2B5827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9" w15:restartNumberingAfterBreak="0">
    <w:nsid w:val="17252AD2"/>
    <w:multiLevelType w:val="hybridMultilevel"/>
    <w:tmpl w:val="C868B062"/>
    <w:lvl w:ilvl="0" w:tplc="03227EA0">
      <w:start w:val="54"/>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5154E1"/>
    <w:multiLevelType w:val="hybridMultilevel"/>
    <w:tmpl w:val="D96C979A"/>
    <w:lvl w:ilvl="0" w:tplc="69AA0D62">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1EFB3EDC"/>
    <w:multiLevelType w:val="hybridMultilevel"/>
    <w:tmpl w:val="7166B83C"/>
    <w:lvl w:ilvl="0" w:tplc="DAAA5698">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B523BC"/>
    <w:multiLevelType w:val="hybridMultilevel"/>
    <w:tmpl w:val="474231A6"/>
    <w:lvl w:ilvl="0" w:tplc="240A001B">
      <w:start w:val="1"/>
      <w:numFmt w:val="lowerRoman"/>
      <w:lvlText w:val="%1."/>
      <w:lvlJc w:val="right"/>
      <w:pPr>
        <w:ind w:left="1418" w:hanging="720"/>
      </w:pPr>
      <w:rPr>
        <w:rFonts w:hint="default"/>
      </w:rPr>
    </w:lvl>
    <w:lvl w:ilvl="1" w:tplc="240A0019" w:tentative="1">
      <w:start w:val="1"/>
      <w:numFmt w:val="lowerLetter"/>
      <w:lvlText w:val="%2."/>
      <w:lvlJc w:val="left"/>
      <w:pPr>
        <w:ind w:left="1778" w:hanging="360"/>
      </w:pPr>
    </w:lvl>
    <w:lvl w:ilvl="2" w:tplc="240A001B" w:tentative="1">
      <w:start w:val="1"/>
      <w:numFmt w:val="lowerRoman"/>
      <w:lvlText w:val="%3."/>
      <w:lvlJc w:val="right"/>
      <w:pPr>
        <w:ind w:left="2498" w:hanging="180"/>
      </w:pPr>
    </w:lvl>
    <w:lvl w:ilvl="3" w:tplc="240A000F" w:tentative="1">
      <w:start w:val="1"/>
      <w:numFmt w:val="decimal"/>
      <w:lvlText w:val="%4."/>
      <w:lvlJc w:val="left"/>
      <w:pPr>
        <w:ind w:left="3218" w:hanging="360"/>
      </w:pPr>
    </w:lvl>
    <w:lvl w:ilvl="4" w:tplc="240A0019" w:tentative="1">
      <w:start w:val="1"/>
      <w:numFmt w:val="lowerLetter"/>
      <w:lvlText w:val="%5."/>
      <w:lvlJc w:val="left"/>
      <w:pPr>
        <w:ind w:left="3938" w:hanging="360"/>
      </w:pPr>
    </w:lvl>
    <w:lvl w:ilvl="5" w:tplc="240A001B" w:tentative="1">
      <w:start w:val="1"/>
      <w:numFmt w:val="lowerRoman"/>
      <w:lvlText w:val="%6."/>
      <w:lvlJc w:val="right"/>
      <w:pPr>
        <w:ind w:left="4658" w:hanging="180"/>
      </w:pPr>
    </w:lvl>
    <w:lvl w:ilvl="6" w:tplc="240A000F" w:tentative="1">
      <w:start w:val="1"/>
      <w:numFmt w:val="decimal"/>
      <w:lvlText w:val="%7."/>
      <w:lvlJc w:val="left"/>
      <w:pPr>
        <w:ind w:left="5378" w:hanging="360"/>
      </w:pPr>
    </w:lvl>
    <w:lvl w:ilvl="7" w:tplc="240A0019" w:tentative="1">
      <w:start w:val="1"/>
      <w:numFmt w:val="lowerLetter"/>
      <w:lvlText w:val="%8."/>
      <w:lvlJc w:val="left"/>
      <w:pPr>
        <w:ind w:left="6098" w:hanging="360"/>
      </w:pPr>
    </w:lvl>
    <w:lvl w:ilvl="8" w:tplc="240A001B" w:tentative="1">
      <w:start w:val="1"/>
      <w:numFmt w:val="lowerRoman"/>
      <w:lvlText w:val="%9."/>
      <w:lvlJc w:val="right"/>
      <w:pPr>
        <w:ind w:left="6818" w:hanging="180"/>
      </w:pPr>
    </w:lvl>
  </w:abstractNum>
  <w:abstractNum w:abstractNumId="13" w15:restartNumberingAfterBreak="0">
    <w:nsid w:val="280C005E"/>
    <w:multiLevelType w:val="hybridMultilevel"/>
    <w:tmpl w:val="7794FC2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297B14F4"/>
    <w:multiLevelType w:val="multilevel"/>
    <w:tmpl w:val="2E804190"/>
    <w:name w:val="List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98A4B20"/>
    <w:multiLevelType w:val="multilevel"/>
    <w:tmpl w:val="877E531A"/>
    <w:lvl w:ilvl="0">
      <w:start w:val="1"/>
      <w:numFmt w:val="decimal"/>
      <w:pStyle w:val="Tit1"/>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6" w15:restartNumberingAfterBreak="0">
    <w:nsid w:val="2D776AD6"/>
    <w:multiLevelType w:val="hybridMultilevel"/>
    <w:tmpl w:val="E810363A"/>
    <w:lvl w:ilvl="0" w:tplc="ED821720">
      <w:numFmt w:val="bullet"/>
      <w:lvlText w:val=""/>
      <w:lvlJc w:val="left"/>
      <w:pPr>
        <w:ind w:left="1494" w:hanging="360"/>
      </w:pPr>
      <w:rPr>
        <w:rFonts w:ascii="Bookman Old Style" w:eastAsia="Times New Roman" w:hAnsi="Bookman Old Style" w:cs="Aria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2E7E582D"/>
    <w:multiLevelType w:val="hybridMultilevel"/>
    <w:tmpl w:val="B6D24A62"/>
    <w:lvl w:ilvl="0" w:tplc="DFAA0928">
      <w:start w:val="1"/>
      <w:numFmt w:val="bullet"/>
      <w:lvlText w:val="-"/>
      <w:lvlJc w:val="left"/>
      <w:pPr>
        <w:ind w:left="1058" w:hanging="360"/>
      </w:pPr>
      <w:rPr>
        <w:rFonts w:ascii="Bookman Old Style" w:eastAsia="Times New Roman" w:hAnsi="Bookman Old Style" w:cs="Arial" w:hint="default"/>
      </w:rPr>
    </w:lvl>
    <w:lvl w:ilvl="1" w:tplc="240A0003" w:tentative="1">
      <w:start w:val="1"/>
      <w:numFmt w:val="bullet"/>
      <w:lvlText w:val="o"/>
      <w:lvlJc w:val="left"/>
      <w:pPr>
        <w:ind w:left="1778" w:hanging="360"/>
      </w:pPr>
      <w:rPr>
        <w:rFonts w:ascii="Courier New" w:hAnsi="Courier New" w:cs="Courier New" w:hint="default"/>
      </w:rPr>
    </w:lvl>
    <w:lvl w:ilvl="2" w:tplc="240A0005" w:tentative="1">
      <w:start w:val="1"/>
      <w:numFmt w:val="bullet"/>
      <w:lvlText w:val=""/>
      <w:lvlJc w:val="left"/>
      <w:pPr>
        <w:ind w:left="2498" w:hanging="360"/>
      </w:pPr>
      <w:rPr>
        <w:rFonts w:ascii="Wingdings" w:hAnsi="Wingdings" w:hint="default"/>
      </w:rPr>
    </w:lvl>
    <w:lvl w:ilvl="3" w:tplc="240A0001" w:tentative="1">
      <w:start w:val="1"/>
      <w:numFmt w:val="bullet"/>
      <w:lvlText w:val=""/>
      <w:lvlJc w:val="left"/>
      <w:pPr>
        <w:ind w:left="3218" w:hanging="360"/>
      </w:pPr>
      <w:rPr>
        <w:rFonts w:ascii="Symbol" w:hAnsi="Symbol" w:hint="default"/>
      </w:rPr>
    </w:lvl>
    <w:lvl w:ilvl="4" w:tplc="240A0003" w:tentative="1">
      <w:start w:val="1"/>
      <w:numFmt w:val="bullet"/>
      <w:lvlText w:val="o"/>
      <w:lvlJc w:val="left"/>
      <w:pPr>
        <w:ind w:left="3938" w:hanging="360"/>
      </w:pPr>
      <w:rPr>
        <w:rFonts w:ascii="Courier New" w:hAnsi="Courier New" w:cs="Courier New" w:hint="default"/>
      </w:rPr>
    </w:lvl>
    <w:lvl w:ilvl="5" w:tplc="240A0005" w:tentative="1">
      <w:start w:val="1"/>
      <w:numFmt w:val="bullet"/>
      <w:lvlText w:val=""/>
      <w:lvlJc w:val="left"/>
      <w:pPr>
        <w:ind w:left="4658" w:hanging="360"/>
      </w:pPr>
      <w:rPr>
        <w:rFonts w:ascii="Wingdings" w:hAnsi="Wingdings" w:hint="default"/>
      </w:rPr>
    </w:lvl>
    <w:lvl w:ilvl="6" w:tplc="240A0001" w:tentative="1">
      <w:start w:val="1"/>
      <w:numFmt w:val="bullet"/>
      <w:lvlText w:val=""/>
      <w:lvlJc w:val="left"/>
      <w:pPr>
        <w:ind w:left="5378" w:hanging="360"/>
      </w:pPr>
      <w:rPr>
        <w:rFonts w:ascii="Symbol" w:hAnsi="Symbol" w:hint="default"/>
      </w:rPr>
    </w:lvl>
    <w:lvl w:ilvl="7" w:tplc="240A0003" w:tentative="1">
      <w:start w:val="1"/>
      <w:numFmt w:val="bullet"/>
      <w:lvlText w:val="o"/>
      <w:lvlJc w:val="left"/>
      <w:pPr>
        <w:ind w:left="6098" w:hanging="360"/>
      </w:pPr>
      <w:rPr>
        <w:rFonts w:ascii="Courier New" w:hAnsi="Courier New" w:cs="Courier New" w:hint="default"/>
      </w:rPr>
    </w:lvl>
    <w:lvl w:ilvl="8" w:tplc="240A0005" w:tentative="1">
      <w:start w:val="1"/>
      <w:numFmt w:val="bullet"/>
      <w:lvlText w:val=""/>
      <w:lvlJc w:val="left"/>
      <w:pPr>
        <w:ind w:left="6818" w:hanging="360"/>
      </w:pPr>
      <w:rPr>
        <w:rFonts w:ascii="Wingdings" w:hAnsi="Wingdings" w:hint="default"/>
      </w:rPr>
    </w:lvl>
  </w:abstractNum>
  <w:abstractNum w:abstractNumId="18" w15:restartNumberingAfterBreak="0">
    <w:nsid w:val="36CB5859"/>
    <w:multiLevelType w:val="hybridMultilevel"/>
    <w:tmpl w:val="F11C4032"/>
    <w:lvl w:ilvl="0" w:tplc="240A0017">
      <w:start w:val="1"/>
      <w:numFmt w:val="lowerLetter"/>
      <w:lvlText w:val="%1)"/>
      <w:lvlJc w:val="left"/>
      <w:pPr>
        <w:ind w:left="578" w:hanging="360"/>
      </w:pPr>
    </w:lvl>
    <w:lvl w:ilvl="1" w:tplc="5388E8AC">
      <w:start w:val="1"/>
      <w:numFmt w:val="decimal"/>
      <w:lvlText w:val="%2."/>
      <w:lvlJc w:val="left"/>
      <w:pPr>
        <w:ind w:left="1373" w:hanging="435"/>
      </w:pPr>
      <w:rPr>
        <w:rFonts w:hint="default"/>
        <w:lang w:val="es-ES"/>
      </w:r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9" w15:restartNumberingAfterBreak="0">
    <w:nsid w:val="377261A6"/>
    <w:multiLevelType w:val="hybridMultilevel"/>
    <w:tmpl w:val="9C3AFF9E"/>
    <w:lvl w:ilvl="0" w:tplc="D87A44EC">
      <w:start w:val="1"/>
      <w:numFmt w:val="bullet"/>
      <w:lvlText w:val="-"/>
      <w:lvlJc w:val="left"/>
      <w:pPr>
        <w:ind w:left="218" w:hanging="360"/>
      </w:pPr>
      <w:rPr>
        <w:rFonts w:ascii="Bookman Old Style" w:eastAsia="Times New Roman" w:hAnsi="Bookman Old Style" w:cs="Aria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20" w15:restartNumberingAfterBreak="0">
    <w:nsid w:val="38A60351"/>
    <w:multiLevelType w:val="hybridMultilevel"/>
    <w:tmpl w:val="F560238A"/>
    <w:lvl w:ilvl="0" w:tplc="240A0001">
      <w:start w:val="1"/>
      <w:numFmt w:val="bullet"/>
      <w:lvlText w:val=""/>
      <w:lvlJc w:val="left"/>
      <w:pPr>
        <w:ind w:left="218" w:hanging="360"/>
      </w:pPr>
      <w:rPr>
        <w:rFonts w:ascii="Symbol" w:hAnsi="Symbo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21" w15:restartNumberingAfterBreak="0">
    <w:nsid w:val="3A3F509D"/>
    <w:multiLevelType w:val="hybridMultilevel"/>
    <w:tmpl w:val="2700901C"/>
    <w:lvl w:ilvl="0" w:tplc="0660D1F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3E7B3574"/>
    <w:multiLevelType w:val="hybridMultilevel"/>
    <w:tmpl w:val="4210E2EE"/>
    <w:lvl w:ilvl="0" w:tplc="CD5A8C5C">
      <w:start w:val="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3" w15:restartNumberingAfterBreak="0">
    <w:nsid w:val="475726CF"/>
    <w:multiLevelType w:val="hybridMultilevel"/>
    <w:tmpl w:val="88FCC7F2"/>
    <w:lvl w:ilvl="0" w:tplc="ED821720">
      <w:numFmt w:val="bullet"/>
      <w:lvlText w:val=""/>
      <w:lvlJc w:val="left"/>
      <w:pPr>
        <w:ind w:left="927" w:hanging="360"/>
      </w:pPr>
      <w:rPr>
        <w:rFonts w:ascii="Bookman Old Style" w:eastAsia="Times New Roman" w:hAnsi="Bookman Old Style"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4" w15:restartNumberingAfterBreak="0">
    <w:nsid w:val="4BD72CD6"/>
    <w:multiLevelType w:val="hybridMultilevel"/>
    <w:tmpl w:val="EF60F73E"/>
    <w:lvl w:ilvl="0" w:tplc="710AE9DA">
      <w:start w:val="1"/>
      <w:numFmt w:val="low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5" w15:restartNumberingAfterBreak="0">
    <w:nsid w:val="4F00682C"/>
    <w:multiLevelType w:val="hybridMultilevel"/>
    <w:tmpl w:val="82127CD2"/>
    <w:lvl w:ilvl="0" w:tplc="240A0001">
      <w:start w:val="1"/>
      <w:numFmt w:val="bullet"/>
      <w:lvlText w:val=""/>
      <w:lvlJc w:val="left"/>
      <w:pPr>
        <w:ind w:left="1004" w:hanging="360"/>
      </w:pPr>
      <w:rPr>
        <w:rFonts w:ascii="Symbol" w:hAnsi="Symbol" w:hint="default"/>
      </w:rPr>
    </w:lvl>
    <w:lvl w:ilvl="1" w:tplc="240A0001">
      <w:start w:val="1"/>
      <w:numFmt w:val="bullet"/>
      <w:lvlText w:val=""/>
      <w:lvlJc w:val="left"/>
      <w:pPr>
        <w:ind w:left="1724" w:hanging="360"/>
      </w:pPr>
      <w:rPr>
        <w:rFonts w:ascii="Symbol" w:hAnsi="Symbol"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6"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27" w15:restartNumberingAfterBreak="0">
    <w:nsid w:val="55433A11"/>
    <w:multiLevelType w:val="hybridMultilevel"/>
    <w:tmpl w:val="C2AE167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8" w15:restartNumberingAfterBreak="0">
    <w:nsid w:val="5CE927BE"/>
    <w:multiLevelType w:val="hybridMultilevel"/>
    <w:tmpl w:val="BFAA7E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F5349"/>
    <w:multiLevelType w:val="hybridMultilevel"/>
    <w:tmpl w:val="AC0CE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1" w15:restartNumberingAfterBreak="0">
    <w:nsid w:val="68C945D1"/>
    <w:multiLevelType w:val="hybridMultilevel"/>
    <w:tmpl w:val="7C0C69D8"/>
    <w:lvl w:ilvl="0" w:tplc="FFFFFFFF">
      <w:start w:val="1"/>
      <w:numFmt w:val="decimal"/>
      <w:lvlText w:val="%1."/>
      <w:lvlJc w:val="left"/>
      <w:pPr>
        <w:ind w:left="1146" w:hanging="360"/>
      </w:pPr>
      <w:rPr>
        <w:rFonts w:hint="default"/>
      </w:rPr>
    </w:lvl>
    <w:lvl w:ilvl="1" w:tplc="BC3031A2">
      <w:start w:val="1"/>
      <w:numFmt w:val="lowerRoman"/>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AF16E29"/>
    <w:multiLevelType w:val="multilevel"/>
    <w:tmpl w:val="DD5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79765C"/>
    <w:multiLevelType w:val="hybridMultilevel"/>
    <w:tmpl w:val="FCC6EEFA"/>
    <w:lvl w:ilvl="0" w:tplc="9EB063EA">
      <w:start w:val="1"/>
      <w:numFmt w:val="lowerRoman"/>
      <w:lvlText w:val="%1."/>
      <w:lvlJc w:val="left"/>
      <w:pPr>
        <w:ind w:left="1423" w:hanging="360"/>
      </w:pPr>
      <w:rPr>
        <w:rFonts w:hint="default"/>
      </w:rPr>
    </w:lvl>
    <w:lvl w:ilvl="1" w:tplc="240A0019" w:tentative="1">
      <w:start w:val="1"/>
      <w:numFmt w:val="lowerLetter"/>
      <w:lvlText w:val="%2."/>
      <w:lvlJc w:val="left"/>
      <w:pPr>
        <w:ind w:left="2143" w:hanging="360"/>
      </w:pPr>
    </w:lvl>
    <w:lvl w:ilvl="2" w:tplc="240A001B" w:tentative="1">
      <w:start w:val="1"/>
      <w:numFmt w:val="lowerRoman"/>
      <w:lvlText w:val="%3."/>
      <w:lvlJc w:val="right"/>
      <w:pPr>
        <w:ind w:left="2863" w:hanging="180"/>
      </w:pPr>
    </w:lvl>
    <w:lvl w:ilvl="3" w:tplc="240A000F" w:tentative="1">
      <w:start w:val="1"/>
      <w:numFmt w:val="decimal"/>
      <w:lvlText w:val="%4."/>
      <w:lvlJc w:val="left"/>
      <w:pPr>
        <w:ind w:left="3583" w:hanging="360"/>
      </w:pPr>
    </w:lvl>
    <w:lvl w:ilvl="4" w:tplc="240A0019" w:tentative="1">
      <w:start w:val="1"/>
      <w:numFmt w:val="lowerLetter"/>
      <w:lvlText w:val="%5."/>
      <w:lvlJc w:val="left"/>
      <w:pPr>
        <w:ind w:left="4303" w:hanging="360"/>
      </w:pPr>
    </w:lvl>
    <w:lvl w:ilvl="5" w:tplc="240A001B" w:tentative="1">
      <w:start w:val="1"/>
      <w:numFmt w:val="lowerRoman"/>
      <w:lvlText w:val="%6."/>
      <w:lvlJc w:val="right"/>
      <w:pPr>
        <w:ind w:left="5023" w:hanging="180"/>
      </w:pPr>
    </w:lvl>
    <w:lvl w:ilvl="6" w:tplc="240A000F" w:tentative="1">
      <w:start w:val="1"/>
      <w:numFmt w:val="decimal"/>
      <w:lvlText w:val="%7."/>
      <w:lvlJc w:val="left"/>
      <w:pPr>
        <w:ind w:left="5743" w:hanging="360"/>
      </w:pPr>
    </w:lvl>
    <w:lvl w:ilvl="7" w:tplc="240A0019" w:tentative="1">
      <w:start w:val="1"/>
      <w:numFmt w:val="lowerLetter"/>
      <w:lvlText w:val="%8."/>
      <w:lvlJc w:val="left"/>
      <w:pPr>
        <w:ind w:left="6463" w:hanging="360"/>
      </w:pPr>
    </w:lvl>
    <w:lvl w:ilvl="8" w:tplc="240A001B" w:tentative="1">
      <w:start w:val="1"/>
      <w:numFmt w:val="lowerRoman"/>
      <w:lvlText w:val="%9."/>
      <w:lvlJc w:val="right"/>
      <w:pPr>
        <w:ind w:left="7183" w:hanging="180"/>
      </w:pPr>
    </w:lvl>
  </w:abstractNum>
  <w:abstractNum w:abstractNumId="34" w15:restartNumberingAfterBreak="0">
    <w:nsid w:val="6ED53B04"/>
    <w:multiLevelType w:val="hybridMultilevel"/>
    <w:tmpl w:val="E6C83EB2"/>
    <w:lvl w:ilvl="0" w:tplc="BB46FA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F363E3C"/>
    <w:multiLevelType w:val="multilevel"/>
    <w:tmpl w:val="794A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9C4DDF"/>
    <w:multiLevelType w:val="hybridMultilevel"/>
    <w:tmpl w:val="2F8EC50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7" w15:restartNumberingAfterBreak="0">
    <w:nsid w:val="73432BD8"/>
    <w:multiLevelType w:val="hybridMultilevel"/>
    <w:tmpl w:val="1F3E190C"/>
    <w:lvl w:ilvl="0" w:tplc="FFFFFFFF">
      <w:start w:val="1"/>
      <w:numFmt w:val="decimal"/>
      <w:pStyle w:val="ARTICULOS"/>
      <w:lvlText w:val="Artículo %1."/>
      <w:lvlJc w:val="left"/>
      <w:pPr>
        <w:ind w:left="4046" w:hanging="360"/>
      </w:pPr>
      <w:rPr>
        <w:rFonts w:ascii="Bookman Old Style" w:hAnsi="Bookman Old Style"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8" w15:restartNumberingAfterBreak="0">
    <w:nsid w:val="73BE05E8"/>
    <w:multiLevelType w:val="hybridMultilevel"/>
    <w:tmpl w:val="4ED6C2D8"/>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9" w15:restartNumberingAfterBreak="0">
    <w:nsid w:val="74DF5C53"/>
    <w:multiLevelType w:val="hybridMultilevel"/>
    <w:tmpl w:val="A378E32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40" w15:restartNumberingAfterBreak="0">
    <w:nsid w:val="791A3479"/>
    <w:multiLevelType w:val="multilevel"/>
    <w:tmpl w:val="6696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88240B"/>
    <w:multiLevelType w:val="multilevel"/>
    <w:tmpl w:val="CB2A94DC"/>
    <w:lvl w:ilvl="0">
      <w:start w:val="1"/>
      <w:numFmt w:val="decimal"/>
      <w:lvlText w:val="%1."/>
      <w:lvlJc w:val="left"/>
      <w:pPr>
        <w:ind w:left="705" w:hanging="705"/>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BEC6F9F"/>
    <w:multiLevelType w:val="multilevel"/>
    <w:tmpl w:val="0282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DF0130"/>
    <w:multiLevelType w:val="multilevel"/>
    <w:tmpl w:val="92903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334150">
    <w:abstractNumId w:val="2"/>
  </w:num>
  <w:num w:numId="2" w16cid:durableId="1245721715">
    <w:abstractNumId w:val="37"/>
  </w:num>
  <w:num w:numId="3" w16cid:durableId="1690794536">
    <w:abstractNumId w:val="5"/>
  </w:num>
  <w:num w:numId="4" w16cid:durableId="413623285">
    <w:abstractNumId w:val="27"/>
  </w:num>
  <w:num w:numId="5" w16cid:durableId="1676494476">
    <w:abstractNumId w:val="31"/>
  </w:num>
  <w:num w:numId="6" w16cid:durableId="1890876561">
    <w:abstractNumId w:val="10"/>
  </w:num>
  <w:num w:numId="7" w16cid:durableId="26831563">
    <w:abstractNumId w:val="28"/>
  </w:num>
  <w:num w:numId="8" w16cid:durableId="1233465885">
    <w:abstractNumId w:val="34"/>
  </w:num>
  <w:num w:numId="9" w16cid:durableId="762995989">
    <w:abstractNumId w:val="21"/>
  </w:num>
  <w:num w:numId="10" w16cid:durableId="18315636">
    <w:abstractNumId w:val="9"/>
  </w:num>
  <w:num w:numId="11" w16cid:durableId="276374356">
    <w:abstractNumId w:val="11"/>
  </w:num>
  <w:num w:numId="12" w16cid:durableId="1575432550">
    <w:abstractNumId w:val="41"/>
  </w:num>
  <w:num w:numId="13" w16cid:durableId="1042365863">
    <w:abstractNumId w:val="8"/>
  </w:num>
  <w:num w:numId="14" w16cid:durableId="1429279204">
    <w:abstractNumId w:val="14"/>
  </w:num>
  <w:num w:numId="15" w16cid:durableId="888612032">
    <w:abstractNumId w:val="30"/>
  </w:num>
  <w:num w:numId="16" w16cid:durableId="21246951">
    <w:abstractNumId w:val="22"/>
  </w:num>
  <w:num w:numId="17" w16cid:durableId="894241702">
    <w:abstractNumId w:val="18"/>
  </w:num>
  <w:num w:numId="18" w16cid:durableId="110243551">
    <w:abstractNumId w:val="38"/>
  </w:num>
  <w:num w:numId="19" w16cid:durableId="290206251">
    <w:abstractNumId w:val="3"/>
  </w:num>
  <w:num w:numId="20" w16cid:durableId="923031085">
    <w:abstractNumId w:val="29"/>
  </w:num>
  <w:num w:numId="21" w16cid:durableId="1508443246">
    <w:abstractNumId w:val="20"/>
  </w:num>
  <w:num w:numId="22" w16cid:durableId="1586257745">
    <w:abstractNumId w:val="39"/>
  </w:num>
  <w:num w:numId="23" w16cid:durableId="1458068841">
    <w:abstractNumId w:val="4"/>
  </w:num>
  <w:num w:numId="24" w16cid:durableId="893933223">
    <w:abstractNumId w:val="24"/>
  </w:num>
  <w:num w:numId="25" w16cid:durableId="311250095">
    <w:abstractNumId w:val="12"/>
  </w:num>
  <w:num w:numId="26" w16cid:durableId="1293319536">
    <w:abstractNumId w:val="33"/>
  </w:num>
  <w:num w:numId="27" w16cid:durableId="471950307">
    <w:abstractNumId w:val="19"/>
  </w:num>
  <w:num w:numId="28" w16cid:durableId="1665816310">
    <w:abstractNumId w:val="17"/>
  </w:num>
  <w:num w:numId="29" w16cid:durableId="836657232">
    <w:abstractNumId w:val="15"/>
  </w:num>
  <w:num w:numId="30" w16cid:durableId="71582271">
    <w:abstractNumId w:val="15"/>
  </w:num>
  <w:num w:numId="31" w16cid:durableId="54859758">
    <w:abstractNumId w:val="15"/>
  </w:num>
  <w:num w:numId="32" w16cid:durableId="1845169320">
    <w:abstractNumId w:val="15"/>
  </w:num>
  <w:num w:numId="33" w16cid:durableId="2018340421">
    <w:abstractNumId w:val="15"/>
  </w:num>
  <w:num w:numId="34" w16cid:durableId="1135754552">
    <w:abstractNumId w:val="32"/>
  </w:num>
  <w:num w:numId="35" w16cid:durableId="1130511191">
    <w:abstractNumId w:val="40"/>
  </w:num>
  <w:num w:numId="36" w16cid:durableId="1502618065">
    <w:abstractNumId w:val="42"/>
  </w:num>
  <w:num w:numId="37" w16cid:durableId="779682587">
    <w:abstractNumId w:val="7"/>
  </w:num>
  <w:num w:numId="38" w16cid:durableId="1654481646">
    <w:abstractNumId w:val="35"/>
  </w:num>
  <w:num w:numId="39" w16cid:durableId="1028683341">
    <w:abstractNumId w:val="43"/>
  </w:num>
  <w:num w:numId="40" w16cid:durableId="1018581970">
    <w:abstractNumId w:val="25"/>
  </w:num>
  <w:num w:numId="41" w16cid:durableId="1818262673">
    <w:abstractNumId w:val="6"/>
  </w:num>
  <w:num w:numId="42" w16cid:durableId="1658873455">
    <w:abstractNumId w:val="13"/>
  </w:num>
  <w:num w:numId="43" w16cid:durableId="1741635914">
    <w:abstractNumId w:val="23"/>
  </w:num>
  <w:num w:numId="44" w16cid:durableId="1503743807">
    <w:abstractNumId w:val="16"/>
  </w:num>
  <w:num w:numId="45" w16cid:durableId="90376351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1CA1"/>
    <w:rsid w:val="00002C5A"/>
    <w:rsid w:val="000068F0"/>
    <w:rsid w:val="00007901"/>
    <w:rsid w:val="00011052"/>
    <w:rsid w:val="00011D54"/>
    <w:rsid w:val="00012F00"/>
    <w:rsid w:val="00013BC8"/>
    <w:rsid w:val="0001493D"/>
    <w:rsid w:val="000149F1"/>
    <w:rsid w:val="00016169"/>
    <w:rsid w:val="00016778"/>
    <w:rsid w:val="00016C3E"/>
    <w:rsid w:val="00017048"/>
    <w:rsid w:val="00017F10"/>
    <w:rsid w:val="00022128"/>
    <w:rsid w:val="00023C28"/>
    <w:rsid w:val="00026CFF"/>
    <w:rsid w:val="00027FF9"/>
    <w:rsid w:val="0003079D"/>
    <w:rsid w:val="00031C98"/>
    <w:rsid w:val="000332BC"/>
    <w:rsid w:val="000333FA"/>
    <w:rsid w:val="0003401F"/>
    <w:rsid w:val="00035658"/>
    <w:rsid w:val="000356E7"/>
    <w:rsid w:val="00035DEC"/>
    <w:rsid w:val="00036408"/>
    <w:rsid w:val="000372E9"/>
    <w:rsid w:val="00037492"/>
    <w:rsid w:val="00037495"/>
    <w:rsid w:val="00037534"/>
    <w:rsid w:val="000401F3"/>
    <w:rsid w:val="00041225"/>
    <w:rsid w:val="00042565"/>
    <w:rsid w:val="00046E59"/>
    <w:rsid w:val="00047614"/>
    <w:rsid w:val="00047E85"/>
    <w:rsid w:val="00051E42"/>
    <w:rsid w:val="000539A0"/>
    <w:rsid w:val="00053A78"/>
    <w:rsid w:val="00054BC3"/>
    <w:rsid w:val="000569B2"/>
    <w:rsid w:val="00057191"/>
    <w:rsid w:val="00062A9F"/>
    <w:rsid w:val="00064EF2"/>
    <w:rsid w:val="00065051"/>
    <w:rsid w:val="000651C3"/>
    <w:rsid w:val="00065B4F"/>
    <w:rsid w:val="00066353"/>
    <w:rsid w:val="0006665C"/>
    <w:rsid w:val="0006696E"/>
    <w:rsid w:val="00067DE2"/>
    <w:rsid w:val="000701EA"/>
    <w:rsid w:val="000704A8"/>
    <w:rsid w:val="00070986"/>
    <w:rsid w:val="00074962"/>
    <w:rsid w:val="000768E2"/>
    <w:rsid w:val="000804E1"/>
    <w:rsid w:val="00080C9A"/>
    <w:rsid w:val="00080CA3"/>
    <w:rsid w:val="00082D6D"/>
    <w:rsid w:val="00083A91"/>
    <w:rsid w:val="00083AB7"/>
    <w:rsid w:val="00086870"/>
    <w:rsid w:val="00086996"/>
    <w:rsid w:val="000876C9"/>
    <w:rsid w:val="000904F2"/>
    <w:rsid w:val="0009371C"/>
    <w:rsid w:val="0009505B"/>
    <w:rsid w:val="00095339"/>
    <w:rsid w:val="00096487"/>
    <w:rsid w:val="000979CC"/>
    <w:rsid w:val="000A0EF7"/>
    <w:rsid w:val="000A1254"/>
    <w:rsid w:val="000A1567"/>
    <w:rsid w:val="000A2207"/>
    <w:rsid w:val="000A5989"/>
    <w:rsid w:val="000A66DB"/>
    <w:rsid w:val="000A6AC3"/>
    <w:rsid w:val="000A6BCD"/>
    <w:rsid w:val="000B019A"/>
    <w:rsid w:val="000B0B83"/>
    <w:rsid w:val="000B2CF1"/>
    <w:rsid w:val="000B2D12"/>
    <w:rsid w:val="000B4631"/>
    <w:rsid w:val="000B6882"/>
    <w:rsid w:val="000C1AB2"/>
    <w:rsid w:val="000C301E"/>
    <w:rsid w:val="000C4A87"/>
    <w:rsid w:val="000D12A0"/>
    <w:rsid w:val="000D2322"/>
    <w:rsid w:val="000D2F1D"/>
    <w:rsid w:val="000D3140"/>
    <w:rsid w:val="000D4D20"/>
    <w:rsid w:val="000D66B0"/>
    <w:rsid w:val="000D6A24"/>
    <w:rsid w:val="000D77B1"/>
    <w:rsid w:val="000E179E"/>
    <w:rsid w:val="000E43B1"/>
    <w:rsid w:val="000E7FC0"/>
    <w:rsid w:val="000F0CBC"/>
    <w:rsid w:val="000F45F2"/>
    <w:rsid w:val="000F619F"/>
    <w:rsid w:val="000F74A4"/>
    <w:rsid w:val="00100CA9"/>
    <w:rsid w:val="00102168"/>
    <w:rsid w:val="00102D94"/>
    <w:rsid w:val="001030F9"/>
    <w:rsid w:val="00103960"/>
    <w:rsid w:val="0010726D"/>
    <w:rsid w:val="001079AA"/>
    <w:rsid w:val="001100F6"/>
    <w:rsid w:val="00110155"/>
    <w:rsid w:val="00110447"/>
    <w:rsid w:val="001121A9"/>
    <w:rsid w:val="0011246C"/>
    <w:rsid w:val="00113B03"/>
    <w:rsid w:val="00114902"/>
    <w:rsid w:val="00114D11"/>
    <w:rsid w:val="001159AB"/>
    <w:rsid w:val="001164AC"/>
    <w:rsid w:val="00120817"/>
    <w:rsid w:val="00121165"/>
    <w:rsid w:val="00121FBE"/>
    <w:rsid w:val="00122606"/>
    <w:rsid w:val="00123B03"/>
    <w:rsid w:val="001245F8"/>
    <w:rsid w:val="00124A21"/>
    <w:rsid w:val="001255D6"/>
    <w:rsid w:val="00126180"/>
    <w:rsid w:val="00131514"/>
    <w:rsid w:val="00131982"/>
    <w:rsid w:val="00131DB0"/>
    <w:rsid w:val="00132F87"/>
    <w:rsid w:val="00133CBB"/>
    <w:rsid w:val="0013405D"/>
    <w:rsid w:val="00135D8E"/>
    <w:rsid w:val="001419EB"/>
    <w:rsid w:val="0014224D"/>
    <w:rsid w:val="001451DB"/>
    <w:rsid w:val="0014582B"/>
    <w:rsid w:val="00147A20"/>
    <w:rsid w:val="001502B2"/>
    <w:rsid w:val="0015076F"/>
    <w:rsid w:val="001537B8"/>
    <w:rsid w:val="001544B0"/>
    <w:rsid w:val="001544FF"/>
    <w:rsid w:val="0015594B"/>
    <w:rsid w:val="001560D5"/>
    <w:rsid w:val="00160575"/>
    <w:rsid w:val="00160FF7"/>
    <w:rsid w:val="00161159"/>
    <w:rsid w:val="00165AA8"/>
    <w:rsid w:val="00167621"/>
    <w:rsid w:val="00167E49"/>
    <w:rsid w:val="001723E1"/>
    <w:rsid w:val="00172CDF"/>
    <w:rsid w:val="00176D44"/>
    <w:rsid w:val="00177203"/>
    <w:rsid w:val="0017742B"/>
    <w:rsid w:val="0018092F"/>
    <w:rsid w:val="00181EA1"/>
    <w:rsid w:val="0018224D"/>
    <w:rsid w:val="00182A03"/>
    <w:rsid w:val="0018361A"/>
    <w:rsid w:val="001851C6"/>
    <w:rsid w:val="001855BF"/>
    <w:rsid w:val="00185CE7"/>
    <w:rsid w:val="0018758A"/>
    <w:rsid w:val="00193AF1"/>
    <w:rsid w:val="00193D3A"/>
    <w:rsid w:val="00193DC3"/>
    <w:rsid w:val="00193F9C"/>
    <w:rsid w:val="0019693D"/>
    <w:rsid w:val="00196F2C"/>
    <w:rsid w:val="001976B3"/>
    <w:rsid w:val="001A034C"/>
    <w:rsid w:val="001A1203"/>
    <w:rsid w:val="001A2443"/>
    <w:rsid w:val="001A496A"/>
    <w:rsid w:val="001A79B5"/>
    <w:rsid w:val="001B051E"/>
    <w:rsid w:val="001B0BF6"/>
    <w:rsid w:val="001B10F2"/>
    <w:rsid w:val="001B1AE8"/>
    <w:rsid w:val="001B4CC1"/>
    <w:rsid w:val="001B4CCB"/>
    <w:rsid w:val="001B5251"/>
    <w:rsid w:val="001B534B"/>
    <w:rsid w:val="001B6721"/>
    <w:rsid w:val="001B79C4"/>
    <w:rsid w:val="001C05FF"/>
    <w:rsid w:val="001C1853"/>
    <w:rsid w:val="001C513B"/>
    <w:rsid w:val="001C606A"/>
    <w:rsid w:val="001C7E2B"/>
    <w:rsid w:val="001D242D"/>
    <w:rsid w:val="001D2917"/>
    <w:rsid w:val="001D41A1"/>
    <w:rsid w:val="001D47B6"/>
    <w:rsid w:val="001D4D2C"/>
    <w:rsid w:val="001D749F"/>
    <w:rsid w:val="001D75E8"/>
    <w:rsid w:val="001E04A9"/>
    <w:rsid w:val="001E04AC"/>
    <w:rsid w:val="001E130F"/>
    <w:rsid w:val="001E3F70"/>
    <w:rsid w:val="001E4D6B"/>
    <w:rsid w:val="001E531D"/>
    <w:rsid w:val="001E5EF3"/>
    <w:rsid w:val="001E6EDD"/>
    <w:rsid w:val="001E70DB"/>
    <w:rsid w:val="001E7813"/>
    <w:rsid w:val="001F1817"/>
    <w:rsid w:val="001F1D25"/>
    <w:rsid w:val="001F2B83"/>
    <w:rsid w:val="001F33E4"/>
    <w:rsid w:val="001F3910"/>
    <w:rsid w:val="001F4810"/>
    <w:rsid w:val="001F6ED9"/>
    <w:rsid w:val="001F72A8"/>
    <w:rsid w:val="00200DCB"/>
    <w:rsid w:val="00201918"/>
    <w:rsid w:val="00201D11"/>
    <w:rsid w:val="0020210E"/>
    <w:rsid w:val="00205A9A"/>
    <w:rsid w:val="0020666C"/>
    <w:rsid w:val="002071F1"/>
    <w:rsid w:val="00211DB2"/>
    <w:rsid w:val="00213028"/>
    <w:rsid w:val="002168B9"/>
    <w:rsid w:val="002214D1"/>
    <w:rsid w:val="00221ADF"/>
    <w:rsid w:val="0022318A"/>
    <w:rsid w:val="00227547"/>
    <w:rsid w:val="00230AE9"/>
    <w:rsid w:val="00231AF8"/>
    <w:rsid w:val="00232DB2"/>
    <w:rsid w:val="00233D31"/>
    <w:rsid w:val="002360EA"/>
    <w:rsid w:val="002369DB"/>
    <w:rsid w:val="00241F90"/>
    <w:rsid w:val="00242283"/>
    <w:rsid w:val="002438F8"/>
    <w:rsid w:val="00243BAC"/>
    <w:rsid w:val="002441C0"/>
    <w:rsid w:val="00244661"/>
    <w:rsid w:val="002452BF"/>
    <w:rsid w:val="00246BDD"/>
    <w:rsid w:val="00247D75"/>
    <w:rsid w:val="00250532"/>
    <w:rsid w:val="00250C34"/>
    <w:rsid w:val="0025197D"/>
    <w:rsid w:val="00251E3A"/>
    <w:rsid w:val="00252D4B"/>
    <w:rsid w:val="00252FBF"/>
    <w:rsid w:val="0025381F"/>
    <w:rsid w:val="00253CDE"/>
    <w:rsid w:val="00255088"/>
    <w:rsid w:val="00257891"/>
    <w:rsid w:val="00260046"/>
    <w:rsid w:val="00262B49"/>
    <w:rsid w:val="0026372A"/>
    <w:rsid w:val="00264662"/>
    <w:rsid w:val="0027183B"/>
    <w:rsid w:val="00271CEA"/>
    <w:rsid w:val="00275144"/>
    <w:rsid w:val="0027616A"/>
    <w:rsid w:val="00276938"/>
    <w:rsid w:val="00277991"/>
    <w:rsid w:val="00277B5F"/>
    <w:rsid w:val="00286C72"/>
    <w:rsid w:val="00290ECA"/>
    <w:rsid w:val="00291E5E"/>
    <w:rsid w:val="00293ABC"/>
    <w:rsid w:val="002955F9"/>
    <w:rsid w:val="00296E63"/>
    <w:rsid w:val="00297E12"/>
    <w:rsid w:val="002A101F"/>
    <w:rsid w:val="002A1901"/>
    <w:rsid w:val="002A2B84"/>
    <w:rsid w:val="002A3000"/>
    <w:rsid w:val="002A32A0"/>
    <w:rsid w:val="002A3B53"/>
    <w:rsid w:val="002A3BEF"/>
    <w:rsid w:val="002A5AB6"/>
    <w:rsid w:val="002A5B6A"/>
    <w:rsid w:val="002A6240"/>
    <w:rsid w:val="002B2504"/>
    <w:rsid w:val="002B4ACA"/>
    <w:rsid w:val="002B5DD4"/>
    <w:rsid w:val="002B6CCC"/>
    <w:rsid w:val="002B7286"/>
    <w:rsid w:val="002B7CF8"/>
    <w:rsid w:val="002C0846"/>
    <w:rsid w:val="002C205A"/>
    <w:rsid w:val="002C20EE"/>
    <w:rsid w:val="002C2E32"/>
    <w:rsid w:val="002C2F59"/>
    <w:rsid w:val="002C38BA"/>
    <w:rsid w:val="002C68C2"/>
    <w:rsid w:val="002C770A"/>
    <w:rsid w:val="002D0502"/>
    <w:rsid w:val="002D069B"/>
    <w:rsid w:val="002D0F83"/>
    <w:rsid w:val="002D4362"/>
    <w:rsid w:val="002D665D"/>
    <w:rsid w:val="002D69F1"/>
    <w:rsid w:val="002D765F"/>
    <w:rsid w:val="002E1463"/>
    <w:rsid w:val="002E160A"/>
    <w:rsid w:val="002E47EE"/>
    <w:rsid w:val="002E48FC"/>
    <w:rsid w:val="002E789E"/>
    <w:rsid w:val="002F034C"/>
    <w:rsid w:val="002F1F67"/>
    <w:rsid w:val="002F4728"/>
    <w:rsid w:val="002F645F"/>
    <w:rsid w:val="002F68A3"/>
    <w:rsid w:val="002F6C3C"/>
    <w:rsid w:val="002F72F2"/>
    <w:rsid w:val="002F76A9"/>
    <w:rsid w:val="003024E8"/>
    <w:rsid w:val="00303732"/>
    <w:rsid w:val="00304A9F"/>
    <w:rsid w:val="003056F7"/>
    <w:rsid w:val="00306C22"/>
    <w:rsid w:val="00306E6D"/>
    <w:rsid w:val="00312D58"/>
    <w:rsid w:val="00316315"/>
    <w:rsid w:val="003164D9"/>
    <w:rsid w:val="003172E7"/>
    <w:rsid w:val="0032228A"/>
    <w:rsid w:val="00322645"/>
    <w:rsid w:val="00324F51"/>
    <w:rsid w:val="003253A2"/>
    <w:rsid w:val="003268E6"/>
    <w:rsid w:val="003271CF"/>
    <w:rsid w:val="003276A7"/>
    <w:rsid w:val="00330B53"/>
    <w:rsid w:val="00330B5B"/>
    <w:rsid w:val="00330F56"/>
    <w:rsid w:val="00331103"/>
    <w:rsid w:val="0033161F"/>
    <w:rsid w:val="0033186A"/>
    <w:rsid w:val="00331CB2"/>
    <w:rsid w:val="00331F35"/>
    <w:rsid w:val="0033303E"/>
    <w:rsid w:val="00333ABE"/>
    <w:rsid w:val="00334151"/>
    <w:rsid w:val="003347B1"/>
    <w:rsid w:val="003348EF"/>
    <w:rsid w:val="00335465"/>
    <w:rsid w:val="003360A2"/>
    <w:rsid w:val="0033749B"/>
    <w:rsid w:val="00337958"/>
    <w:rsid w:val="003401B5"/>
    <w:rsid w:val="0034159E"/>
    <w:rsid w:val="00344118"/>
    <w:rsid w:val="00344475"/>
    <w:rsid w:val="0034633E"/>
    <w:rsid w:val="00351047"/>
    <w:rsid w:val="00351A5E"/>
    <w:rsid w:val="00351B51"/>
    <w:rsid w:val="00352658"/>
    <w:rsid w:val="00356E74"/>
    <w:rsid w:val="00357816"/>
    <w:rsid w:val="003613EA"/>
    <w:rsid w:val="0036350F"/>
    <w:rsid w:val="003639FF"/>
    <w:rsid w:val="003641F5"/>
    <w:rsid w:val="003655CF"/>
    <w:rsid w:val="0036567C"/>
    <w:rsid w:val="00366983"/>
    <w:rsid w:val="00370A60"/>
    <w:rsid w:val="00372484"/>
    <w:rsid w:val="00373896"/>
    <w:rsid w:val="00373F3C"/>
    <w:rsid w:val="003749B8"/>
    <w:rsid w:val="003764DC"/>
    <w:rsid w:val="003773C9"/>
    <w:rsid w:val="003802DF"/>
    <w:rsid w:val="003802E7"/>
    <w:rsid w:val="00381385"/>
    <w:rsid w:val="00384075"/>
    <w:rsid w:val="00384317"/>
    <w:rsid w:val="003843CA"/>
    <w:rsid w:val="003851BF"/>
    <w:rsid w:val="00386DCF"/>
    <w:rsid w:val="00387384"/>
    <w:rsid w:val="003914C2"/>
    <w:rsid w:val="00391C31"/>
    <w:rsid w:val="00393342"/>
    <w:rsid w:val="0039378C"/>
    <w:rsid w:val="00394BCF"/>
    <w:rsid w:val="00395ADB"/>
    <w:rsid w:val="003961C6"/>
    <w:rsid w:val="003A3BAC"/>
    <w:rsid w:val="003A440D"/>
    <w:rsid w:val="003A492B"/>
    <w:rsid w:val="003A5157"/>
    <w:rsid w:val="003B0B7A"/>
    <w:rsid w:val="003B13D9"/>
    <w:rsid w:val="003B1686"/>
    <w:rsid w:val="003B3A99"/>
    <w:rsid w:val="003B50DF"/>
    <w:rsid w:val="003C1360"/>
    <w:rsid w:val="003C245D"/>
    <w:rsid w:val="003C2E78"/>
    <w:rsid w:val="003C3B90"/>
    <w:rsid w:val="003C3E3E"/>
    <w:rsid w:val="003C59CA"/>
    <w:rsid w:val="003D171F"/>
    <w:rsid w:val="003D302A"/>
    <w:rsid w:val="003D379B"/>
    <w:rsid w:val="003D4DD0"/>
    <w:rsid w:val="003D5F66"/>
    <w:rsid w:val="003D682B"/>
    <w:rsid w:val="003D7B07"/>
    <w:rsid w:val="003E0936"/>
    <w:rsid w:val="003E36A9"/>
    <w:rsid w:val="003E5484"/>
    <w:rsid w:val="003F47CE"/>
    <w:rsid w:val="003F59E4"/>
    <w:rsid w:val="003F6149"/>
    <w:rsid w:val="003F7CEE"/>
    <w:rsid w:val="004001E4"/>
    <w:rsid w:val="00403E9A"/>
    <w:rsid w:val="0040504A"/>
    <w:rsid w:val="00407341"/>
    <w:rsid w:val="004076BD"/>
    <w:rsid w:val="00407991"/>
    <w:rsid w:val="00412F60"/>
    <w:rsid w:val="004141DC"/>
    <w:rsid w:val="004143D0"/>
    <w:rsid w:val="00415546"/>
    <w:rsid w:val="00417376"/>
    <w:rsid w:val="00417B96"/>
    <w:rsid w:val="004215EC"/>
    <w:rsid w:val="0042180A"/>
    <w:rsid w:val="0042421C"/>
    <w:rsid w:val="00424A10"/>
    <w:rsid w:val="00425D88"/>
    <w:rsid w:val="004276D1"/>
    <w:rsid w:val="00431CCC"/>
    <w:rsid w:val="00433A19"/>
    <w:rsid w:val="004372C8"/>
    <w:rsid w:val="00437F52"/>
    <w:rsid w:val="004406E3"/>
    <w:rsid w:val="00440FCB"/>
    <w:rsid w:val="004411E6"/>
    <w:rsid w:val="00441943"/>
    <w:rsid w:val="004444ED"/>
    <w:rsid w:val="00444733"/>
    <w:rsid w:val="00444A0D"/>
    <w:rsid w:val="00444C70"/>
    <w:rsid w:val="00445CF1"/>
    <w:rsid w:val="00446379"/>
    <w:rsid w:val="0044676A"/>
    <w:rsid w:val="00446794"/>
    <w:rsid w:val="00446CA7"/>
    <w:rsid w:val="00447FE8"/>
    <w:rsid w:val="004504E6"/>
    <w:rsid w:val="00451FF9"/>
    <w:rsid w:val="004529AA"/>
    <w:rsid w:val="004554FE"/>
    <w:rsid w:val="00455BDF"/>
    <w:rsid w:val="004570FE"/>
    <w:rsid w:val="00457CF7"/>
    <w:rsid w:val="004607F2"/>
    <w:rsid w:val="004617CC"/>
    <w:rsid w:val="00464E6B"/>
    <w:rsid w:val="0046713D"/>
    <w:rsid w:val="00467145"/>
    <w:rsid w:val="00467150"/>
    <w:rsid w:val="0046738F"/>
    <w:rsid w:val="00470E59"/>
    <w:rsid w:val="00470FD2"/>
    <w:rsid w:val="004713B0"/>
    <w:rsid w:val="00471DFF"/>
    <w:rsid w:val="00473FB3"/>
    <w:rsid w:val="004748CB"/>
    <w:rsid w:val="004752B3"/>
    <w:rsid w:val="004765FD"/>
    <w:rsid w:val="00476A57"/>
    <w:rsid w:val="004770B0"/>
    <w:rsid w:val="00477598"/>
    <w:rsid w:val="004779DF"/>
    <w:rsid w:val="00483542"/>
    <w:rsid w:val="004835E4"/>
    <w:rsid w:val="00486224"/>
    <w:rsid w:val="00486E8E"/>
    <w:rsid w:val="0049070B"/>
    <w:rsid w:val="00493D5D"/>
    <w:rsid w:val="00494A47"/>
    <w:rsid w:val="00494AE7"/>
    <w:rsid w:val="00494BE4"/>
    <w:rsid w:val="00494F7E"/>
    <w:rsid w:val="00495F0E"/>
    <w:rsid w:val="004966B0"/>
    <w:rsid w:val="004A1394"/>
    <w:rsid w:val="004A1A5A"/>
    <w:rsid w:val="004A2CAC"/>
    <w:rsid w:val="004A4B8D"/>
    <w:rsid w:val="004A4D92"/>
    <w:rsid w:val="004A58FD"/>
    <w:rsid w:val="004A5AF4"/>
    <w:rsid w:val="004A5C86"/>
    <w:rsid w:val="004A677A"/>
    <w:rsid w:val="004A6C05"/>
    <w:rsid w:val="004A7835"/>
    <w:rsid w:val="004B1082"/>
    <w:rsid w:val="004B21F6"/>
    <w:rsid w:val="004B2371"/>
    <w:rsid w:val="004B23B2"/>
    <w:rsid w:val="004B26C8"/>
    <w:rsid w:val="004B33C1"/>
    <w:rsid w:val="004B463F"/>
    <w:rsid w:val="004B5708"/>
    <w:rsid w:val="004B65F7"/>
    <w:rsid w:val="004B7EBF"/>
    <w:rsid w:val="004C299E"/>
    <w:rsid w:val="004C2A3A"/>
    <w:rsid w:val="004C3714"/>
    <w:rsid w:val="004C37D7"/>
    <w:rsid w:val="004C5347"/>
    <w:rsid w:val="004C55AF"/>
    <w:rsid w:val="004C5842"/>
    <w:rsid w:val="004C602A"/>
    <w:rsid w:val="004C729A"/>
    <w:rsid w:val="004D0282"/>
    <w:rsid w:val="004D1585"/>
    <w:rsid w:val="004D371C"/>
    <w:rsid w:val="004D3A00"/>
    <w:rsid w:val="004D74B6"/>
    <w:rsid w:val="004D785D"/>
    <w:rsid w:val="004E2ECB"/>
    <w:rsid w:val="004E5052"/>
    <w:rsid w:val="004E50FB"/>
    <w:rsid w:val="004E5CBD"/>
    <w:rsid w:val="004E7462"/>
    <w:rsid w:val="004E76B9"/>
    <w:rsid w:val="004E7B30"/>
    <w:rsid w:val="004F20D7"/>
    <w:rsid w:val="004F21D4"/>
    <w:rsid w:val="004F2853"/>
    <w:rsid w:val="004F65B9"/>
    <w:rsid w:val="00501994"/>
    <w:rsid w:val="00501A2C"/>
    <w:rsid w:val="00502A39"/>
    <w:rsid w:val="00503243"/>
    <w:rsid w:val="00504957"/>
    <w:rsid w:val="00505CEA"/>
    <w:rsid w:val="00506375"/>
    <w:rsid w:val="0051038E"/>
    <w:rsid w:val="00510A55"/>
    <w:rsid w:val="005122E6"/>
    <w:rsid w:val="00513B41"/>
    <w:rsid w:val="00514366"/>
    <w:rsid w:val="0051471C"/>
    <w:rsid w:val="005149D3"/>
    <w:rsid w:val="00514DE7"/>
    <w:rsid w:val="00515A4F"/>
    <w:rsid w:val="00516A8F"/>
    <w:rsid w:val="005212AB"/>
    <w:rsid w:val="0052177B"/>
    <w:rsid w:val="00522B60"/>
    <w:rsid w:val="00523465"/>
    <w:rsid w:val="005237A7"/>
    <w:rsid w:val="00526CBB"/>
    <w:rsid w:val="0053083A"/>
    <w:rsid w:val="00531D12"/>
    <w:rsid w:val="005328A9"/>
    <w:rsid w:val="00532D60"/>
    <w:rsid w:val="00532D6C"/>
    <w:rsid w:val="00536B28"/>
    <w:rsid w:val="00537C46"/>
    <w:rsid w:val="0054608F"/>
    <w:rsid w:val="00547070"/>
    <w:rsid w:val="00547B25"/>
    <w:rsid w:val="00547DE8"/>
    <w:rsid w:val="00550449"/>
    <w:rsid w:val="00550996"/>
    <w:rsid w:val="0055347D"/>
    <w:rsid w:val="0055358E"/>
    <w:rsid w:val="00554081"/>
    <w:rsid w:val="005566A8"/>
    <w:rsid w:val="0055674D"/>
    <w:rsid w:val="00556B5F"/>
    <w:rsid w:val="0055E67D"/>
    <w:rsid w:val="005600FD"/>
    <w:rsid w:val="00560437"/>
    <w:rsid w:val="00560DFC"/>
    <w:rsid w:val="00560FC4"/>
    <w:rsid w:val="00565058"/>
    <w:rsid w:val="0056639C"/>
    <w:rsid w:val="00572628"/>
    <w:rsid w:val="005729B7"/>
    <w:rsid w:val="005738F9"/>
    <w:rsid w:val="005755B4"/>
    <w:rsid w:val="00575874"/>
    <w:rsid w:val="0057638A"/>
    <w:rsid w:val="0058111D"/>
    <w:rsid w:val="005824F6"/>
    <w:rsid w:val="00583DC3"/>
    <w:rsid w:val="005850E0"/>
    <w:rsid w:val="005853A5"/>
    <w:rsid w:val="00585FD2"/>
    <w:rsid w:val="00587911"/>
    <w:rsid w:val="00590C88"/>
    <w:rsid w:val="0059208B"/>
    <w:rsid w:val="0059246B"/>
    <w:rsid w:val="00594763"/>
    <w:rsid w:val="0059555B"/>
    <w:rsid w:val="00595AEA"/>
    <w:rsid w:val="00596208"/>
    <w:rsid w:val="005973D0"/>
    <w:rsid w:val="005A0389"/>
    <w:rsid w:val="005A1326"/>
    <w:rsid w:val="005A24B9"/>
    <w:rsid w:val="005A5053"/>
    <w:rsid w:val="005A604B"/>
    <w:rsid w:val="005B0D91"/>
    <w:rsid w:val="005B268F"/>
    <w:rsid w:val="005B31D5"/>
    <w:rsid w:val="005B5073"/>
    <w:rsid w:val="005B6632"/>
    <w:rsid w:val="005B67E6"/>
    <w:rsid w:val="005C0F38"/>
    <w:rsid w:val="005C1BCA"/>
    <w:rsid w:val="005C3305"/>
    <w:rsid w:val="005C56FA"/>
    <w:rsid w:val="005C673F"/>
    <w:rsid w:val="005D59CB"/>
    <w:rsid w:val="005D613A"/>
    <w:rsid w:val="005D7E58"/>
    <w:rsid w:val="005E0E66"/>
    <w:rsid w:val="005E0E7A"/>
    <w:rsid w:val="005E21CD"/>
    <w:rsid w:val="005E3377"/>
    <w:rsid w:val="005E33B1"/>
    <w:rsid w:val="005E341E"/>
    <w:rsid w:val="005E3E02"/>
    <w:rsid w:val="005E5A8A"/>
    <w:rsid w:val="005E6508"/>
    <w:rsid w:val="005E6FDC"/>
    <w:rsid w:val="005F04BA"/>
    <w:rsid w:val="005F1B99"/>
    <w:rsid w:val="005F1C68"/>
    <w:rsid w:val="005F3F22"/>
    <w:rsid w:val="005F6336"/>
    <w:rsid w:val="005F65C3"/>
    <w:rsid w:val="005F66D0"/>
    <w:rsid w:val="0060008A"/>
    <w:rsid w:val="00600947"/>
    <w:rsid w:val="0060451C"/>
    <w:rsid w:val="00605315"/>
    <w:rsid w:val="0060586D"/>
    <w:rsid w:val="0060679B"/>
    <w:rsid w:val="006123F8"/>
    <w:rsid w:val="00612755"/>
    <w:rsid w:val="00615843"/>
    <w:rsid w:val="00620335"/>
    <w:rsid w:val="00621B07"/>
    <w:rsid w:val="006221F6"/>
    <w:rsid w:val="0062279F"/>
    <w:rsid w:val="00622D60"/>
    <w:rsid w:val="00623166"/>
    <w:rsid w:val="00623EFC"/>
    <w:rsid w:val="006241DE"/>
    <w:rsid w:val="00625E3B"/>
    <w:rsid w:val="00626002"/>
    <w:rsid w:val="00626F7B"/>
    <w:rsid w:val="00631087"/>
    <w:rsid w:val="00631222"/>
    <w:rsid w:val="00632261"/>
    <w:rsid w:val="00633EB5"/>
    <w:rsid w:val="0063486D"/>
    <w:rsid w:val="0063550A"/>
    <w:rsid w:val="00637889"/>
    <w:rsid w:val="00640F22"/>
    <w:rsid w:val="00641AF3"/>
    <w:rsid w:val="006441EA"/>
    <w:rsid w:val="0064438D"/>
    <w:rsid w:val="0064499C"/>
    <w:rsid w:val="006467D4"/>
    <w:rsid w:val="00650CBD"/>
    <w:rsid w:val="00650E06"/>
    <w:rsid w:val="0065138A"/>
    <w:rsid w:val="006516ED"/>
    <w:rsid w:val="0065201F"/>
    <w:rsid w:val="00653D00"/>
    <w:rsid w:val="006560BE"/>
    <w:rsid w:val="00656706"/>
    <w:rsid w:val="0066316D"/>
    <w:rsid w:val="00663587"/>
    <w:rsid w:val="00664CEB"/>
    <w:rsid w:val="00665338"/>
    <w:rsid w:val="006673C7"/>
    <w:rsid w:val="00667D66"/>
    <w:rsid w:val="00671E24"/>
    <w:rsid w:val="0067294D"/>
    <w:rsid w:val="00675E77"/>
    <w:rsid w:val="00676142"/>
    <w:rsid w:val="00676D84"/>
    <w:rsid w:val="006772B1"/>
    <w:rsid w:val="00677582"/>
    <w:rsid w:val="00677ABF"/>
    <w:rsid w:val="0068157E"/>
    <w:rsid w:val="00685CEA"/>
    <w:rsid w:val="00686430"/>
    <w:rsid w:val="00686F56"/>
    <w:rsid w:val="00690D93"/>
    <w:rsid w:val="00691FFF"/>
    <w:rsid w:val="006948D9"/>
    <w:rsid w:val="00695DDC"/>
    <w:rsid w:val="00696941"/>
    <w:rsid w:val="00696C87"/>
    <w:rsid w:val="00697933"/>
    <w:rsid w:val="006A456D"/>
    <w:rsid w:val="006A524F"/>
    <w:rsid w:val="006A5495"/>
    <w:rsid w:val="006A6D99"/>
    <w:rsid w:val="006B1133"/>
    <w:rsid w:val="006B1B4D"/>
    <w:rsid w:val="006B2404"/>
    <w:rsid w:val="006B2543"/>
    <w:rsid w:val="006B5F6E"/>
    <w:rsid w:val="006B68C9"/>
    <w:rsid w:val="006B70CD"/>
    <w:rsid w:val="006B7AA7"/>
    <w:rsid w:val="006C1359"/>
    <w:rsid w:val="006C13BA"/>
    <w:rsid w:val="006C171E"/>
    <w:rsid w:val="006C23DE"/>
    <w:rsid w:val="006C39D7"/>
    <w:rsid w:val="006C42C7"/>
    <w:rsid w:val="006C6804"/>
    <w:rsid w:val="006C6AD6"/>
    <w:rsid w:val="006C70CD"/>
    <w:rsid w:val="006D1177"/>
    <w:rsid w:val="006D3006"/>
    <w:rsid w:val="006D3740"/>
    <w:rsid w:val="006D382F"/>
    <w:rsid w:val="006D4CAA"/>
    <w:rsid w:val="006D5952"/>
    <w:rsid w:val="006D6420"/>
    <w:rsid w:val="006D77A2"/>
    <w:rsid w:val="006E1946"/>
    <w:rsid w:val="006E21DB"/>
    <w:rsid w:val="006E2495"/>
    <w:rsid w:val="006E3CAF"/>
    <w:rsid w:val="006E4CFF"/>
    <w:rsid w:val="006E5133"/>
    <w:rsid w:val="006E58C2"/>
    <w:rsid w:val="006E6E13"/>
    <w:rsid w:val="006E789D"/>
    <w:rsid w:val="006F0469"/>
    <w:rsid w:val="006F0F5D"/>
    <w:rsid w:val="006F0FC4"/>
    <w:rsid w:val="006F4984"/>
    <w:rsid w:val="006F608F"/>
    <w:rsid w:val="006F6931"/>
    <w:rsid w:val="006F6985"/>
    <w:rsid w:val="006F6F8A"/>
    <w:rsid w:val="00701265"/>
    <w:rsid w:val="00701978"/>
    <w:rsid w:val="00704AEC"/>
    <w:rsid w:val="007051C5"/>
    <w:rsid w:val="0070529F"/>
    <w:rsid w:val="00710F6A"/>
    <w:rsid w:val="00712C9E"/>
    <w:rsid w:val="00713B62"/>
    <w:rsid w:val="007148C0"/>
    <w:rsid w:val="00714B81"/>
    <w:rsid w:val="007154E1"/>
    <w:rsid w:val="00715C7F"/>
    <w:rsid w:val="00715E8A"/>
    <w:rsid w:val="00717574"/>
    <w:rsid w:val="00717BBA"/>
    <w:rsid w:val="00717E96"/>
    <w:rsid w:val="00720524"/>
    <w:rsid w:val="00723A63"/>
    <w:rsid w:val="007241C7"/>
    <w:rsid w:val="007242E7"/>
    <w:rsid w:val="00725342"/>
    <w:rsid w:val="0072534A"/>
    <w:rsid w:val="007254EE"/>
    <w:rsid w:val="007340B2"/>
    <w:rsid w:val="00735D6F"/>
    <w:rsid w:val="0073600E"/>
    <w:rsid w:val="00740C7C"/>
    <w:rsid w:val="0074129B"/>
    <w:rsid w:val="007424C6"/>
    <w:rsid w:val="00742A42"/>
    <w:rsid w:val="00743E0D"/>
    <w:rsid w:val="00744934"/>
    <w:rsid w:val="00744A55"/>
    <w:rsid w:val="00744B35"/>
    <w:rsid w:val="007457B8"/>
    <w:rsid w:val="007471CB"/>
    <w:rsid w:val="00751905"/>
    <w:rsid w:val="00752095"/>
    <w:rsid w:val="0075288F"/>
    <w:rsid w:val="00752D0D"/>
    <w:rsid w:val="00752DA9"/>
    <w:rsid w:val="0075670C"/>
    <w:rsid w:val="00760788"/>
    <w:rsid w:val="00760851"/>
    <w:rsid w:val="0076186D"/>
    <w:rsid w:val="007628BE"/>
    <w:rsid w:val="0076338F"/>
    <w:rsid w:val="00764A47"/>
    <w:rsid w:val="00765D48"/>
    <w:rsid w:val="00765F25"/>
    <w:rsid w:val="0077070E"/>
    <w:rsid w:val="00771110"/>
    <w:rsid w:val="0077318B"/>
    <w:rsid w:val="0078006D"/>
    <w:rsid w:val="00780BB0"/>
    <w:rsid w:val="00782704"/>
    <w:rsid w:val="00784E27"/>
    <w:rsid w:val="00785E5C"/>
    <w:rsid w:val="007860F7"/>
    <w:rsid w:val="00790EDE"/>
    <w:rsid w:val="007917F3"/>
    <w:rsid w:val="0079227C"/>
    <w:rsid w:val="00792D4E"/>
    <w:rsid w:val="0079393B"/>
    <w:rsid w:val="00796E38"/>
    <w:rsid w:val="007975CA"/>
    <w:rsid w:val="007A10FE"/>
    <w:rsid w:val="007A4FA5"/>
    <w:rsid w:val="007A545D"/>
    <w:rsid w:val="007A6F61"/>
    <w:rsid w:val="007B154B"/>
    <w:rsid w:val="007B364C"/>
    <w:rsid w:val="007B3C4F"/>
    <w:rsid w:val="007B77DB"/>
    <w:rsid w:val="007B79E1"/>
    <w:rsid w:val="007B7E5F"/>
    <w:rsid w:val="007C01C7"/>
    <w:rsid w:val="007C0640"/>
    <w:rsid w:val="007C09F1"/>
    <w:rsid w:val="007C13DA"/>
    <w:rsid w:val="007C3E6E"/>
    <w:rsid w:val="007C64BE"/>
    <w:rsid w:val="007D295C"/>
    <w:rsid w:val="007D3626"/>
    <w:rsid w:val="007D3E48"/>
    <w:rsid w:val="007D4A88"/>
    <w:rsid w:val="007D66A6"/>
    <w:rsid w:val="007D78F4"/>
    <w:rsid w:val="007E1AF0"/>
    <w:rsid w:val="007E21DE"/>
    <w:rsid w:val="007E22D2"/>
    <w:rsid w:val="007E4396"/>
    <w:rsid w:val="007E464C"/>
    <w:rsid w:val="007E61D1"/>
    <w:rsid w:val="007E74F3"/>
    <w:rsid w:val="007F1796"/>
    <w:rsid w:val="007F1A2C"/>
    <w:rsid w:val="007F3B34"/>
    <w:rsid w:val="007F3FC2"/>
    <w:rsid w:val="007F45BD"/>
    <w:rsid w:val="007F66B9"/>
    <w:rsid w:val="007F68A9"/>
    <w:rsid w:val="007F6CF0"/>
    <w:rsid w:val="007F6F89"/>
    <w:rsid w:val="007F6F9C"/>
    <w:rsid w:val="007F720B"/>
    <w:rsid w:val="007F77DE"/>
    <w:rsid w:val="007F7FB6"/>
    <w:rsid w:val="008004A4"/>
    <w:rsid w:val="0080052E"/>
    <w:rsid w:val="00804ADE"/>
    <w:rsid w:val="00804F9F"/>
    <w:rsid w:val="00807EC3"/>
    <w:rsid w:val="00811A36"/>
    <w:rsid w:val="00812471"/>
    <w:rsid w:val="0081352D"/>
    <w:rsid w:val="00817A09"/>
    <w:rsid w:val="00817C6A"/>
    <w:rsid w:val="00820006"/>
    <w:rsid w:val="008200CC"/>
    <w:rsid w:val="008213EA"/>
    <w:rsid w:val="0082525A"/>
    <w:rsid w:val="008315F2"/>
    <w:rsid w:val="00831A30"/>
    <w:rsid w:val="008347D1"/>
    <w:rsid w:val="0083B6F9"/>
    <w:rsid w:val="00841840"/>
    <w:rsid w:val="008420C1"/>
    <w:rsid w:val="008427FD"/>
    <w:rsid w:val="00844989"/>
    <w:rsid w:val="00844EAB"/>
    <w:rsid w:val="00846CC8"/>
    <w:rsid w:val="00850480"/>
    <w:rsid w:val="008514CD"/>
    <w:rsid w:val="00852A26"/>
    <w:rsid w:val="00852B2D"/>
    <w:rsid w:val="0085415A"/>
    <w:rsid w:val="008545CC"/>
    <w:rsid w:val="00854974"/>
    <w:rsid w:val="008612E1"/>
    <w:rsid w:val="00863072"/>
    <w:rsid w:val="0086374B"/>
    <w:rsid w:val="00864689"/>
    <w:rsid w:val="0087117E"/>
    <w:rsid w:val="00872932"/>
    <w:rsid w:val="00873462"/>
    <w:rsid w:val="0087487D"/>
    <w:rsid w:val="00875904"/>
    <w:rsid w:val="008765C2"/>
    <w:rsid w:val="0087723A"/>
    <w:rsid w:val="008814E3"/>
    <w:rsid w:val="008831DA"/>
    <w:rsid w:val="00884988"/>
    <w:rsid w:val="008851A3"/>
    <w:rsid w:val="0089162A"/>
    <w:rsid w:val="00892686"/>
    <w:rsid w:val="00892D79"/>
    <w:rsid w:val="008932C5"/>
    <w:rsid w:val="00893E0C"/>
    <w:rsid w:val="00894258"/>
    <w:rsid w:val="0089470C"/>
    <w:rsid w:val="0089512B"/>
    <w:rsid w:val="0089589F"/>
    <w:rsid w:val="008A5019"/>
    <w:rsid w:val="008A51F3"/>
    <w:rsid w:val="008A5CB0"/>
    <w:rsid w:val="008A5EF9"/>
    <w:rsid w:val="008A63CD"/>
    <w:rsid w:val="008A70FC"/>
    <w:rsid w:val="008B1254"/>
    <w:rsid w:val="008B185D"/>
    <w:rsid w:val="008B1913"/>
    <w:rsid w:val="008B26F8"/>
    <w:rsid w:val="008C129F"/>
    <w:rsid w:val="008C164E"/>
    <w:rsid w:val="008C2D5E"/>
    <w:rsid w:val="008C2DDF"/>
    <w:rsid w:val="008C3A7B"/>
    <w:rsid w:val="008C550E"/>
    <w:rsid w:val="008C57EB"/>
    <w:rsid w:val="008C7C6D"/>
    <w:rsid w:val="008D01F0"/>
    <w:rsid w:val="008D09A9"/>
    <w:rsid w:val="008D0D2E"/>
    <w:rsid w:val="008D1D6A"/>
    <w:rsid w:val="008D3D90"/>
    <w:rsid w:val="008D482A"/>
    <w:rsid w:val="008D6B9D"/>
    <w:rsid w:val="008D7577"/>
    <w:rsid w:val="008D7F6D"/>
    <w:rsid w:val="008E0741"/>
    <w:rsid w:val="008E0BB6"/>
    <w:rsid w:val="008E37F7"/>
    <w:rsid w:val="008E439A"/>
    <w:rsid w:val="008E46D8"/>
    <w:rsid w:val="008E5E23"/>
    <w:rsid w:val="008E67D8"/>
    <w:rsid w:val="008F01B5"/>
    <w:rsid w:val="008F03A3"/>
    <w:rsid w:val="008F07C2"/>
    <w:rsid w:val="008F0823"/>
    <w:rsid w:val="008F0FC4"/>
    <w:rsid w:val="008F2026"/>
    <w:rsid w:val="008F278D"/>
    <w:rsid w:val="008F29F0"/>
    <w:rsid w:val="008F2BD2"/>
    <w:rsid w:val="008F34C5"/>
    <w:rsid w:val="008F5A79"/>
    <w:rsid w:val="008F5C24"/>
    <w:rsid w:val="008F605F"/>
    <w:rsid w:val="008F6C10"/>
    <w:rsid w:val="0090013D"/>
    <w:rsid w:val="0090015D"/>
    <w:rsid w:val="00900418"/>
    <w:rsid w:val="00902DFA"/>
    <w:rsid w:val="00903BDF"/>
    <w:rsid w:val="00903BEB"/>
    <w:rsid w:val="009048A9"/>
    <w:rsid w:val="009055F7"/>
    <w:rsid w:val="00906244"/>
    <w:rsid w:val="009114BD"/>
    <w:rsid w:val="00912BEE"/>
    <w:rsid w:val="00913A5A"/>
    <w:rsid w:val="00914EC9"/>
    <w:rsid w:val="00915E56"/>
    <w:rsid w:val="009166F3"/>
    <w:rsid w:val="00916840"/>
    <w:rsid w:val="00916CC6"/>
    <w:rsid w:val="009173D7"/>
    <w:rsid w:val="0092233F"/>
    <w:rsid w:val="00922F32"/>
    <w:rsid w:val="009236BC"/>
    <w:rsid w:val="00923B59"/>
    <w:rsid w:val="009259A8"/>
    <w:rsid w:val="00931C6F"/>
    <w:rsid w:val="00933517"/>
    <w:rsid w:val="00933532"/>
    <w:rsid w:val="00933C55"/>
    <w:rsid w:val="009345F1"/>
    <w:rsid w:val="009349D1"/>
    <w:rsid w:val="00935138"/>
    <w:rsid w:val="0093522B"/>
    <w:rsid w:val="00935FA7"/>
    <w:rsid w:val="009364D0"/>
    <w:rsid w:val="00941835"/>
    <w:rsid w:val="00943652"/>
    <w:rsid w:val="009447A1"/>
    <w:rsid w:val="00945043"/>
    <w:rsid w:val="00946252"/>
    <w:rsid w:val="00946DAC"/>
    <w:rsid w:val="0094716F"/>
    <w:rsid w:val="00947DF0"/>
    <w:rsid w:val="0095007D"/>
    <w:rsid w:val="009534AB"/>
    <w:rsid w:val="00955B3D"/>
    <w:rsid w:val="00957AFE"/>
    <w:rsid w:val="0096087E"/>
    <w:rsid w:val="009625E3"/>
    <w:rsid w:val="00962A90"/>
    <w:rsid w:val="00963492"/>
    <w:rsid w:val="00966D8C"/>
    <w:rsid w:val="00971D5B"/>
    <w:rsid w:val="009722EB"/>
    <w:rsid w:val="009731F5"/>
    <w:rsid w:val="0097340A"/>
    <w:rsid w:val="00974596"/>
    <w:rsid w:val="009746FD"/>
    <w:rsid w:val="00976568"/>
    <w:rsid w:val="00976BCC"/>
    <w:rsid w:val="009773E9"/>
    <w:rsid w:val="00977451"/>
    <w:rsid w:val="00977478"/>
    <w:rsid w:val="00977C39"/>
    <w:rsid w:val="009802B3"/>
    <w:rsid w:val="009807BE"/>
    <w:rsid w:val="00981490"/>
    <w:rsid w:val="00982158"/>
    <w:rsid w:val="0098250D"/>
    <w:rsid w:val="00984143"/>
    <w:rsid w:val="0098449F"/>
    <w:rsid w:val="0098483A"/>
    <w:rsid w:val="00986363"/>
    <w:rsid w:val="00986CEF"/>
    <w:rsid w:val="009877A4"/>
    <w:rsid w:val="00992E78"/>
    <w:rsid w:val="0099333C"/>
    <w:rsid w:val="00993EE7"/>
    <w:rsid w:val="00995E03"/>
    <w:rsid w:val="009A06E3"/>
    <w:rsid w:val="009A1B7F"/>
    <w:rsid w:val="009A2FEF"/>
    <w:rsid w:val="009A37CB"/>
    <w:rsid w:val="009A3894"/>
    <w:rsid w:val="009A3BB3"/>
    <w:rsid w:val="009A3DA9"/>
    <w:rsid w:val="009A46E2"/>
    <w:rsid w:val="009A682D"/>
    <w:rsid w:val="009B05E8"/>
    <w:rsid w:val="009B1623"/>
    <w:rsid w:val="009B3D65"/>
    <w:rsid w:val="009B5403"/>
    <w:rsid w:val="009B6B72"/>
    <w:rsid w:val="009B6C8C"/>
    <w:rsid w:val="009C0053"/>
    <w:rsid w:val="009C0C53"/>
    <w:rsid w:val="009C0F2E"/>
    <w:rsid w:val="009C3DDD"/>
    <w:rsid w:val="009C51A2"/>
    <w:rsid w:val="009C5A07"/>
    <w:rsid w:val="009C660A"/>
    <w:rsid w:val="009C6FB0"/>
    <w:rsid w:val="009C7403"/>
    <w:rsid w:val="009C7C77"/>
    <w:rsid w:val="009D04B0"/>
    <w:rsid w:val="009D32A6"/>
    <w:rsid w:val="009D53E5"/>
    <w:rsid w:val="009D7D18"/>
    <w:rsid w:val="009E166A"/>
    <w:rsid w:val="009E2B72"/>
    <w:rsid w:val="009E2B83"/>
    <w:rsid w:val="009E2BA7"/>
    <w:rsid w:val="009E3273"/>
    <w:rsid w:val="009E4517"/>
    <w:rsid w:val="009E721D"/>
    <w:rsid w:val="009F3110"/>
    <w:rsid w:val="009F34B8"/>
    <w:rsid w:val="009F3540"/>
    <w:rsid w:val="009F73CA"/>
    <w:rsid w:val="00A0041D"/>
    <w:rsid w:val="00A00634"/>
    <w:rsid w:val="00A042EB"/>
    <w:rsid w:val="00A04AB8"/>
    <w:rsid w:val="00A07A25"/>
    <w:rsid w:val="00A10640"/>
    <w:rsid w:val="00A144B0"/>
    <w:rsid w:val="00A1548B"/>
    <w:rsid w:val="00A220CA"/>
    <w:rsid w:val="00A23B7B"/>
    <w:rsid w:val="00A2601F"/>
    <w:rsid w:val="00A30304"/>
    <w:rsid w:val="00A31257"/>
    <w:rsid w:val="00A33362"/>
    <w:rsid w:val="00A33677"/>
    <w:rsid w:val="00A33E75"/>
    <w:rsid w:val="00A34421"/>
    <w:rsid w:val="00A34A9E"/>
    <w:rsid w:val="00A3588A"/>
    <w:rsid w:val="00A35B73"/>
    <w:rsid w:val="00A35D46"/>
    <w:rsid w:val="00A371B3"/>
    <w:rsid w:val="00A371FB"/>
    <w:rsid w:val="00A400FA"/>
    <w:rsid w:val="00A41242"/>
    <w:rsid w:val="00A42417"/>
    <w:rsid w:val="00A42EE6"/>
    <w:rsid w:val="00A44864"/>
    <w:rsid w:val="00A44FA6"/>
    <w:rsid w:val="00A44FAD"/>
    <w:rsid w:val="00A451AE"/>
    <w:rsid w:val="00A464A9"/>
    <w:rsid w:val="00A51D58"/>
    <w:rsid w:val="00A51D7A"/>
    <w:rsid w:val="00A5251F"/>
    <w:rsid w:val="00A550BB"/>
    <w:rsid w:val="00A55137"/>
    <w:rsid w:val="00A551FD"/>
    <w:rsid w:val="00A561E4"/>
    <w:rsid w:val="00A57890"/>
    <w:rsid w:val="00A60DD0"/>
    <w:rsid w:val="00A62376"/>
    <w:rsid w:val="00A6381B"/>
    <w:rsid w:val="00A66E25"/>
    <w:rsid w:val="00A67F1D"/>
    <w:rsid w:val="00A705BC"/>
    <w:rsid w:val="00A70962"/>
    <w:rsid w:val="00A710BD"/>
    <w:rsid w:val="00A74F53"/>
    <w:rsid w:val="00A75815"/>
    <w:rsid w:val="00A76B2A"/>
    <w:rsid w:val="00A803C9"/>
    <w:rsid w:val="00A81459"/>
    <w:rsid w:val="00A821DA"/>
    <w:rsid w:val="00A84D12"/>
    <w:rsid w:val="00A84E14"/>
    <w:rsid w:val="00A91850"/>
    <w:rsid w:val="00A941F9"/>
    <w:rsid w:val="00A94745"/>
    <w:rsid w:val="00A95092"/>
    <w:rsid w:val="00A97BBF"/>
    <w:rsid w:val="00AA1BB1"/>
    <w:rsid w:val="00AA1D6F"/>
    <w:rsid w:val="00AA3E60"/>
    <w:rsid w:val="00AA721F"/>
    <w:rsid w:val="00AB28A0"/>
    <w:rsid w:val="00AB3AA9"/>
    <w:rsid w:val="00AB3B71"/>
    <w:rsid w:val="00AB5451"/>
    <w:rsid w:val="00AC0337"/>
    <w:rsid w:val="00AC038A"/>
    <w:rsid w:val="00AC222F"/>
    <w:rsid w:val="00AC32CE"/>
    <w:rsid w:val="00AC3877"/>
    <w:rsid w:val="00AC44B0"/>
    <w:rsid w:val="00AC47B2"/>
    <w:rsid w:val="00AC535F"/>
    <w:rsid w:val="00AC7523"/>
    <w:rsid w:val="00AC7D9C"/>
    <w:rsid w:val="00AD168D"/>
    <w:rsid w:val="00AD1CF5"/>
    <w:rsid w:val="00AD2F7A"/>
    <w:rsid w:val="00AD3454"/>
    <w:rsid w:val="00AD4EA2"/>
    <w:rsid w:val="00AD57CE"/>
    <w:rsid w:val="00AE1866"/>
    <w:rsid w:val="00AE3D50"/>
    <w:rsid w:val="00AE4791"/>
    <w:rsid w:val="00AE4E4C"/>
    <w:rsid w:val="00AE5D16"/>
    <w:rsid w:val="00AE6BB8"/>
    <w:rsid w:val="00AE7CF8"/>
    <w:rsid w:val="00AF279C"/>
    <w:rsid w:val="00AF5561"/>
    <w:rsid w:val="00AF6AAD"/>
    <w:rsid w:val="00B01A5A"/>
    <w:rsid w:val="00B05FD2"/>
    <w:rsid w:val="00B061DA"/>
    <w:rsid w:val="00B06877"/>
    <w:rsid w:val="00B06FA9"/>
    <w:rsid w:val="00B07561"/>
    <w:rsid w:val="00B07D01"/>
    <w:rsid w:val="00B10566"/>
    <w:rsid w:val="00B1077A"/>
    <w:rsid w:val="00B10B77"/>
    <w:rsid w:val="00B1285A"/>
    <w:rsid w:val="00B17697"/>
    <w:rsid w:val="00B2301C"/>
    <w:rsid w:val="00B24A96"/>
    <w:rsid w:val="00B24F20"/>
    <w:rsid w:val="00B25479"/>
    <w:rsid w:val="00B25961"/>
    <w:rsid w:val="00B27737"/>
    <w:rsid w:val="00B3084A"/>
    <w:rsid w:val="00B311D9"/>
    <w:rsid w:val="00B319D0"/>
    <w:rsid w:val="00B326BE"/>
    <w:rsid w:val="00B32AEA"/>
    <w:rsid w:val="00B33437"/>
    <w:rsid w:val="00B335AF"/>
    <w:rsid w:val="00B337F2"/>
    <w:rsid w:val="00B347AD"/>
    <w:rsid w:val="00B34AB2"/>
    <w:rsid w:val="00B35C12"/>
    <w:rsid w:val="00B361E6"/>
    <w:rsid w:val="00B37577"/>
    <w:rsid w:val="00B425EE"/>
    <w:rsid w:val="00B441B9"/>
    <w:rsid w:val="00B447D1"/>
    <w:rsid w:val="00B467DB"/>
    <w:rsid w:val="00B46B69"/>
    <w:rsid w:val="00B470D7"/>
    <w:rsid w:val="00B5262C"/>
    <w:rsid w:val="00B53FFF"/>
    <w:rsid w:val="00B572E0"/>
    <w:rsid w:val="00B57AF6"/>
    <w:rsid w:val="00B60719"/>
    <w:rsid w:val="00B60969"/>
    <w:rsid w:val="00B60ABC"/>
    <w:rsid w:val="00B63F23"/>
    <w:rsid w:val="00B643E5"/>
    <w:rsid w:val="00B661D9"/>
    <w:rsid w:val="00B662F7"/>
    <w:rsid w:val="00B663E0"/>
    <w:rsid w:val="00B71D4E"/>
    <w:rsid w:val="00B738FD"/>
    <w:rsid w:val="00B75F7C"/>
    <w:rsid w:val="00B7657D"/>
    <w:rsid w:val="00B77BB3"/>
    <w:rsid w:val="00B80B55"/>
    <w:rsid w:val="00B8540F"/>
    <w:rsid w:val="00B87342"/>
    <w:rsid w:val="00B91B9E"/>
    <w:rsid w:val="00B9295F"/>
    <w:rsid w:val="00B939A4"/>
    <w:rsid w:val="00BA0262"/>
    <w:rsid w:val="00BA34C1"/>
    <w:rsid w:val="00BA4415"/>
    <w:rsid w:val="00BA57DB"/>
    <w:rsid w:val="00BA5D38"/>
    <w:rsid w:val="00BA6011"/>
    <w:rsid w:val="00BA7C63"/>
    <w:rsid w:val="00BB1ADB"/>
    <w:rsid w:val="00BB31A1"/>
    <w:rsid w:val="00BB6C39"/>
    <w:rsid w:val="00BB7204"/>
    <w:rsid w:val="00BB75E9"/>
    <w:rsid w:val="00BC0A7A"/>
    <w:rsid w:val="00BC2804"/>
    <w:rsid w:val="00BC35AA"/>
    <w:rsid w:val="00BC4967"/>
    <w:rsid w:val="00BC4F87"/>
    <w:rsid w:val="00BC6211"/>
    <w:rsid w:val="00BC6D6F"/>
    <w:rsid w:val="00BC74BC"/>
    <w:rsid w:val="00BD2F6F"/>
    <w:rsid w:val="00BD418A"/>
    <w:rsid w:val="00BD56B6"/>
    <w:rsid w:val="00BD76C9"/>
    <w:rsid w:val="00BD7BE2"/>
    <w:rsid w:val="00BE0327"/>
    <w:rsid w:val="00BE2336"/>
    <w:rsid w:val="00BE26FE"/>
    <w:rsid w:val="00BE56E9"/>
    <w:rsid w:val="00BE5DEF"/>
    <w:rsid w:val="00BE7550"/>
    <w:rsid w:val="00BF7432"/>
    <w:rsid w:val="00C01125"/>
    <w:rsid w:val="00C02F20"/>
    <w:rsid w:val="00C031D0"/>
    <w:rsid w:val="00C043CC"/>
    <w:rsid w:val="00C07BCE"/>
    <w:rsid w:val="00C10FFF"/>
    <w:rsid w:val="00C125D2"/>
    <w:rsid w:val="00C139AB"/>
    <w:rsid w:val="00C13D4B"/>
    <w:rsid w:val="00C149F3"/>
    <w:rsid w:val="00C14F96"/>
    <w:rsid w:val="00C15277"/>
    <w:rsid w:val="00C15AAF"/>
    <w:rsid w:val="00C21F95"/>
    <w:rsid w:val="00C22BAB"/>
    <w:rsid w:val="00C237EC"/>
    <w:rsid w:val="00C23F17"/>
    <w:rsid w:val="00C2586D"/>
    <w:rsid w:val="00C26C52"/>
    <w:rsid w:val="00C300BE"/>
    <w:rsid w:val="00C30E3F"/>
    <w:rsid w:val="00C31FCA"/>
    <w:rsid w:val="00C3243A"/>
    <w:rsid w:val="00C345D8"/>
    <w:rsid w:val="00C345DC"/>
    <w:rsid w:val="00C351FE"/>
    <w:rsid w:val="00C41A6C"/>
    <w:rsid w:val="00C4343B"/>
    <w:rsid w:val="00C45C67"/>
    <w:rsid w:val="00C4651C"/>
    <w:rsid w:val="00C46BFB"/>
    <w:rsid w:val="00C46E01"/>
    <w:rsid w:val="00C50321"/>
    <w:rsid w:val="00C513B6"/>
    <w:rsid w:val="00C51D11"/>
    <w:rsid w:val="00C534D8"/>
    <w:rsid w:val="00C53D56"/>
    <w:rsid w:val="00C54EB1"/>
    <w:rsid w:val="00C60DC6"/>
    <w:rsid w:val="00C60EB5"/>
    <w:rsid w:val="00C63BEC"/>
    <w:rsid w:val="00C65301"/>
    <w:rsid w:val="00C65EAE"/>
    <w:rsid w:val="00C6668D"/>
    <w:rsid w:val="00C67CE7"/>
    <w:rsid w:val="00C67D33"/>
    <w:rsid w:val="00C7096A"/>
    <w:rsid w:val="00C715FF"/>
    <w:rsid w:val="00C7283F"/>
    <w:rsid w:val="00C7334B"/>
    <w:rsid w:val="00C73B33"/>
    <w:rsid w:val="00C73FBB"/>
    <w:rsid w:val="00C7573E"/>
    <w:rsid w:val="00C80626"/>
    <w:rsid w:val="00C8072B"/>
    <w:rsid w:val="00C81445"/>
    <w:rsid w:val="00C8557A"/>
    <w:rsid w:val="00C85956"/>
    <w:rsid w:val="00C9325F"/>
    <w:rsid w:val="00C93956"/>
    <w:rsid w:val="00C96D97"/>
    <w:rsid w:val="00CA05C8"/>
    <w:rsid w:val="00CA077E"/>
    <w:rsid w:val="00CA1110"/>
    <w:rsid w:val="00CA14AB"/>
    <w:rsid w:val="00CA2766"/>
    <w:rsid w:val="00CA4C24"/>
    <w:rsid w:val="00CA5B77"/>
    <w:rsid w:val="00CA7E81"/>
    <w:rsid w:val="00CB039F"/>
    <w:rsid w:val="00CB130B"/>
    <w:rsid w:val="00CB20A6"/>
    <w:rsid w:val="00CB3FD5"/>
    <w:rsid w:val="00CB562D"/>
    <w:rsid w:val="00CB5A90"/>
    <w:rsid w:val="00CB65D1"/>
    <w:rsid w:val="00CB72A0"/>
    <w:rsid w:val="00CC2C25"/>
    <w:rsid w:val="00CC3DC4"/>
    <w:rsid w:val="00CC538E"/>
    <w:rsid w:val="00CC6E45"/>
    <w:rsid w:val="00CC7F6D"/>
    <w:rsid w:val="00CD0210"/>
    <w:rsid w:val="00CD10FB"/>
    <w:rsid w:val="00CD1646"/>
    <w:rsid w:val="00CD311B"/>
    <w:rsid w:val="00CD60B6"/>
    <w:rsid w:val="00CD6EF8"/>
    <w:rsid w:val="00CD6FE6"/>
    <w:rsid w:val="00CD74B5"/>
    <w:rsid w:val="00CD7D9E"/>
    <w:rsid w:val="00CE304A"/>
    <w:rsid w:val="00CE515C"/>
    <w:rsid w:val="00CE5E1D"/>
    <w:rsid w:val="00CF0BDF"/>
    <w:rsid w:val="00CF1A29"/>
    <w:rsid w:val="00CF3A41"/>
    <w:rsid w:val="00CF4873"/>
    <w:rsid w:val="00CF55B8"/>
    <w:rsid w:val="00CF57FE"/>
    <w:rsid w:val="00CF5BA8"/>
    <w:rsid w:val="00CF5FDA"/>
    <w:rsid w:val="00D00C07"/>
    <w:rsid w:val="00D02572"/>
    <w:rsid w:val="00D029D7"/>
    <w:rsid w:val="00D04095"/>
    <w:rsid w:val="00D059D0"/>
    <w:rsid w:val="00D05DBB"/>
    <w:rsid w:val="00D07BEE"/>
    <w:rsid w:val="00D07C49"/>
    <w:rsid w:val="00D1721C"/>
    <w:rsid w:val="00D21ABE"/>
    <w:rsid w:val="00D2217A"/>
    <w:rsid w:val="00D22EDA"/>
    <w:rsid w:val="00D24C7F"/>
    <w:rsid w:val="00D257A1"/>
    <w:rsid w:val="00D26792"/>
    <w:rsid w:val="00D269F2"/>
    <w:rsid w:val="00D313C6"/>
    <w:rsid w:val="00D316EC"/>
    <w:rsid w:val="00D3174F"/>
    <w:rsid w:val="00D350FF"/>
    <w:rsid w:val="00D36EA2"/>
    <w:rsid w:val="00D37311"/>
    <w:rsid w:val="00D41337"/>
    <w:rsid w:val="00D428CA"/>
    <w:rsid w:val="00D43228"/>
    <w:rsid w:val="00D44370"/>
    <w:rsid w:val="00D44D08"/>
    <w:rsid w:val="00D4519E"/>
    <w:rsid w:val="00D5017A"/>
    <w:rsid w:val="00D51504"/>
    <w:rsid w:val="00D51B38"/>
    <w:rsid w:val="00D52C92"/>
    <w:rsid w:val="00D5314A"/>
    <w:rsid w:val="00D548DA"/>
    <w:rsid w:val="00D55426"/>
    <w:rsid w:val="00D56596"/>
    <w:rsid w:val="00D576F2"/>
    <w:rsid w:val="00D600CC"/>
    <w:rsid w:val="00D60139"/>
    <w:rsid w:val="00D60EEC"/>
    <w:rsid w:val="00D6128A"/>
    <w:rsid w:val="00D61CBD"/>
    <w:rsid w:val="00D654FF"/>
    <w:rsid w:val="00D65730"/>
    <w:rsid w:val="00D7068D"/>
    <w:rsid w:val="00D714EE"/>
    <w:rsid w:val="00D75AE0"/>
    <w:rsid w:val="00D76B9E"/>
    <w:rsid w:val="00D76C12"/>
    <w:rsid w:val="00D77799"/>
    <w:rsid w:val="00D77F62"/>
    <w:rsid w:val="00D80C8C"/>
    <w:rsid w:val="00D82B72"/>
    <w:rsid w:val="00D86221"/>
    <w:rsid w:val="00D86892"/>
    <w:rsid w:val="00D86F1E"/>
    <w:rsid w:val="00D872D7"/>
    <w:rsid w:val="00D87AE5"/>
    <w:rsid w:val="00D90EAE"/>
    <w:rsid w:val="00D93DCA"/>
    <w:rsid w:val="00D93FE3"/>
    <w:rsid w:val="00D94FCB"/>
    <w:rsid w:val="00D950EC"/>
    <w:rsid w:val="00D95B33"/>
    <w:rsid w:val="00DA08F9"/>
    <w:rsid w:val="00DA395E"/>
    <w:rsid w:val="00DA595C"/>
    <w:rsid w:val="00DA7FCC"/>
    <w:rsid w:val="00DB400F"/>
    <w:rsid w:val="00DB42FC"/>
    <w:rsid w:val="00DB4871"/>
    <w:rsid w:val="00DB4DE3"/>
    <w:rsid w:val="00DB5DAE"/>
    <w:rsid w:val="00DB6186"/>
    <w:rsid w:val="00DB6A58"/>
    <w:rsid w:val="00DB6D2D"/>
    <w:rsid w:val="00DB7E65"/>
    <w:rsid w:val="00DC0A4C"/>
    <w:rsid w:val="00DC30A4"/>
    <w:rsid w:val="00DC340F"/>
    <w:rsid w:val="00DC3A42"/>
    <w:rsid w:val="00DC3FF4"/>
    <w:rsid w:val="00DC442C"/>
    <w:rsid w:val="00DC485F"/>
    <w:rsid w:val="00DC6C9B"/>
    <w:rsid w:val="00DC7728"/>
    <w:rsid w:val="00DD3558"/>
    <w:rsid w:val="00DD3657"/>
    <w:rsid w:val="00DD3F25"/>
    <w:rsid w:val="00DD506D"/>
    <w:rsid w:val="00DD596F"/>
    <w:rsid w:val="00DD5AB3"/>
    <w:rsid w:val="00DD6150"/>
    <w:rsid w:val="00DD6B74"/>
    <w:rsid w:val="00DE21D5"/>
    <w:rsid w:val="00DE2A75"/>
    <w:rsid w:val="00DE34B3"/>
    <w:rsid w:val="00DE3D5D"/>
    <w:rsid w:val="00DE4266"/>
    <w:rsid w:val="00DE5054"/>
    <w:rsid w:val="00DE577A"/>
    <w:rsid w:val="00DE5DBA"/>
    <w:rsid w:val="00DE6614"/>
    <w:rsid w:val="00DE6D70"/>
    <w:rsid w:val="00DF2A04"/>
    <w:rsid w:val="00DF2B12"/>
    <w:rsid w:val="00DF2D70"/>
    <w:rsid w:val="00DF2F53"/>
    <w:rsid w:val="00DF37E9"/>
    <w:rsid w:val="00DF4CBC"/>
    <w:rsid w:val="00DF599B"/>
    <w:rsid w:val="00DF780A"/>
    <w:rsid w:val="00E002EC"/>
    <w:rsid w:val="00E00ECC"/>
    <w:rsid w:val="00E015AF"/>
    <w:rsid w:val="00E037FC"/>
    <w:rsid w:val="00E03B09"/>
    <w:rsid w:val="00E04226"/>
    <w:rsid w:val="00E05167"/>
    <w:rsid w:val="00E10CD6"/>
    <w:rsid w:val="00E10D33"/>
    <w:rsid w:val="00E11581"/>
    <w:rsid w:val="00E11877"/>
    <w:rsid w:val="00E12213"/>
    <w:rsid w:val="00E132CB"/>
    <w:rsid w:val="00E14D24"/>
    <w:rsid w:val="00E16F57"/>
    <w:rsid w:val="00E22C99"/>
    <w:rsid w:val="00E22D88"/>
    <w:rsid w:val="00E24B7B"/>
    <w:rsid w:val="00E271B5"/>
    <w:rsid w:val="00E27C68"/>
    <w:rsid w:val="00E310EE"/>
    <w:rsid w:val="00E3196B"/>
    <w:rsid w:val="00E325BC"/>
    <w:rsid w:val="00E3425A"/>
    <w:rsid w:val="00E359EE"/>
    <w:rsid w:val="00E40729"/>
    <w:rsid w:val="00E411EE"/>
    <w:rsid w:val="00E413A7"/>
    <w:rsid w:val="00E4480B"/>
    <w:rsid w:val="00E46117"/>
    <w:rsid w:val="00E505B4"/>
    <w:rsid w:val="00E505E8"/>
    <w:rsid w:val="00E51B9C"/>
    <w:rsid w:val="00E548C0"/>
    <w:rsid w:val="00E54CD5"/>
    <w:rsid w:val="00E568B1"/>
    <w:rsid w:val="00E56F60"/>
    <w:rsid w:val="00E617B3"/>
    <w:rsid w:val="00E655A2"/>
    <w:rsid w:val="00E712C0"/>
    <w:rsid w:val="00E71363"/>
    <w:rsid w:val="00E71794"/>
    <w:rsid w:val="00E74DCF"/>
    <w:rsid w:val="00E74EC8"/>
    <w:rsid w:val="00E7591B"/>
    <w:rsid w:val="00E7596A"/>
    <w:rsid w:val="00E75BD7"/>
    <w:rsid w:val="00E77327"/>
    <w:rsid w:val="00E82B41"/>
    <w:rsid w:val="00E85D7B"/>
    <w:rsid w:val="00E9164F"/>
    <w:rsid w:val="00E91A96"/>
    <w:rsid w:val="00E95861"/>
    <w:rsid w:val="00EA067C"/>
    <w:rsid w:val="00EA23A0"/>
    <w:rsid w:val="00EA4A91"/>
    <w:rsid w:val="00EA7465"/>
    <w:rsid w:val="00EA7EA0"/>
    <w:rsid w:val="00EB023A"/>
    <w:rsid w:val="00EB1577"/>
    <w:rsid w:val="00EB282F"/>
    <w:rsid w:val="00EB2D23"/>
    <w:rsid w:val="00EB3D9F"/>
    <w:rsid w:val="00EB3EAB"/>
    <w:rsid w:val="00EB470F"/>
    <w:rsid w:val="00EB4BBE"/>
    <w:rsid w:val="00EB559D"/>
    <w:rsid w:val="00EB6BD5"/>
    <w:rsid w:val="00EB7D44"/>
    <w:rsid w:val="00EC1BDC"/>
    <w:rsid w:val="00EC4888"/>
    <w:rsid w:val="00EC4A46"/>
    <w:rsid w:val="00EC61D7"/>
    <w:rsid w:val="00EC703F"/>
    <w:rsid w:val="00EC705E"/>
    <w:rsid w:val="00ED274C"/>
    <w:rsid w:val="00ED3907"/>
    <w:rsid w:val="00ED4ECE"/>
    <w:rsid w:val="00ED53AE"/>
    <w:rsid w:val="00ED576A"/>
    <w:rsid w:val="00ED5D07"/>
    <w:rsid w:val="00ED7560"/>
    <w:rsid w:val="00ED758B"/>
    <w:rsid w:val="00EE0B11"/>
    <w:rsid w:val="00EE1FF5"/>
    <w:rsid w:val="00EE34F8"/>
    <w:rsid w:val="00EE3FEF"/>
    <w:rsid w:val="00EE4B23"/>
    <w:rsid w:val="00EE5C1F"/>
    <w:rsid w:val="00EE6D33"/>
    <w:rsid w:val="00EF0AFF"/>
    <w:rsid w:val="00EF2534"/>
    <w:rsid w:val="00EF28F7"/>
    <w:rsid w:val="00EF402C"/>
    <w:rsid w:val="00EF5680"/>
    <w:rsid w:val="00EF7A5D"/>
    <w:rsid w:val="00F049F9"/>
    <w:rsid w:val="00F057AC"/>
    <w:rsid w:val="00F0625F"/>
    <w:rsid w:val="00F064F7"/>
    <w:rsid w:val="00F06D12"/>
    <w:rsid w:val="00F1179A"/>
    <w:rsid w:val="00F117A3"/>
    <w:rsid w:val="00F11960"/>
    <w:rsid w:val="00F11A91"/>
    <w:rsid w:val="00F14E45"/>
    <w:rsid w:val="00F1553A"/>
    <w:rsid w:val="00F15D5E"/>
    <w:rsid w:val="00F162EA"/>
    <w:rsid w:val="00F174A9"/>
    <w:rsid w:val="00F2020A"/>
    <w:rsid w:val="00F21B6F"/>
    <w:rsid w:val="00F24420"/>
    <w:rsid w:val="00F255D6"/>
    <w:rsid w:val="00F25A48"/>
    <w:rsid w:val="00F27FD6"/>
    <w:rsid w:val="00F30473"/>
    <w:rsid w:val="00F30553"/>
    <w:rsid w:val="00F30D88"/>
    <w:rsid w:val="00F313E0"/>
    <w:rsid w:val="00F322CC"/>
    <w:rsid w:val="00F32DE4"/>
    <w:rsid w:val="00F33A33"/>
    <w:rsid w:val="00F35C49"/>
    <w:rsid w:val="00F36CB8"/>
    <w:rsid w:val="00F40C89"/>
    <w:rsid w:val="00F41BBB"/>
    <w:rsid w:val="00F4419C"/>
    <w:rsid w:val="00F4478E"/>
    <w:rsid w:val="00F44869"/>
    <w:rsid w:val="00F44C17"/>
    <w:rsid w:val="00F45C57"/>
    <w:rsid w:val="00F460A6"/>
    <w:rsid w:val="00F467D5"/>
    <w:rsid w:val="00F46EA4"/>
    <w:rsid w:val="00F524F4"/>
    <w:rsid w:val="00F55B76"/>
    <w:rsid w:val="00F5620F"/>
    <w:rsid w:val="00F60C4E"/>
    <w:rsid w:val="00F61E4C"/>
    <w:rsid w:val="00F6256D"/>
    <w:rsid w:val="00F62750"/>
    <w:rsid w:val="00F62FAE"/>
    <w:rsid w:val="00F630A0"/>
    <w:rsid w:val="00F63165"/>
    <w:rsid w:val="00F654EA"/>
    <w:rsid w:val="00F66C32"/>
    <w:rsid w:val="00F6705D"/>
    <w:rsid w:val="00F6762B"/>
    <w:rsid w:val="00F700E4"/>
    <w:rsid w:val="00F70B3B"/>
    <w:rsid w:val="00F713C9"/>
    <w:rsid w:val="00F7155E"/>
    <w:rsid w:val="00F7164B"/>
    <w:rsid w:val="00F74402"/>
    <w:rsid w:val="00F74DD6"/>
    <w:rsid w:val="00F75D10"/>
    <w:rsid w:val="00F75E13"/>
    <w:rsid w:val="00F76DF2"/>
    <w:rsid w:val="00F80677"/>
    <w:rsid w:val="00F80DAF"/>
    <w:rsid w:val="00F80EBD"/>
    <w:rsid w:val="00F84A1F"/>
    <w:rsid w:val="00F85F83"/>
    <w:rsid w:val="00F85F9E"/>
    <w:rsid w:val="00F868F0"/>
    <w:rsid w:val="00F8740C"/>
    <w:rsid w:val="00F87EB5"/>
    <w:rsid w:val="00F904E9"/>
    <w:rsid w:val="00F90F7B"/>
    <w:rsid w:val="00F913D4"/>
    <w:rsid w:val="00F914EB"/>
    <w:rsid w:val="00F918BA"/>
    <w:rsid w:val="00F92A19"/>
    <w:rsid w:val="00F93A45"/>
    <w:rsid w:val="00F94DCB"/>
    <w:rsid w:val="00FA022C"/>
    <w:rsid w:val="00FA0938"/>
    <w:rsid w:val="00FA176E"/>
    <w:rsid w:val="00FA18F8"/>
    <w:rsid w:val="00FA5107"/>
    <w:rsid w:val="00FA71BF"/>
    <w:rsid w:val="00FB0C2D"/>
    <w:rsid w:val="00FB15EF"/>
    <w:rsid w:val="00FB254C"/>
    <w:rsid w:val="00FB2E5A"/>
    <w:rsid w:val="00FB3082"/>
    <w:rsid w:val="00FB34B8"/>
    <w:rsid w:val="00FB479C"/>
    <w:rsid w:val="00FB4BC2"/>
    <w:rsid w:val="00FC0384"/>
    <w:rsid w:val="00FC0FA7"/>
    <w:rsid w:val="00FC29F3"/>
    <w:rsid w:val="00FC3D0D"/>
    <w:rsid w:val="00FC65B9"/>
    <w:rsid w:val="00FD101E"/>
    <w:rsid w:val="00FD292F"/>
    <w:rsid w:val="00FD48F4"/>
    <w:rsid w:val="00FD5A7E"/>
    <w:rsid w:val="00FD5E30"/>
    <w:rsid w:val="00FD6D06"/>
    <w:rsid w:val="00FD7FC1"/>
    <w:rsid w:val="00FE38F5"/>
    <w:rsid w:val="00FE517B"/>
    <w:rsid w:val="00FE71C6"/>
    <w:rsid w:val="00FE7BCF"/>
    <w:rsid w:val="00FF02B5"/>
    <w:rsid w:val="00FF1A6A"/>
    <w:rsid w:val="00FF1D07"/>
    <w:rsid w:val="00FF3752"/>
    <w:rsid w:val="00FF3A7F"/>
    <w:rsid w:val="00FF3FEF"/>
    <w:rsid w:val="00FF4180"/>
    <w:rsid w:val="00FF6563"/>
    <w:rsid w:val="00FF6A33"/>
    <w:rsid w:val="00FF76B9"/>
    <w:rsid w:val="00FF7ACD"/>
    <w:rsid w:val="00FF7E63"/>
    <w:rsid w:val="020B6F5F"/>
    <w:rsid w:val="0267FD24"/>
    <w:rsid w:val="0300368F"/>
    <w:rsid w:val="0403CD85"/>
    <w:rsid w:val="042CE762"/>
    <w:rsid w:val="04703250"/>
    <w:rsid w:val="048FAE08"/>
    <w:rsid w:val="0511A894"/>
    <w:rsid w:val="0698DF53"/>
    <w:rsid w:val="07AA4F97"/>
    <w:rsid w:val="083DD739"/>
    <w:rsid w:val="088F1258"/>
    <w:rsid w:val="0995C94C"/>
    <w:rsid w:val="099AD716"/>
    <w:rsid w:val="09C24ACA"/>
    <w:rsid w:val="09FD75F8"/>
    <w:rsid w:val="0A0D8A96"/>
    <w:rsid w:val="0A292160"/>
    <w:rsid w:val="0ACBB19D"/>
    <w:rsid w:val="0ADF73D4"/>
    <w:rsid w:val="0B140BCB"/>
    <w:rsid w:val="0BB6E880"/>
    <w:rsid w:val="0C4CB31C"/>
    <w:rsid w:val="0CF0C576"/>
    <w:rsid w:val="0D2B3F29"/>
    <w:rsid w:val="0D84B3F9"/>
    <w:rsid w:val="0D9BE146"/>
    <w:rsid w:val="0E1E9D20"/>
    <w:rsid w:val="0E4BDC3A"/>
    <w:rsid w:val="0FAD9978"/>
    <w:rsid w:val="0FE6DADE"/>
    <w:rsid w:val="10315C20"/>
    <w:rsid w:val="1228FF54"/>
    <w:rsid w:val="1267C665"/>
    <w:rsid w:val="13BC41E6"/>
    <w:rsid w:val="13C4CFB5"/>
    <w:rsid w:val="14650180"/>
    <w:rsid w:val="14D0833F"/>
    <w:rsid w:val="1626C0B8"/>
    <w:rsid w:val="16895C9C"/>
    <w:rsid w:val="16D2216F"/>
    <w:rsid w:val="176B64E1"/>
    <w:rsid w:val="190AF297"/>
    <w:rsid w:val="193875E7"/>
    <w:rsid w:val="19E0478D"/>
    <w:rsid w:val="1A2B8A99"/>
    <w:rsid w:val="1A723CC9"/>
    <w:rsid w:val="1A8A6263"/>
    <w:rsid w:val="1A93EBE2"/>
    <w:rsid w:val="1AB8EEA6"/>
    <w:rsid w:val="1AF43987"/>
    <w:rsid w:val="1B1AB969"/>
    <w:rsid w:val="1B6A636F"/>
    <w:rsid w:val="1B9EEB8B"/>
    <w:rsid w:val="1D0633D0"/>
    <w:rsid w:val="1E063616"/>
    <w:rsid w:val="1E70855E"/>
    <w:rsid w:val="1ED83680"/>
    <w:rsid w:val="1F02BE0D"/>
    <w:rsid w:val="1FCD1BE6"/>
    <w:rsid w:val="2005EB8A"/>
    <w:rsid w:val="2006DD6B"/>
    <w:rsid w:val="20208E77"/>
    <w:rsid w:val="20EF0838"/>
    <w:rsid w:val="215EF9AE"/>
    <w:rsid w:val="21731A03"/>
    <w:rsid w:val="226ADC80"/>
    <w:rsid w:val="2294FF0C"/>
    <w:rsid w:val="22EF6EAC"/>
    <w:rsid w:val="23BA83A6"/>
    <w:rsid w:val="23F8D931"/>
    <w:rsid w:val="25F852F4"/>
    <w:rsid w:val="27CAF642"/>
    <w:rsid w:val="2841483F"/>
    <w:rsid w:val="28720484"/>
    <w:rsid w:val="28A36A81"/>
    <w:rsid w:val="28EB8800"/>
    <w:rsid w:val="28FB9FBF"/>
    <w:rsid w:val="290D9DEF"/>
    <w:rsid w:val="29EDF04B"/>
    <w:rsid w:val="2A7080FF"/>
    <w:rsid w:val="2A7F13DA"/>
    <w:rsid w:val="2AA96E50"/>
    <w:rsid w:val="2B25E959"/>
    <w:rsid w:val="2B53B08B"/>
    <w:rsid w:val="2B6A1D30"/>
    <w:rsid w:val="2B6AB693"/>
    <w:rsid w:val="2BEDF2EA"/>
    <w:rsid w:val="2C308323"/>
    <w:rsid w:val="2CC1B9BA"/>
    <w:rsid w:val="2CDF9C70"/>
    <w:rsid w:val="2F4B982F"/>
    <w:rsid w:val="3009D485"/>
    <w:rsid w:val="30181ED9"/>
    <w:rsid w:val="30FDD5ED"/>
    <w:rsid w:val="313256C4"/>
    <w:rsid w:val="31576708"/>
    <w:rsid w:val="315BA346"/>
    <w:rsid w:val="31F9782E"/>
    <w:rsid w:val="327ADB4A"/>
    <w:rsid w:val="32A8079D"/>
    <w:rsid w:val="32FBA6A9"/>
    <w:rsid w:val="33059276"/>
    <w:rsid w:val="3330FB3E"/>
    <w:rsid w:val="33E3ECAA"/>
    <w:rsid w:val="33EE989A"/>
    <w:rsid w:val="3469F074"/>
    <w:rsid w:val="347E6CD2"/>
    <w:rsid w:val="35162EA8"/>
    <w:rsid w:val="355E1621"/>
    <w:rsid w:val="35D33675"/>
    <w:rsid w:val="36B5C2DB"/>
    <w:rsid w:val="3718477D"/>
    <w:rsid w:val="3818F248"/>
    <w:rsid w:val="38270F21"/>
    <w:rsid w:val="39159AC6"/>
    <w:rsid w:val="39298A0D"/>
    <w:rsid w:val="3A5B1C8D"/>
    <w:rsid w:val="3ABB78DC"/>
    <w:rsid w:val="3ACB8CA9"/>
    <w:rsid w:val="3AF55A1C"/>
    <w:rsid w:val="3BF0E243"/>
    <w:rsid w:val="3CB46242"/>
    <w:rsid w:val="3D020DAF"/>
    <w:rsid w:val="3D158083"/>
    <w:rsid w:val="3D1D8947"/>
    <w:rsid w:val="3D25045F"/>
    <w:rsid w:val="3D500F87"/>
    <w:rsid w:val="3E7EEA83"/>
    <w:rsid w:val="3F289C2A"/>
    <w:rsid w:val="405ACC25"/>
    <w:rsid w:val="40604EC1"/>
    <w:rsid w:val="41A05EA9"/>
    <w:rsid w:val="428FE2FB"/>
    <w:rsid w:val="429718E7"/>
    <w:rsid w:val="4323A3C6"/>
    <w:rsid w:val="43908307"/>
    <w:rsid w:val="43934065"/>
    <w:rsid w:val="43B12E49"/>
    <w:rsid w:val="440B78E5"/>
    <w:rsid w:val="4489B67B"/>
    <w:rsid w:val="44CC862C"/>
    <w:rsid w:val="45D8B9CB"/>
    <w:rsid w:val="45EFC19E"/>
    <w:rsid w:val="45F2048B"/>
    <w:rsid w:val="46017AA4"/>
    <w:rsid w:val="4618CF8D"/>
    <w:rsid w:val="463D37CB"/>
    <w:rsid w:val="478CDA4B"/>
    <w:rsid w:val="47A8CF05"/>
    <w:rsid w:val="48F36D68"/>
    <w:rsid w:val="4957D584"/>
    <w:rsid w:val="496C625A"/>
    <w:rsid w:val="4992E54A"/>
    <w:rsid w:val="49B1A260"/>
    <w:rsid w:val="4A90FB22"/>
    <w:rsid w:val="4AA86F1F"/>
    <w:rsid w:val="4AAEB701"/>
    <w:rsid w:val="4C488C2C"/>
    <w:rsid w:val="4C6426C5"/>
    <w:rsid w:val="4C765850"/>
    <w:rsid w:val="4D333659"/>
    <w:rsid w:val="4E854134"/>
    <w:rsid w:val="4E91CEC8"/>
    <w:rsid w:val="4EDD0208"/>
    <w:rsid w:val="4F20362A"/>
    <w:rsid w:val="4F428064"/>
    <w:rsid w:val="5044249F"/>
    <w:rsid w:val="5166A070"/>
    <w:rsid w:val="51AB6CAA"/>
    <w:rsid w:val="5278691C"/>
    <w:rsid w:val="52C0900E"/>
    <w:rsid w:val="5363A705"/>
    <w:rsid w:val="53EA69BC"/>
    <w:rsid w:val="548B4F73"/>
    <w:rsid w:val="55137D39"/>
    <w:rsid w:val="556BF425"/>
    <w:rsid w:val="5579EA69"/>
    <w:rsid w:val="562D7D32"/>
    <w:rsid w:val="563BA5D4"/>
    <w:rsid w:val="567F5454"/>
    <w:rsid w:val="571B1C96"/>
    <w:rsid w:val="573B207A"/>
    <w:rsid w:val="575030CD"/>
    <w:rsid w:val="57C04EA5"/>
    <w:rsid w:val="581A1D86"/>
    <w:rsid w:val="58A4698C"/>
    <w:rsid w:val="58C71122"/>
    <w:rsid w:val="5A2FF276"/>
    <w:rsid w:val="5AB6F772"/>
    <w:rsid w:val="5AF7EF67"/>
    <w:rsid w:val="5AFF280B"/>
    <w:rsid w:val="5C0E129E"/>
    <w:rsid w:val="5CDAFE65"/>
    <w:rsid w:val="5D20805B"/>
    <w:rsid w:val="5D50F76D"/>
    <w:rsid w:val="5D816136"/>
    <w:rsid w:val="5DA49894"/>
    <w:rsid w:val="5DBFD99F"/>
    <w:rsid w:val="5ED187A5"/>
    <w:rsid w:val="60072D0A"/>
    <w:rsid w:val="62549E2E"/>
    <w:rsid w:val="628A9E20"/>
    <w:rsid w:val="629FC535"/>
    <w:rsid w:val="62A3EC75"/>
    <w:rsid w:val="62A943C5"/>
    <w:rsid w:val="62BD62A7"/>
    <w:rsid w:val="62D7DB60"/>
    <w:rsid w:val="6368FF8B"/>
    <w:rsid w:val="63E2EE1F"/>
    <w:rsid w:val="64024036"/>
    <w:rsid w:val="643986C6"/>
    <w:rsid w:val="64E800C5"/>
    <w:rsid w:val="65AD2DF4"/>
    <w:rsid w:val="666DC36E"/>
    <w:rsid w:val="669D4F05"/>
    <w:rsid w:val="669F91F2"/>
    <w:rsid w:val="6748AE2E"/>
    <w:rsid w:val="68608FDE"/>
    <w:rsid w:val="68A99F93"/>
    <w:rsid w:val="695BE722"/>
    <w:rsid w:val="695D2EAC"/>
    <w:rsid w:val="69C328EA"/>
    <w:rsid w:val="69CB46C5"/>
    <w:rsid w:val="69F5E7EB"/>
    <w:rsid w:val="69FE4592"/>
    <w:rsid w:val="6A809F17"/>
    <w:rsid w:val="6A850AE3"/>
    <w:rsid w:val="6AFEAEF3"/>
    <w:rsid w:val="6BE14055"/>
    <w:rsid w:val="6C3A82F1"/>
    <w:rsid w:val="6CD459D2"/>
    <w:rsid w:val="6D710FB8"/>
    <w:rsid w:val="6E2770A0"/>
    <w:rsid w:val="6E3C95AA"/>
    <w:rsid w:val="6EA23524"/>
    <w:rsid w:val="6ED48610"/>
    <w:rsid w:val="6EEF1098"/>
    <w:rsid w:val="6F204E89"/>
    <w:rsid w:val="6F54103A"/>
    <w:rsid w:val="7088C534"/>
    <w:rsid w:val="709635AB"/>
    <w:rsid w:val="70C50750"/>
    <w:rsid w:val="7149AA9C"/>
    <w:rsid w:val="7245C1F5"/>
    <w:rsid w:val="724D04AB"/>
    <w:rsid w:val="7268ECD2"/>
    <w:rsid w:val="7286D86E"/>
    <w:rsid w:val="72F802B1"/>
    <w:rsid w:val="7304409F"/>
    <w:rsid w:val="7350E2D3"/>
    <w:rsid w:val="7355D470"/>
    <w:rsid w:val="73E75973"/>
    <w:rsid w:val="74683F5C"/>
    <w:rsid w:val="747AEA37"/>
    <w:rsid w:val="74911DF8"/>
    <w:rsid w:val="75F63514"/>
    <w:rsid w:val="76374990"/>
    <w:rsid w:val="765146E2"/>
    <w:rsid w:val="768224DD"/>
    <w:rsid w:val="76D2B93E"/>
    <w:rsid w:val="76DBFCFF"/>
    <w:rsid w:val="76E27D79"/>
    <w:rsid w:val="77670FA5"/>
    <w:rsid w:val="77A04D16"/>
    <w:rsid w:val="78107DD9"/>
    <w:rsid w:val="781A5C64"/>
    <w:rsid w:val="7823294E"/>
    <w:rsid w:val="78681BF8"/>
    <w:rsid w:val="78D3AE59"/>
    <w:rsid w:val="78D94087"/>
    <w:rsid w:val="795E6CB3"/>
    <w:rsid w:val="798EBBED"/>
    <w:rsid w:val="79AC4E3A"/>
    <w:rsid w:val="7A210EA7"/>
    <w:rsid w:val="7AE4F4EB"/>
    <w:rsid w:val="7B187021"/>
    <w:rsid w:val="7B481E9B"/>
    <w:rsid w:val="7C671B14"/>
    <w:rsid w:val="7C8D62B7"/>
    <w:rsid w:val="7D026996"/>
    <w:rsid w:val="7D2E43BB"/>
    <w:rsid w:val="7D3EB7F6"/>
    <w:rsid w:val="7D5A0EB3"/>
    <w:rsid w:val="7DADE9F9"/>
    <w:rsid w:val="7DE007C1"/>
    <w:rsid w:val="7E365487"/>
    <w:rsid w:val="7E4A9CE6"/>
    <w:rsid w:val="7E5D287D"/>
    <w:rsid w:val="7F38A7FA"/>
    <w:rsid w:val="7FBA176E"/>
    <w:rsid w:val="7FC50379"/>
    <w:rsid w:val="7FD149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763E12"/>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FA"/>
    <w:pPr>
      <w:spacing w:line="240" w:lineRule="auto"/>
      <w:contextualSpacing/>
    </w:pPr>
    <w:rPr>
      <w:rFonts w:ascii="Bookman Old Style" w:hAnsi="Bookman Old Style"/>
      <w:sz w:val="24"/>
    </w:rPr>
  </w:style>
  <w:style w:type="paragraph" w:styleId="Ttulo1">
    <w:name w:val="heading 1"/>
    <w:aliases w:val="ANEXO"/>
    <w:basedOn w:val="Normal"/>
    <w:next w:val="Normal"/>
    <w:link w:val="Ttulo1Car"/>
    <w:qFormat/>
    <w:rsid w:val="005C1BCA"/>
    <w:pPr>
      <w:keepNext/>
      <w:spacing w:after="0"/>
      <w:ind w:left="567"/>
      <w:jc w:val="center"/>
      <w:outlineLvl w:val="0"/>
    </w:pPr>
    <w:rPr>
      <w:rFonts w:ascii="CG Times" w:eastAsia="Times New Roman" w:hAnsi="CG Times" w:cs="Times New Roman"/>
      <w:b/>
      <w:szCs w:val="20"/>
      <w:lang w:eastAsia="es-ES"/>
    </w:rPr>
  </w:style>
  <w:style w:type="paragraph" w:styleId="Ttulo2">
    <w:name w:val="heading 2"/>
    <w:basedOn w:val="Normal"/>
    <w:next w:val="Normal"/>
    <w:link w:val="Ttulo2Car"/>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5C1BCA"/>
    <w:pPr>
      <w:keepNext/>
      <w:spacing w:after="0"/>
      <w:ind w:left="567"/>
      <w:jc w:val="center"/>
      <w:outlineLvl w:val="2"/>
    </w:pPr>
    <w:rPr>
      <w:rFonts w:ascii="CG Times" w:eastAsia="Times New Roman" w:hAnsi="CG Times" w:cs="Times New Roman"/>
      <w:b/>
      <w:snapToGrid w:val="0"/>
      <w:color w:val="000000"/>
      <w:szCs w:val="20"/>
      <w:lang w:val="es-ES_tradnl" w:eastAsia="es-ES"/>
    </w:rPr>
  </w:style>
  <w:style w:type="paragraph" w:styleId="Ttulo4">
    <w:name w:val="heading 4"/>
    <w:basedOn w:val="Normal"/>
    <w:next w:val="Normal"/>
    <w:link w:val="Ttulo4Car"/>
    <w:qFormat/>
    <w:rsid w:val="005C1BCA"/>
    <w:pPr>
      <w:keepNext/>
      <w:spacing w:after="0"/>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iPriority w:val="9"/>
    <w:unhideWhenUsed/>
    <w:qFormat/>
    <w:rsid w:val="005C1BCA"/>
    <w:pPr>
      <w:spacing w:before="240" w:after="60"/>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unhideWhenUsed/>
    <w:qFormat/>
    <w:rsid w:val="005C1BCA"/>
    <w:pPr>
      <w:spacing w:before="240" w:after="60"/>
      <w:ind w:left="567"/>
      <w:outlineLvl w:val="6"/>
    </w:pPr>
    <w:rPr>
      <w:rFonts w:ascii="Calibri" w:eastAsia="Times New Roman" w:hAnsi="Calibri" w:cs="Times New Roman"/>
      <w:szCs w:val="24"/>
      <w:lang w:val="es-ES" w:eastAsia="es-ES"/>
    </w:rPr>
  </w:style>
  <w:style w:type="paragraph" w:styleId="Ttulo8">
    <w:name w:val="heading 8"/>
    <w:basedOn w:val="Normal"/>
    <w:next w:val="Normal"/>
    <w:link w:val="Ttulo8Car"/>
    <w:uiPriority w:val="9"/>
    <w:qFormat/>
    <w:rsid w:val="00E015AF"/>
    <w:pPr>
      <w:keepNext/>
      <w:spacing w:before="160" w:after="160"/>
      <w:ind w:left="1440" w:hanging="1440"/>
      <w:contextualSpacing w:val="0"/>
      <w:jc w:val="center"/>
      <w:outlineLvl w:val="7"/>
    </w:pPr>
    <w:rPr>
      <w:rFonts w:ascii="Arial" w:eastAsia="Times New Roman" w:hAnsi="Arial" w:cs="Arial"/>
      <w:b/>
      <w:sz w:val="22"/>
      <w:szCs w:val="20"/>
      <w:lang w:eastAsia="es-ES"/>
    </w:rPr>
  </w:style>
  <w:style w:type="paragraph" w:styleId="Ttulo9">
    <w:name w:val="heading 9"/>
    <w:basedOn w:val="Normal"/>
    <w:next w:val="Normal"/>
    <w:link w:val="Ttulo9Car"/>
    <w:qFormat/>
    <w:rsid w:val="00E015AF"/>
    <w:pPr>
      <w:keepNext/>
      <w:spacing w:before="160" w:after="160"/>
      <w:ind w:left="1584" w:hanging="1584"/>
      <w:contextualSpacing w:val="0"/>
      <w:jc w:val="both"/>
      <w:outlineLvl w:val="8"/>
    </w:pPr>
    <w:rPr>
      <w:rFonts w:ascii="Arial" w:eastAsia="Times New Roman" w:hAnsi="Arial" w:cs="Times New Roman"/>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5C1BCA"/>
    <w:pPr>
      <w:ind w:left="720"/>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uiPriority w:val="9"/>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uiPriority w:val="9"/>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5C1BCA"/>
    <w:rPr>
      <w:rFonts w:ascii="Calibri" w:eastAsia="Times New Roman" w:hAnsi="Calibri" w:cs="Times New Roman"/>
      <w:sz w:val="24"/>
      <w:szCs w:val="24"/>
      <w:lang w:val="es-ES" w:eastAsia="es-ES"/>
    </w:rPr>
  </w:style>
  <w:style w:type="table" w:styleId="Tablanormal1">
    <w:name w:val="Plain Table 1"/>
    <w:basedOn w:val="Tablanormal"/>
    <w:uiPriority w:val="41"/>
    <w:rsid w:val="009C51A2"/>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rsid w:val="005C1BCA"/>
    <w:pPr>
      <w:tabs>
        <w:tab w:val="center" w:pos="4252"/>
        <w:tab w:val="right" w:pos="8504"/>
      </w:tabs>
      <w:spacing w:after="0"/>
      <w:ind w:left="567"/>
    </w:pPr>
    <w:rPr>
      <w:rFonts w:ascii="CG Times" w:eastAsia="Times New Roman" w:hAnsi="CG Times" w:cs="Times New Roman"/>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ind w:left="567"/>
    </w:pPr>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qFormat/>
    <w:rsid w:val="005C1BCA"/>
    <w:pPr>
      <w:shd w:val="clear" w:color="auto" w:fill="C0C0C0"/>
      <w:spacing w:after="0"/>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5C1BCA"/>
  </w:style>
  <w:style w:type="paragraph" w:styleId="Textoindependiente">
    <w:name w:val="Body Text"/>
    <w:basedOn w:val="Normal"/>
    <w:link w:val="TextoindependienteCar"/>
    <w:rsid w:val="005C1BCA"/>
    <w:pPr>
      <w:spacing w:after="0"/>
      <w:ind w:left="567"/>
      <w:jc w:val="center"/>
    </w:pPr>
    <w:rPr>
      <w:rFonts w:ascii="Arial" w:eastAsia="Times New Roman" w:hAnsi="Arial" w:cs="Arial"/>
      <w:b/>
      <w:bCs/>
      <w:szCs w:val="24"/>
      <w:lang w:val="es-ES" w:eastAsia="es-ES"/>
    </w:rPr>
  </w:style>
  <w:style w:type="character" w:customStyle="1" w:styleId="TextoindependienteCar">
    <w:name w:val="Texto independiente Car"/>
    <w:basedOn w:val="Fuentedeprrafopredeter"/>
    <w:link w:val="Textoindependiente"/>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uiPriority w:val="99"/>
    <w:rsid w:val="005C1BCA"/>
    <w:pPr>
      <w:spacing w:after="0"/>
      <w:ind w:left="567"/>
      <w:jc w:val="center"/>
      <w:outlineLvl w:val="0"/>
    </w:pPr>
    <w:rPr>
      <w:rFonts w:ascii="Arial" w:eastAsia="Times New Roman" w:hAnsi="Arial" w:cs="Arial"/>
      <w:b/>
      <w:bCs/>
      <w:spacing w:val="-3"/>
      <w:szCs w:val="24"/>
      <w:lang w:val="es-ES" w:eastAsia="es-ES"/>
    </w:rPr>
  </w:style>
  <w:style w:type="character" w:customStyle="1" w:styleId="Textoindependiente3Car">
    <w:name w:val="Texto independiente 3 Car"/>
    <w:basedOn w:val="Fuentedeprrafopredeter"/>
    <w:link w:val="Textoindependiente3"/>
    <w:uiPriority w:val="99"/>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5C1BCA"/>
    <w:pPr>
      <w:spacing w:after="0"/>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5C1BCA"/>
    <w:rPr>
      <w:rFonts w:ascii="Tahoma" w:eastAsia="Times New Roman" w:hAnsi="Tahoma" w:cs="Tahoma"/>
      <w:sz w:val="16"/>
      <w:szCs w:val="16"/>
      <w:lang w:val="es-ES" w:eastAsia="es-ES"/>
    </w:rPr>
  </w:style>
  <w:style w:type="table" w:styleId="Tablaconcuadrcula">
    <w:name w:val="Table Grid"/>
    <w:basedOn w:val="Tablanormal"/>
    <w:uiPriority w:val="3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99"/>
    <w:rsid w:val="005C1BCA"/>
  </w:style>
  <w:style w:type="paragraph" w:styleId="TDC1">
    <w:name w:val="toc 1"/>
    <w:basedOn w:val="Normal"/>
    <w:next w:val="Normal"/>
    <w:autoRedefine/>
    <w:uiPriority w:val="39"/>
    <w:qFormat/>
    <w:rsid w:val="005C1BCA"/>
    <w:pPr>
      <w:tabs>
        <w:tab w:val="left" w:pos="480"/>
        <w:tab w:val="right" w:leader="dot" w:pos="8828"/>
      </w:tabs>
      <w:spacing w:before="120" w:after="0"/>
      <w:ind w:left="567"/>
      <w:jc w:val="both"/>
    </w:pPr>
    <w:rPr>
      <w:rFonts w:ascii="Arial" w:eastAsia="Times New Roman" w:hAnsi="Arial" w:cs="Times New Roman"/>
      <w:noProof/>
      <w:szCs w:val="24"/>
      <w:lang w:val="es-ES" w:eastAsia="es-ES"/>
    </w:rPr>
  </w:style>
  <w:style w:type="paragraph" w:styleId="Textodebloque">
    <w:name w:val="Block Text"/>
    <w:basedOn w:val="Normal"/>
    <w:rsid w:val="005C1BCA"/>
    <w:pPr>
      <w:suppressAutoHyphens/>
      <w:spacing w:after="240"/>
      <w:ind w:left="567" w:right="788"/>
      <w:jc w:val="both"/>
    </w:pPr>
    <w:rPr>
      <w:rFonts w:ascii="Arial" w:eastAsia="Times New Roman" w:hAnsi="Arial" w:cs="Times New Roman"/>
      <w:spacing w:val="-3"/>
      <w:szCs w:val="20"/>
      <w:lang w:val="es-ES_tradnl" w:eastAsia="es-ES"/>
    </w:rPr>
  </w:style>
  <w:style w:type="paragraph" w:styleId="Textoindependiente2">
    <w:name w:val="Body Text 2"/>
    <w:basedOn w:val="Normal"/>
    <w:link w:val="Textoindependiente2Car"/>
    <w:unhideWhenUsed/>
    <w:rsid w:val="005C1BCA"/>
    <w:pPr>
      <w:spacing w:after="120" w:line="480" w:lineRule="auto"/>
      <w:ind w:left="567"/>
    </w:pPr>
    <w:rPr>
      <w:rFonts w:ascii="Times New Roman" w:eastAsia="Times New Roman" w:hAnsi="Times New Roman" w:cs="Times New Roman"/>
      <w:szCs w:val="24"/>
      <w:lang w:val="es-ES" w:eastAsia="es-ES"/>
    </w:rPr>
  </w:style>
  <w:style w:type="character" w:customStyle="1" w:styleId="Textoindependiente2Car">
    <w:name w:val="Texto independiente 2 Car"/>
    <w:basedOn w:val="Fuentedeprrafopredeter"/>
    <w:link w:val="Textoindependiente2"/>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link w:val="DescripcinCar"/>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pPr>
    <w:rPr>
      <w:rFonts w:ascii="Century Gothic" w:eastAsia="Times New Roman" w:hAnsi="Century Gothic" w:cs="Times New Roman"/>
      <w:b/>
      <w:bCs/>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nhideWhenUsed/>
    <w:rsid w:val="005C1BCA"/>
    <w:pPr>
      <w:spacing w:after="120"/>
      <w:ind w:left="283"/>
    </w:pPr>
    <w:rPr>
      <w:rFonts w:ascii="Times New Roman" w:eastAsia="Times New Roman" w:hAnsi="Times New Roman" w:cs="Times New Roman"/>
      <w:szCs w:val="24"/>
      <w:lang w:val="es-ES" w:eastAsia="es-ES"/>
    </w:rPr>
  </w:style>
  <w:style w:type="character" w:customStyle="1" w:styleId="SangradetextonormalCar">
    <w:name w:val="Sangría de texto normal Car"/>
    <w:basedOn w:val="Fuentedeprrafopredeter"/>
    <w:link w:val="Sangradetextonormal"/>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jc w:val="both"/>
      <w:textAlignment w:val="baseline"/>
    </w:pPr>
    <w:rPr>
      <w:rFonts w:ascii="Arial" w:eastAsia="Times New Roman" w:hAnsi="Arial" w:cs="Times New Roman"/>
      <w:szCs w:val="20"/>
      <w:lang w:val="es-ES_tradnl" w:eastAsia="ar-SA"/>
    </w:rPr>
  </w:style>
  <w:style w:type="paragraph" w:customStyle="1" w:styleId="TableHeading">
    <w:name w:val="Table Heading"/>
    <w:basedOn w:val="Normal"/>
    <w:rsid w:val="005C1BCA"/>
    <w:pPr>
      <w:suppressLineNumbers/>
      <w:suppressAutoHyphens/>
      <w:spacing w:after="0"/>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nhideWhenUsed/>
    <w:rsid w:val="005C1BCA"/>
    <w:pPr>
      <w:spacing w:after="120" w:line="480" w:lineRule="auto"/>
      <w:ind w:left="283"/>
    </w:pPr>
    <w:rPr>
      <w:rFonts w:ascii="Times New Roman" w:eastAsia="Times New Roman" w:hAnsi="Times New Roman" w:cs="Times New Roman"/>
      <w:szCs w:val="24"/>
      <w:lang w:val="es-ES" w:eastAsia="es-ES"/>
    </w:rPr>
  </w:style>
  <w:style w:type="character" w:customStyle="1" w:styleId="Sangra2detindependienteCar">
    <w:name w:val="Sangría 2 de t. independiente Car"/>
    <w:basedOn w:val="Fuentedeprrafopredeter"/>
    <w:link w:val="Sangra2detindependiente"/>
    <w:rsid w:val="005C1BCA"/>
    <w:rPr>
      <w:rFonts w:ascii="Times New Roman" w:eastAsia="Times New Roman" w:hAnsi="Times New Roman" w:cs="Times New Roman"/>
      <w:sz w:val="24"/>
      <w:szCs w:val="24"/>
      <w:lang w:val="es-ES" w:eastAsia="es-ES"/>
    </w:rPr>
  </w:style>
  <w:style w:type="paragraph" w:customStyle="1" w:styleId="ARTICULOS">
    <w:name w:val="ARTICULOS"/>
    <w:basedOn w:val="Ttulo1"/>
    <w:link w:val="ARTICULOSCar"/>
    <w:qFormat/>
    <w:rsid w:val="00AF6AAD"/>
    <w:pPr>
      <w:widowControl w:val="0"/>
      <w:numPr>
        <w:numId w:val="2"/>
      </w:numPr>
      <w:adjustRightInd w:val="0"/>
      <w:ind w:left="0" w:firstLine="1"/>
      <w:jc w:val="both"/>
      <w:textAlignment w:val="baseline"/>
    </w:pPr>
    <w:rPr>
      <w:rFonts w:ascii="Bookman Old Style" w:hAnsi="Bookman Old Style"/>
      <w:b w:val="0"/>
      <w:bCs/>
      <w:szCs w:val="24"/>
      <w:lang w:val="x-none" w:eastAsia="x-none"/>
    </w:rPr>
  </w:style>
  <w:style w:type="character" w:customStyle="1" w:styleId="ARTICULOSCar">
    <w:name w:val="ARTICULOS Car"/>
    <w:link w:val="ARTICULOS"/>
    <w:rsid w:val="00AF6AAD"/>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C1BCA"/>
    <w:rPr>
      <w:b/>
      <w:bCs/>
    </w:rPr>
  </w:style>
  <w:style w:type="character" w:customStyle="1" w:styleId="AsuntodelcomentarioCar">
    <w:name w:val="Asunto del comentario Car"/>
    <w:basedOn w:val="TextocomentarioCar"/>
    <w:link w:val="Asuntodelcomentario"/>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01265"/>
    <w:pPr>
      <w:spacing w:before="100" w:beforeAutospacing="1" w:after="100" w:afterAutospacing="1"/>
    </w:pPr>
    <w:rPr>
      <w:rFonts w:ascii="Times New Roman" w:eastAsiaTheme="minorEastAsia" w:hAnsi="Times New Roman" w:cs="Times New Roman"/>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68">
    <w:name w:val="xl68"/>
    <w:basedOn w:val="Normal"/>
    <w:rsid w:val="00FD7FC1"/>
    <w:pPr>
      <w:spacing w:before="100" w:beforeAutospacing="1" w:after="100" w:afterAutospacing="1"/>
    </w:pPr>
    <w:rPr>
      <w:rFonts w:eastAsia="Times New Roman" w:cs="Times New Roman"/>
      <w:szCs w:val="24"/>
      <w:lang w:eastAsia="es-CO"/>
    </w:rPr>
  </w:style>
  <w:style w:type="paragraph" w:customStyle="1" w:styleId="xl69">
    <w:name w:val="xl69"/>
    <w:basedOn w:val="Normal"/>
    <w:rsid w:val="00FD7FC1"/>
    <w:pPr>
      <w:spacing w:before="100" w:beforeAutospacing="1" w:after="100" w:afterAutospacing="1"/>
    </w:pPr>
    <w:rPr>
      <w:rFonts w:eastAsia="Times New Roman"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qFormat/>
    <w:rsid w:val="00EF5680"/>
    <w:pPr>
      <w:spacing w:after="100"/>
      <w:ind w:left="220"/>
    </w:pPr>
    <w:rPr>
      <w:lang w:val="es-MX"/>
    </w:rPr>
  </w:style>
  <w:style w:type="paragraph" w:styleId="TDC3">
    <w:name w:val="toc 3"/>
    <w:basedOn w:val="Normal"/>
    <w:next w:val="Normal"/>
    <w:autoRedefine/>
    <w:uiPriority w:val="39"/>
    <w:unhideWhenUsed/>
    <w:qFormat/>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pPr>
    <w:rPr>
      <w:rFonts w:ascii="Times New Roman" w:eastAsia="Times New Roman" w:hAnsi="Times New Roman" w:cs="Times New Roman"/>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0">
    <w:name w:val="Table Grid0"/>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eastAsia="Times New Roman"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Fuentedeprrafopredeter"/>
    <w:link w:val="Style4"/>
    <w:uiPriority w:val="99"/>
    <w:rsid w:val="00F713C9"/>
    <w:rPr>
      <w:rFonts w:ascii="Arial" w:hAnsi="Arial" w:cs="Arial"/>
      <w:i/>
      <w:iCs/>
      <w:sz w:val="17"/>
      <w:szCs w:val="17"/>
      <w:shd w:val="clear" w:color="auto" w:fill="FFFFFF"/>
    </w:rPr>
  </w:style>
  <w:style w:type="character" w:customStyle="1" w:styleId="CharStyle6">
    <w:name w:val="Char Style 6"/>
    <w:basedOn w:val="CharStyle5"/>
    <w:uiPriority w:val="99"/>
    <w:rsid w:val="00F713C9"/>
    <w:rPr>
      <w:rFonts w:ascii="Arial" w:hAnsi="Arial" w:cs="Arial"/>
      <w:i w:val="0"/>
      <w:iCs w:val="0"/>
      <w:spacing w:val="-30"/>
      <w:sz w:val="17"/>
      <w:szCs w:val="17"/>
      <w:shd w:val="clear" w:color="auto" w:fill="FFFFFF"/>
    </w:rPr>
  </w:style>
  <w:style w:type="paragraph" w:customStyle="1" w:styleId="Style4">
    <w:name w:val="Style 4"/>
    <w:basedOn w:val="Normal"/>
    <w:link w:val="CharStyle5"/>
    <w:uiPriority w:val="99"/>
    <w:rsid w:val="00F713C9"/>
    <w:pPr>
      <w:widowControl w:val="0"/>
      <w:shd w:val="clear" w:color="auto" w:fill="FFFFFF"/>
      <w:spacing w:after="0" w:line="216" w:lineRule="exact"/>
      <w:jc w:val="both"/>
    </w:pPr>
    <w:rPr>
      <w:rFonts w:ascii="Arial" w:hAnsi="Arial" w:cs="Arial"/>
      <w:i/>
      <w:iCs/>
      <w:sz w:val="17"/>
      <w:szCs w:val="17"/>
    </w:rPr>
  </w:style>
  <w:style w:type="character" w:customStyle="1" w:styleId="CharStyle17">
    <w:name w:val="Char Style 17"/>
    <w:basedOn w:val="Fuentedeprrafopredeter"/>
    <w:link w:val="Style16"/>
    <w:uiPriority w:val="99"/>
    <w:rsid w:val="006221F6"/>
    <w:rPr>
      <w:rFonts w:ascii="Arial" w:hAnsi="Arial" w:cs="Arial"/>
      <w:spacing w:val="10"/>
      <w:sz w:val="21"/>
      <w:szCs w:val="21"/>
      <w:shd w:val="clear" w:color="auto" w:fill="FFFFFF"/>
    </w:rPr>
  </w:style>
  <w:style w:type="character" w:customStyle="1" w:styleId="CharStyle27">
    <w:name w:val="Char Style 27"/>
    <w:basedOn w:val="Fuentedeprrafopredeter"/>
    <w:link w:val="Style26"/>
    <w:uiPriority w:val="99"/>
    <w:rsid w:val="006221F6"/>
    <w:rPr>
      <w:rFonts w:ascii="Arial" w:hAnsi="Arial" w:cs="Arial"/>
      <w:i/>
      <w:iCs/>
      <w:sz w:val="17"/>
      <w:szCs w:val="17"/>
      <w:shd w:val="clear" w:color="auto" w:fill="FFFFFF"/>
    </w:rPr>
  </w:style>
  <w:style w:type="character" w:customStyle="1" w:styleId="CharStyle63">
    <w:name w:val="Char Style 63"/>
    <w:basedOn w:val="CharStyle27"/>
    <w:uiPriority w:val="99"/>
    <w:rsid w:val="006221F6"/>
    <w:rPr>
      <w:rFonts w:ascii="Arial" w:hAnsi="Arial" w:cs="Arial"/>
      <w:i/>
      <w:iCs/>
      <w:sz w:val="17"/>
      <w:szCs w:val="17"/>
      <w:u w:val="single"/>
      <w:shd w:val="clear" w:color="auto" w:fill="FFFFFF"/>
    </w:rPr>
  </w:style>
  <w:style w:type="character" w:customStyle="1" w:styleId="CharStyle64">
    <w:name w:val="Char Style 64"/>
    <w:basedOn w:val="CharStyle27"/>
    <w:uiPriority w:val="99"/>
    <w:rsid w:val="006221F6"/>
    <w:rPr>
      <w:rFonts w:ascii="Arial" w:hAnsi="Arial" w:cs="Arial"/>
      <w:i w:val="0"/>
      <w:iCs w:val="0"/>
      <w:sz w:val="17"/>
      <w:szCs w:val="17"/>
      <w:shd w:val="clear" w:color="auto" w:fill="FFFFFF"/>
    </w:rPr>
  </w:style>
  <w:style w:type="character" w:customStyle="1" w:styleId="CharStyle129">
    <w:name w:val="Char Style 129"/>
    <w:basedOn w:val="CharStyle27"/>
    <w:uiPriority w:val="99"/>
    <w:rsid w:val="006221F6"/>
    <w:rPr>
      <w:rFonts w:ascii="Arial" w:hAnsi="Arial" w:cs="Arial"/>
      <w:i w:val="0"/>
      <w:iCs w:val="0"/>
      <w:sz w:val="17"/>
      <w:szCs w:val="17"/>
      <w:u w:val="single"/>
      <w:shd w:val="clear" w:color="auto" w:fill="FFFFFF"/>
    </w:rPr>
  </w:style>
  <w:style w:type="paragraph" w:customStyle="1" w:styleId="Style16">
    <w:name w:val="Style 16"/>
    <w:basedOn w:val="Normal"/>
    <w:link w:val="CharStyle17"/>
    <w:uiPriority w:val="99"/>
    <w:rsid w:val="006221F6"/>
    <w:pPr>
      <w:widowControl w:val="0"/>
      <w:shd w:val="clear" w:color="auto" w:fill="FFFFFF"/>
      <w:spacing w:before="300" w:after="240" w:line="266" w:lineRule="exact"/>
      <w:ind w:hanging="420"/>
      <w:jc w:val="both"/>
    </w:pPr>
    <w:rPr>
      <w:rFonts w:ascii="Arial" w:hAnsi="Arial" w:cs="Arial"/>
      <w:spacing w:val="10"/>
      <w:sz w:val="21"/>
      <w:szCs w:val="21"/>
    </w:rPr>
  </w:style>
  <w:style w:type="paragraph" w:customStyle="1" w:styleId="Style26">
    <w:name w:val="Style 26"/>
    <w:basedOn w:val="Normal"/>
    <w:link w:val="CharStyle27"/>
    <w:uiPriority w:val="99"/>
    <w:rsid w:val="006221F6"/>
    <w:pPr>
      <w:widowControl w:val="0"/>
      <w:shd w:val="clear" w:color="auto" w:fill="FFFFFF"/>
      <w:spacing w:before="180" w:after="180" w:line="216" w:lineRule="exact"/>
      <w:jc w:val="both"/>
    </w:pPr>
    <w:rPr>
      <w:rFonts w:ascii="Arial" w:hAnsi="Arial" w:cs="Arial"/>
      <w:i/>
      <w:iCs/>
      <w:sz w:val="17"/>
      <w:szCs w:val="17"/>
    </w:rPr>
  </w:style>
  <w:style w:type="table" w:styleId="Tablaconcuadrcula6concolores-nfasis1">
    <w:name w:val="Grid Table 6 Colorful Accent 1"/>
    <w:basedOn w:val="Tablanormal"/>
    <w:uiPriority w:val="51"/>
    <w:rsid w:val="00FF3FE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
    <w:name w:val="Grid Table 1 Light"/>
    <w:basedOn w:val="Tablanormal"/>
    <w:uiPriority w:val="46"/>
    <w:rsid w:val="00110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8Car">
    <w:name w:val="Título 8 Car"/>
    <w:basedOn w:val="Fuentedeprrafopredeter"/>
    <w:link w:val="Ttulo8"/>
    <w:uiPriority w:val="9"/>
    <w:rsid w:val="00E015AF"/>
    <w:rPr>
      <w:rFonts w:ascii="Arial" w:eastAsia="Times New Roman" w:hAnsi="Arial" w:cs="Arial"/>
      <w:b/>
      <w:szCs w:val="20"/>
      <w:lang w:eastAsia="es-ES"/>
    </w:rPr>
  </w:style>
  <w:style w:type="character" w:customStyle="1" w:styleId="Ttulo9Car">
    <w:name w:val="Título 9 Car"/>
    <w:basedOn w:val="Fuentedeprrafopredeter"/>
    <w:link w:val="Ttulo9"/>
    <w:rsid w:val="00E015AF"/>
    <w:rPr>
      <w:rFonts w:ascii="Arial" w:eastAsia="Times New Roman" w:hAnsi="Arial" w:cs="Times New Roman"/>
      <w:szCs w:val="20"/>
      <w:lang w:eastAsia="es-ES"/>
    </w:rPr>
  </w:style>
  <w:style w:type="character" w:customStyle="1" w:styleId="DescripcinCar">
    <w:name w:val="Descripción Car"/>
    <w:link w:val="Descripcin"/>
    <w:rsid w:val="00E015AF"/>
    <w:rPr>
      <w:rFonts w:ascii="Arial" w:eastAsia="Times New Roman" w:hAnsi="Arial" w:cs="Times New Roman"/>
      <w:sz w:val="20"/>
      <w:szCs w:val="20"/>
      <w:lang w:val="es-ES" w:eastAsia="es-ES"/>
    </w:rPr>
  </w:style>
  <w:style w:type="character" w:customStyle="1" w:styleId="ArtculoCar">
    <w:name w:val="Artículo Car"/>
    <w:rsid w:val="00E015AF"/>
    <w:rPr>
      <w:rFonts w:ascii="Bookman Old Style" w:hAnsi="Bookman Old Style" w:cs="Arial"/>
      <w:sz w:val="24"/>
      <w:szCs w:val="24"/>
      <w:lang w:val="en-US" w:eastAsia="es-ES"/>
    </w:rPr>
  </w:style>
  <w:style w:type="paragraph" w:styleId="Listaconvietas">
    <w:name w:val="List Bullet"/>
    <w:basedOn w:val="Normal"/>
    <w:autoRedefine/>
    <w:semiHidden/>
    <w:rsid w:val="00E015AF"/>
    <w:pPr>
      <w:tabs>
        <w:tab w:val="num" w:pos="360"/>
      </w:tabs>
      <w:spacing w:before="160" w:after="160"/>
      <w:ind w:left="360" w:hanging="360"/>
      <w:contextualSpacing w:val="0"/>
      <w:jc w:val="both"/>
    </w:pPr>
    <w:rPr>
      <w:rFonts w:ascii="CG Times" w:eastAsia="Times New Roman" w:hAnsi="CG Times" w:cs="Times New Roman"/>
      <w:sz w:val="22"/>
      <w:szCs w:val="20"/>
      <w:lang w:eastAsia="es-ES"/>
    </w:rPr>
  </w:style>
  <w:style w:type="paragraph" w:styleId="Listaconvietas2">
    <w:name w:val="List Bullet 2"/>
    <w:basedOn w:val="Normal"/>
    <w:autoRedefine/>
    <w:semiHidden/>
    <w:rsid w:val="00E015AF"/>
    <w:pPr>
      <w:tabs>
        <w:tab w:val="num" w:pos="643"/>
      </w:tabs>
      <w:spacing w:before="160" w:after="160"/>
      <w:ind w:left="643" w:hanging="360"/>
      <w:contextualSpacing w:val="0"/>
      <w:jc w:val="both"/>
    </w:pPr>
    <w:rPr>
      <w:rFonts w:ascii="CG Times" w:eastAsia="Times New Roman" w:hAnsi="CG Times" w:cs="Times New Roman"/>
      <w:sz w:val="22"/>
      <w:szCs w:val="20"/>
      <w:lang w:eastAsia="es-ES"/>
    </w:rPr>
  </w:style>
  <w:style w:type="paragraph" w:styleId="Listaconvietas4">
    <w:name w:val="List Bullet 4"/>
    <w:basedOn w:val="Normal"/>
    <w:autoRedefine/>
    <w:semiHidden/>
    <w:rsid w:val="00E015AF"/>
    <w:pPr>
      <w:tabs>
        <w:tab w:val="num" w:pos="1209"/>
      </w:tabs>
      <w:spacing w:before="160" w:after="160"/>
      <w:ind w:left="1209" w:hanging="360"/>
      <w:contextualSpacing w:val="0"/>
      <w:jc w:val="both"/>
    </w:pPr>
    <w:rPr>
      <w:rFonts w:ascii="CG Times" w:eastAsia="Times New Roman" w:hAnsi="CG Times" w:cs="Times New Roman"/>
      <w:sz w:val="22"/>
      <w:szCs w:val="20"/>
      <w:lang w:eastAsia="es-ES"/>
    </w:rPr>
  </w:style>
  <w:style w:type="paragraph" w:styleId="TDC4">
    <w:name w:val="toc 4"/>
    <w:basedOn w:val="Normal"/>
    <w:next w:val="Normal"/>
    <w:autoRedefine/>
    <w:uiPriority w:val="39"/>
    <w:rsid w:val="00E015AF"/>
    <w:pPr>
      <w:spacing w:after="0"/>
      <w:ind w:left="480"/>
      <w:contextualSpacing w:val="0"/>
      <w:jc w:val="both"/>
    </w:pPr>
    <w:rPr>
      <w:rFonts w:ascii="Calibri" w:eastAsia="Times New Roman" w:hAnsi="Calibri" w:cs="Times New Roman"/>
      <w:sz w:val="20"/>
      <w:szCs w:val="20"/>
      <w:lang w:eastAsia="es-ES"/>
    </w:rPr>
  </w:style>
  <w:style w:type="paragraph" w:styleId="TDC5">
    <w:name w:val="toc 5"/>
    <w:basedOn w:val="Normal"/>
    <w:next w:val="Normal"/>
    <w:autoRedefine/>
    <w:uiPriority w:val="39"/>
    <w:rsid w:val="00E015AF"/>
    <w:pPr>
      <w:spacing w:after="0"/>
      <w:ind w:left="720"/>
      <w:contextualSpacing w:val="0"/>
      <w:jc w:val="both"/>
    </w:pPr>
    <w:rPr>
      <w:rFonts w:ascii="Calibri" w:eastAsia="Times New Roman" w:hAnsi="Calibri" w:cs="Times New Roman"/>
      <w:sz w:val="20"/>
      <w:szCs w:val="20"/>
      <w:lang w:eastAsia="es-ES"/>
    </w:rPr>
  </w:style>
  <w:style w:type="paragraph" w:styleId="TDC6">
    <w:name w:val="toc 6"/>
    <w:basedOn w:val="Normal"/>
    <w:next w:val="Normal"/>
    <w:autoRedefine/>
    <w:uiPriority w:val="39"/>
    <w:rsid w:val="00E015AF"/>
    <w:pPr>
      <w:spacing w:after="0"/>
      <w:ind w:left="960"/>
      <w:contextualSpacing w:val="0"/>
      <w:jc w:val="both"/>
    </w:pPr>
    <w:rPr>
      <w:rFonts w:ascii="Calibri" w:eastAsia="Times New Roman" w:hAnsi="Calibri" w:cs="Times New Roman"/>
      <w:sz w:val="20"/>
      <w:szCs w:val="20"/>
      <w:lang w:eastAsia="es-ES"/>
    </w:rPr>
  </w:style>
  <w:style w:type="paragraph" w:styleId="TDC7">
    <w:name w:val="toc 7"/>
    <w:basedOn w:val="Normal"/>
    <w:next w:val="Normal"/>
    <w:autoRedefine/>
    <w:uiPriority w:val="39"/>
    <w:rsid w:val="00E015AF"/>
    <w:pPr>
      <w:tabs>
        <w:tab w:val="right" w:pos="9111"/>
      </w:tabs>
      <w:spacing w:before="240" w:after="0"/>
      <w:contextualSpacing w:val="0"/>
      <w:jc w:val="both"/>
    </w:pPr>
    <w:rPr>
      <w:rFonts w:ascii="Arial" w:eastAsia="Times New Roman" w:hAnsi="Arial" w:cs="Times New Roman"/>
      <w:b/>
      <w:sz w:val="22"/>
      <w:szCs w:val="20"/>
      <w:lang w:eastAsia="es-ES"/>
    </w:rPr>
  </w:style>
  <w:style w:type="paragraph" w:styleId="TDC8">
    <w:name w:val="toc 8"/>
    <w:basedOn w:val="Normal"/>
    <w:next w:val="Normal"/>
    <w:autoRedefine/>
    <w:uiPriority w:val="39"/>
    <w:rsid w:val="00E015AF"/>
    <w:pPr>
      <w:tabs>
        <w:tab w:val="right" w:leader="dot" w:pos="9111"/>
      </w:tabs>
      <w:spacing w:after="0"/>
      <w:contextualSpacing w:val="0"/>
      <w:jc w:val="both"/>
    </w:pPr>
    <w:rPr>
      <w:rFonts w:ascii="Arial" w:eastAsia="Times New Roman" w:hAnsi="Arial" w:cs="Times New Roman"/>
      <w:b/>
      <w:sz w:val="22"/>
      <w:szCs w:val="20"/>
      <w:lang w:eastAsia="es-ES"/>
    </w:rPr>
  </w:style>
  <w:style w:type="paragraph" w:styleId="TDC9">
    <w:name w:val="toc 9"/>
    <w:basedOn w:val="Normal"/>
    <w:next w:val="Normal"/>
    <w:autoRedefine/>
    <w:uiPriority w:val="39"/>
    <w:rsid w:val="00E015AF"/>
    <w:pPr>
      <w:spacing w:after="0"/>
      <w:ind w:left="1680"/>
      <w:contextualSpacing w:val="0"/>
      <w:jc w:val="both"/>
    </w:pPr>
    <w:rPr>
      <w:rFonts w:ascii="Calibri" w:eastAsia="Times New Roman" w:hAnsi="Calibri" w:cs="Times New Roman"/>
      <w:sz w:val="20"/>
      <w:szCs w:val="20"/>
      <w:lang w:eastAsia="es-ES"/>
    </w:rPr>
  </w:style>
  <w:style w:type="paragraph" w:customStyle="1" w:styleId="Textodenotaalfinal">
    <w:name w:val="Texto de nota al final"/>
    <w:basedOn w:val="Normal"/>
    <w:rsid w:val="00E015AF"/>
    <w:pPr>
      <w:widowControl w:val="0"/>
      <w:spacing w:before="160" w:after="160"/>
      <w:contextualSpacing w:val="0"/>
      <w:jc w:val="both"/>
    </w:pPr>
    <w:rPr>
      <w:rFonts w:ascii="Courier New" w:eastAsia="Times New Roman" w:hAnsi="Courier New" w:cs="Times New Roman"/>
      <w:sz w:val="22"/>
      <w:szCs w:val="20"/>
      <w:lang w:val="es-ES_tradnl" w:eastAsia="es-ES"/>
    </w:rPr>
  </w:style>
  <w:style w:type="paragraph" w:styleId="Cita">
    <w:name w:val="Quote"/>
    <w:basedOn w:val="Normal"/>
    <w:next w:val="Normal"/>
    <w:link w:val="CitaCar"/>
    <w:uiPriority w:val="29"/>
    <w:qFormat/>
    <w:rsid w:val="00675E77"/>
    <w:pPr>
      <w:spacing w:after="120"/>
      <w:ind w:left="284" w:right="567"/>
      <w:contextualSpacing w:val="0"/>
      <w:mirrorIndents/>
      <w:jc w:val="both"/>
    </w:pPr>
    <w:rPr>
      <w:rFonts w:eastAsia="Calibri" w:cs="Arial"/>
      <w:i/>
      <w:iCs/>
      <w:color w:val="000000"/>
      <w:sz w:val="18"/>
    </w:rPr>
  </w:style>
  <w:style w:type="character" w:customStyle="1" w:styleId="CitaCar">
    <w:name w:val="Cita Car"/>
    <w:basedOn w:val="Fuentedeprrafopredeter"/>
    <w:link w:val="Cita"/>
    <w:uiPriority w:val="29"/>
    <w:rsid w:val="00675E77"/>
    <w:rPr>
      <w:rFonts w:ascii="Bookman Old Style" w:eastAsia="Calibri" w:hAnsi="Bookman Old Style" w:cs="Arial"/>
      <w:i/>
      <w:iCs/>
      <w:color w:val="000000"/>
      <w:sz w:val="18"/>
    </w:rPr>
  </w:style>
  <w:style w:type="character" w:styleId="Textoennegrita">
    <w:name w:val="Strong"/>
    <w:uiPriority w:val="22"/>
    <w:qFormat/>
    <w:rsid w:val="00E015AF"/>
    <w:rPr>
      <w:b/>
      <w:bCs/>
    </w:rPr>
  </w:style>
  <w:style w:type="paragraph" w:styleId="Mapadeldocumento">
    <w:name w:val="Document Map"/>
    <w:basedOn w:val="Normal"/>
    <w:link w:val="MapadeldocumentoCar"/>
    <w:uiPriority w:val="99"/>
    <w:unhideWhenUsed/>
    <w:rsid w:val="00E015AF"/>
    <w:pPr>
      <w:spacing w:before="160" w:after="160"/>
      <w:contextualSpacing w:val="0"/>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rsid w:val="00E015AF"/>
    <w:rPr>
      <w:rFonts w:ascii="Tahoma" w:eastAsia="Times New Roman" w:hAnsi="Tahoma" w:cs="Tahoma"/>
      <w:sz w:val="16"/>
      <w:szCs w:val="16"/>
      <w:lang w:eastAsia="es-ES"/>
    </w:rPr>
  </w:style>
  <w:style w:type="paragraph" w:customStyle="1" w:styleId="Anexo">
    <w:name w:val="Anexo"/>
    <w:basedOn w:val="Normal"/>
    <w:link w:val="AnexoCar"/>
    <w:qFormat/>
    <w:rsid w:val="00E015AF"/>
    <w:pPr>
      <w:suppressAutoHyphens/>
      <w:spacing w:after="0"/>
      <w:ind w:left="1429" w:hanging="360"/>
      <w:contextualSpacing w:val="0"/>
      <w:jc w:val="both"/>
    </w:pPr>
    <w:rPr>
      <w:rFonts w:eastAsia="Times New Roman" w:cs="Arial"/>
      <w:b/>
      <w:bCs/>
      <w:spacing w:val="-4"/>
      <w:szCs w:val="24"/>
      <w:lang w:val="es-ES" w:eastAsia="es-ES"/>
    </w:rPr>
  </w:style>
  <w:style w:type="character" w:customStyle="1" w:styleId="AnexoCar">
    <w:name w:val="Anexo Car"/>
    <w:link w:val="Anexo"/>
    <w:rsid w:val="00E015AF"/>
    <w:rPr>
      <w:rFonts w:ascii="Bookman Old Style" w:eastAsia="Times New Roman" w:hAnsi="Bookman Old Style" w:cs="Arial"/>
      <w:b/>
      <w:bCs/>
      <w:spacing w:val="-4"/>
      <w:sz w:val="24"/>
      <w:szCs w:val="24"/>
      <w:lang w:val="es-ES" w:eastAsia="es-ES"/>
    </w:rPr>
  </w:style>
  <w:style w:type="paragraph" w:customStyle="1" w:styleId="PliegoTitulo1">
    <w:name w:val="Pliego_Titulo1"/>
    <w:basedOn w:val="Pliego-Normal"/>
    <w:next w:val="Pliego-Normal"/>
    <w:rsid w:val="00E015AF"/>
    <w:pPr>
      <w:tabs>
        <w:tab w:val="num" w:pos="432"/>
      </w:tabs>
      <w:ind w:left="432" w:hanging="432"/>
      <w:jc w:val="center"/>
    </w:pPr>
    <w:rPr>
      <w:b/>
    </w:rPr>
  </w:style>
  <w:style w:type="paragraph" w:customStyle="1" w:styleId="Pliego-Normal">
    <w:name w:val="Pliego-Normal"/>
    <w:basedOn w:val="Normal"/>
    <w:rsid w:val="00E015AF"/>
    <w:pPr>
      <w:widowControl w:val="0"/>
      <w:adjustRightInd w:val="0"/>
      <w:spacing w:after="0"/>
      <w:contextualSpacing w:val="0"/>
      <w:jc w:val="both"/>
      <w:textAlignment w:val="baseline"/>
    </w:pPr>
    <w:rPr>
      <w:rFonts w:ascii="Garamond" w:eastAsia="Times New Roman" w:hAnsi="Garamond" w:cs="Times New Roman"/>
      <w:bCs/>
      <w:sz w:val="22"/>
      <w:szCs w:val="20"/>
      <w:lang w:val="es-ES_tradnl" w:eastAsia="es-ES"/>
    </w:rPr>
  </w:style>
  <w:style w:type="paragraph" w:styleId="ndice1">
    <w:name w:val="index 1"/>
    <w:basedOn w:val="Normal"/>
    <w:next w:val="Normal"/>
    <w:autoRedefine/>
    <w:semiHidden/>
    <w:rsid w:val="00E015AF"/>
    <w:pPr>
      <w:widowControl w:val="0"/>
      <w:adjustRightInd w:val="0"/>
      <w:spacing w:after="0"/>
      <w:contextualSpacing w:val="0"/>
      <w:jc w:val="both"/>
      <w:textAlignment w:val="baseline"/>
    </w:pPr>
    <w:rPr>
      <w:rFonts w:ascii="Arial" w:eastAsia="Times New Roman" w:hAnsi="Arial" w:cs="Times New Roman"/>
      <w:szCs w:val="20"/>
      <w:lang w:eastAsia="es-ES"/>
    </w:rPr>
  </w:style>
  <w:style w:type="paragraph" w:styleId="z-Finaldelformulario">
    <w:name w:val="HTML Bottom of Form"/>
    <w:basedOn w:val="Normal"/>
    <w:next w:val="Normal"/>
    <w:link w:val="z-FinaldelformularioCar"/>
    <w:hidden/>
    <w:rsid w:val="00E015AF"/>
    <w:pPr>
      <w:widowControl w:val="0"/>
      <w:pBdr>
        <w:top w:val="single" w:sz="6" w:space="1" w:color="auto"/>
      </w:pBdr>
      <w:adjustRightInd w:val="0"/>
      <w:spacing w:after="0"/>
      <w:contextualSpacing w:val="0"/>
      <w:jc w:val="center"/>
      <w:textAlignment w:val="baseline"/>
    </w:pPr>
    <w:rPr>
      <w:rFonts w:ascii="Arial" w:eastAsia="Times New Roman" w:hAnsi="Arial" w:cs="Arial"/>
      <w:vanish/>
      <w:color w:val="000000"/>
      <w:sz w:val="16"/>
      <w:szCs w:val="16"/>
      <w:lang w:val="es-ES" w:eastAsia="es-ES"/>
    </w:rPr>
  </w:style>
  <w:style w:type="character" w:customStyle="1" w:styleId="z-FinaldelformularioCar">
    <w:name w:val="z-Final del formulario Car"/>
    <w:basedOn w:val="Fuentedeprrafopredeter"/>
    <w:link w:val="z-Finaldelformulario"/>
    <w:rsid w:val="00E015AF"/>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E015AF"/>
    <w:pPr>
      <w:widowControl w:val="0"/>
      <w:adjustRightInd w:val="0"/>
      <w:spacing w:line="360" w:lineRule="auto"/>
      <w:ind w:left="0"/>
      <w:contextualSpacing w:val="0"/>
      <w:jc w:val="both"/>
      <w:textAlignment w:val="baseline"/>
    </w:pPr>
    <w:rPr>
      <w:b w:val="0"/>
      <w:bCs w:val="0"/>
      <w:sz w:val="22"/>
    </w:rPr>
  </w:style>
  <w:style w:type="paragraph" w:customStyle="1" w:styleId="Citas">
    <w:name w:val="Citas"/>
    <w:basedOn w:val="Normal"/>
    <w:rsid w:val="00E015AF"/>
    <w:pPr>
      <w:spacing w:after="0"/>
      <w:ind w:left="708" w:right="618"/>
      <w:contextualSpacing w:val="0"/>
      <w:jc w:val="both"/>
    </w:pPr>
    <w:rPr>
      <w:rFonts w:eastAsia="Times New Roman" w:cs="Arial"/>
      <w:i/>
      <w:iCs/>
      <w:szCs w:val="20"/>
      <w:lang w:val="es-ES" w:eastAsia="es-ES"/>
    </w:rPr>
  </w:style>
  <w:style w:type="paragraph" w:customStyle="1" w:styleId="articulo">
    <w:name w:val="articulo"/>
    <w:basedOn w:val="Normal"/>
    <w:next w:val="Normal"/>
    <w:autoRedefine/>
    <w:rsid w:val="00E015AF"/>
    <w:pPr>
      <w:tabs>
        <w:tab w:val="left" w:pos="-720"/>
        <w:tab w:val="num" w:pos="1440"/>
        <w:tab w:val="left" w:pos="1620"/>
      </w:tabs>
      <w:suppressAutoHyphens/>
      <w:spacing w:before="240" w:after="0"/>
      <w:contextualSpacing w:val="0"/>
      <w:jc w:val="both"/>
    </w:pPr>
    <w:rPr>
      <w:rFonts w:eastAsia="Times New Roman" w:cs="Arial"/>
      <w:bCs/>
      <w:spacing w:val="-4"/>
      <w:szCs w:val="24"/>
      <w:lang w:val="es-ES" w:eastAsia="es-ES"/>
    </w:rPr>
  </w:style>
  <w:style w:type="paragraph" w:customStyle="1" w:styleId="EstiloPrrafodelistaJustificado">
    <w:name w:val="Estilo Párrafo de lista + Justificado"/>
    <w:basedOn w:val="Prrafodelista"/>
    <w:rsid w:val="00E015AF"/>
    <w:pPr>
      <w:spacing w:before="120" w:after="0"/>
      <w:ind w:hanging="360"/>
      <w:contextualSpacing w:val="0"/>
      <w:jc w:val="both"/>
    </w:pPr>
    <w:rPr>
      <w:rFonts w:eastAsia="Times New Roman" w:cs="Times New Roman"/>
      <w:spacing w:val="4"/>
      <w:szCs w:val="20"/>
      <w:lang w:val="es-ES" w:eastAsia="es-ES"/>
    </w:rPr>
  </w:style>
  <w:style w:type="paragraph" w:customStyle="1" w:styleId="Vietas">
    <w:name w:val="Viñetas"/>
    <w:basedOn w:val="Prrafodelista"/>
    <w:rsid w:val="00E015AF"/>
    <w:pPr>
      <w:spacing w:before="120" w:after="0"/>
      <w:ind w:hanging="360"/>
      <w:contextualSpacing w:val="0"/>
      <w:jc w:val="both"/>
    </w:pPr>
    <w:rPr>
      <w:rFonts w:eastAsia="Times New Roman" w:cs="Times New Roman"/>
      <w:spacing w:val="4"/>
      <w:szCs w:val="20"/>
      <w:lang w:val="es-ES" w:eastAsia="es-ES"/>
    </w:rPr>
  </w:style>
  <w:style w:type="paragraph" w:customStyle="1" w:styleId="Listaletras">
    <w:name w:val="Lista letras"/>
    <w:basedOn w:val="Sangra2detindependiente"/>
    <w:link w:val="ListaletrasCar"/>
    <w:qFormat/>
    <w:rsid w:val="00E015AF"/>
    <w:pPr>
      <w:spacing w:before="160" w:after="160" w:line="240" w:lineRule="auto"/>
      <w:ind w:left="0" w:hanging="567"/>
      <w:contextualSpacing w:val="0"/>
      <w:jc w:val="both"/>
      <w:outlineLvl w:val="0"/>
    </w:pPr>
    <w:rPr>
      <w:rFonts w:ascii="Bookman Old Style" w:hAnsi="Bookman Old Style"/>
      <w:b/>
      <w:sz w:val="22"/>
      <w:szCs w:val="20"/>
      <w:lang w:val="es-CO"/>
    </w:rPr>
  </w:style>
  <w:style w:type="character" w:customStyle="1" w:styleId="ListaletrasCar">
    <w:name w:val="Lista letras Car"/>
    <w:link w:val="Listaletras"/>
    <w:rsid w:val="00E015AF"/>
    <w:rPr>
      <w:rFonts w:ascii="Bookman Old Style" w:eastAsia="Times New Roman" w:hAnsi="Bookman Old Style" w:cs="Times New Roman"/>
      <w:b/>
      <w:szCs w:val="20"/>
      <w:lang w:eastAsia="es-ES"/>
    </w:rPr>
  </w:style>
  <w:style w:type="paragraph" w:customStyle="1" w:styleId="Textoindependiente31">
    <w:name w:val="Texto independiente 31"/>
    <w:basedOn w:val="Normal"/>
    <w:rsid w:val="00E015AF"/>
    <w:pPr>
      <w:tabs>
        <w:tab w:val="left" w:pos="-720"/>
      </w:tabs>
      <w:suppressAutoHyphens/>
      <w:overflowPunct w:val="0"/>
      <w:autoSpaceDE w:val="0"/>
      <w:autoSpaceDN w:val="0"/>
      <w:adjustRightInd w:val="0"/>
      <w:spacing w:after="240"/>
      <w:ind w:right="45"/>
      <w:contextualSpacing w:val="0"/>
      <w:jc w:val="both"/>
      <w:textAlignment w:val="baseline"/>
    </w:pPr>
    <w:rPr>
      <w:rFonts w:eastAsia="Times New Roman" w:cs="Times New Roman"/>
      <w:sz w:val="22"/>
      <w:szCs w:val="20"/>
      <w:lang w:val="es-ES" w:eastAsia="es-ES"/>
    </w:rPr>
  </w:style>
  <w:style w:type="paragraph" w:customStyle="1" w:styleId="Estilo2">
    <w:name w:val="Estilo2"/>
    <w:basedOn w:val="Ttulo1"/>
    <w:rsid w:val="00E015AF"/>
    <w:pPr>
      <w:adjustRightInd w:val="0"/>
      <w:spacing w:before="240" w:after="240"/>
      <w:ind w:left="0"/>
      <w:contextualSpacing w:val="0"/>
      <w:jc w:val="both"/>
      <w:textAlignment w:val="baseline"/>
    </w:pPr>
    <w:rPr>
      <w:rFonts w:ascii="Bookman Old Style" w:hAnsi="Bookman Old Style"/>
      <w:bCs/>
      <w:caps/>
      <w:spacing w:val="4"/>
      <w:szCs w:val="24"/>
      <w:lang w:val="es-ES"/>
    </w:rPr>
  </w:style>
  <w:style w:type="paragraph" w:styleId="Continuarlista">
    <w:name w:val="List Continue"/>
    <w:basedOn w:val="Normal"/>
    <w:rsid w:val="00E015AF"/>
    <w:pPr>
      <w:widowControl w:val="0"/>
      <w:adjustRightInd w:val="0"/>
      <w:spacing w:after="120"/>
      <w:ind w:left="283"/>
      <w:jc w:val="both"/>
      <w:textAlignment w:val="baseline"/>
    </w:pPr>
    <w:rPr>
      <w:rFonts w:eastAsia="Times New Roman" w:cs="Times New Roman"/>
      <w:szCs w:val="24"/>
      <w:lang w:val="es-ES" w:eastAsia="es-ES"/>
    </w:rPr>
  </w:style>
  <w:style w:type="character" w:customStyle="1" w:styleId="Fuentedeprrafopredeter1">
    <w:name w:val="Fuente de párrafo predeter.1"/>
    <w:rsid w:val="00E015AF"/>
  </w:style>
  <w:style w:type="character" w:customStyle="1" w:styleId="FootnoteCharacters">
    <w:name w:val="Footnote Characters"/>
    <w:rsid w:val="00E015AF"/>
    <w:rPr>
      <w:vertAlign w:val="superscript"/>
    </w:rPr>
  </w:style>
  <w:style w:type="character" w:customStyle="1" w:styleId="Refdenotaalpie1">
    <w:name w:val="Ref. de nota al pie1"/>
    <w:rsid w:val="00E015AF"/>
    <w:rPr>
      <w:vertAlign w:val="superscript"/>
    </w:rPr>
  </w:style>
  <w:style w:type="character" w:customStyle="1" w:styleId="Refdecomentario1">
    <w:name w:val="Ref. de comentario1"/>
    <w:rsid w:val="00E015AF"/>
    <w:rPr>
      <w:sz w:val="16"/>
    </w:rPr>
  </w:style>
  <w:style w:type="paragraph" w:customStyle="1" w:styleId="Heading">
    <w:name w:val="Heading"/>
    <w:basedOn w:val="Normal"/>
    <w:next w:val="Textoindependiente"/>
    <w:rsid w:val="00E015AF"/>
    <w:pPr>
      <w:keepNext/>
      <w:suppressAutoHyphens/>
      <w:spacing w:before="240" w:after="120"/>
      <w:contextualSpacing w:val="0"/>
      <w:jc w:val="both"/>
    </w:pPr>
    <w:rPr>
      <w:rFonts w:ascii="Arial" w:eastAsia="DejaVu Sans" w:hAnsi="Arial" w:cs="DejaVu Sans"/>
      <w:sz w:val="28"/>
      <w:szCs w:val="28"/>
      <w:lang w:eastAsia="ar-SA"/>
    </w:rPr>
  </w:style>
  <w:style w:type="paragraph" w:styleId="Lista">
    <w:name w:val="List"/>
    <w:basedOn w:val="Normal"/>
    <w:rsid w:val="00E015AF"/>
    <w:pPr>
      <w:suppressAutoHyphens/>
      <w:spacing w:after="0"/>
      <w:ind w:left="283" w:hanging="283"/>
      <w:contextualSpacing w:val="0"/>
      <w:jc w:val="both"/>
    </w:pPr>
    <w:rPr>
      <w:rFonts w:eastAsia="Times New Roman" w:cs="Times New Roman"/>
      <w:sz w:val="22"/>
      <w:szCs w:val="20"/>
      <w:lang w:eastAsia="ar-SA"/>
    </w:rPr>
  </w:style>
  <w:style w:type="paragraph" w:customStyle="1" w:styleId="Index">
    <w:name w:val="Index"/>
    <w:basedOn w:val="Normal"/>
    <w:rsid w:val="00E015AF"/>
    <w:pPr>
      <w:suppressLineNumbers/>
      <w:suppressAutoHyphens/>
      <w:spacing w:after="0"/>
      <w:contextualSpacing w:val="0"/>
      <w:jc w:val="both"/>
    </w:pPr>
    <w:rPr>
      <w:rFonts w:eastAsia="Times New Roman" w:cs="Times New Roman"/>
      <w:sz w:val="22"/>
      <w:szCs w:val="20"/>
      <w:lang w:eastAsia="ar-SA"/>
    </w:rPr>
  </w:style>
  <w:style w:type="paragraph" w:styleId="Ttulodendice">
    <w:name w:val="index heading"/>
    <w:basedOn w:val="Normal"/>
    <w:next w:val="ndice1"/>
    <w:rsid w:val="00E015AF"/>
    <w:pPr>
      <w:suppressAutoHyphens/>
      <w:spacing w:before="120" w:after="120"/>
      <w:contextualSpacing w:val="0"/>
      <w:jc w:val="both"/>
    </w:pPr>
    <w:rPr>
      <w:rFonts w:ascii="Times New Roman" w:eastAsia="Times New Roman" w:hAnsi="Times New Roman" w:cs="Times New Roman"/>
      <w:b/>
      <w:i/>
      <w:sz w:val="20"/>
      <w:szCs w:val="20"/>
      <w:lang w:eastAsia="ar-SA"/>
    </w:rPr>
  </w:style>
  <w:style w:type="paragraph" w:styleId="ndice2">
    <w:name w:val="index 2"/>
    <w:basedOn w:val="Normal"/>
    <w:next w:val="Normal"/>
    <w:rsid w:val="00E015AF"/>
    <w:pPr>
      <w:suppressAutoHyphens/>
      <w:spacing w:after="0"/>
      <w:ind w:left="480" w:hanging="240"/>
      <w:contextualSpacing w:val="0"/>
      <w:jc w:val="both"/>
    </w:pPr>
    <w:rPr>
      <w:rFonts w:ascii="Times New Roman" w:eastAsia="Times New Roman" w:hAnsi="Times New Roman" w:cs="Times New Roman"/>
      <w:sz w:val="20"/>
      <w:szCs w:val="20"/>
      <w:lang w:eastAsia="ar-SA"/>
    </w:rPr>
  </w:style>
  <w:style w:type="paragraph" w:styleId="ndice3">
    <w:name w:val="index 3"/>
    <w:basedOn w:val="Normal"/>
    <w:next w:val="Normal"/>
    <w:rsid w:val="00E015AF"/>
    <w:pPr>
      <w:suppressAutoHyphens/>
      <w:spacing w:after="0"/>
      <w:ind w:left="720" w:hanging="240"/>
      <w:contextualSpacing w:val="0"/>
      <w:jc w:val="both"/>
    </w:pPr>
    <w:rPr>
      <w:rFonts w:ascii="Times New Roman" w:eastAsia="Times New Roman" w:hAnsi="Times New Roman" w:cs="Times New Roman"/>
      <w:sz w:val="20"/>
      <w:szCs w:val="20"/>
      <w:lang w:eastAsia="ar-SA"/>
    </w:rPr>
  </w:style>
  <w:style w:type="paragraph" w:customStyle="1" w:styleId="Figuras">
    <w:name w:val="Figuras"/>
    <w:basedOn w:val="Textoindependiente"/>
    <w:rsid w:val="00E015AF"/>
    <w:pPr>
      <w:suppressAutoHyphens/>
      <w:ind w:left="0"/>
      <w:contextualSpacing w:val="0"/>
    </w:pPr>
    <w:rPr>
      <w:rFonts w:cs="Times New Roman"/>
      <w:b w:val="0"/>
      <w:bCs w:val="0"/>
      <w:i/>
      <w:iCs/>
      <w:sz w:val="22"/>
      <w:szCs w:val="20"/>
      <w:lang w:val="es-CO" w:eastAsia="ar-SA"/>
    </w:rPr>
  </w:style>
  <w:style w:type="paragraph" w:customStyle="1" w:styleId="Text">
    <w:name w:val="Text"/>
    <w:basedOn w:val="Normal"/>
    <w:rsid w:val="00E015AF"/>
    <w:pPr>
      <w:suppressLineNumbers/>
      <w:suppressAutoHyphens/>
      <w:spacing w:before="120" w:after="120"/>
      <w:contextualSpacing w:val="0"/>
      <w:jc w:val="both"/>
    </w:pPr>
    <w:rPr>
      <w:rFonts w:eastAsia="Times New Roman" w:cs="Times New Roman"/>
      <w:i/>
      <w:iCs/>
      <w:szCs w:val="24"/>
      <w:lang w:eastAsia="ar-SA"/>
    </w:rPr>
  </w:style>
  <w:style w:type="paragraph" w:styleId="Textoindependienteprimerasangra">
    <w:name w:val="Body Text First Indent"/>
    <w:basedOn w:val="Textoindependiente"/>
    <w:link w:val="TextoindependienteprimerasangraCar"/>
    <w:rsid w:val="00E015AF"/>
    <w:pPr>
      <w:suppressAutoHyphens/>
      <w:ind w:left="0" w:firstLine="283"/>
      <w:contextualSpacing w:val="0"/>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E015AF"/>
    <w:rPr>
      <w:rFonts w:ascii="Times New Roman" w:eastAsia="Times New Roman" w:hAnsi="Times New Roman" w:cs="Times New Roman"/>
      <w:b/>
      <w:bCs w:val="0"/>
      <w:i/>
      <w:sz w:val="28"/>
      <w:szCs w:val="20"/>
      <w:lang w:val="es-ES" w:eastAsia="ar-SA"/>
    </w:rPr>
  </w:style>
  <w:style w:type="paragraph" w:customStyle="1" w:styleId="Notes">
    <w:name w:val="Notes"/>
    <w:rsid w:val="00E015A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jc w:val="both"/>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E015AF"/>
    <w:pPr>
      <w:keepNext/>
      <w:widowControl/>
      <w:suppressAutoHyphens/>
      <w:adjustRightInd/>
      <w:spacing w:after="200" w:line="240" w:lineRule="auto"/>
      <w:contextualSpacing w:val="0"/>
      <w:textAlignment w:val="auto"/>
    </w:pPr>
    <w:rPr>
      <w:rFonts w:ascii="Bookman Old Style" w:hAnsi="Bookman Old Style"/>
      <w:b/>
      <w:bCs/>
      <w:iCs/>
    </w:rPr>
  </w:style>
  <w:style w:type="character" w:customStyle="1" w:styleId="TablaCar">
    <w:name w:val="Tabla Car"/>
    <w:link w:val="Tabla"/>
    <w:rsid w:val="00E015AF"/>
    <w:rPr>
      <w:rFonts w:ascii="Bookman Old Style" w:eastAsia="Times New Roman" w:hAnsi="Bookman Old Style" w:cs="Times New Roman"/>
      <w:b/>
      <w:bCs/>
      <w:iCs/>
      <w:sz w:val="20"/>
      <w:szCs w:val="20"/>
      <w:lang w:val="es-ES" w:eastAsia="es-ES"/>
    </w:rPr>
  </w:style>
  <w:style w:type="paragraph" w:customStyle="1" w:styleId="DatosDocumento">
    <w:name w:val="Datos Documento"/>
    <w:basedOn w:val="Normal"/>
    <w:rsid w:val="00E015AF"/>
    <w:pPr>
      <w:spacing w:after="0"/>
      <w:contextualSpacing w:val="0"/>
      <w:jc w:val="right"/>
    </w:pPr>
    <w:rPr>
      <w:rFonts w:ascii="Arial" w:eastAsia="Times New Roman" w:hAnsi="Arial" w:cs="Arial"/>
      <w:szCs w:val="20"/>
      <w:lang w:val="es-ES" w:eastAsia="es-ES"/>
    </w:rPr>
  </w:style>
  <w:style w:type="paragraph" w:customStyle="1" w:styleId="TituloDocumento">
    <w:name w:val="Titulo Documento"/>
    <w:basedOn w:val="Normal"/>
    <w:rsid w:val="00E015AF"/>
    <w:pPr>
      <w:spacing w:after="0"/>
      <w:contextualSpacing w:val="0"/>
      <w:jc w:val="right"/>
    </w:pPr>
    <w:rPr>
      <w:rFonts w:ascii="Arial Black" w:eastAsia="Times New Roman" w:hAnsi="Arial Black" w:cs="Arial"/>
      <w:sz w:val="48"/>
      <w:szCs w:val="20"/>
      <w:lang w:val="es-ES" w:eastAsia="es-ES"/>
    </w:rPr>
  </w:style>
  <w:style w:type="paragraph" w:customStyle="1" w:styleId="SubtituloDocumento">
    <w:name w:val="Subtitulo Documento"/>
    <w:basedOn w:val="Normal"/>
    <w:rsid w:val="00E015AF"/>
    <w:pPr>
      <w:spacing w:after="0"/>
      <w:contextualSpacing w:val="0"/>
      <w:jc w:val="right"/>
    </w:pPr>
    <w:rPr>
      <w:rFonts w:ascii="Arial Black" w:eastAsia="Times New Roman" w:hAnsi="Arial Black" w:cs="Arial"/>
      <w:sz w:val="32"/>
      <w:szCs w:val="20"/>
      <w:lang w:val="es-ES" w:eastAsia="es-ES"/>
    </w:rPr>
  </w:style>
  <w:style w:type="paragraph" w:customStyle="1" w:styleId="TtuloInforme">
    <w:name w:val="Título Informe"/>
    <w:basedOn w:val="Normal"/>
    <w:next w:val="Normal"/>
    <w:rsid w:val="00E015AF"/>
    <w:pPr>
      <w:spacing w:before="120" w:after="120"/>
      <w:contextualSpacing w:val="0"/>
      <w:jc w:val="center"/>
    </w:pPr>
    <w:rPr>
      <w:rFonts w:ascii="Arial" w:eastAsia="Times New Roman" w:hAnsi="Arial" w:cs="Arial"/>
      <w:color w:val="FF6309"/>
      <w:sz w:val="28"/>
      <w:szCs w:val="28"/>
      <w:lang w:val="es-ES" w:eastAsia="es-ES"/>
    </w:rPr>
  </w:style>
  <w:style w:type="character" w:customStyle="1" w:styleId="TtuloInformeChar">
    <w:name w:val="Título Informe Char"/>
    <w:rsid w:val="00E015AF"/>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E015AF"/>
    <w:pPr>
      <w:spacing w:before="120" w:after="120"/>
      <w:contextualSpacing w:val="0"/>
      <w:jc w:val="both"/>
    </w:pPr>
    <w:rPr>
      <w:rFonts w:ascii="Arial" w:eastAsia="Times New Roman" w:hAnsi="Arial" w:cs="Arial"/>
      <w:color w:val="808080"/>
      <w:szCs w:val="24"/>
      <w:lang w:val="es-ES" w:eastAsia="es-ES"/>
    </w:rPr>
  </w:style>
  <w:style w:type="character" w:customStyle="1" w:styleId="SubtuloInformeChar">
    <w:name w:val="Subítulo Informe Char"/>
    <w:rsid w:val="00E015AF"/>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E015AF"/>
    <w:pPr>
      <w:widowControl/>
      <w:adjustRightInd/>
      <w:spacing w:before="0" w:after="240" w:line="240" w:lineRule="auto"/>
      <w:contextualSpacing w:val="0"/>
      <w:textAlignment w:val="auto"/>
    </w:pPr>
    <w:rPr>
      <w:rFonts w:ascii="Bookman Old Style" w:hAnsi="Bookman Old Style"/>
      <w:i/>
      <w:iCs/>
      <w:color w:val="808080"/>
    </w:rPr>
  </w:style>
  <w:style w:type="paragraph" w:styleId="Tabladeilustraciones">
    <w:name w:val="table of figures"/>
    <w:basedOn w:val="Normal"/>
    <w:next w:val="Normal"/>
    <w:rsid w:val="00E015AF"/>
    <w:pPr>
      <w:spacing w:before="120" w:after="120"/>
      <w:contextualSpacing w:val="0"/>
      <w:jc w:val="both"/>
    </w:pPr>
    <w:rPr>
      <w:rFonts w:ascii="Arial" w:eastAsia="Times New Roman" w:hAnsi="Arial" w:cs="Arial"/>
      <w:sz w:val="20"/>
      <w:szCs w:val="20"/>
      <w:lang w:val="es-ES" w:eastAsia="es-ES"/>
    </w:rPr>
  </w:style>
  <w:style w:type="paragraph" w:customStyle="1" w:styleId="CUERPOTEXTO">
    <w:name w:val="CUERPO TEXTO"/>
    <w:rsid w:val="00E015AF"/>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c92">
    <w:name w:val="c92"/>
    <w:basedOn w:val="Normal"/>
    <w:uiPriority w:val="99"/>
    <w:rsid w:val="00E015AF"/>
    <w:pPr>
      <w:widowControl w:val="0"/>
      <w:autoSpaceDE w:val="0"/>
      <w:autoSpaceDN w:val="0"/>
      <w:adjustRightInd w:val="0"/>
      <w:spacing w:after="0" w:line="240" w:lineRule="atLeast"/>
      <w:contextualSpacing w:val="0"/>
      <w:jc w:val="center"/>
    </w:pPr>
    <w:rPr>
      <w:rFonts w:ascii="Times New Roman" w:eastAsia="Times New Roman" w:hAnsi="Times New Roman" w:cs="Times New Roman"/>
      <w:szCs w:val="24"/>
      <w:lang w:val="en-US" w:eastAsia="es-CO"/>
    </w:rPr>
  </w:style>
  <w:style w:type="paragraph" w:customStyle="1" w:styleId="p93">
    <w:name w:val="p93"/>
    <w:basedOn w:val="Normal"/>
    <w:uiPriority w:val="99"/>
    <w:rsid w:val="00E015AF"/>
    <w:pPr>
      <w:widowControl w:val="0"/>
      <w:tabs>
        <w:tab w:val="left" w:pos="3526"/>
      </w:tabs>
      <w:autoSpaceDE w:val="0"/>
      <w:autoSpaceDN w:val="0"/>
      <w:adjustRightInd w:val="0"/>
      <w:spacing w:after="0" w:line="240" w:lineRule="atLeast"/>
      <w:ind w:left="726"/>
      <w:contextualSpacing w:val="0"/>
    </w:pPr>
    <w:rPr>
      <w:rFonts w:ascii="Times New Roman" w:eastAsia="Times New Roman" w:hAnsi="Times New Roman" w:cs="Times New Roman"/>
      <w:szCs w:val="24"/>
      <w:lang w:val="en-US" w:eastAsia="es-CO"/>
    </w:rPr>
  </w:style>
  <w:style w:type="paragraph" w:customStyle="1" w:styleId="Estilo3">
    <w:name w:val="Estilo3"/>
    <w:basedOn w:val="Ttulo"/>
    <w:qFormat/>
    <w:rsid w:val="00E015AF"/>
    <w:pPr>
      <w:widowControl/>
      <w:adjustRightInd/>
      <w:spacing w:line="240" w:lineRule="auto"/>
      <w:ind w:left="0"/>
      <w:contextualSpacing w:val="0"/>
      <w:jc w:val="left"/>
      <w:textAlignment w:val="auto"/>
    </w:pPr>
    <w:rPr>
      <w:rFonts w:cs="Times New Roman"/>
      <w:b w:val="0"/>
      <w:bCs w:val="0"/>
      <w:sz w:val="22"/>
      <w:szCs w:val="20"/>
      <w:lang w:val="es-ES_tradnl" w:eastAsia="es-CO"/>
    </w:rPr>
  </w:style>
  <w:style w:type="paragraph" w:customStyle="1" w:styleId="Estilo5">
    <w:name w:val="Estilo5"/>
    <w:basedOn w:val="Estilo1"/>
    <w:qFormat/>
    <w:rsid w:val="00E015AF"/>
    <w:pPr>
      <w:keepNext/>
      <w:numPr>
        <w:numId w:val="15"/>
      </w:numPr>
      <w:shd w:val="clear" w:color="auto" w:fill="auto"/>
      <w:spacing w:before="240" w:after="60"/>
      <w:contextualSpacing w:val="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xl75">
    <w:name w:val="xl75"/>
    <w:basedOn w:val="Normal"/>
    <w:rsid w:val="00E015AF"/>
    <w:pP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76">
    <w:name w:val="xl76"/>
    <w:basedOn w:val="Normal"/>
    <w:rsid w:val="00E015AF"/>
    <w:pP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77">
    <w:name w:val="xl77"/>
    <w:basedOn w:val="Normal"/>
    <w:rsid w:val="00E015AF"/>
    <w:pP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78">
    <w:name w:val="xl78"/>
    <w:basedOn w:val="Normal"/>
    <w:rsid w:val="00E015AF"/>
    <w:pPr>
      <w:pBdr>
        <w:bottom w:val="single" w:sz="4" w:space="0" w:color="auto"/>
      </w:pBd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79">
    <w:name w:val="xl79"/>
    <w:basedOn w:val="Normal"/>
    <w:rsid w:val="00E015AF"/>
    <w:pP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80">
    <w:name w:val="xl80"/>
    <w:basedOn w:val="Normal"/>
    <w:rsid w:val="00E015AF"/>
    <w:pPr>
      <w:shd w:val="clear" w:color="000000" w:fill="FFFFFF"/>
      <w:spacing w:before="100" w:beforeAutospacing="1" w:after="100" w:afterAutospacing="1"/>
      <w:contextualSpacing w:val="0"/>
    </w:pPr>
    <w:rPr>
      <w:rFonts w:eastAsia="Times New Roman" w:cs="Times New Roman"/>
      <w:color w:val="FF0000"/>
      <w:szCs w:val="24"/>
      <w:lang w:eastAsia="es-CO"/>
    </w:rPr>
  </w:style>
  <w:style w:type="paragraph" w:customStyle="1" w:styleId="xl81">
    <w:name w:val="xl81"/>
    <w:basedOn w:val="Normal"/>
    <w:rsid w:val="00E015AF"/>
    <w:pPr>
      <w:pBdr>
        <w:top w:val="single" w:sz="4" w:space="0" w:color="auto"/>
      </w:pBdr>
      <w:shd w:val="clear" w:color="000000" w:fill="FFFFFF"/>
      <w:spacing w:before="100" w:beforeAutospacing="1" w:after="100" w:afterAutospacing="1"/>
      <w:contextualSpacing w:val="0"/>
      <w:jc w:val="center"/>
    </w:pPr>
    <w:rPr>
      <w:rFonts w:eastAsia="Times New Roman" w:cs="Times New Roman"/>
      <w:b/>
      <w:bCs/>
      <w:szCs w:val="24"/>
      <w:lang w:eastAsia="es-CO"/>
    </w:rPr>
  </w:style>
  <w:style w:type="paragraph" w:customStyle="1" w:styleId="xl82">
    <w:name w:val="xl82"/>
    <w:basedOn w:val="Normal"/>
    <w:rsid w:val="00E015AF"/>
    <w:pPr>
      <w:pBdr>
        <w:top w:val="single" w:sz="4" w:space="0" w:color="auto"/>
      </w:pBd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83">
    <w:name w:val="xl83"/>
    <w:basedOn w:val="Normal"/>
    <w:rsid w:val="00E015AF"/>
    <w:pPr>
      <w:pBdr>
        <w:top w:val="single" w:sz="4" w:space="0" w:color="auto"/>
      </w:pBd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84">
    <w:name w:val="xl84"/>
    <w:basedOn w:val="Normal"/>
    <w:rsid w:val="00E015AF"/>
    <w:pPr>
      <w:pBdr>
        <w:bottom w:val="single" w:sz="4" w:space="0" w:color="auto"/>
      </w:pBdr>
      <w:shd w:val="clear" w:color="000000" w:fill="FFFFFF"/>
      <w:spacing w:before="100" w:beforeAutospacing="1" w:after="100" w:afterAutospacing="1"/>
      <w:contextualSpacing w:val="0"/>
    </w:pPr>
    <w:rPr>
      <w:rFonts w:eastAsia="Times New Roman" w:cs="Times New Roman"/>
      <w:sz w:val="20"/>
      <w:szCs w:val="20"/>
      <w:lang w:eastAsia="es-CO"/>
    </w:rPr>
  </w:style>
  <w:style w:type="paragraph" w:customStyle="1" w:styleId="xl85">
    <w:name w:val="xl85"/>
    <w:basedOn w:val="Normal"/>
    <w:rsid w:val="00E015AF"/>
    <w:pPr>
      <w:shd w:val="clear" w:color="000000" w:fill="FFFFFF"/>
      <w:spacing w:before="100" w:beforeAutospacing="1" w:after="100" w:afterAutospacing="1"/>
      <w:contextualSpacing w:val="0"/>
    </w:pPr>
    <w:rPr>
      <w:rFonts w:eastAsia="Times New Roman" w:cs="Times New Roman"/>
      <w:color w:val="000000"/>
      <w:sz w:val="18"/>
      <w:szCs w:val="18"/>
      <w:lang w:eastAsia="es-CO"/>
    </w:rPr>
  </w:style>
  <w:style w:type="paragraph" w:customStyle="1" w:styleId="xl86">
    <w:name w:val="xl86"/>
    <w:basedOn w:val="Normal"/>
    <w:rsid w:val="00E015AF"/>
    <w:pPr>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87">
    <w:name w:val="xl87"/>
    <w:basedOn w:val="Normal"/>
    <w:rsid w:val="00E015AF"/>
    <w:pPr>
      <w:shd w:val="clear" w:color="000000" w:fill="FFFFFF"/>
      <w:spacing w:before="100" w:beforeAutospacing="1" w:after="100" w:afterAutospacing="1"/>
      <w:contextualSpacing w:val="0"/>
    </w:pPr>
    <w:rPr>
      <w:rFonts w:eastAsia="Times New Roman" w:cs="Times New Roman"/>
      <w:color w:val="000000"/>
      <w:sz w:val="18"/>
      <w:szCs w:val="18"/>
      <w:lang w:eastAsia="es-CO"/>
    </w:rPr>
  </w:style>
  <w:style w:type="paragraph" w:customStyle="1" w:styleId="xl88">
    <w:name w:val="xl88"/>
    <w:basedOn w:val="Normal"/>
    <w:rsid w:val="00E015AF"/>
    <w:pPr>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89">
    <w:name w:val="xl89"/>
    <w:basedOn w:val="Normal"/>
    <w:rsid w:val="00E015AF"/>
    <w:pP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90">
    <w:name w:val="xl90"/>
    <w:basedOn w:val="Normal"/>
    <w:rsid w:val="00E015AF"/>
    <w:pP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91">
    <w:name w:val="xl91"/>
    <w:basedOn w:val="Normal"/>
    <w:rsid w:val="00E015AF"/>
    <w:pPr>
      <w:shd w:val="clear" w:color="000000" w:fill="FFFFFF"/>
      <w:spacing w:before="100" w:beforeAutospacing="1" w:after="100" w:afterAutospacing="1"/>
      <w:contextualSpacing w:val="0"/>
    </w:pPr>
    <w:rPr>
      <w:rFonts w:eastAsia="Times New Roman" w:cs="Times New Roman"/>
      <w:b/>
      <w:bCs/>
      <w:sz w:val="18"/>
      <w:szCs w:val="18"/>
      <w:lang w:eastAsia="es-CO"/>
    </w:rPr>
  </w:style>
  <w:style w:type="paragraph" w:customStyle="1" w:styleId="xl92">
    <w:name w:val="xl92"/>
    <w:basedOn w:val="Normal"/>
    <w:rsid w:val="00E015AF"/>
    <w:pPr>
      <w:shd w:val="clear" w:color="000000" w:fill="FFFFFF"/>
      <w:spacing w:before="100" w:beforeAutospacing="1" w:after="100" w:afterAutospacing="1"/>
      <w:contextualSpacing w:val="0"/>
      <w:jc w:val="center"/>
    </w:pPr>
    <w:rPr>
      <w:rFonts w:eastAsia="Times New Roman" w:cs="Times New Roman"/>
      <w:sz w:val="18"/>
      <w:szCs w:val="18"/>
      <w:lang w:eastAsia="es-CO"/>
    </w:rPr>
  </w:style>
  <w:style w:type="paragraph" w:customStyle="1" w:styleId="xl93">
    <w:name w:val="xl93"/>
    <w:basedOn w:val="Normal"/>
    <w:rsid w:val="00E015AF"/>
    <w:pPr>
      <w:shd w:val="clear" w:color="000000" w:fill="FFFFFF"/>
      <w:spacing w:before="100" w:beforeAutospacing="1" w:after="100" w:afterAutospacing="1"/>
      <w:contextualSpacing w:val="0"/>
      <w:jc w:val="center"/>
      <w:textAlignment w:val="center"/>
    </w:pPr>
    <w:rPr>
      <w:rFonts w:eastAsia="Times New Roman" w:cs="Times New Roman"/>
      <w:sz w:val="18"/>
      <w:szCs w:val="18"/>
      <w:lang w:eastAsia="es-CO"/>
    </w:rPr>
  </w:style>
  <w:style w:type="paragraph" w:customStyle="1" w:styleId="xl94">
    <w:name w:val="xl94"/>
    <w:basedOn w:val="Normal"/>
    <w:rsid w:val="00E015AF"/>
    <w:pPr>
      <w:shd w:val="clear" w:color="000000" w:fill="FFFFFF"/>
      <w:spacing w:before="100" w:beforeAutospacing="1" w:after="100" w:afterAutospacing="1"/>
      <w:contextualSpacing w:val="0"/>
    </w:pPr>
    <w:rPr>
      <w:rFonts w:eastAsia="Times New Roman" w:cs="Times New Roman"/>
      <w:sz w:val="18"/>
      <w:szCs w:val="18"/>
      <w:lang w:eastAsia="es-CO"/>
    </w:rPr>
  </w:style>
  <w:style w:type="paragraph" w:customStyle="1" w:styleId="xl95">
    <w:name w:val="xl95"/>
    <w:basedOn w:val="Normal"/>
    <w:rsid w:val="00E015AF"/>
    <w:pP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96">
    <w:name w:val="xl96"/>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97">
    <w:name w:val="xl97"/>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98">
    <w:name w:val="xl98"/>
    <w:basedOn w:val="Normal"/>
    <w:rsid w:val="00E015AF"/>
    <w:pPr>
      <w:shd w:val="clear" w:color="000000" w:fill="FFFFFF"/>
      <w:spacing w:before="100" w:beforeAutospacing="1" w:after="100" w:afterAutospacing="1"/>
      <w:contextualSpacing w:val="0"/>
      <w:textAlignment w:val="center"/>
    </w:pPr>
    <w:rPr>
      <w:rFonts w:eastAsia="Times New Roman" w:cs="Times New Roman"/>
      <w:szCs w:val="24"/>
      <w:lang w:eastAsia="es-CO"/>
    </w:rPr>
  </w:style>
  <w:style w:type="paragraph" w:customStyle="1" w:styleId="xl99">
    <w:name w:val="xl99"/>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100">
    <w:name w:val="xl100"/>
    <w:basedOn w:val="Normal"/>
    <w:rsid w:val="00E015AF"/>
    <w:pPr>
      <w:shd w:val="clear" w:color="000000" w:fill="FFFFFF"/>
      <w:spacing w:before="100" w:beforeAutospacing="1" w:after="100" w:afterAutospacing="1"/>
      <w:contextualSpacing w:val="0"/>
    </w:pPr>
    <w:rPr>
      <w:rFonts w:eastAsia="Times New Roman" w:cs="Times New Roman"/>
      <w:b/>
      <w:bCs/>
      <w:sz w:val="18"/>
      <w:szCs w:val="18"/>
      <w:lang w:eastAsia="es-CO"/>
    </w:rPr>
  </w:style>
  <w:style w:type="paragraph" w:customStyle="1" w:styleId="xl101">
    <w:name w:val="xl101"/>
    <w:basedOn w:val="Normal"/>
    <w:rsid w:val="00E015AF"/>
    <w:pPr>
      <w:shd w:val="clear" w:color="000000" w:fill="FFFFFF"/>
      <w:spacing w:before="100" w:beforeAutospacing="1" w:after="100" w:afterAutospacing="1"/>
      <w:contextualSpacing w:val="0"/>
    </w:pPr>
    <w:rPr>
      <w:rFonts w:eastAsia="Times New Roman" w:cs="Times New Roman"/>
      <w:sz w:val="18"/>
      <w:szCs w:val="18"/>
      <w:lang w:eastAsia="es-CO"/>
    </w:rPr>
  </w:style>
  <w:style w:type="paragraph" w:customStyle="1" w:styleId="xl102">
    <w:name w:val="xl102"/>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3">
    <w:name w:val="xl103"/>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4">
    <w:name w:val="xl104"/>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5">
    <w:name w:val="xl105"/>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6">
    <w:name w:val="xl106"/>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107">
    <w:name w:val="xl107"/>
    <w:basedOn w:val="Normal"/>
    <w:rsid w:val="00E015AF"/>
    <w:pPr>
      <w:pBdr>
        <w:top w:val="single" w:sz="4" w:space="0" w:color="auto"/>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108">
    <w:name w:val="xl108"/>
    <w:basedOn w:val="Normal"/>
    <w:rsid w:val="00E015AF"/>
    <w:pPr>
      <w:pBdr>
        <w:top w:val="single" w:sz="4" w:space="0" w:color="auto"/>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109">
    <w:name w:val="xl109"/>
    <w:basedOn w:val="Normal"/>
    <w:rsid w:val="00E015AF"/>
    <w:pPr>
      <w:pBdr>
        <w:top w:val="single" w:sz="4" w:space="0" w:color="auto"/>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110">
    <w:name w:val="xl110"/>
    <w:basedOn w:val="Normal"/>
    <w:rsid w:val="00E015AF"/>
    <w:pPr>
      <w:pBdr>
        <w:bottom w:val="single" w:sz="8" w:space="0" w:color="auto"/>
      </w:pBd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111">
    <w:name w:val="xl111"/>
    <w:basedOn w:val="Normal"/>
    <w:rsid w:val="00E015AF"/>
    <w:pPr>
      <w:pBdr>
        <w:bottom w:val="single" w:sz="8" w:space="0" w:color="auto"/>
      </w:pBd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112">
    <w:name w:val="xl112"/>
    <w:basedOn w:val="Normal"/>
    <w:rsid w:val="00E015AF"/>
    <w:pPr>
      <w:pBdr>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sz w:val="18"/>
      <w:szCs w:val="18"/>
      <w:lang w:eastAsia="es-CO"/>
    </w:rPr>
  </w:style>
  <w:style w:type="paragraph" w:customStyle="1" w:styleId="xl113">
    <w:name w:val="xl113"/>
    <w:basedOn w:val="Normal"/>
    <w:rsid w:val="00E015AF"/>
    <w:pPr>
      <w:pBdr>
        <w:bottom w:val="single" w:sz="8" w:space="0" w:color="auto"/>
      </w:pBd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114">
    <w:name w:val="xl114"/>
    <w:basedOn w:val="Normal"/>
    <w:rsid w:val="00E015AF"/>
    <w:pPr>
      <w:pBdr>
        <w:bottom w:val="single" w:sz="8" w:space="0" w:color="auto"/>
      </w:pBdr>
      <w:shd w:val="clear" w:color="000000" w:fill="FFFFFF"/>
      <w:spacing w:before="100" w:beforeAutospacing="1" w:after="100" w:afterAutospacing="1"/>
      <w:contextualSpacing w:val="0"/>
    </w:pPr>
    <w:rPr>
      <w:rFonts w:eastAsia="Times New Roman" w:cs="Times New Roman"/>
      <w:sz w:val="18"/>
      <w:szCs w:val="18"/>
      <w:lang w:eastAsia="es-CO"/>
    </w:rPr>
  </w:style>
  <w:style w:type="paragraph" w:customStyle="1" w:styleId="Tit1">
    <w:name w:val="Tit1"/>
    <w:basedOn w:val="Ttulo1"/>
    <w:next w:val="Normal"/>
    <w:qFormat/>
    <w:rsid w:val="00027FF9"/>
    <w:pPr>
      <w:numPr>
        <w:numId w:val="29"/>
      </w:numPr>
      <w:ind w:left="357" w:hanging="357"/>
      <w:jc w:val="left"/>
    </w:pPr>
    <w:rPr>
      <w:rFonts w:ascii="Bookman Old Style" w:hAnsi="Bookman Old Style"/>
    </w:rPr>
  </w:style>
  <w:style w:type="paragraph" w:customStyle="1" w:styleId="font7">
    <w:name w:val="font7"/>
    <w:basedOn w:val="Normal"/>
    <w:rsid w:val="00966D8C"/>
    <w:pPr>
      <w:spacing w:before="100" w:beforeAutospacing="1" w:after="100" w:afterAutospacing="1"/>
      <w:contextualSpacing w:val="0"/>
    </w:pPr>
    <w:rPr>
      <w:rFonts w:ascii="Calibri" w:eastAsia="Times New Roman" w:hAnsi="Calibri" w:cs="Calibri"/>
      <w:color w:val="000000"/>
      <w:sz w:val="20"/>
      <w:szCs w:val="20"/>
      <w:lang w:eastAsia="es-MX"/>
    </w:rPr>
  </w:style>
  <w:style w:type="paragraph" w:customStyle="1" w:styleId="font8">
    <w:name w:val="font8"/>
    <w:basedOn w:val="Normal"/>
    <w:rsid w:val="00966D8C"/>
    <w:pPr>
      <w:spacing w:before="100" w:beforeAutospacing="1" w:after="100" w:afterAutospacing="1"/>
      <w:contextualSpacing w:val="0"/>
    </w:pPr>
    <w:rPr>
      <w:rFonts w:ascii="Calibri" w:eastAsia="Times New Roman" w:hAnsi="Calibri" w:cs="Calibri"/>
      <w:color w:val="000000"/>
      <w:sz w:val="20"/>
      <w:szCs w:val="20"/>
      <w:lang w:eastAsia="es-MX"/>
    </w:rPr>
  </w:style>
  <w:style w:type="paragraph" w:customStyle="1" w:styleId="font9">
    <w:name w:val="font9"/>
    <w:basedOn w:val="Normal"/>
    <w:rsid w:val="00966D8C"/>
    <w:pPr>
      <w:spacing w:before="100" w:beforeAutospacing="1" w:after="100" w:afterAutospacing="1"/>
      <w:contextualSpacing w:val="0"/>
    </w:pPr>
    <w:rPr>
      <w:rFonts w:ascii="Calibri" w:eastAsia="Times New Roman" w:hAnsi="Calibri" w:cs="Calibri"/>
      <w:b/>
      <w:bCs/>
      <w:color w:val="000000"/>
      <w:sz w:val="36"/>
      <w:szCs w:val="36"/>
      <w:lang w:eastAsia="es-MX"/>
    </w:rPr>
  </w:style>
  <w:style w:type="paragraph" w:customStyle="1" w:styleId="font10">
    <w:name w:val="font10"/>
    <w:basedOn w:val="Normal"/>
    <w:rsid w:val="00966D8C"/>
    <w:pPr>
      <w:spacing w:before="100" w:beforeAutospacing="1" w:after="100" w:afterAutospacing="1"/>
      <w:contextualSpacing w:val="0"/>
    </w:pPr>
    <w:rPr>
      <w:rFonts w:ascii="Calibri" w:eastAsia="Times New Roman" w:hAnsi="Calibri" w:cs="Calibri"/>
      <w:b/>
      <w:bCs/>
      <w:color w:val="000000"/>
      <w:sz w:val="20"/>
      <w:szCs w:val="20"/>
      <w:lang w:eastAsia="es-MX"/>
    </w:rPr>
  </w:style>
  <w:style w:type="paragraph" w:customStyle="1" w:styleId="font11">
    <w:name w:val="font11"/>
    <w:basedOn w:val="Normal"/>
    <w:rsid w:val="00966D8C"/>
    <w:pPr>
      <w:spacing w:before="100" w:beforeAutospacing="1" w:after="100" w:afterAutospacing="1"/>
      <w:contextualSpacing w:val="0"/>
    </w:pPr>
    <w:rPr>
      <w:rFonts w:ascii="Calibri" w:eastAsia="Times New Roman" w:hAnsi="Calibri" w:cs="Calibri"/>
      <w:color w:val="000000"/>
      <w:sz w:val="8"/>
      <w:szCs w:val="8"/>
      <w:lang w:eastAsia="es-MX"/>
    </w:rPr>
  </w:style>
  <w:style w:type="paragraph" w:customStyle="1" w:styleId="xl122">
    <w:name w:val="xl122"/>
    <w:basedOn w:val="Normal"/>
    <w:rsid w:val="00966D8C"/>
    <w:pPr>
      <w:spacing w:before="100" w:beforeAutospacing="1" w:after="100" w:afterAutospacing="1"/>
      <w:contextualSpacing w:val="0"/>
      <w:jc w:val="center"/>
    </w:pPr>
    <w:rPr>
      <w:rFonts w:ascii="Times New Roman" w:eastAsia="Times New Roman" w:hAnsi="Times New Roman" w:cs="Times New Roman"/>
      <w:szCs w:val="24"/>
      <w:lang w:eastAsia="es-MX"/>
    </w:rPr>
  </w:style>
  <w:style w:type="paragraph" w:customStyle="1" w:styleId="xl123">
    <w:name w:val="xl123"/>
    <w:basedOn w:val="Normal"/>
    <w:rsid w:val="00966D8C"/>
    <w:pPr>
      <w:shd w:val="clear" w:color="000000" w:fill="808080"/>
      <w:spacing w:before="100" w:beforeAutospacing="1" w:after="100" w:afterAutospacing="1"/>
      <w:contextualSpacing w:val="0"/>
      <w:jc w:val="center"/>
      <w:textAlignment w:val="center"/>
    </w:pPr>
    <w:rPr>
      <w:rFonts w:eastAsia="Times New Roman" w:cs="Times New Roman"/>
      <w:b/>
      <w:bCs/>
      <w:color w:val="FFFFFF"/>
      <w:sz w:val="20"/>
      <w:szCs w:val="20"/>
      <w:lang w:eastAsia="es-MX"/>
    </w:rPr>
  </w:style>
  <w:style w:type="paragraph" w:customStyle="1" w:styleId="xl124">
    <w:name w:val="xl124"/>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25">
    <w:name w:val="xl125"/>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26">
    <w:name w:val="xl126"/>
    <w:basedOn w:val="Normal"/>
    <w:rsid w:val="00966D8C"/>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27">
    <w:name w:val="xl127"/>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28">
    <w:name w:val="xl128"/>
    <w:basedOn w:val="Normal"/>
    <w:rsid w:val="00966D8C"/>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29">
    <w:name w:val="xl129"/>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30">
    <w:name w:val="xl130"/>
    <w:basedOn w:val="Normal"/>
    <w:rsid w:val="00966D8C"/>
    <w:pPr>
      <w:pBdr>
        <w:top w:val="single" w:sz="4" w:space="0" w:color="C9C9C9"/>
        <w:left w:val="single" w:sz="4" w:space="0" w:color="C9C9C9"/>
        <w:bottom w:val="single" w:sz="4" w:space="0" w:color="C9C9C9"/>
        <w:right w:val="single" w:sz="4" w:space="0" w:color="C9C9C9"/>
      </w:pBdr>
      <w:spacing w:before="100" w:beforeAutospacing="1" w:after="100" w:afterAutospacing="1"/>
      <w:contextualSpacing w:val="0"/>
      <w:jc w:val="center"/>
      <w:textAlignment w:val="center"/>
    </w:pPr>
    <w:rPr>
      <w:rFonts w:eastAsia="Times New Roman" w:cs="Times New Roman"/>
      <w:b/>
      <w:bCs/>
      <w:sz w:val="20"/>
      <w:szCs w:val="20"/>
      <w:lang w:eastAsia="es-MX"/>
    </w:rPr>
  </w:style>
  <w:style w:type="paragraph" w:customStyle="1" w:styleId="xl131">
    <w:name w:val="xl131"/>
    <w:basedOn w:val="Normal"/>
    <w:rsid w:val="00966D8C"/>
    <w:pPr>
      <w:spacing w:before="100" w:beforeAutospacing="1" w:after="100" w:afterAutospacing="1"/>
      <w:contextualSpacing w:val="0"/>
    </w:pPr>
    <w:rPr>
      <w:rFonts w:eastAsia="Times New Roman" w:cs="Times New Roman"/>
      <w:b/>
      <w:bCs/>
      <w:sz w:val="20"/>
      <w:szCs w:val="20"/>
      <w:lang w:eastAsia="es-MX"/>
    </w:rPr>
  </w:style>
  <w:style w:type="paragraph" w:customStyle="1" w:styleId="xl132">
    <w:name w:val="xl132"/>
    <w:basedOn w:val="Normal"/>
    <w:rsid w:val="00966D8C"/>
    <w:pPr>
      <w:pBdr>
        <w:top w:val="single" w:sz="4" w:space="0" w:color="C9C9C9"/>
        <w:left w:val="single" w:sz="4" w:space="0" w:color="C9C9C9"/>
        <w:bottom w:val="single" w:sz="4" w:space="0" w:color="C9C9C9"/>
        <w:right w:val="single" w:sz="4" w:space="0" w:color="C9C9C9"/>
      </w:pBdr>
      <w:spacing w:before="100" w:beforeAutospacing="1" w:after="100" w:afterAutospacing="1"/>
      <w:contextualSpacing w:val="0"/>
      <w:jc w:val="center"/>
      <w:textAlignment w:val="center"/>
    </w:pPr>
    <w:rPr>
      <w:rFonts w:eastAsia="Times New Roman" w:cs="Times New Roman"/>
      <w:b/>
      <w:bCs/>
      <w:sz w:val="20"/>
      <w:szCs w:val="20"/>
      <w:lang w:eastAsia="es-MX"/>
    </w:rPr>
  </w:style>
  <w:style w:type="paragraph" w:customStyle="1" w:styleId="xl133">
    <w:name w:val="xl133"/>
    <w:basedOn w:val="Normal"/>
    <w:rsid w:val="00966D8C"/>
    <w:pPr>
      <w:pBdr>
        <w:top w:val="single" w:sz="4" w:space="0" w:color="BFBFBF"/>
        <w:left w:val="single" w:sz="4" w:space="0" w:color="BFBFBF"/>
        <w:bottom w:val="single" w:sz="4" w:space="0" w:color="BFBFBF"/>
        <w:right w:val="single" w:sz="4" w:space="0" w:color="BFBFBF"/>
      </w:pBdr>
      <w:spacing w:before="100" w:beforeAutospacing="1" w:after="100" w:afterAutospacing="1"/>
      <w:contextualSpacing w:val="0"/>
      <w:jc w:val="center"/>
      <w:textAlignment w:val="center"/>
    </w:pPr>
    <w:rPr>
      <w:rFonts w:eastAsia="Times New Roman" w:cs="Times New Roman"/>
      <w:b/>
      <w:bCs/>
      <w:sz w:val="20"/>
      <w:szCs w:val="20"/>
      <w:lang w:eastAsia="es-MX"/>
    </w:rPr>
  </w:style>
  <w:style w:type="paragraph" w:customStyle="1" w:styleId="xl134">
    <w:name w:val="xl134"/>
    <w:basedOn w:val="Normal"/>
    <w:rsid w:val="00966D8C"/>
    <w:pPr>
      <w:spacing w:before="100" w:beforeAutospacing="1" w:after="100" w:afterAutospacing="1"/>
      <w:contextualSpacing w:val="0"/>
      <w:jc w:val="center"/>
      <w:textAlignment w:val="center"/>
    </w:pPr>
    <w:rPr>
      <w:rFonts w:eastAsia="Times New Roman" w:cs="Times New Roman"/>
      <w:sz w:val="20"/>
      <w:szCs w:val="20"/>
      <w:lang w:eastAsia="es-MX"/>
    </w:rPr>
  </w:style>
  <w:style w:type="paragraph" w:customStyle="1" w:styleId="xl135">
    <w:name w:val="xl135"/>
    <w:basedOn w:val="Normal"/>
    <w:rsid w:val="00966D8C"/>
    <w:pPr>
      <w:spacing w:before="100" w:beforeAutospacing="1" w:after="100" w:afterAutospacing="1"/>
      <w:contextualSpacing w:val="0"/>
      <w:jc w:val="center"/>
    </w:pPr>
    <w:rPr>
      <w:rFonts w:eastAsia="Times New Roman" w:cs="Times New Roman"/>
      <w:b/>
      <w:bCs/>
      <w:sz w:val="20"/>
      <w:szCs w:val="20"/>
      <w:lang w:eastAsia="es-MX"/>
    </w:rPr>
  </w:style>
  <w:style w:type="paragraph" w:customStyle="1" w:styleId="xl136">
    <w:name w:val="xl136"/>
    <w:basedOn w:val="Normal"/>
    <w:rsid w:val="00966D8C"/>
    <w:pPr>
      <w:spacing w:before="100" w:beforeAutospacing="1" w:after="100" w:afterAutospacing="1"/>
      <w:contextualSpacing w:val="0"/>
      <w:jc w:val="center"/>
    </w:pPr>
    <w:rPr>
      <w:rFonts w:eastAsia="Times New Roman" w:cs="Times New Roman"/>
      <w:b/>
      <w:bCs/>
      <w:sz w:val="20"/>
      <w:szCs w:val="20"/>
      <w:lang w:eastAsia="es-MX"/>
    </w:rPr>
  </w:style>
  <w:style w:type="paragraph" w:customStyle="1" w:styleId="xl137">
    <w:name w:val="xl137"/>
    <w:basedOn w:val="Normal"/>
    <w:rsid w:val="00966D8C"/>
    <w:pPr>
      <w:spacing w:before="100" w:beforeAutospacing="1" w:after="100" w:afterAutospacing="1"/>
      <w:contextualSpacing w:val="0"/>
    </w:pPr>
    <w:rPr>
      <w:rFonts w:eastAsia="Times New Roman" w:cs="Times New Roman"/>
      <w:b/>
      <w:bCs/>
      <w:sz w:val="20"/>
      <w:szCs w:val="20"/>
      <w:lang w:eastAsia="es-MX"/>
    </w:rPr>
  </w:style>
  <w:style w:type="paragraph" w:customStyle="1" w:styleId="xl138">
    <w:name w:val="xl138"/>
    <w:basedOn w:val="Normal"/>
    <w:rsid w:val="00820006"/>
    <w:pPr>
      <w:spacing w:before="100" w:beforeAutospacing="1" w:after="100" w:afterAutospacing="1"/>
      <w:contextualSpacing w:val="0"/>
      <w:jc w:val="center"/>
    </w:pPr>
    <w:rPr>
      <w:rFonts w:eastAsia="Times New Roman" w:cs="Times New Roman"/>
      <w:b/>
      <w:bCs/>
      <w:sz w:val="20"/>
      <w:szCs w:val="20"/>
      <w:lang w:eastAsia="es-MX"/>
    </w:rPr>
  </w:style>
  <w:style w:type="paragraph" w:customStyle="1" w:styleId="xl139">
    <w:name w:val="xl139"/>
    <w:basedOn w:val="Normal"/>
    <w:rsid w:val="00820006"/>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40">
    <w:name w:val="xl140"/>
    <w:basedOn w:val="Normal"/>
    <w:rsid w:val="00820006"/>
    <w:pPr>
      <w:pBdr>
        <w:top w:val="single" w:sz="4" w:space="0" w:color="A5A5A5"/>
        <w:left w:val="single" w:sz="4" w:space="0" w:color="A5A5A5"/>
        <w:bottom w:val="single" w:sz="4" w:space="0" w:color="A5A5A5"/>
        <w:right w:val="single" w:sz="4" w:space="0" w:color="A5A5A5"/>
      </w:pBdr>
      <w:shd w:val="clear" w:color="EDEDED" w:fill="F2F2F2"/>
      <w:spacing w:before="100" w:beforeAutospacing="1" w:after="100" w:afterAutospacing="1"/>
      <w:contextualSpacing w:val="0"/>
    </w:pPr>
    <w:rPr>
      <w:rFonts w:eastAsia="Times New Roman" w:cs="Times New Roman"/>
      <w:sz w:val="20"/>
      <w:szCs w:val="20"/>
      <w:lang w:eastAsia="es-MX"/>
    </w:rPr>
  </w:style>
  <w:style w:type="paragraph" w:customStyle="1" w:styleId="xl141">
    <w:name w:val="xl141"/>
    <w:basedOn w:val="Normal"/>
    <w:rsid w:val="00820006"/>
    <w:pPr>
      <w:spacing w:before="100" w:beforeAutospacing="1" w:after="100" w:afterAutospacing="1"/>
      <w:contextualSpacing w:val="0"/>
      <w:jc w:val="right"/>
    </w:pPr>
    <w:rPr>
      <w:rFonts w:eastAsia="Times New Roman" w:cs="Times New Roman"/>
      <w:sz w:val="20"/>
      <w:szCs w:val="20"/>
      <w:lang w:eastAsia="es-MX"/>
    </w:rPr>
  </w:style>
  <w:style w:type="paragraph" w:customStyle="1" w:styleId="xl142">
    <w:name w:val="xl142"/>
    <w:basedOn w:val="Normal"/>
    <w:rsid w:val="00820006"/>
    <w:pPr>
      <w:shd w:val="clear" w:color="000000" w:fill="808080"/>
      <w:spacing w:before="100" w:beforeAutospacing="1" w:after="100" w:afterAutospacing="1"/>
      <w:contextualSpacing w:val="0"/>
      <w:jc w:val="center"/>
      <w:textAlignment w:val="center"/>
    </w:pPr>
    <w:rPr>
      <w:rFonts w:eastAsia="Times New Roman" w:cs="Times New Roman"/>
      <w:b/>
      <w:bCs/>
      <w:color w:val="FFFFFF"/>
      <w:sz w:val="20"/>
      <w:szCs w:val="20"/>
      <w:lang w:eastAsia="es-MX"/>
    </w:rPr>
  </w:style>
  <w:style w:type="paragraph" w:customStyle="1" w:styleId="xl143">
    <w:name w:val="xl143"/>
    <w:basedOn w:val="Normal"/>
    <w:rsid w:val="00820006"/>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44">
    <w:name w:val="xl144"/>
    <w:basedOn w:val="Normal"/>
    <w:rsid w:val="00820006"/>
    <w:pPr>
      <w:spacing w:before="100" w:beforeAutospacing="1" w:after="100" w:afterAutospacing="1"/>
      <w:contextualSpacing w:val="0"/>
      <w:jc w:val="center"/>
      <w:textAlignment w:val="center"/>
    </w:pPr>
    <w:rPr>
      <w:rFonts w:eastAsia="Times New Roman" w:cs="Times New Roman"/>
      <w:sz w:val="20"/>
      <w:szCs w:val="20"/>
      <w:lang w:eastAsia="es-MX"/>
    </w:rPr>
  </w:style>
  <w:style w:type="character" w:styleId="Mencionar">
    <w:name w:val="Mention"/>
    <w:basedOn w:val="Fuentedeprrafopredeter"/>
    <w:uiPriority w:val="99"/>
    <w:unhideWhenUsed/>
    <w:rsid w:val="007242E7"/>
    <w:rPr>
      <w:color w:val="2B579A"/>
      <w:shd w:val="clear" w:color="auto" w:fill="E1DFDD"/>
    </w:rPr>
  </w:style>
  <w:style w:type="paragraph" w:customStyle="1" w:styleId="Default">
    <w:name w:val="Default"/>
    <w:rsid w:val="0081352D"/>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Fuentedeprrafopredeter"/>
    <w:rsid w:val="765146E2"/>
  </w:style>
  <w:style w:type="character" w:customStyle="1" w:styleId="ui-provider">
    <w:name w:val="ui-provider"/>
    <w:basedOn w:val="Fuentedeprrafopredeter"/>
    <w:rsid w:val="008851A3"/>
  </w:style>
  <w:style w:type="character" w:customStyle="1" w:styleId="eop">
    <w:name w:val="eop"/>
    <w:basedOn w:val="Fuentedeprrafopredeter"/>
    <w:rsid w:val="00B9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888">
      <w:bodyDiv w:val="1"/>
      <w:marLeft w:val="0"/>
      <w:marRight w:val="0"/>
      <w:marTop w:val="0"/>
      <w:marBottom w:val="0"/>
      <w:divBdr>
        <w:top w:val="none" w:sz="0" w:space="0" w:color="auto"/>
        <w:left w:val="none" w:sz="0" w:space="0" w:color="auto"/>
        <w:bottom w:val="none" w:sz="0" w:space="0" w:color="auto"/>
        <w:right w:val="none" w:sz="0" w:space="0" w:color="auto"/>
      </w:divBdr>
      <w:divsChild>
        <w:div w:id="782767586">
          <w:marLeft w:val="274"/>
          <w:marRight w:val="0"/>
          <w:marTop w:val="0"/>
          <w:marBottom w:val="120"/>
          <w:divBdr>
            <w:top w:val="none" w:sz="0" w:space="0" w:color="auto"/>
            <w:left w:val="none" w:sz="0" w:space="0" w:color="auto"/>
            <w:bottom w:val="none" w:sz="0" w:space="0" w:color="auto"/>
            <w:right w:val="none" w:sz="0" w:space="0" w:color="auto"/>
          </w:divBdr>
        </w:div>
      </w:divsChild>
    </w:div>
    <w:div w:id="18437935">
      <w:bodyDiv w:val="1"/>
      <w:marLeft w:val="0"/>
      <w:marRight w:val="0"/>
      <w:marTop w:val="0"/>
      <w:marBottom w:val="0"/>
      <w:divBdr>
        <w:top w:val="none" w:sz="0" w:space="0" w:color="auto"/>
        <w:left w:val="none" w:sz="0" w:space="0" w:color="auto"/>
        <w:bottom w:val="none" w:sz="0" w:space="0" w:color="auto"/>
        <w:right w:val="none" w:sz="0" w:space="0" w:color="auto"/>
      </w:divBdr>
    </w:div>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52316744">
      <w:bodyDiv w:val="1"/>
      <w:marLeft w:val="0"/>
      <w:marRight w:val="0"/>
      <w:marTop w:val="0"/>
      <w:marBottom w:val="0"/>
      <w:divBdr>
        <w:top w:val="none" w:sz="0" w:space="0" w:color="auto"/>
        <w:left w:val="none" w:sz="0" w:space="0" w:color="auto"/>
        <w:bottom w:val="none" w:sz="0" w:space="0" w:color="auto"/>
        <w:right w:val="none" w:sz="0" w:space="0" w:color="auto"/>
      </w:divBdr>
    </w:div>
    <w:div w:id="101339987">
      <w:bodyDiv w:val="1"/>
      <w:marLeft w:val="0"/>
      <w:marRight w:val="0"/>
      <w:marTop w:val="0"/>
      <w:marBottom w:val="0"/>
      <w:divBdr>
        <w:top w:val="none" w:sz="0" w:space="0" w:color="auto"/>
        <w:left w:val="none" w:sz="0" w:space="0" w:color="auto"/>
        <w:bottom w:val="none" w:sz="0" w:space="0" w:color="auto"/>
        <w:right w:val="none" w:sz="0" w:space="0" w:color="auto"/>
      </w:divBdr>
      <w:divsChild>
        <w:div w:id="979044069">
          <w:marLeft w:val="0"/>
          <w:marRight w:val="0"/>
          <w:marTop w:val="0"/>
          <w:marBottom w:val="0"/>
          <w:divBdr>
            <w:top w:val="none" w:sz="0" w:space="0" w:color="auto"/>
            <w:left w:val="none" w:sz="0" w:space="0" w:color="auto"/>
            <w:bottom w:val="none" w:sz="0" w:space="0" w:color="auto"/>
            <w:right w:val="none" w:sz="0" w:space="0" w:color="auto"/>
          </w:divBdr>
          <w:divsChild>
            <w:div w:id="761266815">
              <w:marLeft w:val="0"/>
              <w:marRight w:val="0"/>
              <w:marTop w:val="0"/>
              <w:marBottom w:val="0"/>
              <w:divBdr>
                <w:top w:val="none" w:sz="0" w:space="0" w:color="auto"/>
                <w:left w:val="none" w:sz="0" w:space="0" w:color="auto"/>
                <w:bottom w:val="none" w:sz="0" w:space="0" w:color="auto"/>
                <w:right w:val="none" w:sz="0" w:space="0" w:color="auto"/>
              </w:divBdr>
              <w:divsChild>
                <w:div w:id="1137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30445693">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0150256">
      <w:bodyDiv w:val="1"/>
      <w:marLeft w:val="0"/>
      <w:marRight w:val="0"/>
      <w:marTop w:val="0"/>
      <w:marBottom w:val="0"/>
      <w:divBdr>
        <w:top w:val="none" w:sz="0" w:space="0" w:color="auto"/>
        <w:left w:val="none" w:sz="0" w:space="0" w:color="auto"/>
        <w:bottom w:val="none" w:sz="0" w:space="0" w:color="auto"/>
        <w:right w:val="none" w:sz="0" w:space="0" w:color="auto"/>
      </w:divBdr>
    </w:div>
    <w:div w:id="171342477">
      <w:bodyDiv w:val="1"/>
      <w:marLeft w:val="0"/>
      <w:marRight w:val="0"/>
      <w:marTop w:val="0"/>
      <w:marBottom w:val="0"/>
      <w:divBdr>
        <w:top w:val="none" w:sz="0" w:space="0" w:color="auto"/>
        <w:left w:val="none" w:sz="0" w:space="0" w:color="auto"/>
        <w:bottom w:val="none" w:sz="0" w:space="0" w:color="auto"/>
        <w:right w:val="none" w:sz="0" w:space="0" w:color="auto"/>
      </w:divBdr>
      <w:divsChild>
        <w:div w:id="1960450120">
          <w:marLeft w:val="0"/>
          <w:marRight w:val="0"/>
          <w:marTop w:val="0"/>
          <w:marBottom w:val="0"/>
          <w:divBdr>
            <w:top w:val="none" w:sz="0" w:space="0" w:color="auto"/>
            <w:left w:val="none" w:sz="0" w:space="0" w:color="auto"/>
            <w:bottom w:val="none" w:sz="0" w:space="0" w:color="auto"/>
            <w:right w:val="none" w:sz="0" w:space="0" w:color="auto"/>
          </w:divBdr>
          <w:divsChild>
            <w:div w:id="60179073">
              <w:marLeft w:val="0"/>
              <w:marRight w:val="0"/>
              <w:marTop w:val="0"/>
              <w:marBottom w:val="0"/>
              <w:divBdr>
                <w:top w:val="none" w:sz="0" w:space="0" w:color="auto"/>
                <w:left w:val="none" w:sz="0" w:space="0" w:color="auto"/>
                <w:bottom w:val="none" w:sz="0" w:space="0" w:color="auto"/>
                <w:right w:val="none" w:sz="0" w:space="0" w:color="auto"/>
              </w:divBdr>
              <w:divsChild>
                <w:div w:id="1932155053">
                  <w:marLeft w:val="0"/>
                  <w:marRight w:val="0"/>
                  <w:marTop w:val="0"/>
                  <w:marBottom w:val="0"/>
                  <w:divBdr>
                    <w:top w:val="none" w:sz="0" w:space="0" w:color="auto"/>
                    <w:left w:val="none" w:sz="0" w:space="0" w:color="auto"/>
                    <w:bottom w:val="none" w:sz="0" w:space="0" w:color="auto"/>
                    <w:right w:val="none" w:sz="0" w:space="0" w:color="auto"/>
                  </w:divBdr>
                  <w:divsChild>
                    <w:div w:id="19629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318875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055">
          <w:marLeft w:val="0"/>
          <w:marRight w:val="0"/>
          <w:marTop w:val="0"/>
          <w:marBottom w:val="0"/>
          <w:divBdr>
            <w:top w:val="none" w:sz="0" w:space="0" w:color="auto"/>
            <w:left w:val="none" w:sz="0" w:space="0" w:color="auto"/>
            <w:bottom w:val="none" w:sz="0" w:space="0" w:color="auto"/>
            <w:right w:val="none" w:sz="0" w:space="0" w:color="auto"/>
          </w:divBdr>
          <w:divsChild>
            <w:div w:id="1226181973">
              <w:marLeft w:val="0"/>
              <w:marRight w:val="0"/>
              <w:marTop w:val="0"/>
              <w:marBottom w:val="0"/>
              <w:divBdr>
                <w:top w:val="none" w:sz="0" w:space="0" w:color="auto"/>
                <w:left w:val="none" w:sz="0" w:space="0" w:color="auto"/>
                <w:bottom w:val="none" w:sz="0" w:space="0" w:color="auto"/>
                <w:right w:val="none" w:sz="0" w:space="0" w:color="auto"/>
              </w:divBdr>
              <w:divsChild>
                <w:div w:id="1365908237">
                  <w:marLeft w:val="0"/>
                  <w:marRight w:val="0"/>
                  <w:marTop w:val="0"/>
                  <w:marBottom w:val="0"/>
                  <w:divBdr>
                    <w:top w:val="none" w:sz="0" w:space="0" w:color="auto"/>
                    <w:left w:val="none" w:sz="0" w:space="0" w:color="auto"/>
                    <w:bottom w:val="none" w:sz="0" w:space="0" w:color="auto"/>
                    <w:right w:val="none" w:sz="0" w:space="0" w:color="auto"/>
                  </w:divBdr>
                  <w:divsChild>
                    <w:div w:id="1294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74754381">
      <w:bodyDiv w:val="1"/>
      <w:marLeft w:val="0"/>
      <w:marRight w:val="0"/>
      <w:marTop w:val="0"/>
      <w:marBottom w:val="0"/>
      <w:divBdr>
        <w:top w:val="none" w:sz="0" w:space="0" w:color="auto"/>
        <w:left w:val="none" w:sz="0" w:space="0" w:color="auto"/>
        <w:bottom w:val="none" w:sz="0" w:space="0" w:color="auto"/>
        <w:right w:val="none" w:sz="0" w:space="0" w:color="auto"/>
      </w:divBdr>
      <w:divsChild>
        <w:div w:id="702293619">
          <w:marLeft w:val="274"/>
          <w:marRight w:val="0"/>
          <w:marTop w:val="0"/>
          <w:marBottom w:val="240"/>
          <w:divBdr>
            <w:top w:val="none" w:sz="0" w:space="0" w:color="auto"/>
            <w:left w:val="none" w:sz="0" w:space="0" w:color="auto"/>
            <w:bottom w:val="none" w:sz="0" w:space="0" w:color="auto"/>
            <w:right w:val="none" w:sz="0" w:space="0" w:color="auto"/>
          </w:divBdr>
        </w:div>
      </w:divsChild>
    </w:div>
    <w:div w:id="284579637">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292368367">
      <w:bodyDiv w:val="1"/>
      <w:marLeft w:val="0"/>
      <w:marRight w:val="0"/>
      <w:marTop w:val="0"/>
      <w:marBottom w:val="0"/>
      <w:divBdr>
        <w:top w:val="none" w:sz="0" w:space="0" w:color="auto"/>
        <w:left w:val="none" w:sz="0" w:space="0" w:color="auto"/>
        <w:bottom w:val="none" w:sz="0" w:space="0" w:color="auto"/>
        <w:right w:val="none" w:sz="0" w:space="0" w:color="auto"/>
      </w:divBdr>
      <w:divsChild>
        <w:div w:id="1327200442">
          <w:marLeft w:val="0"/>
          <w:marRight w:val="0"/>
          <w:marTop w:val="0"/>
          <w:marBottom w:val="0"/>
          <w:divBdr>
            <w:top w:val="none" w:sz="0" w:space="0" w:color="auto"/>
            <w:left w:val="none" w:sz="0" w:space="0" w:color="auto"/>
            <w:bottom w:val="none" w:sz="0" w:space="0" w:color="auto"/>
            <w:right w:val="none" w:sz="0" w:space="0" w:color="auto"/>
          </w:divBdr>
          <w:divsChild>
            <w:div w:id="307439130">
              <w:marLeft w:val="0"/>
              <w:marRight w:val="0"/>
              <w:marTop w:val="0"/>
              <w:marBottom w:val="0"/>
              <w:divBdr>
                <w:top w:val="none" w:sz="0" w:space="0" w:color="auto"/>
                <w:left w:val="none" w:sz="0" w:space="0" w:color="auto"/>
                <w:bottom w:val="none" w:sz="0" w:space="0" w:color="auto"/>
                <w:right w:val="none" w:sz="0" w:space="0" w:color="auto"/>
              </w:divBdr>
              <w:divsChild>
                <w:div w:id="467673895">
                  <w:marLeft w:val="0"/>
                  <w:marRight w:val="0"/>
                  <w:marTop w:val="0"/>
                  <w:marBottom w:val="0"/>
                  <w:divBdr>
                    <w:top w:val="none" w:sz="0" w:space="0" w:color="auto"/>
                    <w:left w:val="none" w:sz="0" w:space="0" w:color="auto"/>
                    <w:bottom w:val="none" w:sz="0" w:space="0" w:color="auto"/>
                    <w:right w:val="none" w:sz="0" w:space="0" w:color="auto"/>
                  </w:divBdr>
                  <w:divsChild>
                    <w:div w:id="18268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57434963">
      <w:bodyDiv w:val="1"/>
      <w:marLeft w:val="0"/>
      <w:marRight w:val="0"/>
      <w:marTop w:val="0"/>
      <w:marBottom w:val="0"/>
      <w:divBdr>
        <w:top w:val="none" w:sz="0" w:space="0" w:color="auto"/>
        <w:left w:val="none" w:sz="0" w:space="0" w:color="auto"/>
        <w:bottom w:val="none" w:sz="0" w:space="0" w:color="auto"/>
        <w:right w:val="none" w:sz="0" w:space="0" w:color="auto"/>
      </w:divBdr>
      <w:divsChild>
        <w:div w:id="1108891591">
          <w:marLeft w:val="0"/>
          <w:marRight w:val="0"/>
          <w:marTop w:val="0"/>
          <w:marBottom w:val="0"/>
          <w:divBdr>
            <w:top w:val="none" w:sz="0" w:space="0" w:color="auto"/>
            <w:left w:val="none" w:sz="0" w:space="0" w:color="auto"/>
            <w:bottom w:val="none" w:sz="0" w:space="0" w:color="auto"/>
            <w:right w:val="none" w:sz="0" w:space="0" w:color="auto"/>
          </w:divBdr>
          <w:divsChild>
            <w:div w:id="646936910">
              <w:marLeft w:val="0"/>
              <w:marRight w:val="0"/>
              <w:marTop w:val="0"/>
              <w:marBottom w:val="0"/>
              <w:divBdr>
                <w:top w:val="none" w:sz="0" w:space="0" w:color="auto"/>
                <w:left w:val="none" w:sz="0" w:space="0" w:color="auto"/>
                <w:bottom w:val="none" w:sz="0" w:space="0" w:color="auto"/>
                <w:right w:val="none" w:sz="0" w:space="0" w:color="auto"/>
              </w:divBdr>
              <w:divsChild>
                <w:div w:id="9132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15592079">
      <w:bodyDiv w:val="1"/>
      <w:marLeft w:val="0"/>
      <w:marRight w:val="0"/>
      <w:marTop w:val="0"/>
      <w:marBottom w:val="0"/>
      <w:divBdr>
        <w:top w:val="none" w:sz="0" w:space="0" w:color="auto"/>
        <w:left w:val="none" w:sz="0" w:space="0" w:color="auto"/>
        <w:bottom w:val="none" w:sz="0" w:space="0" w:color="auto"/>
        <w:right w:val="none" w:sz="0" w:space="0" w:color="auto"/>
      </w:divBdr>
      <w:divsChild>
        <w:div w:id="672489382">
          <w:marLeft w:val="0"/>
          <w:marRight w:val="0"/>
          <w:marTop w:val="0"/>
          <w:marBottom w:val="0"/>
          <w:divBdr>
            <w:top w:val="none" w:sz="0" w:space="0" w:color="auto"/>
            <w:left w:val="none" w:sz="0" w:space="0" w:color="auto"/>
            <w:bottom w:val="none" w:sz="0" w:space="0" w:color="auto"/>
            <w:right w:val="none" w:sz="0" w:space="0" w:color="auto"/>
          </w:divBdr>
          <w:divsChild>
            <w:div w:id="1646006691">
              <w:marLeft w:val="0"/>
              <w:marRight w:val="0"/>
              <w:marTop w:val="0"/>
              <w:marBottom w:val="0"/>
              <w:divBdr>
                <w:top w:val="none" w:sz="0" w:space="0" w:color="auto"/>
                <w:left w:val="none" w:sz="0" w:space="0" w:color="auto"/>
                <w:bottom w:val="none" w:sz="0" w:space="0" w:color="auto"/>
                <w:right w:val="none" w:sz="0" w:space="0" w:color="auto"/>
              </w:divBdr>
              <w:divsChild>
                <w:div w:id="330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70711386">
      <w:bodyDiv w:val="1"/>
      <w:marLeft w:val="0"/>
      <w:marRight w:val="0"/>
      <w:marTop w:val="0"/>
      <w:marBottom w:val="0"/>
      <w:divBdr>
        <w:top w:val="none" w:sz="0" w:space="0" w:color="auto"/>
        <w:left w:val="none" w:sz="0" w:space="0" w:color="auto"/>
        <w:bottom w:val="none" w:sz="0" w:space="0" w:color="auto"/>
        <w:right w:val="none" w:sz="0" w:space="0" w:color="auto"/>
      </w:divBdr>
      <w:divsChild>
        <w:div w:id="1997496164">
          <w:marLeft w:val="0"/>
          <w:marRight w:val="0"/>
          <w:marTop w:val="0"/>
          <w:marBottom w:val="0"/>
          <w:divBdr>
            <w:top w:val="none" w:sz="0" w:space="0" w:color="auto"/>
            <w:left w:val="none" w:sz="0" w:space="0" w:color="auto"/>
            <w:bottom w:val="none" w:sz="0" w:space="0" w:color="auto"/>
            <w:right w:val="none" w:sz="0" w:space="0" w:color="auto"/>
          </w:divBdr>
          <w:divsChild>
            <w:div w:id="2008629469">
              <w:marLeft w:val="0"/>
              <w:marRight w:val="0"/>
              <w:marTop w:val="0"/>
              <w:marBottom w:val="0"/>
              <w:divBdr>
                <w:top w:val="none" w:sz="0" w:space="0" w:color="auto"/>
                <w:left w:val="none" w:sz="0" w:space="0" w:color="auto"/>
                <w:bottom w:val="none" w:sz="0" w:space="0" w:color="auto"/>
                <w:right w:val="none" w:sz="0" w:space="0" w:color="auto"/>
              </w:divBdr>
              <w:divsChild>
                <w:div w:id="1837377255">
                  <w:marLeft w:val="0"/>
                  <w:marRight w:val="0"/>
                  <w:marTop w:val="0"/>
                  <w:marBottom w:val="0"/>
                  <w:divBdr>
                    <w:top w:val="none" w:sz="0" w:space="0" w:color="auto"/>
                    <w:left w:val="none" w:sz="0" w:space="0" w:color="auto"/>
                    <w:bottom w:val="none" w:sz="0" w:space="0" w:color="auto"/>
                    <w:right w:val="none" w:sz="0" w:space="0" w:color="auto"/>
                  </w:divBdr>
                  <w:divsChild>
                    <w:div w:id="3577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493372194">
      <w:bodyDiv w:val="1"/>
      <w:marLeft w:val="0"/>
      <w:marRight w:val="0"/>
      <w:marTop w:val="0"/>
      <w:marBottom w:val="0"/>
      <w:divBdr>
        <w:top w:val="none" w:sz="0" w:space="0" w:color="auto"/>
        <w:left w:val="none" w:sz="0" w:space="0" w:color="auto"/>
        <w:bottom w:val="none" w:sz="0" w:space="0" w:color="auto"/>
        <w:right w:val="none" w:sz="0" w:space="0" w:color="auto"/>
      </w:divBdr>
      <w:divsChild>
        <w:div w:id="1327514182">
          <w:marLeft w:val="0"/>
          <w:marRight w:val="0"/>
          <w:marTop w:val="0"/>
          <w:marBottom w:val="0"/>
          <w:divBdr>
            <w:top w:val="none" w:sz="0" w:space="0" w:color="auto"/>
            <w:left w:val="none" w:sz="0" w:space="0" w:color="auto"/>
            <w:bottom w:val="none" w:sz="0" w:space="0" w:color="auto"/>
            <w:right w:val="none" w:sz="0" w:space="0" w:color="auto"/>
          </w:divBdr>
          <w:divsChild>
            <w:div w:id="51120391">
              <w:marLeft w:val="0"/>
              <w:marRight w:val="0"/>
              <w:marTop w:val="0"/>
              <w:marBottom w:val="0"/>
              <w:divBdr>
                <w:top w:val="none" w:sz="0" w:space="0" w:color="auto"/>
                <w:left w:val="none" w:sz="0" w:space="0" w:color="auto"/>
                <w:bottom w:val="none" w:sz="0" w:space="0" w:color="auto"/>
                <w:right w:val="none" w:sz="0" w:space="0" w:color="auto"/>
              </w:divBdr>
              <w:divsChild>
                <w:div w:id="1826168704">
                  <w:marLeft w:val="0"/>
                  <w:marRight w:val="0"/>
                  <w:marTop w:val="0"/>
                  <w:marBottom w:val="0"/>
                  <w:divBdr>
                    <w:top w:val="none" w:sz="0" w:space="0" w:color="auto"/>
                    <w:left w:val="none" w:sz="0" w:space="0" w:color="auto"/>
                    <w:bottom w:val="none" w:sz="0" w:space="0" w:color="auto"/>
                    <w:right w:val="none" w:sz="0" w:space="0" w:color="auto"/>
                  </w:divBdr>
                  <w:divsChild>
                    <w:div w:id="2011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51959746">
      <w:bodyDiv w:val="1"/>
      <w:marLeft w:val="0"/>
      <w:marRight w:val="0"/>
      <w:marTop w:val="0"/>
      <w:marBottom w:val="0"/>
      <w:divBdr>
        <w:top w:val="none" w:sz="0" w:space="0" w:color="auto"/>
        <w:left w:val="none" w:sz="0" w:space="0" w:color="auto"/>
        <w:bottom w:val="none" w:sz="0" w:space="0" w:color="auto"/>
        <w:right w:val="none" w:sz="0" w:space="0" w:color="auto"/>
      </w:divBdr>
      <w:divsChild>
        <w:div w:id="962612434">
          <w:marLeft w:val="0"/>
          <w:marRight w:val="0"/>
          <w:marTop w:val="0"/>
          <w:marBottom w:val="0"/>
          <w:divBdr>
            <w:top w:val="none" w:sz="0" w:space="0" w:color="auto"/>
            <w:left w:val="none" w:sz="0" w:space="0" w:color="auto"/>
            <w:bottom w:val="none" w:sz="0" w:space="0" w:color="auto"/>
            <w:right w:val="none" w:sz="0" w:space="0" w:color="auto"/>
          </w:divBdr>
          <w:divsChild>
            <w:div w:id="1101145966">
              <w:marLeft w:val="0"/>
              <w:marRight w:val="0"/>
              <w:marTop w:val="0"/>
              <w:marBottom w:val="0"/>
              <w:divBdr>
                <w:top w:val="none" w:sz="0" w:space="0" w:color="auto"/>
                <w:left w:val="none" w:sz="0" w:space="0" w:color="auto"/>
                <w:bottom w:val="none" w:sz="0" w:space="0" w:color="auto"/>
                <w:right w:val="none" w:sz="0" w:space="0" w:color="auto"/>
              </w:divBdr>
              <w:divsChild>
                <w:div w:id="248735820">
                  <w:marLeft w:val="0"/>
                  <w:marRight w:val="0"/>
                  <w:marTop w:val="0"/>
                  <w:marBottom w:val="0"/>
                  <w:divBdr>
                    <w:top w:val="none" w:sz="0" w:space="0" w:color="auto"/>
                    <w:left w:val="none" w:sz="0" w:space="0" w:color="auto"/>
                    <w:bottom w:val="none" w:sz="0" w:space="0" w:color="auto"/>
                    <w:right w:val="none" w:sz="0" w:space="0" w:color="auto"/>
                  </w:divBdr>
                  <w:divsChild>
                    <w:div w:id="1631126438">
                      <w:marLeft w:val="0"/>
                      <w:marRight w:val="0"/>
                      <w:marTop w:val="0"/>
                      <w:marBottom w:val="0"/>
                      <w:divBdr>
                        <w:top w:val="none" w:sz="0" w:space="0" w:color="auto"/>
                        <w:left w:val="none" w:sz="0" w:space="0" w:color="auto"/>
                        <w:bottom w:val="none" w:sz="0" w:space="0" w:color="auto"/>
                        <w:right w:val="none" w:sz="0" w:space="0" w:color="auto"/>
                      </w:divBdr>
                    </w:div>
                  </w:divsChild>
                </w:div>
                <w:div w:id="1357074636">
                  <w:marLeft w:val="0"/>
                  <w:marRight w:val="0"/>
                  <w:marTop w:val="0"/>
                  <w:marBottom w:val="0"/>
                  <w:divBdr>
                    <w:top w:val="none" w:sz="0" w:space="0" w:color="auto"/>
                    <w:left w:val="none" w:sz="0" w:space="0" w:color="auto"/>
                    <w:bottom w:val="none" w:sz="0" w:space="0" w:color="auto"/>
                    <w:right w:val="none" w:sz="0" w:space="0" w:color="auto"/>
                  </w:divBdr>
                  <w:divsChild>
                    <w:div w:id="1302032942">
                      <w:marLeft w:val="0"/>
                      <w:marRight w:val="0"/>
                      <w:marTop w:val="0"/>
                      <w:marBottom w:val="0"/>
                      <w:divBdr>
                        <w:top w:val="none" w:sz="0" w:space="0" w:color="auto"/>
                        <w:left w:val="none" w:sz="0" w:space="0" w:color="auto"/>
                        <w:bottom w:val="none" w:sz="0" w:space="0" w:color="auto"/>
                        <w:right w:val="none" w:sz="0" w:space="0" w:color="auto"/>
                      </w:divBdr>
                    </w:div>
                    <w:div w:id="19716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51442909">
      <w:bodyDiv w:val="1"/>
      <w:marLeft w:val="0"/>
      <w:marRight w:val="0"/>
      <w:marTop w:val="0"/>
      <w:marBottom w:val="0"/>
      <w:divBdr>
        <w:top w:val="none" w:sz="0" w:space="0" w:color="auto"/>
        <w:left w:val="none" w:sz="0" w:space="0" w:color="auto"/>
        <w:bottom w:val="none" w:sz="0" w:space="0" w:color="auto"/>
        <w:right w:val="none" w:sz="0" w:space="0" w:color="auto"/>
      </w:divBdr>
      <w:divsChild>
        <w:div w:id="679047537">
          <w:marLeft w:val="0"/>
          <w:marRight w:val="0"/>
          <w:marTop w:val="0"/>
          <w:marBottom w:val="0"/>
          <w:divBdr>
            <w:top w:val="none" w:sz="0" w:space="0" w:color="auto"/>
            <w:left w:val="none" w:sz="0" w:space="0" w:color="auto"/>
            <w:bottom w:val="none" w:sz="0" w:space="0" w:color="auto"/>
            <w:right w:val="none" w:sz="0" w:space="0" w:color="auto"/>
          </w:divBdr>
        </w:div>
      </w:divsChild>
    </w:div>
    <w:div w:id="661740739">
      <w:bodyDiv w:val="1"/>
      <w:marLeft w:val="0"/>
      <w:marRight w:val="0"/>
      <w:marTop w:val="0"/>
      <w:marBottom w:val="0"/>
      <w:divBdr>
        <w:top w:val="none" w:sz="0" w:space="0" w:color="auto"/>
        <w:left w:val="none" w:sz="0" w:space="0" w:color="auto"/>
        <w:bottom w:val="none" w:sz="0" w:space="0" w:color="auto"/>
        <w:right w:val="none" w:sz="0" w:space="0" w:color="auto"/>
      </w:divBdr>
    </w:div>
    <w:div w:id="677925138">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756632131">
      <w:bodyDiv w:val="1"/>
      <w:marLeft w:val="0"/>
      <w:marRight w:val="0"/>
      <w:marTop w:val="0"/>
      <w:marBottom w:val="0"/>
      <w:divBdr>
        <w:top w:val="none" w:sz="0" w:space="0" w:color="auto"/>
        <w:left w:val="none" w:sz="0" w:space="0" w:color="auto"/>
        <w:bottom w:val="none" w:sz="0" w:space="0" w:color="auto"/>
        <w:right w:val="none" w:sz="0" w:space="0" w:color="auto"/>
      </w:divBdr>
      <w:divsChild>
        <w:div w:id="434793624">
          <w:marLeft w:val="0"/>
          <w:marRight w:val="0"/>
          <w:marTop w:val="0"/>
          <w:marBottom w:val="0"/>
          <w:divBdr>
            <w:top w:val="none" w:sz="0" w:space="0" w:color="auto"/>
            <w:left w:val="none" w:sz="0" w:space="0" w:color="auto"/>
            <w:bottom w:val="none" w:sz="0" w:space="0" w:color="auto"/>
            <w:right w:val="none" w:sz="0" w:space="0" w:color="auto"/>
          </w:divBdr>
          <w:divsChild>
            <w:div w:id="2145346554">
              <w:marLeft w:val="0"/>
              <w:marRight w:val="0"/>
              <w:marTop w:val="0"/>
              <w:marBottom w:val="0"/>
              <w:divBdr>
                <w:top w:val="none" w:sz="0" w:space="0" w:color="auto"/>
                <w:left w:val="none" w:sz="0" w:space="0" w:color="auto"/>
                <w:bottom w:val="none" w:sz="0" w:space="0" w:color="auto"/>
                <w:right w:val="none" w:sz="0" w:space="0" w:color="auto"/>
              </w:divBdr>
              <w:divsChild>
                <w:div w:id="10252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4735">
      <w:bodyDiv w:val="1"/>
      <w:marLeft w:val="0"/>
      <w:marRight w:val="0"/>
      <w:marTop w:val="0"/>
      <w:marBottom w:val="0"/>
      <w:divBdr>
        <w:top w:val="none" w:sz="0" w:space="0" w:color="auto"/>
        <w:left w:val="none" w:sz="0" w:space="0" w:color="auto"/>
        <w:bottom w:val="none" w:sz="0" w:space="0" w:color="auto"/>
        <w:right w:val="none" w:sz="0" w:space="0" w:color="auto"/>
      </w:divBdr>
    </w:div>
    <w:div w:id="820007074">
      <w:bodyDiv w:val="1"/>
      <w:marLeft w:val="0"/>
      <w:marRight w:val="0"/>
      <w:marTop w:val="0"/>
      <w:marBottom w:val="0"/>
      <w:divBdr>
        <w:top w:val="none" w:sz="0" w:space="0" w:color="auto"/>
        <w:left w:val="none" w:sz="0" w:space="0" w:color="auto"/>
        <w:bottom w:val="none" w:sz="0" w:space="0" w:color="auto"/>
        <w:right w:val="none" w:sz="0" w:space="0" w:color="auto"/>
      </w:divBdr>
      <w:divsChild>
        <w:div w:id="1898664540">
          <w:marLeft w:val="0"/>
          <w:marRight w:val="0"/>
          <w:marTop w:val="0"/>
          <w:marBottom w:val="0"/>
          <w:divBdr>
            <w:top w:val="none" w:sz="0" w:space="0" w:color="auto"/>
            <w:left w:val="none" w:sz="0" w:space="0" w:color="auto"/>
            <w:bottom w:val="none" w:sz="0" w:space="0" w:color="auto"/>
            <w:right w:val="none" w:sz="0" w:space="0" w:color="auto"/>
          </w:divBdr>
          <w:divsChild>
            <w:div w:id="1536501238">
              <w:marLeft w:val="0"/>
              <w:marRight w:val="0"/>
              <w:marTop w:val="0"/>
              <w:marBottom w:val="0"/>
              <w:divBdr>
                <w:top w:val="none" w:sz="0" w:space="0" w:color="auto"/>
                <w:left w:val="none" w:sz="0" w:space="0" w:color="auto"/>
                <w:bottom w:val="none" w:sz="0" w:space="0" w:color="auto"/>
                <w:right w:val="none" w:sz="0" w:space="0" w:color="auto"/>
              </w:divBdr>
              <w:divsChild>
                <w:div w:id="1584801573">
                  <w:marLeft w:val="0"/>
                  <w:marRight w:val="0"/>
                  <w:marTop w:val="0"/>
                  <w:marBottom w:val="0"/>
                  <w:divBdr>
                    <w:top w:val="none" w:sz="0" w:space="0" w:color="auto"/>
                    <w:left w:val="none" w:sz="0" w:space="0" w:color="auto"/>
                    <w:bottom w:val="none" w:sz="0" w:space="0" w:color="auto"/>
                    <w:right w:val="none" w:sz="0" w:space="0" w:color="auto"/>
                  </w:divBdr>
                  <w:divsChild>
                    <w:div w:id="11327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9345">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467908">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898634613">
      <w:bodyDiv w:val="1"/>
      <w:marLeft w:val="0"/>
      <w:marRight w:val="0"/>
      <w:marTop w:val="0"/>
      <w:marBottom w:val="0"/>
      <w:divBdr>
        <w:top w:val="none" w:sz="0" w:space="0" w:color="auto"/>
        <w:left w:val="none" w:sz="0" w:space="0" w:color="auto"/>
        <w:bottom w:val="none" w:sz="0" w:space="0" w:color="auto"/>
        <w:right w:val="none" w:sz="0" w:space="0" w:color="auto"/>
      </w:divBdr>
      <w:divsChild>
        <w:div w:id="482353172">
          <w:marLeft w:val="0"/>
          <w:marRight w:val="0"/>
          <w:marTop w:val="0"/>
          <w:marBottom w:val="0"/>
          <w:divBdr>
            <w:top w:val="none" w:sz="0" w:space="0" w:color="auto"/>
            <w:left w:val="none" w:sz="0" w:space="0" w:color="auto"/>
            <w:bottom w:val="none" w:sz="0" w:space="0" w:color="auto"/>
            <w:right w:val="none" w:sz="0" w:space="0" w:color="auto"/>
          </w:divBdr>
          <w:divsChild>
            <w:div w:id="1079982155">
              <w:marLeft w:val="0"/>
              <w:marRight w:val="0"/>
              <w:marTop w:val="0"/>
              <w:marBottom w:val="0"/>
              <w:divBdr>
                <w:top w:val="none" w:sz="0" w:space="0" w:color="auto"/>
                <w:left w:val="none" w:sz="0" w:space="0" w:color="auto"/>
                <w:bottom w:val="none" w:sz="0" w:space="0" w:color="auto"/>
                <w:right w:val="none" w:sz="0" w:space="0" w:color="auto"/>
              </w:divBdr>
              <w:divsChild>
                <w:div w:id="1348094316">
                  <w:marLeft w:val="0"/>
                  <w:marRight w:val="0"/>
                  <w:marTop w:val="0"/>
                  <w:marBottom w:val="0"/>
                  <w:divBdr>
                    <w:top w:val="none" w:sz="0" w:space="0" w:color="auto"/>
                    <w:left w:val="none" w:sz="0" w:space="0" w:color="auto"/>
                    <w:bottom w:val="none" w:sz="0" w:space="0" w:color="auto"/>
                    <w:right w:val="none" w:sz="0" w:space="0" w:color="auto"/>
                  </w:divBdr>
                  <w:divsChild>
                    <w:div w:id="7540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0358">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966664122">
      <w:bodyDiv w:val="1"/>
      <w:marLeft w:val="0"/>
      <w:marRight w:val="0"/>
      <w:marTop w:val="0"/>
      <w:marBottom w:val="0"/>
      <w:divBdr>
        <w:top w:val="none" w:sz="0" w:space="0" w:color="auto"/>
        <w:left w:val="none" w:sz="0" w:space="0" w:color="auto"/>
        <w:bottom w:val="none" w:sz="0" w:space="0" w:color="auto"/>
        <w:right w:val="none" w:sz="0" w:space="0" w:color="auto"/>
      </w:divBdr>
    </w:div>
    <w:div w:id="990986605">
      <w:bodyDiv w:val="1"/>
      <w:marLeft w:val="0"/>
      <w:marRight w:val="0"/>
      <w:marTop w:val="0"/>
      <w:marBottom w:val="0"/>
      <w:divBdr>
        <w:top w:val="none" w:sz="0" w:space="0" w:color="auto"/>
        <w:left w:val="none" w:sz="0" w:space="0" w:color="auto"/>
        <w:bottom w:val="none" w:sz="0" w:space="0" w:color="auto"/>
        <w:right w:val="none" w:sz="0" w:space="0" w:color="auto"/>
      </w:divBdr>
      <w:divsChild>
        <w:div w:id="1472408207">
          <w:marLeft w:val="0"/>
          <w:marRight w:val="0"/>
          <w:marTop w:val="0"/>
          <w:marBottom w:val="0"/>
          <w:divBdr>
            <w:top w:val="none" w:sz="0" w:space="0" w:color="auto"/>
            <w:left w:val="none" w:sz="0" w:space="0" w:color="auto"/>
            <w:bottom w:val="none" w:sz="0" w:space="0" w:color="auto"/>
            <w:right w:val="none" w:sz="0" w:space="0" w:color="auto"/>
          </w:divBdr>
          <w:divsChild>
            <w:div w:id="224265866">
              <w:marLeft w:val="0"/>
              <w:marRight w:val="0"/>
              <w:marTop w:val="0"/>
              <w:marBottom w:val="0"/>
              <w:divBdr>
                <w:top w:val="none" w:sz="0" w:space="0" w:color="auto"/>
                <w:left w:val="none" w:sz="0" w:space="0" w:color="auto"/>
                <w:bottom w:val="none" w:sz="0" w:space="0" w:color="auto"/>
                <w:right w:val="none" w:sz="0" w:space="0" w:color="auto"/>
              </w:divBdr>
              <w:divsChild>
                <w:div w:id="2046909353">
                  <w:marLeft w:val="0"/>
                  <w:marRight w:val="0"/>
                  <w:marTop w:val="0"/>
                  <w:marBottom w:val="0"/>
                  <w:divBdr>
                    <w:top w:val="none" w:sz="0" w:space="0" w:color="auto"/>
                    <w:left w:val="none" w:sz="0" w:space="0" w:color="auto"/>
                    <w:bottom w:val="none" w:sz="0" w:space="0" w:color="auto"/>
                    <w:right w:val="none" w:sz="0" w:space="0" w:color="auto"/>
                  </w:divBdr>
                  <w:divsChild>
                    <w:div w:id="7232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91422">
      <w:bodyDiv w:val="1"/>
      <w:marLeft w:val="0"/>
      <w:marRight w:val="0"/>
      <w:marTop w:val="0"/>
      <w:marBottom w:val="0"/>
      <w:divBdr>
        <w:top w:val="none" w:sz="0" w:space="0" w:color="auto"/>
        <w:left w:val="none" w:sz="0" w:space="0" w:color="auto"/>
        <w:bottom w:val="none" w:sz="0" w:space="0" w:color="auto"/>
        <w:right w:val="none" w:sz="0" w:space="0" w:color="auto"/>
      </w:divBdr>
    </w:div>
    <w:div w:id="1103575589">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17914068">
      <w:bodyDiv w:val="1"/>
      <w:marLeft w:val="0"/>
      <w:marRight w:val="0"/>
      <w:marTop w:val="0"/>
      <w:marBottom w:val="0"/>
      <w:divBdr>
        <w:top w:val="none" w:sz="0" w:space="0" w:color="auto"/>
        <w:left w:val="none" w:sz="0" w:space="0" w:color="auto"/>
        <w:bottom w:val="none" w:sz="0" w:space="0" w:color="auto"/>
        <w:right w:val="none" w:sz="0" w:space="0" w:color="auto"/>
      </w:divBdr>
      <w:divsChild>
        <w:div w:id="443622560">
          <w:marLeft w:val="274"/>
          <w:marRight w:val="0"/>
          <w:marTop w:val="0"/>
          <w:marBottom w:val="240"/>
          <w:divBdr>
            <w:top w:val="none" w:sz="0" w:space="0" w:color="auto"/>
            <w:left w:val="none" w:sz="0" w:space="0" w:color="auto"/>
            <w:bottom w:val="none" w:sz="0" w:space="0" w:color="auto"/>
            <w:right w:val="none" w:sz="0" w:space="0" w:color="auto"/>
          </w:divBdr>
        </w:div>
        <w:div w:id="1234659865">
          <w:marLeft w:val="274"/>
          <w:marRight w:val="0"/>
          <w:marTop w:val="0"/>
          <w:marBottom w:val="240"/>
          <w:divBdr>
            <w:top w:val="none" w:sz="0" w:space="0" w:color="auto"/>
            <w:left w:val="none" w:sz="0" w:space="0" w:color="auto"/>
            <w:bottom w:val="none" w:sz="0" w:space="0" w:color="auto"/>
            <w:right w:val="none" w:sz="0" w:space="0" w:color="auto"/>
          </w:divBdr>
        </w:div>
        <w:div w:id="1023557721">
          <w:marLeft w:val="274"/>
          <w:marRight w:val="0"/>
          <w:marTop w:val="0"/>
          <w:marBottom w:val="240"/>
          <w:divBdr>
            <w:top w:val="none" w:sz="0" w:space="0" w:color="auto"/>
            <w:left w:val="none" w:sz="0" w:space="0" w:color="auto"/>
            <w:bottom w:val="none" w:sz="0" w:space="0" w:color="auto"/>
            <w:right w:val="none" w:sz="0" w:space="0" w:color="auto"/>
          </w:divBdr>
        </w:div>
      </w:divsChild>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138573616">
      <w:bodyDiv w:val="1"/>
      <w:marLeft w:val="0"/>
      <w:marRight w:val="0"/>
      <w:marTop w:val="0"/>
      <w:marBottom w:val="0"/>
      <w:divBdr>
        <w:top w:val="none" w:sz="0" w:space="0" w:color="auto"/>
        <w:left w:val="none" w:sz="0" w:space="0" w:color="auto"/>
        <w:bottom w:val="none" w:sz="0" w:space="0" w:color="auto"/>
        <w:right w:val="none" w:sz="0" w:space="0" w:color="auto"/>
      </w:divBdr>
    </w:div>
    <w:div w:id="1212228540">
      <w:bodyDiv w:val="1"/>
      <w:marLeft w:val="0"/>
      <w:marRight w:val="0"/>
      <w:marTop w:val="0"/>
      <w:marBottom w:val="0"/>
      <w:divBdr>
        <w:top w:val="none" w:sz="0" w:space="0" w:color="auto"/>
        <w:left w:val="none" w:sz="0" w:space="0" w:color="auto"/>
        <w:bottom w:val="none" w:sz="0" w:space="0" w:color="auto"/>
        <w:right w:val="none" w:sz="0" w:space="0" w:color="auto"/>
      </w:divBdr>
      <w:divsChild>
        <w:div w:id="59914880">
          <w:marLeft w:val="274"/>
          <w:marRight w:val="0"/>
          <w:marTop w:val="0"/>
          <w:marBottom w:val="120"/>
          <w:divBdr>
            <w:top w:val="none" w:sz="0" w:space="0" w:color="auto"/>
            <w:left w:val="none" w:sz="0" w:space="0" w:color="auto"/>
            <w:bottom w:val="none" w:sz="0" w:space="0" w:color="auto"/>
            <w:right w:val="none" w:sz="0" w:space="0" w:color="auto"/>
          </w:divBdr>
        </w:div>
      </w:divsChild>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229610120">
      <w:bodyDiv w:val="1"/>
      <w:marLeft w:val="0"/>
      <w:marRight w:val="0"/>
      <w:marTop w:val="0"/>
      <w:marBottom w:val="0"/>
      <w:divBdr>
        <w:top w:val="none" w:sz="0" w:space="0" w:color="auto"/>
        <w:left w:val="none" w:sz="0" w:space="0" w:color="auto"/>
        <w:bottom w:val="none" w:sz="0" w:space="0" w:color="auto"/>
        <w:right w:val="none" w:sz="0" w:space="0" w:color="auto"/>
      </w:divBdr>
    </w:div>
    <w:div w:id="1270356530">
      <w:bodyDiv w:val="1"/>
      <w:marLeft w:val="0"/>
      <w:marRight w:val="0"/>
      <w:marTop w:val="0"/>
      <w:marBottom w:val="0"/>
      <w:divBdr>
        <w:top w:val="none" w:sz="0" w:space="0" w:color="auto"/>
        <w:left w:val="none" w:sz="0" w:space="0" w:color="auto"/>
        <w:bottom w:val="none" w:sz="0" w:space="0" w:color="auto"/>
        <w:right w:val="none" w:sz="0" w:space="0" w:color="auto"/>
      </w:divBdr>
      <w:divsChild>
        <w:div w:id="2128506736">
          <w:marLeft w:val="0"/>
          <w:marRight w:val="0"/>
          <w:marTop w:val="0"/>
          <w:marBottom w:val="0"/>
          <w:divBdr>
            <w:top w:val="none" w:sz="0" w:space="0" w:color="auto"/>
            <w:left w:val="none" w:sz="0" w:space="0" w:color="auto"/>
            <w:bottom w:val="none" w:sz="0" w:space="0" w:color="auto"/>
            <w:right w:val="none" w:sz="0" w:space="0" w:color="auto"/>
          </w:divBdr>
          <w:divsChild>
            <w:div w:id="1884252261">
              <w:marLeft w:val="0"/>
              <w:marRight w:val="0"/>
              <w:marTop w:val="0"/>
              <w:marBottom w:val="0"/>
              <w:divBdr>
                <w:top w:val="none" w:sz="0" w:space="0" w:color="auto"/>
                <w:left w:val="none" w:sz="0" w:space="0" w:color="auto"/>
                <w:bottom w:val="none" w:sz="0" w:space="0" w:color="auto"/>
                <w:right w:val="none" w:sz="0" w:space="0" w:color="auto"/>
              </w:divBdr>
              <w:divsChild>
                <w:div w:id="2143375802">
                  <w:marLeft w:val="0"/>
                  <w:marRight w:val="0"/>
                  <w:marTop w:val="0"/>
                  <w:marBottom w:val="0"/>
                  <w:divBdr>
                    <w:top w:val="none" w:sz="0" w:space="0" w:color="auto"/>
                    <w:left w:val="none" w:sz="0" w:space="0" w:color="auto"/>
                    <w:bottom w:val="none" w:sz="0" w:space="0" w:color="auto"/>
                    <w:right w:val="none" w:sz="0" w:space="0" w:color="auto"/>
                  </w:divBdr>
                  <w:divsChild>
                    <w:div w:id="8730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15790">
      <w:bodyDiv w:val="1"/>
      <w:marLeft w:val="0"/>
      <w:marRight w:val="0"/>
      <w:marTop w:val="0"/>
      <w:marBottom w:val="0"/>
      <w:divBdr>
        <w:top w:val="none" w:sz="0" w:space="0" w:color="auto"/>
        <w:left w:val="none" w:sz="0" w:space="0" w:color="auto"/>
        <w:bottom w:val="none" w:sz="0" w:space="0" w:color="auto"/>
        <w:right w:val="none" w:sz="0" w:space="0" w:color="auto"/>
      </w:divBdr>
    </w:div>
    <w:div w:id="1340039580">
      <w:bodyDiv w:val="1"/>
      <w:marLeft w:val="0"/>
      <w:marRight w:val="0"/>
      <w:marTop w:val="0"/>
      <w:marBottom w:val="0"/>
      <w:divBdr>
        <w:top w:val="none" w:sz="0" w:space="0" w:color="auto"/>
        <w:left w:val="none" w:sz="0" w:space="0" w:color="auto"/>
        <w:bottom w:val="none" w:sz="0" w:space="0" w:color="auto"/>
        <w:right w:val="none" w:sz="0" w:space="0" w:color="auto"/>
      </w:divBdr>
    </w:div>
    <w:div w:id="1341542515">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64331849">
      <w:bodyDiv w:val="1"/>
      <w:marLeft w:val="0"/>
      <w:marRight w:val="0"/>
      <w:marTop w:val="0"/>
      <w:marBottom w:val="0"/>
      <w:divBdr>
        <w:top w:val="none" w:sz="0" w:space="0" w:color="auto"/>
        <w:left w:val="none" w:sz="0" w:space="0" w:color="auto"/>
        <w:bottom w:val="none" w:sz="0" w:space="0" w:color="auto"/>
        <w:right w:val="none" w:sz="0" w:space="0" w:color="auto"/>
      </w:divBdr>
      <w:divsChild>
        <w:div w:id="1249116582">
          <w:marLeft w:val="0"/>
          <w:marRight w:val="0"/>
          <w:marTop w:val="0"/>
          <w:marBottom w:val="0"/>
          <w:divBdr>
            <w:top w:val="none" w:sz="0" w:space="0" w:color="auto"/>
            <w:left w:val="none" w:sz="0" w:space="0" w:color="auto"/>
            <w:bottom w:val="none" w:sz="0" w:space="0" w:color="auto"/>
            <w:right w:val="none" w:sz="0" w:space="0" w:color="auto"/>
          </w:divBdr>
          <w:divsChild>
            <w:div w:id="2077897950">
              <w:marLeft w:val="0"/>
              <w:marRight w:val="0"/>
              <w:marTop w:val="0"/>
              <w:marBottom w:val="0"/>
              <w:divBdr>
                <w:top w:val="none" w:sz="0" w:space="0" w:color="auto"/>
                <w:left w:val="none" w:sz="0" w:space="0" w:color="auto"/>
                <w:bottom w:val="none" w:sz="0" w:space="0" w:color="auto"/>
                <w:right w:val="none" w:sz="0" w:space="0" w:color="auto"/>
              </w:divBdr>
              <w:divsChild>
                <w:div w:id="132212249">
                  <w:marLeft w:val="0"/>
                  <w:marRight w:val="0"/>
                  <w:marTop w:val="0"/>
                  <w:marBottom w:val="0"/>
                  <w:divBdr>
                    <w:top w:val="none" w:sz="0" w:space="0" w:color="auto"/>
                    <w:left w:val="none" w:sz="0" w:space="0" w:color="auto"/>
                    <w:bottom w:val="none" w:sz="0" w:space="0" w:color="auto"/>
                    <w:right w:val="none" w:sz="0" w:space="0" w:color="auto"/>
                  </w:divBdr>
                  <w:divsChild>
                    <w:div w:id="18515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8949">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60146842">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494758617">
      <w:bodyDiv w:val="1"/>
      <w:marLeft w:val="0"/>
      <w:marRight w:val="0"/>
      <w:marTop w:val="0"/>
      <w:marBottom w:val="0"/>
      <w:divBdr>
        <w:top w:val="none" w:sz="0" w:space="0" w:color="auto"/>
        <w:left w:val="none" w:sz="0" w:space="0" w:color="auto"/>
        <w:bottom w:val="none" w:sz="0" w:space="0" w:color="auto"/>
        <w:right w:val="none" w:sz="0" w:space="0" w:color="auto"/>
      </w:divBdr>
    </w:div>
    <w:div w:id="1506630632">
      <w:bodyDiv w:val="1"/>
      <w:marLeft w:val="0"/>
      <w:marRight w:val="0"/>
      <w:marTop w:val="0"/>
      <w:marBottom w:val="0"/>
      <w:divBdr>
        <w:top w:val="none" w:sz="0" w:space="0" w:color="auto"/>
        <w:left w:val="none" w:sz="0" w:space="0" w:color="auto"/>
        <w:bottom w:val="none" w:sz="0" w:space="0" w:color="auto"/>
        <w:right w:val="none" w:sz="0" w:space="0" w:color="auto"/>
      </w:divBdr>
      <w:divsChild>
        <w:div w:id="313071760">
          <w:marLeft w:val="0"/>
          <w:marRight w:val="0"/>
          <w:marTop w:val="0"/>
          <w:marBottom w:val="0"/>
          <w:divBdr>
            <w:top w:val="none" w:sz="0" w:space="0" w:color="auto"/>
            <w:left w:val="none" w:sz="0" w:space="0" w:color="auto"/>
            <w:bottom w:val="none" w:sz="0" w:space="0" w:color="auto"/>
            <w:right w:val="none" w:sz="0" w:space="0" w:color="auto"/>
          </w:divBdr>
          <w:divsChild>
            <w:div w:id="941257883">
              <w:marLeft w:val="0"/>
              <w:marRight w:val="0"/>
              <w:marTop w:val="0"/>
              <w:marBottom w:val="0"/>
              <w:divBdr>
                <w:top w:val="none" w:sz="0" w:space="0" w:color="auto"/>
                <w:left w:val="none" w:sz="0" w:space="0" w:color="auto"/>
                <w:bottom w:val="none" w:sz="0" w:space="0" w:color="auto"/>
                <w:right w:val="none" w:sz="0" w:space="0" w:color="auto"/>
              </w:divBdr>
              <w:divsChild>
                <w:div w:id="19392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79126">
      <w:bodyDiv w:val="1"/>
      <w:marLeft w:val="0"/>
      <w:marRight w:val="0"/>
      <w:marTop w:val="0"/>
      <w:marBottom w:val="0"/>
      <w:divBdr>
        <w:top w:val="none" w:sz="0" w:space="0" w:color="auto"/>
        <w:left w:val="none" w:sz="0" w:space="0" w:color="auto"/>
        <w:bottom w:val="none" w:sz="0" w:space="0" w:color="auto"/>
        <w:right w:val="none" w:sz="0" w:space="0" w:color="auto"/>
      </w:divBdr>
    </w:div>
    <w:div w:id="1533542720">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50917261">
      <w:bodyDiv w:val="1"/>
      <w:marLeft w:val="0"/>
      <w:marRight w:val="0"/>
      <w:marTop w:val="0"/>
      <w:marBottom w:val="0"/>
      <w:divBdr>
        <w:top w:val="none" w:sz="0" w:space="0" w:color="auto"/>
        <w:left w:val="none" w:sz="0" w:space="0" w:color="auto"/>
        <w:bottom w:val="none" w:sz="0" w:space="0" w:color="auto"/>
        <w:right w:val="none" w:sz="0" w:space="0" w:color="auto"/>
      </w:divBdr>
      <w:divsChild>
        <w:div w:id="72893747">
          <w:marLeft w:val="0"/>
          <w:marRight w:val="0"/>
          <w:marTop w:val="0"/>
          <w:marBottom w:val="0"/>
          <w:divBdr>
            <w:top w:val="none" w:sz="0" w:space="0" w:color="auto"/>
            <w:left w:val="none" w:sz="0" w:space="0" w:color="auto"/>
            <w:bottom w:val="none" w:sz="0" w:space="0" w:color="auto"/>
            <w:right w:val="none" w:sz="0" w:space="0" w:color="auto"/>
          </w:divBdr>
          <w:divsChild>
            <w:div w:id="1385985202">
              <w:marLeft w:val="0"/>
              <w:marRight w:val="0"/>
              <w:marTop w:val="0"/>
              <w:marBottom w:val="0"/>
              <w:divBdr>
                <w:top w:val="none" w:sz="0" w:space="0" w:color="auto"/>
                <w:left w:val="none" w:sz="0" w:space="0" w:color="auto"/>
                <w:bottom w:val="none" w:sz="0" w:space="0" w:color="auto"/>
                <w:right w:val="none" w:sz="0" w:space="0" w:color="auto"/>
              </w:divBdr>
              <w:divsChild>
                <w:div w:id="1681395398">
                  <w:marLeft w:val="0"/>
                  <w:marRight w:val="0"/>
                  <w:marTop w:val="0"/>
                  <w:marBottom w:val="0"/>
                  <w:divBdr>
                    <w:top w:val="none" w:sz="0" w:space="0" w:color="auto"/>
                    <w:left w:val="none" w:sz="0" w:space="0" w:color="auto"/>
                    <w:bottom w:val="none" w:sz="0" w:space="0" w:color="auto"/>
                    <w:right w:val="none" w:sz="0" w:space="0" w:color="auto"/>
                  </w:divBdr>
                  <w:divsChild>
                    <w:div w:id="11759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7203">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13123049">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686243859">
      <w:bodyDiv w:val="1"/>
      <w:marLeft w:val="0"/>
      <w:marRight w:val="0"/>
      <w:marTop w:val="0"/>
      <w:marBottom w:val="0"/>
      <w:divBdr>
        <w:top w:val="none" w:sz="0" w:space="0" w:color="auto"/>
        <w:left w:val="none" w:sz="0" w:space="0" w:color="auto"/>
        <w:bottom w:val="none" w:sz="0" w:space="0" w:color="auto"/>
        <w:right w:val="none" w:sz="0" w:space="0" w:color="auto"/>
      </w:divBdr>
      <w:divsChild>
        <w:div w:id="1813407167">
          <w:marLeft w:val="0"/>
          <w:marRight w:val="0"/>
          <w:marTop w:val="0"/>
          <w:marBottom w:val="0"/>
          <w:divBdr>
            <w:top w:val="none" w:sz="0" w:space="0" w:color="auto"/>
            <w:left w:val="none" w:sz="0" w:space="0" w:color="auto"/>
            <w:bottom w:val="none" w:sz="0" w:space="0" w:color="auto"/>
            <w:right w:val="none" w:sz="0" w:space="0" w:color="auto"/>
          </w:divBdr>
          <w:divsChild>
            <w:div w:id="36011410">
              <w:marLeft w:val="0"/>
              <w:marRight w:val="0"/>
              <w:marTop w:val="0"/>
              <w:marBottom w:val="0"/>
              <w:divBdr>
                <w:top w:val="none" w:sz="0" w:space="0" w:color="auto"/>
                <w:left w:val="none" w:sz="0" w:space="0" w:color="auto"/>
                <w:bottom w:val="none" w:sz="0" w:space="0" w:color="auto"/>
                <w:right w:val="none" w:sz="0" w:space="0" w:color="auto"/>
              </w:divBdr>
              <w:divsChild>
                <w:div w:id="288517211">
                  <w:marLeft w:val="0"/>
                  <w:marRight w:val="0"/>
                  <w:marTop w:val="0"/>
                  <w:marBottom w:val="0"/>
                  <w:divBdr>
                    <w:top w:val="none" w:sz="0" w:space="0" w:color="auto"/>
                    <w:left w:val="none" w:sz="0" w:space="0" w:color="auto"/>
                    <w:bottom w:val="none" w:sz="0" w:space="0" w:color="auto"/>
                    <w:right w:val="none" w:sz="0" w:space="0" w:color="auto"/>
                  </w:divBdr>
                  <w:divsChild>
                    <w:div w:id="722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48130">
      <w:bodyDiv w:val="1"/>
      <w:marLeft w:val="0"/>
      <w:marRight w:val="0"/>
      <w:marTop w:val="0"/>
      <w:marBottom w:val="0"/>
      <w:divBdr>
        <w:top w:val="none" w:sz="0" w:space="0" w:color="auto"/>
        <w:left w:val="none" w:sz="0" w:space="0" w:color="auto"/>
        <w:bottom w:val="none" w:sz="0" w:space="0" w:color="auto"/>
        <w:right w:val="none" w:sz="0" w:space="0" w:color="auto"/>
      </w:divBdr>
      <w:divsChild>
        <w:div w:id="1896548385">
          <w:marLeft w:val="446"/>
          <w:marRight w:val="216"/>
          <w:marTop w:val="0"/>
          <w:marBottom w:val="160"/>
          <w:divBdr>
            <w:top w:val="none" w:sz="0" w:space="0" w:color="auto"/>
            <w:left w:val="none" w:sz="0" w:space="0" w:color="auto"/>
            <w:bottom w:val="none" w:sz="0" w:space="0" w:color="auto"/>
            <w:right w:val="none" w:sz="0" w:space="0" w:color="auto"/>
          </w:divBdr>
        </w:div>
        <w:div w:id="156113180">
          <w:marLeft w:val="446"/>
          <w:marRight w:val="216"/>
          <w:marTop w:val="0"/>
          <w:marBottom w:val="160"/>
          <w:divBdr>
            <w:top w:val="none" w:sz="0" w:space="0" w:color="auto"/>
            <w:left w:val="none" w:sz="0" w:space="0" w:color="auto"/>
            <w:bottom w:val="none" w:sz="0" w:space="0" w:color="auto"/>
            <w:right w:val="none" w:sz="0" w:space="0" w:color="auto"/>
          </w:divBdr>
        </w:div>
      </w:divsChild>
    </w:div>
    <w:div w:id="1693258775">
      <w:bodyDiv w:val="1"/>
      <w:marLeft w:val="0"/>
      <w:marRight w:val="0"/>
      <w:marTop w:val="0"/>
      <w:marBottom w:val="0"/>
      <w:divBdr>
        <w:top w:val="none" w:sz="0" w:space="0" w:color="auto"/>
        <w:left w:val="none" w:sz="0" w:space="0" w:color="auto"/>
        <w:bottom w:val="none" w:sz="0" w:space="0" w:color="auto"/>
        <w:right w:val="none" w:sz="0" w:space="0" w:color="auto"/>
      </w:divBdr>
    </w:div>
    <w:div w:id="1727754975">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50412070">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85798537">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41523417">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sChild>
        <w:div w:id="1534878887">
          <w:marLeft w:val="0"/>
          <w:marRight w:val="0"/>
          <w:marTop w:val="0"/>
          <w:marBottom w:val="0"/>
          <w:divBdr>
            <w:top w:val="none" w:sz="0" w:space="0" w:color="auto"/>
            <w:left w:val="none" w:sz="0" w:space="0" w:color="auto"/>
            <w:bottom w:val="none" w:sz="0" w:space="0" w:color="auto"/>
            <w:right w:val="none" w:sz="0" w:space="0" w:color="auto"/>
          </w:divBdr>
          <w:divsChild>
            <w:div w:id="1732072359">
              <w:marLeft w:val="0"/>
              <w:marRight w:val="0"/>
              <w:marTop w:val="0"/>
              <w:marBottom w:val="0"/>
              <w:divBdr>
                <w:top w:val="none" w:sz="0" w:space="0" w:color="auto"/>
                <w:left w:val="none" w:sz="0" w:space="0" w:color="auto"/>
                <w:bottom w:val="none" w:sz="0" w:space="0" w:color="auto"/>
                <w:right w:val="none" w:sz="0" w:space="0" w:color="auto"/>
              </w:divBdr>
              <w:divsChild>
                <w:div w:id="496042394">
                  <w:marLeft w:val="0"/>
                  <w:marRight w:val="0"/>
                  <w:marTop w:val="0"/>
                  <w:marBottom w:val="0"/>
                  <w:divBdr>
                    <w:top w:val="none" w:sz="0" w:space="0" w:color="auto"/>
                    <w:left w:val="none" w:sz="0" w:space="0" w:color="auto"/>
                    <w:bottom w:val="none" w:sz="0" w:space="0" w:color="auto"/>
                    <w:right w:val="none" w:sz="0" w:space="0" w:color="auto"/>
                  </w:divBdr>
                  <w:divsChild>
                    <w:div w:id="9165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01130">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3952197">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15955928">
      <w:bodyDiv w:val="1"/>
      <w:marLeft w:val="0"/>
      <w:marRight w:val="0"/>
      <w:marTop w:val="0"/>
      <w:marBottom w:val="0"/>
      <w:divBdr>
        <w:top w:val="none" w:sz="0" w:space="0" w:color="auto"/>
        <w:left w:val="none" w:sz="0" w:space="0" w:color="auto"/>
        <w:bottom w:val="none" w:sz="0" w:space="0" w:color="auto"/>
        <w:right w:val="none" w:sz="0" w:space="0" w:color="auto"/>
      </w:divBdr>
      <w:divsChild>
        <w:div w:id="1500002568">
          <w:marLeft w:val="0"/>
          <w:marRight w:val="0"/>
          <w:marTop w:val="0"/>
          <w:marBottom w:val="0"/>
          <w:divBdr>
            <w:top w:val="none" w:sz="0" w:space="0" w:color="auto"/>
            <w:left w:val="none" w:sz="0" w:space="0" w:color="auto"/>
            <w:bottom w:val="none" w:sz="0" w:space="0" w:color="auto"/>
            <w:right w:val="none" w:sz="0" w:space="0" w:color="auto"/>
          </w:divBdr>
          <w:divsChild>
            <w:div w:id="444812866">
              <w:marLeft w:val="0"/>
              <w:marRight w:val="0"/>
              <w:marTop w:val="0"/>
              <w:marBottom w:val="0"/>
              <w:divBdr>
                <w:top w:val="none" w:sz="0" w:space="0" w:color="auto"/>
                <w:left w:val="none" w:sz="0" w:space="0" w:color="auto"/>
                <w:bottom w:val="none" w:sz="0" w:space="0" w:color="auto"/>
                <w:right w:val="none" w:sz="0" w:space="0" w:color="auto"/>
              </w:divBdr>
              <w:divsChild>
                <w:div w:id="1809737245">
                  <w:marLeft w:val="0"/>
                  <w:marRight w:val="0"/>
                  <w:marTop w:val="0"/>
                  <w:marBottom w:val="0"/>
                  <w:divBdr>
                    <w:top w:val="none" w:sz="0" w:space="0" w:color="auto"/>
                    <w:left w:val="none" w:sz="0" w:space="0" w:color="auto"/>
                    <w:bottom w:val="none" w:sz="0" w:space="0" w:color="auto"/>
                    <w:right w:val="none" w:sz="0" w:space="0" w:color="auto"/>
                  </w:divBdr>
                  <w:divsChild>
                    <w:div w:id="18074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50188">
      <w:bodyDiv w:val="1"/>
      <w:marLeft w:val="0"/>
      <w:marRight w:val="0"/>
      <w:marTop w:val="0"/>
      <w:marBottom w:val="0"/>
      <w:divBdr>
        <w:top w:val="none" w:sz="0" w:space="0" w:color="auto"/>
        <w:left w:val="none" w:sz="0" w:space="0" w:color="auto"/>
        <w:bottom w:val="none" w:sz="0" w:space="0" w:color="auto"/>
        <w:right w:val="none" w:sz="0" w:space="0" w:color="auto"/>
      </w:divBdr>
      <w:divsChild>
        <w:div w:id="782849013">
          <w:marLeft w:val="0"/>
          <w:marRight w:val="0"/>
          <w:marTop w:val="0"/>
          <w:marBottom w:val="0"/>
          <w:divBdr>
            <w:top w:val="none" w:sz="0" w:space="0" w:color="auto"/>
            <w:left w:val="none" w:sz="0" w:space="0" w:color="auto"/>
            <w:bottom w:val="none" w:sz="0" w:space="0" w:color="auto"/>
            <w:right w:val="none" w:sz="0" w:space="0" w:color="auto"/>
          </w:divBdr>
          <w:divsChild>
            <w:div w:id="845942983">
              <w:marLeft w:val="0"/>
              <w:marRight w:val="0"/>
              <w:marTop w:val="0"/>
              <w:marBottom w:val="0"/>
              <w:divBdr>
                <w:top w:val="none" w:sz="0" w:space="0" w:color="auto"/>
                <w:left w:val="none" w:sz="0" w:space="0" w:color="auto"/>
                <w:bottom w:val="none" w:sz="0" w:space="0" w:color="auto"/>
                <w:right w:val="none" w:sz="0" w:space="0" w:color="auto"/>
              </w:divBdr>
              <w:divsChild>
                <w:div w:id="1426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52073307">
      <w:bodyDiv w:val="1"/>
      <w:marLeft w:val="0"/>
      <w:marRight w:val="0"/>
      <w:marTop w:val="0"/>
      <w:marBottom w:val="0"/>
      <w:divBdr>
        <w:top w:val="none" w:sz="0" w:space="0" w:color="auto"/>
        <w:left w:val="none" w:sz="0" w:space="0" w:color="auto"/>
        <w:bottom w:val="none" w:sz="0" w:space="0" w:color="auto"/>
        <w:right w:val="none" w:sz="0" w:space="0" w:color="auto"/>
      </w:divBdr>
    </w:div>
    <w:div w:id="2058356507">
      <w:bodyDiv w:val="1"/>
      <w:marLeft w:val="0"/>
      <w:marRight w:val="0"/>
      <w:marTop w:val="0"/>
      <w:marBottom w:val="0"/>
      <w:divBdr>
        <w:top w:val="none" w:sz="0" w:space="0" w:color="auto"/>
        <w:left w:val="none" w:sz="0" w:space="0" w:color="auto"/>
        <w:bottom w:val="none" w:sz="0" w:space="0" w:color="auto"/>
        <w:right w:val="none" w:sz="0" w:space="0" w:color="auto"/>
      </w:divBdr>
      <w:divsChild>
        <w:div w:id="614366577">
          <w:marLeft w:val="0"/>
          <w:marRight w:val="0"/>
          <w:marTop w:val="0"/>
          <w:marBottom w:val="0"/>
          <w:divBdr>
            <w:top w:val="none" w:sz="0" w:space="0" w:color="auto"/>
            <w:left w:val="none" w:sz="0" w:space="0" w:color="auto"/>
            <w:bottom w:val="none" w:sz="0" w:space="0" w:color="auto"/>
            <w:right w:val="none" w:sz="0" w:space="0" w:color="auto"/>
          </w:divBdr>
          <w:divsChild>
            <w:div w:id="1152985842">
              <w:marLeft w:val="0"/>
              <w:marRight w:val="0"/>
              <w:marTop w:val="0"/>
              <w:marBottom w:val="0"/>
              <w:divBdr>
                <w:top w:val="none" w:sz="0" w:space="0" w:color="auto"/>
                <w:left w:val="none" w:sz="0" w:space="0" w:color="auto"/>
                <w:bottom w:val="none" w:sz="0" w:space="0" w:color="auto"/>
                <w:right w:val="none" w:sz="0" w:space="0" w:color="auto"/>
              </w:divBdr>
              <w:divsChild>
                <w:div w:id="1378627606">
                  <w:marLeft w:val="0"/>
                  <w:marRight w:val="0"/>
                  <w:marTop w:val="0"/>
                  <w:marBottom w:val="0"/>
                  <w:divBdr>
                    <w:top w:val="none" w:sz="0" w:space="0" w:color="auto"/>
                    <w:left w:val="none" w:sz="0" w:space="0" w:color="auto"/>
                    <w:bottom w:val="none" w:sz="0" w:space="0" w:color="auto"/>
                    <w:right w:val="none" w:sz="0" w:space="0" w:color="auto"/>
                  </w:divBdr>
                  <w:divsChild>
                    <w:div w:id="18576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13281323">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768cc5-42b3-4154-ac79-a479a91618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0B002730428DB44A363FEEF3CF1E410" ma:contentTypeVersion="10" ma:contentTypeDescription="Crear nuevo documento." ma:contentTypeScope="" ma:versionID="3baa08e395d867ce133cbcce305135b8">
  <xsd:schema xmlns:xsd="http://www.w3.org/2001/XMLSchema" xmlns:xs="http://www.w3.org/2001/XMLSchema" xmlns:p="http://schemas.microsoft.com/office/2006/metadata/properties" xmlns:ns2="d9768cc5-42b3-4154-ac79-a479a91618ca" xmlns:ns3="3c5dda01-6cde-45f2-983a-9e3cf2dbb43c" targetNamespace="http://schemas.microsoft.com/office/2006/metadata/properties" ma:root="true" ma:fieldsID="f917e04b76d558c6a55fb92d9684a030" ns2:_="" ns3:_="">
    <xsd:import namespace="d9768cc5-42b3-4154-ac79-a479a91618ca"/>
    <xsd:import namespace="3c5dda01-6cde-45f2-983a-9e3cf2dbb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68cc5-42b3-4154-ac79-a479a9161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dda01-6cde-45f2-983a-9e3cf2dbb43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D3DA4-CB48-41A3-8073-D6D2DA8E00E9}">
  <ds:schemaRefs>
    <ds:schemaRef ds:uri="http://schemas.microsoft.com/office/2006/metadata/properties"/>
    <ds:schemaRef ds:uri="http://schemas.microsoft.com/office/infopath/2007/PartnerControls"/>
    <ds:schemaRef ds:uri="d9768cc5-42b3-4154-ac79-a479a91618ca"/>
  </ds:schemaRefs>
</ds:datastoreItem>
</file>

<file path=customXml/itemProps2.xml><?xml version="1.0" encoding="utf-8"?>
<ds:datastoreItem xmlns:ds="http://schemas.openxmlformats.org/officeDocument/2006/customXml" ds:itemID="{220F9104-8EE6-44A9-A7DC-10124D657EB4}">
  <ds:schemaRefs>
    <ds:schemaRef ds:uri="http://schemas.microsoft.com/sharepoint/v3/contenttype/forms"/>
  </ds:schemaRefs>
</ds:datastoreItem>
</file>

<file path=customXml/itemProps3.xml><?xml version="1.0" encoding="utf-8"?>
<ds:datastoreItem xmlns:ds="http://schemas.openxmlformats.org/officeDocument/2006/customXml" ds:itemID="{4F9FED71-57E7-4F6F-B861-0D19130BC01E}">
  <ds:schemaRefs>
    <ds:schemaRef ds:uri="http://schemas.openxmlformats.org/officeDocument/2006/bibliography"/>
  </ds:schemaRefs>
</ds:datastoreItem>
</file>

<file path=customXml/itemProps4.xml><?xml version="1.0" encoding="utf-8"?>
<ds:datastoreItem xmlns:ds="http://schemas.openxmlformats.org/officeDocument/2006/customXml" ds:itemID="{AE582774-DE38-40EB-BF2A-F04ECC6F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68cc5-42b3-4154-ac79-a479a91618ca"/>
    <ds:schemaRef ds:uri="3c5dda01-6cde-45f2-983a-9e3cf2dbb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3618</Words>
  <Characters>19904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Fernando León Granados</dc:creator>
  <cp:lastModifiedBy>Eliana Rodriguez Fonseca</cp:lastModifiedBy>
  <cp:revision>2</cp:revision>
  <cp:lastPrinted>2023-04-17T17:27:00Z</cp:lastPrinted>
  <dcterms:created xsi:type="dcterms:W3CDTF">2023-06-29T15:47:00Z</dcterms:created>
  <dcterms:modified xsi:type="dcterms:W3CDTF">2023-06-29T15:47:00Z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0x01010040B002730428DB44A363FEEF3CF1E410</vt:lpwstr>
  </property>
  <property fmtid="{D5CDD505-2E9C-101B-9397-08002B2CF9AE}" pid="3" name="MediaServiceImageTags">
    <vt:lpwstr/>
  </property>
  <property fmtid="{D5CDD505-2E9C-101B-9397-08002B2CF9AE}" pid="4" name="Order">
    <vt:r8>1528100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