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69DEA" w14:textId="14202EFA" w:rsidR="00F70E4A" w:rsidRPr="00C266C6" w:rsidRDefault="00EB288B" w:rsidP="002F1961">
      <w:pPr>
        <w:spacing w:before="100" w:beforeAutospacing="1" w:after="100" w:afterAutospacing="1" w:line="360" w:lineRule="auto"/>
        <w:ind w:left="1416" w:hanging="1416"/>
        <w:jc w:val="center"/>
        <w:rPr>
          <w:rFonts w:cs="Arial"/>
          <w:b/>
          <w:sz w:val="40"/>
          <w:szCs w:val="22"/>
        </w:rPr>
      </w:pPr>
      <w:r>
        <w:rPr>
          <w:noProof/>
        </w:rPr>
        <w:drawing>
          <wp:inline distT="0" distB="0" distL="0" distR="0" wp14:anchorId="17B536EE" wp14:editId="5E545A73">
            <wp:extent cx="1956887" cy="2376000"/>
            <wp:effectExtent l="0" t="0" r="5715" b="5715"/>
            <wp:docPr id="8891085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108566" name="Imagen 1"/>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56887" cy="2376000"/>
                    </a:xfrm>
                    <a:prstGeom prst="rect">
                      <a:avLst/>
                    </a:prstGeom>
                    <a:noFill/>
                    <a:ln>
                      <a:noFill/>
                    </a:ln>
                  </pic:spPr>
                </pic:pic>
              </a:graphicData>
            </a:graphic>
          </wp:inline>
        </w:drawing>
      </w:r>
    </w:p>
    <w:p w14:paraId="5778A489" w14:textId="408DF0AC" w:rsidR="00F4328C" w:rsidRPr="00F4328C" w:rsidRDefault="00F4328C" w:rsidP="002F1961">
      <w:pPr>
        <w:spacing w:before="100" w:beforeAutospacing="1" w:after="100" w:afterAutospacing="1" w:line="360" w:lineRule="auto"/>
        <w:rPr>
          <w:rFonts w:cs="Arial"/>
          <w:b/>
          <w:sz w:val="40"/>
          <w:szCs w:val="40"/>
          <w:lang w:val="es-CO"/>
        </w:rPr>
      </w:pPr>
      <w:r w:rsidRPr="00F4328C">
        <w:rPr>
          <w:rFonts w:cs="Arial"/>
          <w:b/>
          <w:sz w:val="40"/>
          <w:szCs w:val="40"/>
          <w:lang w:val="es-CO"/>
        </w:rPr>
        <w:t>ANÁLISIS DE IMPACTO NORMATIVO PARA LA CADENA DE PRESTACIÓN DEL SERVICIO PÚBLICO DOMICILIARIO DE GL</w:t>
      </w:r>
      <w:r>
        <w:rPr>
          <w:rFonts w:cs="Arial"/>
          <w:b/>
          <w:sz w:val="40"/>
          <w:szCs w:val="40"/>
          <w:lang w:val="es-CO"/>
        </w:rPr>
        <w:t>P</w:t>
      </w:r>
      <w:r w:rsidRPr="00F4328C">
        <w:rPr>
          <w:rFonts w:cs="Arial"/>
          <w:b/>
          <w:sz w:val="40"/>
          <w:szCs w:val="40"/>
          <w:lang w:val="es-CO"/>
        </w:rPr>
        <w:t xml:space="preserve"> </w:t>
      </w:r>
    </w:p>
    <w:p w14:paraId="4B8C7FC0" w14:textId="74E68D92" w:rsidR="0056091A" w:rsidRDefault="00F4328C" w:rsidP="002F1961">
      <w:pPr>
        <w:spacing w:before="100" w:beforeAutospacing="1" w:after="100" w:afterAutospacing="1" w:line="360" w:lineRule="auto"/>
        <w:rPr>
          <w:rFonts w:cs="Arial"/>
          <w:b/>
          <w:sz w:val="40"/>
          <w:szCs w:val="40"/>
          <w:lang w:val="pt-PT"/>
        </w:rPr>
      </w:pPr>
      <w:r w:rsidRPr="00F4328C">
        <w:rPr>
          <w:rFonts w:cs="Arial"/>
          <w:b/>
          <w:sz w:val="40"/>
          <w:szCs w:val="40"/>
          <w:lang w:val="pt-PT"/>
        </w:rPr>
        <w:t>DOC.1 -</w:t>
      </w:r>
      <w:r w:rsidR="00AB2D82">
        <w:rPr>
          <w:rFonts w:cs="Arial"/>
          <w:b/>
          <w:sz w:val="40"/>
          <w:szCs w:val="40"/>
          <w:lang w:val="pt-PT"/>
        </w:rPr>
        <w:t xml:space="preserve"> </w:t>
      </w:r>
      <w:r w:rsidRPr="00F4328C">
        <w:rPr>
          <w:rFonts w:cs="Arial"/>
          <w:b/>
          <w:sz w:val="40"/>
          <w:szCs w:val="40"/>
          <w:lang w:val="pt-PT"/>
        </w:rPr>
        <w:t>D</w:t>
      </w:r>
      <w:r w:rsidR="00AB2D82">
        <w:rPr>
          <w:rFonts w:cs="Arial"/>
          <w:b/>
          <w:sz w:val="40"/>
          <w:szCs w:val="40"/>
          <w:lang w:val="pt-PT"/>
        </w:rPr>
        <w:t>iagnóstico</w:t>
      </w:r>
    </w:p>
    <w:p w14:paraId="24A4978D" w14:textId="77777777" w:rsidR="00F4328C" w:rsidRDefault="00F4328C" w:rsidP="002F1961">
      <w:pPr>
        <w:spacing w:before="100" w:beforeAutospacing="1" w:after="100" w:afterAutospacing="1" w:line="360" w:lineRule="auto"/>
        <w:rPr>
          <w:rFonts w:cs="Arial"/>
          <w:b/>
          <w:sz w:val="40"/>
          <w:szCs w:val="40"/>
          <w:lang w:val="pt-PT"/>
        </w:rPr>
      </w:pPr>
    </w:p>
    <w:p w14:paraId="680DCC41" w14:textId="6F779539" w:rsidR="00020441" w:rsidRPr="00724052" w:rsidRDefault="00020441" w:rsidP="002F1961">
      <w:pPr>
        <w:spacing w:before="100" w:beforeAutospacing="1" w:after="100" w:afterAutospacing="1" w:line="360" w:lineRule="auto"/>
        <w:rPr>
          <w:rFonts w:cs="Arial"/>
          <w:b/>
          <w:caps/>
          <w:sz w:val="28"/>
          <w:szCs w:val="28"/>
          <w:lang w:val="pt-PT"/>
        </w:rPr>
      </w:pPr>
      <w:r w:rsidRPr="00724052">
        <w:rPr>
          <w:rFonts w:cs="Arial"/>
          <w:b/>
          <w:caps/>
          <w:sz w:val="28"/>
          <w:szCs w:val="28"/>
          <w:lang w:val="pt-PT"/>
        </w:rPr>
        <w:t xml:space="preserve">DOCUMENTO </w:t>
      </w:r>
      <w:r w:rsidRPr="00724052">
        <w:rPr>
          <w:rFonts w:cs="Arial"/>
          <w:b/>
          <w:caps/>
          <w:sz w:val="40"/>
          <w:szCs w:val="40"/>
          <w:lang w:val="pt-PT"/>
        </w:rPr>
        <w:t>CREG-</w:t>
      </w:r>
      <w:r w:rsidR="00E70BBF" w:rsidRPr="00724052">
        <w:rPr>
          <w:rFonts w:cs="Arial"/>
          <w:b/>
          <w:caps/>
          <w:sz w:val="40"/>
          <w:szCs w:val="40"/>
          <w:lang w:val="pt-PT"/>
        </w:rPr>
        <w:t>90</w:t>
      </w:r>
      <w:r w:rsidR="0045292E">
        <w:rPr>
          <w:rFonts w:cs="Arial"/>
          <w:b/>
          <w:caps/>
          <w:sz w:val="40"/>
          <w:szCs w:val="40"/>
          <w:lang w:val="pt-PT"/>
        </w:rPr>
        <w:t>3</w:t>
      </w:r>
      <w:r w:rsidR="00E70BBF" w:rsidRPr="00724052">
        <w:rPr>
          <w:rFonts w:cs="Arial"/>
          <w:b/>
          <w:caps/>
          <w:sz w:val="40"/>
          <w:szCs w:val="40"/>
          <w:lang w:val="pt-PT"/>
        </w:rPr>
        <w:t xml:space="preserve"> </w:t>
      </w:r>
      <w:r w:rsidR="00B442D3" w:rsidRPr="00B0198D">
        <w:rPr>
          <w:rFonts w:cs="Arial"/>
          <w:b/>
          <w:caps/>
          <w:sz w:val="40"/>
          <w:szCs w:val="40"/>
          <w:lang w:val="pt-PT"/>
        </w:rPr>
        <w:t>0</w:t>
      </w:r>
      <w:r w:rsidR="00B0198D" w:rsidRPr="00B0198D">
        <w:rPr>
          <w:rFonts w:cs="Arial"/>
          <w:b/>
          <w:caps/>
          <w:sz w:val="40"/>
          <w:szCs w:val="40"/>
          <w:lang w:val="pt-PT"/>
        </w:rPr>
        <w:t>15</w:t>
      </w:r>
    </w:p>
    <w:p w14:paraId="7461BBD7" w14:textId="5271A6A2" w:rsidR="00020441" w:rsidRPr="00724052" w:rsidRDefault="00B0198D" w:rsidP="002F1961">
      <w:pPr>
        <w:tabs>
          <w:tab w:val="left" w:pos="9142"/>
        </w:tabs>
        <w:spacing w:before="100" w:beforeAutospacing="1" w:after="100" w:afterAutospacing="1" w:line="360" w:lineRule="auto"/>
        <w:jc w:val="left"/>
        <w:rPr>
          <w:rFonts w:cs="Arial"/>
          <w:b/>
          <w:caps/>
          <w:sz w:val="28"/>
          <w:szCs w:val="28"/>
          <w:lang w:val="pt-PT"/>
        </w:rPr>
      </w:pPr>
      <w:r w:rsidRPr="00B0198D">
        <w:rPr>
          <w:rFonts w:cs="Arial"/>
          <w:b/>
          <w:caps/>
          <w:sz w:val="28"/>
          <w:szCs w:val="28"/>
          <w:lang w:val="pt-PT"/>
        </w:rPr>
        <w:t>16</w:t>
      </w:r>
      <w:r w:rsidR="00B442D3" w:rsidRPr="00B0198D">
        <w:rPr>
          <w:rFonts w:cs="Arial"/>
          <w:b/>
          <w:caps/>
          <w:sz w:val="28"/>
          <w:szCs w:val="28"/>
          <w:lang w:val="pt-PT"/>
        </w:rPr>
        <w:t>-</w:t>
      </w:r>
      <w:r w:rsidR="0045292E" w:rsidRPr="00B0198D">
        <w:rPr>
          <w:rFonts w:cs="Arial"/>
          <w:b/>
          <w:caps/>
          <w:sz w:val="28"/>
          <w:szCs w:val="28"/>
          <w:lang w:val="pt-PT"/>
        </w:rPr>
        <w:t>0</w:t>
      </w:r>
      <w:r w:rsidR="00B20F77" w:rsidRPr="00B0198D">
        <w:rPr>
          <w:rFonts w:cs="Arial"/>
          <w:b/>
          <w:caps/>
          <w:sz w:val="28"/>
          <w:szCs w:val="28"/>
          <w:lang w:val="pt-PT"/>
        </w:rPr>
        <w:t>7</w:t>
      </w:r>
      <w:r w:rsidR="00B442D3" w:rsidRPr="00B0198D">
        <w:rPr>
          <w:rFonts w:cs="Arial"/>
          <w:b/>
          <w:caps/>
          <w:sz w:val="28"/>
          <w:szCs w:val="28"/>
          <w:lang w:val="pt-PT"/>
        </w:rPr>
        <w:t>-20</w:t>
      </w:r>
      <w:r w:rsidR="00232BF4" w:rsidRPr="00B0198D">
        <w:rPr>
          <w:rFonts w:cs="Arial"/>
          <w:b/>
          <w:caps/>
          <w:sz w:val="28"/>
          <w:szCs w:val="28"/>
          <w:lang w:val="pt-PT"/>
        </w:rPr>
        <w:t>2</w:t>
      </w:r>
      <w:r w:rsidR="00BA2739" w:rsidRPr="00B0198D">
        <w:rPr>
          <w:rFonts w:cs="Arial"/>
          <w:b/>
          <w:caps/>
          <w:sz w:val="28"/>
          <w:szCs w:val="28"/>
          <w:lang w:val="pt-PT"/>
        </w:rPr>
        <w:t>6</w:t>
      </w:r>
    </w:p>
    <w:p w14:paraId="137DF95E" w14:textId="77777777" w:rsidR="0056091A" w:rsidRPr="00724052" w:rsidRDefault="0056091A" w:rsidP="002F1961">
      <w:pPr>
        <w:tabs>
          <w:tab w:val="left" w:pos="9142"/>
        </w:tabs>
        <w:spacing w:before="100" w:beforeAutospacing="1" w:after="100" w:afterAutospacing="1" w:line="360" w:lineRule="auto"/>
        <w:jc w:val="left"/>
        <w:rPr>
          <w:rFonts w:cs="Arial"/>
          <w:b/>
          <w:caps/>
          <w:szCs w:val="24"/>
          <w:lang w:val="pt-PT"/>
        </w:rPr>
      </w:pPr>
    </w:p>
    <w:tbl>
      <w:tblPr>
        <w:tblW w:w="0" w:type="auto"/>
        <w:tblInd w:w="4253" w:type="dxa"/>
        <w:tblCellMar>
          <w:left w:w="70" w:type="dxa"/>
          <w:right w:w="70" w:type="dxa"/>
        </w:tblCellMar>
        <w:tblLook w:val="0000" w:firstRow="0" w:lastRow="0" w:firstColumn="0" w:lastColumn="0" w:noHBand="0" w:noVBand="0"/>
      </w:tblPr>
      <w:tblGrid>
        <w:gridCol w:w="4587"/>
      </w:tblGrid>
      <w:tr w:rsidR="00BB3AF3" w:rsidRPr="00C266C6" w14:paraId="7C7FBA0E" w14:textId="77777777" w:rsidTr="0056091A">
        <w:tc>
          <w:tcPr>
            <w:tcW w:w="4587" w:type="dxa"/>
          </w:tcPr>
          <w:p w14:paraId="641B0AF1" w14:textId="77777777" w:rsidR="006C33FD" w:rsidRPr="00C266C6" w:rsidRDefault="006C33FD" w:rsidP="002F1961">
            <w:pPr>
              <w:spacing w:before="100" w:beforeAutospacing="1" w:after="100" w:afterAutospacing="1" w:line="360" w:lineRule="auto"/>
              <w:jc w:val="left"/>
              <w:rPr>
                <w:rFonts w:cs="Arial"/>
                <w:b/>
                <w:bCs/>
              </w:rPr>
            </w:pPr>
            <w:r w:rsidRPr="00C266C6">
              <w:rPr>
                <w:rFonts w:cs="Arial"/>
                <w:b/>
                <w:bCs/>
              </w:rPr>
              <w:t>CIRCULACIÓN:</w:t>
            </w:r>
          </w:p>
        </w:tc>
      </w:tr>
      <w:tr w:rsidR="00BB3AF3" w:rsidRPr="00C266C6" w14:paraId="7FCB28DD" w14:textId="77777777" w:rsidTr="0056091A">
        <w:tc>
          <w:tcPr>
            <w:tcW w:w="4587" w:type="dxa"/>
          </w:tcPr>
          <w:p w14:paraId="4B11AA9D" w14:textId="77777777" w:rsidR="006C33FD" w:rsidRPr="00C266C6" w:rsidRDefault="006C33FD" w:rsidP="002F1961">
            <w:pPr>
              <w:spacing w:before="100" w:beforeAutospacing="1" w:after="100" w:afterAutospacing="1" w:line="360" w:lineRule="auto"/>
              <w:jc w:val="left"/>
              <w:rPr>
                <w:rFonts w:cs="Arial"/>
                <w:b/>
                <w:bCs/>
              </w:rPr>
            </w:pPr>
            <w:r w:rsidRPr="00C266C6">
              <w:rPr>
                <w:rFonts w:cs="Arial"/>
                <w:b/>
                <w:bCs/>
              </w:rPr>
              <w:t>MIEMBROS DE LA COMISIÓN DE</w:t>
            </w:r>
          </w:p>
        </w:tc>
      </w:tr>
      <w:tr w:rsidR="00BB3AF3" w:rsidRPr="00C266C6" w14:paraId="00336628" w14:textId="77777777" w:rsidTr="0056091A">
        <w:tc>
          <w:tcPr>
            <w:tcW w:w="4587" w:type="dxa"/>
          </w:tcPr>
          <w:p w14:paraId="2FEBB2B4" w14:textId="77777777" w:rsidR="006C33FD" w:rsidRPr="00C266C6" w:rsidRDefault="006C33FD" w:rsidP="002F1961">
            <w:pPr>
              <w:tabs>
                <w:tab w:val="left" w:pos="4606"/>
                <w:tab w:val="left" w:pos="9142"/>
              </w:tabs>
              <w:spacing w:before="100" w:beforeAutospacing="1" w:after="100" w:afterAutospacing="1" w:line="360" w:lineRule="auto"/>
              <w:jc w:val="left"/>
              <w:rPr>
                <w:rFonts w:cs="Arial"/>
                <w:b/>
                <w:bCs/>
              </w:rPr>
            </w:pPr>
            <w:r w:rsidRPr="00C266C6">
              <w:rPr>
                <w:rFonts w:cs="Arial"/>
                <w:b/>
                <w:bCs/>
              </w:rPr>
              <w:t>REGULACIÓN DE ENERGÍA Y GAS</w:t>
            </w:r>
          </w:p>
        </w:tc>
      </w:tr>
    </w:tbl>
    <w:p w14:paraId="17B077CB" w14:textId="6941BB98" w:rsidR="004E3965" w:rsidRPr="00C266C6" w:rsidRDefault="00020441" w:rsidP="002F1961">
      <w:pPr>
        <w:spacing w:before="100" w:beforeAutospacing="1" w:after="100" w:afterAutospacing="1" w:line="360" w:lineRule="auto"/>
        <w:rPr>
          <w:rFonts w:cs="Arial"/>
          <w:sz w:val="22"/>
          <w:szCs w:val="22"/>
        </w:rPr>
      </w:pPr>
      <w:r w:rsidRPr="00C266C6">
        <w:rPr>
          <w:rFonts w:cs="Arial"/>
          <w:sz w:val="22"/>
          <w:szCs w:val="22"/>
        </w:rPr>
        <w:br w:type="page"/>
      </w:r>
    </w:p>
    <w:p w14:paraId="02D02549" w14:textId="3F2FF603" w:rsidR="004C1A0B" w:rsidRPr="00C266C6" w:rsidRDefault="007F06F6" w:rsidP="002F1961">
      <w:pPr>
        <w:pStyle w:val="Ttulo1"/>
        <w:keepLines/>
        <w:shd w:val="clear" w:color="auto" w:fill="FFFFFF" w:themeFill="background1"/>
        <w:tabs>
          <w:tab w:val="clear" w:pos="2556"/>
        </w:tabs>
        <w:suppressAutoHyphens w:val="0"/>
        <w:spacing w:before="100" w:beforeAutospacing="1" w:after="100" w:afterAutospacing="1" w:line="360" w:lineRule="auto"/>
        <w:ind w:left="0" w:firstLine="0"/>
        <w:jc w:val="center"/>
        <w:rPr>
          <w:rFonts w:cs="Arial"/>
          <w:b w:val="0"/>
          <w:szCs w:val="24"/>
        </w:rPr>
      </w:pPr>
      <w:bookmarkStart w:id="0" w:name="_Toc235128309"/>
      <w:r>
        <w:rPr>
          <w:rFonts w:cs="Arial"/>
          <w:szCs w:val="24"/>
        </w:rPr>
        <w:lastRenderedPageBreak/>
        <w:t>CONTENIDO</w:t>
      </w:r>
      <w:bookmarkEnd w:id="0"/>
    </w:p>
    <w:sdt>
      <w:sdtPr>
        <w:rPr>
          <w:rFonts w:cs="Arial"/>
          <w:noProof w:val="0"/>
          <w:szCs w:val="20"/>
          <w:lang w:val="es-ES_tradnl"/>
        </w:rPr>
        <w:id w:val="1623183066"/>
        <w:docPartObj>
          <w:docPartGallery w:val="Table of Contents"/>
          <w:docPartUnique/>
        </w:docPartObj>
      </w:sdtPr>
      <w:sdtEndPr>
        <w:rPr>
          <w:b/>
          <w:noProof/>
          <w:szCs w:val="24"/>
          <w:lang w:val="es-ES"/>
        </w:rPr>
      </w:sdtEndPr>
      <w:sdtContent>
        <w:p w14:paraId="2D573F46" w14:textId="5F005E7E" w:rsidR="00D27B38" w:rsidRDefault="00AD39A3">
          <w:pPr>
            <w:pStyle w:val="TDC1"/>
            <w:rPr>
              <w:rFonts w:asciiTheme="minorHAnsi" w:eastAsiaTheme="minorEastAsia" w:hAnsiTheme="minorHAnsi" w:cstheme="minorBidi"/>
              <w:kern w:val="2"/>
              <w:lang w:val="es-CO" w:eastAsia="es-CO"/>
              <w14:ligatures w14:val="standardContextual"/>
            </w:rPr>
          </w:pPr>
          <w:r w:rsidRPr="00C266C6">
            <w:rPr>
              <w:rFonts w:cs="Arial"/>
              <w:b/>
              <w:bCs/>
              <w:szCs w:val="20"/>
            </w:rPr>
            <w:fldChar w:fldCharType="begin"/>
          </w:r>
          <w:r w:rsidRPr="00C266C6">
            <w:rPr>
              <w:rFonts w:cs="Arial"/>
              <w:b/>
              <w:bCs/>
            </w:rPr>
            <w:instrText xml:space="preserve"> TOC \o "1-3" \h \z \u </w:instrText>
          </w:r>
          <w:r w:rsidRPr="00C266C6">
            <w:rPr>
              <w:rFonts w:cs="Arial"/>
              <w:b/>
              <w:bCs/>
              <w:szCs w:val="20"/>
            </w:rPr>
            <w:fldChar w:fldCharType="separate"/>
          </w:r>
          <w:hyperlink w:anchor="_Toc235128309" w:history="1">
            <w:r w:rsidR="00D27B38" w:rsidRPr="00861F23">
              <w:rPr>
                <w:rStyle w:val="Hipervnculo"/>
                <w:rFonts w:cs="Arial"/>
              </w:rPr>
              <w:t>CONTENIDO</w:t>
            </w:r>
            <w:r w:rsidR="00D27B38">
              <w:rPr>
                <w:webHidden/>
              </w:rPr>
              <w:tab/>
            </w:r>
            <w:r w:rsidR="00D27B38">
              <w:rPr>
                <w:webHidden/>
              </w:rPr>
              <w:fldChar w:fldCharType="begin"/>
            </w:r>
            <w:r w:rsidR="00D27B38">
              <w:rPr>
                <w:webHidden/>
              </w:rPr>
              <w:instrText xml:space="preserve"> PAGEREF _Toc235128309 \h </w:instrText>
            </w:r>
            <w:r w:rsidR="00D27B38">
              <w:rPr>
                <w:webHidden/>
              </w:rPr>
            </w:r>
            <w:r w:rsidR="00D27B38">
              <w:rPr>
                <w:webHidden/>
              </w:rPr>
              <w:fldChar w:fldCharType="separate"/>
            </w:r>
            <w:r w:rsidR="00D27B38">
              <w:rPr>
                <w:webHidden/>
              </w:rPr>
              <w:t>2</w:t>
            </w:r>
            <w:r w:rsidR="00D27B38">
              <w:rPr>
                <w:webHidden/>
              </w:rPr>
              <w:fldChar w:fldCharType="end"/>
            </w:r>
          </w:hyperlink>
        </w:p>
        <w:p w14:paraId="07231CD3" w14:textId="2BC3A2B3" w:rsidR="00D27B38" w:rsidRDefault="00D27B38">
          <w:pPr>
            <w:pStyle w:val="TDC1"/>
            <w:rPr>
              <w:rFonts w:asciiTheme="minorHAnsi" w:eastAsiaTheme="minorEastAsia" w:hAnsiTheme="minorHAnsi" w:cstheme="minorBidi"/>
              <w:kern w:val="2"/>
              <w:lang w:val="es-CO" w:eastAsia="es-CO"/>
              <w14:ligatures w14:val="standardContextual"/>
            </w:rPr>
          </w:pPr>
          <w:hyperlink w:anchor="_Toc235128310" w:history="1">
            <w:r w:rsidRPr="00861F23">
              <w:rPr>
                <w:rStyle w:val="Hipervnculo"/>
                <w:rFonts w:eastAsiaTheme="majorEastAsia" w:cs="Arial"/>
              </w:rPr>
              <w:t>LISTA DE FIGURAS</w:t>
            </w:r>
            <w:r>
              <w:rPr>
                <w:webHidden/>
              </w:rPr>
              <w:tab/>
            </w:r>
            <w:r>
              <w:rPr>
                <w:webHidden/>
              </w:rPr>
              <w:fldChar w:fldCharType="begin"/>
            </w:r>
            <w:r>
              <w:rPr>
                <w:webHidden/>
              </w:rPr>
              <w:instrText xml:space="preserve"> PAGEREF _Toc235128310 \h </w:instrText>
            </w:r>
            <w:r>
              <w:rPr>
                <w:webHidden/>
              </w:rPr>
            </w:r>
            <w:r>
              <w:rPr>
                <w:webHidden/>
              </w:rPr>
              <w:fldChar w:fldCharType="separate"/>
            </w:r>
            <w:r>
              <w:rPr>
                <w:webHidden/>
              </w:rPr>
              <w:t>5</w:t>
            </w:r>
            <w:r>
              <w:rPr>
                <w:webHidden/>
              </w:rPr>
              <w:fldChar w:fldCharType="end"/>
            </w:r>
          </w:hyperlink>
        </w:p>
        <w:p w14:paraId="69158D90" w14:textId="00B6597A" w:rsidR="00D27B38" w:rsidRDefault="00D27B38">
          <w:pPr>
            <w:pStyle w:val="TDC1"/>
            <w:rPr>
              <w:rFonts w:asciiTheme="minorHAnsi" w:eastAsiaTheme="minorEastAsia" w:hAnsiTheme="minorHAnsi" w:cstheme="minorBidi"/>
              <w:kern w:val="2"/>
              <w:lang w:val="es-CO" w:eastAsia="es-CO"/>
              <w14:ligatures w14:val="standardContextual"/>
            </w:rPr>
          </w:pPr>
          <w:hyperlink w:anchor="_Toc235128311" w:history="1">
            <w:r w:rsidRPr="00861F23">
              <w:rPr>
                <w:rStyle w:val="Hipervnculo"/>
                <w:rFonts w:eastAsiaTheme="majorEastAsia" w:cs="Arial"/>
              </w:rPr>
              <w:t>LISTA DE TABLAS</w:t>
            </w:r>
            <w:r>
              <w:rPr>
                <w:webHidden/>
              </w:rPr>
              <w:tab/>
            </w:r>
            <w:r>
              <w:rPr>
                <w:webHidden/>
              </w:rPr>
              <w:fldChar w:fldCharType="begin"/>
            </w:r>
            <w:r>
              <w:rPr>
                <w:webHidden/>
              </w:rPr>
              <w:instrText xml:space="preserve"> PAGEREF _Toc235128311 \h </w:instrText>
            </w:r>
            <w:r>
              <w:rPr>
                <w:webHidden/>
              </w:rPr>
            </w:r>
            <w:r>
              <w:rPr>
                <w:webHidden/>
              </w:rPr>
              <w:fldChar w:fldCharType="separate"/>
            </w:r>
            <w:r>
              <w:rPr>
                <w:webHidden/>
              </w:rPr>
              <w:t>7</w:t>
            </w:r>
            <w:r>
              <w:rPr>
                <w:webHidden/>
              </w:rPr>
              <w:fldChar w:fldCharType="end"/>
            </w:r>
          </w:hyperlink>
        </w:p>
        <w:p w14:paraId="7AE4AF04" w14:textId="255B8A9A" w:rsidR="00D27B38" w:rsidRDefault="00D27B38">
          <w:pPr>
            <w:pStyle w:val="TDC1"/>
            <w:rPr>
              <w:rFonts w:asciiTheme="minorHAnsi" w:eastAsiaTheme="minorEastAsia" w:hAnsiTheme="minorHAnsi" w:cstheme="minorBidi"/>
              <w:kern w:val="2"/>
              <w:lang w:val="es-CO" w:eastAsia="es-CO"/>
              <w14:ligatures w14:val="standardContextual"/>
            </w:rPr>
          </w:pPr>
          <w:hyperlink w:anchor="_Toc235128312" w:history="1">
            <w:r w:rsidRPr="00861F23">
              <w:rPr>
                <w:rStyle w:val="Hipervnculo"/>
                <w:rFonts w:cs="Arial"/>
              </w:rPr>
              <w:t>SIGLAS</w:t>
            </w:r>
            <w:r>
              <w:rPr>
                <w:webHidden/>
              </w:rPr>
              <w:tab/>
            </w:r>
            <w:r>
              <w:rPr>
                <w:webHidden/>
              </w:rPr>
              <w:fldChar w:fldCharType="begin"/>
            </w:r>
            <w:r>
              <w:rPr>
                <w:webHidden/>
              </w:rPr>
              <w:instrText xml:space="preserve"> PAGEREF _Toc235128312 \h </w:instrText>
            </w:r>
            <w:r>
              <w:rPr>
                <w:webHidden/>
              </w:rPr>
            </w:r>
            <w:r>
              <w:rPr>
                <w:webHidden/>
              </w:rPr>
              <w:fldChar w:fldCharType="separate"/>
            </w:r>
            <w:r>
              <w:rPr>
                <w:webHidden/>
              </w:rPr>
              <w:t>8</w:t>
            </w:r>
            <w:r>
              <w:rPr>
                <w:webHidden/>
              </w:rPr>
              <w:fldChar w:fldCharType="end"/>
            </w:r>
          </w:hyperlink>
        </w:p>
        <w:p w14:paraId="321B2743" w14:textId="2A38F9F0" w:rsidR="00D27B38" w:rsidRDefault="00D27B38">
          <w:pPr>
            <w:pStyle w:val="TDC1"/>
            <w:rPr>
              <w:rFonts w:asciiTheme="minorHAnsi" w:eastAsiaTheme="minorEastAsia" w:hAnsiTheme="minorHAnsi" w:cstheme="minorBidi"/>
              <w:kern w:val="2"/>
              <w:lang w:val="es-CO" w:eastAsia="es-CO"/>
              <w14:ligatures w14:val="standardContextual"/>
            </w:rPr>
          </w:pPr>
          <w:hyperlink w:anchor="_Toc235128313" w:history="1">
            <w:r w:rsidRPr="00861F23">
              <w:rPr>
                <w:rStyle w:val="Hipervnculo"/>
                <w:rFonts w:cs="Arial"/>
              </w:rPr>
              <w:t>INTRODUCCIÓN</w:t>
            </w:r>
            <w:r>
              <w:rPr>
                <w:webHidden/>
              </w:rPr>
              <w:tab/>
            </w:r>
            <w:r>
              <w:rPr>
                <w:webHidden/>
              </w:rPr>
              <w:fldChar w:fldCharType="begin"/>
            </w:r>
            <w:r>
              <w:rPr>
                <w:webHidden/>
              </w:rPr>
              <w:instrText xml:space="preserve"> PAGEREF _Toc235128313 \h </w:instrText>
            </w:r>
            <w:r>
              <w:rPr>
                <w:webHidden/>
              </w:rPr>
            </w:r>
            <w:r>
              <w:rPr>
                <w:webHidden/>
              </w:rPr>
              <w:fldChar w:fldCharType="separate"/>
            </w:r>
            <w:r>
              <w:rPr>
                <w:webHidden/>
              </w:rPr>
              <w:t>9</w:t>
            </w:r>
            <w:r>
              <w:rPr>
                <w:webHidden/>
              </w:rPr>
              <w:fldChar w:fldCharType="end"/>
            </w:r>
          </w:hyperlink>
        </w:p>
        <w:p w14:paraId="56BE0417" w14:textId="354CAFA7" w:rsidR="00D27B38" w:rsidRDefault="00D27B38">
          <w:pPr>
            <w:pStyle w:val="TDC1"/>
            <w:rPr>
              <w:rFonts w:asciiTheme="minorHAnsi" w:eastAsiaTheme="minorEastAsia" w:hAnsiTheme="minorHAnsi" w:cstheme="minorBidi"/>
              <w:kern w:val="2"/>
              <w:lang w:val="es-CO" w:eastAsia="es-CO"/>
              <w14:ligatures w14:val="standardContextual"/>
            </w:rPr>
          </w:pPr>
          <w:hyperlink w:anchor="_Toc235128314" w:history="1">
            <w:r w:rsidRPr="00861F23">
              <w:rPr>
                <w:rStyle w:val="Hipervnculo"/>
                <w:rFonts w:cs="Arial"/>
              </w:rPr>
              <w:t>1.</w:t>
            </w:r>
            <w:r>
              <w:rPr>
                <w:rFonts w:asciiTheme="minorHAnsi" w:eastAsiaTheme="minorEastAsia" w:hAnsiTheme="minorHAnsi" w:cstheme="minorBidi"/>
                <w:kern w:val="2"/>
                <w:lang w:val="es-CO" w:eastAsia="es-CO"/>
                <w14:ligatures w14:val="standardContextual"/>
              </w:rPr>
              <w:tab/>
            </w:r>
            <w:r w:rsidRPr="00861F23">
              <w:rPr>
                <w:rStyle w:val="Hipervnculo"/>
                <w:rFonts w:cs="Arial"/>
              </w:rPr>
              <w:t>ANTECEDENTES</w:t>
            </w:r>
            <w:r>
              <w:rPr>
                <w:webHidden/>
              </w:rPr>
              <w:tab/>
            </w:r>
            <w:r>
              <w:rPr>
                <w:webHidden/>
              </w:rPr>
              <w:fldChar w:fldCharType="begin"/>
            </w:r>
            <w:r>
              <w:rPr>
                <w:webHidden/>
              </w:rPr>
              <w:instrText xml:space="preserve"> PAGEREF _Toc235128314 \h </w:instrText>
            </w:r>
            <w:r>
              <w:rPr>
                <w:webHidden/>
              </w:rPr>
            </w:r>
            <w:r>
              <w:rPr>
                <w:webHidden/>
              </w:rPr>
              <w:fldChar w:fldCharType="separate"/>
            </w:r>
            <w:r>
              <w:rPr>
                <w:webHidden/>
              </w:rPr>
              <w:t>11</w:t>
            </w:r>
            <w:r>
              <w:rPr>
                <w:webHidden/>
              </w:rPr>
              <w:fldChar w:fldCharType="end"/>
            </w:r>
          </w:hyperlink>
        </w:p>
        <w:p w14:paraId="52AFBC86" w14:textId="1B383A2E" w:rsidR="00D27B38" w:rsidRDefault="00D27B38">
          <w:pPr>
            <w:pStyle w:val="TDC2"/>
            <w:rPr>
              <w:rFonts w:asciiTheme="minorHAnsi" w:eastAsiaTheme="minorEastAsia" w:hAnsiTheme="minorHAnsi" w:cstheme="minorBidi"/>
              <w:kern w:val="2"/>
              <w:lang w:val="es-CO" w:eastAsia="es-CO"/>
              <w14:ligatures w14:val="standardContextual"/>
            </w:rPr>
          </w:pPr>
          <w:hyperlink w:anchor="_Toc235128315" w:history="1">
            <w:r w:rsidRPr="00861F23">
              <w:rPr>
                <w:rStyle w:val="Hipervnculo"/>
                <w:lang w:val="pt-PT"/>
              </w:rPr>
              <w:t>1.1.</w:t>
            </w:r>
            <w:r>
              <w:rPr>
                <w:rFonts w:asciiTheme="minorHAnsi" w:eastAsiaTheme="minorEastAsia" w:hAnsiTheme="minorHAnsi" w:cstheme="minorBidi"/>
                <w:kern w:val="2"/>
                <w:lang w:val="es-CO" w:eastAsia="es-CO"/>
                <w14:ligatures w14:val="standardContextual"/>
              </w:rPr>
              <w:tab/>
            </w:r>
            <w:r w:rsidRPr="00861F23">
              <w:rPr>
                <w:rStyle w:val="Hipervnculo"/>
                <w:lang w:val="pt-PT"/>
              </w:rPr>
              <w:t>Contexto Legal e Institucional</w:t>
            </w:r>
            <w:r>
              <w:rPr>
                <w:webHidden/>
              </w:rPr>
              <w:tab/>
            </w:r>
            <w:r>
              <w:rPr>
                <w:webHidden/>
              </w:rPr>
              <w:fldChar w:fldCharType="begin"/>
            </w:r>
            <w:r>
              <w:rPr>
                <w:webHidden/>
              </w:rPr>
              <w:instrText xml:space="preserve"> PAGEREF _Toc235128315 \h </w:instrText>
            </w:r>
            <w:r>
              <w:rPr>
                <w:webHidden/>
              </w:rPr>
            </w:r>
            <w:r>
              <w:rPr>
                <w:webHidden/>
              </w:rPr>
              <w:fldChar w:fldCharType="separate"/>
            </w:r>
            <w:r>
              <w:rPr>
                <w:webHidden/>
              </w:rPr>
              <w:t>12</w:t>
            </w:r>
            <w:r>
              <w:rPr>
                <w:webHidden/>
              </w:rPr>
              <w:fldChar w:fldCharType="end"/>
            </w:r>
          </w:hyperlink>
        </w:p>
        <w:p w14:paraId="3AE0362C" w14:textId="063D5120"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16" w:history="1">
            <w:r w:rsidRPr="00861F23">
              <w:rPr>
                <w:rStyle w:val="Hipervnculo"/>
                <w:bCs/>
                <w:noProof/>
              </w:rPr>
              <w:t>1.1.1.</w:t>
            </w:r>
            <w:r>
              <w:rPr>
                <w:rFonts w:asciiTheme="minorHAnsi" w:eastAsiaTheme="minorEastAsia" w:hAnsiTheme="minorHAnsi" w:cstheme="minorBidi"/>
                <w:noProof/>
                <w:kern w:val="2"/>
                <w:lang w:val="es-CO" w:eastAsia="es-CO"/>
                <w14:ligatures w14:val="standardContextual"/>
              </w:rPr>
              <w:tab/>
            </w:r>
            <w:r w:rsidRPr="00861F23">
              <w:rPr>
                <w:rStyle w:val="Hipervnculo"/>
                <w:noProof/>
              </w:rPr>
              <w:t>Constitución política</w:t>
            </w:r>
            <w:r>
              <w:rPr>
                <w:noProof/>
                <w:webHidden/>
              </w:rPr>
              <w:tab/>
            </w:r>
            <w:r>
              <w:rPr>
                <w:noProof/>
                <w:webHidden/>
              </w:rPr>
              <w:fldChar w:fldCharType="begin"/>
            </w:r>
            <w:r>
              <w:rPr>
                <w:noProof/>
                <w:webHidden/>
              </w:rPr>
              <w:instrText xml:space="preserve"> PAGEREF _Toc235128316 \h </w:instrText>
            </w:r>
            <w:r>
              <w:rPr>
                <w:noProof/>
                <w:webHidden/>
              </w:rPr>
            </w:r>
            <w:r>
              <w:rPr>
                <w:noProof/>
                <w:webHidden/>
              </w:rPr>
              <w:fldChar w:fldCharType="separate"/>
            </w:r>
            <w:r>
              <w:rPr>
                <w:noProof/>
                <w:webHidden/>
              </w:rPr>
              <w:t>12</w:t>
            </w:r>
            <w:r>
              <w:rPr>
                <w:noProof/>
                <w:webHidden/>
              </w:rPr>
              <w:fldChar w:fldCharType="end"/>
            </w:r>
          </w:hyperlink>
        </w:p>
        <w:p w14:paraId="468B197D" w14:textId="2218000D"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17" w:history="1">
            <w:r w:rsidRPr="00861F23">
              <w:rPr>
                <w:rStyle w:val="Hipervnculo"/>
                <w:rFonts w:eastAsia="Arial"/>
                <w:bCs/>
                <w:noProof/>
              </w:rPr>
              <w:t>1.1.2.</w:t>
            </w:r>
            <w:r>
              <w:rPr>
                <w:rFonts w:asciiTheme="minorHAnsi" w:eastAsiaTheme="minorEastAsia" w:hAnsiTheme="minorHAnsi" w:cstheme="minorBidi"/>
                <w:noProof/>
                <w:kern w:val="2"/>
                <w:lang w:val="es-CO" w:eastAsia="es-CO"/>
                <w14:ligatures w14:val="standardContextual"/>
              </w:rPr>
              <w:tab/>
            </w:r>
            <w:r w:rsidRPr="00861F23">
              <w:rPr>
                <w:rStyle w:val="Hipervnculo"/>
                <w:rFonts w:eastAsia="Arial"/>
                <w:bCs/>
                <w:noProof/>
              </w:rPr>
              <w:t xml:space="preserve">Ley 142 </w:t>
            </w:r>
            <w:r w:rsidRPr="00861F23">
              <w:rPr>
                <w:rStyle w:val="Hipervnculo"/>
                <w:rFonts w:eastAsia="Arial"/>
                <w:noProof/>
              </w:rPr>
              <w:t>de 1994</w:t>
            </w:r>
            <w:r>
              <w:rPr>
                <w:noProof/>
                <w:webHidden/>
              </w:rPr>
              <w:tab/>
            </w:r>
            <w:r>
              <w:rPr>
                <w:noProof/>
                <w:webHidden/>
              </w:rPr>
              <w:fldChar w:fldCharType="begin"/>
            </w:r>
            <w:r>
              <w:rPr>
                <w:noProof/>
                <w:webHidden/>
              </w:rPr>
              <w:instrText xml:space="preserve"> PAGEREF _Toc235128317 \h </w:instrText>
            </w:r>
            <w:r>
              <w:rPr>
                <w:noProof/>
                <w:webHidden/>
              </w:rPr>
            </w:r>
            <w:r>
              <w:rPr>
                <w:noProof/>
                <w:webHidden/>
              </w:rPr>
              <w:fldChar w:fldCharType="separate"/>
            </w:r>
            <w:r>
              <w:rPr>
                <w:noProof/>
                <w:webHidden/>
              </w:rPr>
              <w:t>14</w:t>
            </w:r>
            <w:r>
              <w:rPr>
                <w:noProof/>
                <w:webHidden/>
              </w:rPr>
              <w:fldChar w:fldCharType="end"/>
            </w:r>
          </w:hyperlink>
        </w:p>
        <w:p w14:paraId="615DB2A4" w14:textId="1D1B9393"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18" w:history="1">
            <w:r w:rsidRPr="00861F23">
              <w:rPr>
                <w:rStyle w:val="Hipervnculo"/>
                <w:bCs/>
                <w:noProof/>
              </w:rPr>
              <w:t>1.1.3.</w:t>
            </w:r>
            <w:r>
              <w:rPr>
                <w:rFonts w:asciiTheme="minorHAnsi" w:eastAsiaTheme="minorEastAsia" w:hAnsiTheme="minorHAnsi" w:cstheme="minorBidi"/>
                <w:noProof/>
                <w:kern w:val="2"/>
                <w:lang w:val="es-CO" w:eastAsia="es-CO"/>
                <w14:ligatures w14:val="standardContextual"/>
              </w:rPr>
              <w:tab/>
            </w:r>
            <w:r w:rsidRPr="00861F23">
              <w:rPr>
                <w:rStyle w:val="Hipervnculo"/>
                <w:noProof/>
              </w:rPr>
              <w:t>Competencias de la CREG</w:t>
            </w:r>
            <w:r>
              <w:rPr>
                <w:noProof/>
                <w:webHidden/>
              </w:rPr>
              <w:tab/>
            </w:r>
            <w:r>
              <w:rPr>
                <w:noProof/>
                <w:webHidden/>
              </w:rPr>
              <w:fldChar w:fldCharType="begin"/>
            </w:r>
            <w:r>
              <w:rPr>
                <w:noProof/>
                <w:webHidden/>
              </w:rPr>
              <w:instrText xml:space="preserve"> PAGEREF _Toc235128318 \h </w:instrText>
            </w:r>
            <w:r>
              <w:rPr>
                <w:noProof/>
                <w:webHidden/>
              </w:rPr>
            </w:r>
            <w:r>
              <w:rPr>
                <w:noProof/>
                <w:webHidden/>
              </w:rPr>
              <w:fldChar w:fldCharType="separate"/>
            </w:r>
            <w:r>
              <w:rPr>
                <w:noProof/>
                <w:webHidden/>
              </w:rPr>
              <w:t>15</w:t>
            </w:r>
            <w:r>
              <w:rPr>
                <w:noProof/>
                <w:webHidden/>
              </w:rPr>
              <w:fldChar w:fldCharType="end"/>
            </w:r>
          </w:hyperlink>
        </w:p>
        <w:p w14:paraId="629B1C70" w14:textId="05051ED7"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19" w:history="1">
            <w:r w:rsidRPr="00861F23">
              <w:rPr>
                <w:rStyle w:val="Hipervnculo"/>
                <w:bCs/>
                <w:noProof/>
              </w:rPr>
              <w:t>1.1.4.</w:t>
            </w:r>
            <w:r>
              <w:rPr>
                <w:rFonts w:asciiTheme="minorHAnsi" w:eastAsiaTheme="minorEastAsia" w:hAnsiTheme="minorHAnsi" w:cstheme="minorBidi"/>
                <w:noProof/>
                <w:kern w:val="2"/>
                <w:lang w:val="es-CO" w:eastAsia="es-CO"/>
                <w14:ligatures w14:val="standardContextual"/>
              </w:rPr>
              <w:tab/>
            </w:r>
            <w:r w:rsidRPr="00861F23">
              <w:rPr>
                <w:rStyle w:val="Hipervnculo"/>
                <w:noProof/>
              </w:rPr>
              <w:t>Competencias del MME</w:t>
            </w:r>
            <w:r>
              <w:rPr>
                <w:noProof/>
                <w:webHidden/>
              </w:rPr>
              <w:tab/>
            </w:r>
            <w:r>
              <w:rPr>
                <w:noProof/>
                <w:webHidden/>
              </w:rPr>
              <w:fldChar w:fldCharType="begin"/>
            </w:r>
            <w:r>
              <w:rPr>
                <w:noProof/>
                <w:webHidden/>
              </w:rPr>
              <w:instrText xml:space="preserve"> PAGEREF _Toc235128319 \h </w:instrText>
            </w:r>
            <w:r>
              <w:rPr>
                <w:noProof/>
                <w:webHidden/>
              </w:rPr>
            </w:r>
            <w:r>
              <w:rPr>
                <w:noProof/>
                <w:webHidden/>
              </w:rPr>
              <w:fldChar w:fldCharType="separate"/>
            </w:r>
            <w:r>
              <w:rPr>
                <w:noProof/>
                <w:webHidden/>
              </w:rPr>
              <w:t>17</w:t>
            </w:r>
            <w:r>
              <w:rPr>
                <w:noProof/>
                <w:webHidden/>
              </w:rPr>
              <w:fldChar w:fldCharType="end"/>
            </w:r>
          </w:hyperlink>
        </w:p>
        <w:p w14:paraId="739ECCE0" w14:textId="402D8B0B"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20" w:history="1">
            <w:r w:rsidRPr="00861F23">
              <w:rPr>
                <w:rStyle w:val="Hipervnculo"/>
                <w:bCs/>
                <w:noProof/>
              </w:rPr>
              <w:t>1.1.5.</w:t>
            </w:r>
            <w:r>
              <w:rPr>
                <w:rFonts w:asciiTheme="minorHAnsi" w:eastAsiaTheme="minorEastAsia" w:hAnsiTheme="minorHAnsi" w:cstheme="minorBidi"/>
                <w:noProof/>
                <w:kern w:val="2"/>
                <w:lang w:val="es-CO" w:eastAsia="es-CO"/>
                <w14:ligatures w14:val="standardContextual"/>
              </w:rPr>
              <w:tab/>
            </w:r>
            <w:r w:rsidRPr="00861F23">
              <w:rPr>
                <w:rStyle w:val="Hipervnculo"/>
                <w:noProof/>
              </w:rPr>
              <w:t>Competencias de la UPME</w:t>
            </w:r>
            <w:r>
              <w:rPr>
                <w:noProof/>
                <w:webHidden/>
              </w:rPr>
              <w:tab/>
            </w:r>
            <w:r>
              <w:rPr>
                <w:noProof/>
                <w:webHidden/>
              </w:rPr>
              <w:fldChar w:fldCharType="begin"/>
            </w:r>
            <w:r>
              <w:rPr>
                <w:noProof/>
                <w:webHidden/>
              </w:rPr>
              <w:instrText xml:space="preserve"> PAGEREF _Toc235128320 \h </w:instrText>
            </w:r>
            <w:r>
              <w:rPr>
                <w:noProof/>
                <w:webHidden/>
              </w:rPr>
            </w:r>
            <w:r>
              <w:rPr>
                <w:noProof/>
                <w:webHidden/>
              </w:rPr>
              <w:fldChar w:fldCharType="separate"/>
            </w:r>
            <w:r>
              <w:rPr>
                <w:noProof/>
                <w:webHidden/>
              </w:rPr>
              <w:t>20</w:t>
            </w:r>
            <w:r>
              <w:rPr>
                <w:noProof/>
                <w:webHidden/>
              </w:rPr>
              <w:fldChar w:fldCharType="end"/>
            </w:r>
          </w:hyperlink>
        </w:p>
        <w:p w14:paraId="2E26A590" w14:textId="4C0B87AD"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21" w:history="1">
            <w:r w:rsidRPr="00861F23">
              <w:rPr>
                <w:rStyle w:val="Hipervnculo"/>
                <w:bCs/>
                <w:noProof/>
              </w:rPr>
              <w:t>1.1.6.</w:t>
            </w:r>
            <w:r>
              <w:rPr>
                <w:rFonts w:asciiTheme="minorHAnsi" w:eastAsiaTheme="minorEastAsia" w:hAnsiTheme="minorHAnsi" w:cstheme="minorBidi"/>
                <w:noProof/>
                <w:kern w:val="2"/>
                <w:lang w:val="es-CO" w:eastAsia="es-CO"/>
                <w14:ligatures w14:val="standardContextual"/>
              </w:rPr>
              <w:tab/>
            </w:r>
            <w:r w:rsidRPr="00861F23">
              <w:rPr>
                <w:rStyle w:val="Hipervnculo"/>
                <w:noProof/>
              </w:rPr>
              <w:t>Competencias de la SSPD</w:t>
            </w:r>
            <w:r>
              <w:rPr>
                <w:noProof/>
                <w:webHidden/>
              </w:rPr>
              <w:tab/>
            </w:r>
            <w:r>
              <w:rPr>
                <w:noProof/>
                <w:webHidden/>
              </w:rPr>
              <w:fldChar w:fldCharType="begin"/>
            </w:r>
            <w:r>
              <w:rPr>
                <w:noProof/>
                <w:webHidden/>
              </w:rPr>
              <w:instrText xml:space="preserve"> PAGEREF _Toc235128321 \h </w:instrText>
            </w:r>
            <w:r>
              <w:rPr>
                <w:noProof/>
                <w:webHidden/>
              </w:rPr>
            </w:r>
            <w:r>
              <w:rPr>
                <w:noProof/>
                <w:webHidden/>
              </w:rPr>
              <w:fldChar w:fldCharType="separate"/>
            </w:r>
            <w:r>
              <w:rPr>
                <w:noProof/>
                <w:webHidden/>
              </w:rPr>
              <w:t>21</w:t>
            </w:r>
            <w:r>
              <w:rPr>
                <w:noProof/>
                <w:webHidden/>
              </w:rPr>
              <w:fldChar w:fldCharType="end"/>
            </w:r>
          </w:hyperlink>
        </w:p>
        <w:p w14:paraId="1BAA4647" w14:textId="2B111656"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22" w:history="1">
            <w:r w:rsidRPr="00861F23">
              <w:rPr>
                <w:rStyle w:val="Hipervnculo"/>
                <w:bCs/>
                <w:noProof/>
              </w:rPr>
              <w:t>1.1.7.</w:t>
            </w:r>
            <w:r>
              <w:rPr>
                <w:rFonts w:asciiTheme="minorHAnsi" w:eastAsiaTheme="minorEastAsia" w:hAnsiTheme="minorHAnsi" w:cstheme="minorBidi"/>
                <w:noProof/>
                <w:kern w:val="2"/>
                <w:lang w:val="es-CO" w:eastAsia="es-CO"/>
                <w14:ligatures w14:val="standardContextual"/>
              </w:rPr>
              <w:tab/>
            </w:r>
            <w:r w:rsidRPr="00861F23">
              <w:rPr>
                <w:rStyle w:val="Hipervnculo"/>
                <w:noProof/>
              </w:rPr>
              <w:t>Competencias de la SIC</w:t>
            </w:r>
            <w:r>
              <w:rPr>
                <w:noProof/>
                <w:webHidden/>
              </w:rPr>
              <w:tab/>
            </w:r>
            <w:r>
              <w:rPr>
                <w:noProof/>
                <w:webHidden/>
              </w:rPr>
              <w:fldChar w:fldCharType="begin"/>
            </w:r>
            <w:r>
              <w:rPr>
                <w:noProof/>
                <w:webHidden/>
              </w:rPr>
              <w:instrText xml:space="preserve"> PAGEREF _Toc235128322 \h </w:instrText>
            </w:r>
            <w:r>
              <w:rPr>
                <w:noProof/>
                <w:webHidden/>
              </w:rPr>
            </w:r>
            <w:r>
              <w:rPr>
                <w:noProof/>
                <w:webHidden/>
              </w:rPr>
              <w:fldChar w:fldCharType="separate"/>
            </w:r>
            <w:r>
              <w:rPr>
                <w:noProof/>
                <w:webHidden/>
              </w:rPr>
              <w:t>23</w:t>
            </w:r>
            <w:r>
              <w:rPr>
                <w:noProof/>
                <w:webHidden/>
              </w:rPr>
              <w:fldChar w:fldCharType="end"/>
            </w:r>
          </w:hyperlink>
        </w:p>
        <w:p w14:paraId="6E56D7C6" w14:textId="180CA0C2"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23" w:history="1">
            <w:r w:rsidRPr="00861F23">
              <w:rPr>
                <w:rStyle w:val="Hipervnculo"/>
                <w:bCs/>
                <w:noProof/>
              </w:rPr>
              <w:t>1.1.8.</w:t>
            </w:r>
            <w:r>
              <w:rPr>
                <w:rFonts w:asciiTheme="minorHAnsi" w:eastAsiaTheme="minorEastAsia" w:hAnsiTheme="minorHAnsi" w:cstheme="minorBidi"/>
                <w:noProof/>
                <w:kern w:val="2"/>
                <w:lang w:val="es-CO" w:eastAsia="es-CO"/>
                <w14:ligatures w14:val="standardContextual"/>
              </w:rPr>
              <w:tab/>
            </w:r>
            <w:r w:rsidRPr="00861F23">
              <w:rPr>
                <w:rStyle w:val="Hipervnculo"/>
                <w:noProof/>
              </w:rPr>
              <w:t>Regulación de carácter particular</w:t>
            </w:r>
            <w:r>
              <w:rPr>
                <w:noProof/>
                <w:webHidden/>
              </w:rPr>
              <w:tab/>
            </w:r>
            <w:r>
              <w:rPr>
                <w:noProof/>
                <w:webHidden/>
              </w:rPr>
              <w:fldChar w:fldCharType="begin"/>
            </w:r>
            <w:r>
              <w:rPr>
                <w:noProof/>
                <w:webHidden/>
              </w:rPr>
              <w:instrText xml:space="preserve"> PAGEREF _Toc235128323 \h </w:instrText>
            </w:r>
            <w:r>
              <w:rPr>
                <w:noProof/>
                <w:webHidden/>
              </w:rPr>
            </w:r>
            <w:r>
              <w:rPr>
                <w:noProof/>
                <w:webHidden/>
              </w:rPr>
              <w:fldChar w:fldCharType="separate"/>
            </w:r>
            <w:r>
              <w:rPr>
                <w:noProof/>
                <w:webHidden/>
              </w:rPr>
              <w:t>25</w:t>
            </w:r>
            <w:r>
              <w:rPr>
                <w:noProof/>
                <w:webHidden/>
              </w:rPr>
              <w:fldChar w:fldCharType="end"/>
            </w:r>
          </w:hyperlink>
        </w:p>
        <w:p w14:paraId="14A0B9CC" w14:textId="43C4AF5C"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24" w:history="1">
            <w:r w:rsidRPr="00861F23">
              <w:rPr>
                <w:rStyle w:val="Hipervnculo"/>
                <w:bCs/>
                <w:noProof/>
                <w:lang w:val="es-CO"/>
              </w:rPr>
              <w:t>1.1.9.</w:t>
            </w:r>
            <w:r>
              <w:rPr>
                <w:rFonts w:asciiTheme="minorHAnsi" w:eastAsiaTheme="minorEastAsia" w:hAnsiTheme="minorHAnsi" w:cstheme="minorBidi"/>
                <w:noProof/>
                <w:kern w:val="2"/>
                <w:lang w:val="es-CO" w:eastAsia="es-CO"/>
                <w14:ligatures w14:val="standardContextual"/>
              </w:rPr>
              <w:tab/>
            </w:r>
            <w:r w:rsidRPr="00861F23">
              <w:rPr>
                <w:rStyle w:val="Hipervnculo"/>
                <w:noProof/>
                <w:lang w:val="es-CO"/>
              </w:rPr>
              <w:t>Subsidios</w:t>
            </w:r>
            <w:r>
              <w:rPr>
                <w:noProof/>
                <w:webHidden/>
              </w:rPr>
              <w:tab/>
            </w:r>
            <w:r>
              <w:rPr>
                <w:noProof/>
                <w:webHidden/>
              </w:rPr>
              <w:fldChar w:fldCharType="begin"/>
            </w:r>
            <w:r>
              <w:rPr>
                <w:noProof/>
                <w:webHidden/>
              </w:rPr>
              <w:instrText xml:space="preserve"> PAGEREF _Toc235128324 \h </w:instrText>
            </w:r>
            <w:r>
              <w:rPr>
                <w:noProof/>
                <w:webHidden/>
              </w:rPr>
            </w:r>
            <w:r>
              <w:rPr>
                <w:noProof/>
                <w:webHidden/>
              </w:rPr>
              <w:fldChar w:fldCharType="separate"/>
            </w:r>
            <w:r>
              <w:rPr>
                <w:noProof/>
                <w:webHidden/>
              </w:rPr>
              <w:t>27</w:t>
            </w:r>
            <w:r>
              <w:rPr>
                <w:noProof/>
                <w:webHidden/>
              </w:rPr>
              <w:fldChar w:fldCharType="end"/>
            </w:r>
          </w:hyperlink>
        </w:p>
        <w:p w14:paraId="75048C1E" w14:textId="644E71BC" w:rsidR="00D27B38" w:rsidRDefault="00D27B38">
          <w:pPr>
            <w:pStyle w:val="TDC3"/>
            <w:tabs>
              <w:tab w:val="left" w:pos="1680"/>
              <w:tab w:val="right" w:leader="dot" w:pos="9396"/>
            </w:tabs>
            <w:rPr>
              <w:rFonts w:asciiTheme="minorHAnsi" w:eastAsiaTheme="minorEastAsia" w:hAnsiTheme="minorHAnsi" w:cstheme="minorBidi"/>
              <w:noProof/>
              <w:kern w:val="2"/>
              <w:lang w:val="es-CO" w:eastAsia="es-CO"/>
              <w14:ligatures w14:val="standardContextual"/>
            </w:rPr>
          </w:pPr>
          <w:hyperlink w:anchor="_Toc235128325" w:history="1">
            <w:r w:rsidRPr="00861F23">
              <w:rPr>
                <w:rStyle w:val="Hipervnculo"/>
                <w:bCs/>
                <w:noProof/>
              </w:rPr>
              <w:t>1.1.10.</w:t>
            </w:r>
            <w:r>
              <w:rPr>
                <w:rFonts w:asciiTheme="minorHAnsi" w:eastAsiaTheme="minorEastAsia" w:hAnsiTheme="minorHAnsi" w:cstheme="minorBidi"/>
                <w:noProof/>
                <w:kern w:val="2"/>
                <w:lang w:val="es-CO" w:eastAsia="es-CO"/>
                <w14:ligatures w14:val="standardContextual"/>
              </w:rPr>
              <w:tab/>
            </w:r>
            <w:r w:rsidRPr="00861F23">
              <w:rPr>
                <w:rStyle w:val="Hipervnculo"/>
                <w:noProof/>
              </w:rPr>
              <w:t>Regulación en materia de subsidios para cilindros y tanques</w:t>
            </w:r>
            <w:r>
              <w:rPr>
                <w:noProof/>
                <w:webHidden/>
              </w:rPr>
              <w:tab/>
            </w:r>
            <w:r>
              <w:rPr>
                <w:noProof/>
                <w:webHidden/>
              </w:rPr>
              <w:fldChar w:fldCharType="begin"/>
            </w:r>
            <w:r>
              <w:rPr>
                <w:noProof/>
                <w:webHidden/>
              </w:rPr>
              <w:instrText xml:space="preserve"> PAGEREF _Toc235128325 \h </w:instrText>
            </w:r>
            <w:r>
              <w:rPr>
                <w:noProof/>
                <w:webHidden/>
              </w:rPr>
            </w:r>
            <w:r>
              <w:rPr>
                <w:noProof/>
                <w:webHidden/>
              </w:rPr>
              <w:fldChar w:fldCharType="separate"/>
            </w:r>
            <w:r>
              <w:rPr>
                <w:noProof/>
                <w:webHidden/>
              </w:rPr>
              <w:t>28</w:t>
            </w:r>
            <w:r>
              <w:rPr>
                <w:noProof/>
                <w:webHidden/>
              </w:rPr>
              <w:fldChar w:fldCharType="end"/>
            </w:r>
          </w:hyperlink>
        </w:p>
        <w:p w14:paraId="4A803FE7" w14:textId="0A8D6FA1" w:rsidR="00D27B38" w:rsidRDefault="00D27B38">
          <w:pPr>
            <w:pStyle w:val="TDC3"/>
            <w:tabs>
              <w:tab w:val="left" w:pos="1680"/>
              <w:tab w:val="right" w:leader="dot" w:pos="9396"/>
            </w:tabs>
            <w:rPr>
              <w:rFonts w:asciiTheme="minorHAnsi" w:eastAsiaTheme="minorEastAsia" w:hAnsiTheme="minorHAnsi" w:cstheme="minorBidi"/>
              <w:noProof/>
              <w:kern w:val="2"/>
              <w:lang w:val="es-CO" w:eastAsia="es-CO"/>
              <w14:ligatures w14:val="standardContextual"/>
            </w:rPr>
          </w:pPr>
          <w:hyperlink w:anchor="_Toc235128326" w:history="1">
            <w:r w:rsidRPr="00861F23">
              <w:rPr>
                <w:rStyle w:val="Hipervnculo"/>
                <w:bCs/>
                <w:noProof/>
              </w:rPr>
              <w:t>1.1.11.</w:t>
            </w:r>
            <w:r>
              <w:rPr>
                <w:rFonts w:asciiTheme="minorHAnsi" w:eastAsiaTheme="minorEastAsia" w:hAnsiTheme="minorHAnsi" w:cstheme="minorBidi"/>
                <w:noProof/>
                <w:kern w:val="2"/>
                <w:lang w:val="es-CO" w:eastAsia="es-CO"/>
                <w14:ligatures w14:val="standardContextual"/>
              </w:rPr>
              <w:tab/>
            </w:r>
            <w:r w:rsidRPr="00861F23">
              <w:rPr>
                <w:rStyle w:val="Hipervnculo"/>
                <w:noProof/>
              </w:rPr>
              <w:t>Regulación en materia de subsidios para redes de tubería</w:t>
            </w:r>
            <w:r>
              <w:rPr>
                <w:noProof/>
                <w:webHidden/>
              </w:rPr>
              <w:tab/>
            </w:r>
            <w:r>
              <w:rPr>
                <w:noProof/>
                <w:webHidden/>
              </w:rPr>
              <w:fldChar w:fldCharType="begin"/>
            </w:r>
            <w:r>
              <w:rPr>
                <w:noProof/>
                <w:webHidden/>
              </w:rPr>
              <w:instrText xml:space="preserve"> PAGEREF _Toc235128326 \h </w:instrText>
            </w:r>
            <w:r>
              <w:rPr>
                <w:noProof/>
                <w:webHidden/>
              </w:rPr>
            </w:r>
            <w:r>
              <w:rPr>
                <w:noProof/>
                <w:webHidden/>
              </w:rPr>
              <w:fldChar w:fldCharType="separate"/>
            </w:r>
            <w:r>
              <w:rPr>
                <w:noProof/>
                <w:webHidden/>
              </w:rPr>
              <w:t>33</w:t>
            </w:r>
            <w:r>
              <w:rPr>
                <w:noProof/>
                <w:webHidden/>
              </w:rPr>
              <w:fldChar w:fldCharType="end"/>
            </w:r>
          </w:hyperlink>
        </w:p>
        <w:p w14:paraId="35205510" w14:textId="7702BF72" w:rsidR="00D27B38" w:rsidRDefault="00D27B38">
          <w:pPr>
            <w:pStyle w:val="TDC2"/>
            <w:rPr>
              <w:rFonts w:asciiTheme="minorHAnsi" w:eastAsiaTheme="minorEastAsia" w:hAnsiTheme="minorHAnsi" w:cstheme="minorBidi"/>
              <w:kern w:val="2"/>
              <w:lang w:val="es-CO" w:eastAsia="es-CO"/>
              <w14:ligatures w14:val="standardContextual"/>
            </w:rPr>
          </w:pPr>
          <w:hyperlink w:anchor="_Toc235128327" w:history="1">
            <w:r w:rsidRPr="00861F23">
              <w:rPr>
                <w:rStyle w:val="Hipervnculo"/>
              </w:rPr>
              <w:t>1.2.</w:t>
            </w:r>
            <w:r>
              <w:rPr>
                <w:rFonts w:asciiTheme="minorHAnsi" w:eastAsiaTheme="minorEastAsia" w:hAnsiTheme="minorHAnsi" w:cstheme="minorBidi"/>
                <w:kern w:val="2"/>
                <w:lang w:val="es-CO" w:eastAsia="es-CO"/>
                <w14:ligatures w14:val="standardContextual"/>
              </w:rPr>
              <w:tab/>
            </w:r>
            <w:r w:rsidRPr="00861F23">
              <w:rPr>
                <w:rStyle w:val="Hipervnculo"/>
              </w:rPr>
              <w:t>Evolución de la regulación de las actividades de la cadena de GLP</w:t>
            </w:r>
            <w:r>
              <w:rPr>
                <w:webHidden/>
              </w:rPr>
              <w:tab/>
            </w:r>
            <w:r>
              <w:rPr>
                <w:webHidden/>
              </w:rPr>
              <w:fldChar w:fldCharType="begin"/>
            </w:r>
            <w:r>
              <w:rPr>
                <w:webHidden/>
              </w:rPr>
              <w:instrText xml:space="preserve"> PAGEREF _Toc235128327 \h </w:instrText>
            </w:r>
            <w:r>
              <w:rPr>
                <w:webHidden/>
              </w:rPr>
            </w:r>
            <w:r>
              <w:rPr>
                <w:webHidden/>
              </w:rPr>
              <w:fldChar w:fldCharType="separate"/>
            </w:r>
            <w:r>
              <w:rPr>
                <w:webHidden/>
              </w:rPr>
              <w:t>36</w:t>
            </w:r>
            <w:r>
              <w:rPr>
                <w:webHidden/>
              </w:rPr>
              <w:fldChar w:fldCharType="end"/>
            </w:r>
          </w:hyperlink>
        </w:p>
        <w:p w14:paraId="346C1FFA" w14:textId="66130EDE"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28" w:history="1">
            <w:r w:rsidRPr="00861F23">
              <w:rPr>
                <w:rStyle w:val="Hipervnculo"/>
                <w:bCs/>
                <w:noProof/>
              </w:rPr>
              <w:t>1.2.1.</w:t>
            </w:r>
            <w:r>
              <w:rPr>
                <w:rFonts w:asciiTheme="minorHAnsi" w:eastAsiaTheme="minorEastAsia" w:hAnsiTheme="minorHAnsi" w:cstheme="minorBidi"/>
                <w:noProof/>
                <w:kern w:val="2"/>
                <w:lang w:val="es-CO" w:eastAsia="es-CO"/>
                <w14:ligatures w14:val="standardContextual"/>
              </w:rPr>
              <w:tab/>
            </w:r>
            <w:r w:rsidRPr="00861F23">
              <w:rPr>
                <w:rStyle w:val="Hipervnculo"/>
                <w:noProof/>
              </w:rPr>
              <w:t>Comercialización Mayorista</w:t>
            </w:r>
            <w:r>
              <w:rPr>
                <w:noProof/>
                <w:webHidden/>
              </w:rPr>
              <w:tab/>
            </w:r>
            <w:r>
              <w:rPr>
                <w:noProof/>
                <w:webHidden/>
              </w:rPr>
              <w:fldChar w:fldCharType="begin"/>
            </w:r>
            <w:r>
              <w:rPr>
                <w:noProof/>
                <w:webHidden/>
              </w:rPr>
              <w:instrText xml:space="preserve"> PAGEREF _Toc235128328 \h </w:instrText>
            </w:r>
            <w:r>
              <w:rPr>
                <w:noProof/>
                <w:webHidden/>
              </w:rPr>
            </w:r>
            <w:r>
              <w:rPr>
                <w:noProof/>
                <w:webHidden/>
              </w:rPr>
              <w:fldChar w:fldCharType="separate"/>
            </w:r>
            <w:r>
              <w:rPr>
                <w:noProof/>
                <w:webHidden/>
              </w:rPr>
              <w:t>36</w:t>
            </w:r>
            <w:r>
              <w:rPr>
                <w:noProof/>
                <w:webHidden/>
              </w:rPr>
              <w:fldChar w:fldCharType="end"/>
            </w:r>
          </w:hyperlink>
        </w:p>
        <w:p w14:paraId="33139981" w14:textId="7D527D8D"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29" w:history="1">
            <w:r w:rsidRPr="00861F23">
              <w:rPr>
                <w:rStyle w:val="Hipervnculo"/>
                <w:bCs/>
                <w:noProof/>
              </w:rPr>
              <w:t>1.2.2.</w:t>
            </w:r>
            <w:r>
              <w:rPr>
                <w:rFonts w:asciiTheme="minorHAnsi" w:eastAsiaTheme="minorEastAsia" w:hAnsiTheme="minorHAnsi" w:cstheme="minorBidi"/>
                <w:noProof/>
                <w:kern w:val="2"/>
                <w:lang w:val="es-CO" w:eastAsia="es-CO"/>
                <w14:ligatures w14:val="standardContextual"/>
              </w:rPr>
              <w:tab/>
            </w:r>
            <w:r w:rsidRPr="00861F23">
              <w:rPr>
                <w:rStyle w:val="Hipervnculo"/>
                <w:noProof/>
              </w:rPr>
              <w:t>Transporte</w:t>
            </w:r>
            <w:r>
              <w:rPr>
                <w:noProof/>
                <w:webHidden/>
              </w:rPr>
              <w:tab/>
            </w:r>
            <w:r>
              <w:rPr>
                <w:noProof/>
                <w:webHidden/>
              </w:rPr>
              <w:fldChar w:fldCharType="begin"/>
            </w:r>
            <w:r>
              <w:rPr>
                <w:noProof/>
                <w:webHidden/>
              </w:rPr>
              <w:instrText xml:space="preserve"> PAGEREF _Toc235128329 \h </w:instrText>
            </w:r>
            <w:r>
              <w:rPr>
                <w:noProof/>
                <w:webHidden/>
              </w:rPr>
            </w:r>
            <w:r>
              <w:rPr>
                <w:noProof/>
                <w:webHidden/>
              </w:rPr>
              <w:fldChar w:fldCharType="separate"/>
            </w:r>
            <w:r>
              <w:rPr>
                <w:noProof/>
                <w:webHidden/>
              </w:rPr>
              <w:t>45</w:t>
            </w:r>
            <w:r>
              <w:rPr>
                <w:noProof/>
                <w:webHidden/>
              </w:rPr>
              <w:fldChar w:fldCharType="end"/>
            </w:r>
          </w:hyperlink>
        </w:p>
        <w:p w14:paraId="11F4C1FB" w14:textId="152038AA"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30" w:history="1">
            <w:r w:rsidRPr="00861F23">
              <w:rPr>
                <w:rStyle w:val="Hipervnculo"/>
                <w:bCs/>
                <w:noProof/>
              </w:rPr>
              <w:t>1.2.3.</w:t>
            </w:r>
            <w:r>
              <w:rPr>
                <w:rFonts w:asciiTheme="minorHAnsi" w:eastAsiaTheme="minorEastAsia" w:hAnsiTheme="minorHAnsi" w:cstheme="minorBidi"/>
                <w:noProof/>
                <w:kern w:val="2"/>
                <w:lang w:val="es-CO" w:eastAsia="es-CO"/>
                <w14:ligatures w14:val="standardContextual"/>
              </w:rPr>
              <w:tab/>
            </w:r>
            <w:r w:rsidRPr="00861F23">
              <w:rPr>
                <w:rStyle w:val="Hipervnculo"/>
                <w:noProof/>
              </w:rPr>
              <w:t>Distribución y comercialización minorista en cilindros y tanques estacionarios</w:t>
            </w:r>
            <w:r>
              <w:rPr>
                <w:noProof/>
                <w:webHidden/>
              </w:rPr>
              <w:tab/>
            </w:r>
            <w:r>
              <w:rPr>
                <w:noProof/>
                <w:webHidden/>
              </w:rPr>
              <w:fldChar w:fldCharType="begin"/>
            </w:r>
            <w:r>
              <w:rPr>
                <w:noProof/>
                <w:webHidden/>
              </w:rPr>
              <w:instrText xml:space="preserve"> PAGEREF _Toc235128330 \h </w:instrText>
            </w:r>
            <w:r>
              <w:rPr>
                <w:noProof/>
                <w:webHidden/>
              </w:rPr>
            </w:r>
            <w:r>
              <w:rPr>
                <w:noProof/>
                <w:webHidden/>
              </w:rPr>
              <w:fldChar w:fldCharType="separate"/>
            </w:r>
            <w:r>
              <w:rPr>
                <w:noProof/>
                <w:webHidden/>
              </w:rPr>
              <w:t>49</w:t>
            </w:r>
            <w:r>
              <w:rPr>
                <w:noProof/>
                <w:webHidden/>
              </w:rPr>
              <w:fldChar w:fldCharType="end"/>
            </w:r>
          </w:hyperlink>
        </w:p>
        <w:p w14:paraId="75C28509" w14:textId="48F5CF9A"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31" w:history="1">
            <w:r w:rsidRPr="00861F23">
              <w:rPr>
                <w:rStyle w:val="Hipervnculo"/>
                <w:bCs/>
                <w:noProof/>
              </w:rPr>
              <w:t>1.2.4.</w:t>
            </w:r>
            <w:r>
              <w:rPr>
                <w:rFonts w:asciiTheme="minorHAnsi" w:eastAsiaTheme="minorEastAsia" w:hAnsiTheme="minorHAnsi" w:cstheme="minorBidi"/>
                <w:noProof/>
                <w:kern w:val="2"/>
                <w:lang w:val="es-CO" w:eastAsia="es-CO"/>
                <w14:ligatures w14:val="standardContextual"/>
              </w:rPr>
              <w:tab/>
            </w:r>
            <w:r w:rsidRPr="00861F23">
              <w:rPr>
                <w:rStyle w:val="Hipervnculo"/>
                <w:noProof/>
              </w:rPr>
              <w:t>Distribución y comercialización minorista por redes de tubería</w:t>
            </w:r>
            <w:r>
              <w:rPr>
                <w:noProof/>
                <w:webHidden/>
              </w:rPr>
              <w:tab/>
            </w:r>
            <w:r>
              <w:rPr>
                <w:noProof/>
                <w:webHidden/>
              </w:rPr>
              <w:fldChar w:fldCharType="begin"/>
            </w:r>
            <w:r>
              <w:rPr>
                <w:noProof/>
                <w:webHidden/>
              </w:rPr>
              <w:instrText xml:space="preserve"> PAGEREF _Toc235128331 \h </w:instrText>
            </w:r>
            <w:r>
              <w:rPr>
                <w:noProof/>
                <w:webHidden/>
              </w:rPr>
            </w:r>
            <w:r>
              <w:rPr>
                <w:noProof/>
                <w:webHidden/>
              </w:rPr>
              <w:fldChar w:fldCharType="separate"/>
            </w:r>
            <w:r>
              <w:rPr>
                <w:noProof/>
                <w:webHidden/>
              </w:rPr>
              <w:t>51</w:t>
            </w:r>
            <w:r>
              <w:rPr>
                <w:noProof/>
                <w:webHidden/>
              </w:rPr>
              <w:fldChar w:fldCharType="end"/>
            </w:r>
          </w:hyperlink>
        </w:p>
        <w:p w14:paraId="427695B8" w14:textId="7DAC0E0B"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32" w:history="1">
            <w:r w:rsidRPr="00861F23">
              <w:rPr>
                <w:rStyle w:val="Hipervnculo"/>
                <w:bCs/>
                <w:noProof/>
              </w:rPr>
              <w:t>1.2.5.</w:t>
            </w:r>
            <w:r>
              <w:rPr>
                <w:rFonts w:asciiTheme="minorHAnsi" w:eastAsiaTheme="minorEastAsia" w:hAnsiTheme="minorHAnsi" w:cstheme="minorBidi"/>
                <w:noProof/>
                <w:kern w:val="2"/>
                <w:lang w:val="es-CO" w:eastAsia="es-CO"/>
                <w14:ligatures w14:val="standardContextual"/>
              </w:rPr>
              <w:tab/>
            </w:r>
            <w:r w:rsidRPr="00861F23">
              <w:rPr>
                <w:rStyle w:val="Hipervnculo"/>
                <w:noProof/>
              </w:rPr>
              <w:t>Fórmula tarifaria</w:t>
            </w:r>
            <w:r>
              <w:rPr>
                <w:noProof/>
                <w:webHidden/>
              </w:rPr>
              <w:tab/>
            </w:r>
            <w:r>
              <w:rPr>
                <w:noProof/>
                <w:webHidden/>
              </w:rPr>
              <w:fldChar w:fldCharType="begin"/>
            </w:r>
            <w:r>
              <w:rPr>
                <w:noProof/>
                <w:webHidden/>
              </w:rPr>
              <w:instrText xml:space="preserve"> PAGEREF _Toc235128332 \h </w:instrText>
            </w:r>
            <w:r>
              <w:rPr>
                <w:noProof/>
                <w:webHidden/>
              </w:rPr>
            </w:r>
            <w:r>
              <w:rPr>
                <w:noProof/>
                <w:webHidden/>
              </w:rPr>
              <w:fldChar w:fldCharType="separate"/>
            </w:r>
            <w:r>
              <w:rPr>
                <w:noProof/>
                <w:webHidden/>
              </w:rPr>
              <w:t>65</w:t>
            </w:r>
            <w:r>
              <w:rPr>
                <w:noProof/>
                <w:webHidden/>
              </w:rPr>
              <w:fldChar w:fldCharType="end"/>
            </w:r>
          </w:hyperlink>
        </w:p>
        <w:p w14:paraId="5A5A799A" w14:textId="429CC9A6"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33" w:history="1">
            <w:r w:rsidRPr="00861F23">
              <w:rPr>
                <w:rStyle w:val="Hipervnculo"/>
                <w:bCs/>
                <w:noProof/>
              </w:rPr>
              <w:t>1.2.6.</w:t>
            </w:r>
            <w:r>
              <w:rPr>
                <w:rFonts w:asciiTheme="minorHAnsi" w:eastAsiaTheme="minorEastAsia" w:hAnsiTheme="minorHAnsi" w:cstheme="minorBidi"/>
                <w:noProof/>
                <w:kern w:val="2"/>
                <w:lang w:val="es-CO" w:eastAsia="es-CO"/>
                <w14:ligatures w14:val="standardContextual"/>
              </w:rPr>
              <w:tab/>
            </w:r>
            <w:r w:rsidRPr="00861F23">
              <w:rPr>
                <w:rStyle w:val="Hipervnculo"/>
                <w:noProof/>
              </w:rPr>
              <w:t>Otros usos del GLP</w:t>
            </w:r>
            <w:r>
              <w:rPr>
                <w:noProof/>
                <w:webHidden/>
              </w:rPr>
              <w:tab/>
            </w:r>
            <w:r>
              <w:rPr>
                <w:noProof/>
                <w:webHidden/>
              </w:rPr>
              <w:fldChar w:fldCharType="begin"/>
            </w:r>
            <w:r>
              <w:rPr>
                <w:noProof/>
                <w:webHidden/>
              </w:rPr>
              <w:instrText xml:space="preserve"> PAGEREF _Toc235128333 \h </w:instrText>
            </w:r>
            <w:r>
              <w:rPr>
                <w:noProof/>
                <w:webHidden/>
              </w:rPr>
            </w:r>
            <w:r>
              <w:rPr>
                <w:noProof/>
                <w:webHidden/>
              </w:rPr>
              <w:fldChar w:fldCharType="separate"/>
            </w:r>
            <w:r>
              <w:rPr>
                <w:noProof/>
                <w:webHidden/>
              </w:rPr>
              <w:t>90</w:t>
            </w:r>
            <w:r>
              <w:rPr>
                <w:noProof/>
                <w:webHidden/>
              </w:rPr>
              <w:fldChar w:fldCharType="end"/>
            </w:r>
          </w:hyperlink>
        </w:p>
        <w:p w14:paraId="5BF7E6E7" w14:textId="14ED6B1C" w:rsidR="00D27B38" w:rsidRDefault="00D27B38">
          <w:pPr>
            <w:pStyle w:val="TDC1"/>
            <w:rPr>
              <w:rFonts w:asciiTheme="minorHAnsi" w:eastAsiaTheme="minorEastAsia" w:hAnsiTheme="minorHAnsi" w:cstheme="minorBidi"/>
              <w:kern w:val="2"/>
              <w:lang w:val="es-CO" w:eastAsia="es-CO"/>
              <w14:ligatures w14:val="standardContextual"/>
            </w:rPr>
          </w:pPr>
          <w:hyperlink w:anchor="_Toc235128334" w:history="1">
            <w:r w:rsidRPr="00861F23">
              <w:rPr>
                <w:rStyle w:val="Hipervnculo"/>
                <w:rFonts w:cs="Arial"/>
              </w:rPr>
              <w:t>2.</w:t>
            </w:r>
            <w:r>
              <w:rPr>
                <w:rFonts w:asciiTheme="minorHAnsi" w:eastAsiaTheme="minorEastAsia" w:hAnsiTheme="minorHAnsi" w:cstheme="minorBidi"/>
                <w:kern w:val="2"/>
                <w:lang w:val="es-CO" w:eastAsia="es-CO"/>
                <w14:ligatures w14:val="standardContextual"/>
              </w:rPr>
              <w:tab/>
            </w:r>
            <w:r w:rsidRPr="00861F23">
              <w:rPr>
                <w:rStyle w:val="Hipervnculo"/>
                <w:rFonts w:cs="Arial"/>
              </w:rPr>
              <w:t xml:space="preserve">CONTEXTO </w:t>
            </w:r>
            <w:r w:rsidRPr="00861F23">
              <w:rPr>
                <w:rStyle w:val="Hipervnculo"/>
              </w:rPr>
              <w:t>DEL MERCADO DEL GLP</w:t>
            </w:r>
            <w:r>
              <w:rPr>
                <w:webHidden/>
              </w:rPr>
              <w:tab/>
            </w:r>
            <w:r>
              <w:rPr>
                <w:webHidden/>
              </w:rPr>
              <w:fldChar w:fldCharType="begin"/>
            </w:r>
            <w:r>
              <w:rPr>
                <w:webHidden/>
              </w:rPr>
              <w:instrText xml:space="preserve"> PAGEREF _Toc235128334 \h </w:instrText>
            </w:r>
            <w:r>
              <w:rPr>
                <w:webHidden/>
              </w:rPr>
            </w:r>
            <w:r>
              <w:rPr>
                <w:webHidden/>
              </w:rPr>
              <w:fldChar w:fldCharType="separate"/>
            </w:r>
            <w:r>
              <w:rPr>
                <w:webHidden/>
              </w:rPr>
              <w:t>92</w:t>
            </w:r>
            <w:r>
              <w:rPr>
                <w:webHidden/>
              </w:rPr>
              <w:fldChar w:fldCharType="end"/>
            </w:r>
          </w:hyperlink>
        </w:p>
        <w:p w14:paraId="50622394" w14:textId="7E5E3E16" w:rsidR="00D27B38" w:rsidRDefault="00D27B38">
          <w:pPr>
            <w:pStyle w:val="TDC2"/>
            <w:rPr>
              <w:rFonts w:asciiTheme="minorHAnsi" w:eastAsiaTheme="minorEastAsia" w:hAnsiTheme="minorHAnsi" w:cstheme="minorBidi"/>
              <w:kern w:val="2"/>
              <w:lang w:val="es-CO" w:eastAsia="es-CO"/>
              <w14:ligatures w14:val="standardContextual"/>
            </w:rPr>
          </w:pPr>
          <w:hyperlink w:anchor="_Toc235128335" w:history="1">
            <w:r w:rsidRPr="00861F23">
              <w:rPr>
                <w:rStyle w:val="Hipervnculo"/>
              </w:rPr>
              <w:t>2.1.</w:t>
            </w:r>
            <w:r>
              <w:rPr>
                <w:rFonts w:asciiTheme="minorHAnsi" w:eastAsiaTheme="minorEastAsia" w:hAnsiTheme="minorHAnsi" w:cstheme="minorBidi"/>
                <w:kern w:val="2"/>
                <w:lang w:val="es-CO" w:eastAsia="es-CO"/>
                <w14:ligatures w14:val="standardContextual"/>
              </w:rPr>
              <w:tab/>
            </w:r>
            <w:r w:rsidRPr="00861F23">
              <w:rPr>
                <w:rStyle w:val="Hipervnculo"/>
              </w:rPr>
              <w:t>Caracterización del GLP en Colombia</w:t>
            </w:r>
            <w:r>
              <w:rPr>
                <w:webHidden/>
              </w:rPr>
              <w:tab/>
            </w:r>
            <w:r>
              <w:rPr>
                <w:webHidden/>
              </w:rPr>
              <w:fldChar w:fldCharType="begin"/>
            </w:r>
            <w:r>
              <w:rPr>
                <w:webHidden/>
              </w:rPr>
              <w:instrText xml:space="preserve"> PAGEREF _Toc235128335 \h </w:instrText>
            </w:r>
            <w:r>
              <w:rPr>
                <w:webHidden/>
              </w:rPr>
            </w:r>
            <w:r>
              <w:rPr>
                <w:webHidden/>
              </w:rPr>
              <w:fldChar w:fldCharType="separate"/>
            </w:r>
            <w:r>
              <w:rPr>
                <w:webHidden/>
              </w:rPr>
              <w:t>92</w:t>
            </w:r>
            <w:r>
              <w:rPr>
                <w:webHidden/>
              </w:rPr>
              <w:fldChar w:fldCharType="end"/>
            </w:r>
          </w:hyperlink>
        </w:p>
        <w:p w14:paraId="5FFBC1AD" w14:textId="65D0BF28"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36" w:history="1">
            <w:r w:rsidRPr="00861F23">
              <w:rPr>
                <w:rStyle w:val="Hipervnculo"/>
                <w:bCs/>
                <w:noProof/>
              </w:rPr>
              <w:t>2.1.1.</w:t>
            </w:r>
            <w:r>
              <w:rPr>
                <w:rFonts w:asciiTheme="minorHAnsi" w:eastAsiaTheme="minorEastAsia" w:hAnsiTheme="minorHAnsi" w:cstheme="minorBidi"/>
                <w:noProof/>
                <w:kern w:val="2"/>
                <w:lang w:val="es-CO" w:eastAsia="es-CO"/>
                <w14:ligatures w14:val="standardContextual"/>
              </w:rPr>
              <w:tab/>
            </w:r>
            <w:r w:rsidRPr="00861F23">
              <w:rPr>
                <w:rStyle w:val="Hipervnculo"/>
                <w:noProof/>
              </w:rPr>
              <w:t>Producción nacional</w:t>
            </w:r>
            <w:r>
              <w:rPr>
                <w:noProof/>
                <w:webHidden/>
              </w:rPr>
              <w:tab/>
            </w:r>
            <w:r>
              <w:rPr>
                <w:noProof/>
                <w:webHidden/>
              </w:rPr>
              <w:fldChar w:fldCharType="begin"/>
            </w:r>
            <w:r>
              <w:rPr>
                <w:noProof/>
                <w:webHidden/>
              </w:rPr>
              <w:instrText xml:space="preserve"> PAGEREF _Toc235128336 \h </w:instrText>
            </w:r>
            <w:r>
              <w:rPr>
                <w:noProof/>
                <w:webHidden/>
              </w:rPr>
            </w:r>
            <w:r>
              <w:rPr>
                <w:noProof/>
                <w:webHidden/>
              </w:rPr>
              <w:fldChar w:fldCharType="separate"/>
            </w:r>
            <w:r>
              <w:rPr>
                <w:noProof/>
                <w:webHidden/>
              </w:rPr>
              <w:t>92</w:t>
            </w:r>
            <w:r>
              <w:rPr>
                <w:noProof/>
                <w:webHidden/>
              </w:rPr>
              <w:fldChar w:fldCharType="end"/>
            </w:r>
          </w:hyperlink>
        </w:p>
        <w:p w14:paraId="5841ECAD" w14:textId="4C8AA189"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37" w:history="1">
            <w:r w:rsidRPr="00861F23">
              <w:rPr>
                <w:rStyle w:val="Hipervnculo"/>
                <w:bCs/>
                <w:noProof/>
              </w:rPr>
              <w:t>2.1.2.</w:t>
            </w:r>
            <w:r>
              <w:rPr>
                <w:rFonts w:asciiTheme="minorHAnsi" w:eastAsiaTheme="minorEastAsia" w:hAnsiTheme="minorHAnsi" w:cstheme="minorBidi"/>
                <w:noProof/>
                <w:kern w:val="2"/>
                <w:lang w:val="es-CO" w:eastAsia="es-CO"/>
                <w14:ligatures w14:val="standardContextual"/>
              </w:rPr>
              <w:tab/>
            </w:r>
            <w:r w:rsidRPr="00861F23">
              <w:rPr>
                <w:rStyle w:val="Hipervnculo"/>
                <w:noProof/>
              </w:rPr>
              <w:t>Importaciones</w:t>
            </w:r>
            <w:r>
              <w:rPr>
                <w:noProof/>
                <w:webHidden/>
              </w:rPr>
              <w:tab/>
            </w:r>
            <w:r>
              <w:rPr>
                <w:noProof/>
                <w:webHidden/>
              </w:rPr>
              <w:fldChar w:fldCharType="begin"/>
            </w:r>
            <w:r>
              <w:rPr>
                <w:noProof/>
                <w:webHidden/>
              </w:rPr>
              <w:instrText xml:space="preserve"> PAGEREF _Toc235128337 \h </w:instrText>
            </w:r>
            <w:r>
              <w:rPr>
                <w:noProof/>
                <w:webHidden/>
              </w:rPr>
            </w:r>
            <w:r>
              <w:rPr>
                <w:noProof/>
                <w:webHidden/>
              </w:rPr>
              <w:fldChar w:fldCharType="separate"/>
            </w:r>
            <w:r>
              <w:rPr>
                <w:noProof/>
                <w:webHidden/>
              </w:rPr>
              <w:t>95</w:t>
            </w:r>
            <w:r>
              <w:rPr>
                <w:noProof/>
                <w:webHidden/>
              </w:rPr>
              <w:fldChar w:fldCharType="end"/>
            </w:r>
          </w:hyperlink>
        </w:p>
        <w:p w14:paraId="74219916" w14:textId="7AA220E0"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38" w:history="1">
            <w:r w:rsidRPr="00861F23">
              <w:rPr>
                <w:rStyle w:val="Hipervnculo"/>
                <w:bCs/>
                <w:noProof/>
              </w:rPr>
              <w:t>2.1.3.</w:t>
            </w:r>
            <w:r>
              <w:rPr>
                <w:rFonts w:asciiTheme="minorHAnsi" w:eastAsiaTheme="minorEastAsia" w:hAnsiTheme="minorHAnsi" w:cstheme="minorBidi"/>
                <w:noProof/>
                <w:kern w:val="2"/>
                <w:lang w:val="es-CO" w:eastAsia="es-CO"/>
                <w14:ligatures w14:val="standardContextual"/>
              </w:rPr>
              <w:tab/>
            </w:r>
            <w:r w:rsidRPr="00861F23">
              <w:rPr>
                <w:rStyle w:val="Hipervnculo"/>
                <w:noProof/>
              </w:rPr>
              <w:t>Oferta histórica</w:t>
            </w:r>
            <w:r>
              <w:rPr>
                <w:noProof/>
                <w:webHidden/>
              </w:rPr>
              <w:tab/>
            </w:r>
            <w:r>
              <w:rPr>
                <w:noProof/>
                <w:webHidden/>
              </w:rPr>
              <w:fldChar w:fldCharType="begin"/>
            </w:r>
            <w:r>
              <w:rPr>
                <w:noProof/>
                <w:webHidden/>
              </w:rPr>
              <w:instrText xml:space="preserve"> PAGEREF _Toc235128338 \h </w:instrText>
            </w:r>
            <w:r>
              <w:rPr>
                <w:noProof/>
                <w:webHidden/>
              </w:rPr>
            </w:r>
            <w:r>
              <w:rPr>
                <w:noProof/>
                <w:webHidden/>
              </w:rPr>
              <w:fldChar w:fldCharType="separate"/>
            </w:r>
            <w:r>
              <w:rPr>
                <w:noProof/>
                <w:webHidden/>
              </w:rPr>
              <w:t>98</w:t>
            </w:r>
            <w:r>
              <w:rPr>
                <w:noProof/>
                <w:webHidden/>
              </w:rPr>
              <w:fldChar w:fldCharType="end"/>
            </w:r>
          </w:hyperlink>
        </w:p>
        <w:p w14:paraId="47FAE4F1" w14:textId="3FF1C757"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39" w:history="1">
            <w:r w:rsidRPr="00861F23">
              <w:rPr>
                <w:rStyle w:val="Hipervnculo"/>
                <w:bCs/>
                <w:noProof/>
              </w:rPr>
              <w:t>2.1.4.</w:t>
            </w:r>
            <w:r>
              <w:rPr>
                <w:rFonts w:asciiTheme="minorHAnsi" w:eastAsiaTheme="minorEastAsia" w:hAnsiTheme="minorHAnsi" w:cstheme="minorBidi"/>
                <w:noProof/>
                <w:kern w:val="2"/>
                <w:lang w:val="es-CO" w:eastAsia="es-CO"/>
                <w14:ligatures w14:val="standardContextual"/>
              </w:rPr>
              <w:tab/>
            </w:r>
            <w:r w:rsidRPr="00861F23">
              <w:rPr>
                <w:rStyle w:val="Hipervnculo"/>
                <w:noProof/>
              </w:rPr>
              <w:t>Demanda histórica</w:t>
            </w:r>
            <w:r>
              <w:rPr>
                <w:noProof/>
                <w:webHidden/>
              </w:rPr>
              <w:tab/>
            </w:r>
            <w:r>
              <w:rPr>
                <w:noProof/>
                <w:webHidden/>
              </w:rPr>
              <w:fldChar w:fldCharType="begin"/>
            </w:r>
            <w:r>
              <w:rPr>
                <w:noProof/>
                <w:webHidden/>
              </w:rPr>
              <w:instrText xml:space="preserve"> PAGEREF _Toc235128339 \h </w:instrText>
            </w:r>
            <w:r>
              <w:rPr>
                <w:noProof/>
                <w:webHidden/>
              </w:rPr>
            </w:r>
            <w:r>
              <w:rPr>
                <w:noProof/>
                <w:webHidden/>
              </w:rPr>
              <w:fldChar w:fldCharType="separate"/>
            </w:r>
            <w:r>
              <w:rPr>
                <w:noProof/>
                <w:webHidden/>
              </w:rPr>
              <w:t>99</w:t>
            </w:r>
            <w:r>
              <w:rPr>
                <w:noProof/>
                <w:webHidden/>
              </w:rPr>
              <w:fldChar w:fldCharType="end"/>
            </w:r>
          </w:hyperlink>
        </w:p>
        <w:p w14:paraId="7F2DC671" w14:textId="783CC57D" w:rsidR="00D27B38" w:rsidRDefault="00D27B38">
          <w:pPr>
            <w:pStyle w:val="TDC2"/>
            <w:rPr>
              <w:rFonts w:asciiTheme="minorHAnsi" w:eastAsiaTheme="minorEastAsia" w:hAnsiTheme="minorHAnsi" w:cstheme="minorBidi"/>
              <w:kern w:val="2"/>
              <w:lang w:val="es-CO" w:eastAsia="es-CO"/>
              <w14:ligatures w14:val="standardContextual"/>
            </w:rPr>
          </w:pPr>
          <w:hyperlink w:anchor="_Toc235128340" w:history="1">
            <w:r w:rsidRPr="00861F23">
              <w:rPr>
                <w:rStyle w:val="Hipervnculo"/>
              </w:rPr>
              <w:t>2.2.</w:t>
            </w:r>
            <w:r>
              <w:rPr>
                <w:rFonts w:asciiTheme="minorHAnsi" w:eastAsiaTheme="minorEastAsia" w:hAnsiTheme="minorHAnsi" w:cstheme="minorBidi"/>
                <w:kern w:val="2"/>
                <w:lang w:val="es-CO" w:eastAsia="es-CO"/>
                <w14:ligatures w14:val="standardContextual"/>
              </w:rPr>
              <w:tab/>
            </w:r>
            <w:r w:rsidRPr="00861F23">
              <w:rPr>
                <w:rStyle w:val="Hipervnculo"/>
              </w:rPr>
              <w:t>Cadena de valor</w:t>
            </w:r>
            <w:r>
              <w:rPr>
                <w:webHidden/>
              </w:rPr>
              <w:tab/>
            </w:r>
            <w:r>
              <w:rPr>
                <w:webHidden/>
              </w:rPr>
              <w:fldChar w:fldCharType="begin"/>
            </w:r>
            <w:r>
              <w:rPr>
                <w:webHidden/>
              </w:rPr>
              <w:instrText xml:space="preserve"> PAGEREF _Toc235128340 \h </w:instrText>
            </w:r>
            <w:r>
              <w:rPr>
                <w:webHidden/>
              </w:rPr>
            </w:r>
            <w:r>
              <w:rPr>
                <w:webHidden/>
              </w:rPr>
              <w:fldChar w:fldCharType="separate"/>
            </w:r>
            <w:r>
              <w:rPr>
                <w:webHidden/>
              </w:rPr>
              <w:t>106</w:t>
            </w:r>
            <w:r>
              <w:rPr>
                <w:webHidden/>
              </w:rPr>
              <w:fldChar w:fldCharType="end"/>
            </w:r>
          </w:hyperlink>
        </w:p>
        <w:p w14:paraId="1A22D58A" w14:textId="6B69D6A5"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41" w:history="1">
            <w:r w:rsidRPr="00861F23">
              <w:rPr>
                <w:rStyle w:val="Hipervnculo"/>
                <w:bCs/>
                <w:noProof/>
              </w:rPr>
              <w:t>2.2.1.</w:t>
            </w:r>
            <w:r>
              <w:rPr>
                <w:rFonts w:asciiTheme="minorHAnsi" w:eastAsiaTheme="minorEastAsia" w:hAnsiTheme="minorHAnsi" w:cstheme="minorBidi"/>
                <w:noProof/>
                <w:kern w:val="2"/>
                <w:lang w:val="es-CO" w:eastAsia="es-CO"/>
                <w14:ligatures w14:val="standardContextual"/>
              </w:rPr>
              <w:tab/>
            </w:r>
            <w:r w:rsidRPr="00861F23">
              <w:rPr>
                <w:rStyle w:val="Hipervnculo"/>
                <w:noProof/>
              </w:rPr>
              <w:t>Producción e importación</w:t>
            </w:r>
            <w:r>
              <w:rPr>
                <w:noProof/>
                <w:webHidden/>
              </w:rPr>
              <w:tab/>
            </w:r>
            <w:r>
              <w:rPr>
                <w:noProof/>
                <w:webHidden/>
              </w:rPr>
              <w:fldChar w:fldCharType="begin"/>
            </w:r>
            <w:r>
              <w:rPr>
                <w:noProof/>
                <w:webHidden/>
              </w:rPr>
              <w:instrText xml:space="preserve"> PAGEREF _Toc235128341 \h </w:instrText>
            </w:r>
            <w:r>
              <w:rPr>
                <w:noProof/>
                <w:webHidden/>
              </w:rPr>
            </w:r>
            <w:r>
              <w:rPr>
                <w:noProof/>
                <w:webHidden/>
              </w:rPr>
              <w:fldChar w:fldCharType="separate"/>
            </w:r>
            <w:r>
              <w:rPr>
                <w:noProof/>
                <w:webHidden/>
              </w:rPr>
              <w:t>106</w:t>
            </w:r>
            <w:r>
              <w:rPr>
                <w:noProof/>
                <w:webHidden/>
              </w:rPr>
              <w:fldChar w:fldCharType="end"/>
            </w:r>
          </w:hyperlink>
        </w:p>
        <w:p w14:paraId="4566C59B" w14:textId="322CAFC7"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42" w:history="1">
            <w:r w:rsidRPr="00861F23">
              <w:rPr>
                <w:rStyle w:val="Hipervnculo"/>
                <w:bCs/>
                <w:noProof/>
              </w:rPr>
              <w:t>2.2.2.</w:t>
            </w:r>
            <w:r>
              <w:rPr>
                <w:rFonts w:asciiTheme="minorHAnsi" w:eastAsiaTheme="minorEastAsia" w:hAnsiTheme="minorHAnsi" w:cstheme="minorBidi"/>
                <w:noProof/>
                <w:kern w:val="2"/>
                <w:lang w:val="es-CO" w:eastAsia="es-CO"/>
                <w14:ligatures w14:val="standardContextual"/>
              </w:rPr>
              <w:tab/>
            </w:r>
            <w:r w:rsidRPr="00861F23">
              <w:rPr>
                <w:rStyle w:val="Hipervnculo"/>
                <w:noProof/>
              </w:rPr>
              <w:t>Comercialización mayorista</w:t>
            </w:r>
            <w:r>
              <w:rPr>
                <w:noProof/>
                <w:webHidden/>
              </w:rPr>
              <w:tab/>
            </w:r>
            <w:r>
              <w:rPr>
                <w:noProof/>
                <w:webHidden/>
              </w:rPr>
              <w:fldChar w:fldCharType="begin"/>
            </w:r>
            <w:r>
              <w:rPr>
                <w:noProof/>
                <w:webHidden/>
              </w:rPr>
              <w:instrText xml:space="preserve"> PAGEREF _Toc235128342 \h </w:instrText>
            </w:r>
            <w:r>
              <w:rPr>
                <w:noProof/>
                <w:webHidden/>
              </w:rPr>
            </w:r>
            <w:r>
              <w:rPr>
                <w:noProof/>
                <w:webHidden/>
              </w:rPr>
              <w:fldChar w:fldCharType="separate"/>
            </w:r>
            <w:r>
              <w:rPr>
                <w:noProof/>
                <w:webHidden/>
              </w:rPr>
              <w:t>108</w:t>
            </w:r>
            <w:r>
              <w:rPr>
                <w:noProof/>
                <w:webHidden/>
              </w:rPr>
              <w:fldChar w:fldCharType="end"/>
            </w:r>
          </w:hyperlink>
        </w:p>
        <w:p w14:paraId="12B7A72C" w14:textId="3EC8168A"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43" w:history="1">
            <w:r w:rsidRPr="00861F23">
              <w:rPr>
                <w:rStyle w:val="Hipervnculo"/>
                <w:bCs/>
                <w:noProof/>
              </w:rPr>
              <w:t>2.2.3.</w:t>
            </w:r>
            <w:r>
              <w:rPr>
                <w:rFonts w:asciiTheme="minorHAnsi" w:eastAsiaTheme="minorEastAsia" w:hAnsiTheme="minorHAnsi" w:cstheme="minorBidi"/>
                <w:noProof/>
                <w:kern w:val="2"/>
                <w:lang w:val="es-CO" w:eastAsia="es-CO"/>
                <w14:ligatures w14:val="standardContextual"/>
              </w:rPr>
              <w:tab/>
            </w:r>
            <w:r w:rsidRPr="00861F23">
              <w:rPr>
                <w:rStyle w:val="Hipervnculo"/>
                <w:noProof/>
              </w:rPr>
              <w:t>Transporte</w:t>
            </w:r>
            <w:r>
              <w:rPr>
                <w:noProof/>
                <w:webHidden/>
              </w:rPr>
              <w:tab/>
            </w:r>
            <w:r>
              <w:rPr>
                <w:noProof/>
                <w:webHidden/>
              </w:rPr>
              <w:fldChar w:fldCharType="begin"/>
            </w:r>
            <w:r>
              <w:rPr>
                <w:noProof/>
                <w:webHidden/>
              </w:rPr>
              <w:instrText xml:space="preserve"> PAGEREF _Toc235128343 \h </w:instrText>
            </w:r>
            <w:r>
              <w:rPr>
                <w:noProof/>
                <w:webHidden/>
              </w:rPr>
            </w:r>
            <w:r>
              <w:rPr>
                <w:noProof/>
                <w:webHidden/>
              </w:rPr>
              <w:fldChar w:fldCharType="separate"/>
            </w:r>
            <w:r>
              <w:rPr>
                <w:noProof/>
                <w:webHidden/>
              </w:rPr>
              <w:t>110</w:t>
            </w:r>
            <w:r>
              <w:rPr>
                <w:noProof/>
                <w:webHidden/>
              </w:rPr>
              <w:fldChar w:fldCharType="end"/>
            </w:r>
          </w:hyperlink>
        </w:p>
        <w:p w14:paraId="2A9510FD" w14:textId="5AB9560C"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44" w:history="1">
            <w:r w:rsidRPr="00861F23">
              <w:rPr>
                <w:rStyle w:val="Hipervnculo"/>
                <w:bCs/>
                <w:noProof/>
              </w:rPr>
              <w:t>2.2.4.</w:t>
            </w:r>
            <w:r>
              <w:rPr>
                <w:rFonts w:asciiTheme="minorHAnsi" w:eastAsiaTheme="minorEastAsia" w:hAnsiTheme="minorHAnsi" w:cstheme="minorBidi"/>
                <w:noProof/>
                <w:kern w:val="2"/>
                <w:lang w:val="es-CO" w:eastAsia="es-CO"/>
                <w14:ligatures w14:val="standardContextual"/>
              </w:rPr>
              <w:tab/>
            </w:r>
            <w:r w:rsidRPr="00861F23">
              <w:rPr>
                <w:rStyle w:val="Hipervnculo"/>
                <w:noProof/>
              </w:rPr>
              <w:t>Distribución</w:t>
            </w:r>
            <w:r>
              <w:rPr>
                <w:noProof/>
                <w:webHidden/>
              </w:rPr>
              <w:tab/>
            </w:r>
            <w:r>
              <w:rPr>
                <w:noProof/>
                <w:webHidden/>
              </w:rPr>
              <w:fldChar w:fldCharType="begin"/>
            </w:r>
            <w:r>
              <w:rPr>
                <w:noProof/>
                <w:webHidden/>
              </w:rPr>
              <w:instrText xml:space="preserve"> PAGEREF _Toc235128344 \h </w:instrText>
            </w:r>
            <w:r>
              <w:rPr>
                <w:noProof/>
                <w:webHidden/>
              </w:rPr>
            </w:r>
            <w:r>
              <w:rPr>
                <w:noProof/>
                <w:webHidden/>
              </w:rPr>
              <w:fldChar w:fldCharType="separate"/>
            </w:r>
            <w:r>
              <w:rPr>
                <w:noProof/>
                <w:webHidden/>
              </w:rPr>
              <w:t>111</w:t>
            </w:r>
            <w:r>
              <w:rPr>
                <w:noProof/>
                <w:webHidden/>
              </w:rPr>
              <w:fldChar w:fldCharType="end"/>
            </w:r>
          </w:hyperlink>
        </w:p>
        <w:p w14:paraId="33B970C2" w14:textId="5601CAB7" w:rsidR="00D27B38" w:rsidRDefault="00D27B38">
          <w:pPr>
            <w:pStyle w:val="TDC2"/>
            <w:rPr>
              <w:rFonts w:asciiTheme="minorHAnsi" w:eastAsiaTheme="minorEastAsia" w:hAnsiTheme="minorHAnsi" w:cstheme="minorBidi"/>
              <w:kern w:val="2"/>
              <w:lang w:val="es-CO" w:eastAsia="es-CO"/>
              <w14:ligatures w14:val="standardContextual"/>
            </w:rPr>
          </w:pPr>
          <w:hyperlink w:anchor="_Toc235128345" w:history="1">
            <w:r w:rsidRPr="00861F23">
              <w:rPr>
                <w:rStyle w:val="Hipervnculo"/>
              </w:rPr>
              <w:t>2.3.</w:t>
            </w:r>
            <w:r>
              <w:rPr>
                <w:rFonts w:asciiTheme="minorHAnsi" w:eastAsiaTheme="minorEastAsia" w:hAnsiTheme="minorHAnsi" w:cstheme="minorBidi"/>
                <w:kern w:val="2"/>
                <w:lang w:val="es-CO" w:eastAsia="es-CO"/>
                <w14:ligatures w14:val="standardContextual"/>
              </w:rPr>
              <w:tab/>
            </w:r>
            <w:r w:rsidRPr="00861F23">
              <w:rPr>
                <w:rStyle w:val="Hipervnculo"/>
              </w:rPr>
              <w:t>Mercados de uso del GLP</w:t>
            </w:r>
            <w:r>
              <w:rPr>
                <w:webHidden/>
              </w:rPr>
              <w:tab/>
            </w:r>
            <w:r>
              <w:rPr>
                <w:webHidden/>
              </w:rPr>
              <w:fldChar w:fldCharType="begin"/>
            </w:r>
            <w:r>
              <w:rPr>
                <w:webHidden/>
              </w:rPr>
              <w:instrText xml:space="preserve"> PAGEREF _Toc235128345 \h </w:instrText>
            </w:r>
            <w:r>
              <w:rPr>
                <w:webHidden/>
              </w:rPr>
            </w:r>
            <w:r>
              <w:rPr>
                <w:webHidden/>
              </w:rPr>
              <w:fldChar w:fldCharType="separate"/>
            </w:r>
            <w:r>
              <w:rPr>
                <w:webHidden/>
              </w:rPr>
              <w:t>113</w:t>
            </w:r>
            <w:r>
              <w:rPr>
                <w:webHidden/>
              </w:rPr>
              <w:fldChar w:fldCharType="end"/>
            </w:r>
          </w:hyperlink>
        </w:p>
        <w:p w14:paraId="6C279AD1" w14:textId="050F47CA"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46" w:history="1">
            <w:r w:rsidRPr="00861F23">
              <w:rPr>
                <w:rStyle w:val="Hipervnculo"/>
                <w:bCs/>
                <w:noProof/>
              </w:rPr>
              <w:t>2.3.1.</w:t>
            </w:r>
            <w:r>
              <w:rPr>
                <w:rFonts w:asciiTheme="minorHAnsi" w:eastAsiaTheme="minorEastAsia" w:hAnsiTheme="minorHAnsi" w:cstheme="minorBidi"/>
                <w:noProof/>
                <w:kern w:val="2"/>
                <w:lang w:val="es-CO" w:eastAsia="es-CO"/>
                <w14:ligatures w14:val="standardContextual"/>
              </w:rPr>
              <w:tab/>
            </w:r>
            <w:r w:rsidRPr="00861F23">
              <w:rPr>
                <w:rStyle w:val="Hipervnculo"/>
                <w:noProof/>
              </w:rPr>
              <w:t>Servicio público domiciliario</w:t>
            </w:r>
            <w:r>
              <w:rPr>
                <w:noProof/>
                <w:webHidden/>
              </w:rPr>
              <w:tab/>
            </w:r>
            <w:r>
              <w:rPr>
                <w:noProof/>
                <w:webHidden/>
              </w:rPr>
              <w:fldChar w:fldCharType="begin"/>
            </w:r>
            <w:r>
              <w:rPr>
                <w:noProof/>
                <w:webHidden/>
              </w:rPr>
              <w:instrText xml:space="preserve"> PAGEREF _Toc235128346 \h </w:instrText>
            </w:r>
            <w:r>
              <w:rPr>
                <w:noProof/>
                <w:webHidden/>
              </w:rPr>
            </w:r>
            <w:r>
              <w:rPr>
                <w:noProof/>
                <w:webHidden/>
              </w:rPr>
              <w:fldChar w:fldCharType="separate"/>
            </w:r>
            <w:r>
              <w:rPr>
                <w:noProof/>
                <w:webHidden/>
              </w:rPr>
              <w:t>113</w:t>
            </w:r>
            <w:r>
              <w:rPr>
                <w:noProof/>
                <w:webHidden/>
              </w:rPr>
              <w:fldChar w:fldCharType="end"/>
            </w:r>
          </w:hyperlink>
        </w:p>
        <w:p w14:paraId="466B23AF" w14:textId="1403A099"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47" w:history="1">
            <w:r w:rsidRPr="00861F23">
              <w:rPr>
                <w:rStyle w:val="Hipervnculo"/>
                <w:bCs/>
                <w:noProof/>
              </w:rPr>
              <w:t>2.3.2.</w:t>
            </w:r>
            <w:r>
              <w:rPr>
                <w:rFonts w:asciiTheme="minorHAnsi" w:eastAsiaTheme="minorEastAsia" w:hAnsiTheme="minorHAnsi" w:cstheme="minorBidi"/>
                <w:noProof/>
                <w:kern w:val="2"/>
                <w:lang w:val="es-CO" w:eastAsia="es-CO"/>
                <w14:ligatures w14:val="standardContextual"/>
              </w:rPr>
              <w:tab/>
            </w:r>
            <w:r w:rsidRPr="00861F23">
              <w:rPr>
                <w:rStyle w:val="Hipervnculo"/>
                <w:noProof/>
              </w:rPr>
              <w:t>Usos finales tradicionales.</w:t>
            </w:r>
            <w:r>
              <w:rPr>
                <w:noProof/>
                <w:webHidden/>
              </w:rPr>
              <w:tab/>
            </w:r>
            <w:r>
              <w:rPr>
                <w:noProof/>
                <w:webHidden/>
              </w:rPr>
              <w:fldChar w:fldCharType="begin"/>
            </w:r>
            <w:r>
              <w:rPr>
                <w:noProof/>
                <w:webHidden/>
              </w:rPr>
              <w:instrText xml:space="preserve"> PAGEREF _Toc235128347 \h </w:instrText>
            </w:r>
            <w:r>
              <w:rPr>
                <w:noProof/>
                <w:webHidden/>
              </w:rPr>
            </w:r>
            <w:r>
              <w:rPr>
                <w:noProof/>
                <w:webHidden/>
              </w:rPr>
              <w:fldChar w:fldCharType="separate"/>
            </w:r>
            <w:r>
              <w:rPr>
                <w:noProof/>
                <w:webHidden/>
              </w:rPr>
              <w:t>118</w:t>
            </w:r>
            <w:r>
              <w:rPr>
                <w:noProof/>
                <w:webHidden/>
              </w:rPr>
              <w:fldChar w:fldCharType="end"/>
            </w:r>
          </w:hyperlink>
        </w:p>
        <w:p w14:paraId="1744CFD0" w14:textId="04CDEEE7"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48" w:history="1">
            <w:r w:rsidRPr="00861F23">
              <w:rPr>
                <w:rStyle w:val="Hipervnculo"/>
                <w:bCs/>
                <w:noProof/>
              </w:rPr>
              <w:t>2.3.3.</w:t>
            </w:r>
            <w:r>
              <w:rPr>
                <w:rFonts w:asciiTheme="minorHAnsi" w:eastAsiaTheme="minorEastAsia" w:hAnsiTheme="minorHAnsi" w:cstheme="minorBidi"/>
                <w:noProof/>
                <w:kern w:val="2"/>
                <w:lang w:val="es-CO" w:eastAsia="es-CO"/>
                <w14:ligatures w14:val="standardContextual"/>
              </w:rPr>
              <w:tab/>
            </w:r>
            <w:r w:rsidRPr="00861F23">
              <w:rPr>
                <w:rStyle w:val="Hipervnculo"/>
                <w:noProof/>
              </w:rPr>
              <w:t>Otros usos</w:t>
            </w:r>
            <w:r>
              <w:rPr>
                <w:noProof/>
                <w:webHidden/>
              </w:rPr>
              <w:tab/>
            </w:r>
            <w:r>
              <w:rPr>
                <w:noProof/>
                <w:webHidden/>
              </w:rPr>
              <w:fldChar w:fldCharType="begin"/>
            </w:r>
            <w:r>
              <w:rPr>
                <w:noProof/>
                <w:webHidden/>
              </w:rPr>
              <w:instrText xml:space="preserve"> PAGEREF _Toc235128348 \h </w:instrText>
            </w:r>
            <w:r>
              <w:rPr>
                <w:noProof/>
                <w:webHidden/>
              </w:rPr>
            </w:r>
            <w:r>
              <w:rPr>
                <w:noProof/>
                <w:webHidden/>
              </w:rPr>
              <w:fldChar w:fldCharType="separate"/>
            </w:r>
            <w:r>
              <w:rPr>
                <w:noProof/>
                <w:webHidden/>
              </w:rPr>
              <w:t>118</w:t>
            </w:r>
            <w:r>
              <w:rPr>
                <w:noProof/>
                <w:webHidden/>
              </w:rPr>
              <w:fldChar w:fldCharType="end"/>
            </w:r>
          </w:hyperlink>
        </w:p>
        <w:p w14:paraId="45E50CDE" w14:textId="5F9BD7AD" w:rsidR="00D27B38" w:rsidRDefault="00D27B38">
          <w:pPr>
            <w:pStyle w:val="TDC2"/>
            <w:rPr>
              <w:rFonts w:asciiTheme="minorHAnsi" w:eastAsiaTheme="minorEastAsia" w:hAnsiTheme="minorHAnsi" w:cstheme="minorBidi"/>
              <w:kern w:val="2"/>
              <w:lang w:val="es-CO" w:eastAsia="es-CO"/>
              <w14:ligatures w14:val="standardContextual"/>
            </w:rPr>
          </w:pPr>
          <w:hyperlink w:anchor="_Toc235128349" w:history="1">
            <w:r w:rsidRPr="00861F23">
              <w:rPr>
                <w:rStyle w:val="Hipervnculo"/>
              </w:rPr>
              <w:t>2.4.</w:t>
            </w:r>
            <w:r>
              <w:rPr>
                <w:rFonts w:asciiTheme="minorHAnsi" w:eastAsiaTheme="minorEastAsia" w:hAnsiTheme="minorHAnsi" w:cstheme="minorBidi"/>
                <w:kern w:val="2"/>
                <w:lang w:val="es-CO" w:eastAsia="es-CO"/>
                <w14:ligatures w14:val="standardContextual"/>
              </w:rPr>
              <w:tab/>
            </w:r>
            <w:r w:rsidRPr="00861F23">
              <w:rPr>
                <w:rStyle w:val="Hipervnculo"/>
              </w:rPr>
              <w:t>Competencia en la cadena</w:t>
            </w:r>
            <w:r>
              <w:rPr>
                <w:webHidden/>
              </w:rPr>
              <w:tab/>
            </w:r>
            <w:r>
              <w:rPr>
                <w:webHidden/>
              </w:rPr>
              <w:fldChar w:fldCharType="begin"/>
            </w:r>
            <w:r>
              <w:rPr>
                <w:webHidden/>
              </w:rPr>
              <w:instrText xml:space="preserve"> PAGEREF _Toc235128349 \h </w:instrText>
            </w:r>
            <w:r>
              <w:rPr>
                <w:webHidden/>
              </w:rPr>
            </w:r>
            <w:r>
              <w:rPr>
                <w:webHidden/>
              </w:rPr>
              <w:fldChar w:fldCharType="separate"/>
            </w:r>
            <w:r>
              <w:rPr>
                <w:webHidden/>
              </w:rPr>
              <w:t>120</w:t>
            </w:r>
            <w:r>
              <w:rPr>
                <w:webHidden/>
              </w:rPr>
              <w:fldChar w:fldCharType="end"/>
            </w:r>
          </w:hyperlink>
        </w:p>
        <w:p w14:paraId="7F2B8439" w14:textId="42CBE232"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50" w:history="1">
            <w:r w:rsidRPr="00861F23">
              <w:rPr>
                <w:rStyle w:val="Hipervnculo"/>
                <w:bCs/>
                <w:noProof/>
              </w:rPr>
              <w:t>2.4.1.</w:t>
            </w:r>
            <w:r>
              <w:rPr>
                <w:rFonts w:asciiTheme="minorHAnsi" w:eastAsiaTheme="minorEastAsia" w:hAnsiTheme="minorHAnsi" w:cstheme="minorBidi"/>
                <w:noProof/>
                <w:kern w:val="2"/>
                <w:lang w:val="es-CO" w:eastAsia="es-CO"/>
                <w14:ligatures w14:val="standardContextual"/>
              </w:rPr>
              <w:tab/>
            </w:r>
            <w:r w:rsidRPr="00861F23">
              <w:rPr>
                <w:rStyle w:val="Hipervnculo"/>
                <w:noProof/>
              </w:rPr>
              <w:t>Mercados relevantes</w:t>
            </w:r>
            <w:r>
              <w:rPr>
                <w:noProof/>
                <w:webHidden/>
              </w:rPr>
              <w:tab/>
            </w:r>
            <w:r>
              <w:rPr>
                <w:noProof/>
                <w:webHidden/>
              </w:rPr>
              <w:fldChar w:fldCharType="begin"/>
            </w:r>
            <w:r>
              <w:rPr>
                <w:noProof/>
                <w:webHidden/>
              </w:rPr>
              <w:instrText xml:space="preserve"> PAGEREF _Toc235128350 \h </w:instrText>
            </w:r>
            <w:r>
              <w:rPr>
                <w:noProof/>
                <w:webHidden/>
              </w:rPr>
            </w:r>
            <w:r>
              <w:rPr>
                <w:noProof/>
                <w:webHidden/>
              </w:rPr>
              <w:fldChar w:fldCharType="separate"/>
            </w:r>
            <w:r>
              <w:rPr>
                <w:noProof/>
                <w:webHidden/>
              </w:rPr>
              <w:t>120</w:t>
            </w:r>
            <w:r>
              <w:rPr>
                <w:noProof/>
                <w:webHidden/>
              </w:rPr>
              <w:fldChar w:fldCharType="end"/>
            </w:r>
          </w:hyperlink>
        </w:p>
        <w:p w14:paraId="437C8E45" w14:textId="0A97F740"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51" w:history="1">
            <w:r w:rsidRPr="00861F23">
              <w:rPr>
                <w:rStyle w:val="Hipervnculo"/>
                <w:bCs/>
                <w:noProof/>
              </w:rPr>
              <w:t>2.4.2.</w:t>
            </w:r>
            <w:r>
              <w:rPr>
                <w:rFonts w:asciiTheme="minorHAnsi" w:eastAsiaTheme="minorEastAsia" w:hAnsiTheme="minorHAnsi" w:cstheme="minorBidi"/>
                <w:noProof/>
                <w:kern w:val="2"/>
                <w:lang w:val="es-CO" w:eastAsia="es-CO"/>
                <w14:ligatures w14:val="standardContextual"/>
              </w:rPr>
              <w:tab/>
            </w:r>
            <w:r w:rsidRPr="00861F23">
              <w:rPr>
                <w:rStyle w:val="Hipervnculo"/>
                <w:noProof/>
              </w:rPr>
              <w:t>Concentración</w:t>
            </w:r>
            <w:r>
              <w:rPr>
                <w:noProof/>
                <w:webHidden/>
              </w:rPr>
              <w:tab/>
            </w:r>
            <w:r>
              <w:rPr>
                <w:noProof/>
                <w:webHidden/>
              </w:rPr>
              <w:fldChar w:fldCharType="begin"/>
            </w:r>
            <w:r>
              <w:rPr>
                <w:noProof/>
                <w:webHidden/>
              </w:rPr>
              <w:instrText xml:space="preserve"> PAGEREF _Toc235128351 \h </w:instrText>
            </w:r>
            <w:r>
              <w:rPr>
                <w:noProof/>
                <w:webHidden/>
              </w:rPr>
            </w:r>
            <w:r>
              <w:rPr>
                <w:noProof/>
                <w:webHidden/>
              </w:rPr>
              <w:fldChar w:fldCharType="separate"/>
            </w:r>
            <w:r>
              <w:rPr>
                <w:noProof/>
                <w:webHidden/>
              </w:rPr>
              <w:t>122</w:t>
            </w:r>
            <w:r>
              <w:rPr>
                <w:noProof/>
                <w:webHidden/>
              </w:rPr>
              <w:fldChar w:fldCharType="end"/>
            </w:r>
          </w:hyperlink>
        </w:p>
        <w:p w14:paraId="1C6AC7CF" w14:textId="0AA4DC5F"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52" w:history="1">
            <w:r w:rsidRPr="00861F23">
              <w:rPr>
                <w:rStyle w:val="Hipervnculo"/>
                <w:bCs/>
                <w:noProof/>
              </w:rPr>
              <w:t>2.4.3.</w:t>
            </w:r>
            <w:r>
              <w:rPr>
                <w:rFonts w:asciiTheme="minorHAnsi" w:eastAsiaTheme="minorEastAsia" w:hAnsiTheme="minorHAnsi" w:cstheme="minorBidi"/>
                <w:noProof/>
                <w:kern w:val="2"/>
                <w:lang w:val="es-CO" w:eastAsia="es-CO"/>
                <w14:ligatures w14:val="standardContextual"/>
              </w:rPr>
              <w:tab/>
            </w:r>
            <w:r w:rsidRPr="00861F23">
              <w:rPr>
                <w:rStyle w:val="Hipervnculo"/>
                <w:noProof/>
              </w:rPr>
              <w:t>Barreras de entrada</w:t>
            </w:r>
            <w:r>
              <w:rPr>
                <w:noProof/>
                <w:webHidden/>
              </w:rPr>
              <w:tab/>
            </w:r>
            <w:r>
              <w:rPr>
                <w:noProof/>
                <w:webHidden/>
              </w:rPr>
              <w:fldChar w:fldCharType="begin"/>
            </w:r>
            <w:r>
              <w:rPr>
                <w:noProof/>
                <w:webHidden/>
              </w:rPr>
              <w:instrText xml:space="preserve"> PAGEREF _Toc235128352 \h </w:instrText>
            </w:r>
            <w:r>
              <w:rPr>
                <w:noProof/>
                <w:webHidden/>
              </w:rPr>
            </w:r>
            <w:r>
              <w:rPr>
                <w:noProof/>
                <w:webHidden/>
              </w:rPr>
              <w:fldChar w:fldCharType="separate"/>
            </w:r>
            <w:r>
              <w:rPr>
                <w:noProof/>
                <w:webHidden/>
              </w:rPr>
              <w:t>124</w:t>
            </w:r>
            <w:r>
              <w:rPr>
                <w:noProof/>
                <w:webHidden/>
              </w:rPr>
              <w:fldChar w:fldCharType="end"/>
            </w:r>
          </w:hyperlink>
        </w:p>
        <w:p w14:paraId="47800267" w14:textId="27867645"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53" w:history="1">
            <w:r w:rsidRPr="00861F23">
              <w:rPr>
                <w:rStyle w:val="Hipervnculo"/>
                <w:bCs/>
                <w:noProof/>
              </w:rPr>
              <w:t>2.4.4.</w:t>
            </w:r>
            <w:r>
              <w:rPr>
                <w:rFonts w:asciiTheme="minorHAnsi" w:eastAsiaTheme="minorEastAsia" w:hAnsiTheme="minorHAnsi" w:cstheme="minorBidi"/>
                <w:noProof/>
                <w:kern w:val="2"/>
                <w:lang w:val="es-CO" w:eastAsia="es-CO"/>
                <w14:ligatures w14:val="standardContextual"/>
              </w:rPr>
              <w:tab/>
            </w:r>
            <w:r w:rsidRPr="00861F23">
              <w:rPr>
                <w:rStyle w:val="Hipervnculo"/>
                <w:noProof/>
              </w:rPr>
              <w:t>Integración vertical</w:t>
            </w:r>
            <w:r>
              <w:rPr>
                <w:noProof/>
                <w:webHidden/>
              </w:rPr>
              <w:tab/>
            </w:r>
            <w:r>
              <w:rPr>
                <w:noProof/>
                <w:webHidden/>
              </w:rPr>
              <w:fldChar w:fldCharType="begin"/>
            </w:r>
            <w:r>
              <w:rPr>
                <w:noProof/>
                <w:webHidden/>
              </w:rPr>
              <w:instrText xml:space="preserve"> PAGEREF _Toc235128353 \h </w:instrText>
            </w:r>
            <w:r>
              <w:rPr>
                <w:noProof/>
                <w:webHidden/>
              </w:rPr>
            </w:r>
            <w:r>
              <w:rPr>
                <w:noProof/>
                <w:webHidden/>
              </w:rPr>
              <w:fldChar w:fldCharType="separate"/>
            </w:r>
            <w:r>
              <w:rPr>
                <w:noProof/>
                <w:webHidden/>
              </w:rPr>
              <w:t>126</w:t>
            </w:r>
            <w:r>
              <w:rPr>
                <w:noProof/>
                <w:webHidden/>
              </w:rPr>
              <w:fldChar w:fldCharType="end"/>
            </w:r>
          </w:hyperlink>
        </w:p>
        <w:p w14:paraId="14E8F7B9" w14:textId="38CC0A37" w:rsidR="00D27B38" w:rsidRDefault="00D27B38">
          <w:pPr>
            <w:pStyle w:val="TDC2"/>
            <w:rPr>
              <w:rFonts w:asciiTheme="minorHAnsi" w:eastAsiaTheme="minorEastAsia" w:hAnsiTheme="minorHAnsi" w:cstheme="minorBidi"/>
              <w:kern w:val="2"/>
              <w:lang w:val="es-CO" w:eastAsia="es-CO"/>
              <w14:ligatures w14:val="standardContextual"/>
            </w:rPr>
          </w:pPr>
          <w:hyperlink w:anchor="_Toc235128354" w:history="1">
            <w:r w:rsidRPr="00861F23">
              <w:rPr>
                <w:rStyle w:val="Hipervnculo"/>
              </w:rPr>
              <w:t>2.5.</w:t>
            </w:r>
            <w:r>
              <w:rPr>
                <w:rFonts w:asciiTheme="minorHAnsi" w:eastAsiaTheme="minorEastAsia" w:hAnsiTheme="minorHAnsi" w:cstheme="minorBidi"/>
                <w:kern w:val="2"/>
                <w:lang w:val="es-CO" w:eastAsia="es-CO"/>
                <w14:ligatures w14:val="standardContextual"/>
              </w:rPr>
              <w:tab/>
            </w:r>
            <w:r w:rsidRPr="00861F23">
              <w:rPr>
                <w:rStyle w:val="Hipervnculo"/>
              </w:rPr>
              <w:t>Estudios realizados</w:t>
            </w:r>
            <w:r>
              <w:rPr>
                <w:webHidden/>
              </w:rPr>
              <w:tab/>
            </w:r>
            <w:r>
              <w:rPr>
                <w:webHidden/>
              </w:rPr>
              <w:fldChar w:fldCharType="begin"/>
            </w:r>
            <w:r>
              <w:rPr>
                <w:webHidden/>
              </w:rPr>
              <w:instrText xml:space="preserve"> PAGEREF _Toc235128354 \h </w:instrText>
            </w:r>
            <w:r>
              <w:rPr>
                <w:webHidden/>
              </w:rPr>
            </w:r>
            <w:r>
              <w:rPr>
                <w:webHidden/>
              </w:rPr>
              <w:fldChar w:fldCharType="separate"/>
            </w:r>
            <w:r>
              <w:rPr>
                <w:webHidden/>
              </w:rPr>
              <w:t>128</w:t>
            </w:r>
            <w:r>
              <w:rPr>
                <w:webHidden/>
              </w:rPr>
              <w:fldChar w:fldCharType="end"/>
            </w:r>
          </w:hyperlink>
        </w:p>
        <w:p w14:paraId="48742090" w14:textId="458D76AF"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55" w:history="1">
            <w:r w:rsidRPr="00861F23">
              <w:rPr>
                <w:rStyle w:val="Hipervnculo"/>
                <w:bCs/>
                <w:noProof/>
              </w:rPr>
              <w:t>2.5.1.</w:t>
            </w:r>
            <w:r>
              <w:rPr>
                <w:rFonts w:asciiTheme="minorHAnsi" w:eastAsiaTheme="minorEastAsia" w:hAnsiTheme="minorHAnsi" w:cstheme="minorBidi"/>
                <w:noProof/>
                <w:kern w:val="2"/>
                <w:lang w:val="es-CO" w:eastAsia="es-CO"/>
                <w14:ligatures w14:val="standardContextual"/>
              </w:rPr>
              <w:tab/>
            </w:r>
            <w:r w:rsidRPr="00861F23">
              <w:rPr>
                <w:rStyle w:val="Hipervnculo"/>
                <w:noProof/>
              </w:rPr>
              <w:t>Estudio de caracterización de la cadena de GLP, Mercados Relevantes y Fallas de Mercado (CQM Consultoría SAS, 2023)</w:t>
            </w:r>
            <w:r>
              <w:rPr>
                <w:noProof/>
                <w:webHidden/>
              </w:rPr>
              <w:tab/>
            </w:r>
            <w:r>
              <w:rPr>
                <w:noProof/>
                <w:webHidden/>
              </w:rPr>
              <w:fldChar w:fldCharType="begin"/>
            </w:r>
            <w:r>
              <w:rPr>
                <w:noProof/>
                <w:webHidden/>
              </w:rPr>
              <w:instrText xml:space="preserve"> PAGEREF _Toc235128355 \h </w:instrText>
            </w:r>
            <w:r>
              <w:rPr>
                <w:noProof/>
                <w:webHidden/>
              </w:rPr>
            </w:r>
            <w:r>
              <w:rPr>
                <w:noProof/>
                <w:webHidden/>
              </w:rPr>
              <w:fldChar w:fldCharType="separate"/>
            </w:r>
            <w:r>
              <w:rPr>
                <w:noProof/>
                <w:webHidden/>
              </w:rPr>
              <w:t>128</w:t>
            </w:r>
            <w:r>
              <w:rPr>
                <w:noProof/>
                <w:webHidden/>
              </w:rPr>
              <w:fldChar w:fldCharType="end"/>
            </w:r>
          </w:hyperlink>
        </w:p>
        <w:p w14:paraId="2A122289" w14:textId="5BF6F9AD"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56" w:history="1">
            <w:r w:rsidRPr="00861F23">
              <w:rPr>
                <w:rStyle w:val="Hipervnculo"/>
                <w:bCs/>
                <w:noProof/>
              </w:rPr>
              <w:t>2.5.2.</w:t>
            </w:r>
            <w:r>
              <w:rPr>
                <w:rFonts w:asciiTheme="minorHAnsi" w:eastAsiaTheme="minorEastAsia" w:hAnsiTheme="minorHAnsi" w:cstheme="minorBidi"/>
                <w:noProof/>
                <w:kern w:val="2"/>
                <w:lang w:val="es-CO" w:eastAsia="es-CO"/>
                <w14:ligatures w14:val="standardContextual"/>
              </w:rPr>
              <w:tab/>
            </w:r>
            <w:r w:rsidRPr="00861F23">
              <w:rPr>
                <w:rStyle w:val="Hipervnculo"/>
                <w:noProof/>
              </w:rPr>
              <w:t>Plan Indicativo de abastecimiento de Gas Licuado de Petróleo, PIAGLP 2025-2034 (UPME, 2025)</w:t>
            </w:r>
            <w:r>
              <w:rPr>
                <w:noProof/>
                <w:webHidden/>
              </w:rPr>
              <w:tab/>
            </w:r>
            <w:r>
              <w:rPr>
                <w:noProof/>
                <w:webHidden/>
              </w:rPr>
              <w:fldChar w:fldCharType="begin"/>
            </w:r>
            <w:r>
              <w:rPr>
                <w:noProof/>
                <w:webHidden/>
              </w:rPr>
              <w:instrText xml:space="preserve"> PAGEREF _Toc235128356 \h </w:instrText>
            </w:r>
            <w:r>
              <w:rPr>
                <w:noProof/>
                <w:webHidden/>
              </w:rPr>
            </w:r>
            <w:r>
              <w:rPr>
                <w:noProof/>
                <w:webHidden/>
              </w:rPr>
              <w:fldChar w:fldCharType="separate"/>
            </w:r>
            <w:r>
              <w:rPr>
                <w:noProof/>
                <w:webHidden/>
              </w:rPr>
              <w:t>128</w:t>
            </w:r>
            <w:r>
              <w:rPr>
                <w:noProof/>
                <w:webHidden/>
              </w:rPr>
              <w:fldChar w:fldCharType="end"/>
            </w:r>
          </w:hyperlink>
        </w:p>
        <w:p w14:paraId="14C39CAB" w14:textId="0FBAEE6F" w:rsidR="00D27B38" w:rsidRDefault="00D27B38">
          <w:pPr>
            <w:pStyle w:val="TDC1"/>
            <w:rPr>
              <w:rFonts w:asciiTheme="minorHAnsi" w:eastAsiaTheme="minorEastAsia" w:hAnsiTheme="minorHAnsi" w:cstheme="minorBidi"/>
              <w:kern w:val="2"/>
              <w:lang w:val="es-CO" w:eastAsia="es-CO"/>
              <w14:ligatures w14:val="standardContextual"/>
            </w:rPr>
          </w:pPr>
          <w:hyperlink w:anchor="_Toc235128357" w:history="1">
            <w:r w:rsidRPr="00861F23">
              <w:rPr>
                <w:rStyle w:val="Hipervnculo"/>
                <w:rFonts w:cs="Arial"/>
              </w:rPr>
              <w:t>3.</w:t>
            </w:r>
            <w:r>
              <w:rPr>
                <w:rFonts w:asciiTheme="minorHAnsi" w:eastAsiaTheme="minorEastAsia" w:hAnsiTheme="minorHAnsi" w:cstheme="minorBidi"/>
                <w:kern w:val="2"/>
                <w:lang w:val="es-CO" w:eastAsia="es-CO"/>
                <w14:ligatures w14:val="standardContextual"/>
              </w:rPr>
              <w:tab/>
            </w:r>
            <w:r w:rsidRPr="00861F23">
              <w:rPr>
                <w:rStyle w:val="Hipervnculo"/>
                <w:rFonts w:cs="Arial"/>
              </w:rPr>
              <w:t>DIAGNÓSTICO DEL SECTOR DE GLP</w:t>
            </w:r>
            <w:r>
              <w:rPr>
                <w:webHidden/>
              </w:rPr>
              <w:tab/>
            </w:r>
            <w:r>
              <w:rPr>
                <w:webHidden/>
              </w:rPr>
              <w:fldChar w:fldCharType="begin"/>
            </w:r>
            <w:r>
              <w:rPr>
                <w:webHidden/>
              </w:rPr>
              <w:instrText xml:space="preserve"> PAGEREF _Toc235128357 \h </w:instrText>
            </w:r>
            <w:r>
              <w:rPr>
                <w:webHidden/>
              </w:rPr>
            </w:r>
            <w:r>
              <w:rPr>
                <w:webHidden/>
              </w:rPr>
              <w:fldChar w:fldCharType="separate"/>
            </w:r>
            <w:r>
              <w:rPr>
                <w:webHidden/>
              </w:rPr>
              <w:t>132</w:t>
            </w:r>
            <w:r>
              <w:rPr>
                <w:webHidden/>
              </w:rPr>
              <w:fldChar w:fldCharType="end"/>
            </w:r>
          </w:hyperlink>
        </w:p>
        <w:p w14:paraId="2F5DF6C2" w14:textId="3EB274B6" w:rsidR="00D27B38" w:rsidRDefault="00D27B38">
          <w:pPr>
            <w:pStyle w:val="TDC2"/>
            <w:rPr>
              <w:rFonts w:asciiTheme="minorHAnsi" w:eastAsiaTheme="minorEastAsia" w:hAnsiTheme="minorHAnsi" w:cstheme="minorBidi"/>
              <w:kern w:val="2"/>
              <w:lang w:val="es-CO" w:eastAsia="es-CO"/>
              <w14:ligatures w14:val="standardContextual"/>
            </w:rPr>
          </w:pPr>
          <w:hyperlink w:anchor="_Toc235128358" w:history="1">
            <w:r w:rsidRPr="00861F23">
              <w:rPr>
                <w:rStyle w:val="Hipervnculo"/>
              </w:rPr>
              <w:t>3.1.</w:t>
            </w:r>
            <w:r>
              <w:rPr>
                <w:rFonts w:asciiTheme="minorHAnsi" w:eastAsiaTheme="minorEastAsia" w:hAnsiTheme="minorHAnsi" w:cstheme="minorBidi"/>
                <w:kern w:val="2"/>
                <w:lang w:val="es-CO" w:eastAsia="es-CO"/>
                <w14:ligatures w14:val="standardContextual"/>
              </w:rPr>
              <w:tab/>
            </w:r>
            <w:r w:rsidRPr="00861F23">
              <w:rPr>
                <w:rStyle w:val="Hipervnculo"/>
              </w:rPr>
              <w:t>Diagnóstico del servicio público domiciliario</w:t>
            </w:r>
            <w:r>
              <w:rPr>
                <w:webHidden/>
              </w:rPr>
              <w:tab/>
            </w:r>
            <w:r>
              <w:rPr>
                <w:webHidden/>
              </w:rPr>
              <w:fldChar w:fldCharType="begin"/>
            </w:r>
            <w:r>
              <w:rPr>
                <w:webHidden/>
              </w:rPr>
              <w:instrText xml:space="preserve"> PAGEREF _Toc235128358 \h </w:instrText>
            </w:r>
            <w:r>
              <w:rPr>
                <w:webHidden/>
              </w:rPr>
            </w:r>
            <w:r>
              <w:rPr>
                <w:webHidden/>
              </w:rPr>
              <w:fldChar w:fldCharType="separate"/>
            </w:r>
            <w:r>
              <w:rPr>
                <w:webHidden/>
              </w:rPr>
              <w:t>133</w:t>
            </w:r>
            <w:r>
              <w:rPr>
                <w:webHidden/>
              </w:rPr>
              <w:fldChar w:fldCharType="end"/>
            </w:r>
          </w:hyperlink>
        </w:p>
        <w:p w14:paraId="42D03184" w14:textId="7336DEA3"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59" w:history="1">
            <w:r w:rsidRPr="00861F23">
              <w:rPr>
                <w:rStyle w:val="Hipervnculo"/>
                <w:bCs/>
                <w:noProof/>
              </w:rPr>
              <w:t>3.1.1.</w:t>
            </w:r>
            <w:r>
              <w:rPr>
                <w:rFonts w:asciiTheme="minorHAnsi" w:eastAsiaTheme="minorEastAsia" w:hAnsiTheme="minorHAnsi" w:cstheme="minorBidi"/>
                <w:noProof/>
                <w:kern w:val="2"/>
                <w:lang w:val="es-CO" w:eastAsia="es-CO"/>
                <w14:ligatures w14:val="standardContextual"/>
              </w:rPr>
              <w:tab/>
            </w:r>
            <w:r w:rsidRPr="00861F23">
              <w:rPr>
                <w:rStyle w:val="Hipervnculo"/>
                <w:noProof/>
              </w:rPr>
              <w:t>Cobertura</w:t>
            </w:r>
            <w:r>
              <w:rPr>
                <w:noProof/>
                <w:webHidden/>
              </w:rPr>
              <w:tab/>
            </w:r>
            <w:r>
              <w:rPr>
                <w:noProof/>
                <w:webHidden/>
              </w:rPr>
              <w:fldChar w:fldCharType="begin"/>
            </w:r>
            <w:r>
              <w:rPr>
                <w:noProof/>
                <w:webHidden/>
              </w:rPr>
              <w:instrText xml:space="preserve"> PAGEREF _Toc235128359 \h </w:instrText>
            </w:r>
            <w:r>
              <w:rPr>
                <w:noProof/>
                <w:webHidden/>
              </w:rPr>
            </w:r>
            <w:r>
              <w:rPr>
                <w:noProof/>
                <w:webHidden/>
              </w:rPr>
              <w:fldChar w:fldCharType="separate"/>
            </w:r>
            <w:r>
              <w:rPr>
                <w:noProof/>
                <w:webHidden/>
              </w:rPr>
              <w:t>133</w:t>
            </w:r>
            <w:r>
              <w:rPr>
                <w:noProof/>
                <w:webHidden/>
              </w:rPr>
              <w:fldChar w:fldCharType="end"/>
            </w:r>
          </w:hyperlink>
        </w:p>
        <w:p w14:paraId="480861E8" w14:textId="209B7916"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60" w:history="1">
            <w:r w:rsidRPr="00861F23">
              <w:rPr>
                <w:rStyle w:val="Hipervnculo"/>
                <w:bCs/>
                <w:noProof/>
              </w:rPr>
              <w:t>3.1.2.</w:t>
            </w:r>
            <w:r>
              <w:rPr>
                <w:rFonts w:asciiTheme="minorHAnsi" w:eastAsiaTheme="minorEastAsia" w:hAnsiTheme="minorHAnsi" w:cstheme="minorBidi"/>
                <w:noProof/>
                <w:kern w:val="2"/>
                <w:lang w:val="es-CO" w:eastAsia="es-CO"/>
                <w14:ligatures w14:val="standardContextual"/>
              </w:rPr>
              <w:tab/>
            </w:r>
            <w:r w:rsidRPr="00861F23">
              <w:rPr>
                <w:rStyle w:val="Hipervnculo"/>
                <w:noProof/>
              </w:rPr>
              <w:t>Calidad servicio</w:t>
            </w:r>
            <w:r>
              <w:rPr>
                <w:noProof/>
                <w:webHidden/>
              </w:rPr>
              <w:tab/>
            </w:r>
            <w:r>
              <w:rPr>
                <w:noProof/>
                <w:webHidden/>
              </w:rPr>
              <w:fldChar w:fldCharType="begin"/>
            </w:r>
            <w:r>
              <w:rPr>
                <w:noProof/>
                <w:webHidden/>
              </w:rPr>
              <w:instrText xml:space="preserve"> PAGEREF _Toc235128360 \h </w:instrText>
            </w:r>
            <w:r>
              <w:rPr>
                <w:noProof/>
                <w:webHidden/>
              </w:rPr>
            </w:r>
            <w:r>
              <w:rPr>
                <w:noProof/>
                <w:webHidden/>
              </w:rPr>
              <w:fldChar w:fldCharType="separate"/>
            </w:r>
            <w:r>
              <w:rPr>
                <w:noProof/>
                <w:webHidden/>
              </w:rPr>
              <w:t>136</w:t>
            </w:r>
            <w:r>
              <w:rPr>
                <w:noProof/>
                <w:webHidden/>
              </w:rPr>
              <w:fldChar w:fldCharType="end"/>
            </w:r>
          </w:hyperlink>
        </w:p>
        <w:p w14:paraId="04A0C9AA" w14:textId="79A54BF6"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61" w:history="1">
            <w:r w:rsidRPr="00861F23">
              <w:rPr>
                <w:rStyle w:val="Hipervnculo"/>
                <w:bCs/>
                <w:noProof/>
              </w:rPr>
              <w:t>3.1.3.</w:t>
            </w:r>
            <w:r>
              <w:rPr>
                <w:rFonts w:asciiTheme="minorHAnsi" w:eastAsiaTheme="minorEastAsia" w:hAnsiTheme="minorHAnsi" w:cstheme="minorBidi"/>
                <w:noProof/>
                <w:kern w:val="2"/>
                <w:lang w:val="es-CO" w:eastAsia="es-CO"/>
                <w14:ligatures w14:val="standardContextual"/>
              </w:rPr>
              <w:tab/>
            </w:r>
            <w:r w:rsidRPr="00861F23">
              <w:rPr>
                <w:rStyle w:val="Hipervnculo"/>
                <w:noProof/>
              </w:rPr>
              <w:t>Calidad del producto</w:t>
            </w:r>
            <w:r>
              <w:rPr>
                <w:noProof/>
                <w:webHidden/>
              </w:rPr>
              <w:tab/>
            </w:r>
            <w:r>
              <w:rPr>
                <w:noProof/>
                <w:webHidden/>
              </w:rPr>
              <w:fldChar w:fldCharType="begin"/>
            </w:r>
            <w:r>
              <w:rPr>
                <w:noProof/>
                <w:webHidden/>
              </w:rPr>
              <w:instrText xml:space="preserve"> PAGEREF _Toc235128361 \h </w:instrText>
            </w:r>
            <w:r>
              <w:rPr>
                <w:noProof/>
                <w:webHidden/>
              </w:rPr>
            </w:r>
            <w:r>
              <w:rPr>
                <w:noProof/>
                <w:webHidden/>
              </w:rPr>
              <w:fldChar w:fldCharType="separate"/>
            </w:r>
            <w:r>
              <w:rPr>
                <w:noProof/>
                <w:webHidden/>
              </w:rPr>
              <w:t>138</w:t>
            </w:r>
            <w:r>
              <w:rPr>
                <w:noProof/>
                <w:webHidden/>
              </w:rPr>
              <w:fldChar w:fldCharType="end"/>
            </w:r>
          </w:hyperlink>
        </w:p>
        <w:p w14:paraId="27654411" w14:textId="60D09A68"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62" w:history="1">
            <w:r w:rsidRPr="00861F23">
              <w:rPr>
                <w:rStyle w:val="Hipervnculo"/>
                <w:bCs/>
                <w:noProof/>
              </w:rPr>
              <w:t>3.1.4.</w:t>
            </w:r>
            <w:r>
              <w:rPr>
                <w:rFonts w:asciiTheme="minorHAnsi" w:eastAsiaTheme="minorEastAsia" w:hAnsiTheme="minorHAnsi" w:cstheme="minorBidi"/>
                <w:noProof/>
                <w:kern w:val="2"/>
                <w:lang w:val="es-CO" w:eastAsia="es-CO"/>
                <w14:ligatures w14:val="standardContextual"/>
              </w:rPr>
              <w:tab/>
            </w:r>
            <w:r w:rsidRPr="00861F23">
              <w:rPr>
                <w:rStyle w:val="Hipervnculo"/>
                <w:noProof/>
              </w:rPr>
              <w:t>Abastecimiento</w:t>
            </w:r>
            <w:r>
              <w:rPr>
                <w:noProof/>
                <w:webHidden/>
              </w:rPr>
              <w:tab/>
            </w:r>
            <w:r>
              <w:rPr>
                <w:noProof/>
                <w:webHidden/>
              </w:rPr>
              <w:fldChar w:fldCharType="begin"/>
            </w:r>
            <w:r>
              <w:rPr>
                <w:noProof/>
                <w:webHidden/>
              </w:rPr>
              <w:instrText xml:space="preserve"> PAGEREF _Toc235128362 \h </w:instrText>
            </w:r>
            <w:r>
              <w:rPr>
                <w:noProof/>
                <w:webHidden/>
              </w:rPr>
            </w:r>
            <w:r>
              <w:rPr>
                <w:noProof/>
                <w:webHidden/>
              </w:rPr>
              <w:fldChar w:fldCharType="separate"/>
            </w:r>
            <w:r>
              <w:rPr>
                <w:noProof/>
                <w:webHidden/>
              </w:rPr>
              <w:t>140</w:t>
            </w:r>
            <w:r>
              <w:rPr>
                <w:noProof/>
                <w:webHidden/>
              </w:rPr>
              <w:fldChar w:fldCharType="end"/>
            </w:r>
          </w:hyperlink>
        </w:p>
        <w:p w14:paraId="72F11AB0" w14:textId="19C3F30C"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63" w:history="1">
            <w:r w:rsidRPr="00861F23">
              <w:rPr>
                <w:rStyle w:val="Hipervnculo"/>
                <w:bCs/>
                <w:noProof/>
              </w:rPr>
              <w:t>3.1.5.</w:t>
            </w:r>
            <w:r>
              <w:rPr>
                <w:rFonts w:asciiTheme="minorHAnsi" w:eastAsiaTheme="minorEastAsia" w:hAnsiTheme="minorHAnsi" w:cstheme="minorBidi"/>
                <w:noProof/>
                <w:kern w:val="2"/>
                <w:lang w:val="es-CO" w:eastAsia="es-CO"/>
                <w14:ligatures w14:val="standardContextual"/>
              </w:rPr>
              <w:tab/>
            </w:r>
            <w:r w:rsidRPr="00861F23">
              <w:rPr>
                <w:rStyle w:val="Hipervnculo"/>
                <w:noProof/>
              </w:rPr>
              <w:t>Confiabilidad</w:t>
            </w:r>
            <w:r>
              <w:rPr>
                <w:noProof/>
                <w:webHidden/>
              </w:rPr>
              <w:tab/>
            </w:r>
            <w:r>
              <w:rPr>
                <w:noProof/>
                <w:webHidden/>
              </w:rPr>
              <w:fldChar w:fldCharType="begin"/>
            </w:r>
            <w:r>
              <w:rPr>
                <w:noProof/>
                <w:webHidden/>
              </w:rPr>
              <w:instrText xml:space="preserve"> PAGEREF _Toc235128363 \h </w:instrText>
            </w:r>
            <w:r>
              <w:rPr>
                <w:noProof/>
                <w:webHidden/>
              </w:rPr>
            </w:r>
            <w:r>
              <w:rPr>
                <w:noProof/>
                <w:webHidden/>
              </w:rPr>
              <w:fldChar w:fldCharType="separate"/>
            </w:r>
            <w:r>
              <w:rPr>
                <w:noProof/>
                <w:webHidden/>
              </w:rPr>
              <w:t>142</w:t>
            </w:r>
            <w:r>
              <w:rPr>
                <w:noProof/>
                <w:webHidden/>
              </w:rPr>
              <w:fldChar w:fldCharType="end"/>
            </w:r>
          </w:hyperlink>
        </w:p>
        <w:p w14:paraId="2699BBF7" w14:textId="49B9A3D6"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64" w:history="1">
            <w:r w:rsidRPr="00861F23">
              <w:rPr>
                <w:rStyle w:val="Hipervnculo"/>
                <w:bCs/>
                <w:noProof/>
              </w:rPr>
              <w:t>3.1.6.</w:t>
            </w:r>
            <w:r>
              <w:rPr>
                <w:rFonts w:asciiTheme="minorHAnsi" w:eastAsiaTheme="minorEastAsia" w:hAnsiTheme="minorHAnsi" w:cstheme="minorBidi"/>
                <w:noProof/>
                <w:kern w:val="2"/>
                <w:lang w:val="es-CO" w:eastAsia="es-CO"/>
                <w14:ligatures w14:val="standardContextual"/>
              </w:rPr>
              <w:tab/>
            </w:r>
            <w:r w:rsidRPr="00861F23">
              <w:rPr>
                <w:rStyle w:val="Hipervnculo"/>
                <w:noProof/>
              </w:rPr>
              <w:t>Continuidad</w:t>
            </w:r>
            <w:r>
              <w:rPr>
                <w:noProof/>
                <w:webHidden/>
              </w:rPr>
              <w:tab/>
            </w:r>
            <w:r>
              <w:rPr>
                <w:noProof/>
                <w:webHidden/>
              </w:rPr>
              <w:fldChar w:fldCharType="begin"/>
            </w:r>
            <w:r>
              <w:rPr>
                <w:noProof/>
                <w:webHidden/>
              </w:rPr>
              <w:instrText xml:space="preserve"> PAGEREF _Toc235128364 \h </w:instrText>
            </w:r>
            <w:r>
              <w:rPr>
                <w:noProof/>
                <w:webHidden/>
              </w:rPr>
            </w:r>
            <w:r>
              <w:rPr>
                <w:noProof/>
                <w:webHidden/>
              </w:rPr>
              <w:fldChar w:fldCharType="separate"/>
            </w:r>
            <w:r>
              <w:rPr>
                <w:noProof/>
                <w:webHidden/>
              </w:rPr>
              <w:t>143</w:t>
            </w:r>
            <w:r>
              <w:rPr>
                <w:noProof/>
                <w:webHidden/>
              </w:rPr>
              <w:fldChar w:fldCharType="end"/>
            </w:r>
          </w:hyperlink>
        </w:p>
        <w:p w14:paraId="72CCA71A" w14:textId="30C23312"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65" w:history="1">
            <w:r w:rsidRPr="00861F23">
              <w:rPr>
                <w:rStyle w:val="Hipervnculo"/>
                <w:bCs/>
                <w:noProof/>
              </w:rPr>
              <w:t>3.1.7.</w:t>
            </w:r>
            <w:r>
              <w:rPr>
                <w:rFonts w:asciiTheme="minorHAnsi" w:eastAsiaTheme="minorEastAsia" w:hAnsiTheme="minorHAnsi" w:cstheme="minorBidi"/>
                <w:noProof/>
                <w:kern w:val="2"/>
                <w:lang w:val="es-CO" w:eastAsia="es-CO"/>
                <w14:ligatures w14:val="standardContextual"/>
              </w:rPr>
              <w:tab/>
            </w:r>
            <w:r w:rsidRPr="00861F23">
              <w:rPr>
                <w:rStyle w:val="Hipervnculo"/>
                <w:noProof/>
              </w:rPr>
              <w:t>Tarifas</w:t>
            </w:r>
            <w:r>
              <w:rPr>
                <w:noProof/>
                <w:webHidden/>
              </w:rPr>
              <w:tab/>
            </w:r>
            <w:r>
              <w:rPr>
                <w:noProof/>
                <w:webHidden/>
              </w:rPr>
              <w:fldChar w:fldCharType="begin"/>
            </w:r>
            <w:r>
              <w:rPr>
                <w:noProof/>
                <w:webHidden/>
              </w:rPr>
              <w:instrText xml:space="preserve"> PAGEREF _Toc235128365 \h </w:instrText>
            </w:r>
            <w:r>
              <w:rPr>
                <w:noProof/>
                <w:webHidden/>
              </w:rPr>
            </w:r>
            <w:r>
              <w:rPr>
                <w:noProof/>
                <w:webHidden/>
              </w:rPr>
              <w:fldChar w:fldCharType="separate"/>
            </w:r>
            <w:r>
              <w:rPr>
                <w:noProof/>
                <w:webHidden/>
              </w:rPr>
              <w:t>145</w:t>
            </w:r>
            <w:r>
              <w:rPr>
                <w:noProof/>
                <w:webHidden/>
              </w:rPr>
              <w:fldChar w:fldCharType="end"/>
            </w:r>
          </w:hyperlink>
        </w:p>
        <w:p w14:paraId="30338F60" w14:textId="73A4822A"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66" w:history="1">
            <w:r w:rsidRPr="00861F23">
              <w:rPr>
                <w:rStyle w:val="Hipervnculo"/>
                <w:bCs/>
                <w:noProof/>
              </w:rPr>
              <w:t>3.1.8.</w:t>
            </w:r>
            <w:r>
              <w:rPr>
                <w:rFonts w:asciiTheme="minorHAnsi" w:eastAsiaTheme="minorEastAsia" w:hAnsiTheme="minorHAnsi" w:cstheme="minorBidi"/>
                <w:noProof/>
                <w:kern w:val="2"/>
                <w:lang w:val="es-CO" w:eastAsia="es-CO"/>
                <w14:ligatures w14:val="standardContextual"/>
              </w:rPr>
              <w:tab/>
            </w:r>
            <w:r w:rsidRPr="00861F23">
              <w:rPr>
                <w:rStyle w:val="Hipervnculo"/>
                <w:noProof/>
              </w:rPr>
              <w:t>Competencia</w:t>
            </w:r>
            <w:r>
              <w:rPr>
                <w:noProof/>
                <w:webHidden/>
              </w:rPr>
              <w:tab/>
            </w:r>
            <w:r>
              <w:rPr>
                <w:noProof/>
                <w:webHidden/>
              </w:rPr>
              <w:fldChar w:fldCharType="begin"/>
            </w:r>
            <w:r>
              <w:rPr>
                <w:noProof/>
                <w:webHidden/>
              </w:rPr>
              <w:instrText xml:space="preserve"> PAGEREF _Toc235128366 \h </w:instrText>
            </w:r>
            <w:r>
              <w:rPr>
                <w:noProof/>
                <w:webHidden/>
              </w:rPr>
            </w:r>
            <w:r>
              <w:rPr>
                <w:noProof/>
                <w:webHidden/>
              </w:rPr>
              <w:fldChar w:fldCharType="separate"/>
            </w:r>
            <w:r>
              <w:rPr>
                <w:noProof/>
                <w:webHidden/>
              </w:rPr>
              <w:t>148</w:t>
            </w:r>
            <w:r>
              <w:rPr>
                <w:noProof/>
                <w:webHidden/>
              </w:rPr>
              <w:fldChar w:fldCharType="end"/>
            </w:r>
          </w:hyperlink>
        </w:p>
        <w:p w14:paraId="45102453" w14:textId="0D91C42B" w:rsidR="00D27B38" w:rsidRDefault="00D27B38">
          <w:pPr>
            <w:pStyle w:val="TDC2"/>
            <w:rPr>
              <w:rFonts w:asciiTheme="minorHAnsi" w:eastAsiaTheme="minorEastAsia" w:hAnsiTheme="minorHAnsi" w:cstheme="minorBidi"/>
              <w:kern w:val="2"/>
              <w:lang w:val="es-CO" w:eastAsia="es-CO"/>
              <w14:ligatures w14:val="standardContextual"/>
            </w:rPr>
          </w:pPr>
          <w:hyperlink w:anchor="_Toc235128367" w:history="1">
            <w:r w:rsidRPr="00861F23">
              <w:rPr>
                <w:rStyle w:val="Hipervnculo"/>
              </w:rPr>
              <w:t>3.2.</w:t>
            </w:r>
            <w:r>
              <w:rPr>
                <w:rFonts w:asciiTheme="minorHAnsi" w:eastAsiaTheme="minorEastAsia" w:hAnsiTheme="minorHAnsi" w:cstheme="minorBidi"/>
                <w:kern w:val="2"/>
                <w:lang w:val="es-CO" w:eastAsia="es-CO"/>
                <w14:ligatures w14:val="standardContextual"/>
              </w:rPr>
              <w:tab/>
            </w:r>
            <w:r w:rsidRPr="00861F23">
              <w:rPr>
                <w:rStyle w:val="Hipervnculo"/>
              </w:rPr>
              <w:t>Diagnóstico de otros usos</w:t>
            </w:r>
            <w:r>
              <w:rPr>
                <w:webHidden/>
              </w:rPr>
              <w:tab/>
            </w:r>
            <w:r>
              <w:rPr>
                <w:webHidden/>
              </w:rPr>
              <w:fldChar w:fldCharType="begin"/>
            </w:r>
            <w:r>
              <w:rPr>
                <w:webHidden/>
              </w:rPr>
              <w:instrText xml:space="preserve"> PAGEREF _Toc235128367 \h </w:instrText>
            </w:r>
            <w:r>
              <w:rPr>
                <w:webHidden/>
              </w:rPr>
            </w:r>
            <w:r>
              <w:rPr>
                <w:webHidden/>
              </w:rPr>
              <w:fldChar w:fldCharType="separate"/>
            </w:r>
            <w:r>
              <w:rPr>
                <w:webHidden/>
              </w:rPr>
              <w:t>149</w:t>
            </w:r>
            <w:r>
              <w:rPr>
                <w:webHidden/>
              </w:rPr>
              <w:fldChar w:fldCharType="end"/>
            </w:r>
          </w:hyperlink>
        </w:p>
        <w:p w14:paraId="174E64D0" w14:textId="49A705E2"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68" w:history="1">
            <w:r w:rsidRPr="00861F23">
              <w:rPr>
                <w:rStyle w:val="Hipervnculo"/>
                <w:bCs/>
                <w:noProof/>
              </w:rPr>
              <w:t>3.2.1.</w:t>
            </w:r>
            <w:r>
              <w:rPr>
                <w:rFonts w:asciiTheme="minorHAnsi" w:eastAsiaTheme="minorEastAsia" w:hAnsiTheme="minorHAnsi" w:cstheme="minorBidi"/>
                <w:noProof/>
                <w:kern w:val="2"/>
                <w:lang w:val="es-CO" w:eastAsia="es-CO"/>
                <w14:ligatures w14:val="standardContextual"/>
              </w:rPr>
              <w:tab/>
            </w:r>
            <w:r w:rsidRPr="00861F23">
              <w:rPr>
                <w:rStyle w:val="Hipervnculo"/>
                <w:noProof/>
              </w:rPr>
              <w:t>AutoGLP</w:t>
            </w:r>
            <w:r>
              <w:rPr>
                <w:noProof/>
                <w:webHidden/>
              </w:rPr>
              <w:tab/>
            </w:r>
            <w:r>
              <w:rPr>
                <w:noProof/>
                <w:webHidden/>
              </w:rPr>
              <w:fldChar w:fldCharType="begin"/>
            </w:r>
            <w:r>
              <w:rPr>
                <w:noProof/>
                <w:webHidden/>
              </w:rPr>
              <w:instrText xml:space="preserve"> PAGEREF _Toc235128368 \h </w:instrText>
            </w:r>
            <w:r>
              <w:rPr>
                <w:noProof/>
                <w:webHidden/>
              </w:rPr>
            </w:r>
            <w:r>
              <w:rPr>
                <w:noProof/>
                <w:webHidden/>
              </w:rPr>
              <w:fldChar w:fldCharType="separate"/>
            </w:r>
            <w:r>
              <w:rPr>
                <w:noProof/>
                <w:webHidden/>
              </w:rPr>
              <w:t>150</w:t>
            </w:r>
            <w:r>
              <w:rPr>
                <w:noProof/>
                <w:webHidden/>
              </w:rPr>
              <w:fldChar w:fldCharType="end"/>
            </w:r>
          </w:hyperlink>
        </w:p>
        <w:p w14:paraId="357E3F2D" w14:textId="48B430E3"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69" w:history="1">
            <w:r w:rsidRPr="00861F23">
              <w:rPr>
                <w:rStyle w:val="Hipervnculo"/>
                <w:bCs/>
                <w:noProof/>
              </w:rPr>
              <w:t>3.2.2.</w:t>
            </w:r>
            <w:r>
              <w:rPr>
                <w:rFonts w:asciiTheme="minorHAnsi" w:eastAsiaTheme="minorEastAsia" w:hAnsiTheme="minorHAnsi" w:cstheme="minorBidi"/>
                <w:noProof/>
                <w:kern w:val="2"/>
                <w:lang w:val="es-CO" w:eastAsia="es-CO"/>
                <w14:ligatures w14:val="standardContextual"/>
              </w:rPr>
              <w:tab/>
            </w:r>
            <w:r w:rsidRPr="00861F23">
              <w:rPr>
                <w:rStyle w:val="Hipervnculo"/>
                <w:noProof/>
              </w:rPr>
              <w:t>NautiGLP</w:t>
            </w:r>
            <w:r>
              <w:rPr>
                <w:noProof/>
                <w:webHidden/>
              </w:rPr>
              <w:tab/>
            </w:r>
            <w:r>
              <w:rPr>
                <w:noProof/>
                <w:webHidden/>
              </w:rPr>
              <w:fldChar w:fldCharType="begin"/>
            </w:r>
            <w:r>
              <w:rPr>
                <w:noProof/>
                <w:webHidden/>
              </w:rPr>
              <w:instrText xml:space="preserve"> PAGEREF _Toc235128369 \h </w:instrText>
            </w:r>
            <w:r>
              <w:rPr>
                <w:noProof/>
                <w:webHidden/>
              </w:rPr>
            </w:r>
            <w:r>
              <w:rPr>
                <w:noProof/>
                <w:webHidden/>
              </w:rPr>
              <w:fldChar w:fldCharType="separate"/>
            </w:r>
            <w:r>
              <w:rPr>
                <w:noProof/>
                <w:webHidden/>
              </w:rPr>
              <w:t>152</w:t>
            </w:r>
            <w:r>
              <w:rPr>
                <w:noProof/>
                <w:webHidden/>
              </w:rPr>
              <w:fldChar w:fldCharType="end"/>
            </w:r>
          </w:hyperlink>
        </w:p>
        <w:p w14:paraId="474A835B" w14:textId="5B678A3E"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70" w:history="1">
            <w:r w:rsidRPr="00861F23">
              <w:rPr>
                <w:rStyle w:val="Hipervnculo"/>
                <w:bCs/>
                <w:noProof/>
              </w:rPr>
              <w:t>3.2.3.</w:t>
            </w:r>
            <w:r>
              <w:rPr>
                <w:rFonts w:asciiTheme="minorHAnsi" w:eastAsiaTheme="minorEastAsia" w:hAnsiTheme="minorHAnsi" w:cstheme="minorBidi"/>
                <w:noProof/>
                <w:kern w:val="2"/>
                <w:lang w:val="es-CO" w:eastAsia="es-CO"/>
                <w14:ligatures w14:val="standardContextual"/>
              </w:rPr>
              <w:tab/>
            </w:r>
            <w:r w:rsidRPr="00861F23">
              <w:rPr>
                <w:rStyle w:val="Hipervnculo"/>
                <w:noProof/>
              </w:rPr>
              <w:t>Generación de energía eléctrica</w:t>
            </w:r>
            <w:r>
              <w:rPr>
                <w:noProof/>
                <w:webHidden/>
              </w:rPr>
              <w:tab/>
            </w:r>
            <w:r>
              <w:rPr>
                <w:noProof/>
                <w:webHidden/>
              </w:rPr>
              <w:fldChar w:fldCharType="begin"/>
            </w:r>
            <w:r>
              <w:rPr>
                <w:noProof/>
                <w:webHidden/>
              </w:rPr>
              <w:instrText xml:space="preserve"> PAGEREF _Toc235128370 \h </w:instrText>
            </w:r>
            <w:r>
              <w:rPr>
                <w:noProof/>
                <w:webHidden/>
              </w:rPr>
            </w:r>
            <w:r>
              <w:rPr>
                <w:noProof/>
                <w:webHidden/>
              </w:rPr>
              <w:fldChar w:fldCharType="separate"/>
            </w:r>
            <w:r>
              <w:rPr>
                <w:noProof/>
                <w:webHidden/>
              </w:rPr>
              <w:t>153</w:t>
            </w:r>
            <w:r>
              <w:rPr>
                <w:noProof/>
                <w:webHidden/>
              </w:rPr>
              <w:fldChar w:fldCharType="end"/>
            </w:r>
          </w:hyperlink>
        </w:p>
        <w:p w14:paraId="109E0404" w14:textId="67718688" w:rsidR="00D27B38" w:rsidRDefault="00D27B38">
          <w:pPr>
            <w:pStyle w:val="TDC2"/>
            <w:rPr>
              <w:rFonts w:asciiTheme="minorHAnsi" w:eastAsiaTheme="minorEastAsia" w:hAnsiTheme="minorHAnsi" w:cstheme="minorBidi"/>
              <w:kern w:val="2"/>
              <w:lang w:val="es-CO" w:eastAsia="es-CO"/>
              <w14:ligatures w14:val="standardContextual"/>
            </w:rPr>
          </w:pPr>
          <w:hyperlink w:anchor="_Toc235128371" w:history="1">
            <w:r w:rsidRPr="00861F23">
              <w:rPr>
                <w:rStyle w:val="Hipervnculo"/>
              </w:rPr>
              <w:t>3.3.</w:t>
            </w:r>
            <w:r>
              <w:rPr>
                <w:rFonts w:asciiTheme="minorHAnsi" w:eastAsiaTheme="minorEastAsia" w:hAnsiTheme="minorHAnsi" w:cstheme="minorBidi"/>
                <w:kern w:val="2"/>
                <w:lang w:val="es-CO" w:eastAsia="es-CO"/>
                <w14:ligatures w14:val="standardContextual"/>
              </w:rPr>
              <w:tab/>
            </w:r>
            <w:r w:rsidRPr="00861F23">
              <w:rPr>
                <w:rStyle w:val="Hipervnculo"/>
              </w:rPr>
              <w:t>Diagnóstico transversal</w:t>
            </w:r>
            <w:r>
              <w:rPr>
                <w:webHidden/>
              </w:rPr>
              <w:tab/>
            </w:r>
            <w:r>
              <w:rPr>
                <w:webHidden/>
              </w:rPr>
              <w:fldChar w:fldCharType="begin"/>
            </w:r>
            <w:r>
              <w:rPr>
                <w:webHidden/>
              </w:rPr>
              <w:instrText xml:space="preserve"> PAGEREF _Toc235128371 \h </w:instrText>
            </w:r>
            <w:r>
              <w:rPr>
                <w:webHidden/>
              </w:rPr>
            </w:r>
            <w:r>
              <w:rPr>
                <w:webHidden/>
              </w:rPr>
              <w:fldChar w:fldCharType="separate"/>
            </w:r>
            <w:r>
              <w:rPr>
                <w:webHidden/>
              </w:rPr>
              <w:t>154</w:t>
            </w:r>
            <w:r>
              <w:rPr>
                <w:webHidden/>
              </w:rPr>
              <w:fldChar w:fldCharType="end"/>
            </w:r>
          </w:hyperlink>
        </w:p>
        <w:p w14:paraId="190CCBA5" w14:textId="6A4AE168"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72" w:history="1">
            <w:r w:rsidRPr="00861F23">
              <w:rPr>
                <w:rStyle w:val="Hipervnculo"/>
                <w:bCs/>
                <w:noProof/>
              </w:rPr>
              <w:t>3.3.1.</w:t>
            </w:r>
            <w:r>
              <w:rPr>
                <w:rFonts w:asciiTheme="minorHAnsi" w:eastAsiaTheme="minorEastAsia" w:hAnsiTheme="minorHAnsi" w:cstheme="minorBidi"/>
                <w:noProof/>
                <w:kern w:val="2"/>
                <w:lang w:val="es-CO" w:eastAsia="es-CO"/>
                <w14:ligatures w14:val="standardContextual"/>
              </w:rPr>
              <w:tab/>
            </w:r>
            <w:r w:rsidRPr="00861F23">
              <w:rPr>
                <w:rStyle w:val="Hipervnculo"/>
                <w:noProof/>
              </w:rPr>
              <w:t>Infraestructura</w:t>
            </w:r>
            <w:r>
              <w:rPr>
                <w:noProof/>
                <w:webHidden/>
              </w:rPr>
              <w:tab/>
            </w:r>
            <w:r>
              <w:rPr>
                <w:noProof/>
                <w:webHidden/>
              </w:rPr>
              <w:fldChar w:fldCharType="begin"/>
            </w:r>
            <w:r>
              <w:rPr>
                <w:noProof/>
                <w:webHidden/>
              </w:rPr>
              <w:instrText xml:space="preserve"> PAGEREF _Toc235128372 \h </w:instrText>
            </w:r>
            <w:r>
              <w:rPr>
                <w:noProof/>
                <w:webHidden/>
              </w:rPr>
            </w:r>
            <w:r>
              <w:rPr>
                <w:noProof/>
                <w:webHidden/>
              </w:rPr>
              <w:fldChar w:fldCharType="separate"/>
            </w:r>
            <w:r>
              <w:rPr>
                <w:noProof/>
                <w:webHidden/>
              </w:rPr>
              <w:t>155</w:t>
            </w:r>
            <w:r>
              <w:rPr>
                <w:noProof/>
                <w:webHidden/>
              </w:rPr>
              <w:fldChar w:fldCharType="end"/>
            </w:r>
          </w:hyperlink>
        </w:p>
        <w:p w14:paraId="1AED49A4" w14:textId="4A926DA5"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73" w:history="1">
            <w:r w:rsidRPr="00861F23">
              <w:rPr>
                <w:rStyle w:val="Hipervnculo"/>
                <w:bCs/>
                <w:noProof/>
              </w:rPr>
              <w:t>3.3.2.</w:t>
            </w:r>
            <w:r>
              <w:rPr>
                <w:rFonts w:asciiTheme="minorHAnsi" w:eastAsiaTheme="minorEastAsia" w:hAnsiTheme="minorHAnsi" w:cstheme="minorBidi"/>
                <w:noProof/>
                <w:kern w:val="2"/>
                <w:lang w:val="es-CO" w:eastAsia="es-CO"/>
                <w14:ligatures w14:val="standardContextual"/>
              </w:rPr>
              <w:tab/>
            </w:r>
            <w:r w:rsidRPr="00861F23">
              <w:rPr>
                <w:rStyle w:val="Hipervnculo"/>
                <w:noProof/>
              </w:rPr>
              <w:t>Almacenamiento</w:t>
            </w:r>
            <w:r>
              <w:rPr>
                <w:noProof/>
                <w:webHidden/>
              </w:rPr>
              <w:tab/>
            </w:r>
            <w:r>
              <w:rPr>
                <w:noProof/>
                <w:webHidden/>
              </w:rPr>
              <w:fldChar w:fldCharType="begin"/>
            </w:r>
            <w:r>
              <w:rPr>
                <w:noProof/>
                <w:webHidden/>
              </w:rPr>
              <w:instrText xml:space="preserve"> PAGEREF _Toc235128373 \h </w:instrText>
            </w:r>
            <w:r>
              <w:rPr>
                <w:noProof/>
                <w:webHidden/>
              </w:rPr>
            </w:r>
            <w:r>
              <w:rPr>
                <w:noProof/>
                <w:webHidden/>
              </w:rPr>
              <w:fldChar w:fldCharType="separate"/>
            </w:r>
            <w:r>
              <w:rPr>
                <w:noProof/>
                <w:webHidden/>
              </w:rPr>
              <w:t>157</w:t>
            </w:r>
            <w:r>
              <w:rPr>
                <w:noProof/>
                <w:webHidden/>
              </w:rPr>
              <w:fldChar w:fldCharType="end"/>
            </w:r>
          </w:hyperlink>
        </w:p>
        <w:p w14:paraId="1C2EE41C" w14:textId="094141BC"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74" w:history="1">
            <w:r w:rsidRPr="00861F23">
              <w:rPr>
                <w:rStyle w:val="Hipervnculo"/>
                <w:bCs/>
                <w:noProof/>
              </w:rPr>
              <w:t>3.3.3.</w:t>
            </w:r>
            <w:r>
              <w:rPr>
                <w:rFonts w:asciiTheme="minorHAnsi" w:eastAsiaTheme="minorEastAsia" w:hAnsiTheme="minorHAnsi" w:cstheme="minorBidi"/>
                <w:noProof/>
                <w:kern w:val="2"/>
                <w:lang w:val="es-CO" w:eastAsia="es-CO"/>
                <w14:ligatures w14:val="standardContextual"/>
              </w:rPr>
              <w:tab/>
            </w:r>
            <w:r w:rsidRPr="00861F23">
              <w:rPr>
                <w:rStyle w:val="Hipervnculo"/>
                <w:noProof/>
              </w:rPr>
              <w:t>Información de mercado</w:t>
            </w:r>
            <w:r>
              <w:rPr>
                <w:noProof/>
                <w:webHidden/>
              </w:rPr>
              <w:tab/>
            </w:r>
            <w:r>
              <w:rPr>
                <w:noProof/>
                <w:webHidden/>
              </w:rPr>
              <w:fldChar w:fldCharType="begin"/>
            </w:r>
            <w:r>
              <w:rPr>
                <w:noProof/>
                <w:webHidden/>
              </w:rPr>
              <w:instrText xml:space="preserve"> PAGEREF _Toc235128374 \h </w:instrText>
            </w:r>
            <w:r>
              <w:rPr>
                <w:noProof/>
                <w:webHidden/>
              </w:rPr>
            </w:r>
            <w:r>
              <w:rPr>
                <w:noProof/>
                <w:webHidden/>
              </w:rPr>
              <w:fldChar w:fldCharType="separate"/>
            </w:r>
            <w:r>
              <w:rPr>
                <w:noProof/>
                <w:webHidden/>
              </w:rPr>
              <w:t>159</w:t>
            </w:r>
            <w:r>
              <w:rPr>
                <w:noProof/>
                <w:webHidden/>
              </w:rPr>
              <w:fldChar w:fldCharType="end"/>
            </w:r>
          </w:hyperlink>
        </w:p>
        <w:p w14:paraId="4DF1BD3E" w14:textId="77FAE4C2"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75" w:history="1">
            <w:r w:rsidRPr="00861F23">
              <w:rPr>
                <w:rStyle w:val="Hipervnculo"/>
                <w:bCs/>
                <w:noProof/>
              </w:rPr>
              <w:t>3.3.4.</w:t>
            </w:r>
            <w:r>
              <w:rPr>
                <w:rFonts w:asciiTheme="minorHAnsi" w:eastAsiaTheme="minorEastAsia" w:hAnsiTheme="minorHAnsi" w:cstheme="minorBidi"/>
                <w:noProof/>
                <w:kern w:val="2"/>
                <w:lang w:val="es-CO" w:eastAsia="es-CO"/>
                <w14:ligatures w14:val="standardContextual"/>
              </w:rPr>
              <w:tab/>
            </w:r>
            <w:r w:rsidRPr="00861F23">
              <w:rPr>
                <w:rStyle w:val="Hipervnculo"/>
                <w:noProof/>
              </w:rPr>
              <w:t>Desarrollo tecnológico</w:t>
            </w:r>
            <w:r>
              <w:rPr>
                <w:noProof/>
                <w:webHidden/>
              </w:rPr>
              <w:tab/>
            </w:r>
            <w:r>
              <w:rPr>
                <w:noProof/>
                <w:webHidden/>
              </w:rPr>
              <w:fldChar w:fldCharType="begin"/>
            </w:r>
            <w:r>
              <w:rPr>
                <w:noProof/>
                <w:webHidden/>
              </w:rPr>
              <w:instrText xml:space="preserve"> PAGEREF _Toc235128375 \h </w:instrText>
            </w:r>
            <w:r>
              <w:rPr>
                <w:noProof/>
                <w:webHidden/>
              </w:rPr>
            </w:r>
            <w:r>
              <w:rPr>
                <w:noProof/>
                <w:webHidden/>
              </w:rPr>
              <w:fldChar w:fldCharType="separate"/>
            </w:r>
            <w:r>
              <w:rPr>
                <w:noProof/>
                <w:webHidden/>
              </w:rPr>
              <w:t>162</w:t>
            </w:r>
            <w:r>
              <w:rPr>
                <w:noProof/>
                <w:webHidden/>
              </w:rPr>
              <w:fldChar w:fldCharType="end"/>
            </w:r>
          </w:hyperlink>
        </w:p>
        <w:p w14:paraId="4DF5E0C5" w14:textId="3FD190F6" w:rsidR="00D27B38" w:rsidRDefault="00D27B38">
          <w:pPr>
            <w:pStyle w:val="TDC1"/>
            <w:rPr>
              <w:rFonts w:asciiTheme="minorHAnsi" w:eastAsiaTheme="minorEastAsia" w:hAnsiTheme="minorHAnsi" w:cstheme="minorBidi"/>
              <w:kern w:val="2"/>
              <w:lang w:val="es-CO" w:eastAsia="es-CO"/>
              <w14:ligatures w14:val="standardContextual"/>
            </w:rPr>
          </w:pPr>
          <w:hyperlink w:anchor="_Toc235128376" w:history="1">
            <w:r w:rsidRPr="00861F23">
              <w:rPr>
                <w:rStyle w:val="Hipervnculo"/>
                <w:rFonts w:cs="Arial"/>
              </w:rPr>
              <w:t>4.</w:t>
            </w:r>
            <w:r>
              <w:rPr>
                <w:rFonts w:asciiTheme="minorHAnsi" w:eastAsiaTheme="minorEastAsia" w:hAnsiTheme="minorHAnsi" w:cstheme="minorBidi"/>
                <w:kern w:val="2"/>
                <w:lang w:val="es-CO" w:eastAsia="es-CO"/>
                <w14:ligatures w14:val="standardContextual"/>
              </w:rPr>
              <w:tab/>
            </w:r>
            <w:r w:rsidRPr="00861F23">
              <w:rPr>
                <w:rStyle w:val="Hipervnculo"/>
                <w:rFonts w:cs="Arial"/>
              </w:rPr>
              <w:t>IDENTIFICACIÓN DEL PROBLEMA</w:t>
            </w:r>
            <w:r>
              <w:rPr>
                <w:webHidden/>
              </w:rPr>
              <w:tab/>
            </w:r>
            <w:r>
              <w:rPr>
                <w:webHidden/>
              </w:rPr>
              <w:fldChar w:fldCharType="begin"/>
            </w:r>
            <w:r>
              <w:rPr>
                <w:webHidden/>
              </w:rPr>
              <w:instrText xml:space="preserve"> PAGEREF _Toc235128376 \h </w:instrText>
            </w:r>
            <w:r>
              <w:rPr>
                <w:webHidden/>
              </w:rPr>
            </w:r>
            <w:r>
              <w:rPr>
                <w:webHidden/>
              </w:rPr>
              <w:fldChar w:fldCharType="separate"/>
            </w:r>
            <w:r>
              <w:rPr>
                <w:webHidden/>
              </w:rPr>
              <w:t>164</w:t>
            </w:r>
            <w:r>
              <w:rPr>
                <w:webHidden/>
              </w:rPr>
              <w:fldChar w:fldCharType="end"/>
            </w:r>
          </w:hyperlink>
        </w:p>
        <w:p w14:paraId="6CBCB8F6" w14:textId="20B247B8" w:rsidR="00D27B38" w:rsidRDefault="00D27B38">
          <w:pPr>
            <w:pStyle w:val="TDC2"/>
            <w:rPr>
              <w:rFonts w:asciiTheme="minorHAnsi" w:eastAsiaTheme="minorEastAsia" w:hAnsiTheme="minorHAnsi" w:cstheme="minorBidi"/>
              <w:kern w:val="2"/>
              <w:lang w:val="es-CO" w:eastAsia="es-CO"/>
              <w14:ligatures w14:val="standardContextual"/>
            </w:rPr>
          </w:pPr>
          <w:hyperlink w:anchor="_Toc235128377" w:history="1">
            <w:r w:rsidRPr="00861F23">
              <w:rPr>
                <w:rStyle w:val="Hipervnculo"/>
              </w:rPr>
              <w:t>4.1.</w:t>
            </w:r>
            <w:r>
              <w:rPr>
                <w:rFonts w:asciiTheme="minorHAnsi" w:eastAsiaTheme="minorEastAsia" w:hAnsiTheme="minorHAnsi" w:cstheme="minorBidi"/>
                <w:kern w:val="2"/>
                <w:lang w:val="es-CO" w:eastAsia="es-CO"/>
                <w14:ligatures w14:val="standardContextual"/>
              </w:rPr>
              <w:tab/>
            </w:r>
            <w:r w:rsidRPr="00861F23">
              <w:rPr>
                <w:rStyle w:val="Hipervnculo"/>
              </w:rPr>
              <w:t>Prestación del servicio</w:t>
            </w:r>
            <w:r>
              <w:rPr>
                <w:webHidden/>
              </w:rPr>
              <w:tab/>
            </w:r>
            <w:r>
              <w:rPr>
                <w:webHidden/>
              </w:rPr>
              <w:fldChar w:fldCharType="begin"/>
            </w:r>
            <w:r>
              <w:rPr>
                <w:webHidden/>
              </w:rPr>
              <w:instrText xml:space="preserve"> PAGEREF _Toc235128377 \h </w:instrText>
            </w:r>
            <w:r>
              <w:rPr>
                <w:webHidden/>
              </w:rPr>
            </w:r>
            <w:r>
              <w:rPr>
                <w:webHidden/>
              </w:rPr>
              <w:fldChar w:fldCharType="separate"/>
            </w:r>
            <w:r>
              <w:rPr>
                <w:webHidden/>
              </w:rPr>
              <w:t>167</w:t>
            </w:r>
            <w:r>
              <w:rPr>
                <w:webHidden/>
              </w:rPr>
              <w:fldChar w:fldCharType="end"/>
            </w:r>
          </w:hyperlink>
        </w:p>
        <w:p w14:paraId="1F109594" w14:textId="3B4BD15E"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78" w:history="1">
            <w:r w:rsidRPr="00861F23">
              <w:rPr>
                <w:rStyle w:val="Hipervnculo"/>
                <w:bCs/>
                <w:noProof/>
              </w:rPr>
              <w:t>4.1.1.</w:t>
            </w:r>
            <w:r>
              <w:rPr>
                <w:rFonts w:asciiTheme="minorHAnsi" w:eastAsiaTheme="minorEastAsia" w:hAnsiTheme="minorHAnsi" w:cstheme="minorBidi"/>
                <w:noProof/>
                <w:kern w:val="2"/>
                <w:lang w:val="es-CO" w:eastAsia="es-CO"/>
                <w14:ligatures w14:val="standardContextual"/>
              </w:rPr>
              <w:tab/>
            </w:r>
            <w:r w:rsidRPr="00861F23">
              <w:rPr>
                <w:rStyle w:val="Hipervnculo"/>
                <w:noProof/>
              </w:rPr>
              <w:t>Evaluación de los síntomas del problema</w:t>
            </w:r>
            <w:r>
              <w:rPr>
                <w:noProof/>
                <w:webHidden/>
              </w:rPr>
              <w:tab/>
            </w:r>
            <w:r>
              <w:rPr>
                <w:noProof/>
                <w:webHidden/>
              </w:rPr>
              <w:fldChar w:fldCharType="begin"/>
            </w:r>
            <w:r>
              <w:rPr>
                <w:noProof/>
                <w:webHidden/>
              </w:rPr>
              <w:instrText xml:space="preserve"> PAGEREF _Toc235128378 \h </w:instrText>
            </w:r>
            <w:r>
              <w:rPr>
                <w:noProof/>
                <w:webHidden/>
              </w:rPr>
            </w:r>
            <w:r>
              <w:rPr>
                <w:noProof/>
                <w:webHidden/>
              </w:rPr>
              <w:fldChar w:fldCharType="separate"/>
            </w:r>
            <w:r>
              <w:rPr>
                <w:noProof/>
                <w:webHidden/>
              </w:rPr>
              <w:t>168</w:t>
            </w:r>
            <w:r>
              <w:rPr>
                <w:noProof/>
                <w:webHidden/>
              </w:rPr>
              <w:fldChar w:fldCharType="end"/>
            </w:r>
          </w:hyperlink>
        </w:p>
        <w:p w14:paraId="5A470AEF" w14:textId="6B971894"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79" w:history="1">
            <w:r w:rsidRPr="00861F23">
              <w:rPr>
                <w:rStyle w:val="Hipervnculo"/>
                <w:bCs/>
                <w:noProof/>
              </w:rPr>
              <w:t>4.1.2.</w:t>
            </w:r>
            <w:r>
              <w:rPr>
                <w:rFonts w:asciiTheme="minorHAnsi" w:eastAsiaTheme="minorEastAsia" w:hAnsiTheme="minorHAnsi" w:cstheme="minorBidi"/>
                <w:noProof/>
                <w:kern w:val="2"/>
                <w:lang w:val="es-CO" w:eastAsia="es-CO"/>
                <w14:ligatures w14:val="standardContextual"/>
              </w:rPr>
              <w:tab/>
            </w:r>
            <w:r w:rsidRPr="00861F23">
              <w:rPr>
                <w:rStyle w:val="Hipervnculo"/>
                <w:noProof/>
              </w:rPr>
              <w:t>Justificación de la intervención ante la evidencia del problema</w:t>
            </w:r>
            <w:r>
              <w:rPr>
                <w:noProof/>
                <w:webHidden/>
              </w:rPr>
              <w:tab/>
            </w:r>
            <w:r>
              <w:rPr>
                <w:noProof/>
                <w:webHidden/>
              </w:rPr>
              <w:fldChar w:fldCharType="begin"/>
            </w:r>
            <w:r>
              <w:rPr>
                <w:noProof/>
                <w:webHidden/>
              </w:rPr>
              <w:instrText xml:space="preserve"> PAGEREF _Toc235128379 \h </w:instrText>
            </w:r>
            <w:r>
              <w:rPr>
                <w:noProof/>
                <w:webHidden/>
              </w:rPr>
            </w:r>
            <w:r>
              <w:rPr>
                <w:noProof/>
                <w:webHidden/>
              </w:rPr>
              <w:fldChar w:fldCharType="separate"/>
            </w:r>
            <w:r>
              <w:rPr>
                <w:noProof/>
                <w:webHidden/>
              </w:rPr>
              <w:t>175</w:t>
            </w:r>
            <w:r>
              <w:rPr>
                <w:noProof/>
                <w:webHidden/>
              </w:rPr>
              <w:fldChar w:fldCharType="end"/>
            </w:r>
          </w:hyperlink>
        </w:p>
        <w:p w14:paraId="727B4731" w14:textId="1B498C24" w:rsidR="00D27B38" w:rsidRDefault="00D27B38">
          <w:pPr>
            <w:pStyle w:val="TDC2"/>
            <w:rPr>
              <w:rFonts w:asciiTheme="minorHAnsi" w:eastAsiaTheme="minorEastAsia" w:hAnsiTheme="minorHAnsi" w:cstheme="minorBidi"/>
              <w:kern w:val="2"/>
              <w:lang w:val="es-CO" w:eastAsia="es-CO"/>
              <w14:ligatures w14:val="standardContextual"/>
            </w:rPr>
          </w:pPr>
          <w:hyperlink w:anchor="_Toc235128380" w:history="1">
            <w:r w:rsidRPr="00861F23">
              <w:rPr>
                <w:rStyle w:val="Hipervnculo"/>
              </w:rPr>
              <w:t>4.2.</w:t>
            </w:r>
            <w:r>
              <w:rPr>
                <w:rFonts w:asciiTheme="minorHAnsi" w:eastAsiaTheme="minorEastAsia" w:hAnsiTheme="minorHAnsi" w:cstheme="minorBidi"/>
                <w:kern w:val="2"/>
                <w:lang w:val="es-CO" w:eastAsia="es-CO"/>
                <w14:ligatures w14:val="standardContextual"/>
              </w:rPr>
              <w:tab/>
            </w:r>
            <w:r w:rsidRPr="00861F23">
              <w:rPr>
                <w:rStyle w:val="Hipervnculo"/>
              </w:rPr>
              <w:t>Continuidad y confiabilidad del suministro</w:t>
            </w:r>
            <w:r>
              <w:rPr>
                <w:webHidden/>
              </w:rPr>
              <w:tab/>
            </w:r>
            <w:r>
              <w:rPr>
                <w:webHidden/>
              </w:rPr>
              <w:fldChar w:fldCharType="begin"/>
            </w:r>
            <w:r>
              <w:rPr>
                <w:webHidden/>
              </w:rPr>
              <w:instrText xml:space="preserve"> PAGEREF _Toc235128380 \h </w:instrText>
            </w:r>
            <w:r>
              <w:rPr>
                <w:webHidden/>
              </w:rPr>
            </w:r>
            <w:r>
              <w:rPr>
                <w:webHidden/>
              </w:rPr>
              <w:fldChar w:fldCharType="separate"/>
            </w:r>
            <w:r>
              <w:rPr>
                <w:webHidden/>
              </w:rPr>
              <w:t>192</w:t>
            </w:r>
            <w:r>
              <w:rPr>
                <w:webHidden/>
              </w:rPr>
              <w:fldChar w:fldCharType="end"/>
            </w:r>
          </w:hyperlink>
        </w:p>
        <w:p w14:paraId="7E6710DE" w14:textId="4E541244"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81" w:history="1">
            <w:r w:rsidRPr="00861F23">
              <w:rPr>
                <w:rStyle w:val="Hipervnculo"/>
                <w:bCs/>
                <w:noProof/>
              </w:rPr>
              <w:t>4.2.1.</w:t>
            </w:r>
            <w:r>
              <w:rPr>
                <w:rFonts w:asciiTheme="minorHAnsi" w:eastAsiaTheme="minorEastAsia" w:hAnsiTheme="minorHAnsi" w:cstheme="minorBidi"/>
                <w:noProof/>
                <w:kern w:val="2"/>
                <w:lang w:val="es-CO" w:eastAsia="es-CO"/>
                <w14:ligatures w14:val="standardContextual"/>
              </w:rPr>
              <w:tab/>
            </w:r>
            <w:r w:rsidRPr="00861F23">
              <w:rPr>
                <w:rStyle w:val="Hipervnculo"/>
                <w:noProof/>
              </w:rPr>
              <w:t>Evaluación de los síntomas del problema</w:t>
            </w:r>
            <w:r>
              <w:rPr>
                <w:noProof/>
                <w:webHidden/>
              </w:rPr>
              <w:tab/>
            </w:r>
            <w:r>
              <w:rPr>
                <w:noProof/>
                <w:webHidden/>
              </w:rPr>
              <w:fldChar w:fldCharType="begin"/>
            </w:r>
            <w:r>
              <w:rPr>
                <w:noProof/>
                <w:webHidden/>
              </w:rPr>
              <w:instrText xml:space="preserve"> PAGEREF _Toc235128381 \h </w:instrText>
            </w:r>
            <w:r>
              <w:rPr>
                <w:noProof/>
                <w:webHidden/>
              </w:rPr>
            </w:r>
            <w:r>
              <w:rPr>
                <w:noProof/>
                <w:webHidden/>
              </w:rPr>
              <w:fldChar w:fldCharType="separate"/>
            </w:r>
            <w:r>
              <w:rPr>
                <w:noProof/>
                <w:webHidden/>
              </w:rPr>
              <w:t>192</w:t>
            </w:r>
            <w:r>
              <w:rPr>
                <w:noProof/>
                <w:webHidden/>
              </w:rPr>
              <w:fldChar w:fldCharType="end"/>
            </w:r>
          </w:hyperlink>
        </w:p>
        <w:p w14:paraId="52FF0E68" w14:textId="5C79737A"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82" w:history="1">
            <w:r w:rsidRPr="00861F23">
              <w:rPr>
                <w:rStyle w:val="Hipervnculo"/>
                <w:bCs/>
                <w:noProof/>
              </w:rPr>
              <w:t>4.2.2.</w:t>
            </w:r>
            <w:r>
              <w:rPr>
                <w:rFonts w:asciiTheme="minorHAnsi" w:eastAsiaTheme="minorEastAsia" w:hAnsiTheme="minorHAnsi" w:cstheme="minorBidi"/>
                <w:noProof/>
                <w:kern w:val="2"/>
                <w:lang w:val="es-CO" w:eastAsia="es-CO"/>
                <w14:ligatures w14:val="standardContextual"/>
              </w:rPr>
              <w:tab/>
            </w:r>
            <w:r w:rsidRPr="00861F23">
              <w:rPr>
                <w:rStyle w:val="Hipervnculo"/>
                <w:noProof/>
              </w:rPr>
              <w:t>Justificación de la intervención ante la evidencia del problema</w:t>
            </w:r>
            <w:r>
              <w:rPr>
                <w:noProof/>
                <w:webHidden/>
              </w:rPr>
              <w:tab/>
            </w:r>
            <w:r>
              <w:rPr>
                <w:noProof/>
                <w:webHidden/>
              </w:rPr>
              <w:fldChar w:fldCharType="begin"/>
            </w:r>
            <w:r>
              <w:rPr>
                <w:noProof/>
                <w:webHidden/>
              </w:rPr>
              <w:instrText xml:space="preserve"> PAGEREF _Toc235128382 \h </w:instrText>
            </w:r>
            <w:r>
              <w:rPr>
                <w:noProof/>
                <w:webHidden/>
              </w:rPr>
            </w:r>
            <w:r>
              <w:rPr>
                <w:noProof/>
                <w:webHidden/>
              </w:rPr>
              <w:fldChar w:fldCharType="separate"/>
            </w:r>
            <w:r>
              <w:rPr>
                <w:noProof/>
                <w:webHidden/>
              </w:rPr>
              <w:t>200</w:t>
            </w:r>
            <w:r>
              <w:rPr>
                <w:noProof/>
                <w:webHidden/>
              </w:rPr>
              <w:fldChar w:fldCharType="end"/>
            </w:r>
          </w:hyperlink>
        </w:p>
        <w:p w14:paraId="1DD88C11" w14:textId="2AD82BB8" w:rsidR="00D27B38" w:rsidRDefault="00D27B38">
          <w:pPr>
            <w:pStyle w:val="TDC2"/>
            <w:rPr>
              <w:rFonts w:asciiTheme="minorHAnsi" w:eastAsiaTheme="minorEastAsia" w:hAnsiTheme="minorHAnsi" w:cstheme="minorBidi"/>
              <w:kern w:val="2"/>
              <w:lang w:val="es-CO" w:eastAsia="es-CO"/>
              <w14:ligatures w14:val="standardContextual"/>
            </w:rPr>
          </w:pPr>
          <w:hyperlink w:anchor="_Toc235128383" w:history="1">
            <w:r w:rsidRPr="00861F23">
              <w:rPr>
                <w:rStyle w:val="Hipervnculo"/>
              </w:rPr>
              <w:t>4.3.</w:t>
            </w:r>
            <w:r>
              <w:rPr>
                <w:rFonts w:asciiTheme="minorHAnsi" w:eastAsiaTheme="minorEastAsia" w:hAnsiTheme="minorHAnsi" w:cstheme="minorBidi"/>
                <w:kern w:val="2"/>
                <w:lang w:val="es-CO" w:eastAsia="es-CO"/>
                <w14:ligatures w14:val="standardContextual"/>
              </w:rPr>
              <w:tab/>
            </w:r>
            <w:r w:rsidRPr="00861F23">
              <w:rPr>
                <w:rStyle w:val="Hipervnculo"/>
              </w:rPr>
              <w:t>Eficiencia económica de la prestación del servicio</w:t>
            </w:r>
            <w:r>
              <w:rPr>
                <w:webHidden/>
              </w:rPr>
              <w:tab/>
            </w:r>
            <w:r>
              <w:rPr>
                <w:webHidden/>
              </w:rPr>
              <w:fldChar w:fldCharType="begin"/>
            </w:r>
            <w:r>
              <w:rPr>
                <w:webHidden/>
              </w:rPr>
              <w:instrText xml:space="preserve"> PAGEREF _Toc235128383 \h </w:instrText>
            </w:r>
            <w:r>
              <w:rPr>
                <w:webHidden/>
              </w:rPr>
            </w:r>
            <w:r>
              <w:rPr>
                <w:webHidden/>
              </w:rPr>
              <w:fldChar w:fldCharType="separate"/>
            </w:r>
            <w:r>
              <w:rPr>
                <w:webHidden/>
              </w:rPr>
              <w:t>213</w:t>
            </w:r>
            <w:r>
              <w:rPr>
                <w:webHidden/>
              </w:rPr>
              <w:fldChar w:fldCharType="end"/>
            </w:r>
          </w:hyperlink>
        </w:p>
        <w:p w14:paraId="17822B50" w14:textId="44FBBC6D"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84" w:history="1">
            <w:r w:rsidRPr="00861F23">
              <w:rPr>
                <w:rStyle w:val="Hipervnculo"/>
                <w:bCs/>
                <w:noProof/>
              </w:rPr>
              <w:t>4.3.1.</w:t>
            </w:r>
            <w:r>
              <w:rPr>
                <w:rFonts w:asciiTheme="minorHAnsi" w:eastAsiaTheme="minorEastAsia" w:hAnsiTheme="minorHAnsi" w:cstheme="minorBidi"/>
                <w:noProof/>
                <w:kern w:val="2"/>
                <w:lang w:val="es-CO" w:eastAsia="es-CO"/>
                <w14:ligatures w14:val="standardContextual"/>
              </w:rPr>
              <w:tab/>
            </w:r>
            <w:r w:rsidRPr="00861F23">
              <w:rPr>
                <w:rStyle w:val="Hipervnculo"/>
                <w:noProof/>
              </w:rPr>
              <w:t>Evaluación de los síntomas del problema</w:t>
            </w:r>
            <w:r>
              <w:rPr>
                <w:noProof/>
                <w:webHidden/>
              </w:rPr>
              <w:tab/>
            </w:r>
            <w:r>
              <w:rPr>
                <w:noProof/>
                <w:webHidden/>
              </w:rPr>
              <w:fldChar w:fldCharType="begin"/>
            </w:r>
            <w:r>
              <w:rPr>
                <w:noProof/>
                <w:webHidden/>
              </w:rPr>
              <w:instrText xml:space="preserve"> PAGEREF _Toc235128384 \h </w:instrText>
            </w:r>
            <w:r>
              <w:rPr>
                <w:noProof/>
                <w:webHidden/>
              </w:rPr>
            </w:r>
            <w:r>
              <w:rPr>
                <w:noProof/>
                <w:webHidden/>
              </w:rPr>
              <w:fldChar w:fldCharType="separate"/>
            </w:r>
            <w:r>
              <w:rPr>
                <w:noProof/>
                <w:webHidden/>
              </w:rPr>
              <w:t>213</w:t>
            </w:r>
            <w:r>
              <w:rPr>
                <w:noProof/>
                <w:webHidden/>
              </w:rPr>
              <w:fldChar w:fldCharType="end"/>
            </w:r>
          </w:hyperlink>
        </w:p>
        <w:p w14:paraId="77C46C4F" w14:textId="0F3B9F59"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85" w:history="1">
            <w:r w:rsidRPr="00861F23">
              <w:rPr>
                <w:rStyle w:val="Hipervnculo"/>
                <w:bCs/>
                <w:noProof/>
              </w:rPr>
              <w:t>4.3.2.</w:t>
            </w:r>
            <w:r>
              <w:rPr>
                <w:rFonts w:asciiTheme="minorHAnsi" w:eastAsiaTheme="minorEastAsia" w:hAnsiTheme="minorHAnsi" w:cstheme="minorBidi"/>
                <w:noProof/>
                <w:kern w:val="2"/>
                <w:lang w:val="es-CO" w:eastAsia="es-CO"/>
                <w14:ligatures w14:val="standardContextual"/>
              </w:rPr>
              <w:tab/>
            </w:r>
            <w:r w:rsidRPr="00861F23">
              <w:rPr>
                <w:rStyle w:val="Hipervnculo"/>
                <w:noProof/>
              </w:rPr>
              <w:t>Justificación de la intervención ante la evidencia del problema</w:t>
            </w:r>
            <w:r>
              <w:rPr>
                <w:noProof/>
                <w:webHidden/>
              </w:rPr>
              <w:tab/>
            </w:r>
            <w:r>
              <w:rPr>
                <w:noProof/>
                <w:webHidden/>
              </w:rPr>
              <w:fldChar w:fldCharType="begin"/>
            </w:r>
            <w:r>
              <w:rPr>
                <w:noProof/>
                <w:webHidden/>
              </w:rPr>
              <w:instrText xml:space="preserve"> PAGEREF _Toc235128385 \h </w:instrText>
            </w:r>
            <w:r>
              <w:rPr>
                <w:noProof/>
                <w:webHidden/>
              </w:rPr>
            </w:r>
            <w:r>
              <w:rPr>
                <w:noProof/>
                <w:webHidden/>
              </w:rPr>
              <w:fldChar w:fldCharType="separate"/>
            </w:r>
            <w:r>
              <w:rPr>
                <w:noProof/>
                <w:webHidden/>
              </w:rPr>
              <w:t>222</w:t>
            </w:r>
            <w:r>
              <w:rPr>
                <w:noProof/>
                <w:webHidden/>
              </w:rPr>
              <w:fldChar w:fldCharType="end"/>
            </w:r>
          </w:hyperlink>
        </w:p>
        <w:p w14:paraId="457C0125" w14:textId="6D99E251" w:rsidR="00D27B38" w:rsidRDefault="00D27B38">
          <w:pPr>
            <w:pStyle w:val="TDC2"/>
            <w:rPr>
              <w:rFonts w:asciiTheme="minorHAnsi" w:eastAsiaTheme="minorEastAsia" w:hAnsiTheme="minorHAnsi" w:cstheme="minorBidi"/>
              <w:kern w:val="2"/>
              <w:lang w:val="es-CO" w:eastAsia="es-CO"/>
              <w14:ligatures w14:val="standardContextual"/>
            </w:rPr>
          </w:pPr>
          <w:hyperlink w:anchor="_Toc235128386" w:history="1">
            <w:r w:rsidRPr="00861F23">
              <w:rPr>
                <w:rStyle w:val="Hipervnculo"/>
              </w:rPr>
              <w:t>4.4.</w:t>
            </w:r>
            <w:r>
              <w:rPr>
                <w:rFonts w:asciiTheme="minorHAnsi" w:eastAsiaTheme="minorEastAsia" w:hAnsiTheme="minorHAnsi" w:cstheme="minorBidi"/>
                <w:kern w:val="2"/>
                <w:lang w:val="es-CO" w:eastAsia="es-CO"/>
                <w14:ligatures w14:val="standardContextual"/>
              </w:rPr>
              <w:tab/>
            </w:r>
            <w:r w:rsidRPr="00861F23">
              <w:rPr>
                <w:rStyle w:val="Hipervnculo"/>
              </w:rPr>
              <w:t>Formulación del problema</w:t>
            </w:r>
            <w:r>
              <w:rPr>
                <w:webHidden/>
              </w:rPr>
              <w:tab/>
            </w:r>
            <w:r>
              <w:rPr>
                <w:webHidden/>
              </w:rPr>
              <w:fldChar w:fldCharType="begin"/>
            </w:r>
            <w:r>
              <w:rPr>
                <w:webHidden/>
              </w:rPr>
              <w:instrText xml:space="preserve"> PAGEREF _Toc235128386 \h </w:instrText>
            </w:r>
            <w:r>
              <w:rPr>
                <w:webHidden/>
              </w:rPr>
            </w:r>
            <w:r>
              <w:rPr>
                <w:webHidden/>
              </w:rPr>
              <w:fldChar w:fldCharType="separate"/>
            </w:r>
            <w:r>
              <w:rPr>
                <w:webHidden/>
              </w:rPr>
              <w:t>234</w:t>
            </w:r>
            <w:r>
              <w:rPr>
                <w:webHidden/>
              </w:rPr>
              <w:fldChar w:fldCharType="end"/>
            </w:r>
          </w:hyperlink>
        </w:p>
        <w:p w14:paraId="4144B864" w14:textId="71C9CD69"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87" w:history="1">
            <w:r w:rsidRPr="00861F23">
              <w:rPr>
                <w:rStyle w:val="Hipervnculo"/>
                <w:bCs/>
                <w:noProof/>
                <w:lang w:val="es-CO"/>
              </w:rPr>
              <w:t>4.4.1.</w:t>
            </w:r>
            <w:r>
              <w:rPr>
                <w:rFonts w:asciiTheme="minorHAnsi" w:eastAsiaTheme="minorEastAsia" w:hAnsiTheme="minorHAnsi" w:cstheme="minorBidi"/>
                <w:noProof/>
                <w:kern w:val="2"/>
                <w:lang w:val="es-CO" w:eastAsia="es-CO"/>
                <w14:ligatures w14:val="standardContextual"/>
              </w:rPr>
              <w:tab/>
            </w:r>
            <w:r w:rsidRPr="00861F23">
              <w:rPr>
                <w:rStyle w:val="Hipervnculo"/>
                <w:noProof/>
                <w:lang w:val="es-CO"/>
              </w:rPr>
              <w:t>Deficiencias en la prestación del servicio</w:t>
            </w:r>
            <w:r>
              <w:rPr>
                <w:noProof/>
                <w:webHidden/>
              </w:rPr>
              <w:tab/>
            </w:r>
            <w:r>
              <w:rPr>
                <w:noProof/>
                <w:webHidden/>
              </w:rPr>
              <w:fldChar w:fldCharType="begin"/>
            </w:r>
            <w:r>
              <w:rPr>
                <w:noProof/>
                <w:webHidden/>
              </w:rPr>
              <w:instrText xml:space="preserve"> PAGEREF _Toc235128387 \h </w:instrText>
            </w:r>
            <w:r>
              <w:rPr>
                <w:noProof/>
                <w:webHidden/>
              </w:rPr>
            </w:r>
            <w:r>
              <w:rPr>
                <w:noProof/>
                <w:webHidden/>
              </w:rPr>
              <w:fldChar w:fldCharType="separate"/>
            </w:r>
            <w:r>
              <w:rPr>
                <w:noProof/>
                <w:webHidden/>
              </w:rPr>
              <w:t>237</w:t>
            </w:r>
            <w:r>
              <w:rPr>
                <w:noProof/>
                <w:webHidden/>
              </w:rPr>
              <w:fldChar w:fldCharType="end"/>
            </w:r>
          </w:hyperlink>
        </w:p>
        <w:p w14:paraId="0462A6E7" w14:textId="7E60131C"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88" w:history="1">
            <w:r w:rsidRPr="00861F23">
              <w:rPr>
                <w:rStyle w:val="Hipervnculo"/>
                <w:bCs/>
                <w:noProof/>
                <w:lang w:val="es-CO"/>
              </w:rPr>
              <w:t>4.4.2.</w:t>
            </w:r>
            <w:r>
              <w:rPr>
                <w:rFonts w:asciiTheme="minorHAnsi" w:eastAsiaTheme="minorEastAsia" w:hAnsiTheme="minorHAnsi" w:cstheme="minorBidi"/>
                <w:noProof/>
                <w:kern w:val="2"/>
                <w:lang w:val="es-CO" w:eastAsia="es-CO"/>
                <w14:ligatures w14:val="standardContextual"/>
              </w:rPr>
              <w:tab/>
            </w:r>
            <w:r w:rsidRPr="00861F23">
              <w:rPr>
                <w:rStyle w:val="Hipervnculo"/>
                <w:noProof/>
                <w:lang w:val="es-CO"/>
              </w:rPr>
              <w:t>Interrupción o limitaciones en el acceso al GLP</w:t>
            </w:r>
            <w:r>
              <w:rPr>
                <w:noProof/>
                <w:webHidden/>
              </w:rPr>
              <w:tab/>
            </w:r>
            <w:r>
              <w:rPr>
                <w:noProof/>
                <w:webHidden/>
              </w:rPr>
              <w:fldChar w:fldCharType="begin"/>
            </w:r>
            <w:r>
              <w:rPr>
                <w:noProof/>
                <w:webHidden/>
              </w:rPr>
              <w:instrText xml:space="preserve"> PAGEREF _Toc235128388 \h </w:instrText>
            </w:r>
            <w:r>
              <w:rPr>
                <w:noProof/>
                <w:webHidden/>
              </w:rPr>
            </w:r>
            <w:r>
              <w:rPr>
                <w:noProof/>
                <w:webHidden/>
              </w:rPr>
              <w:fldChar w:fldCharType="separate"/>
            </w:r>
            <w:r>
              <w:rPr>
                <w:noProof/>
                <w:webHidden/>
              </w:rPr>
              <w:t>250</w:t>
            </w:r>
            <w:r>
              <w:rPr>
                <w:noProof/>
                <w:webHidden/>
              </w:rPr>
              <w:fldChar w:fldCharType="end"/>
            </w:r>
          </w:hyperlink>
        </w:p>
        <w:p w14:paraId="57A9A5D6" w14:textId="501182A8"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89" w:history="1">
            <w:r w:rsidRPr="00861F23">
              <w:rPr>
                <w:rStyle w:val="Hipervnculo"/>
                <w:bCs/>
                <w:noProof/>
                <w:lang w:val="es-CO"/>
              </w:rPr>
              <w:t>4.4.3.</w:t>
            </w:r>
            <w:r>
              <w:rPr>
                <w:rFonts w:asciiTheme="minorHAnsi" w:eastAsiaTheme="minorEastAsia" w:hAnsiTheme="minorHAnsi" w:cstheme="minorBidi"/>
                <w:noProof/>
                <w:kern w:val="2"/>
                <w:lang w:val="es-CO" w:eastAsia="es-CO"/>
                <w14:ligatures w14:val="standardContextual"/>
              </w:rPr>
              <w:tab/>
            </w:r>
            <w:r w:rsidRPr="00861F23">
              <w:rPr>
                <w:rStyle w:val="Hipervnculo"/>
                <w:noProof/>
                <w:lang w:val="es-CO"/>
              </w:rPr>
              <w:t>Ineficiencias económicas en la prestación del servicio</w:t>
            </w:r>
            <w:r>
              <w:rPr>
                <w:noProof/>
                <w:webHidden/>
              </w:rPr>
              <w:tab/>
            </w:r>
            <w:r>
              <w:rPr>
                <w:noProof/>
                <w:webHidden/>
              </w:rPr>
              <w:fldChar w:fldCharType="begin"/>
            </w:r>
            <w:r>
              <w:rPr>
                <w:noProof/>
                <w:webHidden/>
              </w:rPr>
              <w:instrText xml:space="preserve"> PAGEREF _Toc235128389 \h </w:instrText>
            </w:r>
            <w:r>
              <w:rPr>
                <w:noProof/>
                <w:webHidden/>
              </w:rPr>
            </w:r>
            <w:r>
              <w:rPr>
                <w:noProof/>
                <w:webHidden/>
              </w:rPr>
              <w:fldChar w:fldCharType="separate"/>
            </w:r>
            <w:r>
              <w:rPr>
                <w:noProof/>
                <w:webHidden/>
              </w:rPr>
              <w:t>263</w:t>
            </w:r>
            <w:r>
              <w:rPr>
                <w:noProof/>
                <w:webHidden/>
              </w:rPr>
              <w:fldChar w:fldCharType="end"/>
            </w:r>
          </w:hyperlink>
        </w:p>
        <w:p w14:paraId="224BEC3E" w14:textId="6617171F"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90" w:history="1">
            <w:r w:rsidRPr="00861F23">
              <w:rPr>
                <w:rStyle w:val="Hipervnculo"/>
                <w:bCs/>
                <w:noProof/>
                <w:lang w:val="es-CO"/>
              </w:rPr>
              <w:t>4.4.4.</w:t>
            </w:r>
            <w:r>
              <w:rPr>
                <w:rFonts w:asciiTheme="minorHAnsi" w:eastAsiaTheme="minorEastAsia" w:hAnsiTheme="minorHAnsi" w:cstheme="minorBidi"/>
                <w:noProof/>
                <w:kern w:val="2"/>
                <w:lang w:val="es-CO" w:eastAsia="es-CO"/>
                <w14:ligatures w14:val="standardContextual"/>
              </w:rPr>
              <w:tab/>
            </w:r>
            <w:r w:rsidRPr="00861F23">
              <w:rPr>
                <w:rStyle w:val="Hipervnculo"/>
                <w:noProof/>
                <w:lang w:val="es-CO"/>
              </w:rPr>
              <w:t>Definición del problema regulatorio</w:t>
            </w:r>
            <w:r>
              <w:rPr>
                <w:noProof/>
                <w:webHidden/>
              </w:rPr>
              <w:tab/>
            </w:r>
            <w:r>
              <w:rPr>
                <w:noProof/>
                <w:webHidden/>
              </w:rPr>
              <w:fldChar w:fldCharType="begin"/>
            </w:r>
            <w:r>
              <w:rPr>
                <w:noProof/>
                <w:webHidden/>
              </w:rPr>
              <w:instrText xml:space="preserve"> PAGEREF _Toc235128390 \h </w:instrText>
            </w:r>
            <w:r>
              <w:rPr>
                <w:noProof/>
                <w:webHidden/>
              </w:rPr>
            </w:r>
            <w:r>
              <w:rPr>
                <w:noProof/>
                <w:webHidden/>
              </w:rPr>
              <w:fldChar w:fldCharType="separate"/>
            </w:r>
            <w:r>
              <w:rPr>
                <w:noProof/>
                <w:webHidden/>
              </w:rPr>
              <w:t>280</w:t>
            </w:r>
            <w:r>
              <w:rPr>
                <w:noProof/>
                <w:webHidden/>
              </w:rPr>
              <w:fldChar w:fldCharType="end"/>
            </w:r>
          </w:hyperlink>
        </w:p>
        <w:p w14:paraId="55B2D6C5" w14:textId="688130AC" w:rsidR="00D27B38" w:rsidRDefault="00D27B38">
          <w:pPr>
            <w:pStyle w:val="TDC1"/>
            <w:rPr>
              <w:rFonts w:asciiTheme="minorHAnsi" w:eastAsiaTheme="minorEastAsia" w:hAnsiTheme="minorHAnsi" w:cstheme="minorBidi"/>
              <w:kern w:val="2"/>
              <w:lang w:val="es-CO" w:eastAsia="es-CO"/>
              <w14:ligatures w14:val="standardContextual"/>
            </w:rPr>
          </w:pPr>
          <w:hyperlink w:anchor="_Toc235128391" w:history="1">
            <w:r w:rsidRPr="00861F23">
              <w:rPr>
                <w:rStyle w:val="Hipervnculo"/>
                <w:rFonts w:cs="Arial"/>
              </w:rPr>
              <w:t>5.</w:t>
            </w:r>
            <w:r>
              <w:rPr>
                <w:rFonts w:asciiTheme="minorHAnsi" w:eastAsiaTheme="minorEastAsia" w:hAnsiTheme="minorHAnsi" w:cstheme="minorBidi"/>
                <w:kern w:val="2"/>
                <w:lang w:val="es-CO" w:eastAsia="es-CO"/>
                <w14:ligatures w14:val="standardContextual"/>
              </w:rPr>
              <w:tab/>
            </w:r>
            <w:r w:rsidRPr="00861F23">
              <w:rPr>
                <w:rStyle w:val="Hipervnculo"/>
                <w:rFonts w:cs="Arial"/>
              </w:rPr>
              <w:t>ACTORES INTERESADOS</w:t>
            </w:r>
            <w:r>
              <w:rPr>
                <w:webHidden/>
              </w:rPr>
              <w:tab/>
            </w:r>
            <w:r>
              <w:rPr>
                <w:webHidden/>
              </w:rPr>
              <w:fldChar w:fldCharType="begin"/>
            </w:r>
            <w:r>
              <w:rPr>
                <w:webHidden/>
              </w:rPr>
              <w:instrText xml:space="preserve"> PAGEREF _Toc235128391 \h </w:instrText>
            </w:r>
            <w:r>
              <w:rPr>
                <w:webHidden/>
              </w:rPr>
            </w:r>
            <w:r>
              <w:rPr>
                <w:webHidden/>
              </w:rPr>
              <w:fldChar w:fldCharType="separate"/>
            </w:r>
            <w:r>
              <w:rPr>
                <w:webHidden/>
              </w:rPr>
              <w:t>281</w:t>
            </w:r>
            <w:r>
              <w:rPr>
                <w:webHidden/>
              </w:rPr>
              <w:fldChar w:fldCharType="end"/>
            </w:r>
          </w:hyperlink>
        </w:p>
        <w:p w14:paraId="48E63203" w14:textId="75B1046E" w:rsidR="00D27B38" w:rsidRDefault="00D27B38">
          <w:pPr>
            <w:pStyle w:val="TDC1"/>
            <w:rPr>
              <w:rFonts w:asciiTheme="minorHAnsi" w:eastAsiaTheme="minorEastAsia" w:hAnsiTheme="minorHAnsi" w:cstheme="minorBidi"/>
              <w:kern w:val="2"/>
              <w:lang w:val="es-CO" w:eastAsia="es-CO"/>
              <w14:ligatures w14:val="standardContextual"/>
            </w:rPr>
          </w:pPr>
          <w:hyperlink w:anchor="_Toc235128392" w:history="1">
            <w:r w:rsidRPr="00861F23">
              <w:rPr>
                <w:rStyle w:val="Hipervnculo"/>
                <w:rFonts w:cs="Arial"/>
              </w:rPr>
              <w:t>6.</w:t>
            </w:r>
            <w:r>
              <w:rPr>
                <w:rFonts w:asciiTheme="minorHAnsi" w:eastAsiaTheme="minorEastAsia" w:hAnsiTheme="minorHAnsi" w:cstheme="minorBidi"/>
                <w:kern w:val="2"/>
                <w:lang w:val="es-CO" w:eastAsia="es-CO"/>
                <w14:ligatures w14:val="standardContextual"/>
              </w:rPr>
              <w:tab/>
            </w:r>
            <w:r w:rsidRPr="00861F23">
              <w:rPr>
                <w:rStyle w:val="Hipervnculo"/>
                <w:rFonts w:cs="Arial"/>
              </w:rPr>
              <w:t>OBJETIVOS</w:t>
            </w:r>
            <w:r>
              <w:rPr>
                <w:webHidden/>
              </w:rPr>
              <w:tab/>
            </w:r>
            <w:r>
              <w:rPr>
                <w:webHidden/>
              </w:rPr>
              <w:fldChar w:fldCharType="begin"/>
            </w:r>
            <w:r>
              <w:rPr>
                <w:webHidden/>
              </w:rPr>
              <w:instrText xml:space="preserve"> PAGEREF _Toc235128392 \h </w:instrText>
            </w:r>
            <w:r>
              <w:rPr>
                <w:webHidden/>
              </w:rPr>
            </w:r>
            <w:r>
              <w:rPr>
                <w:webHidden/>
              </w:rPr>
              <w:fldChar w:fldCharType="separate"/>
            </w:r>
            <w:r>
              <w:rPr>
                <w:webHidden/>
              </w:rPr>
              <w:t>291</w:t>
            </w:r>
            <w:r>
              <w:rPr>
                <w:webHidden/>
              </w:rPr>
              <w:fldChar w:fldCharType="end"/>
            </w:r>
          </w:hyperlink>
        </w:p>
        <w:p w14:paraId="42196CE4" w14:textId="65025C64" w:rsidR="00D27B38" w:rsidRDefault="00D27B38">
          <w:pPr>
            <w:pStyle w:val="TDC2"/>
            <w:rPr>
              <w:rFonts w:asciiTheme="minorHAnsi" w:eastAsiaTheme="minorEastAsia" w:hAnsiTheme="minorHAnsi" w:cstheme="minorBidi"/>
              <w:kern w:val="2"/>
              <w:lang w:val="es-CO" w:eastAsia="es-CO"/>
              <w14:ligatures w14:val="standardContextual"/>
            </w:rPr>
          </w:pPr>
          <w:hyperlink w:anchor="_Toc235128393" w:history="1">
            <w:r w:rsidRPr="00861F23">
              <w:rPr>
                <w:rStyle w:val="Hipervnculo"/>
              </w:rPr>
              <w:t>6.1.</w:t>
            </w:r>
            <w:r>
              <w:rPr>
                <w:rFonts w:asciiTheme="minorHAnsi" w:eastAsiaTheme="minorEastAsia" w:hAnsiTheme="minorHAnsi" w:cstheme="minorBidi"/>
                <w:kern w:val="2"/>
                <w:lang w:val="es-CO" w:eastAsia="es-CO"/>
                <w14:ligatures w14:val="standardContextual"/>
              </w:rPr>
              <w:tab/>
            </w:r>
            <w:r w:rsidRPr="00861F23">
              <w:rPr>
                <w:rStyle w:val="Hipervnculo"/>
              </w:rPr>
              <w:t>Objetivos de impacto</w:t>
            </w:r>
            <w:r>
              <w:rPr>
                <w:webHidden/>
              </w:rPr>
              <w:tab/>
            </w:r>
            <w:r>
              <w:rPr>
                <w:webHidden/>
              </w:rPr>
              <w:fldChar w:fldCharType="begin"/>
            </w:r>
            <w:r>
              <w:rPr>
                <w:webHidden/>
              </w:rPr>
              <w:instrText xml:space="preserve"> PAGEREF _Toc235128393 \h </w:instrText>
            </w:r>
            <w:r>
              <w:rPr>
                <w:webHidden/>
              </w:rPr>
            </w:r>
            <w:r>
              <w:rPr>
                <w:webHidden/>
              </w:rPr>
              <w:fldChar w:fldCharType="separate"/>
            </w:r>
            <w:r>
              <w:rPr>
                <w:webHidden/>
              </w:rPr>
              <w:t>291</w:t>
            </w:r>
            <w:r>
              <w:rPr>
                <w:webHidden/>
              </w:rPr>
              <w:fldChar w:fldCharType="end"/>
            </w:r>
          </w:hyperlink>
        </w:p>
        <w:p w14:paraId="64732B76" w14:textId="4918C201"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94" w:history="1">
            <w:r w:rsidRPr="00861F23">
              <w:rPr>
                <w:rStyle w:val="Hipervnculo"/>
                <w:bCs/>
                <w:noProof/>
                <w:lang w:val="es-CO"/>
              </w:rPr>
              <w:t>6.1.1.</w:t>
            </w:r>
            <w:r>
              <w:rPr>
                <w:rFonts w:asciiTheme="minorHAnsi" w:eastAsiaTheme="minorEastAsia" w:hAnsiTheme="minorHAnsi" w:cstheme="minorBidi"/>
                <w:noProof/>
                <w:kern w:val="2"/>
                <w:lang w:val="es-CO" w:eastAsia="es-CO"/>
                <w14:ligatures w14:val="standardContextual"/>
              </w:rPr>
              <w:tab/>
            </w:r>
            <w:r w:rsidRPr="00861F23">
              <w:rPr>
                <w:rStyle w:val="Hipervnculo"/>
                <w:noProof/>
                <w:lang w:val="es-CO"/>
              </w:rPr>
              <w:t>Definición del objetivo de impacto regulatorio</w:t>
            </w:r>
            <w:r>
              <w:rPr>
                <w:noProof/>
                <w:webHidden/>
              </w:rPr>
              <w:tab/>
            </w:r>
            <w:r>
              <w:rPr>
                <w:noProof/>
                <w:webHidden/>
              </w:rPr>
              <w:fldChar w:fldCharType="begin"/>
            </w:r>
            <w:r>
              <w:rPr>
                <w:noProof/>
                <w:webHidden/>
              </w:rPr>
              <w:instrText xml:space="preserve"> PAGEREF _Toc235128394 \h </w:instrText>
            </w:r>
            <w:r>
              <w:rPr>
                <w:noProof/>
                <w:webHidden/>
              </w:rPr>
            </w:r>
            <w:r>
              <w:rPr>
                <w:noProof/>
                <w:webHidden/>
              </w:rPr>
              <w:fldChar w:fldCharType="separate"/>
            </w:r>
            <w:r>
              <w:rPr>
                <w:noProof/>
                <w:webHidden/>
              </w:rPr>
              <w:t>292</w:t>
            </w:r>
            <w:r>
              <w:rPr>
                <w:noProof/>
                <w:webHidden/>
              </w:rPr>
              <w:fldChar w:fldCharType="end"/>
            </w:r>
          </w:hyperlink>
        </w:p>
        <w:p w14:paraId="31573665" w14:textId="48523939" w:rsidR="00D27B38" w:rsidRDefault="00D27B38">
          <w:pPr>
            <w:pStyle w:val="TDC2"/>
            <w:rPr>
              <w:rFonts w:asciiTheme="minorHAnsi" w:eastAsiaTheme="minorEastAsia" w:hAnsiTheme="minorHAnsi" w:cstheme="minorBidi"/>
              <w:kern w:val="2"/>
              <w:lang w:val="es-CO" w:eastAsia="es-CO"/>
              <w14:ligatures w14:val="standardContextual"/>
            </w:rPr>
          </w:pPr>
          <w:hyperlink w:anchor="_Toc235128395" w:history="1">
            <w:r w:rsidRPr="00861F23">
              <w:rPr>
                <w:rStyle w:val="Hipervnculo"/>
              </w:rPr>
              <w:t>6.2.</w:t>
            </w:r>
            <w:r>
              <w:rPr>
                <w:rFonts w:asciiTheme="minorHAnsi" w:eastAsiaTheme="minorEastAsia" w:hAnsiTheme="minorHAnsi" w:cstheme="minorBidi"/>
                <w:kern w:val="2"/>
                <w:lang w:val="es-CO" w:eastAsia="es-CO"/>
                <w14:ligatures w14:val="standardContextual"/>
              </w:rPr>
              <w:tab/>
            </w:r>
            <w:r w:rsidRPr="00861F23">
              <w:rPr>
                <w:rStyle w:val="Hipervnculo"/>
              </w:rPr>
              <w:t>Objetivos de resultado</w:t>
            </w:r>
            <w:r>
              <w:rPr>
                <w:webHidden/>
              </w:rPr>
              <w:tab/>
            </w:r>
            <w:r>
              <w:rPr>
                <w:webHidden/>
              </w:rPr>
              <w:fldChar w:fldCharType="begin"/>
            </w:r>
            <w:r>
              <w:rPr>
                <w:webHidden/>
              </w:rPr>
              <w:instrText xml:space="preserve"> PAGEREF _Toc235128395 \h </w:instrText>
            </w:r>
            <w:r>
              <w:rPr>
                <w:webHidden/>
              </w:rPr>
            </w:r>
            <w:r>
              <w:rPr>
                <w:webHidden/>
              </w:rPr>
              <w:fldChar w:fldCharType="separate"/>
            </w:r>
            <w:r>
              <w:rPr>
                <w:webHidden/>
              </w:rPr>
              <w:t>292</w:t>
            </w:r>
            <w:r>
              <w:rPr>
                <w:webHidden/>
              </w:rPr>
              <w:fldChar w:fldCharType="end"/>
            </w:r>
          </w:hyperlink>
        </w:p>
        <w:p w14:paraId="79CE8313" w14:textId="23E6F013" w:rsidR="00D27B38" w:rsidRDefault="00D27B38">
          <w:pPr>
            <w:pStyle w:val="TDC3"/>
            <w:tabs>
              <w:tab w:val="left" w:pos="1440"/>
              <w:tab w:val="right" w:leader="dot" w:pos="9396"/>
            </w:tabs>
            <w:rPr>
              <w:rFonts w:asciiTheme="minorHAnsi" w:eastAsiaTheme="minorEastAsia" w:hAnsiTheme="minorHAnsi" w:cstheme="minorBidi"/>
              <w:noProof/>
              <w:kern w:val="2"/>
              <w:lang w:val="es-CO" w:eastAsia="es-CO"/>
              <w14:ligatures w14:val="standardContextual"/>
            </w:rPr>
          </w:pPr>
          <w:hyperlink w:anchor="_Toc235128396" w:history="1">
            <w:r w:rsidRPr="00861F23">
              <w:rPr>
                <w:rStyle w:val="Hipervnculo"/>
                <w:bCs/>
                <w:noProof/>
                <w:lang w:val="es-CO"/>
              </w:rPr>
              <w:t>6.2.1.</w:t>
            </w:r>
            <w:r>
              <w:rPr>
                <w:rFonts w:asciiTheme="minorHAnsi" w:eastAsiaTheme="minorEastAsia" w:hAnsiTheme="minorHAnsi" w:cstheme="minorBidi"/>
                <w:noProof/>
                <w:kern w:val="2"/>
                <w:lang w:val="es-CO" w:eastAsia="es-CO"/>
                <w14:ligatures w14:val="standardContextual"/>
              </w:rPr>
              <w:tab/>
            </w:r>
            <w:r w:rsidRPr="00861F23">
              <w:rPr>
                <w:rStyle w:val="Hipervnculo"/>
                <w:noProof/>
                <w:lang w:val="es-CO"/>
              </w:rPr>
              <w:t>Definición de los objetivos de resultado regulatorio</w:t>
            </w:r>
            <w:r>
              <w:rPr>
                <w:noProof/>
                <w:webHidden/>
              </w:rPr>
              <w:tab/>
            </w:r>
            <w:r>
              <w:rPr>
                <w:noProof/>
                <w:webHidden/>
              </w:rPr>
              <w:fldChar w:fldCharType="begin"/>
            </w:r>
            <w:r>
              <w:rPr>
                <w:noProof/>
                <w:webHidden/>
              </w:rPr>
              <w:instrText xml:space="preserve"> PAGEREF _Toc235128396 \h </w:instrText>
            </w:r>
            <w:r>
              <w:rPr>
                <w:noProof/>
                <w:webHidden/>
              </w:rPr>
            </w:r>
            <w:r>
              <w:rPr>
                <w:noProof/>
                <w:webHidden/>
              </w:rPr>
              <w:fldChar w:fldCharType="separate"/>
            </w:r>
            <w:r>
              <w:rPr>
                <w:noProof/>
                <w:webHidden/>
              </w:rPr>
              <w:t>293</w:t>
            </w:r>
            <w:r>
              <w:rPr>
                <w:noProof/>
                <w:webHidden/>
              </w:rPr>
              <w:fldChar w:fldCharType="end"/>
            </w:r>
          </w:hyperlink>
        </w:p>
        <w:p w14:paraId="02876D90" w14:textId="00D766B6" w:rsidR="00D27B38" w:rsidRDefault="00D27B38">
          <w:pPr>
            <w:pStyle w:val="TDC1"/>
            <w:rPr>
              <w:rFonts w:asciiTheme="minorHAnsi" w:eastAsiaTheme="minorEastAsia" w:hAnsiTheme="minorHAnsi" w:cstheme="minorBidi"/>
              <w:kern w:val="2"/>
              <w:lang w:val="es-CO" w:eastAsia="es-CO"/>
              <w14:ligatures w14:val="standardContextual"/>
            </w:rPr>
          </w:pPr>
          <w:hyperlink w:anchor="_Toc235128397" w:history="1">
            <w:r w:rsidRPr="00861F23">
              <w:rPr>
                <w:rStyle w:val="Hipervnculo"/>
              </w:rPr>
              <w:t>REFERENCIAS</w:t>
            </w:r>
            <w:r>
              <w:rPr>
                <w:webHidden/>
              </w:rPr>
              <w:tab/>
            </w:r>
            <w:r>
              <w:rPr>
                <w:webHidden/>
              </w:rPr>
              <w:fldChar w:fldCharType="begin"/>
            </w:r>
            <w:r>
              <w:rPr>
                <w:webHidden/>
              </w:rPr>
              <w:instrText xml:space="preserve"> PAGEREF _Toc235128397 \h </w:instrText>
            </w:r>
            <w:r>
              <w:rPr>
                <w:webHidden/>
              </w:rPr>
            </w:r>
            <w:r>
              <w:rPr>
                <w:webHidden/>
              </w:rPr>
              <w:fldChar w:fldCharType="separate"/>
            </w:r>
            <w:r>
              <w:rPr>
                <w:webHidden/>
              </w:rPr>
              <w:t>296</w:t>
            </w:r>
            <w:r>
              <w:rPr>
                <w:webHidden/>
              </w:rPr>
              <w:fldChar w:fldCharType="end"/>
            </w:r>
          </w:hyperlink>
        </w:p>
        <w:p w14:paraId="6A78DC57" w14:textId="2082D1F4" w:rsidR="00260098" w:rsidRPr="00824757" w:rsidRDefault="00AD39A3" w:rsidP="00000719">
          <w:pPr>
            <w:pStyle w:val="TDC1"/>
          </w:pPr>
          <w:r w:rsidRPr="00C266C6">
            <w:rPr>
              <w:rFonts w:cs="Arial"/>
              <w:b/>
            </w:rPr>
            <w:fldChar w:fldCharType="end"/>
          </w:r>
        </w:p>
      </w:sdtContent>
    </w:sdt>
    <w:p w14:paraId="7B5E883A" w14:textId="18AF47C2" w:rsidR="00B866EE" w:rsidRPr="00C266C6" w:rsidRDefault="00260098" w:rsidP="002F1961">
      <w:pPr>
        <w:pStyle w:val="Ttulo1"/>
        <w:spacing w:before="100" w:beforeAutospacing="1" w:after="100" w:afterAutospacing="1" w:line="360" w:lineRule="auto"/>
        <w:ind w:left="432"/>
        <w:jc w:val="center"/>
        <w:rPr>
          <w:rFonts w:eastAsiaTheme="majorEastAsia" w:cs="Arial"/>
          <w:b w:val="0"/>
          <w:bCs/>
          <w:szCs w:val="24"/>
        </w:rPr>
      </w:pPr>
      <w:r w:rsidRPr="00C266C6">
        <w:br w:type="page"/>
      </w:r>
      <w:bookmarkStart w:id="1" w:name="_Toc235128310"/>
      <w:r w:rsidR="007F06F6" w:rsidRPr="00067588">
        <w:rPr>
          <w:rFonts w:eastAsiaTheme="majorEastAsia" w:cs="Arial"/>
          <w:szCs w:val="24"/>
        </w:rPr>
        <w:lastRenderedPageBreak/>
        <w:t>LISTA DE FIGURAS</w:t>
      </w:r>
      <w:bookmarkEnd w:id="1"/>
    </w:p>
    <w:p w14:paraId="08D209A7" w14:textId="56ED0EAF" w:rsidR="00555A31" w:rsidRDefault="00874F87">
      <w:pPr>
        <w:pStyle w:val="Tabladeilustraciones"/>
        <w:rPr>
          <w:rFonts w:asciiTheme="minorHAnsi" w:eastAsiaTheme="minorEastAsia" w:hAnsiTheme="minorHAnsi" w:cstheme="minorBidi"/>
          <w:kern w:val="2"/>
          <w:szCs w:val="24"/>
          <w:lang w:val="es-CO" w:eastAsia="es-CO"/>
          <w14:ligatures w14:val="standardContextual"/>
        </w:rPr>
      </w:pPr>
      <w:r w:rsidRPr="00C266C6">
        <w:rPr>
          <w:rFonts w:cs="Arial"/>
          <w:szCs w:val="24"/>
        </w:rPr>
        <w:fldChar w:fldCharType="begin"/>
      </w:r>
      <w:r w:rsidRPr="00C266C6">
        <w:rPr>
          <w:rFonts w:cs="Arial"/>
          <w:szCs w:val="24"/>
        </w:rPr>
        <w:instrText xml:space="preserve"> TOC \h \z \c "Figura" </w:instrText>
      </w:r>
      <w:r w:rsidRPr="00C266C6">
        <w:rPr>
          <w:rFonts w:cs="Arial"/>
          <w:szCs w:val="24"/>
        </w:rPr>
        <w:fldChar w:fldCharType="separate"/>
      </w:r>
      <w:hyperlink w:anchor="_Toc235118541" w:history="1">
        <w:r w:rsidR="00555A31" w:rsidRPr="00E4474B">
          <w:rPr>
            <w:rStyle w:val="Hipervnculo"/>
          </w:rPr>
          <w:t xml:space="preserve">Figura 1. </w:t>
        </w:r>
        <w:r w:rsidR="00555A31" w:rsidRPr="00E4474B">
          <w:rPr>
            <w:rStyle w:val="Hipervnculo"/>
            <w:lang w:val="es-ES"/>
          </w:rPr>
          <w:t>Beneficiarios del programa de subsidios de GLP en cilindros</w:t>
        </w:r>
        <w:r w:rsidR="00555A31">
          <w:rPr>
            <w:webHidden/>
          </w:rPr>
          <w:tab/>
        </w:r>
        <w:r w:rsidR="00555A31">
          <w:rPr>
            <w:webHidden/>
          </w:rPr>
          <w:fldChar w:fldCharType="begin"/>
        </w:r>
        <w:r w:rsidR="00555A31">
          <w:rPr>
            <w:webHidden/>
          </w:rPr>
          <w:instrText xml:space="preserve"> PAGEREF _Toc235118541 \h </w:instrText>
        </w:r>
        <w:r w:rsidR="00555A31">
          <w:rPr>
            <w:webHidden/>
          </w:rPr>
        </w:r>
        <w:r w:rsidR="00555A31">
          <w:rPr>
            <w:webHidden/>
          </w:rPr>
          <w:fldChar w:fldCharType="separate"/>
        </w:r>
        <w:r w:rsidR="00555A31">
          <w:rPr>
            <w:webHidden/>
          </w:rPr>
          <w:t>29</w:t>
        </w:r>
        <w:r w:rsidR="00555A31">
          <w:rPr>
            <w:webHidden/>
          </w:rPr>
          <w:fldChar w:fldCharType="end"/>
        </w:r>
      </w:hyperlink>
    </w:p>
    <w:p w14:paraId="7CC8F759" w14:textId="7A6B7B1E"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42" w:history="1">
        <w:r w:rsidRPr="00E4474B">
          <w:rPr>
            <w:rStyle w:val="Hipervnculo"/>
          </w:rPr>
          <w:t xml:space="preserve">Figura 2. </w:t>
        </w:r>
        <w:r w:rsidRPr="00E4474B">
          <w:rPr>
            <w:rStyle w:val="Hipervnculo"/>
            <w:lang w:val="es-ES"/>
          </w:rPr>
          <w:t>Evolución de valores subsidiados de GLP</w:t>
        </w:r>
        <w:r>
          <w:rPr>
            <w:webHidden/>
          </w:rPr>
          <w:tab/>
        </w:r>
        <w:r>
          <w:rPr>
            <w:webHidden/>
          </w:rPr>
          <w:fldChar w:fldCharType="begin"/>
        </w:r>
        <w:r>
          <w:rPr>
            <w:webHidden/>
          </w:rPr>
          <w:instrText xml:space="preserve"> PAGEREF _Toc235118542 \h </w:instrText>
        </w:r>
        <w:r>
          <w:rPr>
            <w:webHidden/>
          </w:rPr>
        </w:r>
        <w:r>
          <w:rPr>
            <w:webHidden/>
          </w:rPr>
          <w:fldChar w:fldCharType="separate"/>
        </w:r>
        <w:r>
          <w:rPr>
            <w:webHidden/>
          </w:rPr>
          <w:t>31</w:t>
        </w:r>
        <w:r>
          <w:rPr>
            <w:webHidden/>
          </w:rPr>
          <w:fldChar w:fldCharType="end"/>
        </w:r>
      </w:hyperlink>
    </w:p>
    <w:p w14:paraId="44C60D90" w14:textId="442B27C7"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43" w:history="1">
        <w:r w:rsidRPr="00E4474B">
          <w:rPr>
            <w:rStyle w:val="Hipervnculo"/>
          </w:rPr>
          <w:t xml:space="preserve">Figura 3. </w:t>
        </w:r>
        <w:r w:rsidRPr="00E4474B">
          <w:rPr>
            <w:rStyle w:val="Hipervnculo"/>
            <w:lang w:val="es-ES"/>
          </w:rPr>
          <w:t>Evolución de valores subsidiados de GLP por redes en MM -COP</w:t>
        </w:r>
        <w:r>
          <w:rPr>
            <w:webHidden/>
          </w:rPr>
          <w:tab/>
        </w:r>
        <w:r>
          <w:rPr>
            <w:webHidden/>
          </w:rPr>
          <w:fldChar w:fldCharType="begin"/>
        </w:r>
        <w:r>
          <w:rPr>
            <w:webHidden/>
          </w:rPr>
          <w:instrText xml:space="preserve"> PAGEREF _Toc235118543 \h </w:instrText>
        </w:r>
        <w:r>
          <w:rPr>
            <w:webHidden/>
          </w:rPr>
        </w:r>
        <w:r>
          <w:rPr>
            <w:webHidden/>
          </w:rPr>
          <w:fldChar w:fldCharType="separate"/>
        </w:r>
        <w:r>
          <w:rPr>
            <w:webHidden/>
          </w:rPr>
          <w:t>34</w:t>
        </w:r>
        <w:r>
          <w:rPr>
            <w:webHidden/>
          </w:rPr>
          <w:fldChar w:fldCharType="end"/>
        </w:r>
      </w:hyperlink>
    </w:p>
    <w:p w14:paraId="7D032D71" w14:textId="4BEC0C52"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44" w:history="1">
        <w:r w:rsidRPr="00E4474B">
          <w:rPr>
            <w:rStyle w:val="Hipervnculo"/>
            <w:lang w:val="es-ES"/>
          </w:rPr>
          <w:t>Figura 4. Marco tarifario vigente.</w:t>
        </w:r>
        <w:r>
          <w:rPr>
            <w:webHidden/>
          </w:rPr>
          <w:tab/>
        </w:r>
        <w:r>
          <w:rPr>
            <w:webHidden/>
          </w:rPr>
          <w:fldChar w:fldCharType="begin"/>
        </w:r>
        <w:r>
          <w:rPr>
            <w:webHidden/>
          </w:rPr>
          <w:instrText xml:space="preserve"> PAGEREF _Toc235118544 \h </w:instrText>
        </w:r>
        <w:r>
          <w:rPr>
            <w:webHidden/>
          </w:rPr>
        </w:r>
        <w:r>
          <w:rPr>
            <w:webHidden/>
          </w:rPr>
          <w:fldChar w:fldCharType="separate"/>
        </w:r>
        <w:r>
          <w:rPr>
            <w:webHidden/>
          </w:rPr>
          <w:t>37</w:t>
        </w:r>
        <w:r>
          <w:rPr>
            <w:webHidden/>
          </w:rPr>
          <w:fldChar w:fldCharType="end"/>
        </w:r>
      </w:hyperlink>
    </w:p>
    <w:p w14:paraId="7DF349F9" w14:textId="065ED5FF"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45" w:history="1">
        <w:r w:rsidRPr="00E4474B">
          <w:rPr>
            <w:rStyle w:val="Hipervnculo"/>
            <w:lang w:val="es-ES"/>
          </w:rPr>
          <w:t>Figura 5. Fórmula Precio Máximo Regulado de suministro de GLP</w:t>
        </w:r>
        <w:r>
          <w:rPr>
            <w:webHidden/>
          </w:rPr>
          <w:tab/>
        </w:r>
        <w:r>
          <w:rPr>
            <w:webHidden/>
          </w:rPr>
          <w:fldChar w:fldCharType="begin"/>
        </w:r>
        <w:r>
          <w:rPr>
            <w:webHidden/>
          </w:rPr>
          <w:instrText xml:space="preserve"> PAGEREF _Toc235118545 \h </w:instrText>
        </w:r>
        <w:r>
          <w:rPr>
            <w:webHidden/>
          </w:rPr>
        </w:r>
        <w:r>
          <w:rPr>
            <w:webHidden/>
          </w:rPr>
          <w:fldChar w:fldCharType="separate"/>
        </w:r>
        <w:r>
          <w:rPr>
            <w:webHidden/>
          </w:rPr>
          <w:t>38</w:t>
        </w:r>
        <w:r>
          <w:rPr>
            <w:webHidden/>
          </w:rPr>
          <w:fldChar w:fldCharType="end"/>
        </w:r>
      </w:hyperlink>
    </w:p>
    <w:p w14:paraId="7969D475" w14:textId="7A95029C"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46" w:history="1">
        <w:r w:rsidRPr="00E4474B">
          <w:rPr>
            <w:rStyle w:val="Hipervnculo"/>
            <w:rFonts w:cs="Arial"/>
            <w:lang w:val="es-PE" w:eastAsia="es-PE"/>
          </w:rPr>
          <w:t>Figura 6. Zonas de Influencia – Marzo - Agosto 2026</w:t>
        </w:r>
        <w:r>
          <w:rPr>
            <w:webHidden/>
          </w:rPr>
          <w:tab/>
        </w:r>
        <w:r>
          <w:rPr>
            <w:webHidden/>
          </w:rPr>
          <w:fldChar w:fldCharType="begin"/>
        </w:r>
        <w:r>
          <w:rPr>
            <w:webHidden/>
          </w:rPr>
          <w:instrText xml:space="preserve"> PAGEREF _Toc235118546 \h </w:instrText>
        </w:r>
        <w:r>
          <w:rPr>
            <w:webHidden/>
          </w:rPr>
        </w:r>
        <w:r>
          <w:rPr>
            <w:webHidden/>
          </w:rPr>
          <w:fldChar w:fldCharType="separate"/>
        </w:r>
        <w:r>
          <w:rPr>
            <w:webHidden/>
          </w:rPr>
          <w:t>43</w:t>
        </w:r>
        <w:r>
          <w:rPr>
            <w:webHidden/>
          </w:rPr>
          <w:fldChar w:fldCharType="end"/>
        </w:r>
      </w:hyperlink>
    </w:p>
    <w:p w14:paraId="6C088835" w14:textId="1A4F3575"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47" w:history="1">
        <w:r w:rsidRPr="00E4474B">
          <w:rPr>
            <w:rStyle w:val="Hipervnculo"/>
            <w:rFonts w:cs="Arial"/>
            <w:lang w:val="es-PE" w:eastAsia="es-PE"/>
          </w:rPr>
          <w:t>Figura 7. Red de Poliductos</w:t>
        </w:r>
        <w:r>
          <w:rPr>
            <w:webHidden/>
          </w:rPr>
          <w:tab/>
        </w:r>
        <w:r>
          <w:rPr>
            <w:webHidden/>
          </w:rPr>
          <w:fldChar w:fldCharType="begin"/>
        </w:r>
        <w:r>
          <w:rPr>
            <w:webHidden/>
          </w:rPr>
          <w:instrText xml:space="preserve"> PAGEREF _Toc235118547 \h </w:instrText>
        </w:r>
        <w:r>
          <w:rPr>
            <w:webHidden/>
          </w:rPr>
        </w:r>
        <w:r>
          <w:rPr>
            <w:webHidden/>
          </w:rPr>
          <w:fldChar w:fldCharType="separate"/>
        </w:r>
        <w:r>
          <w:rPr>
            <w:webHidden/>
          </w:rPr>
          <w:t>45</w:t>
        </w:r>
        <w:r>
          <w:rPr>
            <w:webHidden/>
          </w:rPr>
          <w:fldChar w:fldCharType="end"/>
        </w:r>
      </w:hyperlink>
    </w:p>
    <w:p w14:paraId="1E5E5543" w14:textId="1F66D92D"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48" w:history="1">
        <w:r w:rsidRPr="00E4474B">
          <w:rPr>
            <w:rStyle w:val="Hipervnculo"/>
            <w:rFonts w:cs="Arial"/>
            <w:lang w:val="es-PE" w:eastAsia="es-PE"/>
          </w:rPr>
          <w:t>Figura 8. Tarifas de transporte por ductos para el año 2026 ($/kg)</w:t>
        </w:r>
        <w:r>
          <w:rPr>
            <w:webHidden/>
          </w:rPr>
          <w:tab/>
        </w:r>
        <w:r>
          <w:rPr>
            <w:webHidden/>
          </w:rPr>
          <w:fldChar w:fldCharType="begin"/>
        </w:r>
        <w:r>
          <w:rPr>
            <w:webHidden/>
          </w:rPr>
          <w:instrText xml:space="preserve"> PAGEREF _Toc235118548 \h </w:instrText>
        </w:r>
        <w:r>
          <w:rPr>
            <w:webHidden/>
          </w:rPr>
        </w:r>
        <w:r>
          <w:rPr>
            <w:webHidden/>
          </w:rPr>
          <w:fldChar w:fldCharType="separate"/>
        </w:r>
        <w:r>
          <w:rPr>
            <w:webHidden/>
          </w:rPr>
          <w:t>46</w:t>
        </w:r>
        <w:r>
          <w:rPr>
            <w:webHidden/>
          </w:rPr>
          <w:fldChar w:fldCharType="end"/>
        </w:r>
      </w:hyperlink>
    </w:p>
    <w:p w14:paraId="23F9B67F" w14:textId="5461B702"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49" w:history="1">
        <w:r w:rsidRPr="00E4474B">
          <w:rPr>
            <w:rStyle w:val="Hipervnculo"/>
            <w:rFonts w:cs="Arial"/>
            <w:lang w:val="es-PE" w:eastAsia="es-PE"/>
          </w:rPr>
          <w:t>Figura 9. Costo del T, incluyendo la Estampilla ($/kg)</w:t>
        </w:r>
        <w:r>
          <w:rPr>
            <w:webHidden/>
          </w:rPr>
          <w:tab/>
        </w:r>
        <w:r>
          <w:rPr>
            <w:webHidden/>
          </w:rPr>
          <w:fldChar w:fldCharType="begin"/>
        </w:r>
        <w:r>
          <w:rPr>
            <w:webHidden/>
          </w:rPr>
          <w:instrText xml:space="preserve"> PAGEREF _Toc235118549 \h </w:instrText>
        </w:r>
        <w:r>
          <w:rPr>
            <w:webHidden/>
          </w:rPr>
        </w:r>
        <w:r>
          <w:rPr>
            <w:webHidden/>
          </w:rPr>
          <w:fldChar w:fldCharType="separate"/>
        </w:r>
        <w:r>
          <w:rPr>
            <w:webHidden/>
          </w:rPr>
          <w:t>47</w:t>
        </w:r>
        <w:r>
          <w:rPr>
            <w:webHidden/>
          </w:rPr>
          <w:fldChar w:fldCharType="end"/>
        </w:r>
      </w:hyperlink>
    </w:p>
    <w:p w14:paraId="3DDAE0BB" w14:textId="5249B35D"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50" w:history="1">
        <w:r w:rsidRPr="00E4474B">
          <w:rPr>
            <w:rStyle w:val="Hipervnculo"/>
            <w:lang w:val="es-CO"/>
          </w:rPr>
          <w:t>Figura 10. Evolución del número de mercados relevantes de GLP por redes</w:t>
        </w:r>
        <w:r>
          <w:rPr>
            <w:webHidden/>
          </w:rPr>
          <w:tab/>
        </w:r>
        <w:r>
          <w:rPr>
            <w:webHidden/>
          </w:rPr>
          <w:fldChar w:fldCharType="begin"/>
        </w:r>
        <w:r>
          <w:rPr>
            <w:webHidden/>
          </w:rPr>
          <w:instrText xml:space="preserve"> PAGEREF _Toc235118550 \h </w:instrText>
        </w:r>
        <w:r>
          <w:rPr>
            <w:webHidden/>
          </w:rPr>
        </w:r>
        <w:r>
          <w:rPr>
            <w:webHidden/>
          </w:rPr>
          <w:fldChar w:fldCharType="separate"/>
        </w:r>
        <w:r>
          <w:rPr>
            <w:webHidden/>
          </w:rPr>
          <w:t>59</w:t>
        </w:r>
        <w:r>
          <w:rPr>
            <w:webHidden/>
          </w:rPr>
          <w:fldChar w:fldCharType="end"/>
        </w:r>
      </w:hyperlink>
    </w:p>
    <w:p w14:paraId="10EC416D" w14:textId="7E27EDE6"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51" w:history="1">
        <w:r w:rsidRPr="00E4474B">
          <w:rPr>
            <w:rStyle w:val="Hipervnculo"/>
            <w:bCs/>
          </w:rPr>
          <w:t xml:space="preserve">Figura </w:t>
        </w:r>
        <w:r w:rsidRPr="00E4474B">
          <w:rPr>
            <w:rStyle w:val="Hipervnculo"/>
            <w:bCs/>
            <w:lang w:val="es-ES"/>
          </w:rPr>
          <w:t>11</w:t>
        </w:r>
        <w:r w:rsidRPr="00E4474B">
          <w:rPr>
            <w:rStyle w:val="Hipervnculo"/>
            <w:bCs/>
          </w:rPr>
          <w:t xml:space="preserve"> </w:t>
        </w:r>
        <w:r w:rsidRPr="00E4474B">
          <w:rPr>
            <w:rStyle w:val="Hipervnculo"/>
            <w:bCs/>
            <w:lang w:val="es-CO"/>
          </w:rPr>
          <w:t>Evolución del número de empresas con mercados aprobados</w:t>
        </w:r>
        <w:r>
          <w:rPr>
            <w:webHidden/>
          </w:rPr>
          <w:tab/>
        </w:r>
        <w:r>
          <w:rPr>
            <w:webHidden/>
          </w:rPr>
          <w:fldChar w:fldCharType="begin"/>
        </w:r>
        <w:r>
          <w:rPr>
            <w:webHidden/>
          </w:rPr>
          <w:instrText xml:space="preserve"> PAGEREF _Toc235118551 \h </w:instrText>
        </w:r>
        <w:r>
          <w:rPr>
            <w:webHidden/>
          </w:rPr>
        </w:r>
        <w:r>
          <w:rPr>
            <w:webHidden/>
          </w:rPr>
          <w:fldChar w:fldCharType="separate"/>
        </w:r>
        <w:r>
          <w:rPr>
            <w:webHidden/>
          </w:rPr>
          <w:t>60</w:t>
        </w:r>
        <w:r>
          <w:rPr>
            <w:webHidden/>
          </w:rPr>
          <w:fldChar w:fldCharType="end"/>
        </w:r>
      </w:hyperlink>
    </w:p>
    <w:p w14:paraId="52969DC1" w14:textId="61923227"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52" w:history="1">
        <w:r w:rsidRPr="00E4474B">
          <w:rPr>
            <w:rStyle w:val="Hipervnculo"/>
            <w:lang w:val="es-CO"/>
          </w:rPr>
          <w:t>Figura 12. Evolución del número de usuarios atendidos</w:t>
        </w:r>
        <w:r>
          <w:rPr>
            <w:webHidden/>
          </w:rPr>
          <w:tab/>
        </w:r>
        <w:r>
          <w:rPr>
            <w:webHidden/>
          </w:rPr>
          <w:fldChar w:fldCharType="begin"/>
        </w:r>
        <w:r>
          <w:rPr>
            <w:webHidden/>
          </w:rPr>
          <w:instrText xml:space="preserve"> PAGEREF _Toc235118552 \h </w:instrText>
        </w:r>
        <w:r>
          <w:rPr>
            <w:webHidden/>
          </w:rPr>
        </w:r>
        <w:r>
          <w:rPr>
            <w:webHidden/>
          </w:rPr>
          <w:fldChar w:fldCharType="separate"/>
        </w:r>
        <w:r>
          <w:rPr>
            <w:webHidden/>
          </w:rPr>
          <w:t>61</w:t>
        </w:r>
        <w:r>
          <w:rPr>
            <w:webHidden/>
          </w:rPr>
          <w:fldChar w:fldCharType="end"/>
        </w:r>
      </w:hyperlink>
    </w:p>
    <w:p w14:paraId="772EE6ED" w14:textId="128F0C87"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53" w:history="1">
        <w:r w:rsidRPr="00E4474B">
          <w:rPr>
            <w:rStyle w:val="Hipervnculo"/>
            <w:lang w:val="es-ES"/>
          </w:rPr>
          <w:t xml:space="preserve">Figura 13. </w:t>
        </w:r>
        <w:r w:rsidRPr="00E4474B">
          <w:rPr>
            <w:rStyle w:val="Hipervnculo"/>
            <w:bCs/>
            <w:lang w:val="es-ES"/>
          </w:rPr>
          <w:t>Estructura general del costo unitario</w:t>
        </w:r>
        <w:r>
          <w:rPr>
            <w:webHidden/>
          </w:rPr>
          <w:tab/>
        </w:r>
        <w:r>
          <w:rPr>
            <w:webHidden/>
          </w:rPr>
          <w:fldChar w:fldCharType="begin"/>
        </w:r>
        <w:r>
          <w:rPr>
            <w:webHidden/>
          </w:rPr>
          <w:instrText xml:space="preserve"> PAGEREF _Toc235118553 \h </w:instrText>
        </w:r>
        <w:r>
          <w:rPr>
            <w:webHidden/>
          </w:rPr>
        </w:r>
        <w:r>
          <w:rPr>
            <w:webHidden/>
          </w:rPr>
          <w:fldChar w:fldCharType="separate"/>
        </w:r>
        <w:r>
          <w:rPr>
            <w:webHidden/>
          </w:rPr>
          <w:t>68</w:t>
        </w:r>
        <w:r>
          <w:rPr>
            <w:webHidden/>
          </w:rPr>
          <w:fldChar w:fldCharType="end"/>
        </w:r>
      </w:hyperlink>
    </w:p>
    <w:p w14:paraId="5D5E0EED" w14:textId="7C97767A"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54" w:history="1">
        <w:r w:rsidRPr="00E4474B">
          <w:rPr>
            <w:rStyle w:val="Hipervnculo"/>
            <w:lang w:val="es-ES"/>
          </w:rPr>
          <w:t xml:space="preserve">Figura 14. </w:t>
        </w:r>
        <w:r w:rsidRPr="00E4474B">
          <w:rPr>
            <w:rStyle w:val="Hipervnculo"/>
            <w:bCs/>
            <w:lang w:val="es-ES"/>
          </w:rPr>
          <w:t>Fórmula tarifaria</w:t>
        </w:r>
        <w:r>
          <w:rPr>
            <w:webHidden/>
          </w:rPr>
          <w:tab/>
        </w:r>
        <w:r>
          <w:rPr>
            <w:webHidden/>
          </w:rPr>
          <w:fldChar w:fldCharType="begin"/>
        </w:r>
        <w:r>
          <w:rPr>
            <w:webHidden/>
          </w:rPr>
          <w:instrText xml:space="preserve"> PAGEREF _Toc235118554 \h </w:instrText>
        </w:r>
        <w:r>
          <w:rPr>
            <w:webHidden/>
          </w:rPr>
        </w:r>
        <w:r>
          <w:rPr>
            <w:webHidden/>
          </w:rPr>
          <w:fldChar w:fldCharType="separate"/>
        </w:r>
        <w:r>
          <w:rPr>
            <w:webHidden/>
          </w:rPr>
          <w:t>69</w:t>
        </w:r>
        <w:r>
          <w:rPr>
            <w:webHidden/>
          </w:rPr>
          <w:fldChar w:fldCharType="end"/>
        </w:r>
      </w:hyperlink>
    </w:p>
    <w:p w14:paraId="7C6F8B9C" w14:textId="45ED7A65"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55" w:history="1">
        <w:r w:rsidRPr="00E4474B">
          <w:rPr>
            <w:rStyle w:val="Hipervnculo"/>
            <w:lang w:val="es-ES"/>
          </w:rPr>
          <w:t xml:space="preserve">Figura 15. </w:t>
        </w:r>
        <w:r w:rsidRPr="00E4474B">
          <w:rPr>
            <w:rStyle w:val="Hipervnculo"/>
            <w:bCs/>
            <w:lang w:val="es-ES"/>
          </w:rPr>
          <w:t>Estructura general para el cálculo del cargo de distribución</w:t>
        </w:r>
        <w:r>
          <w:rPr>
            <w:webHidden/>
          </w:rPr>
          <w:tab/>
        </w:r>
        <w:r>
          <w:rPr>
            <w:webHidden/>
          </w:rPr>
          <w:fldChar w:fldCharType="begin"/>
        </w:r>
        <w:r>
          <w:rPr>
            <w:webHidden/>
          </w:rPr>
          <w:instrText xml:space="preserve"> PAGEREF _Toc235118555 \h </w:instrText>
        </w:r>
        <w:r>
          <w:rPr>
            <w:webHidden/>
          </w:rPr>
        </w:r>
        <w:r>
          <w:rPr>
            <w:webHidden/>
          </w:rPr>
          <w:fldChar w:fldCharType="separate"/>
        </w:r>
        <w:r>
          <w:rPr>
            <w:webHidden/>
          </w:rPr>
          <w:t>70</w:t>
        </w:r>
        <w:r>
          <w:rPr>
            <w:webHidden/>
          </w:rPr>
          <w:fldChar w:fldCharType="end"/>
        </w:r>
      </w:hyperlink>
    </w:p>
    <w:p w14:paraId="5E4BE6FE" w14:textId="5B3AB496"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56" w:history="1">
        <w:r w:rsidRPr="00E4474B">
          <w:rPr>
            <w:rStyle w:val="Hipervnculo"/>
            <w:lang w:val="es-ES"/>
          </w:rPr>
          <w:t xml:space="preserve">Figura 16. </w:t>
        </w:r>
        <w:r w:rsidRPr="00E4474B">
          <w:rPr>
            <w:rStyle w:val="Hipervnculo"/>
            <w:bCs/>
            <w:lang w:val="es-ES"/>
          </w:rPr>
          <w:t>Clasificación de las inversiones reconocidas</w:t>
        </w:r>
        <w:r>
          <w:rPr>
            <w:webHidden/>
          </w:rPr>
          <w:tab/>
        </w:r>
        <w:r>
          <w:rPr>
            <w:webHidden/>
          </w:rPr>
          <w:fldChar w:fldCharType="begin"/>
        </w:r>
        <w:r>
          <w:rPr>
            <w:webHidden/>
          </w:rPr>
          <w:instrText xml:space="preserve"> PAGEREF _Toc235118556 \h </w:instrText>
        </w:r>
        <w:r>
          <w:rPr>
            <w:webHidden/>
          </w:rPr>
        </w:r>
        <w:r>
          <w:rPr>
            <w:webHidden/>
          </w:rPr>
          <w:fldChar w:fldCharType="separate"/>
        </w:r>
        <w:r>
          <w:rPr>
            <w:webHidden/>
          </w:rPr>
          <w:t>72</w:t>
        </w:r>
        <w:r>
          <w:rPr>
            <w:webHidden/>
          </w:rPr>
          <w:fldChar w:fldCharType="end"/>
        </w:r>
      </w:hyperlink>
    </w:p>
    <w:p w14:paraId="20E979EA" w14:textId="7C8A2235"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57" w:history="1">
        <w:r w:rsidRPr="00E4474B">
          <w:rPr>
            <w:rStyle w:val="Hipervnculo"/>
            <w:lang w:val="es-ES"/>
          </w:rPr>
          <w:t xml:space="preserve">Figura 17. </w:t>
        </w:r>
        <w:r w:rsidRPr="00E4474B">
          <w:rPr>
            <w:rStyle w:val="Hipervnculo"/>
            <w:bCs/>
            <w:lang w:val="es-ES"/>
          </w:rPr>
          <w:t>Criterio de eficiencia para el reconocimiento de Otros Activos</w:t>
        </w:r>
        <w:r>
          <w:rPr>
            <w:webHidden/>
          </w:rPr>
          <w:tab/>
        </w:r>
        <w:r>
          <w:rPr>
            <w:webHidden/>
          </w:rPr>
          <w:fldChar w:fldCharType="begin"/>
        </w:r>
        <w:r>
          <w:rPr>
            <w:webHidden/>
          </w:rPr>
          <w:instrText xml:space="preserve"> PAGEREF _Toc235118557 \h </w:instrText>
        </w:r>
        <w:r>
          <w:rPr>
            <w:webHidden/>
          </w:rPr>
        </w:r>
        <w:r>
          <w:rPr>
            <w:webHidden/>
          </w:rPr>
          <w:fldChar w:fldCharType="separate"/>
        </w:r>
        <w:r>
          <w:rPr>
            <w:webHidden/>
          </w:rPr>
          <w:t>73</w:t>
        </w:r>
        <w:r>
          <w:rPr>
            <w:webHidden/>
          </w:rPr>
          <w:fldChar w:fldCharType="end"/>
        </w:r>
      </w:hyperlink>
    </w:p>
    <w:p w14:paraId="37F6BF1B" w14:textId="2DEF262F"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58" w:history="1">
        <w:r w:rsidRPr="00E4474B">
          <w:rPr>
            <w:rStyle w:val="Hipervnculo"/>
            <w:lang w:val="es-ES"/>
          </w:rPr>
          <w:t xml:space="preserve">Figura 18. </w:t>
        </w:r>
        <w:r w:rsidRPr="00E4474B">
          <w:rPr>
            <w:rStyle w:val="Hipervnculo"/>
            <w:bCs/>
            <w:lang w:val="es-ES"/>
          </w:rPr>
          <w:t>Tratamiento de los recursos públicos</w:t>
        </w:r>
        <w:r>
          <w:rPr>
            <w:webHidden/>
          </w:rPr>
          <w:tab/>
        </w:r>
        <w:r>
          <w:rPr>
            <w:webHidden/>
          </w:rPr>
          <w:fldChar w:fldCharType="begin"/>
        </w:r>
        <w:r>
          <w:rPr>
            <w:webHidden/>
          </w:rPr>
          <w:instrText xml:space="preserve"> PAGEREF _Toc235118558 \h </w:instrText>
        </w:r>
        <w:r>
          <w:rPr>
            <w:webHidden/>
          </w:rPr>
        </w:r>
        <w:r>
          <w:rPr>
            <w:webHidden/>
          </w:rPr>
          <w:fldChar w:fldCharType="separate"/>
        </w:r>
        <w:r>
          <w:rPr>
            <w:webHidden/>
          </w:rPr>
          <w:t>74</w:t>
        </w:r>
        <w:r>
          <w:rPr>
            <w:webHidden/>
          </w:rPr>
          <w:fldChar w:fldCharType="end"/>
        </w:r>
      </w:hyperlink>
    </w:p>
    <w:p w14:paraId="100E3206" w14:textId="5E93327F"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59" w:history="1">
        <w:r w:rsidRPr="00E4474B">
          <w:rPr>
            <w:rStyle w:val="Hipervnculo"/>
            <w:lang w:val="es-ES"/>
          </w:rPr>
          <w:t xml:space="preserve">Figura 19. </w:t>
        </w:r>
        <w:r w:rsidRPr="00E4474B">
          <w:rPr>
            <w:rStyle w:val="Hipervnculo"/>
            <w:bCs/>
            <w:lang w:val="es-ES"/>
          </w:rPr>
          <w:t>Criterio de eficiencia para el reconocimiento de los AOM de distribución</w:t>
        </w:r>
        <w:r>
          <w:rPr>
            <w:webHidden/>
          </w:rPr>
          <w:tab/>
        </w:r>
        <w:r>
          <w:rPr>
            <w:webHidden/>
          </w:rPr>
          <w:fldChar w:fldCharType="begin"/>
        </w:r>
        <w:r>
          <w:rPr>
            <w:webHidden/>
          </w:rPr>
          <w:instrText xml:space="preserve"> PAGEREF _Toc235118559 \h </w:instrText>
        </w:r>
        <w:r>
          <w:rPr>
            <w:webHidden/>
          </w:rPr>
        </w:r>
        <w:r>
          <w:rPr>
            <w:webHidden/>
          </w:rPr>
          <w:fldChar w:fldCharType="separate"/>
        </w:r>
        <w:r>
          <w:rPr>
            <w:webHidden/>
          </w:rPr>
          <w:t>75</w:t>
        </w:r>
        <w:r>
          <w:rPr>
            <w:webHidden/>
          </w:rPr>
          <w:fldChar w:fldCharType="end"/>
        </w:r>
      </w:hyperlink>
    </w:p>
    <w:p w14:paraId="0BA1C109" w14:textId="7163710B"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60" w:history="1">
        <w:r w:rsidRPr="00E4474B">
          <w:rPr>
            <w:rStyle w:val="Hipervnculo"/>
            <w:lang w:val="es-ES"/>
          </w:rPr>
          <w:t xml:space="preserve">Figura 20. </w:t>
        </w:r>
        <w:r w:rsidRPr="00E4474B">
          <w:rPr>
            <w:rStyle w:val="Hipervnculo"/>
            <w:bCs/>
            <w:lang w:val="es-ES"/>
          </w:rPr>
          <w:t>Determinación de la demanda reconocida</w:t>
        </w:r>
        <w:r>
          <w:rPr>
            <w:webHidden/>
          </w:rPr>
          <w:tab/>
        </w:r>
        <w:r>
          <w:rPr>
            <w:webHidden/>
          </w:rPr>
          <w:fldChar w:fldCharType="begin"/>
        </w:r>
        <w:r>
          <w:rPr>
            <w:webHidden/>
          </w:rPr>
          <w:instrText xml:space="preserve"> PAGEREF _Toc235118560 \h </w:instrText>
        </w:r>
        <w:r>
          <w:rPr>
            <w:webHidden/>
          </w:rPr>
        </w:r>
        <w:r>
          <w:rPr>
            <w:webHidden/>
          </w:rPr>
          <w:fldChar w:fldCharType="separate"/>
        </w:r>
        <w:r>
          <w:rPr>
            <w:webHidden/>
          </w:rPr>
          <w:t>77</w:t>
        </w:r>
        <w:r>
          <w:rPr>
            <w:webHidden/>
          </w:rPr>
          <w:fldChar w:fldCharType="end"/>
        </w:r>
      </w:hyperlink>
    </w:p>
    <w:p w14:paraId="57773A3A" w14:textId="5B2FACFF"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61" w:history="1">
        <w:r w:rsidRPr="00E4474B">
          <w:rPr>
            <w:rStyle w:val="Hipervnculo"/>
            <w:lang w:val="es-ES"/>
          </w:rPr>
          <w:t xml:space="preserve">Figura 21. </w:t>
        </w:r>
        <w:r w:rsidRPr="00E4474B">
          <w:rPr>
            <w:rStyle w:val="Hipervnculo"/>
            <w:bCs/>
            <w:lang w:val="es-ES"/>
          </w:rPr>
          <w:t>Componentes adicionales del cargo de distribución (Deltas)</w:t>
        </w:r>
        <w:r>
          <w:rPr>
            <w:webHidden/>
          </w:rPr>
          <w:tab/>
        </w:r>
        <w:r>
          <w:rPr>
            <w:webHidden/>
          </w:rPr>
          <w:fldChar w:fldCharType="begin"/>
        </w:r>
        <w:r>
          <w:rPr>
            <w:webHidden/>
          </w:rPr>
          <w:instrText xml:space="preserve"> PAGEREF _Toc235118561 \h </w:instrText>
        </w:r>
        <w:r>
          <w:rPr>
            <w:webHidden/>
          </w:rPr>
        </w:r>
        <w:r>
          <w:rPr>
            <w:webHidden/>
          </w:rPr>
          <w:fldChar w:fldCharType="separate"/>
        </w:r>
        <w:r>
          <w:rPr>
            <w:webHidden/>
          </w:rPr>
          <w:t>80</w:t>
        </w:r>
        <w:r>
          <w:rPr>
            <w:webHidden/>
          </w:rPr>
          <w:fldChar w:fldCharType="end"/>
        </w:r>
      </w:hyperlink>
    </w:p>
    <w:p w14:paraId="1401B99C" w14:textId="31787ED8"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62" w:history="1">
        <w:r w:rsidRPr="00E4474B">
          <w:rPr>
            <w:rStyle w:val="Hipervnculo"/>
            <w:lang w:val="es-ES"/>
          </w:rPr>
          <w:t xml:space="preserve">Figura 22. </w:t>
        </w:r>
        <w:r w:rsidRPr="00E4474B">
          <w:rPr>
            <w:rStyle w:val="Hipervnculo"/>
            <w:bCs/>
            <w:lang w:val="es-ES"/>
          </w:rPr>
          <w:t>Actualización periódica del cargo de distribución</w:t>
        </w:r>
        <w:r>
          <w:rPr>
            <w:webHidden/>
          </w:rPr>
          <w:tab/>
        </w:r>
        <w:r>
          <w:rPr>
            <w:webHidden/>
          </w:rPr>
          <w:fldChar w:fldCharType="begin"/>
        </w:r>
        <w:r>
          <w:rPr>
            <w:webHidden/>
          </w:rPr>
          <w:instrText xml:space="preserve"> PAGEREF _Toc235118562 \h </w:instrText>
        </w:r>
        <w:r>
          <w:rPr>
            <w:webHidden/>
          </w:rPr>
        </w:r>
        <w:r>
          <w:rPr>
            <w:webHidden/>
          </w:rPr>
          <w:fldChar w:fldCharType="separate"/>
        </w:r>
        <w:r>
          <w:rPr>
            <w:webHidden/>
          </w:rPr>
          <w:t>81</w:t>
        </w:r>
        <w:r>
          <w:rPr>
            <w:webHidden/>
          </w:rPr>
          <w:fldChar w:fldCharType="end"/>
        </w:r>
      </w:hyperlink>
    </w:p>
    <w:p w14:paraId="213A56C9" w14:textId="7E155E46"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63" w:history="1">
        <w:r w:rsidRPr="00E4474B">
          <w:rPr>
            <w:rStyle w:val="Hipervnculo"/>
            <w:lang w:val="es-ES"/>
          </w:rPr>
          <w:t xml:space="preserve">Figura 23. </w:t>
        </w:r>
        <w:r w:rsidRPr="00E4474B">
          <w:rPr>
            <w:rStyle w:val="Hipervnculo"/>
            <w:bCs/>
            <w:lang w:val="es-ES"/>
          </w:rPr>
          <w:t>Estructura general del cargo de comercialización</w:t>
        </w:r>
        <w:r>
          <w:rPr>
            <w:webHidden/>
          </w:rPr>
          <w:tab/>
        </w:r>
        <w:r>
          <w:rPr>
            <w:webHidden/>
          </w:rPr>
          <w:fldChar w:fldCharType="begin"/>
        </w:r>
        <w:r>
          <w:rPr>
            <w:webHidden/>
          </w:rPr>
          <w:instrText xml:space="preserve"> PAGEREF _Toc235118563 \h </w:instrText>
        </w:r>
        <w:r>
          <w:rPr>
            <w:webHidden/>
          </w:rPr>
        </w:r>
        <w:r>
          <w:rPr>
            <w:webHidden/>
          </w:rPr>
          <w:fldChar w:fldCharType="separate"/>
        </w:r>
        <w:r>
          <w:rPr>
            <w:webHidden/>
          </w:rPr>
          <w:t>83</w:t>
        </w:r>
        <w:r>
          <w:rPr>
            <w:webHidden/>
          </w:rPr>
          <w:fldChar w:fldCharType="end"/>
        </w:r>
      </w:hyperlink>
    </w:p>
    <w:p w14:paraId="562030F0" w14:textId="57934226"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64" w:history="1">
        <w:r w:rsidRPr="00E4474B">
          <w:rPr>
            <w:rStyle w:val="Hipervnculo"/>
            <w:lang w:val="es-ES"/>
          </w:rPr>
          <w:t xml:space="preserve">Figura 24. </w:t>
        </w:r>
        <w:r w:rsidRPr="00E4474B">
          <w:rPr>
            <w:rStyle w:val="Hipervnculo"/>
            <w:bCs/>
            <w:lang w:val="es-ES"/>
          </w:rPr>
          <w:t>Componentes del costo de comercialización</w:t>
        </w:r>
        <w:r>
          <w:rPr>
            <w:webHidden/>
          </w:rPr>
          <w:tab/>
        </w:r>
        <w:r>
          <w:rPr>
            <w:webHidden/>
          </w:rPr>
          <w:fldChar w:fldCharType="begin"/>
        </w:r>
        <w:r>
          <w:rPr>
            <w:webHidden/>
          </w:rPr>
          <w:instrText xml:space="preserve"> PAGEREF _Toc235118564 \h </w:instrText>
        </w:r>
        <w:r>
          <w:rPr>
            <w:webHidden/>
          </w:rPr>
        </w:r>
        <w:r>
          <w:rPr>
            <w:webHidden/>
          </w:rPr>
          <w:fldChar w:fldCharType="separate"/>
        </w:r>
        <w:r>
          <w:rPr>
            <w:webHidden/>
          </w:rPr>
          <w:t>83</w:t>
        </w:r>
        <w:r>
          <w:rPr>
            <w:webHidden/>
          </w:rPr>
          <w:fldChar w:fldCharType="end"/>
        </w:r>
      </w:hyperlink>
    </w:p>
    <w:p w14:paraId="2C0251D0" w14:textId="69D9FCBE"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65" w:history="1">
        <w:r w:rsidRPr="00E4474B">
          <w:rPr>
            <w:rStyle w:val="Hipervnculo"/>
            <w:lang w:val="es-ES"/>
          </w:rPr>
          <w:t xml:space="preserve">Figura 25. </w:t>
        </w:r>
        <w:r w:rsidRPr="00E4474B">
          <w:rPr>
            <w:rStyle w:val="Hipervnculo"/>
            <w:bCs/>
            <w:lang w:val="es-ES"/>
          </w:rPr>
          <w:t>Criterio de eficiencia para el reconocimiento de los AOM de comercialización</w:t>
        </w:r>
        <w:r>
          <w:rPr>
            <w:webHidden/>
          </w:rPr>
          <w:tab/>
        </w:r>
        <w:r>
          <w:rPr>
            <w:webHidden/>
          </w:rPr>
          <w:fldChar w:fldCharType="begin"/>
        </w:r>
        <w:r>
          <w:rPr>
            <w:webHidden/>
          </w:rPr>
          <w:instrText xml:space="preserve"> PAGEREF _Toc235118565 \h </w:instrText>
        </w:r>
        <w:r>
          <w:rPr>
            <w:webHidden/>
          </w:rPr>
        </w:r>
        <w:r>
          <w:rPr>
            <w:webHidden/>
          </w:rPr>
          <w:fldChar w:fldCharType="separate"/>
        </w:r>
        <w:r>
          <w:rPr>
            <w:webHidden/>
          </w:rPr>
          <w:t>84</w:t>
        </w:r>
        <w:r>
          <w:rPr>
            <w:webHidden/>
          </w:rPr>
          <w:fldChar w:fldCharType="end"/>
        </w:r>
      </w:hyperlink>
    </w:p>
    <w:p w14:paraId="70095E3E" w14:textId="2B1C6F9F"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66" w:history="1">
        <w:r w:rsidRPr="00E4474B">
          <w:rPr>
            <w:rStyle w:val="Hipervnculo"/>
            <w:lang w:val="es-ES"/>
          </w:rPr>
          <w:t xml:space="preserve">Figura 26. </w:t>
        </w:r>
        <w:r w:rsidRPr="00E4474B">
          <w:rPr>
            <w:rStyle w:val="Hipervnculo"/>
            <w:bCs/>
            <w:lang w:val="es-ES"/>
          </w:rPr>
          <w:t>Criterio de eficiencia para el reconocimiento de las inversiones de comercialización</w:t>
        </w:r>
        <w:r>
          <w:rPr>
            <w:webHidden/>
          </w:rPr>
          <w:tab/>
        </w:r>
        <w:r>
          <w:rPr>
            <w:webHidden/>
          </w:rPr>
          <w:fldChar w:fldCharType="begin"/>
        </w:r>
        <w:r>
          <w:rPr>
            <w:webHidden/>
          </w:rPr>
          <w:instrText xml:space="preserve"> PAGEREF _Toc235118566 \h </w:instrText>
        </w:r>
        <w:r>
          <w:rPr>
            <w:webHidden/>
          </w:rPr>
        </w:r>
        <w:r>
          <w:rPr>
            <w:webHidden/>
          </w:rPr>
          <w:fldChar w:fldCharType="separate"/>
        </w:r>
        <w:r>
          <w:rPr>
            <w:webHidden/>
          </w:rPr>
          <w:t>86</w:t>
        </w:r>
        <w:r>
          <w:rPr>
            <w:webHidden/>
          </w:rPr>
          <w:fldChar w:fldCharType="end"/>
        </w:r>
      </w:hyperlink>
    </w:p>
    <w:p w14:paraId="32716DE1" w14:textId="0FD597DB"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67" w:history="1">
        <w:r w:rsidRPr="00E4474B">
          <w:rPr>
            <w:rStyle w:val="Hipervnculo"/>
            <w:lang w:val="es-ES"/>
          </w:rPr>
          <w:t>Figura 27. Producción por empresa (kg/año).</w:t>
        </w:r>
        <w:r>
          <w:rPr>
            <w:webHidden/>
          </w:rPr>
          <w:tab/>
        </w:r>
        <w:r>
          <w:rPr>
            <w:webHidden/>
          </w:rPr>
          <w:fldChar w:fldCharType="begin"/>
        </w:r>
        <w:r>
          <w:rPr>
            <w:webHidden/>
          </w:rPr>
          <w:instrText xml:space="preserve"> PAGEREF _Toc235118567 \h </w:instrText>
        </w:r>
        <w:r>
          <w:rPr>
            <w:webHidden/>
          </w:rPr>
        </w:r>
        <w:r>
          <w:rPr>
            <w:webHidden/>
          </w:rPr>
          <w:fldChar w:fldCharType="separate"/>
        </w:r>
        <w:r>
          <w:rPr>
            <w:webHidden/>
          </w:rPr>
          <w:t>92</w:t>
        </w:r>
        <w:r>
          <w:rPr>
            <w:webHidden/>
          </w:rPr>
          <w:fldChar w:fldCharType="end"/>
        </w:r>
      </w:hyperlink>
    </w:p>
    <w:p w14:paraId="4491263B" w14:textId="054D41E4"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68" w:history="1">
        <w:r w:rsidRPr="00E4474B">
          <w:rPr>
            <w:rStyle w:val="Hipervnculo"/>
            <w:lang w:val="es-ES"/>
          </w:rPr>
          <w:t>Figura 28. Producción Nacional de GLP Anual (kg/año).</w:t>
        </w:r>
        <w:r>
          <w:rPr>
            <w:webHidden/>
          </w:rPr>
          <w:tab/>
        </w:r>
        <w:r>
          <w:rPr>
            <w:webHidden/>
          </w:rPr>
          <w:fldChar w:fldCharType="begin"/>
        </w:r>
        <w:r>
          <w:rPr>
            <w:webHidden/>
          </w:rPr>
          <w:instrText xml:space="preserve"> PAGEREF _Toc235118568 \h </w:instrText>
        </w:r>
        <w:r>
          <w:rPr>
            <w:webHidden/>
          </w:rPr>
        </w:r>
        <w:r>
          <w:rPr>
            <w:webHidden/>
          </w:rPr>
          <w:fldChar w:fldCharType="separate"/>
        </w:r>
        <w:r>
          <w:rPr>
            <w:webHidden/>
          </w:rPr>
          <w:t>93</w:t>
        </w:r>
        <w:r>
          <w:rPr>
            <w:webHidden/>
          </w:rPr>
          <w:fldChar w:fldCharType="end"/>
        </w:r>
      </w:hyperlink>
    </w:p>
    <w:p w14:paraId="0F7488F1" w14:textId="246A11F9"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69" w:history="1">
        <w:r w:rsidRPr="00E4474B">
          <w:rPr>
            <w:rStyle w:val="Hipervnculo"/>
            <w:bCs/>
            <w:lang w:val="es-ES"/>
          </w:rPr>
          <w:t>Figura 29. Importaciones y Exportaciones de GLP.</w:t>
        </w:r>
        <w:r>
          <w:rPr>
            <w:webHidden/>
          </w:rPr>
          <w:tab/>
        </w:r>
        <w:r>
          <w:rPr>
            <w:webHidden/>
          </w:rPr>
          <w:fldChar w:fldCharType="begin"/>
        </w:r>
        <w:r>
          <w:rPr>
            <w:webHidden/>
          </w:rPr>
          <w:instrText xml:space="preserve"> PAGEREF _Toc235118569 \h </w:instrText>
        </w:r>
        <w:r>
          <w:rPr>
            <w:webHidden/>
          </w:rPr>
        </w:r>
        <w:r>
          <w:rPr>
            <w:webHidden/>
          </w:rPr>
          <w:fldChar w:fldCharType="separate"/>
        </w:r>
        <w:r>
          <w:rPr>
            <w:webHidden/>
          </w:rPr>
          <w:t>95</w:t>
        </w:r>
        <w:r>
          <w:rPr>
            <w:webHidden/>
          </w:rPr>
          <w:fldChar w:fldCharType="end"/>
        </w:r>
      </w:hyperlink>
    </w:p>
    <w:p w14:paraId="04B6416C" w14:textId="7ED88486"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70" w:history="1">
        <w:r w:rsidRPr="00E4474B">
          <w:rPr>
            <w:rStyle w:val="Hipervnculo"/>
            <w:bCs/>
            <w:lang w:val="es-ES"/>
          </w:rPr>
          <w:t>Figura 30. Oferta Total de GLP en Colombia (kg/año).</w:t>
        </w:r>
        <w:r>
          <w:rPr>
            <w:webHidden/>
          </w:rPr>
          <w:tab/>
        </w:r>
        <w:r>
          <w:rPr>
            <w:webHidden/>
          </w:rPr>
          <w:fldChar w:fldCharType="begin"/>
        </w:r>
        <w:r>
          <w:rPr>
            <w:webHidden/>
          </w:rPr>
          <w:instrText xml:space="preserve"> PAGEREF _Toc235118570 \h </w:instrText>
        </w:r>
        <w:r>
          <w:rPr>
            <w:webHidden/>
          </w:rPr>
        </w:r>
        <w:r>
          <w:rPr>
            <w:webHidden/>
          </w:rPr>
          <w:fldChar w:fldCharType="separate"/>
        </w:r>
        <w:r>
          <w:rPr>
            <w:webHidden/>
          </w:rPr>
          <w:t>95</w:t>
        </w:r>
        <w:r>
          <w:rPr>
            <w:webHidden/>
          </w:rPr>
          <w:fldChar w:fldCharType="end"/>
        </w:r>
      </w:hyperlink>
    </w:p>
    <w:p w14:paraId="5EF884BB" w14:textId="4ED7BE3E"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71" w:history="1">
        <w:r w:rsidRPr="00E4474B">
          <w:rPr>
            <w:rStyle w:val="Hipervnculo"/>
            <w:bCs/>
            <w:lang w:val="es-ES"/>
          </w:rPr>
          <w:t>Figura 31. Oferta GLP Ecopetrol e Importaciones (kg/año)</w:t>
        </w:r>
        <w:r>
          <w:rPr>
            <w:webHidden/>
          </w:rPr>
          <w:tab/>
        </w:r>
        <w:r>
          <w:rPr>
            <w:webHidden/>
          </w:rPr>
          <w:fldChar w:fldCharType="begin"/>
        </w:r>
        <w:r>
          <w:rPr>
            <w:webHidden/>
          </w:rPr>
          <w:instrText xml:space="preserve"> PAGEREF _Toc235118571 \h </w:instrText>
        </w:r>
        <w:r>
          <w:rPr>
            <w:webHidden/>
          </w:rPr>
        </w:r>
        <w:r>
          <w:rPr>
            <w:webHidden/>
          </w:rPr>
          <w:fldChar w:fldCharType="separate"/>
        </w:r>
        <w:r>
          <w:rPr>
            <w:webHidden/>
          </w:rPr>
          <w:t>96</w:t>
        </w:r>
        <w:r>
          <w:rPr>
            <w:webHidden/>
          </w:rPr>
          <w:fldChar w:fldCharType="end"/>
        </w:r>
      </w:hyperlink>
    </w:p>
    <w:p w14:paraId="7F08D21F" w14:textId="2B956A0E"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72" w:history="1">
        <w:r w:rsidRPr="00E4474B">
          <w:rPr>
            <w:rStyle w:val="Hipervnculo"/>
            <w:bCs/>
            <w:lang w:val="es-ES"/>
          </w:rPr>
          <w:t>Figura 32. Oferta de GLP Anual (kg/año)</w:t>
        </w:r>
        <w:r>
          <w:rPr>
            <w:webHidden/>
          </w:rPr>
          <w:tab/>
        </w:r>
        <w:r>
          <w:rPr>
            <w:webHidden/>
          </w:rPr>
          <w:fldChar w:fldCharType="begin"/>
        </w:r>
        <w:r>
          <w:rPr>
            <w:webHidden/>
          </w:rPr>
          <w:instrText xml:space="preserve"> PAGEREF _Toc235118572 \h </w:instrText>
        </w:r>
        <w:r>
          <w:rPr>
            <w:webHidden/>
          </w:rPr>
        </w:r>
        <w:r>
          <w:rPr>
            <w:webHidden/>
          </w:rPr>
          <w:fldChar w:fldCharType="separate"/>
        </w:r>
        <w:r>
          <w:rPr>
            <w:webHidden/>
          </w:rPr>
          <w:t>97</w:t>
        </w:r>
        <w:r>
          <w:rPr>
            <w:webHidden/>
          </w:rPr>
          <w:fldChar w:fldCharType="end"/>
        </w:r>
      </w:hyperlink>
    </w:p>
    <w:p w14:paraId="1071E773" w14:textId="420BBD13"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73" w:history="1">
        <w:r w:rsidRPr="00E4474B">
          <w:rPr>
            <w:rStyle w:val="Hipervnculo"/>
            <w:bCs/>
            <w:lang w:val="es-ES"/>
          </w:rPr>
          <w:t>Figura 33. Demanda de GLP para el SPD (kg/año).</w:t>
        </w:r>
        <w:r>
          <w:rPr>
            <w:webHidden/>
          </w:rPr>
          <w:tab/>
        </w:r>
        <w:r>
          <w:rPr>
            <w:webHidden/>
          </w:rPr>
          <w:fldChar w:fldCharType="begin"/>
        </w:r>
        <w:r>
          <w:rPr>
            <w:webHidden/>
          </w:rPr>
          <w:instrText xml:space="preserve"> PAGEREF _Toc235118573 \h </w:instrText>
        </w:r>
        <w:r>
          <w:rPr>
            <w:webHidden/>
          </w:rPr>
        </w:r>
        <w:r>
          <w:rPr>
            <w:webHidden/>
          </w:rPr>
          <w:fldChar w:fldCharType="separate"/>
        </w:r>
        <w:r>
          <w:rPr>
            <w:webHidden/>
          </w:rPr>
          <w:t>99</w:t>
        </w:r>
        <w:r>
          <w:rPr>
            <w:webHidden/>
          </w:rPr>
          <w:fldChar w:fldCharType="end"/>
        </w:r>
      </w:hyperlink>
    </w:p>
    <w:p w14:paraId="7CC8E7BD" w14:textId="4ED824E0"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74" w:history="1">
        <w:r w:rsidRPr="00E4474B">
          <w:rPr>
            <w:rStyle w:val="Hipervnculo"/>
            <w:bCs/>
            <w:lang w:val="es-ES"/>
          </w:rPr>
          <w:t xml:space="preserve">Figura </w:t>
        </w:r>
        <w:r w:rsidRPr="00E4474B">
          <w:rPr>
            <w:rStyle w:val="Hipervnculo"/>
            <w:lang w:val="es-ES"/>
          </w:rPr>
          <w:t>34</w:t>
        </w:r>
        <w:r w:rsidRPr="00E4474B">
          <w:rPr>
            <w:rStyle w:val="Hipervnculo"/>
            <w:bCs/>
            <w:lang w:val="es-ES"/>
          </w:rPr>
          <w:t>. Demanda de GLP por tipo de venta (kg/año).</w:t>
        </w:r>
        <w:r>
          <w:rPr>
            <w:webHidden/>
          </w:rPr>
          <w:tab/>
        </w:r>
        <w:r>
          <w:rPr>
            <w:webHidden/>
          </w:rPr>
          <w:fldChar w:fldCharType="begin"/>
        </w:r>
        <w:r>
          <w:rPr>
            <w:webHidden/>
          </w:rPr>
          <w:instrText xml:space="preserve"> PAGEREF _Toc235118574 \h </w:instrText>
        </w:r>
        <w:r>
          <w:rPr>
            <w:webHidden/>
          </w:rPr>
        </w:r>
        <w:r>
          <w:rPr>
            <w:webHidden/>
          </w:rPr>
          <w:fldChar w:fldCharType="separate"/>
        </w:r>
        <w:r>
          <w:rPr>
            <w:webHidden/>
          </w:rPr>
          <w:t>100</w:t>
        </w:r>
        <w:r>
          <w:rPr>
            <w:webHidden/>
          </w:rPr>
          <w:fldChar w:fldCharType="end"/>
        </w:r>
      </w:hyperlink>
    </w:p>
    <w:p w14:paraId="426F2A02" w14:textId="3358E6F5"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75" w:history="1">
        <w:r w:rsidRPr="00E4474B">
          <w:rPr>
            <w:rStyle w:val="Hipervnculo"/>
            <w:bCs/>
            <w:lang w:val="es-ES"/>
          </w:rPr>
          <w:t>Figura 35. Demanda de GLP por regiones (kg/año).</w:t>
        </w:r>
        <w:r>
          <w:rPr>
            <w:webHidden/>
          </w:rPr>
          <w:tab/>
        </w:r>
        <w:r>
          <w:rPr>
            <w:webHidden/>
          </w:rPr>
          <w:fldChar w:fldCharType="begin"/>
        </w:r>
        <w:r>
          <w:rPr>
            <w:webHidden/>
          </w:rPr>
          <w:instrText xml:space="preserve"> PAGEREF _Toc235118575 \h </w:instrText>
        </w:r>
        <w:r>
          <w:rPr>
            <w:webHidden/>
          </w:rPr>
        </w:r>
        <w:r>
          <w:rPr>
            <w:webHidden/>
          </w:rPr>
          <w:fldChar w:fldCharType="separate"/>
        </w:r>
        <w:r>
          <w:rPr>
            <w:webHidden/>
          </w:rPr>
          <w:t>102</w:t>
        </w:r>
        <w:r>
          <w:rPr>
            <w:webHidden/>
          </w:rPr>
          <w:fldChar w:fldCharType="end"/>
        </w:r>
      </w:hyperlink>
    </w:p>
    <w:p w14:paraId="3DAB5B61" w14:textId="63517FD7"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76" w:history="1">
        <w:r w:rsidRPr="00E4474B">
          <w:rPr>
            <w:rStyle w:val="Hipervnculo"/>
            <w:bCs/>
            <w:lang w:val="es-ES"/>
          </w:rPr>
          <w:t>Figura 36. Participación por sectores de consumo.</w:t>
        </w:r>
        <w:r>
          <w:rPr>
            <w:webHidden/>
          </w:rPr>
          <w:tab/>
        </w:r>
        <w:r>
          <w:rPr>
            <w:webHidden/>
          </w:rPr>
          <w:fldChar w:fldCharType="begin"/>
        </w:r>
        <w:r>
          <w:rPr>
            <w:webHidden/>
          </w:rPr>
          <w:instrText xml:space="preserve"> PAGEREF _Toc235118576 \h </w:instrText>
        </w:r>
        <w:r>
          <w:rPr>
            <w:webHidden/>
          </w:rPr>
        </w:r>
        <w:r>
          <w:rPr>
            <w:webHidden/>
          </w:rPr>
          <w:fldChar w:fldCharType="separate"/>
        </w:r>
        <w:r>
          <w:rPr>
            <w:webHidden/>
          </w:rPr>
          <w:t>104</w:t>
        </w:r>
        <w:r>
          <w:rPr>
            <w:webHidden/>
          </w:rPr>
          <w:fldChar w:fldCharType="end"/>
        </w:r>
      </w:hyperlink>
    </w:p>
    <w:p w14:paraId="71DD6B1B" w14:textId="121AF67C"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77" w:history="1">
        <w:r w:rsidRPr="00E4474B">
          <w:rPr>
            <w:rStyle w:val="Hipervnculo"/>
            <w:bCs/>
            <w:lang w:val="es-ES"/>
          </w:rPr>
          <w:t xml:space="preserve">Figura </w:t>
        </w:r>
        <w:r w:rsidRPr="00E4474B">
          <w:rPr>
            <w:rStyle w:val="Hipervnculo"/>
            <w:lang w:val="es-ES"/>
          </w:rPr>
          <w:t>37</w:t>
        </w:r>
        <w:r w:rsidRPr="00E4474B">
          <w:rPr>
            <w:rStyle w:val="Hipervnculo"/>
            <w:bCs/>
            <w:lang w:val="es-ES"/>
          </w:rPr>
          <w:t>. Cadena de Valor del GLP</w:t>
        </w:r>
        <w:r>
          <w:rPr>
            <w:webHidden/>
          </w:rPr>
          <w:tab/>
        </w:r>
        <w:r>
          <w:rPr>
            <w:webHidden/>
          </w:rPr>
          <w:fldChar w:fldCharType="begin"/>
        </w:r>
        <w:r>
          <w:rPr>
            <w:webHidden/>
          </w:rPr>
          <w:instrText xml:space="preserve"> PAGEREF _Toc235118577 \h </w:instrText>
        </w:r>
        <w:r>
          <w:rPr>
            <w:webHidden/>
          </w:rPr>
        </w:r>
        <w:r>
          <w:rPr>
            <w:webHidden/>
          </w:rPr>
          <w:fldChar w:fldCharType="separate"/>
        </w:r>
        <w:r>
          <w:rPr>
            <w:webHidden/>
          </w:rPr>
          <w:t>105</w:t>
        </w:r>
        <w:r>
          <w:rPr>
            <w:webHidden/>
          </w:rPr>
          <w:fldChar w:fldCharType="end"/>
        </w:r>
      </w:hyperlink>
    </w:p>
    <w:p w14:paraId="5662E6F7" w14:textId="4552D931"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78" w:history="1">
        <w:r w:rsidRPr="00E4474B">
          <w:rPr>
            <w:rStyle w:val="Hipervnculo"/>
            <w:bCs/>
            <w:lang w:val="es-ES"/>
          </w:rPr>
          <w:t>Figura 38. Ventas de GLP por municipio</w:t>
        </w:r>
        <w:r>
          <w:rPr>
            <w:webHidden/>
          </w:rPr>
          <w:tab/>
        </w:r>
        <w:r>
          <w:rPr>
            <w:webHidden/>
          </w:rPr>
          <w:fldChar w:fldCharType="begin"/>
        </w:r>
        <w:r>
          <w:rPr>
            <w:webHidden/>
          </w:rPr>
          <w:instrText xml:space="preserve"> PAGEREF _Toc235118578 \h </w:instrText>
        </w:r>
        <w:r>
          <w:rPr>
            <w:webHidden/>
          </w:rPr>
        </w:r>
        <w:r>
          <w:rPr>
            <w:webHidden/>
          </w:rPr>
          <w:fldChar w:fldCharType="separate"/>
        </w:r>
        <w:r>
          <w:rPr>
            <w:webHidden/>
          </w:rPr>
          <w:t>114</w:t>
        </w:r>
        <w:r>
          <w:rPr>
            <w:webHidden/>
          </w:rPr>
          <w:fldChar w:fldCharType="end"/>
        </w:r>
      </w:hyperlink>
    </w:p>
    <w:p w14:paraId="2B436AD2" w14:textId="727AF6CC"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79" w:history="1">
        <w:r w:rsidRPr="00E4474B">
          <w:rPr>
            <w:rStyle w:val="Hipervnculo"/>
            <w:bCs/>
            <w:lang w:val="es-ES"/>
          </w:rPr>
          <w:t>Figura 39. Número de empresas y municipios atendidos con GLP a través de Cilindros</w:t>
        </w:r>
        <w:r w:rsidRPr="00E4474B">
          <w:rPr>
            <w:rStyle w:val="Hipervnculo"/>
            <w:lang w:val="es-ES"/>
          </w:rPr>
          <w:t xml:space="preserve"> y Tanques Estacionarios</w:t>
        </w:r>
        <w:r>
          <w:rPr>
            <w:webHidden/>
          </w:rPr>
          <w:tab/>
        </w:r>
        <w:r>
          <w:rPr>
            <w:webHidden/>
          </w:rPr>
          <w:fldChar w:fldCharType="begin"/>
        </w:r>
        <w:r>
          <w:rPr>
            <w:webHidden/>
          </w:rPr>
          <w:instrText xml:space="preserve"> PAGEREF _Toc235118579 \h </w:instrText>
        </w:r>
        <w:r>
          <w:rPr>
            <w:webHidden/>
          </w:rPr>
        </w:r>
        <w:r>
          <w:rPr>
            <w:webHidden/>
          </w:rPr>
          <w:fldChar w:fldCharType="separate"/>
        </w:r>
        <w:r>
          <w:rPr>
            <w:webHidden/>
          </w:rPr>
          <w:t>115</w:t>
        </w:r>
        <w:r>
          <w:rPr>
            <w:webHidden/>
          </w:rPr>
          <w:fldChar w:fldCharType="end"/>
        </w:r>
      </w:hyperlink>
    </w:p>
    <w:p w14:paraId="5465D301" w14:textId="220D697D"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80" w:history="1">
        <w:r w:rsidRPr="00E4474B">
          <w:rPr>
            <w:rStyle w:val="Hipervnculo"/>
            <w:bCs/>
            <w:lang w:val="es-ES"/>
          </w:rPr>
          <w:t>Figura 40. Ventas a Usuarios de GLP atendidos con redes de tubería</w:t>
        </w:r>
        <w:r>
          <w:rPr>
            <w:webHidden/>
          </w:rPr>
          <w:tab/>
        </w:r>
        <w:r>
          <w:rPr>
            <w:webHidden/>
          </w:rPr>
          <w:fldChar w:fldCharType="begin"/>
        </w:r>
        <w:r>
          <w:rPr>
            <w:webHidden/>
          </w:rPr>
          <w:instrText xml:space="preserve"> PAGEREF _Toc235118580 \h </w:instrText>
        </w:r>
        <w:r>
          <w:rPr>
            <w:webHidden/>
          </w:rPr>
        </w:r>
        <w:r>
          <w:rPr>
            <w:webHidden/>
          </w:rPr>
          <w:fldChar w:fldCharType="separate"/>
        </w:r>
        <w:r>
          <w:rPr>
            <w:webHidden/>
          </w:rPr>
          <w:t>116</w:t>
        </w:r>
        <w:r>
          <w:rPr>
            <w:webHidden/>
          </w:rPr>
          <w:fldChar w:fldCharType="end"/>
        </w:r>
      </w:hyperlink>
    </w:p>
    <w:p w14:paraId="615CA999" w14:textId="1D8C5403" w:rsidR="00555A31" w:rsidRDefault="00555A31">
      <w:pPr>
        <w:pStyle w:val="Tabladeilustraciones"/>
        <w:rPr>
          <w:rFonts w:asciiTheme="minorHAnsi" w:eastAsiaTheme="minorEastAsia" w:hAnsiTheme="minorHAnsi" w:cstheme="minorBidi"/>
          <w:kern w:val="2"/>
          <w:szCs w:val="24"/>
          <w:lang w:val="es-CO" w:eastAsia="es-CO"/>
          <w14:ligatures w14:val="standardContextual"/>
        </w:rPr>
      </w:pPr>
      <w:hyperlink w:anchor="_Toc235118581" w:history="1">
        <w:r w:rsidRPr="00E4474B">
          <w:rPr>
            <w:rStyle w:val="Hipervnculo"/>
            <w:bCs/>
          </w:rPr>
          <w:t>Figura 41.</w:t>
        </w:r>
        <w:r w:rsidRPr="00E4474B">
          <w:rPr>
            <w:rStyle w:val="Hipervnculo"/>
            <w:bCs/>
            <w:lang w:val="es-ES"/>
          </w:rPr>
          <w:t xml:space="preserve"> </w:t>
        </w:r>
        <w:r w:rsidRPr="00E4474B">
          <w:rPr>
            <w:rStyle w:val="Hipervnculo"/>
            <w:bCs/>
          </w:rPr>
          <w:t>Esquema metodológico para la identificación del problema regulatorio</w:t>
        </w:r>
        <w:r>
          <w:rPr>
            <w:webHidden/>
          </w:rPr>
          <w:tab/>
        </w:r>
        <w:r>
          <w:rPr>
            <w:webHidden/>
          </w:rPr>
          <w:fldChar w:fldCharType="begin"/>
        </w:r>
        <w:r>
          <w:rPr>
            <w:webHidden/>
          </w:rPr>
          <w:instrText xml:space="preserve"> PAGEREF _Toc235118581 \h </w:instrText>
        </w:r>
        <w:r>
          <w:rPr>
            <w:webHidden/>
          </w:rPr>
        </w:r>
        <w:r>
          <w:rPr>
            <w:webHidden/>
          </w:rPr>
          <w:fldChar w:fldCharType="separate"/>
        </w:r>
        <w:r>
          <w:rPr>
            <w:webHidden/>
          </w:rPr>
          <w:t>166</w:t>
        </w:r>
        <w:r>
          <w:rPr>
            <w:webHidden/>
          </w:rPr>
          <w:fldChar w:fldCharType="end"/>
        </w:r>
      </w:hyperlink>
    </w:p>
    <w:p w14:paraId="05C92100" w14:textId="3AE3436D" w:rsidR="00874F87" w:rsidRPr="00C266C6" w:rsidRDefault="00874F87" w:rsidP="002F1961">
      <w:pPr>
        <w:spacing w:before="100" w:beforeAutospacing="1" w:after="100" w:afterAutospacing="1" w:line="360" w:lineRule="auto"/>
        <w:jc w:val="left"/>
        <w:rPr>
          <w:rFonts w:cs="Arial"/>
          <w:szCs w:val="24"/>
        </w:rPr>
      </w:pPr>
      <w:r w:rsidRPr="00C266C6">
        <w:rPr>
          <w:rFonts w:cs="Arial"/>
          <w:szCs w:val="24"/>
        </w:rPr>
        <w:fldChar w:fldCharType="end"/>
      </w:r>
    </w:p>
    <w:p w14:paraId="67E056A8" w14:textId="77777777" w:rsidR="0047071D" w:rsidRDefault="0047071D" w:rsidP="002F1961">
      <w:pPr>
        <w:spacing w:before="100" w:beforeAutospacing="1" w:after="100" w:afterAutospacing="1" w:line="360" w:lineRule="auto"/>
        <w:jc w:val="left"/>
        <w:rPr>
          <w:rFonts w:eastAsiaTheme="majorEastAsia" w:cs="Arial"/>
          <w:b/>
          <w:szCs w:val="24"/>
        </w:rPr>
      </w:pPr>
      <w:r>
        <w:rPr>
          <w:rFonts w:eastAsiaTheme="majorEastAsia" w:cs="Arial"/>
          <w:szCs w:val="24"/>
        </w:rPr>
        <w:br w:type="page"/>
      </w:r>
    </w:p>
    <w:p w14:paraId="7C4F50C3" w14:textId="164172DD" w:rsidR="00B866EE" w:rsidRPr="00C266C6" w:rsidRDefault="007F06F6" w:rsidP="003D5139">
      <w:pPr>
        <w:pStyle w:val="Ttulo1"/>
        <w:keepLines/>
        <w:shd w:val="clear" w:color="auto" w:fill="FFFFFF" w:themeFill="background1"/>
        <w:tabs>
          <w:tab w:val="clear" w:pos="2556"/>
        </w:tabs>
        <w:suppressAutoHyphens w:val="0"/>
        <w:spacing w:before="100" w:beforeAutospacing="1" w:after="0" w:line="360" w:lineRule="auto"/>
        <w:ind w:left="0" w:firstLine="0"/>
        <w:jc w:val="center"/>
        <w:rPr>
          <w:rFonts w:eastAsiaTheme="majorEastAsia" w:cs="Arial"/>
          <w:b w:val="0"/>
          <w:bCs/>
          <w:szCs w:val="24"/>
        </w:rPr>
      </w:pPr>
      <w:bookmarkStart w:id="2" w:name="_Toc235128311"/>
      <w:r>
        <w:rPr>
          <w:rFonts w:eastAsiaTheme="majorEastAsia" w:cs="Arial"/>
          <w:szCs w:val="24"/>
        </w:rPr>
        <w:lastRenderedPageBreak/>
        <w:t>LISTA DE TABLAS</w:t>
      </w:r>
      <w:bookmarkEnd w:id="2"/>
    </w:p>
    <w:p w14:paraId="1BA31A2F" w14:textId="49A654F3" w:rsidR="00417EFD" w:rsidRDefault="00832DBB">
      <w:pPr>
        <w:pStyle w:val="Tabladeilustraciones"/>
        <w:rPr>
          <w:rFonts w:asciiTheme="minorHAnsi" w:eastAsiaTheme="minorEastAsia" w:hAnsiTheme="minorHAnsi" w:cstheme="minorBidi"/>
          <w:kern w:val="2"/>
          <w:szCs w:val="24"/>
          <w:lang w:val="es-CO" w:eastAsia="es-CO"/>
          <w14:ligatures w14:val="standardContextual"/>
        </w:rPr>
      </w:pPr>
      <w:r w:rsidRPr="00D864F0">
        <w:rPr>
          <w:rFonts w:eastAsiaTheme="minorEastAsia" w:cs="Arial"/>
          <w:szCs w:val="24"/>
          <w:lang w:val="es-PE" w:eastAsia="es-PE"/>
        </w:rPr>
        <w:fldChar w:fldCharType="begin"/>
      </w:r>
      <w:r w:rsidRPr="00C266C6">
        <w:rPr>
          <w:rFonts w:eastAsiaTheme="minorEastAsia" w:cs="Arial"/>
          <w:color w:val="0563C1" w:themeColor="hyperlink"/>
          <w:szCs w:val="24"/>
          <w:u w:val="single"/>
          <w:lang w:val="es-PE" w:eastAsia="es-PE"/>
        </w:rPr>
        <w:instrText xml:space="preserve"> TOC \h \z \c "Tabla" </w:instrText>
      </w:r>
      <w:r w:rsidRPr="00D864F0">
        <w:rPr>
          <w:rFonts w:eastAsiaTheme="minorEastAsia" w:cs="Arial"/>
          <w:szCs w:val="24"/>
          <w:lang w:val="es-PE" w:eastAsia="es-PE"/>
        </w:rPr>
        <w:fldChar w:fldCharType="separate"/>
      </w:r>
      <w:hyperlink w:anchor="_Toc235128398" w:history="1">
        <w:r w:rsidR="00417EFD" w:rsidRPr="00BD2D87">
          <w:rPr>
            <w:rStyle w:val="Hipervnculo"/>
            <w:rFonts w:cs="Arial"/>
          </w:rPr>
          <w:t>Tabla 1. Comparación remuneración en cilindros vs redes</w:t>
        </w:r>
        <w:r w:rsidR="00417EFD">
          <w:rPr>
            <w:webHidden/>
          </w:rPr>
          <w:tab/>
        </w:r>
        <w:r w:rsidR="00417EFD">
          <w:rPr>
            <w:webHidden/>
          </w:rPr>
          <w:fldChar w:fldCharType="begin"/>
        </w:r>
        <w:r w:rsidR="00417EFD">
          <w:rPr>
            <w:webHidden/>
          </w:rPr>
          <w:instrText xml:space="preserve"> PAGEREF _Toc235128398 \h </w:instrText>
        </w:r>
        <w:r w:rsidR="00417EFD">
          <w:rPr>
            <w:webHidden/>
          </w:rPr>
        </w:r>
        <w:r w:rsidR="00417EFD">
          <w:rPr>
            <w:webHidden/>
          </w:rPr>
          <w:fldChar w:fldCharType="separate"/>
        </w:r>
        <w:r w:rsidR="00417EFD">
          <w:rPr>
            <w:webHidden/>
          </w:rPr>
          <w:t>63</w:t>
        </w:r>
        <w:r w:rsidR="00417EFD">
          <w:rPr>
            <w:webHidden/>
          </w:rPr>
          <w:fldChar w:fldCharType="end"/>
        </w:r>
      </w:hyperlink>
    </w:p>
    <w:p w14:paraId="5B303D23" w14:textId="1901092F" w:rsidR="00417EFD" w:rsidRDefault="00417EFD">
      <w:pPr>
        <w:pStyle w:val="Tabladeilustraciones"/>
        <w:rPr>
          <w:rFonts w:asciiTheme="minorHAnsi" w:eastAsiaTheme="minorEastAsia" w:hAnsiTheme="minorHAnsi" w:cstheme="minorBidi"/>
          <w:kern w:val="2"/>
          <w:szCs w:val="24"/>
          <w:lang w:val="es-CO" w:eastAsia="es-CO"/>
          <w14:ligatures w14:val="standardContextual"/>
        </w:rPr>
      </w:pPr>
      <w:hyperlink w:anchor="_Toc235128399" w:history="1">
        <w:r w:rsidRPr="00BD2D87">
          <w:rPr>
            <w:rStyle w:val="Hipervnculo"/>
            <w:rFonts w:cs="Arial"/>
            <w:bCs/>
          </w:rPr>
          <w:t>Tabla 2. Variables que conforman la fórmula tarifaria</w:t>
        </w:r>
        <w:r>
          <w:rPr>
            <w:webHidden/>
          </w:rPr>
          <w:tab/>
        </w:r>
        <w:r>
          <w:rPr>
            <w:webHidden/>
          </w:rPr>
          <w:fldChar w:fldCharType="begin"/>
        </w:r>
        <w:r>
          <w:rPr>
            <w:webHidden/>
          </w:rPr>
          <w:instrText xml:space="preserve"> PAGEREF _Toc235128399 \h </w:instrText>
        </w:r>
        <w:r>
          <w:rPr>
            <w:webHidden/>
          </w:rPr>
        </w:r>
        <w:r>
          <w:rPr>
            <w:webHidden/>
          </w:rPr>
          <w:fldChar w:fldCharType="separate"/>
        </w:r>
        <w:r>
          <w:rPr>
            <w:webHidden/>
          </w:rPr>
          <w:t>70</w:t>
        </w:r>
        <w:r>
          <w:rPr>
            <w:webHidden/>
          </w:rPr>
          <w:fldChar w:fldCharType="end"/>
        </w:r>
      </w:hyperlink>
    </w:p>
    <w:p w14:paraId="64A64D2A" w14:textId="7D24DC50" w:rsidR="00417EFD" w:rsidRDefault="00417EFD">
      <w:pPr>
        <w:pStyle w:val="Tabladeilustraciones"/>
        <w:rPr>
          <w:rFonts w:asciiTheme="minorHAnsi" w:eastAsiaTheme="minorEastAsia" w:hAnsiTheme="minorHAnsi" w:cstheme="minorBidi"/>
          <w:kern w:val="2"/>
          <w:szCs w:val="24"/>
          <w:lang w:val="es-CO" w:eastAsia="es-CO"/>
          <w14:ligatures w14:val="standardContextual"/>
        </w:rPr>
      </w:pPr>
      <w:hyperlink w:anchor="_Toc235128400" w:history="1">
        <w:r w:rsidRPr="00BD2D87">
          <w:rPr>
            <w:rStyle w:val="Hipervnculo"/>
            <w:rFonts w:cs="Arial"/>
          </w:rPr>
          <w:t>Tabla 3. Criterios para el reconocimiento eficiente de los Otros Activos (OA)</w:t>
        </w:r>
        <w:r>
          <w:rPr>
            <w:webHidden/>
          </w:rPr>
          <w:tab/>
        </w:r>
        <w:r>
          <w:rPr>
            <w:webHidden/>
          </w:rPr>
          <w:fldChar w:fldCharType="begin"/>
        </w:r>
        <w:r>
          <w:rPr>
            <w:webHidden/>
          </w:rPr>
          <w:instrText xml:space="preserve"> PAGEREF _Toc235128400 \h </w:instrText>
        </w:r>
        <w:r>
          <w:rPr>
            <w:webHidden/>
          </w:rPr>
        </w:r>
        <w:r>
          <w:rPr>
            <w:webHidden/>
          </w:rPr>
          <w:fldChar w:fldCharType="separate"/>
        </w:r>
        <w:r>
          <w:rPr>
            <w:webHidden/>
          </w:rPr>
          <w:t>74</w:t>
        </w:r>
        <w:r>
          <w:rPr>
            <w:webHidden/>
          </w:rPr>
          <w:fldChar w:fldCharType="end"/>
        </w:r>
      </w:hyperlink>
    </w:p>
    <w:p w14:paraId="5AEB4236" w14:textId="43695ACB" w:rsidR="00417EFD" w:rsidRDefault="00417EFD">
      <w:pPr>
        <w:pStyle w:val="Tabladeilustraciones"/>
        <w:rPr>
          <w:rFonts w:asciiTheme="minorHAnsi" w:eastAsiaTheme="minorEastAsia" w:hAnsiTheme="minorHAnsi" w:cstheme="minorBidi"/>
          <w:kern w:val="2"/>
          <w:szCs w:val="24"/>
          <w:lang w:val="es-CO" w:eastAsia="es-CO"/>
          <w14:ligatures w14:val="standardContextual"/>
        </w:rPr>
      </w:pPr>
      <w:hyperlink w:anchor="_Toc235128401" w:history="1">
        <w:r w:rsidRPr="00BD2D87">
          <w:rPr>
            <w:rStyle w:val="Hipervnculo"/>
            <w:rFonts w:cs="Arial"/>
          </w:rPr>
          <w:t>Tabla 4</w:t>
        </w:r>
        <w:r w:rsidRPr="00BD2D87">
          <w:rPr>
            <w:rStyle w:val="Hipervnculo"/>
            <w:rFonts w:cs="Arial"/>
            <w:bCs/>
          </w:rPr>
          <w:t>. Variables consideradas para la aplicación del criterio de eficiencia</w:t>
        </w:r>
        <w:r>
          <w:rPr>
            <w:webHidden/>
          </w:rPr>
          <w:tab/>
        </w:r>
        <w:r>
          <w:rPr>
            <w:webHidden/>
          </w:rPr>
          <w:fldChar w:fldCharType="begin"/>
        </w:r>
        <w:r>
          <w:rPr>
            <w:webHidden/>
          </w:rPr>
          <w:instrText xml:space="preserve"> PAGEREF _Toc235128401 \h </w:instrText>
        </w:r>
        <w:r>
          <w:rPr>
            <w:webHidden/>
          </w:rPr>
        </w:r>
        <w:r>
          <w:rPr>
            <w:webHidden/>
          </w:rPr>
          <w:fldChar w:fldCharType="separate"/>
        </w:r>
        <w:r>
          <w:rPr>
            <w:webHidden/>
          </w:rPr>
          <w:t>76</w:t>
        </w:r>
        <w:r>
          <w:rPr>
            <w:webHidden/>
          </w:rPr>
          <w:fldChar w:fldCharType="end"/>
        </w:r>
      </w:hyperlink>
    </w:p>
    <w:p w14:paraId="0E57F86C" w14:textId="43510F7F" w:rsidR="00417EFD" w:rsidRDefault="00417EFD">
      <w:pPr>
        <w:pStyle w:val="Tabladeilustraciones"/>
        <w:rPr>
          <w:rFonts w:asciiTheme="minorHAnsi" w:eastAsiaTheme="minorEastAsia" w:hAnsiTheme="minorHAnsi" w:cstheme="minorBidi"/>
          <w:kern w:val="2"/>
          <w:szCs w:val="24"/>
          <w:lang w:val="es-CO" w:eastAsia="es-CO"/>
          <w14:ligatures w14:val="standardContextual"/>
        </w:rPr>
      </w:pPr>
      <w:hyperlink w:anchor="_Toc235128402" w:history="1">
        <w:r w:rsidRPr="00BD2D87">
          <w:rPr>
            <w:rStyle w:val="Hipervnculo"/>
            <w:rFonts w:cs="Arial"/>
          </w:rPr>
          <w:t>Tabla 5</w:t>
        </w:r>
        <w:r w:rsidRPr="00BD2D87">
          <w:rPr>
            <w:rStyle w:val="Hipervnculo"/>
            <w:rFonts w:cs="Arial"/>
            <w:bCs/>
          </w:rPr>
          <w:t>. Aplicación de la tasa de retorno (WACC) en la metodología de distribución</w:t>
        </w:r>
        <w:r>
          <w:rPr>
            <w:webHidden/>
          </w:rPr>
          <w:tab/>
        </w:r>
        <w:r>
          <w:rPr>
            <w:webHidden/>
          </w:rPr>
          <w:fldChar w:fldCharType="begin"/>
        </w:r>
        <w:r>
          <w:rPr>
            <w:webHidden/>
          </w:rPr>
          <w:instrText xml:space="preserve"> PAGEREF _Toc235128402 \h </w:instrText>
        </w:r>
        <w:r>
          <w:rPr>
            <w:webHidden/>
          </w:rPr>
        </w:r>
        <w:r>
          <w:rPr>
            <w:webHidden/>
          </w:rPr>
          <w:fldChar w:fldCharType="separate"/>
        </w:r>
        <w:r>
          <w:rPr>
            <w:webHidden/>
          </w:rPr>
          <w:t>80</w:t>
        </w:r>
        <w:r>
          <w:rPr>
            <w:webHidden/>
          </w:rPr>
          <w:fldChar w:fldCharType="end"/>
        </w:r>
      </w:hyperlink>
    </w:p>
    <w:p w14:paraId="5FE202CD" w14:textId="16CA96A4" w:rsidR="00417EFD" w:rsidRDefault="00417EFD">
      <w:pPr>
        <w:pStyle w:val="Tabladeilustraciones"/>
        <w:rPr>
          <w:rFonts w:asciiTheme="minorHAnsi" w:eastAsiaTheme="minorEastAsia" w:hAnsiTheme="minorHAnsi" w:cstheme="minorBidi"/>
          <w:kern w:val="2"/>
          <w:szCs w:val="24"/>
          <w:lang w:val="es-CO" w:eastAsia="es-CO"/>
          <w14:ligatures w14:val="standardContextual"/>
        </w:rPr>
      </w:pPr>
      <w:hyperlink w:anchor="_Toc235128403" w:history="1">
        <w:r w:rsidRPr="00BD2D87">
          <w:rPr>
            <w:rStyle w:val="Hipervnculo"/>
            <w:rFonts w:cs="Arial"/>
          </w:rPr>
          <w:t>Tabla 6. Criterios para el reconocimiento eficiente de los gastos de Administración, Operación y Mantenimiento (AOM) de la actividad de comercialización</w:t>
        </w:r>
        <w:r>
          <w:rPr>
            <w:webHidden/>
          </w:rPr>
          <w:tab/>
        </w:r>
        <w:r>
          <w:rPr>
            <w:webHidden/>
          </w:rPr>
          <w:fldChar w:fldCharType="begin"/>
        </w:r>
        <w:r>
          <w:rPr>
            <w:webHidden/>
          </w:rPr>
          <w:instrText xml:space="preserve"> PAGEREF _Toc235128403 \h </w:instrText>
        </w:r>
        <w:r>
          <w:rPr>
            <w:webHidden/>
          </w:rPr>
        </w:r>
        <w:r>
          <w:rPr>
            <w:webHidden/>
          </w:rPr>
          <w:fldChar w:fldCharType="separate"/>
        </w:r>
        <w:r>
          <w:rPr>
            <w:webHidden/>
          </w:rPr>
          <w:t>86</w:t>
        </w:r>
        <w:r>
          <w:rPr>
            <w:webHidden/>
          </w:rPr>
          <w:fldChar w:fldCharType="end"/>
        </w:r>
      </w:hyperlink>
    </w:p>
    <w:p w14:paraId="7C925BD2" w14:textId="5EFD26C0" w:rsidR="00417EFD" w:rsidRDefault="00417EFD">
      <w:pPr>
        <w:pStyle w:val="Tabladeilustraciones"/>
        <w:rPr>
          <w:rFonts w:asciiTheme="minorHAnsi" w:eastAsiaTheme="minorEastAsia" w:hAnsiTheme="minorHAnsi" w:cstheme="minorBidi"/>
          <w:kern w:val="2"/>
          <w:szCs w:val="24"/>
          <w:lang w:val="es-CO" w:eastAsia="es-CO"/>
          <w14:ligatures w14:val="standardContextual"/>
        </w:rPr>
      </w:pPr>
      <w:hyperlink w:anchor="_Toc235128404" w:history="1">
        <w:r w:rsidRPr="00BD2D87">
          <w:rPr>
            <w:rStyle w:val="Hipervnculo"/>
            <w:rFonts w:cs="Arial"/>
          </w:rPr>
          <w:t>Tabla 7. Criterios para el reconocimiento eficiente de las inversiones de la actividad de comercialización</w:t>
        </w:r>
        <w:r>
          <w:rPr>
            <w:webHidden/>
          </w:rPr>
          <w:tab/>
        </w:r>
        <w:r>
          <w:rPr>
            <w:webHidden/>
          </w:rPr>
          <w:fldChar w:fldCharType="begin"/>
        </w:r>
        <w:r>
          <w:rPr>
            <w:webHidden/>
          </w:rPr>
          <w:instrText xml:space="preserve"> PAGEREF _Toc235128404 \h </w:instrText>
        </w:r>
        <w:r>
          <w:rPr>
            <w:webHidden/>
          </w:rPr>
        </w:r>
        <w:r>
          <w:rPr>
            <w:webHidden/>
          </w:rPr>
          <w:fldChar w:fldCharType="separate"/>
        </w:r>
        <w:r>
          <w:rPr>
            <w:webHidden/>
          </w:rPr>
          <w:t>87</w:t>
        </w:r>
        <w:r>
          <w:rPr>
            <w:webHidden/>
          </w:rPr>
          <w:fldChar w:fldCharType="end"/>
        </w:r>
      </w:hyperlink>
    </w:p>
    <w:p w14:paraId="15D96FF7" w14:textId="7B5F4381" w:rsidR="00417EFD" w:rsidRDefault="00417EFD">
      <w:pPr>
        <w:pStyle w:val="Tabladeilustraciones"/>
        <w:rPr>
          <w:rFonts w:asciiTheme="minorHAnsi" w:eastAsiaTheme="minorEastAsia" w:hAnsiTheme="minorHAnsi" w:cstheme="minorBidi"/>
          <w:kern w:val="2"/>
          <w:szCs w:val="24"/>
          <w:lang w:val="es-CO" w:eastAsia="es-CO"/>
          <w14:ligatures w14:val="standardContextual"/>
        </w:rPr>
      </w:pPr>
      <w:hyperlink w:anchor="_Toc235128405" w:history="1">
        <w:r w:rsidRPr="00BD2D87">
          <w:rPr>
            <w:rStyle w:val="Hipervnculo"/>
            <w:rFonts w:cs="Arial"/>
          </w:rPr>
          <w:t>Tabla 8. Componentes del componente variable del costo de comercialización</w:t>
        </w:r>
        <w:r>
          <w:rPr>
            <w:webHidden/>
          </w:rPr>
          <w:tab/>
        </w:r>
        <w:r>
          <w:rPr>
            <w:webHidden/>
          </w:rPr>
          <w:fldChar w:fldCharType="begin"/>
        </w:r>
        <w:r>
          <w:rPr>
            <w:webHidden/>
          </w:rPr>
          <w:instrText xml:space="preserve"> PAGEREF _Toc235128405 \h </w:instrText>
        </w:r>
        <w:r>
          <w:rPr>
            <w:webHidden/>
          </w:rPr>
        </w:r>
        <w:r>
          <w:rPr>
            <w:webHidden/>
          </w:rPr>
          <w:fldChar w:fldCharType="separate"/>
        </w:r>
        <w:r>
          <w:rPr>
            <w:webHidden/>
          </w:rPr>
          <w:t>89</w:t>
        </w:r>
        <w:r>
          <w:rPr>
            <w:webHidden/>
          </w:rPr>
          <w:fldChar w:fldCharType="end"/>
        </w:r>
      </w:hyperlink>
    </w:p>
    <w:p w14:paraId="51A92721" w14:textId="7391C431" w:rsidR="00417EFD" w:rsidRDefault="00417EFD">
      <w:pPr>
        <w:pStyle w:val="Tabladeilustraciones"/>
        <w:rPr>
          <w:rFonts w:asciiTheme="minorHAnsi" w:eastAsiaTheme="minorEastAsia" w:hAnsiTheme="minorHAnsi" w:cstheme="minorBidi"/>
          <w:kern w:val="2"/>
          <w:szCs w:val="24"/>
          <w:lang w:val="es-CO" w:eastAsia="es-CO"/>
          <w14:ligatures w14:val="standardContextual"/>
        </w:rPr>
      </w:pPr>
      <w:hyperlink w:anchor="_Toc235128406" w:history="1">
        <w:r w:rsidRPr="00BD2D87">
          <w:rPr>
            <w:rStyle w:val="Hipervnculo"/>
          </w:rPr>
          <w:t xml:space="preserve">Tabla </w:t>
        </w:r>
        <w:r w:rsidRPr="00BD2D87">
          <w:rPr>
            <w:rStyle w:val="Hipervnculo"/>
            <w:bCs/>
          </w:rPr>
          <w:t>9</w:t>
        </w:r>
        <w:r w:rsidRPr="00BD2D87">
          <w:rPr>
            <w:rStyle w:val="Hipervnculo"/>
          </w:rPr>
          <w:t xml:space="preserve">. </w:t>
        </w:r>
        <w:r w:rsidRPr="00BD2D87">
          <w:rPr>
            <w:rStyle w:val="Hipervnculo"/>
            <w:rFonts w:cs="Arial"/>
          </w:rPr>
          <w:t>Relación entre los síntomas identificados y las fallas de mercado que los explican</w:t>
        </w:r>
        <w:r>
          <w:rPr>
            <w:webHidden/>
          </w:rPr>
          <w:tab/>
        </w:r>
        <w:r>
          <w:rPr>
            <w:webHidden/>
          </w:rPr>
          <w:fldChar w:fldCharType="begin"/>
        </w:r>
        <w:r>
          <w:rPr>
            <w:webHidden/>
          </w:rPr>
          <w:instrText xml:space="preserve"> PAGEREF _Toc235128406 \h </w:instrText>
        </w:r>
        <w:r>
          <w:rPr>
            <w:webHidden/>
          </w:rPr>
        </w:r>
        <w:r>
          <w:rPr>
            <w:webHidden/>
          </w:rPr>
          <w:fldChar w:fldCharType="separate"/>
        </w:r>
        <w:r>
          <w:rPr>
            <w:webHidden/>
          </w:rPr>
          <w:t>182</w:t>
        </w:r>
        <w:r>
          <w:rPr>
            <w:webHidden/>
          </w:rPr>
          <w:fldChar w:fldCharType="end"/>
        </w:r>
      </w:hyperlink>
    </w:p>
    <w:p w14:paraId="614EF301" w14:textId="0E5CEC0A" w:rsidR="00417EFD" w:rsidRDefault="00417EFD">
      <w:pPr>
        <w:pStyle w:val="Tabladeilustraciones"/>
        <w:rPr>
          <w:rFonts w:asciiTheme="minorHAnsi" w:eastAsiaTheme="minorEastAsia" w:hAnsiTheme="minorHAnsi" w:cstheme="minorBidi"/>
          <w:kern w:val="2"/>
          <w:szCs w:val="24"/>
          <w:lang w:val="es-CO" w:eastAsia="es-CO"/>
          <w14:ligatures w14:val="standardContextual"/>
        </w:rPr>
      </w:pPr>
      <w:hyperlink w:anchor="_Toc235128407" w:history="1">
        <w:r w:rsidRPr="00BD2D87">
          <w:rPr>
            <w:rStyle w:val="Hipervnculo"/>
          </w:rPr>
          <w:t xml:space="preserve">Tabla 10. </w:t>
        </w:r>
        <w:r w:rsidRPr="00BD2D87">
          <w:rPr>
            <w:rStyle w:val="Hipervnculo"/>
            <w:rFonts w:cs="Arial"/>
          </w:rPr>
          <w:t>Dimensiones para el análisis de las fallas regulatorias</w:t>
        </w:r>
        <w:r>
          <w:rPr>
            <w:webHidden/>
          </w:rPr>
          <w:tab/>
        </w:r>
        <w:r>
          <w:rPr>
            <w:webHidden/>
          </w:rPr>
          <w:fldChar w:fldCharType="begin"/>
        </w:r>
        <w:r>
          <w:rPr>
            <w:webHidden/>
          </w:rPr>
          <w:instrText xml:space="preserve"> PAGEREF _Toc235128407 \h </w:instrText>
        </w:r>
        <w:r>
          <w:rPr>
            <w:webHidden/>
          </w:rPr>
        </w:r>
        <w:r>
          <w:rPr>
            <w:webHidden/>
          </w:rPr>
          <w:fldChar w:fldCharType="separate"/>
        </w:r>
        <w:r>
          <w:rPr>
            <w:webHidden/>
          </w:rPr>
          <w:t>184</w:t>
        </w:r>
        <w:r>
          <w:rPr>
            <w:webHidden/>
          </w:rPr>
          <w:fldChar w:fldCharType="end"/>
        </w:r>
      </w:hyperlink>
    </w:p>
    <w:p w14:paraId="2CCD5B49" w14:textId="0358502E" w:rsidR="00417EFD" w:rsidRDefault="00417EFD">
      <w:pPr>
        <w:pStyle w:val="Tabladeilustraciones"/>
        <w:rPr>
          <w:rFonts w:asciiTheme="minorHAnsi" w:eastAsiaTheme="minorEastAsia" w:hAnsiTheme="minorHAnsi" w:cstheme="minorBidi"/>
          <w:kern w:val="2"/>
          <w:szCs w:val="24"/>
          <w:lang w:val="es-CO" w:eastAsia="es-CO"/>
          <w14:ligatures w14:val="standardContextual"/>
        </w:rPr>
      </w:pPr>
      <w:hyperlink w:anchor="_Toc235128408" w:history="1">
        <w:r w:rsidRPr="00BD2D87">
          <w:rPr>
            <w:rStyle w:val="Hipervnculo"/>
          </w:rPr>
          <w:t xml:space="preserve">Tabla </w:t>
        </w:r>
        <w:r w:rsidRPr="00BD2D87">
          <w:rPr>
            <w:rStyle w:val="Hipervnculo"/>
            <w:bCs/>
          </w:rPr>
          <w:t>11.</w:t>
        </w:r>
        <w:r w:rsidRPr="00BD2D87">
          <w:rPr>
            <w:rStyle w:val="Hipervnculo"/>
          </w:rPr>
          <w:t xml:space="preserve"> </w:t>
        </w:r>
        <w:r w:rsidRPr="00BD2D87">
          <w:rPr>
            <w:rStyle w:val="Hipervnculo"/>
            <w:rFonts w:cs="Arial"/>
          </w:rPr>
          <w:t>Resultados del análisis de las fallas regulatorias para el eje de prestación del servicio</w:t>
        </w:r>
        <w:r>
          <w:rPr>
            <w:webHidden/>
          </w:rPr>
          <w:tab/>
        </w:r>
        <w:r>
          <w:rPr>
            <w:webHidden/>
          </w:rPr>
          <w:fldChar w:fldCharType="begin"/>
        </w:r>
        <w:r>
          <w:rPr>
            <w:webHidden/>
          </w:rPr>
          <w:instrText xml:space="preserve"> PAGEREF _Toc235128408 \h </w:instrText>
        </w:r>
        <w:r>
          <w:rPr>
            <w:webHidden/>
          </w:rPr>
        </w:r>
        <w:r>
          <w:rPr>
            <w:webHidden/>
          </w:rPr>
          <w:fldChar w:fldCharType="separate"/>
        </w:r>
        <w:r>
          <w:rPr>
            <w:webHidden/>
          </w:rPr>
          <w:t>190</w:t>
        </w:r>
        <w:r>
          <w:rPr>
            <w:webHidden/>
          </w:rPr>
          <w:fldChar w:fldCharType="end"/>
        </w:r>
      </w:hyperlink>
    </w:p>
    <w:p w14:paraId="5D33C4E7" w14:textId="5C6873C6" w:rsidR="00417EFD" w:rsidRDefault="00417EFD">
      <w:pPr>
        <w:pStyle w:val="Tabladeilustraciones"/>
        <w:rPr>
          <w:rFonts w:asciiTheme="minorHAnsi" w:eastAsiaTheme="minorEastAsia" w:hAnsiTheme="minorHAnsi" w:cstheme="minorBidi"/>
          <w:kern w:val="2"/>
          <w:szCs w:val="24"/>
          <w:lang w:val="es-CO" w:eastAsia="es-CO"/>
          <w14:ligatures w14:val="standardContextual"/>
        </w:rPr>
      </w:pPr>
      <w:hyperlink w:anchor="_Toc235128409" w:history="1">
        <w:r w:rsidRPr="00BD2D87">
          <w:rPr>
            <w:rStyle w:val="Hipervnculo"/>
          </w:rPr>
          <w:t xml:space="preserve">Tabla </w:t>
        </w:r>
        <w:r w:rsidRPr="00BD2D87">
          <w:rPr>
            <w:rStyle w:val="Hipervnculo"/>
            <w:bCs/>
          </w:rPr>
          <w:t>12.</w:t>
        </w:r>
        <w:r w:rsidRPr="00BD2D87">
          <w:rPr>
            <w:rStyle w:val="Hipervnculo"/>
          </w:rPr>
          <w:t xml:space="preserve"> </w:t>
        </w:r>
        <w:r w:rsidRPr="00BD2D87">
          <w:rPr>
            <w:rStyle w:val="Hipervnculo"/>
            <w:rFonts w:cs="Arial"/>
          </w:rPr>
          <w:t>Relación entre los síntomas identificados y las fallas de mercado que los explican</w:t>
        </w:r>
        <w:r>
          <w:rPr>
            <w:webHidden/>
          </w:rPr>
          <w:tab/>
        </w:r>
        <w:r>
          <w:rPr>
            <w:webHidden/>
          </w:rPr>
          <w:fldChar w:fldCharType="begin"/>
        </w:r>
        <w:r>
          <w:rPr>
            <w:webHidden/>
          </w:rPr>
          <w:instrText xml:space="preserve"> PAGEREF _Toc235128409 \h </w:instrText>
        </w:r>
        <w:r>
          <w:rPr>
            <w:webHidden/>
          </w:rPr>
        </w:r>
        <w:r>
          <w:rPr>
            <w:webHidden/>
          </w:rPr>
          <w:fldChar w:fldCharType="separate"/>
        </w:r>
        <w:r>
          <w:rPr>
            <w:webHidden/>
          </w:rPr>
          <w:t>205</w:t>
        </w:r>
        <w:r>
          <w:rPr>
            <w:webHidden/>
          </w:rPr>
          <w:fldChar w:fldCharType="end"/>
        </w:r>
      </w:hyperlink>
    </w:p>
    <w:p w14:paraId="2615B367" w14:textId="4257E6D3" w:rsidR="00417EFD" w:rsidRDefault="00417EFD">
      <w:pPr>
        <w:pStyle w:val="Tabladeilustraciones"/>
        <w:rPr>
          <w:rFonts w:asciiTheme="minorHAnsi" w:eastAsiaTheme="minorEastAsia" w:hAnsiTheme="minorHAnsi" w:cstheme="minorBidi"/>
          <w:kern w:val="2"/>
          <w:szCs w:val="24"/>
          <w:lang w:val="es-CO" w:eastAsia="es-CO"/>
          <w14:ligatures w14:val="standardContextual"/>
        </w:rPr>
      </w:pPr>
      <w:hyperlink w:anchor="_Toc235128410" w:history="1">
        <w:r w:rsidRPr="00BD2D87">
          <w:rPr>
            <w:rStyle w:val="Hipervnculo"/>
          </w:rPr>
          <w:t xml:space="preserve">Tabla </w:t>
        </w:r>
        <w:r w:rsidRPr="00BD2D87">
          <w:rPr>
            <w:rStyle w:val="Hipervnculo"/>
            <w:bCs/>
          </w:rPr>
          <w:t>13.</w:t>
        </w:r>
        <w:r w:rsidRPr="00BD2D87">
          <w:rPr>
            <w:rStyle w:val="Hipervnculo"/>
          </w:rPr>
          <w:t xml:space="preserve"> </w:t>
        </w:r>
        <w:r w:rsidRPr="00BD2D87">
          <w:rPr>
            <w:rStyle w:val="Hipervnculo"/>
            <w:rFonts w:cs="Arial"/>
          </w:rPr>
          <w:t>Resultados del análisis de las fallas regulatorias para el eje de continuidad y confiabilidad del suministro</w:t>
        </w:r>
        <w:r>
          <w:rPr>
            <w:webHidden/>
          </w:rPr>
          <w:tab/>
        </w:r>
        <w:r>
          <w:rPr>
            <w:webHidden/>
          </w:rPr>
          <w:fldChar w:fldCharType="begin"/>
        </w:r>
        <w:r>
          <w:rPr>
            <w:webHidden/>
          </w:rPr>
          <w:instrText xml:space="preserve"> PAGEREF _Toc235128410 \h </w:instrText>
        </w:r>
        <w:r>
          <w:rPr>
            <w:webHidden/>
          </w:rPr>
        </w:r>
        <w:r>
          <w:rPr>
            <w:webHidden/>
          </w:rPr>
          <w:fldChar w:fldCharType="separate"/>
        </w:r>
        <w:r>
          <w:rPr>
            <w:webHidden/>
          </w:rPr>
          <w:t>211</w:t>
        </w:r>
        <w:r>
          <w:rPr>
            <w:webHidden/>
          </w:rPr>
          <w:fldChar w:fldCharType="end"/>
        </w:r>
      </w:hyperlink>
    </w:p>
    <w:p w14:paraId="299035F5" w14:textId="280BB6EA" w:rsidR="00417EFD" w:rsidRDefault="00417EFD">
      <w:pPr>
        <w:pStyle w:val="Tabladeilustraciones"/>
        <w:rPr>
          <w:rFonts w:asciiTheme="minorHAnsi" w:eastAsiaTheme="minorEastAsia" w:hAnsiTheme="minorHAnsi" w:cstheme="minorBidi"/>
          <w:kern w:val="2"/>
          <w:szCs w:val="24"/>
          <w:lang w:val="es-CO" w:eastAsia="es-CO"/>
          <w14:ligatures w14:val="standardContextual"/>
        </w:rPr>
      </w:pPr>
      <w:hyperlink w:anchor="_Toc235128411" w:history="1">
        <w:r w:rsidRPr="00BD2D87">
          <w:rPr>
            <w:rStyle w:val="Hipervnculo"/>
          </w:rPr>
          <w:t xml:space="preserve">Tabla </w:t>
        </w:r>
        <w:r w:rsidRPr="00BD2D87">
          <w:rPr>
            <w:rStyle w:val="Hipervnculo"/>
            <w:bCs/>
          </w:rPr>
          <w:t>14.</w:t>
        </w:r>
        <w:r w:rsidRPr="00BD2D87">
          <w:rPr>
            <w:rStyle w:val="Hipervnculo"/>
          </w:rPr>
          <w:t xml:space="preserve"> </w:t>
        </w:r>
        <w:r w:rsidRPr="00BD2D87">
          <w:rPr>
            <w:rStyle w:val="Hipervnculo"/>
            <w:rFonts w:cs="Arial"/>
          </w:rPr>
          <w:t>Relación entre los síntomas identificados y las fallas de mercado que los explican</w:t>
        </w:r>
        <w:r>
          <w:rPr>
            <w:webHidden/>
          </w:rPr>
          <w:tab/>
        </w:r>
        <w:r>
          <w:rPr>
            <w:webHidden/>
          </w:rPr>
          <w:fldChar w:fldCharType="begin"/>
        </w:r>
        <w:r>
          <w:rPr>
            <w:webHidden/>
          </w:rPr>
          <w:instrText xml:space="preserve"> PAGEREF _Toc235128411 \h </w:instrText>
        </w:r>
        <w:r>
          <w:rPr>
            <w:webHidden/>
          </w:rPr>
        </w:r>
        <w:r>
          <w:rPr>
            <w:webHidden/>
          </w:rPr>
          <w:fldChar w:fldCharType="separate"/>
        </w:r>
        <w:r>
          <w:rPr>
            <w:webHidden/>
          </w:rPr>
          <w:t>227</w:t>
        </w:r>
        <w:r>
          <w:rPr>
            <w:webHidden/>
          </w:rPr>
          <w:fldChar w:fldCharType="end"/>
        </w:r>
      </w:hyperlink>
    </w:p>
    <w:p w14:paraId="1C72D30B" w14:textId="77D8CA66" w:rsidR="00417EFD" w:rsidRDefault="00417EFD">
      <w:pPr>
        <w:pStyle w:val="Tabladeilustraciones"/>
        <w:rPr>
          <w:rFonts w:asciiTheme="minorHAnsi" w:eastAsiaTheme="minorEastAsia" w:hAnsiTheme="minorHAnsi" w:cstheme="minorBidi"/>
          <w:kern w:val="2"/>
          <w:szCs w:val="24"/>
          <w:lang w:val="es-CO" w:eastAsia="es-CO"/>
          <w14:ligatures w14:val="standardContextual"/>
        </w:rPr>
      </w:pPr>
      <w:hyperlink w:anchor="_Toc235128412" w:history="1">
        <w:r w:rsidRPr="00BD2D87">
          <w:rPr>
            <w:rStyle w:val="Hipervnculo"/>
          </w:rPr>
          <w:t xml:space="preserve">Tabla </w:t>
        </w:r>
        <w:r w:rsidRPr="00BD2D87">
          <w:rPr>
            <w:rStyle w:val="Hipervnculo"/>
            <w:bCs/>
          </w:rPr>
          <w:t>15.</w:t>
        </w:r>
        <w:r w:rsidRPr="00BD2D87">
          <w:rPr>
            <w:rStyle w:val="Hipervnculo"/>
          </w:rPr>
          <w:t xml:space="preserve"> </w:t>
        </w:r>
        <w:r w:rsidRPr="00BD2D87">
          <w:rPr>
            <w:rStyle w:val="Hipervnculo"/>
            <w:rFonts w:cs="Arial"/>
          </w:rPr>
          <w:t>Resultados del análisis de las fallas regulatorias para el eje de eficiencia económica en la prestación del servicio</w:t>
        </w:r>
        <w:r>
          <w:rPr>
            <w:webHidden/>
          </w:rPr>
          <w:tab/>
        </w:r>
        <w:r>
          <w:rPr>
            <w:webHidden/>
          </w:rPr>
          <w:fldChar w:fldCharType="begin"/>
        </w:r>
        <w:r>
          <w:rPr>
            <w:webHidden/>
          </w:rPr>
          <w:instrText xml:space="preserve"> PAGEREF _Toc235128412 \h </w:instrText>
        </w:r>
        <w:r>
          <w:rPr>
            <w:webHidden/>
          </w:rPr>
        </w:r>
        <w:r>
          <w:rPr>
            <w:webHidden/>
          </w:rPr>
          <w:fldChar w:fldCharType="separate"/>
        </w:r>
        <w:r>
          <w:rPr>
            <w:webHidden/>
          </w:rPr>
          <w:t>232</w:t>
        </w:r>
        <w:r>
          <w:rPr>
            <w:webHidden/>
          </w:rPr>
          <w:fldChar w:fldCharType="end"/>
        </w:r>
      </w:hyperlink>
    </w:p>
    <w:p w14:paraId="7C171B11" w14:textId="02CE1D43" w:rsidR="00417EFD" w:rsidRDefault="00417EFD">
      <w:pPr>
        <w:pStyle w:val="Tabladeilustraciones"/>
        <w:rPr>
          <w:rFonts w:asciiTheme="minorHAnsi" w:eastAsiaTheme="minorEastAsia" w:hAnsiTheme="minorHAnsi" w:cstheme="minorBidi"/>
          <w:kern w:val="2"/>
          <w:szCs w:val="24"/>
          <w:lang w:val="es-CO" w:eastAsia="es-CO"/>
          <w14:ligatures w14:val="standardContextual"/>
        </w:rPr>
      </w:pPr>
      <w:hyperlink w:anchor="_Toc235128413" w:history="1">
        <w:r w:rsidRPr="00BD2D87">
          <w:rPr>
            <w:rStyle w:val="Hipervnculo"/>
          </w:rPr>
          <w:t xml:space="preserve">Tabla </w:t>
        </w:r>
        <w:r w:rsidRPr="00BD2D87">
          <w:rPr>
            <w:rStyle w:val="Hipervnculo"/>
            <w:bCs/>
          </w:rPr>
          <w:t>16.</w:t>
        </w:r>
        <w:r w:rsidRPr="00BD2D87">
          <w:rPr>
            <w:rStyle w:val="Hipervnculo"/>
          </w:rPr>
          <w:t xml:space="preserve"> </w:t>
        </w:r>
        <w:r w:rsidRPr="00BD2D87">
          <w:rPr>
            <w:rStyle w:val="Hipervnculo"/>
            <w:rFonts w:cs="Arial"/>
          </w:rPr>
          <w:t>Síntesis de las principales fallas de mercado y de la evaluación regulatoria por eje temático.</w:t>
        </w:r>
        <w:r>
          <w:rPr>
            <w:webHidden/>
          </w:rPr>
          <w:tab/>
        </w:r>
        <w:r>
          <w:rPr>
            <w:webHidden/>
          </w:rPr>
          <w:fldChar w:fldCharType="begin"/>
        </w:r>
        <w:r>
          <w:rPr>
            <w:webHidden/>
          </w:rPr>
          <w:instrText xml:space="preserve"> PAGEREF _Toc235128413 \h </w:instrText>
        </w:r>
        <w:r>
          <w:rPr>
            <w:webHidden/>
          </w:rPr>
        </w:r>
        <w:r>
          <w:rPr>
            <w:webHidden/>
          </w:rPr>
          <w:fldChar w:fldCharType="separate"/>
        </w:r>
        <w:r>
          <w:rPr>
            <w:webHidden/>
          </w:rPr>
          <w:t>234</w:t>
        </w:r>
        <w:r>
          <w:rPr>
            <w:webHidden/>
          </w:rPr>
          <w:fldChar w:fldCharType="end"/>
        </w:r>
      </w:hyperlink>
    </w:p>
    <w:p w14:paraId="1D7665B8" w14:textId="5638E066" w:rsidR="00417EFD" w:rsidRDefault="00417EFD">
      <w:pPr>
        <w:pStyle w:val="Tabladeilustraciones"/>
        <w:rPr>
          <w:rFonts w:asciiTheme="minorHAnsi" w:eastAsiaTheme="minorEastAsia" w:hAnsiTheme="minorHAnsi" w:cstheme="minorBidi"/>
          <w:kern w:val="2"/>
          <w:szCs w:val="24"/>
          <w:lang w:val="es-CO" w:eastAsia="es-CO"/>
          <w14:ligatures w14:val="standardContextual"/>
        </w:rPr>
      </w:pPr>
      <w:hyperlink w:anchor="_Toc235128414" w:history="1">
        <w:r w:rsidRPr="00BD2D87">
          <w:rPr>
            <w:rStyle w:val="Hipervnculo"/>
          </w:rPr>
          <w:t xml:space="preserve">Tabla </w:t>
        </w:r>
        <w:r w:rsidRPr="00BD2D87">
          <w:rPr>
            <w:rStyle w:val="Hipervnculo"/>
            <w:bCs/>
          </w:rPr>
          <w:t>17.</w:t>
        </w:r>
        <w:r w:rsidRPr="00BD2D87">
          <w:rPr>
            <w:rStyle w:val="Hipervnculo"/>
          </w:rPr>
          <w:t xml:space="preserve"> </w:t>
        </w:r>
        <w:r w:rsidRPr="00BD2D87">
          <w:rPr>
            <w:rStyle w:val="Hipervnculo"/>
            <w:rFonts w:cs="Arial"/>
            <w:lang w:val="es-ES"/>
          </w:rPr>
          <w:t>Relación entre los riesgos, síntomas y posibles fallas que justifican el análisis</w:t>
        </w:r>
        <w:r>
          <w:rPr>
            <w:webHidden/>
          </w:rPr>
          <w:tab/>
        </w:r>
        <w:r>
          <w:rPr>
            <w:webHidden/>
          </w:rPr>
          <w:fldChar w:fldCharType="begin"/>
        </w:r>
        <w:r>
          <w:rPr>
            <w:webHidden/>
          </w:rPr>
          <w:instrText xml:space="preserve"> PAGEREF _Toc235128414 \h </w:instrText>
        </w:r>
        <w:r>
          <w:rPr>
            <w:webHidden/>
          </w:rPr>
        </w:r>
        <w:r>
          <w:rPr>
            <w:webHidden/>
          </w:rPr>
          <w:fldChar w:fldCharType="separate"/>
        </w:r>
        <w:r>
          <w:rPr>
            <w:webHidden/>
          </w:rPr>
          <w:t>235</w:t>
        </w:r>
        <w:r>
          <w:rPr>
            <w:webHidden/>
          </w:rPr>
          <w:fldChar w:fldCharType="end"/>
        </w:r>
      </w:hyperlink>
    </w:p>
    <w:p w14:paraId="62291823" w14:textId="733608F2" w:rsidR="00417EFD" w:rsidRDefault="00417EFD">
      <w:pPr>
        <w:pStyle w:val="Tabladeilustraciones"/>
        <w:rPr>
          <w:rFonts w:asciiTheme="minorHAnsi" w:eastAsiaTheme="minorEastAsia" w:hAnsiTheme="minorHAnsi" w:cstheme="minorBidi"/>
          <w:kern w:val="2"/>
          <w:szCs w:val="24"/>
          <w:lang w:val="es-CO" w:eastAsia="es-CO"/>
          <w14:ligatures w14:val="standardContextual"/>
        </w:rPr>
      </w:pPr>
      <w:hyperlink w:anchor="_Toc235128415" w:history="1">
        <w:r w:rsidRPr="00BD2D87">
          <w:rPr>
            <w:rStyle w:val="Hipervnculo"/>
          </w:rPr>
          <w:t xml:space="preserve">Tabla </w:t>
        </w:r>
        <w:r w:rsidRPr="00BD2D87">
          <w:rPr>
            <w:rStyle w:val="Hipervnculo"/>
            <w:bCs/>
          </w:rPr>
          <w:t>18.</w:t>
        </w:r>
        <w:r w:rsidRPr="00BD2D87">
          <w:rPr>
            <w:rStyle w:val="Hipervnculo"/>
          </w:rPr>
          <w:t xml:space="preserve"> </w:t>
        </w:r>
        <w:r w:rsidRPr="00BD2D87">
          <w:rPr>
            <w:rStyle w:val="Hipervnculo"/>
            <w:rFonts w:cs="Arial"/>
          </w:rPr>
          <w:t>Síntesis de las causas estructurales asociadas al eje de prestación del servicio</w:t>
        </w:r>
        <w:r>
          <w:rPr>
            <w:webHidden/>
          </w:rPr>
          <w:tab/>
        </w:r>
        <w:r>
          <w:rPr>
            <w:webHidden/>
          </w:rPr>
          <w:fldChar w:fldCharType="begin"/>
        </w:r>
        <w:r>
          <w:rPr>
            <w:webHidden/>
          </w:rPr>
          <w:instrText xml:space="preserve"> PAGEREF _Toc235128415 \h </w:instrText>
        </w:r>
        <w:r>
          <w:rPr>
            <w:webHidden/>
          </w:rPr>
        </w:r>
        <w:r>
          <w:rPr>
            <w:webHidden/>
          </w:rPr>
          <w:fldChar w:fldCharType="separate"/>
        </w:r>
        <w:r>
          <w:rPr>
            <w:webHidden/>
          </w:rPr>
          <w:t>238</w:t>
        </w:r>
        <w:r>
          <w:rPr>
            <w:webHidden/>
          </w:rPr>
          <w:fldChar w:fldCharType="end"/>
        </w:r>
      </w:hyperlink>
    </w:p>
    <w:p w14:paraId="5D8FDDD1" w14:textId="1A32F160" w:rsidR="00417EFD" w:rsidRDefault="00417EFD">
      <w:pPr>
        <w:pStyle w:val="Tabladeilustraciones"/>
        <w:rPr>
          <w:rFonts w:asciiTheme="minorHAnsi" w:eastAsiaTheme="minorEastAsia" w:hAnsiTheme="minorHAnsi" w:cstheme="minorBidi"/>
          <w:kern w:val="2"/>
          <w:szCs w:val="24"/>
          <w:lang w:val="es-CO" w:eastAsia="es-CO"/>
          <w14:ligatures w14:val="standardContextual"/>
        </w:rPr>
      </w:pPr>
      <w:hyperlink w:anchor="_Toc235128416" w:history="1">
        <w:r w:rsidRPr="00BD2D87">
          <w:rPr>
            <w:rStyle w:val="Hipervnculo"/>
          </w:rPr>
          <w:t xml:space="preserve">Tabla </w:t>
        </w:r>
        <w:r w:rsidRPr="00BD2D87">
          <w:rPr>
            <w:rStyle w:val="Hipervnculo"/>
            <w:bCs/>
          </w:rPr>
          <w:t>19.</w:t>
        </w:r>
        <w:r w:rsidRPr="00BD2D87">
          <w:rPr>
            <w:rStyle w:val="Hipervnculo"/>
          </w:rPr>
          <w:t xml:space="preserve"> </w:t>
        </w:r>
        <w:r w:rsidRPr="00BD2D87">
          <w:rPr>
            <w:rStyle w:val="Hipervnculo"/>
            <w:rFonts w:cs="Arial"/>
          </w:rPr>
          <w:t>Síntesis de los efectos estructurales asociadas al eje de prestación del servicio</w:t>
        </w:r>
        <w:r>
          <w:rPr>
            <w:webHidden/>
          </w:rPr>
          <w:tab/>
        </w:r>
        <w:r>
          <w:rPr>
            <w:webHidden/>
          </w:rPr>
          <w:fldChar w:fldCharType="begin"/>
        </w:r>
        <w:r>
          <w:rPr>
            <w:webHidden/>
          </w:rPr>
          <w:instrText xml:space="preserve"> PAGEREF _Toc235128416 \h </w:instrText>
        </w:r>
        <w:r>
          <w:rPr>
            <w:webHidden/>
          </w:rPr>
        </w:r>
        <w:r>
          <w:rPr>
            <w:webHidden/>
          </w:rPr>
          <w:fldChar w:fldCharType="separate"/>
        </w:r>
        <w:r>
          <w:rPr>
            <w:webHidden/>
          </w:rPr>
          <w:t>244</w:t>
        </w:r>
        <w:r>
          <w:rPr>
            <w:webHidden/>
          </w:rPr>
          <w:fldChar w:fldCharType="end"/>
        </w:r>
      </w:hyperlink>
    </w:p>
    <w:p w14:paraId="733D725D" w14:textId="7A09D85C" w:rsidR="00417EFD" w:rsidRDefault="00417EFD">
      <w:pPr>
        <w:pStyle w:val="Tabladeilustraciones"/>
        <w:rPr>
          <w:rFonts w:asciiTheme="minorHAnsi" w:eastAsiaTheme="minorEastAsia" w:hAnsiTheme="minorHAnsi" w:cstheme="minorBidi"/>
          <w:kern w:val="2"/>
          <w:szCs w:val="24"/>
          <w:lang w:val="es-CO" w:eastAsia="es-CO"/>
          <w14:ligatures w14:val="standardContextual"/>
        </w:rPr>
      </w:pPr>
      <w:hyperlink w:anchor="_Toc235128417" w:history="1">
        <w:r w:rsidRPr="00BD2D87">
          <w:rPr>
            <w:rStyle w:val="Hipervnculo"/>
          </w:rPr>
          <w:t xml:space="preserve">Tabla </w:t>
        </w:r>
        <w:r w:rsidRPr="00BD2D87">
          <w:rPr>
            <w:rStyle w:val="Hipervnculo"/>
            <w:bCs/>
          </w:rPr>
          <w:t>20.</w:t>
        </w:r>
        <w:r w:rsidRPr="00BD2D87">
          <w:rPr>
            <w:rStyle w:val="Hipervnculo"/>
          </w:rPr>
          <w:t xml:space="preserve"> </w:t>
        </w:r>
        <w:r w:rsidRPr="00BD2D87">
          <w:rPr>
            <w:rStyle w:val="Hipervnculo"/>
            <w:rFonts w:cs="Arial"/>
          </w:rPr>
          <w:t>Síntesis de las causas estructurales asociadas al eje de interrupción o limitaciones de acceso al GLP</w:t>
        </w:r>
        <w:r>
          <w:rPr>
            <w:webHidden/>
          </w:rPr>
          <w:tab/>
        </w:r>
        <w:r>
          <w:rPr>
            <w:webHidden/>
          </w:rPr>
          <w:fldChar w:fldCharType="begin"/>
        </w:r>
        <w:r>
          <w:rPr>
            <w:webHidden/>
          </w:rPr>
          <w:instrText xml:space="preserve"> PAGEREF _Toc235128417 \h </w:instrText>
        </w:r>
        <w:r>
          <w:rPr>
            <w:webHidden/>
          </w:rPr>
        </w:r>
        <w:r>
          <w:rPr>
            <w:webHidden/>
          </w:rPr>
          <w:fldChar w:fldCharType="separate"/>
        </w:r>
        <w:r>
          <w:rPr>
            <w:webHidden/>
          </w:rPr>
          <w:t>251</w:t>
        </w:r>
        <w:r>
          <w:rPr>
            <w:webHidden/>
          </w:rPr>
          <w:fldChar w:fldCharType="end"/>
        </w:r>
      </w:hyperlink>
    </w:p>
    <w:p w14:paraId="17595904" w14:textId="29A3C2FF" w:rsidR="00417EFD" w:rsidRDefault="00417EFD">
      <w:pPr>
        <w:pStyle w:val="Tabladeilustraciones"/>
        <w:rPr>
          <w:rFonts w:asciiTheme="minorHAnsi" w:eastAsiaTheme="minorEastAsia" w:hAnsiTheme="minorHAnsi" w:cstheme="minorBidi"/>
          <w:kern w:val="2"/>
          <w:szCs w:val="24"/>
          <w:lang w:val="es-CO" w:eastAsia="es-CO"/>
          <w14:ligatures w14:val="standardContextual"/>
        </w:rPr>
      </w:pPr>
      <w:hyperlink w:anchor="_Toc235128418" w:history="1">
        <w:r w:rsidRPr="00BD2D87">
          <w:rPr>
            <w:rStyle w:val="Hipervnculo"/>
          </w:rPr>
          <w:t xml:space="preserve">Tabla </w:t>
        </w:r>
        <w:r w:rsidRPr="00BD2D87">
          <w:rPr>
            <w:rStyle w:val="Hipervnculo"/>
            <w:bCs/>
          </w:rPr>
          <w:t>21.</w:t>
        </w:r>
        <w:r w:rsidRPr="00BD2D87">
          <w:rPr>
            <w:rStyle w:val="Hipervnculo"/>
          </w:rPr>
          <w:t xml:space="preserve"> </w:t>
        </w:r>
        <w:r w:rsidRPr="00BD2D87">
          <w:rPr>
            <w:rStyle w:val="Hipervnculo"/>
            <w:rFonts w:cs="Arial"/>
          </w:rPr>
          <w:t>Síntesis de los efectos estructurales asociadas al eje de continuidad y confiabilidad del suministro</w:t>
        </w:r>
        <w:r>
          <w:rPr>
            <w:webHidden/>
          </w:rPr>
          <w:tab/>
        </w:r>
        <w:r>
          <w:rPr>
            <w:webHidden/>
          </w:rPr>
          <w:fldChar w:fldCharType="begin"/>
        </w:r>
        <w:r>
          <w:rPr>
            <w:webHidden/>
          </w:rPr>
          <w:instrText xml:space="preserve"> PAGEREF _Toc235128418 \h </w:instrText>
        </w:r>
        <w:r>
          <w:rPr>
            <w:webHidden/>
          </w:rPr>
        </w:r>
        <w:r>
          <w:rPr>
            <w:webHidden/>
          </w:rPr>
          <w:fldChar w:fldCharType="separate"/>
        </w:r>
        <w:r>
          <w:rPr>
            <w:webHidden/>
          </w:rPr>
          <w:t>257</w:t>
        </w:r>
        <w:r>
          <w:rPr>
            <w:webHidden/>
          </w:rPr>
          <w:fldChar w:fldCharType="end"/>
        </w:r>
      </w:hyperlink>
    </w:p>
    <w:p w14:paraId="59B8B269" w14:textId="6618A4A8" w:rsidR="00417EFD" w:rsidRDefault="00417EFD">
      <w:pPr>
        <w:pStyle w:val="Tabladeilustraciones"/>
        <w:rPr>
          <w:rFonts w:asciiTheme="minorHAnsi" w:eastAsiaTheme="minorEastAsia" w:hAnsiTheme="minorHAnsi" w:cstheme="minorBidi"/>
          <w:kern w:val="2"/>
          <w:szCs w:val="24"/>
          <w:lang w:val="es-CO" w:eastAsia="es-CO"/>
          <w14:ligatures w14:val="standardContextual"/>
        </w:rPr>
      </w:pPr>
      <w:hyperlink w:anchor="_Toc235128419" w:history="1">
        <w:r w:rsidRPr="00BD2D87">
          <w:rPr>
            <w:rStyle w:val="Hipervnculo"/>
          </w:rPr>
          <w:t xml:space="preserve">Tabla </w:t>
        </w:r>
        <w:r w:rsidRPr="00BD2D87">
          <w:rPr>
            <w:rStyle w:val="Hipervnculo"/>
            <w:bCs/>
          </w:rPr>
          <w:t>22.</w:t>
        </w:r>
        <w:r w:rsidRPr="00BD2D87">
          <w:rPr>
            <w:rStyle w:val="Hipervnculo"/>
          </w:rPr>
          <w:t xml:space="preserve"> </w:t>
        </w:r>
        <w:r w:rsidRPr="00BD2D87">
          <w:rPr>
            <w:rStyle w:val="Hipervnculo"/>
            <w:rFonts w:cs="Arial"/>
          </w:rPr>
          <w:t>Síntesis de las causas estructurales asociadas al eje de ineficiencias económicas en la prestación del servicio</w:t>
        </w:r>
        <w:r>
          <w:rPr>
            <w:webHidden/>
          </w:rPr>
          <w:tab/>
        </w:r>
        <w:r>
          <w:rPr>
            <w:webHidden/>
          </w:rPr>
          <w:fldChar w:fldCharType="begin"/>
        </w:r>
        <w:r>
          <w:rPr>
            <w:webHidden/>
          </w:rPr>
          <w:instrText xml:space="preserve"> PAGEREF _Toc235128419 \h </w:instrText>
        </w:r>
        <w:r>
          <w:rPr>
            <w:webHidden/>
          </w:rPr>
        </w:r>
        <w:r>
          <w:rPr>
            <w:webHidden/>
          </w:rPr>
          <w:fldChar w:fldCharType="separate"/>
        </w:r>
        <w:r>
          <w:rPr>
            <w:webHidden/>
          </w:rPr>
          <w:t>264</w:t>
        </w:r>
        <w:r>
          <w:rPr>
            <w:webHidden/>
          </w:rPr>
          <w:fldChar w:fldCharType="end"/>
        </w:r>
      </w:hyperlink>
    </w:p>
    <w:p w14:paraId="1DA15CAF" w14:textId="54604266" w:rsidR="00417EFD" w:rsidRDefault="00417EFD">
      <w:pPr>
        <w:pStyle w:val="Tabladeilustraciones"/>
        <w:rPr>
          <w:rFonts w:asciiTheme="minorHAnsi" w:eastAsiaTheme="minorEastAsia" w:hAnsiTheme="minorHAnsi" w:cstheme="minorBidi"/>
          <w:kern w:val="2"/>
          <w:szCs w:val="24"/>
          <w:lang w:val="es-CO" w:eastAsia="es-CO"/>
          <w14:ligatures w14:val="standardContextual"/>
        </w:rPr>
      </w:pPr>
      <w:hyperlink w:anchor="_Toc235128420" w:history="1">
        <w:r w:rsidRPr="00BD2D87">
          <w:rPr>
            <w:rStyle w:val="Hipervnculo"/>
          </w:rPr>
          <w:t xml:space="preserve">Tabla </w:t>
        </w:r>
        <w:r w:rsidRPr="00BD2D87">
          <w:rPr>
            <w:rStyle w:val="Hipervnculo"/>
            <w:bCs/>
          </w:rPr>
          <w:t>23.</w:t>
        </w:r>
        <w:r w:rsidRPr="00BD2D87">
          <w:rPr>
            <w:rStyle w:val="Hipervnculo"/>
          </w:rPr>
          <w:t xml:space="preserve"> </w:t>
        </w:r>
        <w:r w:rsidRPr="00BD2D87">
          <w:rPr>
            <w:rStyle w:val="Hipervnculo"/>
            <w:rFonts w:cs="Arial"/>
          </w:rPr>
          <w:t>Síntesis de los efectos estructurales asociadas al eje de ineficiencias económicas</w:t>
        </w:r>
        <w:r>
          <w:rPr>
            <w:webHidden/>
          </w:rPr>
          <w:tab/>
        </w:r>
        <w:r>
          <w:rPr>
            <w:webHidden/>
          </w:rPr>
          <w:fldChar w:fldCharType="begin"/>
        </w:r>
        <w:r>
          <w:rPr>
            <w:webHidden/>
          </w:rPr>
          <w:instrText xml:space="preserve"> PAGEREF _Toc235128420 \h </w:instrText>
        </w:r>
        <w:r>
          <w:rPr>
            <w:webHidden/>
          </w:rPr>
        </w:r>
        <w:r>
          <w:rPr>
            <w:webHidden/>
          </w:rPr>
          <w:fldChar w:fldCharType="separate"/>
        </w:r>
        <w:r>
          <w:rPr>
            <w:webHidden/>
          </w:rPr>
          <w:t>274</w:t>
        </w:r>
        <w:r>
          <w:rPr>
            <w:webHidden/>
          </w:rPr>
          <w:fldChar w:fldCharType="end"/>
        </w:r>
      </w:hyperlink>
    </w:p>
    <w:p w14:paraId="526D66B0" w14:textId="2E823D38" w:rsidR="00417EFD" w:rsidRDefault="00417EFD">
      <w:pPr>
        <w:pStyle w:val="Tabladeilustraciones"/>
        <w:rPr>
          <w:rFonts w:asciiTheme="minorHAnsi" w:eastAsiaTheme="minorEastAsia" w:hAnsiTheme="minorHAnsi" w:cstheme="minorBidi"/>
          <w:kern w:val="2"/>
          <w:szCs w:val="24"/>
          <w:lang w:val="es-CO" w:eastAsia="es-CO"/>
          <w14:ligatures w14:val="standardContextual"/>
        </w:rPr>
      </w:pPr>
      <w:hyperlink w:anchor="_Toc235128421" w:history="1">
        <w:r w:rsidRPr="00BD2D87">
          <w:rPr>
            <w:rStyle w:val="Hipervnculo"/>
          </w:rPr>
          <w:t xml:space="preserve">Tabla </w:t>
        </w:r>
        <w:r w:rsidRPr="00BD2D87">
          <w:rPr>
            <w:rStyle w:val="Hipervnculo"/>
            <w:bCs/>
          </w:rPr>
          <w:t>24.</w:t>
        </w:r>
        <w:r w:rsidRPr="00BD2D87">
          <w:rPr>
            <w:rStyle w:val="Hipervnculo"/>
          </w:rPr>
          <w:t xml:space="preserve"> </w:t>
        </w:r>
        <w:r w:rsidRPr="00BD2D87">
          <w:rPr>
            <w:rStyle w:val="Hipervnculo"/>
            <w:rFonts w:eastAsia="Arial" w:cs="Arial"/>
            <w:bCs/>
          </w:rPr>
          <w:t>Objetivos de resultado, indicadores de seguimiento y ejes temáticos asociados</w:t>
        </w:r>
        <w:r>
          <w:rPr>
            <w:webHidden/>
          </w:rPr>
          <w:tab/>
        </w:r>
        <w:r>
          <w:rPr>
            <w:webHidden/>
          </w:rPr>
          <w:fldChar w:fldCharType="begin"/>
        </w:r>
        <w:r>
          <w:rPr>
            <w:webHidden/>
          </w:rPr>
          <w:instrText xml:space="preserve"> PAGEREF _Toc235128421 \h </w:instrText>
        </w:r>
        <w:r>
          <w:rPr>
            <w:webHidden/>
          </w:rPr>
        </w:r>
        <w:r>
          <w:rPr>
            <w:webHidden/>
          </w:rPr>
          <w:fldChar w:fldCharType="separate"/>
        </w:r>
        <w:r>
          <w:rPr>
            <w:webHidden/>
          </w:rPr>
          <w:t>293</w:t>
        </w:r>
        <w:r>
          <w:rPr>
            <w:webHidden/>
          </w:rPr>
          <w:fldChar w:fldCharType="end"/>
        </w:r>
      </w:hyperlink>
    </w:p>
    <w:p w14:paraId="5A02F7E8" w14:textId="62D4E2D8" w:rsidR="00B866EE" w:rsidRPr="00C266C6" w:rsidRDefault="00832DBB" w:rsidP="002F1961">
      <w:pPr>
        <w:tabs>
          <w:tab w:val="right" w:leader="dot" w:pos="9394"/>
        </w:tabs>
        <w:spacing w:before="100" w:beforeAutospacing="1" w:after="100" w:afterAutospacing="1" w:line="360" w:lineRule="auto"/>
        <w:rPr>
          <w:rFonts w:cs="Arial"/>
          <w:b/>
          <w:bCs/>
          <w:szCs w:val="24"/>
        </w:rPr>
      </w:pPr>
      <w:r w:rsidRPr="00D864F0">
        <w:rPr>
          <w:rFonts w:eastAsiaTheme="minorEastAsia" w:cs="Arial"/>
          <w:szCs w:val="24"/>
          <w:lang w:val="es-PE" w:eastAsia="es-PE"/>
        </w:rPr>
        <w:fldChar w:fldCharType="end"/>
      </w:r>
      <w:r w:rsidR="00B866EE" w:rsidRPr="00C266C6">
        <w:rPr>
          <w:rFonts w:cs="Arial"/>
          <w:b/>
          <w:bCs/>
          <w:szCs w:val="24"/>
        </w:rPr>
        <w:br w:type="page"/>
      </w:r>
    </w:p>
    <w:p w14:paraId="691E9CEF" w14:textId="110BE7D7" w:rsidR="00A62811" w:rsidRPr="00C266C6" w:rsidRDefault="003D5139" w:rsidP="002F1961">
      <w:pPr>
        <w:pStyle w:val="Ttulo1"/>
        <w:keepLines/>
        <w:shd w:val="clear" w:color="auto" w:fill="FFFFFF" w:themeFill="background1"/>
        <w:tabs>
          <w:tab w:val="clear" w:pos="2556"/>
        </w:tabs>
        <w:suppressAutoHyphens w:val="0"/>
        <w:spacing w:before="100" w:beforeAutospacing="1" w:after="100" w:afterAutospacing="1" w:line="360" w:lineRule="auto"/>
        <w:ind w:left="0" w:firstLine="0"/>
        <w:jc w:val="center"/>
        <w:rPr>
          <w:rFonts w:cs="Arial"/>
          <w:b w:val="0"/>
          <w:szCs w:val="24"/>
          <w:lang w:val="es-CO"/>
        </w:rPr>
      </w:pPr>
      <w:bookmarkStart w:id="3" w:name="_Toc235128312"/>
      <w:r>
        <w:rPr>
          <w:rFonts w:cs="Arial"/>
          <w:szCs w:val="24"/>
        </w:rPr>
        <w:lastRenderedPageBreak/>
        <w:t>S</w:t>
      </w:r>
      <w:r w:rsidR="00A62811">
        <w:rPr>
          <w:rFonts w:cs="Arial"/>
          <w:szCs w:val="24"/>
        </w:rPr>
        <w:t>IGLAS</w:t>
      </w:r>
      <w:bookmarkEnd w:id="3"/>
    </w:p>
    <w:p w14:paraId="53964AAF" w14:textId="308EC121" w:rsidR="00DD24D1" w:rsidRPr="00DD24D1" w:rsidRDefault="00DD24D1" w:rsidP="0054331F">
      <w:pPr>
        <w:spacing w:before="120" w:after="120" w:line="360" w:lineRule="auto"/>
        <w:jc w:val="left"/>
        <w:rPr>
          <w:rFonts w:cs="Arial"/>
          <w:lang w:val="es-ES"/>
        </w:rPr>
      </w:pPr>
      <w:r w:rsidRPr="37A77A19">
        <w:rPr>
          <w:rFonts w:cs="Arial"/>
          <w:lang w:val="es-ES"/>
        </w:rPr>
        <w:t>AOM:</w:t>
      </w:r>
      <w:r>
        <w:tab/>
      </w:r>
      <w:r>
        <w:tab/>
      </w:r>
      <w:r w:rsidRPr="37A77A19">
        <w:rPr>
          <w:rFonts w:cs="Arial"/>
          <w:lang w:val="es-ES"/>
        </w:rPr>
        <w:t xml:space="preserve">Administración, </w:t>
      </w:r>
      <w:r>
        <w:rPr>
          <w:rFonts w:cs="Arial"/>
          <w:lang w:val="es-ES"/>
        </w:rPr>
        <w:t>O</w:t>
      </w:r>
      <w:r w:rsidRPr="37A77A19">
        <w:rPr>
          <w:rFonts w:cs="Arial"/>
          <w:lang w:val="es-ES"/>
        </w:rPr>
        <w:t xml:space="preserve">peración y </w:t>
      </w:r>
      <w:r>
        <w:rPr>
          <w:rFonts w:cs="Arial"/>
          <w:lang w:val="es-ES"/>
        </w:rPr>
        <w:t>M</w:t>
      </w:r>
      <w:r w:rsidRPr="37A77A19">
        <w:rPr>
          <w:rFonts w:cs="Arial"/>
          <w:lang w:val="es-ES"/>
        </w:rPr>
        <w:t>antenimiento</w:t>
      </w:r>
    </w:p>
    <w:p w14:paraId="09C6084E" w14:textId="589B298F" w:rsidR="009F5A9F" w:rsidRDefault="00A767E8" w:rsidP="0054331F">
      <w:pPr>
        <w:spacing w:before="120" w:after="120" w:line="360" w:lineRule="auto"/>
        <w:jc w:val="left"/>
        <w:rPr>
          <w:rFonts w:cs="Arial"/>
          <w:bCs/>
          <w:szCs w:val="24"/>
          <w:lang w:val="es-CO"/>
        </w:rPr>
      </w:pPr>
      <w:r w:rsidRPr="00C266C6">
        <w:rPr>
          <w:rFonts w:cs="Arial"/>
          <w:bCs/>
          <w:szCs w:val="24"/>
          <w:lang w:val="es-CO"/>
        </w:rPr>
        <w:t>CREG</w:t>
      </w:r>
      <w:r w:rsidR="00F50135" w:rsidRPr="00C266C6">
        <w:rPr>
          <w:rFonts w:cs="Arial"/>
          <w:bCs/>
          <w:szCs w:val="24"/>
          <w:lang w:val="es-CO"/>
        </w:rPr>
        <w:t xml:space="preserve">: </w:t>
      </w:r>
      <w:r w:rsidR="00480DA2" w:rsidRPr="00C266C6">
        <w:rPr>
          <w:rFonts w:cs="Arial"/>
          <w:bCs/>
          <w:szCs w:val="24"/>
          <w:lang w:val="es-CO"/>
        </w:rPr>
        <w:tab/>
      </w:r>
      <w:r w:rsidR="00F50135" w:rsidRPr="00C266C6">
        <w:rPr>
          <w:rFonts w:cs="Arial"/>
          <w:bCs/>
          <w:szCs w:val="24"/>
          <w:lang w:val="es-CO"/>
        </w:rPr>
        <w:t xml:space="preserve">Comisión de Regulación de Energía y </w:t>
      </w:r>
      <w:r w:rsidR="00A851E6" w:rsidRPr="00C266C6">
        <w:rPr>
          <w:rFonts w:cs="Arial"/>
          <w:bCs/>
          <w:szCs w:val="24"/>
          <w:lang w:val="es-CO"/>
        </w:rPr>
        <w:t>Gas.</w:t>
      </w:r>
    </w:p>
    <w:p w14:paraId="2B81EFFF" w14:textId="77777777" w:rsidR="00F57A6B" w:rsidRDefault="009F5A9F" w:rsidP="0054331F">
      <w:pPr>
        <w:spacing w:before="120" w:after="120" w:line="360" w:lineRule="auto"/>
        <w:jc w:val="left"/>
        <w:rPr>
          <w:rFonts w:cs="Arial"/>
          <w:szCs w:val="24"/>
        </w:rPr>
      </w:pPr>
      <w:r w:rsidRPr="007976D6">
        <w:rPr>
          <w:rFonts w:cs="Arial"/>
          <w:szCs w:val="24"/>
        </w:rPr>
        <w:t>CQM</w:t>
      </w:r>
      <w:r>
        <w:rPr>
          <w:rFonts w:cs="Arial"/>
          <w:szCs w:val="24"/>
        </w:rPr>
        <w:t xml:space="preserve">: </w:t>
      </w:r>
      <w:r>
        <w:rPr>
          <w:rFonts w:cs="Arial"/>
          <w:szCs w:val="24"/>
        </w:rPr>
        <w:tab/>
      </w:r>
      <w:r>
        <w:rPr>
          <w:rFonts w:cs="Arial"/>
          <w:szCs w:val="24"/>
        </w:rPr>
        <w:tab/>
        <w:t xml:space="preserve">Camilo Quintero </w:t>
      </w:r>
      <w:r w:rsidR="00331665">
        <w:rPr>
          <w:rFonts w:cs="Arial"/>
          <w:szCs w:val="24"/>
        </w:rPr>
        <w:t xml:space="preserve">Montaño </w:t>
      </w:r>
      <w:r w:rsidR="006B3CDB">
        <w:rPr>
          <w:rFonts w:cs="Arial"/>
          <w:szCs w:val="24"/>
        </w:rPr>
        <w:t>Consultorías.</w:t>
      </w:r>
    </w:p>
    <w:p w14:paraId="744621FC" w14:textId="7E114BA6" w:rsidR="0069359B" w:rsidRDefault="0069359B" w:rsidP="0054331F">
      <w:pPr>
        <w:spacing w:before="120" w:after="120" w:line="360" w:lineRule="auto"/>
        <w:jc w:val="left"/>
        <w:rPr>
          <w:rFonts w:cs="Arial"/>
          <w:bCs/>
          <w:szCs w:val="24"/>
          <w:lang w:val="es-CO"/>
        </w:rPr>
      </w:pPr>
      <w:r>
        <w:rPr>
          <w:rFonts w:cs="Arial"/>
          <w:szCs w:val="24"/>
        </w:rPr>
        <w:t>DANE:</w:t>
      </w:r>
      <w:r>
        <w:rPr>
          <w:rFonts w:cs="Arial"/>
          <w:szCs w:val="24"/>
        </w:rPr>
        <w:tab/>
        <w:t>Departamento Nacional de Planeación</w:t>
      </w:r>
    </w:p>
    <w:p w14:paraId="66C75AE6" w14:textId="77777777" w:rsidR="00312510" w:rsidRDefault="00674F48" w:rsidP="0054331F">
      <w:pPr>
        <w:spacing w:before="120" w:after="120" w:line="360" w:lineRule="auto"/>
        <w:jc w:val="left"/>
      </w:pPr>
      <w:r w:rsidRPr="44815110">
        <w:rPr>
          <w:rFonts w:cs="Arial"/>
          <w:lang w:val="es-ES"/>
        </w:rPr>
        <w:t>DNP:</w:t>
      </w:r>
      <w:r>
        <w:tab/>
      </w:r>
      <w:r>
        <w:tab/>
      </w:r>
      <w:r w:rsidRPr="44815110">
        <w:rPr>
          <w:rFonts w:cs="Arial"/>
          <w:lang w:val="es-ES"/>
        </w:rPr>
        <w:t>Departamento Nacional de Planeación</w:t>
      </w:r>
      <w:r w:rsidR="00FD7405">
        <w:t>.</w:t>
      </w:r>
      <w:r w:rsidR="00312510">
        <w:tab/>
      </w:r>
    </w:p>
    <w:p w14:paraId="0638FB97" w14:textId="14A8C4D2" w:rsidR="00312510" w:rsidRDefault="00182E6A" w:rsidP="0054331F">
      <w:pPr>
        <w:spacing w:before="120" w:after="120" w:line="360" w:lineRule="auto"/>
        <w:jc w:val="left"/>
      </w:pPr>
      <w:r>
        <w:t>EDS:</w:t>
      </w:r>
      <w:r>
        <w:tab/>
      </w:r>
      <w:r>
        <w:tab/>
        <w:t>Estación de Servicio</w:t>
      </w:r>
      <w:r w:rsidR="00312510">
        <w:tab/>
      </w:r>
    </w:p>
    <w:p w14:paraId="6CBF1D9D" w14:textId="0DB1EA8D" w:rsidR="004D1D12" w:rsidRDefault="004D1D12" w:rsidP="0054331F">
      <w:pPr>
        <w:spacing w:before="120" w:after="120" w:line="360" w:lineRule="auto"/>
        <w:jc w:val="left"/>
        <w:rPr>
          <w:szCs w:val="24"/>
          <w:lang w:val="es-CO"/>
        </w:rPr>
      </w:pPr>
      <w:r w:rsidRPr="0023275E">
        <w:rPr>
          <w:szCs w:val="24"/>
          <w:lang w:val="es-CO"/>
        </w:rPr>
        <w:t>FNCER</w:t>
      </w:r>
      <w:r>
        <w:rPr>
          <w:szCs w:val="24"/>
          <w:lang w:val="es-CO"/>
        </w:rPr>
        <w:t>:</w:t>
      </w:r>
      <w:r>
        <w:rPr>
          <w:szCs w:val="24"/>
          <w:lang w:val="es-CO"/>
        </w:rPr>
        <w:tab/>
        <w:t>Fuentes No Convencionales de Energía Renovable</w:t>
      </w:r>
    </w:p>
    <w:p w14:paraId="2683BA7A" w14:textId="46DA3ADA" w:rsidR="00880C3C" w:rsidRDefault="00880C3C" w:rsidP="0054331F">
      <w:pPr>
        <w:spacing w:before="120" w:after="120" w:line="360" w:lineRule="auto"/>
        <w:jc w:val="left"/>
      </w:pPr>
      <w:r>
        <w:rPr>
          <w:lang w:val="es-CO"/>
        </w:rPr>
        <w:t>FSSRI:</w:t>
      </w:r>
      <w:r>
        <w:rPr>
          <w:lang w:val="es-CO"/>
        </w:rPr>
        <w:tab/>
      </w:r>
      <w:r w:rsidRPr="00530F48">
        <w:rPr>
          <w:lang w:val="es-CO"/>
        </w:rPr>
        <w:t>Fondo de Solidaridad para Subsidios y Redistribución de Ingresos</w:t>
      </w:r>
      <w:r>
        <w:rPr>
          <w:lang w:val="es-CO"/>
        </w:rPr>
        <w:t xml:space="preserve">, </w:t>
      </w:r>
    </w:p>
    <w:p w14:paraId="582F0598" w14:textId="43CA2561" w:rsidR="003A6396" w:rsidRDefault="006124AA" w:rsidP="0054331F">
      <w:pPr>
        <w:spacing w:before="120" w:after="120" w:line="360" w:lineRule="auto"/>
        <w:jc w:val="left"/>
        <w:rPr>
          <w:lang w:val="es-CO"/>
        </w:rPr>
      </w:pPr>
      <w:r>
        <w:rPr>
          <w:rFonts w:cs="Arial"/>
        </w:rPr>
        <w:t xml:space="preserve">GLP: </w:t>
      </w:r>
      <w:r>
        <w:rPr>
          <w:rFonts w:cs="Arial"/>
        </w:rPr>
        <w:tab/>
      </w:r>
      <w:r>
        <w:rPr>
          <w:rFonts w:cs="Arial"/>
        </w:rPr>
        <w:tab/>
      </w:r>
      <w:r>
        <w:rPr>
          <w:lang w:val="es-CO"/>
        </w:rPr>
        <w:t>G</w:t>
      </w:r>
      <w:r w:rsidRPr="008E378F">
        <w:rPr>
          <w:lang w:val="es-CO"/>
        </w:rPr>
        <w:t xml:space="preserve">as </w:t>
      </w:r>
      <w:r>
        <w:rPr>
          <w:lang w:val="es-CO"/>
        </w:rPr>
        <w:t>L</w:t>
      </w:r>
      <w:r w:rsidRPr="008E378F">
        <w:rPr>
          <w:lang w:val="es-CO"/>
        </w:rPr>
        <w:t xml:space="preserve">icuado de </w:t>
      </w:r>
      <w:r>
        <w:rPr>
          <w:lang w:val="es-CO"/>
        </w:rPr>
        <w:t>P</w:t>
      </w:r>
      <w:r w:rsidRPr="008E378F">
        <w:rPr>
          <w:lang w:val="es-CO"/>
        </w:rPr>
        <w:t>etróleo</w:t>
      </w:r>
    </w:p>
    <w:p w14:paraId="28654508" w14:textId="29BAA5C0" w:rsidR="00F876B2" w:rsidRDefault="00F876B2" w:rsidP="0054331F">
      <w:pPr>
        <w:spacing w:before="120" w:after="120" w:line="360" w:lineRule="auto"/>
        <w:jc w:val="left"/>
        <w:rPr>
          <w:rFonts w:cs="Arial"/>
          <w:szCs w:val="24"/>
        </w:rPr>
      </w:pPr>
      <w:r>
        <w:rPr>
          <w:lang w:val="es-CO"/>
        </w:rPr>
        <w:t xml:space="preserve">IPC: </w:t>
      </w:r>
      <w:r>
        <w:rPr>
          <w:lang w:val="es-CO"/>
        </w:rPr>
        <w:tab/>
      </w:r>
      <w:r>
        <w:rPr>
          <w:lang w:val="es-CO"/>
        </w:rPr>
        <w:tab/>
        <w:t>Índice de Precios al Consumidor</w:t>
      </w:r>
    </w:p>
    <w:p w14:paraId="14613019" w14:textId="228387DA" w:rsidR="00F876B2" w:rsidRDefault="00F876B2" w:rsidP="0054331F">
      <w:pPr>
        <w:spacing w:before="120" w:after="120" w:line="360" w:lineRule="auto"/>
        <w:jc w:val="left"/>
        <w:rPr>
          <w:rFonts w:cs="Arial"/>
          <w:bCs/>
          <w:szCs w:val="24"/>
          <w:lang w:val="es-CO"/>
        </w:rPr>
      </w:pPr>
      <w:r w:rsidRPr="00F876B2">
        <w:rPr>
          <w:rFonts w:cs="Arial"/>
          <w:bCs/>
          <w:szCs w:val="24"/>
          <w:lang w:val="es-CO"/>
        </w:rPr>
        <w:t>IPP</w:t>
      </w:r>
      <w:r>
        <w:rPr>
          <w:rFonts w:cs="Arial"/>
          <w:bCs/>
          <w:szCs w:val="24"/>
          <w:lang w:val="es-CO"/>
        </w:rPr>
        <w:t>:</w:t>
      </w:r>
      <w:r>
        <w:rPr>
          <w:rFonts w:cs="Arial"/>
          <w:bCs/>
          <w:szCs w:val="24"/>
          <w:lang w:val="es-CO"/>
        </w:rPr>
        <w:tab/>
      </w:r>
      <w:r>
        <w:rPr>
          <w:rFonts w:cs="Arial"/>
          <w:bCs/>
          <w:szCs w:val="24"/>
          <w:lang w:val="es-CO"/>
        </w:rPr>
        <w:tab/>
      </w:r>
      <w:r w:rsidRPr="00F876B2">
        <w:rPr>
          <w:rFonts w:cs="Arial"/>
          <w:bCs/>
          <w:szCs w:val="24"/>
          <w:lang w:val="es-CO"/>
        </w:rPr>
        <w:t xml:space="preserve"> Índice de Precios al Productor</w:t>
      </w:r>
    </w:p>
    <w:p w14:paraId="3B16C9A2" w14:textId="6F0120F0" w:rsidR="00E95AC6" w:rsidRPr="006124AA" w:rsidRDefault="00A767E8" w:rsidP="0054331F">
      <w:pPr>
        <w:spacing w:before="120" w:after="120" w:line="360" w:lineRule="auto"/>
        <w:jc w:val="left"/>
        <w:rPr>
          <w:rFonts w:cs="Arial"/>
        </w:rPr>
      </w:pPr>
      <w:r w:rsidRPr="00C266C6">
        <w:rPr>
          <w:rFonts w:cs="Arial"/>
          <w:bCs/>
          <w:szCs w:val="24"/>
          <w:lang w:val="es-CO"/>
        </w:rPr>
        <w:t>MME</w:t>
      </w:r>
      <w:r w:rsidR="005D0D8C" w:rsidRPr="00C266C6">
        <w:rPr>
          <w:rFonts w:cs="Arial"/>
          <w:bCs/>
          <w:szCs w:val="24"/>
          <w:lang w:val="es-CO"/>
        </w:rPr>
        <w:t xml:space="preserve">: </w:t>
      </w:r>
      <w:r w:rsidR="0081549E" w:rsidRPr="00C266C6">
        <w:rPr>
          <w:rFonts w:cs="Arial"/>
          <w:bCs/>
          <w:szCs w:val="24"/>
          <w:lang w:val="es-CO"/>
        </w:rPr>
        <w:tab/>
      </w:r>
      <w:r w:rsidR="0081549E" w:rsidRPr="00C266C6">
        <w:rPr>
          <w:rFonts w:cs="Arial"/>
          <w:bCs/>
          <w:szCs w:val="24"/>
          <w:lang w:val="es-CO"/>
        </w:rPr>
        <w:tab/>
      </w:r>
      <w:r w:rsidR="005D0D8C" w:rsidRPr="00C266C6">
        <w:rPr>
          <w:rFonts w:cs="Arial"/>
          <w:bCs/>
          <w:szCs w:val="24"/>
          <w:lang w:val="es-CO"/>
        </w:rPr>
        <w:t>Ministerio de Minas y Energía</w:t>
      </w:r>
      <w:r w:rsidR="00A51FEF" w:rsidRPr="00C266C6">
        <w:rPr>
          <w:rFonts w:cs="Arial"/>
          <w:bCs/>
          <w:szCs w:val="24"/>
          <w:lang w:val="es-CO"/>
        </w:rPr>
        <w:t>.</w:t>
      </w:r>
    </w:p>
    <w:p w14:paraId="19599093" w14:textId="77777777" w:rsidR="003A6396" w:rsidRDefault="00E95AC6" w:rsidP="0054331F">
      <w:pPr>
        <w:spacing w:before="120" w:after="120" w:line="360" w:lineRule="auto"/>
        <w:jc w:val="left"/>
        <w:rPr>
          <w:rFonts w:cs="Arial"/>
          <w:bCs/>
          <w:szCs w:val="24"/>
          <w:lang w:val="es-CO"/>
        </w:rPr>
      </w:pPr>
      <w:r>
        <w:rPr>
          <w:rFonts w:cs="Arial"/>
          <w:lang w:val="es-ES"/>
        </w:rPr>
        <w:t>PIAGLP:</w:t>
      </w:r>
      <w:r>
        <w:rPr>
          <w:rFonts w:cs="Arial"/>
          <w:lang w:val="es-ES"/>
        </w:rPr>
        <w:tab/>
      </w:r>
      <w:r w:rsidRPr="00A650D4">
        <w:t>Plan Indicativo de Abastecimiento de Gas Licuado del Petróleo</w:t>
      </w:r>
    </w:p>
    <w:p w14:paraId="2E18C419" w14:textId="72C60395" w:rsidR="003A6396" w:rsidRDefault="00A767E8" w:rsidP="0054331F">
      <w:pPr>
        <w:spacing w:before="120" w:after="120" w:line="360" w:lineRule="auto"/>
        <w:jc w:val="left"/>
        <w:rPr>
          <w:rFonts w:cs="Arial"/>
          <w:bCs/>
          <w:szCs w:val="24"/>
          <w:lang w:val="es-CO"/>
        </w:rPr>
      </w:pPr>
      <w:r w:rsidRPr="00C266C6">
        <w:rPr>
          <w:rFonts w:cs="Arial"/>
          <w:szCs w:val="24"/>
          <w:lang w:val="es-CO"/>
        </w:rPr>
        <w:t>SPD</w:t>
      </w:r>
      <w:r w:rsidR="00A51FEF" w:rsidRPr="00C266C6">
        <w:rPr>
          <w:rFonts w:cs="Arial"/>
          <w:bCs/>
          <w:szCs w:val="24"/>
          <w:lang w:val="es-CO"/>
        </w:rPr>
        <w:t xml:space="preserve">: </w:t>
      </w:r>
      <w:r w:rsidR="0081549E" w:rsidRPr="00C266C6">
        <w:rPr>
          <w:rFonts w:cs="Arial"/>
          <w:bCs/>
          <w:szCs w:val="24"/>
          <w:lang w:val="es-CO"/>
        </w:rPr>
        <w:tab/>
      </w:r>
      <w:r w:rsidR="0081549E" w:rsidRPr="00C266C6">
        <w:rPr>
          <w:rFonts w:cs="Arial"/>
          <w:bCs/>
          <w:szCs w:val="24"/>
          <w:lang w:val="es-CO"/>
        </w:rPr>
        <w:tab/>
      </w:r>
      <w:r w:rsidR="00A51FEF" w:rsidRPr="00C266C6">
        <w:rPr>
          <w:rFonts w:cs="Arial"/>
          <w:bCs/>
          <w:szCs w:val="24"/>
          <w:lang w:val="es-CO"/>
        </w:rPr>
        <w:t xml:space="preserve">Servicio </w:t>
      </w:r>
      <w:r w:rsidR="00D27B38">
        <w:rPr>
          <w:rFonts w:cs="Arial"/>
          <w:bCs/>
          <w:szCs w:val="24"/>
          <w:lang w:val="es-CO"/>
        </w:rPr>
        <w:t>P</w:t>
      </w:r>
      <w:r w:rsidR="00197AAE" w:rsidRPr="00C266C6">
        <w:rPr>
          <w:rFonts w:cs="Arial"/>
          <w:bCs/>
          <w:szCs w:val="24"/>
          <w:lang w:val="es-CO"/>
        </w:rPr>
        <w:t xml:space="preserve">úblico </w:t>
      </w:r>
      <w:r w:rsidR="00D27B38">
        <w:rPr>
          <w:rFonts w:cs="Arial"/>
          <w:bCs/>
          <w:szCs w:val="24"/>
          <w:lang w:val="es-CO"/>
        </w:rPr>
        <w:t>D</w:t>
      </w:r>
      <w:r w:rsidR="00A51FEF" w:rsidRPr="00C266C6">
        <w:rPr>
          <w:rFonts w:cs="Arial"/>
          <w:bCs/>
          <w:szCs w:val="24"/>
          <w:lang w:val="es-CO"/>
        </w:rPr>
        <w:t>omiciliario.</w:t>
      </w:r>
    </w:p>
    <w:p w14:paraId="46220266" w14:textId="0727C2F6" w:rsidR="009F2F91" w:rsidRPr="00E95AC6" w:rsidRDefault="00A767E8" w:rsidP="0054331F">
      <w:pPr>
        <w:spacing w:before="120" w:after="120" w:line="360" w:lineRule="auto"/>
        <w:jc w:val="left"/>
        <w:rPr>
          <w:rFonts w:cs="Arial"/>
          <w:lang w:val="es-ES"/>
        </w:rPr>
      </w:pPr>
      <w:r w:rsidRPr="00C266C6">
        <w:rPr>
          <w:rFonts w:cs="Arial"/>
          <w:bCs/>
          <w:szCs w:val="24"/>
        </w:rPr>
        <w:t>SSPD</w:t>
      </w:r>
      <w:r w:rsidR="00A51FEF" w:rsidRPr="00C266C6">
        <w:rPr>
          <w:rFonts w:cs="Arial"/>
          <w:bCs/>
          <w:szCs w:val="24"/>
        </w:rPr>
        <w:t xml:space="preserve">: </w:t>
      </w:r>
      <w:r w:rsidR="0081549E" w:rsidRPr="00C266C6">
        <w:rPr>
          <w:rFonts w:cs="Arial"/>
          <w:bCs/>
          <w:szCs w:val="24"/>
        </w:rPr>
        <w:tab/>
      </w:r>
      <w:r w:rsidR="00A51FEF" w:rsidRPr="00C266C6">
        <w:rPr>
          <w:rFonts w:cs="Arial"/>
          <w:bCs/>
          <w:szCs w:val="24"/>
        </w:rPr>
        <w:t>Superintendencia de Servicios Públicos Domiciliarios.</w:t>
      </w:r>
    </w:p>
    <w:p w14:paraId="0F502303" w14:textId="77777777" w:rsidR="003A6396" w:rsidRDefault="009F2F91" w:rsidP="0054331F">
      <w:pPr>
        <w:spacing w:before="120" w:after="120" w:line="360" w:lineRule="auto"/>
        <w:jc w:val="left"/>
        <w:rPr>
          <w:rFonts w:cs="Arial"/>
          <w:bCs/>
          <w:szCs w:val="24"/>
        </w:rPr>
      </w:pPr>
      <w:r>
        <w:rPr>
          <w:rFonts w:cs="Arial"/>
          <w:bCs/>
          <w:szCs w:val="24"/>
        </w:rPr>
        <w:t xml:space="preserve">SIC: </w:t>
      </w:r>
      <w:r>
        <w:rPr>
          <w:rFonts w:cs="Arial"/>
          <w:bCs/>
          <w:szCs w:val="24"/>
        </w:rPr>
        <w:tab/>
      </w:r>
      <w:r>
        <w:rPr>
          <w:rFonts w:cs="Arial"/>
          <w:bCs/>
          <w:szCs w:val="24"/>
        </w:rPr>
        <w:tab/>
        <w:t xml:space="preserve">Superintendencia de Industria y Comercio </w:t>
      </w:r>
    </w:p>
    <w:p w14:paraId="41DB7F37" w14:textId="77777777" w:rsidR="003A6396" w:rsidRDefault="00A767E8" w:rsidP="0054331F">
      <w:pPr>
        <w:spacing w:before="120" w:after="120" w:line="360" w:lineRule="auto"/>
        <w:jc w:val="left"/>
        <w:rPr>
          <w:rFonts w:cs="Arial"/>
          <w:bCs/>
          <w:szCs w:val="24"/>
        </w:rPr>
      </w:pPr>
      <w:r w:rsidRPr="00C266C6">
        <w:rPr>
          <w:rFonts w:cs="Arial"/>
          <w:bCs/>
          <w:szCs w:val="24"/>
        </w:rPr>
        <w:t>SUI</w:t>
      </w:r>
      <w:r w:rsidR="00A51FEF" w:rsidRPr="00C266C6">
        <w:rPr>
          <w:rFonts w:cs="Arial"/>
          <w:bCs/>
          <w:szCs w:val="24"/>
        </w:rPr>
        <w:t xml:space="preserve">: </w:t>
      </w:r>
      <w:r w:rsidR="0081549E" w:rsidRPr="00C266C6">
        <w:rPr>
          <w:rFonts w:cs="Arial"/>
          <w:bCs/>
          <w:szCs w:val="24"/>
        </w:rPr>
        <w:tab/>
      </w:r>
      <w:r w:rsidR="0081549E" w:rsidRPr="00C266C6">
        <w:rPr>
          <w:rFonts w:cs="Arial"/>
          <w:bCs/>
          <w:szCs w:val="24"/>
        </w:rPr>
        <w:tab/>
      </w:r>
      <w:r w:rsidR="00A51FEF" w:rsidRPr="00C266C6">
        <w:rPr>
          <w:rFonts w:cs="Arial"/>
          <w:bCs/>
          <w:szCs w:val="24"/>
        </w:rPr>
        <w:t>Sistema Único de Información.</w:t>
      </w:r>
    </w:p>
    <w:p w14:paraId="3189CE62" w14:textId="1CAC3308" w:rsidR="00394FA7" w:rsidRDefault="00DC032B" w:rsidP="0054331F">
      <w:pPr>
        <w:spacing w:before="120" w:after="120" w:line="360" w:lineRule="auto"/>
        <w:jc w:val="left"/>
        <w:rPr>
          <w:rFonts w:cs="Arial"/>
        </w:rPr>
      </w:pPr>
      <w:r w:rsidRPr="00C266C6">
        <w:rPr>
          <w:rFonts w:cs="Arial"/>
        </w:rPr>
        <w:t xml:space="preserve">UPME: </w:t>
      </w:r>
      <w:r w:rsidR="0081549E" w:rsidRPr="00C266C6">
        <w:rPr>
          <w:rFonts w:cs="Arial"/>
        </w:rPr>
        <w:tab/>
      </w:r>
      <w:r w:rsidRPr="00C266C6">
        <w:rPr>
          <w:rFonts w:cs="Arial"/>
        </w:rPr>
        <w:t>Unidad de Planeación Minero</w:t>
      </w:r>
      <w:r w:rsidR="00486698" w:rsidRPr="00C266C6">
        <w:rPr>
          <w:rFonts w:cs="Arial"/>
        </w:rPr>
        <w:t>-</w:t>
      </w:r>
      <w:r w:rsidRPr="00C266C6">
        <w:rPr>
          <w:rFonts w:cs="Arial"/>
        </w:rPr>
        <w:t>Energética</w:t>
      </w:r>
      <w:r w:rsidR="00D92709" w:rsidRPr="00C266C6">
        <w:rPr>
          <w:rFonts w:cs="Arial"/>
        </w:rPr>
        <w:t>.</w:t>
      </w:r>
    </w:p>
    <w:p w14:paraId="6BCF03F1" w14:textId="3EC37585" w:rsidR="00F57A6B" w:rsidRDefault="00F57A6B" w:rsidP="0054331F">
      <w:pPr>
        <w:spacing w:before="120" w:after="120" w:line="360" w:lineRule="auto"/>
        <w:jc w:val="left"/>
        <w:rPr>
          <w:rFonts w:cs="Arial"/>
        </w:rPr>
      </w:pPr>
      <w:r>
        <w:rPr>
          <w:rFonts w:cs="Arial"/>
        </w:rPr>
        <w:t xml:space="preserve">ZNI: </w:t>
      </w:r>
      <w:r>
        <w:rPr>
          <w:rFonts w:cs="Arial"/>
        </w:rPr>
        <w:tab/>
      </w:r>
      <w:r>
        <w:rPr>
          <w:rFonts w:cs="Arial"/>
        </w:rPr>
        <w:tab/>
        <w:t>Zonas No Interconectadas</w:t>
      </w:r>
    </w:p>
    <w:p w14:paraId="1BAA7503" w14:textId="20CC8F5D" w:rsidR="0040768A" w:rsidRPr="00D31B46" w:rsidRDefault="00B20F77" w:rsidP="002F1961">
      <w:pPr>
        <w:spacing w:before="100" w:beforeAutospacing="1" w:after="100" w:afterAutospacing="1" w:line="360" w:lineRule="auto"/>
        <w:jc w:val="left"/>
        <w:rPr>
          <w:rFonts w:cs="Arial"/>
          <w:lang w:val="es-CO"/>
        </w:rPr>
      </w:pPr>
      <w:r>
        <w:rPr>
          <w:rFonts w:cs="Arial"/>
          <w:lang w:val="es-CO"/>
        </w:rPr>
        <w:br w:type="page"/>
      </w:r>
    </w:p>
    <w:p w14:paraId="2DA8CB06" w14:textId="3B2CEEDD" w:rsidR="00EE5B49" w:rsidRDefault="00EE5B49" w:rsidP="00EE5B49">
      <w:pPr>
        <w:pStyle w:val="Ttulo1"/>
        <w:keepLines/>
        <w:shd w:val="clear" w:color="auto" w:fill="FFFFFF" w:themeFill="background1"/>
        <w:tabs>
          <w:tab w:val="clear" w:pos="2556"/>
        </w:tabs>
        <w:suppressAutoHyphens w:val="0"/>
        <w:spacing w:before="100" w:beforeAutospacing="1" w:after="100" w:afterAutospacing="1" w:line="360" w:lineRule="auto"/>
        <w:ind w:left="360" w:firstLine="0"/>
        <w:rPr>
          <w:rFonts w:cs="Arial"/>
        </w:rPr>
      </w:pPr>
      <w:bookmarkStart w:id="4" w:name="_Toc235128313"/>
      <w:r>
        <w:rPr>
          <w:rFonts w:cs="Arial"/>
        </w:rPr>
        <w:lastRenderedPageBreak/>
        <w:t>INTRODUCCIÓN</w:t>
      </w:r>
      <w:bookmarkEnd w:id="4"/>
    </w:p>
    <w:p w14:paraId="7C153B49" w14:textId="0D16EDA1" w:rsidR="004A191F" w:rsidRPr="0009475E" w:rsidRDefault="004A191F" w:rsidP="004A191F">
      <w:pPr>
        <w:spacing w:before="100" w:beforeAutospacing="1" w:after="100" w:afterAutospacing="1" w:line="360" w:lineRule="auto"/>
        <w:rPr>
          <w:rFonts w:eastAsia="Arial" w:cs="Arial"/>
          <w:color w:val="000000"/>
          <w:szCs w:val="24"/>
        </w:rPr>
      </w:pPr>
      <w:r w:rsidRPr="0009475E">
        <w:rPr>
          <w:rFonts w:eastAsia="Arial" w:cs="Arial"/>
          <w:color w:val="000000"/>
          <w:szCs w:val="24"/>
        </w:rPr>
        <w:t>E</w:t>
      </w:r>
      <w:r w:rsidRPr="0009475E">
        <w:rPr>
          <w:rFonts w:eastAsia="Arial" w:cs="Arial"/>
          <w:color w:val="000000"/>
          <w:szCs w:val="24"/>
        </w:rPr>
        <w:t>l Gas Licuado de Petróleo (GLP) constituye un servicio público domiciliario de especial importancia para el abastecimiento energético de los hogares y demás usuarios que dependen de este combustible para el desarrollo de sus actividades. Debido a las características de su cadena de prestación y a la diversidad de modalidades mediante las cuales se suministra el servicio, resulta necesario evaluar periódicamente si las condiciones regulatorias continúan siendo adecuadas para responder a las necesidades de los usuarios y promover un funcionamiento eficiente del mercado.</w:t>
      </w:r>
    </w:p>
    <w:p w14:paraId="559055AE" w14:textId="77777777" w:rsidR="004A191F" w:rsidRPr="0009475E" w:rsidRDefault="004A191F" w:rsidP="004A191F">
      <w:pPr>
        <w:spacing w:before="100" w:beforeAutospacing="1" w:after="100" w:afterAutospacing="1" w:line="360" w:lineRule="auto"/>
        <w:rPr>
          <w:rFonts w:eastAsia="Arial" w:cs="Arial"/>
          <w:color w:val="000000"/>
          <w:szCs w:val="24"/>
        </w:rPr>
      </w:pPr>
      <w:r w:rsidRPr="0009475E">
        <w:rPr>
          <w:rFonts w:eastAsia="Arial" w:cs="Arial"/>
          <w:color w:val="000000"/>
          <w:szCs w:val="24"/>
        </w:rPr>
        <w:t>Con este propósito, la Comisión de Regulación de Energía y Gas (CREG) desarrolla el presente Análisis de Impacto Normativo (AIN), como herramienta metodológica para identificar y analizar de manera sistemática los problemas regulatorios, sus causas y sus efectos, con el fin de evaluar la necesidad de una eventual intervención regulatoria y orientar la selección de las alternativas que generen mayores beneficios para los usuarios y la sociedad.</w:t>
      </w:r>
    </w:p>
    <w:p w14:paraId="1D33DF49" w14:textId="77777777" w:rsidR="004A191F" w:rsidRPr="0009475E" w:rsidRDefault="004A191F" w:rsidP="004A191F">
      <w:pPr>
        <w:spacing w:before="100" w:beforeAutospacing="1" w:after="100" w:afterAutospacing="1" w:line="360" w:lineRule="auto"/>
        <w:rPr>
          <w:rFonts w:eastAsia="Arial" w:cs="Arial"/>
          <w:color w:val="000000"/>
          <w:szCs w:val="24"/>
        </w:rPr>
      </w:pPr>
      <w:r w:rsidRPr="0009475E">
        <w:rPr>
          <w:rFonts w:eastAsia="Arial" w:cs="Arial"/>
          <w:color w:val="000000"/>
          <w:szCs w:val="24"/>
        </w:rPr>
        <w:t>De conformidad con la metodología del AIN, el análisis desarrollado en este documento parte de un enfoque centrado en el usuario del servicio público domiciliario de GLP. Bajo esta perspectiva, la identificación del problema regulatorio no se realiza a partir de las disposiciones regulatorias existentes, sino de las condiciones que los usuarios esperan encontrar en una adecuada prestación del servicio. Este enfoque pone en el centro la realidad de los usuarios, asegurando que una eventual intervención regulatoria responda a problemas efectivamente identificados y contribuya a la adopción de medidas pertinentes, eficaces y eficientes.</w:t>
      </w:r>
    </w:p>
    <w:p w14:paraId="6A09BCA6" w14:textId="52CE28F5" w:rsidR="004A191F" w:rsidRPr="0009475E" w:rsidRDefault="004A191F" w:rsidP="004A191F">
      <w:pPr>
        <w:spacing w:before="100" w:beforeAutospacing="1" w:after="100" w:afterAutospacing="1" w:line="360" w:lineRule="auto"/>
        <w:rPr>
          <w:rFonts w:eastAsia="Arial" w:cs="Arial"/>
          <w:color w:val="000000"/>
          <w:szCs w:val="24"/>
        </w:rPr>
      </w:pPr>
      <w:r w:rsidRPr="0009475E">
        <w:rPr>
          <w:rFonts w:eastAsia="Arial" w:cs="Arial"/>
          <w:color w:val="000000"/>
          <w:szCs w:val="24"/>
        </w:rPr>
        <w:t>Desde la perspectiva del usuario, una adecuada prestación del servicio público domiciliario de GLP supone el cumplimiento de tres condiciones fundamentales: (i) que el servicio esté disponible cuando el usuario lo requiera, (</w:t>
      </w:r>
      <w:proofErr w:type="spellStart"/>
      <w:r w:rsidRPr="0009475E">
        <w:rPr>
          <w:rFonts w:eastAsia="Arial" w:cs="Arial"/>
          <w:color w:val="000000"/>
          <w:szCs w:val="24"/>
        </w:rPr>
        <w:t>ii</w:t>
      </w:r>
      <w:proofErr w:type="spellEnd"/>
      <w:r w:rsidRPr="0009475E">
        <w:rPr>
          <w:rFonts w:eastAsia="Arial" w:cs="Arial"/>
          <w:color w:val="000000"/>
          <w:szCs w:val="24"/>
        </w:rPr>
        <w:t>) que se preste en condiciones adecuadas de calidad, seguridad, información y atención, y (</w:t>
      </w:r>
      <w:proofErr w:type="spellStart"/>
      <w:r w:rsidRPr="0009475E">
        <w:rPr>
          <w:rFonts w:eastAsia="Arial" w:cs="Arial"/>
          <w:color w:val="000000"/>
          <w:szCs w:val="24"/>
        </w:rPr>
        <w:t>iii</w:t>
      </w:r>
      <w:proofErr w:type="spellEnd"/>
      <w:r w:rsidRPr="0009475E">
        <w:rPr>
          <w:rFonts w:eastAsia="Arial" w:cs="Arial"/>
          <w:color w:val="000000"/>
          <w:szCs w:val="24"/>
        </w:rPr>
        <w:t xml:space="preserve">) </w:t>
      </w:r>
      <w:r w:rsidR="0009475E" w:rsidRPr="0009475E">
        <w:rPr>
          <w:rFonts w:eastAsia="Arial" w:cs="Arial"/>
          <w:color w:val="000000"/>
          <w:szCs w:val="24"/>
        </w:rPr>
        <w:t>que se preste bajo condiciones de eficiencia económica, de manera que promueva un funcionamiento eficiente del mercado y genere beneficios para los usuarios</w:t>
      </w:r>
      <w:r w:rsidRPr="0009475E">
        <w:rPr>
          <w:rFonts w:eastAsia="Arial" w:cs="Arial"/>
          <w:color w:val="000000"/>
          <w:szCs w:val="24"/>
        </w:rPr>
        <w:t xml:space="preserve">. A partir de estas tres </w:t>
      </w:r>
      <w:r w:rsidRPr="0009475E">
        <w:rPr>
          <w:rFonts w:eastAsia="Arial" w:cs="Arial"/>
          <w:color w:val="000000"/>
          <w:szCs w:val="24"/>
        </w:rPr>
        <w:lastRenderedPageBreak/>
        <w:t>condiciones se estructuró el análisis del problema regulatorio en los siguientes ejes temáticos: la prestación del servicio, la continuidad y confiabilidad del suministro y las eficiencias económicas en la prestación del servicio.</w:t>
      </w:r>
    </w:p>
    <w:p w14:paraId="129710F0" w14:textId="04D35FA8" w:rsidR="004A191F" w:rsidRPr="0009475E" w:rsidRDefault="004A191F" w:rsidP="004A191F">
      <w:pPr>
        <w:spacing w:before="100" w:beforeAutospacing="1" w:after="100" w:afterAutospacing="1" w:line="360" w:lineRule="auto"/>
        <w:rPr>
          <w:rFonts w:eastAsia="Arial" w:cs="Arial"/>
          <w:color w:val="000000"/>
          <w:szCs w:val="24"/>
        </w:rPr>
      </w:pPr>
      <w:r w:rsidRPr="0009475E">
        <w:rPr>
          <w:rFonts w:eastAsia="Arial" w:cs="Arial"/>
          <w:color w:val="000000"/>
          <w:szCs w:val="24"/>
        </w:rPr>
        <w:t xml:space="preserve">En desarrollo de este enfoque, el presente documento corresponde a la primera etapa del Análisis de Impacto Normativo y tiene como propósito identificar y caracterizar el problema regulatorio, analizar las causas estructurales que lo originan y los efectos que de ellas se derivan, así como definir los objetivos de impacto y de resultado que orientarán </w:t>
      </w:r>
      <w:r w:rsidR="00CF63A8">
        <w:rPr>
          <w:rFonts w:eastAsia="Arial" w:cs="Arial"/>
          <w:color w:val="000000"/>
          <w:szCs w:val="24"/>
        </w:rPr>
        <w:t xml:space="preserve">en un próximo análisis </w:t>
      </w:r>
      <w:r w:rsidRPr="0009475E">
        <w:rPr>
          <w:rFonts w:eastAsia="Arial" w:cs="Arial"/>
          <w:color w:val="000000"/>
          <w:szCs w:val="24"/>
        </w:rPr>
        <w:t>la evaluación de las alternativas regulatorias. De esta manera, se garantiza la trazabilidad entre el diagnóstico realizado, las causas y efectos identificados</w:t>
      </w:r>
      <w:r w:rsidR="000708D7">
        <w:rPr>
          <w:rFonts w:eastAsia="Arial" w:cs="Arial"/>
          <w:color w:val="000000"/>
          <w:szCs w:val="24"/>
        </w:rPr>
        <w:t xml:space="preserve"> y</w:t>
      </w:r>
      <w:r w:rsidRPr="0009475E">
        <w:rPr>
          <w:rFonts w:eastAsia="Arial" w:cs="Arial"/>
          <w:color w:val="000000"/>
          <w:szCs w:val="24"/>
        </w:rPr>
        <w:t xml:space="preserve"> los objetivos definidos conforme a los principios del Análisis de Impacto Normativo.</w:t>
      </w:r>
    </w:p>
    <w:p w14:paraId="469AAE6C" w14:textId="3C0961A2" w:rsidR="000B1B79" w:rsidRDefault="000B1B79">
      <w:pPr>
        <w:jc w:val="left"/>
        <w:rPr>
          <w:rFonts w:ascii="Times New Roman" w:hAnsi="Times New Roman"/>
          <w:szCs w:val="24"/>
          <w:lang w:eastAsia="es-CO"/>
        </w:rPr>
      </w:pPr>
      <w:r>
        <w:br w:type="page"/>
      </w:r>
    </w:p>
    <w:p w14:paraId="69942A47" w14:textId="1CFEC80C" w:rsidR="004A3BAE" w:rsidRDefault="004A3BAE" w:rsidP="002F1961">
      <w:pPr>
        <w:pStyle w:val="Ttulo1"/>
        <w:keepLines/>
        <w:numPr>
          <w:ilvl w:val="0"/>
          <w:numId w:val="1"/>
        </w:numPr>
        <w:shd w:val="clear" w:color="auto" w:fill="FFFFFF" w:themeFill="background1"/>
        <w:suppressAutoHyphens w:val="0"/>
        <w:spacing w:before="100" w:beforeAutospacing="1" w:after="100" w:afterAutospacing="1" w:line="360" w:lineRule="auto"/>
        <w:rPr>
          <w:rFonts w:cs="Arial"/>
        </w:rPr>
      </w:pPr>
      <w:bookmarkStart w:id="5" w:name="_Toc235128314"/>
      <w:r w:rsidRPr="669B388E">
        <w:rPr>
          <w:rFonts w:cs="Arial"/>
        </w:rPr>
        <w:lastRenderedPageBreak/>
        <w:t>ANTECEDENTES</w:t>
      </w:r>
      <w:bookmarkEnd w:id="5"/>
    </w:p>
    <w:p w14:paraId="0E0521E1" w14:textId="78169ED9" w:rsidR="00023442" w:rsidRPr="00023442" w:rsidRDefault="00023442" w:rsidP="002F1961">
      <w:pPr>
        <w:spacing w:before="100" w:beforeAutospacing="1" w:after="100" w:afterAutospacing="1" w:line="360" w:lineRule="auto"/>
        <w:rPr>
          <w:rFonts w:eastAsia="Arial" w:cs="Arial"/>
          <w:color w:val="000000"/>
          <w:szCs w:val="24"/>
        </w:rPr>
      </w:pPr>
      <w:r w:rsidRPr="00023442">
        <w:rPr>
          <w:rFonts w:eastAsia="Arial" w:cs="Arial"/>
          <w:color w:val="000000"/>
          <w:szCs w:val="24"/>
        </w:rPr>
        <w:t xml:space="preserve">El </w:t>
      </w:r>
      <w:r w:rsidR="00AA35E3">
        <w:rPr>
          <w:rFonts w:eastAsia="Arial" w:cs="Arial"/>
          <w:color w:val="000000"/>
          <w:szCs w:val="24"/>
        </w:rPr>
        <w:t>G</w:t>
      </w:r>
      <w:r w:rsidRPr="00023442">
        <w:rPr>
          <w:rFonts w:eastAsia="Arial" w:cs="Arial"/>
          <w:color w:val="000000"/>
          <w:szCs w:val="24"/>
        </w:rPr>
        <w:t xml:space="preserve">as </w:t>
      </w:r>
      <w:r w:rsidR="00AA35E3">
        <w:rPr>
          <w:rFonts w:eastAsia="Arial" w:cs="Arial"/>
          <w:color w:val="000000"/>
          <w:szCs w:val="24"/>
        </w:rPr>
        <w:t>L</w:t>
      </w:r>
      <w:r w:rsidRPr="00023442">
        <w:rPr>
          <w:rFonts w:eastAsia="Arial" w:cs="Arial"/>
          <w:color w:val="000000"/>
          <w:szCs w:val="24"/>
        </w:rPr>
        <w:t xml:space="preserve">icuado de </w:t>
      </w:r>
      <w:r w:rsidR="00AA35E3">
        <w:rPr>
          <w:rFonts w:eastAsia="Arial" w:cs="Arial"/>
          <w:color w:val="000000"/>
          <w:szCs w:val="24"/>
        </w:rPr>
        <w:t>P</w:t>
      </w:r>
      <w:r w:rsidRPr="00023442">
        <w:rPr>
          <w:rFonts w:eastAsia="Arial" w:cs="Arial"/>
          <w:color w:val="000000"/>
          <w:szCs w:val="24"/>
        </w:rPr>
        <w:t>etróleo – GLP es un energético estratégico dentro de la matriz energética colombiana, por su aporte a la seguridad energética, la cobertura del servicio público domiciliario de gas combustible y la atención de necesidades esenciales de hogares, comercios e industrias. Se trata de una mezcla de hidrocarburos livianos, principalmente propano y butano, obtenida del procesamiento del gas natural y de la refinación del petróleo, que por sus condiciones de licuefacción, almacenamiento, transporte y distribución permite atender demanda en zonas en las que otras alternativas energéticas enfrentan mayores restricciones técnicas, económicas o geográficas.</w:t>
      </w:r>
    </w:p>
    <w:p w14:paraId="47D9276E" w14:textId="77777777" w:rsidR="00023442" w:rsidRPr="00023442" w:rsidRDefault="00023442" w:rsidP="002F1961">
      <w:pPr>
        <w:spacing w:before="100" w:beforeAutospacing="1" w:after="100" w:afterAutospacing="1" w:line="360" w:lineRule="auto"/>
        <w:rPr>
          <w:rFonts w:eastAsia="Arial" w:cs="Arial"/>
          <w:color w:val="000000"/>
          <w:szCs w:val="24"/>
        </w:rPr>
      </w:pPr>
      <w:r w:rsidRPr="00023442">
        <w:rPr>
          <w:rFonts w:eastAsia="Arial" w:cs="Arial"/>
          <w:color w:val="000000"/>
          <w:szCs w:val="24"/>
        </w:rPr>
        <w:t>En Colombia, el GLP cumple una función social relevante, especialmente en hogares ubicados en zonas rurales, municipios intermedios, territorios apartados y áreas donde la expansión de redes de gas natural no resulta suficiente o viable. En estos contextos, el GLP constituye una alternativa energética disponible para sustituir combustibles ineficientes y altamente contaminantes, como la leña, contribuyendo a mejorar las condiciones de salud, calidad de vida y acceso efectivo a energía limpia y segura.</w:t>
      </w:r>
    </w:p>
    <w:p w14:paraId="244603F0" w14:textId="77777777" w:rsidR="00023442" w:rsidRPr="00023442" w:rsidRDefault="00023442" w:rsidP="002F1961">
      <w:pPr>
        <w:spacing w:before="100" w:beforeAutospacing="1" w:after="100" w:afterAutospacing="1" w:line="360" w:lineRule="auto"/>
        <w:rPr>
          <w:rFonts w:eastAsia="Arial" w:cs="Arial"/>
          <w:color w:val="000000"/>
          <w:lang w:val="es-ES"/>
        </w:rPr>
      </w:pPr>
      <w:r w:rsidRPr="21A5E085">
        <w:rPr>
          <w:rFonts w:eastAsia="Arial" w:cs="Arial"/>
          <w:color w:val="000000" w:themeColor="text1"/>
          <w:lang w:val="es-ES"/>
        </w:rPr>
        <w:t xml:space="preserve">Su importancia no se limita al uso residencial. El GLP también tiene aplicaciones en actividades comerciales e industriales y presenta potencial de crecimiento en nuevos usos asociados al transporte terrestre mediante AutoGLP, al transporte fluvial y marítimo mediante </w:t>
      </w:r>
      <w:proofErr w:type="spellStart"/>
      <w:r w:rsidRPr="21A5E085">
        <w:rPr>
          <w:rFonts w:eastAsia="Arial" w:cs="Arial"/>
          <w:color w:val="000000" w:themeColor="text1"/>
          <w:lang w:val="es-ES"/>
        </w:rPr>
        <w:t>NautiGLP</w:t>
      </w:r>
      <w:proofErr w:type="spellEnd"/>
      <w:r w:rsidRPr="21A5E085">
        <w:rPr>
          <w:rFonts w:eastAsia="Arial" w:cs="Arial"/>
          <w:color w:val="000000" w:themeColor="text1"/>
          <w:lang w:val="es-ES"/>
        </w:rPr>
        <w:t>, y a la generación de energía eléctrica en zonas aisladas o con restricciones de acceso a otras fuentes. En esa medida, este energético cumple un papel complementario dentro de la transición energética, en tanto puede contribuir a reducir brechas territoriales, diversificar fuentes de suministro y respaldar la prestación del servicio en regiones con limitaciones de infraestructura.</w:t>
      </w:r>
    </w:p>
    <w:p w14:paraId="220DB115" w14:textId="77777777" w:rsidR="00023442" w:rsidRPr="00023442" w:rsidRDefault="00023442" w:rsidP="002F1961">
      <w:pPr>
        <w:spacing w:before="100" w:beforeAutospacing="1" w:after="100" w:afterAutospacing="1" w:line="360" w:lineRule="auto"/>
        <w:rPr>
          <w:rFonts w:eastAsia="Arial" w:cs="Arial"/>
          <w:color w:val="000000"/>
          <w:szCs w:val="24"/>
        </w:rPr>
      </w:pPr>
      <w:r w:rsidRPr="00023442">
        <w:rPr>
          <w:rFonts w:eastAsia="Arial" w:cs="Arial"/>
          <w:color w:val="000000"/>
          <w:szCs w:val="24"/>
        </w:rPr>
        <w:t xml:space="preserve">No obstante, la cadena de GLP enfrenta retos estructurales que justifican su revisión regulatoria. La evolución reciente del mercado evidencia una tendencia decreciente de la oferta nacional, una mayor necesidad de importaciones, concentración de puntos de suministro, restricciones logísticas en corredores de transporte y requerimientos de almacenamiento estratégico para garantizar la confiabilidad del abastecimiento. Estos </w:t>
      </w:r>
      <w:r w:rsidRPr="00023442">
        <w:rPr>
          <w:rFonts w:eastAsia="Arial" w:cs="Arial"/>
          <w:color w:val="000000"/>
          <w:szCs w:val="24"/>
        </w:rPr>
        <w:lastRenderedPageBreak/>
        <w:t>elementos adquieren especial relevancia si se considera que el GLP debe estar disponible de manera continua, segura y eficiente para atender demanda esencial y nuevos usos del energético.</w:t>
      </w:r>
    </w:p>
    <w:p w14:paraId="17DF4453" w14:textId="729C02ED" w:rsidR="00023442" w:rsidRDefault="00023442" w:rsidP="002F1961">
      <w:pPr>
        <w:spacing w:before="100" w:beforeAutospacing="1" w:after="100" w:afterAutospacing="1" w:line="360" w:lineRule="auto"/>
        <w:rPr>
          <w:rFonts w:eastAsia="Arial" w:cs="Arial"/>
          <w:color w:val="000000"/>
          <w:lang w:val="es-ES"/>
        </w:rPr>
      </w:pPr>
      <w:r w:rsidRPr="016DCDD6">
        <w:rPr>
          <w:rFonts w:eastAsia="Arial" w:cs="Arial"/>
          <w:color w:val="000000" w:themeColor="text1"/>
          <w:lang w:val="es-ES"/>
        </w:rPr>
        <w:t>En este contexto, la Comisión de Regulación de Energía y Gas – CREG</w:t>
      </w:r>
      <w:r w:rsidR="41792F59" w:rsidRPr="016DCDD6">
        <w:rPr>
          <w:rFonts w:eastAsia="Arial" w:cs="Arial"/>
          <w:color w:val="000000" w:themeColor="text1"/>
          <w:lang w:val="es-ES"/>
        </w:rPr>
        <w:t>,</w:t>
      </w:r>
      <w:r w:rsidR="41792F59" w:rsidRPr="0162DB8F">
        <w:rPr>
          <w:rFonts w:eastAsia="Arial" w:cs="Arial"/>
          <w:szCs w:val="24"/>
          <w:lang w:val="es-ES"/>
        </w:rPr>
        <w:t xml:space="preserve"> desarrolla el presente AIN </w:t>
      </w:r>
      <w:r w:rsidR="41792F59" w:rsidRPr="016DCDD6">
        <w:rPr>
          <w:rFonts w:eastAsia="Arial" w:cs="Arial"/>
          <w:szCs w:val="24"/>
          <w:lang w:val="es-ES"/>
        </w:rPr>
        <w:t xml:space="preserve">a </w:t>
      </w:r>
      <w:r w:rsidR="41792F59" w:rsidRPr="016DCDD6">
        <w:rPr>
          <w:rFonts w:eastAsia="Arial" w:cs="Arial"/>
          <w:color w:val="000000" w:themeColor="text1"/>
          <w:lang w:val="es-ES"/>
        </w:rPr>
        <w:t>la cadena de prestación del servicio público domiciliario de GLP y de los diferentes usos del energético</w:t>
      </w:r>
      <w:r w:rsidR="41792F59" w:rsidRPr="6F94C91D">
        <w:rPr>
          <w:rFonts w:eastAsia="Arial" w:cs="Arial"/>
          <w:color w:val="000000" w:themeColor="text1"/>
          <w:lang w:val="es-ES"/>
        </w:rPr>
        <w:t>,</w:t>
      </w:r>
      <w:r w:rsidR="41792F59" w:rsidRPr="016DCDD6">
        <w:rPr>
          <w:rFonts w:eastAsia="Arial" w:cs="Arial"/>
          <w:szCs w:val="24"/>
          <w:lang w:val="es-ES"/>
        </w:rPr>
        <w:t xml:space="preserve"> </w:t>
      </w:r>
      <w:r w:rsidR="41792F59" w:rsidRPr="0162DB8F">
        <w:rPr>
          <w:rFonts w:eastAsia="Arial" w:cs="Arial"/>
          <w:szCs w:val="24"/>
          <w:lang w:val="es-ES"/>
        </w:rPr>
        <w:t>con el propósito de determinar si las condiciones actuales del mercado hacen necesaria una intervención regulatoria o si existen alternativas regulatorias o no regulatorias más eficientes.</w:t>
      </w:r>
      <w:r w:rsidRPr="016DCDD6">
        <w:rPr>
          <w:rFonts w:eastAsia="Arial" w:cs="Arial"/>
          <w:color w:val="000000" w:themeColor="text1"/>
          <w:lang w:val="es-ES"/>
        </w:rPr>
        <w:t xml:space="preserve"> El presente Análisis de Impacto Normativo – AIN constituye el documento de diagnóstico que soporta dicha revisión y permite valorar, con criterios técnicos y jurídicos, las alternativas disponibles para fortalecer el abastecimiento, la confiabilidad, la eficiencia económica, la seguridad en la prestación del servicio y la protección de los usuarios.</w:t>
      </w:r>
    </w:p>
    <w:p w14:paraId="1DFEA13D" w14:textId="00272246" w:rsidR="004A3BAE" w:rsidRPr="00A84F70" w:rsidRDefault="0070161E" w:rsidP="002F1961">
      <w:pPr>
        <w:pStyle w:val="Ttulo2"/>
        <w:spacing w:before="100" w:beforeAutospacing="1" w:after="100" w:afterAutospacing="1"/>
        <w:ind w:left="284" w:hanging="284"/>
        <w:rPr>
          <w:lang w:val="pt-PT"/>
        </w:rPr>
      </w:pPr>
      <w:bookmarkStart w:id="6" w:name="_Toc235128315"/>
      <w:r w:rsidRPr="00A84F70">
        <w:rPr>
          <w:lang w:val="pt-PT"/>
        </w:rPr>
        <w:t>Contexto Legal e Institucional</w:t>
      </w:r>
      <w:bookmarkEnd w:id="6"/>
    </w:p>
    <w:p w14:paraId="4C7C5BD4" w14:textId="47A5B627" w:rsidR="004A3BAE" w:rsidRDefault="006C2251" w:rsidP="002F1961">
      <w:pPr>
        <w:spacing w:before="100" w:beforeAutospacing="1" w:after="100" w:afterAutospacing="1" w:line="360" w:lineRule="auto"/>
        <w:rPr>
          <w:rFonts w:eastAsia="Arial" w:cs="Arial"/>
          <w:lang w:val="es-ES"/>
        </w:rPr>
      </w:pPr>
      <w:r w:rsidRPr="006C2251">
        <w:rPr>
          <w:rFonts w:eastAsia="Arial" w:cs="Arial"/>
          <w:lang w:val="es-ES"/>
        </w:rPr>
        <w:t>El marco legal e institucional que rige el servicio público domiciliario de GLP en Colombia está conformado por un conjunto de disposiciones constitucionales, legales y reglamentarias que definen las competencias de las entidades del Estado, los derechos de los usuarios, los principios de la prestación y las condiciones para la intervención regulatoria. A continuación, se describen los principales instrumentos normativos e institucionales relevantes para el presente análisis.</w:t>
      </w:r>
    </w:p>
    <w:p w14:paraId="620C7FDB" w14:textId="081A0697" w:rsidR="00E93E7C" w:rsidRDefault="00B43534" w:rsidP="002F1961">
      <w:pPr>
        <w:pStyle w:val="Ttulo3"/>
        <w:spacing w:before="100" w:beforeAutospacing="1" w:after="100" w:afterAutospacing="1"/>
      </w:pPr>
      <w:bookmarkStart w:id="7" w:name="_Toc235128316"/>
      <w:r>
        <w:t>Constitución política</w:t>
      </w:r>
      <w:bookmarkEnd w:id="7"/>
      <w:r w:rsidR="124430A9">
        <w:t xml:space="preserve"> </w:t>
      </w:r>
    </w:p>
    <w:p w14:paraId="156B06E9" w14:textId="77777777" w:rsidR="00DA5AE9" w:rsidRDefault="007D65B9" w:rsidP="002F1961">
      <w:pPr>
        <w:spacing w:before="100" w:beforeAutospacing="1" w:after="100" w:afterAutospacing="1" w:line="360" w:lineRule="auto"/>
        <w:rPr>
          <w:rFonts w:eastAsia="Arial" w:cs="Arial"/>
          <w:lang w:val="es-ES"/>
        </w:rPr>
      </w:pPr>
      <w:r w:rsidRPr="007D65B9">
        <w:rPr>
          <w:rFonts w:eastAsia="Arial" w:cs="Arial"/>
          <w:lang w:val="es-ES"/>
        </w:rPr>
        <w:t>El artículo 365 de la Constitución Política establece que los servicios públicos son inherentes a la finalidad social del Estado y que le corresponde a éste asegurar su prestación eficiente a todos los habitantes del territorio nacional. La norma dispone que los servicios públicos estarán sometidos al régimen jurídico que fije la ley, que podrán ser prestados por el Estado directa o indirectamente, por comunidades organizadas o por particulares, y que en todo caso el Estado mantendrá la regulación, el control y la vigilancia sobre dichos servicios.</w:t>
      </w:r>
    </w:p>
    <w:p w14:paraId="7F44A541" w14:textId="46FA8FCA" w:rsidR="007D65B9" w:rsidRDefault="007D65B9" w:rsidP="002F1961">
      <w:pPr>
        <w:spacing w:before="100" w:beforeAutospacing="1" w:after="100" w:afterAutospacing="1" w:line="360" w:lineRule="auto"/>
        <w:rPr>
          <w:rFonts w:eastAsia="Arial" w:cs="Arial"/>
          <w:lang w:val="es-ES"/>
        </w:rPr>
      </w:pPr>
      <w:r w:rsidRPr="007D65B9">
        <w:rPr>
          <w:rFonts w:eastAsia="Arial" w:cs="Arial"/>
          <w:lang w:val="es-ES"/>
        </w:rPr>
        <w:lastRenderedPageBreak/>
        <w:t>El artículo 334 superior establece la dirección general de la economía a cargo del Estado y faculta la intervención en los servicios públicos, con el propósito de racionalizar la economía con el fin de conseguir el mejoramiento de la calidad de vida de los habitantes, la distribución equitativa de las oportunidades y los beneficios del desarrollo y la preservación de un ambiente sano. Por su parte, el artículo 333 consagra la libertad económica y la libre competencia como derechos que deben ser protegidos por el Estado, quien por mandato de la ley impedirá que se obstruya o restrinja la libertad económica y evitará o controlará cualquier abuso que personas o empresas hagan de su posición dominante en el mercado nacional.</w:t>
      </w:r>
    </w:p>
    <w:p w14:paraId="72E41084" w14:textId="077075B8" w:rsidR="001F3F06" w:rsidRDefault="001F3F06" w:rsidP="002F1961">
      <w:pPr>
        <w:spacing w:before="100" w:beforeAutospacing="1" w:after="100" w:afterAutospacing="1" w:line="360" w:lineRule="auto"/>
        <w:rPr>
          <w:rFonts w:eastAsia="Arial" w:cs="Arial"/>
          <w:lang w:val="es-CO"/>
        </w:rPr>
      </w:pPr>
      <w:r w:rsidRPr="001F3F06">
        <w:rPr>
          <w:rFonts w:eastAsia="Arial" w:cs="Arial"/>
          <w:lang w:val="es-CO"/>
        </w:rPr>
        <w:t>A su vez, el artículo 78 de la Constitución Política dispone que la ley regulará el control de calidad de los bienes y servicios ofrecidos y prestados a la comunidad, así como la información que debe suministrarse al público en su comercialización. Igualmente, establece la responsabilidad de quienes, en la producción y comercialización de bienes y servicios, atenten contra la salud, la seguridad y el adecuado aprovisionamiento de consumidores y usuarios.</w:t>
      </w:r>
    </w:p>
    <w:p w14:paraId="325A86FF" w14:textId="77777777" w:rsidR="001F3F06" w:rsidRPr="001F3F06" w:rsidRDefault="001F3F06" w:rsidP="002F1961">
      <w:pPr>
        <w:spacing w:before="100" w:beforeAutospacing="1" w:after="100" w:afterAutospacing="1" w:line="360" w:lineRule="auto"/>
        <w:rPr>
          <w:rFonts w:eastAsia="Arial" w:cs="Arial"/>
          <w:lang w:val="es-CO"/>
        </w:rPr>
      </w:pPr>
      <w:r w:rsidRPr="001F3F06">
        <w:rPr>
          <w:rFonts w:eastAsia="Arial" w:cs="Arial"/>
          <w:lang w:val="es-CO"/>
        </w:rPr>
        <w:t>Esta disposición resulta especialmente relevante para el servicio de GLP, en la medida en que su prestación no solo involucra la provisión de un servicio público esencial para los hogares y usuarios finales, sino también la comercialización y distribución de un energético cuyo manejo exige condiciones estrictas de calidad, seguridad, información y continuidad en el abastecimiento. En ese sentido, el mandato constitucional del artículo 78 refuerza la obligación del Estado de establecer reglas que garanticen que el GLP suministrado cumpla condiciones técnicas adecuadas, que los usuarios reciban información clara, suficiente y veraz sobre el servicio, los precios, las condiciones de prestación y los riesgos asociados a su uso, y que los agentes de la cadena respondan por actuaciones que comprometan la seguridad, la salud o el adecuado aprovisionamiento de los consumidores.</w:t>
      </w:r>
    </w:p>
    <w:p w14:paraId="60CAD69F" w14:textId="608C1EEB" w:rsidR="007D65B9" w:rsidRPr="002D75F8" w:rsidRDefault="007D65B9" w:rsidP="002F1961">
      <w:pPr>
        <w:spacing w:before="100" w:beforeAutospacing="1" w:after="100" w:afterAutospacing="1" w:line="360" w:lineRule="auto"/>
        <w:rPr>
          <w:rFonts w:eastAsia="Arial" w:cs="Arial"/>
          <w:lang w:val="es-ES"/>
        </w:rPr>
      </w:pPr>
      <w:r w:rsidRPr="007D65B9">
        <w:rPr>
          <w:rFonts w:eastAsia="Arial" w:cs="Arial"/>
          <w:lang w:val="es-ES"/>
        </w:rPr>
        <w:t xml:space="preserve">Estas disposiciones constitucionales justifican la intervención estatal y regulatoria en el mercado del GLP en dos dimensiones complementarias: de un lado, en tanto el GLP hace parte del servicio público domiciliario de gas combustible, el Estado tiene la obligación </w:t>
      </w:r>
      <w:r w:rsidRPr="007D65B9">
        <w:rPr>
          <w:rFonts w:eastAsia="Arial" w:cs="Arial"/>
          <w:lang w:val="es-ES"/>
        </w:rPr>
        <w:lastRenderedPageBreak/>
        <w:t>constitucional de asegurar su prestación eficiente; de otro lado, en la medida en que la cadena de prestación involucra actividades con características de monopolio natural o riesgos de abuso de posición dominante, el Estado debe intervenir para garantizar las condiciones de competencia y la protección de los usuarios.</w:t>
      </w:r>
    </w:p>
    <w:p w14:paraId="0A560B16" w14:textId="0184FFB7" w:rsidR="00075406" w:rsidRDefault="008316E6" w:rsidP="002F1961">
      <w:pPr>
        <w:pStyle w:val="Ttulo3"/>
        <w:spacing w:before="100" w:beforeAutospacing="1" w:after="100" w:afterAutospacing="1"/>
        <w:rPr>
          <w:rFonts w:eastAsia="Arial"/>
          <w:bCs/>
          <w:color w:val="000000"/>
        </w:rPr>
      </w:pPr>
      <w:bookmarkStart w:id="8" w:name="_Toc235128317"/>
      <w:r>
        <w:rPr>
          <w:rFonts w:eastAsia="Arial"/>
          <w:bCs/>
          <w:color w:val="000000"/>
        </w:rPr>
        <w:t xml:space="preserve">Ley 142 </w:t>
      </w:r>
      <w:r>
        <w:rPr>
          <w:rFonts w:eastAsia="Arial"/>
          <w:color w:val="000000"/>
        </w:rPr>
        <w:t>de 1994</w:t>
      </w:r>
      <w:bookmarkEnd w:id="8"/>
    </w:p>
    <w:p w14:paraId="5D031369" w14:textId="77777777" w:rsidR="002D75F8" w:rsidRDefault="002D75F8" w:rsidP="002F1961">
      <w:pPr>
        <w:spacing w:before="100" w:beforeAutospacing="1" w:after="100" w:afterAutospacing="1" w:line="360" w:lineRule="auto"/>
      </w:pPr>
      <w:r>
        <w:rPr>
          <w:rFonts w:eastAsia="Arial" w:cs="Arial"/>
          <w:color w:val="000000"/>
          <w:szCs w:val="24"/>
        </w:rPr>
        <w:t>La Ley 142 de 1994 constituye el régimen general de los servicios públicos domiciliarios en Colombia. En su artículo 14.28, define el servicio público domiciliario de gas combustible como:</w:t>
      </w:r>
    </w:p>
    <w:p w14:paraId="5A0C951C" w14:textId="282483DF" w:rsidR="002D75F8" w:rsidRPr="004F1AA5" w:rsidRDefault="002D75F8" w:rsidP="002F1961">
      <w:pPr>
        <w:spacing w:before="100" w:beforeAutospacing="1" w:after="100" w:afterAutospacing="1" w:line="360" w:lineRule="auto"/>
        <w:ind w:left="720" w:right="720"/>
        <w:rPr>
          <w:sz w:val="22"/>
          <w:szCs w:val="18"/>
        </w:rPr>
      </w:pPr>
      <w:r w:rsidRPr="004F1AA5">
        <w:rPr>
          <w:rFonts w:eastAsia="Arial" w:cs="Arial"/>
          <w:i/>
          <w:sz w:val="22"/>
          <w:szCs w:val="22"/>
        </w:rPr>
        <w:t>"</w:t>
      </w:r>
      <w:r w:rsidR="00D20DEE" w:rsidRPr="004F1AA5">
        <w:rPr>
          <w:rFonts w:eastAsia="Arial" w:cs="Arial"/>
          <w:i/>
          <w:sz w:val="22"/>
          <w:szCs w:val="22"/>
        </w:rPr>
        <w:t xml:space="preserve">(…) </w:t>
      </w:r>
      <w:r w:rsidRPr="004F1AA5">
        <w:rPr>
          <w:rFonts w:eastAsia="Arial" w:cs="Arial"/>
          <w:i/>
          <w:sz w:val="22"/>
          <w:szCs w:val="22"/>
        </w:rPr>
        <w:t xml:space="preserve">el conjunto de actividades ordenadas a la distribución de gas combustible, </w:t>
      </w:r>
      <w:r w:rsidRPr="004F1AA5">
        <w:rPr>
          <w:rFonts w:eastAsia="Arial" w:cs="Arial"/>
          <w:i/>
          <w:sz w:val="22"/>
          <w:szCs w:val="22"/>
          <w:u w:val="single"/>
        </w:rPr>
        <w:t>por tubería u otro medio</w:t>
      </w:r>
      <w:r w:rsidRPr="004F1AA5">
        <w:rPr>
          <w:rFonts w:eastAsia="Arial" w:cs="Arial"/>
          <w:i/>
          <w:sz w:val="22"/>
          <w:szCs w:val="22"/>
        </w:rPr>
        <w:t>, desde un sitio de acopio de grandes volúmenes o desde un gasoducto central hasta la instalación de un consumidor final, incluyendo su conexión y medición. También se aplicará esta Ley a las actividades complementarias de comercialización desde la producción y transporte de gas por un gasoducto principal</w:t>
      </w:r>
      <w:r w:rsidRPr="004F1AA5">
        <w:rPr>
          <w:rFonts w:eastAsia="Arial" w:cs="Arial"/>
          <w:i/>
          <w:sz w:val="22"/>
          <w:szCs w:val="22"/>
          <w:u w:val="single"/>
        </w:rPr>
        <w:t>, o por otros medios</w:t>
      </w:r>
      <w:r w:rsidRPr="004F1AA5">
        <w:rPr>
          <w:rFonts w:eastAsia="Arial" w:cs="Arial"/>
          <w:i/>
          <w:sz w:val="22"/>
          <w:szCs w:val="22"/>
        </w:rPr>
        <w:t>, desde el sitio de generación hasta aquel en donde se conecte a una red secundaria."</w:t>
      </w:r>
      <w:r w:rsidR="00D20DEE" w:rsidRPr="004F1AA5">
        <w:rPr>
          <w:rFonts w:eastAsia="Arial" w:cs="Arial"/>
          <w:i/>
          <w:sz w:val="22"/>
          <w:szCs w:val="22"/>
        </w:rPr>
        <w:t xml:space="preserve"> </w:t>
      </w:r>
      <w:r w:rsidR="00D20DEE" w:rsidRPr="004F1AA5">
        <w:rPr>
          <w:rFonts w:eastAsia="Arial" w:cs="Arial"/>
          <w:sz w:val="22"/>
          <w:szCs w:val="22"/>
        </w:rPr>
        <w:t>(Subrayado fuera de texto)</w:t>
      </w:r>
    </w:p>
    <w:p w14:paraId="2FC13794" w14:textId="2AEC6C80" w:rsidR="002D75F8" w:rsidRDefault="002D75F8" w:rsidP="002F1961">
      <w:pPr>
        <w:spacing w:before="100" w:beforeAutospacing="1" w:after="100" w:afterAutospacing="1" w:line="360" w:lineRule="auto"/>
      </w:pPr>
      <w:r>
        <w:rPr>
          <w:rFonts w:eastAsia="Arial" w:cs="Arial"/>
          <w:color w:val="000000"/>
          <w:szCs w:val="24"/>
        </w:rPr>
        <w:t>La expresión "por tubería u otro medio" es de especial relevancia, pues incorpora al GLP distribuido en cilindros y tanques estacionarios dentro del ámbito del servicio público domiciliario de gas combustible, junto con el gas natural distribuido por redes. En consecuencia, la cadena de prestación del servicio público domiciliario de GLP</w:t>
      </w:r>
      <w:r w:rsidR="00AF45E4">
        <w:rPr>
          <w:rFonts w:eastAsia="Arial" w:cs="Arial"/>
          <w:color w:val="000000"/>
          <w:szCs w:val="24"/>
        </w:rPr>
        <w:t xml:space="preserve">, </w:t>
      </w:r>
      <w:r>
        <w:rPr>
          <w:rFonts w:eastAsia="Arial" w:cs="Arial"/>
          <w:color w:val="000000"/>
          <w:szCs w:val="24"/>
        </w:rPr>
        <w:t>incluyendo la comercialización mayorista, el transporte, la distribución y la comercialización minorista</w:t>
      </w:r>
      <w:r w:rsidR="00AF45E4">
        <w:rPr>
          <w:rFonts w:eastAsia="Arial" w:cs="Arial"/>
          <w:color w:val="000000"/>
          <w:szCs w:val="24"/>
        </w:rPr>
        <w:t>,</w:t>
      </w:r>
      <w:r>
        <w:rPr>
          <w:rFonts w:eastAsia="Arial" w:cs="Arial"/>
          <w:color w:val="000000"/>
          <w:szCs w:val="24"/>
        </w:rPr>
        <w:t xml:space="preserve"> </w:t>
      </w:r>
      <w:r w:rsidR="00DD47B0">
        <w:rPr>
          <w:rFonts w:eastAsia="Arial" w:cs="Arial"/>
          <w:color w:val="000000"/>
          <w:szCs w:val="24"/>
        </w:rPr>
        <w:t>está</w:t>
      </w:r>
      <w:r>
        <w:rPr>
          <w:rFonts w:eastAsia="Arial" w:cs="Arial"/>
          <w:color w:val="000000"/>
          <w:szCs w:val="24"/>
        </w:rPr>
        <w:t xml:space="preserve"> sometida al régimen establecido en la Ley 142 de 1994.</w:t>
      </w:r>
    </w:p>
    <w:p w14:paraId="227DEB87" w14:textId="77777777" w:rsidR="002D75F8" w:rsidRDefault="002D75F8" w:rsidP="002F1961">
      <w:pPr>
        <w:spacing w:before="100" w:beforeAutospacing="1" w:after="100" w:afterAutospacing="1" w:line="360" w:lineRule="auto"/>
        <w:rPr>
          <w:rFonts w:eastAsia="Arial" w:cs="Arial"/>
          <w:color w:val="000000"/>
          <w:szCs w:val="24"/>
        </w:rPr>
      </w:pPr>
      <w:r>
        <w:rPr>
          <w:rFonts w:eastAsia="Arial" w:cs="Arial"/>
          <w:color w:val="000000"/>
          <w:szCs w:val="24"/>
        </w:rPr>
        <w:t>Este régimen consagra, entre otros, los siguientes principios y elementos relevantes para el presente análisis:</w:t>
      </w:r>
    </w:p>
    <w:p w14:paraId="53C16DD0" w14:textId="525E7186" w:rsidR="002D75F8" w:rsidRDefault="002D75F8">
      <w:pPr>
        <w:pStyle w:val="Prrafodelista"/>
        <w:numPr>
          <w:ilvl w:val="0"/>
          <w:numId w:val="16"/>
        </w:numPr>
        <w:spacing w:before="100" w:beforeAutospacing="1" w:after="100" w:afterAutospacing="1" w:line="360" w:lineRule="auto"/>
      </w:pPr>
      <w:r>
        <w:rPr>
          <w:rFonts w:eastAsia="Arial" w:cs="Arial"/>
          <w:szCs w:val="24"/>
        </w:rPr>
        <w:t>Los principios</w:t>
      </w:r>
      <w:r w:rsidR="003B2754">
        <w:rPr>
          <w:rFonts w:eastAsia="Arial" w:cs="Arial"/>
          <w:szCs w:val="24"/>
        </w:rPr>
        <w:t xml:space="preserve"> </w:t>
      </w:r>
      <w:r>
        <w:rPr>
          <w:rFonts w:eastAsia="Arial" w:cs="Arial"/>
          <w:szCs w:val="24"/>
        </w:rPr>
        <w:t>de eficiencia económica, neutralidad, solidaridad, redistribución, suficiencia financiera</w:t>
      </w:r>
      <w:r w:rsidR="003B2754">
        <w:rPr>
          <w:rFonts w:eastAsia="Arial" w:cs="Arial"/>
          <w:szCs w:val="24"/>
        </w:rPr>
        <w:t xml:space="preserve"> y</w:t>
      </w:r>
      <w:r>
        <w:rPr>
          <w:rFonts w:eastAsia="Arial" w:cs="Arial"/>
          <w:szCs w:val="24"/>
        </w:rPr>
        <w:t xml:space="preserve"> simplicidad </w:t>
      </w:r>
      <w:r w:rsidR="003B2754">
        <w:rPr>
          <w:rFonts w:eastAsia="Arial" w:cs="Arial"/>
          <w:szCs w:val="24"/>
        </w:rPr>
        <w:t>que</w:t>
      </w:r>
      <w:r>
        <w:rPr>
          <w:rFonts w:eastAsia="Arial" w:cs="Arial"/>
          <w:szCs w:val="24"/>
        </w:rPr>
        <w:t xml:space="preserve"> deben orientar la prestación del servicio </w:t>
      </w:r>
      <w:r w:rsidR="00B63611">
        <w:rPr>
          <w:rFonts w:eastAsia="Arial" w:cs="Arial"/>
          <w:szCs w:val="24"/>
        </w:rPr>
        <w:t xml:space="preserve">de GLP. </w:t>
      </w:r>
    </w:p>
    <w:p w14:paraId="3E9EA140" w14:textId="1AA016D3" w:rsidR="002D75F8" w:rsidRDefault="002D75F8">
      <w:pPr>
        <w:pStyle w:val="Prrafodelista"/>
        <w:numPr>
          <w:ilvl w:val="0"/>
          <w:numId w:val="16"/>
        </w:numPr>
        <w:spacing w:before="100" w:beforeAutospacing="1" w:after="100" w:afterAutospacing="1" w:line="360" w:lineRule="auto"/>
      </w:pPr>
      <w:r>
        <w:rPr>
          <w:rFonts w:eastAsia="Arial" w:cs="Arial"/>
          <w:szCs w:val="24"/>
        </w:rPr>
        <w:lastRenderedPageBreak/>
        <w:t>Los derechos de los usuarios, incluyendo el derecho a recibir el servicio con calidad y en condiciones de eficiencia, a que el costo refleje los costos reales de prestación eficiente</w:t>
      </w:r>
      <w:r w:rsidR="00E823F2">
        <w:rPr>
          <w:rFonts w:eastAsia="Arial" w:cs="Arial"/>
          <w:szCs w:val="24"/>
        </w:rPr>
        <w:t>,</w:t>
      </w:r>
      <w:r>
        <w:rPr>
          <w:rFonts w:eastAsia="Arial" w:cs="Arial"/>
          <w:szCs w:val="24"/>
        </w:rPr>
        <w:t xml:space="preserve"> a que el acceso se extienda a toda la población con tarifas diferenciales para las personas de menores ingresos</w:t>
      </w:r>
      <w:r w:rsidR="00E823F2">
        <w:rPr>
          <w:rFonts w:eastAsia="Arial" w:cs="Arial"/>
          <w:szCs w:val="24"/>
        </w:rPr>
        <w:t xml:space="preserve"> y a presentar </w:t>
      </w:r>
      <w:r w:rsidR="00561DB4">
        <w:rPr>
          <w:rFonts w:eastAsia="Arial" w:cs="Arial"/>
          <w:szCs w:val="24"/>
        </w:rPr>
        <w:t>peticiones, quejas y recursos</w:t>
      </w:r>
      <w:r w:rsidR="00EC6439">
        <w:rPr>
          <w:rFonts w:eastAsia="Arial" w:cs="Arial"/>
          <w:szCs w:val="24"/>
        </w:rPr>
        <w:t xml:space="preserve">. </w:t>
      </w:r>
    </w:p>
    <w:p w14:paraId="1E80C5C8" w14:textId="04D1BB1C" w:rsidR="004C1842" w:rsidRDefault="002D75F8">
      <w:pPr>
        <w:pStyle w:val="Prrafodelista"/>
        <w:numPr>
          <w:ilvl w:val="0"/>
          <w:numId w:val="16"/>
        </w:numPr>
        <w:spacing w:before="100" w:beforeAutospacing="1" w:after="100" w:afterAutospacing="1" w:line="360" w:lineRule="auto"/>
      </w:pPr>
      <w:r>
        <w:rPr>
          <w:rFonts w:eastAsia="Arial" w:cs="Arial"/>
          <w:szCs w:val="24"/>
        </w:rPr>
        <w:t>Los mecanismos de subsidios y contribuciones para facilitar el acceso de usuarios de estratos bajos al servicio, reconociendo las diferencias socioeconómicas de los usuarios</w:t>
      </w:r>
    </w:p>
    <w:p w14:paraId="02BC76BE" w14:textId="73B9BF6E" w:rsidR="0026311E" w:rsidRDefault="0026311E" w:rsidP="002F1961">
      <w:pPr>
        <w:spacing w:before="100" w:beforeAutospacing="1" w:after="100" w:afterAutospacing="1" w:line="360" w:lineRule="auto"/>
        <w:rPr>
          <w:rFonts w:eastAsia="Arial" w:cs="Arial"/>
          <w:color w:val="000000"/>
          <w:szCs w:val="24"/>
          <w:lang w:val="es-CO"/>
        </w:rPr>
      </w:pPr>
      <w:r>
        <w:rPr>
          <w:rFonts w:eastAsia="Arial" w:cs="Arial"/>
          <w:color w:val="000000"/>
          <w:szCs w:val="24"/>
        </w:rPr>
        <w:t>En cuanto a la generación de energía eléctrica con GLP,</w:t>
      </w:r>
      <w:r w:rsidRPr="0026311E">
        <w:rPr>
          <w:rFonts w:eastAsia="Arial" w:cs="Arial"/>
          <w:color w:val="000000"/>
          <w:szCs w:val="24"/>
          <w:lang w:val="es-CO"/>
        </w:rPr>
        <w:t xml:space="preserve"> la inclusión del análisis sobre generación de energía eléctrica con GLP</w:t>
      </w:r>
      <w:r>
        <w:rPr>
          <w:rFonts w:eastAsia="Arial" w:cs="Arial"/>
          <w:color w:val="000000"/>
          <w:szCs w:val="24"/>
          <w:lang w:val="es-CO"/>
        </w:rPr>
        <w:t xml:space="preserve"> </w:t>
      </w:r>
      <w:r w:rsidRPr="0026311E">
        <w:rPr>
          <w:rFonts w:eastAsia="Arial" w:cs="Arial"/>
          <w:color w:val="000000"/>
          <w:szCs w:val="24"/>
          <w:lang w:val="es-CO"/>
        </w:rPr>
        <w:t>se justifica en la medida en que este combustible puede constituir una alternativa de suministro para plantas térmicas y, por tanto, incidir en la disponibilidad de oferta energética eficiente, la confiabilidad del sistema eléctrico y la demanda potencial del energético en el mercado de GLP.</w:t>
      </w:r>
    </w:p>
    <w:p w14:paraId="5346C512" w14:textId="6B10EB56" w:rsidR="002D75F8" w:rsidRPr="001D1559" w:rsidRDefault="0026311E" w:rsidP="002F1961">
      <w:pPr>
        <w:spacing w:before="100" w:beforeAutospacing="1" w:after="100" w:afterAutospacing="1" w:line="360" w:lineRule="auto"/>
        <w:rPr>
          <w:rFonts w:eastAsia="Arial" w:cs="Arial"/>
          <w:color w:val="000000"/>
          <w:szCs w:val="24"/>
          <w:lang w:val="es-CO"/>
        </w:rPr>
      </w:pPr>
      <w:r w:rsidRPr="0026311E">
        <w:rPr>
          <w:rFonts w:eastAsia="Arial" w:cs="Arial"/>
          <w:color w:val="000000"/>
          <w:szCs w:val="24"/>
          <w:lang w:val="es-CO"/>
        </w:rPr>
        <w:t>Si bien la Ley 143 de 1994 no regula de manera expresa la generación eléctrica con GLP, sí establece el marco general de la actividad de generación, el aprovechamiento eficiente de los recursos energéticos del país, la obligación de asegurar una operación eficiente, segura y confiable del sistema eléctrico, y la necesidad de contar con generación de respaldo. En ese sentido, el análisis de la generación térmica con GLP resulta pertinente cuando las decisiones regulatorias sobre abastecimiento, comercialización, infraestructura, formación de precios o confiabilidad del GLP pueden tener efectos sobre su disponibilidad como combustible para generación eléctrica.</w:t>
      </w:r>
    </w:p>
    <w:p w14:paraId="24F17740" w14:textId="6EFD369C" w:rsidR="000C1666" w:rsidRDefault="000C1666" w:rsidP="002F1961">
      <w:pPr>
        <w:pStyle w:val="Ttulo3"/>
        <w:spacing w:before="100" w:beforeAutospacing="1" w:after="100" w:afterAutospacing="1"/>
      </w:pPr>
      <w:bookmarkStart w:id="9" w:name="_Toc235128318"/>
      <w:r>
        <w:t>Competencias de la CREG</w:t>
      </w:r>
      <w:bookmarkEnd w:id="9"/>
      <w:r w:rsidR="2C512F87">
        <w:t xml:space="preserve"> </w:t>
      </w:r>
    </w:p>
    <w:p w14:paraId="49A387F3" w14:textId="3B136321" w:rsidR="00885559" w:rsidRDefault="00095710" w:rsidP="002F1961">
      <w:pPr>
        <w:spacing w:before="100" w:beforeAutospacing="1" w:after="100" w:afterAutospacing="1" w:line="360" w:lineRule="auto"/>
      </w:pPr>
      <w:r w:rsidRPr="00095710">
        <w:t>La CREG tiene competencia para regular el servicio público domiciliario de gas combustible prestado mediante GLP, de conformidad con lo previsto en la Ley 142 de 1994 y el Decreto 1260 de 2013.</w:t>
      </w:r>
      <w:r w:rsidR="00885559">
        <w:t xml:space="preserve"> </w:t>
      </w:r>
    </w:p>
    <w:p w14:paraId="011F0F3E" w14:textId="7C0C3BF2" w:rsidR="00885559" w:rsidRDefault="00885559" w:rsidP="002F1961">
      <w:pPr>
        <w:spacing w:before="100" w:beforeAutospacing="1" w:after="100" w:afterAutospacing="1" w:line="360" w:lineRule="auto"/>
        <w:rPr>
          <w:lang w:val="es-CO"/>
        </w:rPr>
      </w:pPr>
      <w:r w:rsidRPr="00885559">
        <w:rPr>
          <w:lang w:val="es-CO"/>
        </w:rPr>
        <w:t xml:space="preserve">De acuerdo con el artículo 73 de la Ley 142 de 1994, </w:t>
      </w:r>
      <w:r w:rsidR="002F37F5" w:rsidRPr="00433A6C">
        <w:t xml:space="preserve">las comisiones de regulación tienen la función general de regular los monopolios en la prestación de los servicios públicos, </w:t>
      </w:r>
      <w:r w:rsidR="002F37F5" w:rsidRPr="00433A6C">
        <w:lastRenderedPageBreak/>
        <w:t>cuando la competencia no sea posible, y, en los demás casos, promover la competencia entre quienes presten dichos servicios, de manera que las operaciones de los monopolistas o de los competidores sean económicamente eficientes, no impliquen abuso de posición dominante y produzcan servicios de calidad. Esta función regulatoria debe ejercerse conforme a los principios que orientan el régimen de los servicios públicos domiciliarios, de manera que las medidas adoptadas sean eficientes, proporcionales y adecuadas al fin perseguido, evitando la imposición de cargas innecesarias o excesivas a los agentes regulados y procurando un equilibrio entre la protección de los usuarios, la calidad del servicio, la promoción de la competencia y la sostenibilidad de la prestación.</w:t>
      </w:r>
    </w:p>
    <w:p w14:paraId="1F9877E5" w14:textId="77777777" w:rsidR="00885559" w:rsidRDefault="00885559" w:rsidP="002F1961">
      <w:pPr>
        <w:spacing w:before="100" w:beforeAutospacing="1" w:after="100" w:afterAutospacing="1" w:line="360" w:lineRule="auto"/>
        <w:rPr>
          <w:lang w:val="es-CO"/>
        </w:rPr>
      </w:pPr>
      <w:r w:rsidRPr="00885559">
        <w:rPr>
          <w:lang w:val="es-CO"/>
        </w:rPr>
        <w:t>En desarrollo de estas competencias, la CREG puede, entre otras funciones, definir criterios de eficiencia, desarrollar indicadores y modelos para evaluar la gestión financiera, técnica y administrativa de las empresas de servicios públicos, fijar normas de calidad del servicio, establecer fórmulas tarifarias cuando corresponda, determinar cuándo hay suficiente competencia para la libre fijación de tarifas, señalar criterios generales sobre abuso de posición dominante en los contratos de servicios públicos y adoptar medidas orientadas a la protección de los derechos de los usuarios.</w:t>
      </w:r>
    </w:p>
    <w:p w14:paraId="373C52C7" w14:textId="77777777" w:rsidR="00885559" w:rsidRDefault="00885559" w:rsidP="002F1961">
      <w:pPr>
        <w:spacing w:before="100" w:beforeAutospacing="1" w:after="100" w:afterAutospacing="1" w:line="360" w:lineRule="auto"/>
        <w:rPr>
          <w:lang w:val="es-CO"/>
        </w:rPr>
      </w:pPr>
      <w:r w:rsidRPr="00885559">
        <w:rPr>
          <w:lang w:val="es-CO"/>
        </w:rPr>
        <w:t>A su vez, el artículo 74.1 de la Ley 142 de 1994 asigna a la CREG funciones especiales en los sectores de energía y gas combustible. En particular, le corresponde regular el ejercicio de las actividades de dichos sectores para asegurar la disponibilidad de una oferta energética eficiente, propiciar la competencia, proponer medidas para impedir abusos de posición dominante y buscar la liberación gradual de los mercados hacia la libre competencia. Así mismo, la Comisión puede expedir regulaciones específicas para el uso eficiente de energía y gas combustible por parte de los consumidores, regular el funcionamiento del mercado mayorista de energía y gas combustible y fijar las tarifas de venta de gas combustible, o delegar dicha facultad en los términos previstos en la ley.</w:t>
      </w:r>
    </w:p>
    <w:p w14:paraId="20405F52" w14:textId="77777777" w:rsidR="00885559" w:rsidRDefault="00885559" w:rsidP="002F1961">
      <w:pPr>
        <w:spacing w:before="100" w:beforeAutospacing="1" w:after="100" w:afterAutospacing="1" w:line="360" w:lineRule="auto"/>
        <w:rPr>
          <w:lang w:val="es-CO"/>
        </w:rPr>
      </w:pPr>
      <w:r w:rsidRPr="00885559">
        <w:rPr>
          <w:lang w:val="es-CO"/>
        </w:rPr>
        <w:t xml:space="preserve">El Decreto 1260 de 2013, por el cual se modifica la estructura de la CREG, reitera que la Comisión es una Unidad Administrativa Especial adscrita al Ministerio de Minas y Energía, con autonomía administrativa, técnica y financiera. Igualmente, establece que su objeto es regular los monopolios en la prestación de los servicios públicos domiciliarios </w:t>
      </w:r>
      <w:r w:rsidRPr="00885559">
        <w:rPr>
          <w:lang w:val="es-CO"/>
        </w:rPr>
        <w:lastRenderedPageBreak/>
        <w:t>de energía eléctrica y gas combustible, cuando la competencia no sea posible, y promover la competencia en los demás casos, de manera que las operaciones de los agentes sean económicamente eficientes, no impliquen abuso de posición dominante y produzcan servicios de calidad.</w:t>
      </w:r>
    </w:p>
    <w:p w14:paraId="60957F70" w14:textId="74168458" w:rsidR="00885559" w:rsidRPr="00885559" w:rsidRDefault="00885559" w:rsidP="002F1961">
      <w:pPr>
        <w:spacing w:before="100" w:beforeAutospacing="1" w:after="100" w:afterAutospacing="1" w:line="360" w:lineRule="auto"/>
        <w:rPr>
          <w:lang w:val="es-CO"/>
        </w:rPr>
      </w:pPr>
      <w:r w:rsidRPr="00885559">
        <w:rPr>
          <w:lang w:val="es-CO"/>
        </w:rPr>
        <w:t>El mismo decreto compila las funciones de la CREG en relación con los sectores de energía eléctrica y gas combustible, dentro de las cuales se encuentran regular el ejercicio de las actividades de estos sectores, asegurar la disponibilidad de una oferta energética eficiente, propiciar la competencia, adoptar medidas para prevenir abusos de posición dominante,</w:t>
      </w:r>
      <w:r w:rsidR="00B43FD8">
        <w:rPr>
          <w:lang w:val="es-CO"/>
        </w:rPr>
        <w:t xml:space="preserve"> establecer</w:t>
      </w:r>
      <w:r w:rsidR="001B102C">
        <w:rPr>
          <w:lang w:val="es-CO"/>
        </w:rPr>
        <w:t xml:space="preserve"> metodologías</w:t>
      </w:r>
      <w:r w:rsidR="006D0CE1">
        <w:rPr>
          <w:lang w:val="es-CO"/>
        </w:rPr>
        <w:t xml:space="preserve"> </w:t>
      </w:r>
      <w:r w:rsidR="001B102C">
        <w:rPr>
          <w:lang w:val="es-CO"/>
        </w:rPr>
        <w:t>tarifarias, cargos o precios máximos aplicables cuando legalmente corresponda</w:t>
      </w:r>
      <w:r w:rsidRPr="00885559">
        <w:rPr>
          <w:lang w:val="es-CO"/>
        </w:rPr>
        <w:t>, definir criterios de eficiencia, establecer normas de calidad del servicio, regular aspectos contractuales relevantes, proteger los derechos de los usuarios y adoptar mecanismos que eviten concentraciones indebidas en actividades complementarias de un mismo sector o de sectores afines.</w:t>
      </w:r>
    </w:p>
    <w:p w14:paraId="09E0D432" w14:textId="1E524C66" w:rsidR="00095710" w:rsidRDefault="00434E3B" w:rsidP="002F1961">
      <w:pPr>
        <w:spacing w:before="100" w:beforeAutospacing="1" w:after="100" w:afterAutospacing="1" w:line="360" w:lineRule="auto"/>
        <w:rPr>
          <w:lang w:val="es-CO"/>
        </w:rPr>
      </w:pPr>
      <w:r w:rsidRPr="00434E3B">
        <w:t>En consecuencia, las competencias atribuidas a la CREG por la Ley 142 de 1994 y el Decreto 1260 de 2013 justifican que la Comisión adelante un análisis integral de la cadena del GLP, incluyendo las condiciones de comercialización, transporte, distribución, prestación del servicio, formación de precios, calidad, suficiencia de infraestructura, acceso al energético, competencia entre agentes y protección de los usuarios. Dicho análisis debe estar precedido de un diagnóstico riguroso del mercado que permita determinar si existen fallas de mercado, fallas regulatorias, riesgos de abuso de posición dominante, restricciones a la competencia o problemas de eficiencia que justifiquen la intervención regulatoria, así como identificar las alternativas de intervención más adecuadas, proporcionales y eficientes.</w:t>
      </w:r>
    </w:p>
    <w:p w14:paraId="2AF14688" w14:textId="28F95C8D" w:rsidR="000C1666" w:rsidRDefault="00E12562" w:rsidP="002F1961">
      <w:pPr>
        <w:pStyle w:val="Ttulo3"/>
        <w:spacing w:before="100" w:beforeAutospacing="1" w:after="100" w:afterAutospacing="1"/>
      </w:pPr>
      <w:bookmarkStart w:id="10" w:name="_Toc235128319"/>
      <w:r>
        <w:t>Competencias del MME</w:t>
      </w:r>
      <w:bookmarkEnd w:id="10"/>
      <w:r w:rsidR="2A6A67ED">
        <w:t xml:space="preserve"> </w:t>
      </w:r>
    </w:p>
    <w:p w14:paraId="3DFC624E" w14:textId="12B3DAA8" w:rsidR="006921F0" w:rsidRDefault="004C34C7" w:rsidP="002F1961">
      <w:pPr>
        <w:spacing w:before="100" w:beforeAutospacing="1" w:after="100" w:afterAutospacing="1" w:line="360" w:lineRule="auto"/>
        <w:rPr>
          <w:rFonts w:eastAsia="Arial" w:cs="Arial"/>
          <w:color w:val="000000"/>
          <w:szCs w:val="24"/>
          <w:lang w:val="es-CO"/>
        </w:rPr>
      </w:pPr>
      <w:r w:rsidRPr="004C34C7">
        <w:rPr>
          <w:rFonts w:eastAsia="Arial" w:cs="Arial"/>
          <w:color w:val="000000"/>
          <w:szCs w:val="24"/>
        </w:rPr>
        <w:t>El Ministerio de Minas y Energía</w:t>
      </w:r>
      <w:r w:rsidR="006921F0">
        <w:rPr>
          <w:rFonts w:eastAsia="Arial" w:cs="Arial"/>
          <w:color w:val="000000"/>
          <w:szCs w:val="24"/>
        </w:rPr>
        <w:t xml:space="preserve"> -MME</w:t>
      </w:r>
      <w:r w:rsidRPr="004C34C7">
        <w:rPr>
          <w:rFonts w:eastAsia="Arial" w:cs="Arial"/>
          <w:color w:val="000000"/>
          <w:szCs w:val="24"/>
        </w:rPr>
        <w:t xml:space="preserve">, </w:t>
      </w:r>
      <w:r w:rsidR="006921F0" w:rsidRPr="006921F0">
        <w:rPr>
          <w:rFonts w:eastAsia="Arial" w:cs="Arial"/>
          <w:color w:val="000000"/>
          <w:szCs w:val="24"/>
          <w:lang w:val="es-CO"/>
        </w:rPr>
        <w:t xml:space="preserve">como cabeza del Sector Administrativo de Minas y Energía, tiene a su cargo la formulación, adopción, dirección y coordinación de las políticas, planes y programas del sector energético. En materia de </w:t>
      </w:r>
      <w:r w:rsidR="006921F0">
        <w:rPr>
          <w:rFonts w:eastAsia="Arial" w:cs="Arial"/>
          <w:color w:val="000000"/>
          <w:szCs w:val="24"/>
          <w:lang w:val="es-CO"/>
        </w:rPr>
        <w:t>GLP</w:t>
      </w:r>
      <w:r w:rsidR="006921F0" w:rsidRPr="006921F0">
        <w:rPr>
          <w:rFonts w:eastAsia="Arial" w:cs="Arial"/>
          <w:color w:val="000000"/>
          <w:szCs w:val="24"/>
          <w:lang w:val="es-CO"/>
        </w:rPr>
        <w:t xml:space="preserve">, sus competencias se enmarcan principalmente en el Decreto 381 de 2012 y en el Decreto </w:t>
      </w:r>
      <w:r w:rsidR="006921F0" w:rsidRPr="006921F0">
        <w:rPr>
          <w:rFonts w:eastAsia="Arial" w:cs="Arial"/>
          <w:color w:val="000000"/>
          <w:szCs w:val="24"/>
          <w:lang w:val="es-CO"/>
        </w:rPr>
        <w:lastRenderedPageBreak/>
        <w:t>1073 de 2015, Decreto Único Reglamentario del Sector Administrativo de Minas y Energía, particularmente en las disposiciones relacionadas con el abastecimiento de GLP.</w:t>
      </w:r>
    </w:p>
    <w:p w14:paraId="1654163E" w14:textId="77777777" w:rsidR="006921F0" w:rsidRPr="006921F0" w:rsidRDefault="006921F0" w:rsidP="002F1961">
      <w:pPr>
        <w:spacing w:before="100" w:beforeAutospacing="1" w:after="100" w:afterAutospacing="1" w:line="360" w:lineRule="auto"/>
        <w:rPr>
          <w:rFonts w:eastAsia="Arial" w:cs="Arial"/>
          <w:color w:val="000000"/>
          <w:szCs w:val="24"/>
          <w:lang w:val="es-CO"/>
        </w:rPr>
      </w:pPr>
      <w:r w:rsidRPr="006921F0">
        <w:rPr>
          <w:rFonts w:eastAsia="Arial" w:cs="Arial"/>
          <w:color w:val="000000"/>
          <w:szCs w:val="24"/>
          <w:lang w:val="es-CO"/>
        </w:rPr>
        <w:t>En este marco, el Ministerio cumple un rol rector en la formulación de la política energética nacional, incluyendo la definición de lineamientos orientados a garantizar la disponibilidad, continuidad, confiabilidad y cobertura del GLP. Esta función resulta relevante por tratarse de un energético utilizado para la atención de usuarios residenciales, comerciales, industriales, rurales y otros segmentos de demanda, así como para el desarrollo de nuevos usos energéticos.</w:t>
      </w:r>
    </w:p>
    <w:p w14:paraId="32E5FC13" w14:textId="77777777" w:rsidR="006921F0" w:rsidRPr="006921F0" w:rsidRDefault="006921F0" w:rsidP="002F1961">
      <w:pPr>
        <w:spacing w:before="100" w:beforeAutospacing="1" w:after="100" w:afterAutospacing="1" w:line="360" w:lineRule="auto"/>
        <w:rPr>
          <w:rFonts w:eastAsia="Arial" w:cs="Arial"/>
          <w:color w:val="000000"/>
          <w:szCs w:val="24"/>
          <w:lang w:val="es-CO"/>
        </w:rPr>
      </w:pPr>
      <w:r w:rsidRPr="006921F0">
        <w:rPr>
          <w:rFonts w:eastAsia="Arial" w:cs="Arial"/>
          <w:color w:val="000000"/>
          <w:szCs w:val="24"/>
          <w:lang w:val="es-CO"/>
        </w:rPr>
        <w:t>Así mismo, el Ministerio tiene competencia para expedir reglamentos técnicos aplicables al gas combustible, sus usos y aplicaciones. En ejercicio de esta función, ha expedido reglamentos técnicos orientados a garantizar la seguridad, calidad y confiabilidad en distintos eslabones de la cadena de GLP, incluyendo el recibo, almacenamiento y distribución; las plantas de envasado; los depósitos, expendios y puntos de venta de cilindros; y disposiciones técnicas aplicables a recipientes como cilindros, cisternas y tanques estacionarios.</w:t>
      </w:r>
    </w:p>
    <w:p w14:paraId="3C043D8B" w14:textId="602D6037" w:rsidR="006921F0" w:rsidRPr="006921F0" w:rsidRDefault="006921F0" w:rsidP="002F1961">
      <w:pPr>
        <w:spacing w:before="100" w:beforeAutospacing="1" w:after="100" w:afterAutospacing="1" w:line="360" w:lineRule="auto"/>
        <w:rPr>
          <w:rFonts w:eastAsia="Arial" w:cs="Arial"/>
          <w:color w:val="000000"/>
          <w:szCs w:val="24"/>
          <w:lang w:val="es-CO"/>
        </w:rPr>
      </w:pPr>
      <w:r w:rsidRPr="006921F0">
        <w:rPr>
          <w:rFonts w:eastAsia="Arial" w:cs="Arial"/>
          <w:color w:val="000000"/>
          <w:szCs w:val="24"/>
          <w:lang w:val="es-CO"/>
        </w:rPr>
        <w:t>Entre las normas relevantes se encuentran las Resoluciones MME 40246, 40247 y 40248 de 2016, modificadas por las Resoluciones MME 40867, 40868 y 40869 de 2016, respectivamente, así como la Resolución MME 40304 de 2018, relacionada con disposiciones aplicables a los recipientes utilizados en la distribución y comercialización de GLP. Estos instrumentos establecen requisitos técnicos, de operación, seguridad, certificación y evaluación de la conformidad aplicables a instalaciones, equipos y procesos vinculados con la prestación del servicio público domiciliario de GLP.</w:t>
      </w:r>
    </w:p>
    <w:p w14:paraId="09B9D2C5" w14:textId="77777777" w:rsidR="006921F0" w:rsidRPr="006921F0" w:rsidRDefault="006921F0" w:rsidP="002F1961">
      <w:pPr>
        <w:spacing w:before="100" w:beforeAutospacing="1" w:after="100" w:afterAutospacing="1" w:line="360" w:lineRule="auto"/>
        <w:rPr>
          <w:rFonts w:eastAsia="Arial" w:cs="Arial"/>
          <w:color w:val="000000"/>
          <w:szCs w:val="24"/>
          <w:lang w:val="es-CO"/>
        </w:rPr>
      </w:pPr>
      <w:r w:rsidRPr="006921F0">
        <w:rPr>
          <w:rFonts w:eastAsia="Arial" w:cs="Arial"/>
          <w:color w:val="000000"/>
          <w:szCs w:val="24"/>
          <w:lang w:val="es-CO"/>
        </w:rPr>
        <w:t xml:space="preserve">En materia de seguridad de abastecimiento, el Decreto 1073 de 2015 establece disposiciones específicas para el GLP, incluyendo instrumentos de seguimiento a la oferta y demanda, como las declaraciones de producción e importación que deben realizar los agentes obligados en los términos definidos por el Ministerio. Esta información </w:t>
      </w:r>
      <w:r w:rsidRPr="006921F0">
        <w:rPr>
          <w:rFonts w:eastAsia="Arial" w:cs="Arial"/>
          <w:color w:val="000000"/>
          <w:szCs w:val="24"/>
          <w:lang w:val="es-CO"/>
        </w:rPr>
        <w:lastRenderedPageBreak/>
        <w:t>permite identificar riesgos de escasez, planear oportunamente el abastecimiento y adoptar medidas para proteger la continuidad del suministro.</w:t>
      </w:r>
    </w:p>
    <w:p w14:paraId="38D777CE" w14:textId="77777777" w:rsidR="006921F0" w:rsidRPr="006921F0" w:rsidRDefault="006921F0" w:rsidP="002F1961">
      <w:pPr>
        <w:spacing w:before="100" w:beforeAutospacing="1" w:after="100" w:afterAutospacing="1" w:line="360" w:lineRule="auto"/>
        <w:rPr>
          <w:rFonts w:eastAsia="Arial" w:cs="Arial"/>
          <w:color w:val="000000"/>
          <w:szCs w:val="24"/>
          <w:lang w:val="es-CO"/>
        </w:rPr>
      </w:pPr>
      <w:r w:rsidRPr="006921F0">
        <w:rPr>
          <w:rFonts w:eastAsia="Arial" w:cs="Arial"/>
          <w:color w:val="000000"/>
          <w:szCs w:val="24"/>
          <w:lang w:val="es-CO"/>
        </w:rPr>
        <w:t>Adicionalmente, el Decreto 1073 de 2015 faculta al Ministerio para declarar períodos de Racionamiento Programado de GLP cuando se prevea que la oferta será insuficiente para atender la demanda nacional. En estos eventos, el Ministerio puede adoptar medidas para gestionar la escasez y aplicar criterios de priorización en el abastecimiento, con el fin de proteger la atención de los usuarios y preservar la continuidad del servicio.</w:t>
      </w:r>
    </w:p>
    <w:p w14:paraId="5B63C0BC" w14:textId="77777777" w:rsidR="00627010" w:rsidRDefault="00627010" w:rsidP="002F1961">
      <w:pPr>
        <w:spacing w:before="100" w:beforeAutospacing="1" w:after="100" w:afterAutospacing="1" w:line="360" w:lineRule="auto"/>
        <w:rPr>
          <w:rFonts w:eastAsia="Arial" w:cs="Arial"/>
          <w:color w:val="000000" w:themeColor="text1"/>
          <w:lang w:val="es-CO"/>
        </w:rPr>
      </w:pPr>
      <w:r w:rsidRPr="00755D8D">
        <w:rPr>
          <w:rFonts w:eastAsia="Arial" w:cs="Arial"/>
          <w:color w:val="000000" w:themeColor="text1"/>
          <w:lang w:val="es-CO"/>
        </w:rPr>
        <w:t xml:space="preserve">Las competencias del Ministerio también comprenden la promoción de nuevos usos energéticos del GLP, tales como AutoGLP, </w:t>
      </w:r>
      <w:proofErr w:type="spellStart"/>
      <w:r w:rsidRPr="00755D8D">
        <w:rPr>
          <w:rFonts w:eastAsia="Arial" w:cs="Arial"/>
          <w:color w:val="000000" w:themeColor="text1"/>
          <w:lang w:val="es-CO"/>
        </w:rPr>
        <w:t>NautiGLP</w:t>
      </w:r>
      <w:proofErr w:type="spellEnd"/>
      <w:r w:rsidRPr="00755D8D">
        <w:rPr>
          <w:rFonts w:eastAsia="Arial" w:cs="Arial"/>
          <w:color w:val="000000" w:themeColor="text1"/>
          <w:lang w:val="es-CO"/>
        </w:rPr>
        <w:t xml:space="preserve"> u otras aplicaciones comerciales, industriales, agroindustriales o rurales. Esta promoción se articula con los lineamientos de política pública en materia de</w:t>
      </w:r>
      <w:r>
        <w:rPr>
          <w:rFonts w:eastAsia="Arial" w:cs="Arial"/>
          <w:color w:val="000000" w:themeColor="text1"/>
          <w:lang w:val="es-CO"/>
        </w:rPr>
        <w:t xml:space="preserve"> </w:t>
      </w:r>
      <w:r w:rsidR="006921F0" w:rsidRPr="568915D0">
        <w:rPr>
          <w:rFonts w:eastAsia="Arial" w:cs="Arial"/>
          <w:color w:val="000000" w:themeColor="text1"/>
          <w:lang w:val="es-CO"/>
        </w:rPr>
        <w:t>la transición energética</w:t>
      </w:r>
      <w:r w:rsidR="00940C95">
        <w:rPr>
          <w:rStyle w:val="Refdenotaalpie"/>
          <w:rFonts w:eastAsia="Arial" w:cs="Arial"/>
          <w:color w:val="000000" w:themeColor="text1"/>
          <w:lang w:val="es-CO"/>
        </w:rPr>
        <w:footnoteReference w:id="2"/>
      </w:r>
      <w:r w:rsidR="006921F0" w:rsidRPr="568915D0">
        <w:rPr>
          <w:rFonts w:eastAsia="Arial" w:cs="Arial"/>
          <w:color w:val="000000" w:themeColor="text1"/>
          <w:lang w:val="es-CO"/>
        </w:rPr>
        <w:t xml:space="preserve">, </w:t>
      </w:r>
      <w:r w:rsidRPr="00755D8D">
        <w:rPr>
          <w:rFonts w:eastAsia="Arial" w:cs="Arial"/>
          <w:color w:val="000000" w:themeColor="text1"/>
          <w:lang w:val="es-CO"/>
        </w:rPr>
        <w:t>eficiencia energética, seguridad energética y confiabilidad del abastecimiento, así como con los reglamentos técnicos aplicables, de manera que dichos usos se desarrollen de forma segura, ordenada y confiable.</w:t>
      </w:r>
    </w:p>
    <w:p w14:paraId="0C6192D8" w14:textId="77777777" w:rsidR="00755D8D" w:rsidRPr="00755D8D" w:rsidRDefault="00755D8D" w:rsidP="002F1961">
      <w:pPr>
        <w:spacing w:before="100" w:beforeAutospacing="1" w:after="100" w:afterAutospacing="1" w:line="360" w:lineRule="auto"/>
        <w:rPr>
          <w:rFonts w:eastAsia="Arial" w:cs="Arial"/>
          <w:color w:val="000000" w:themeColor="text1"/>
          <w:lang w:val="es-CO"/>
        </w:rPr>
      </w:pPr>
      <w:r w:rsidRPr="00755D8D">
        <w:rPr>
          <w:rFonts w:eastAsia="Arial" w:cs="Arial"/>
          <w:color w:val="000000" w:themeColor="text1"/>
          <w:lang w:val="es-CO"/>
        </w:rPr>
        <w:t>En este contexto, la Ley 2099 de 2021, el Plan Nacional de Desarrollo 2022-2026 y la política de transición energética refuerzan el papel del Ministerio en la definición de instrumentos orientados a ampliar la cobertura, promover soluciones energéticas seguras y fortalecer la disponibilidad de energéticos para los usuarios. En esa misma línea, el Decreto 1310 de 2024 desarrolló disposiciones específicas sobre almacenamiento estratégico de GLP, especialmente en zonas de frontera, como herramienta para garantizar la continuidad y confiabilidad del abastecimiento.</w:t>
      </w:r>
    </w:p>
    <w:p w14:paraId="19D1093F" w14:textId="6C58A168" w:rsidR="0066076A" w:rsidRPr="0066076A" w:rsidRDefault="00D805FD" w:rsidP="002F1961">
      <w:pPr>
        <w:spacing w:before="100" w:beforeAutospacing="1" w:after="100" w:afterAutospacing="1" w:line="360" w:lineRule="auto"/>
        <w:rPr>
          <w:rFonts w:eastAsia="Arial" w:cs="Arial"/>
          <w:color w:val="000000"/>
          <w:szCs w:val="24"/>
          <w:lang w:val="es-CO"/>
        </w:rPr>
      </w:pPr>
      <w:r>
        <w:rPr>
          <w:rFonts w:eastAsia="Arial" w:cs="Arial"/>
          <w:color w:val="000000"/>
          <w:szCs w:val="24"/>
          <w:lang w:val="es-CO"/>
        </w:rPr>
        <w:t>Queda entonces claro que, l</w:t>
      </w:r>
      <w:r w:rsidR="00F0287B" w:rsidRPr="00F0287B">
        <w:rPr>
          <w:rFonts w:eastAsia="Arial" w:cs="Arial"/>
          <w:color w:val="000000"/>
          <w:szCs w:val="24"/>
          <w:lang w:val="es-CO"/>
        </w:rPr>
        <w:t xml:space="preserve">a política pública </w:t>
      </w:r>
      <w:r w:rsidR="006921F0" w:rsidRPr="006921F0">
        <w:rPr>
          <w:rFonts w:eastAsia="Arial" w:cs="Arial"/>
          <w:color w:val="000000"/>
          <w:szCs w:val="24"/>
          <w:lang w:val="es-CO"/>
        </w:rPr>
        <w:t xml:space="preserve">definida por el </w:t>
      </w:r>
      <w:r>
        <w:rPr>
          <w:rFonts w:eastAsia="Arial" w:cs="Arial"/>
          <w:color w:val="000000"/>
          <w:szCs w:val="24"/>
          <w:lang w:val="es-CO"/>
        </w:rPr>
        <w:t>MME</w:t>
      </w:r>
      <w:r w:rsidR="00F0287B" w:rsidRPr="00F0287B">
        <w:rPr>
          <w:rFonts w:eastAsia="Arial" w:cs="Arial"/>
          <w:color w:val="000000"/>
          <w:szCs w:val="24"/>
          <w:lang w:val="es-CO"/>
        </w:rPr>
        <w:t xml:space="preserve"> orienta</w:t>
      </w:r>
      <w:r w:rsidR="0066076A" w:rsidRPr="0066076A">
        <w:rPr>
          <w:rFonts w:eastAsia="Arial" w:cs="Arial"/>
          <w:color w:val="000000"/>
          <w:szCs w:val="24"/>
          <w:lang w:val="es-CO"/>
        </w:rPr>
        <w:t xml:space="preserve"> los objetivos </w:t>
      </w:r>
      <w:r w:rsidR="00F0287B" w:rsidRPr="00F0287B">
        <w:rPr>
          <w:rFonts w:eastAsia="Arial" w:cs="Arial"/>
          <w:color w:val="000000"/>
          <w:szCs w:val="24"/>
          <w:lang w:val="es-CO"/>
        </w:rPr>
        <w:t xml:space="preserve">sectoriales </w:t>
      </w:r>
      <w:r w:rsidR="0066076A" w:rsidRPr="0066076A">
        <w:rPr>
          <w:rFonts w:eastAsia="Arial" w:cs="Arial"/>
          <w:color w:val="000000"/>
          <w:szCs w:val="24"/>
          <w:lang w:val="es-CO"/>
        </w:rPr>
        <w:t>en materia de seguridad energética, abastecimiento, cobertura, nuevos usos</w:t>
      </w:r>
      <w:r w:rsidR="006921F0" w:rsidRPr="006921F0">
        <w:rPr>
          <w:rFonts w:eastAsia="Arial" w:cs="Arial"/>
          <w:color w:val="000000"/>
          <w:szCs w:val="24"/>
          <w:lang w:val="es-CO"/>
        </w:rPr>
        <w:t>, reglamentación técnica</w:t>
      </w:r>
      <w:r w:rsidR="0066076A" w:rsidRPr="0066076A">
        <w:rPr>
          <w:rFonts w:eastAsia="Arial" w:cs="Arial"/>
          <w:color w:val="000000"/>
          <w:szCs w:val="24"/>
          <w:lang w:val="es-CO"/>
        </w:rPr>
        <w:t xml:space="preserve"> y protección de los usuarios</w:t>
      </w:r>
      <w:r w:rsidR="00F0287B" w:rsidRPr="00F0287B">
        <w:rPr>
          <w:rFonts w:eastAsia="Arial" w:cs="Arial"/>
          <w:color w:val="000000"/>
          <w:szCs w:val="24"/>
          <w:lang w:val="es-CO"/>
        </w:rPr>
        <w:t xml:space="preserve">. A partir de estos lineamientos, la </w:t>
      </w:r>
      <w:r w:rsidR="0066076A" w:rsidRPr="0066076A">
        <w:rPr>
          <w:rFonts w:eastAsia="Arial" w:cs="Arial"/>
          <w:color w:val="000000"/>
          <w:szCs w:val="24"/>
          <w:lang w:val="es-CO"/>
        </w:rPr>
        <w:t xml:space="preserve">CREG desarrolla </w:t>
      </w:r>
      <w:r w:rsidR="00F0287B" w:rsidRPr="00F0287B">
        <w:rPr>
          <w:rFonts w:eastAsia="Arial" w:cs="Arial"/>
          <w:color w:val="000000"/>
          <w:szCs w:val="24"/>
          <w:lang w:val="es-CO"/>
        </w:rPr>
        <w:t>la regulación económica aplicable</w:t>
      </w:r>
      <w:r w:rsidR="0066076A" w:rsidRPr="0066076A">
        <w:rPr>
          <w:rFonts w:eastAsia="Arial" w:cs="Arial"/>
          <w:color w:val="000000"/>
          <w:szCs w:val="24"/>
          <w:lang w:val="es-CO"/>
        </w:rPr>
        <w:t xml:space="preserve"> a la prestación eficiente del servicio </w:t>
      </w:r>
      <w:r w:rsidR="0066076A" w:rsidRPr="0066076A">
        <w:rPr>
          <w:rFonts w:eastAsia="Arial" w:cs="Arial"/>
          <w:color w:val="000000"/>
          <w:szCs w:val="24"/>
          <w:lang w:val="es-CO"/>
        </w:rPr>
        <w:lastRenderedPageBreak/>
        <w:t>público domiciliario de GLP</w:t>
      </w:r>
      <w:r w:rsidR="00F0287B" w:rsidRPr="00F0287B">
        <w:rPr>
          <w:rFonts w:eastAsia="Arial" w:cs="Arial"/>
          <w:color w:val="000000"/>
          <w:szCs w:val="24"/>
          <w:lang w:val="es-CO"/>
        </w:rPr>
        <w:t>, asegurando</w:t>
      </w:r>
      <w:r w:rsidR="0066076A" w:rsidRPr="0066076A">
        <w:rPr>
          <w:rFonts w:eastAsia="Arial" w:cs="Arial"/>
          <w:color w:val="000000"/>
          <w:szCs w:val="24"/>
          <w:lang w:val="es-CO"/>
        </w:rPr>
        <w:t xml:space="preserve"> que </w:t>
      </w:r>
      <w:r w:rsidR="00F0287B" w:rsidRPr="00F0287B">
        <w:rPr>
          <w:rFonts w:eastAsia="Arial" w:cs="Arial"/>
          <w:color w:val="000000"/>
          <w:szCs w:val="24"/>
          <w:lang w:val="es-CO"/>
        </w:rPr>
        <w:t>las reglas del mercado sean coherentes</w:t>
      </w:r>
      <w:r w:rsidR="0066076A" w:rsidRPr="0066076A">
        <w:rPr>
          <w:rFonts w:eastAsia="Arial" w:cs="Arial"/>
          <w:color w:val="000000"/>
          <w:szCs w:val="24"/>
          <w:lang w:val="es-CO"/>
        </w:rPr>
        <w:t xml:space="preserve"> con los </w:t>
      </w:r>
      <w:r w:rsidR="00F0287B" w:rsidRPr="00F0287B">
        <w:rPr>
          <w:rFonts w:eastAsia="Arial" w:cs="Arial"/>
          <w:color w:val="000000"/>
          <w:szCs w:val="24"/>
          <w:lang w:val="es-CO"/>
        </w:rPr>
        <w:t>fines</w:t>
      </w:r>
      <w:r w:rsidR="0066076A" w:rsidRPr="0066076A">
        <w:rPr>
          <w:rFonts w:eastAsia="Arial" w:cs="Arial"/>
          <w:color w:val="000000"/>
          <w:szCs w:val="24"/>
          <w:lang w:val="es-CO"/>
        </w:rPr>
        <w:t xml:space="preserve"> de política pública y </w:t>
      </w:r>
      <w:r w:rsidR="00F0287B" w:rsidRPr="00F0287B">
        <w:rPr>
          <w:rFonts w:eastAsia="Arial" w:cs="Arial"/>
          <w:color w:val="000000"/>
          <w:szCs w:val="24"/>
          <w:lang w:val="es-CO"/>
        </w:rPr>
        <w:t>contribuyan</w:t>
      </w:r>
      <w:r w:rsidR="0066076A" w:rsidRPr="0066076A">
        <w:rPr>
          <w:rFonts w:eastAsia="Arial" w:cs="Arial"/>
          <w:color w:val="000000"/>
          <w:szCs w:val="24"/>
          <w:lang w:val="es-CO"/>
        </w:rPr>
        <w:t xml:space="preserve"> al desarrollo ordenado</w:t>
      </w:r>
      <w:r w:rsidR="00F0287B" w:rsidRPr="00F0287B">
        <w:rPr>
          <w:rFonts w:eastAsia="Arial" w:cs="Arial"/>
          <w:color w:val="000000"/>
          <w:szCs w:val="24"/>
          <w:lang w:val="es-CO"/>
        </w:rPr>
        <w:t xml:space="preserve"> y</w:t>
      </w:r>
      <w:r w:rsidR="0066076A" w:rsidRPr="0066076A">
        <w:rPr>
          <w:rFonts w:eastAsia="Arial" w:cs="Arial"/>
          <w:color w:val="000000"/>
          <w:szCs w:val="24"/>
          <w:lang w:val="es-CO"/>
        </w:rPr>
        <w:t xml:space="preserve"> seguro </w:t>
      </w:r>
      <w:r w:rsidR="00F0287B" w:rsidRPr="00F0287B">
        <w:rPr>
          <w:rFonts w:eastAsia="Arial" w:cs="Arial"/>
          <w:color w:val="000000"/>
          <w:szCs w:val="24"/>
          <w:lang w:val="es-CO"/>
        </w:rPr>
        <w:t xml:space="preserve">del </w:t>
      </w:r>
      <w:r w:rsidR="0066076A" w:rsidRPr="0066076A">
        <w:rPr>
          <w:rFonts w:eastAsia="Arial" w:cs="Arial"/>
          <w:color w:val="000000"/>
          <w:szCs w:val="24"/>
          <w:lang w:val="es-CO"/>
        </w:rPr>
        <w:t>sector.</w:t>
      </w:r>
    </w:p>
    <w:p w14:paraId="0A7CC936" w14:textId="31FB0305" w:rsidR="00FA1AE7" w:rsidRDefault="00FA1AE7" w:rsidP="002F1961">
      <w:pPr>
        <w:pStyle w:val="Ttulo3"/>
        <w:spacing w:before="100" w:beforeAutospacing="1" w:after="100" w:afterAutospacing="1"/>
      </w:pPr>
      <w:bookmarkStart w:id="11" w:name="_Toc235128320"/>
      <w:r>
        <w:t>Competencias de la UPME</w:t>
      </w:r>
      <w:bookmarkEnd w:id="11"/>
      <w:r w:rsidR="63532567">
        <w:t xml:space="preserve"> </w:t>
      </w:r>
    </w:p>
    <w:p w14:paraId="6F77FB93" w14:textId="134DF4CC" w:rsidR="00780043" w:rsidRPr="00780043" w:rsidRDefault="00780043" w:rsidP="002F1961">
      <w:pPr>
        <w:spacing w:before="100" w:beforeAutospacing="1" w:after="100" w:afterAutospacing="1" w:line="360" w:lineRule="auto"/>
        <w:rPr>
          <w:lang w:val="es-CO"/>
        </w:rPr>
      </w:pPr>
      <w:r w:rsidRPr="00780043">
        <w:rPr>
          <w:lang w:val="es-CO"/>
        </w:rPr>
        <w:t xml:space="preserve">La Unidad de Planeación </w:t>
      </w:r>
      <w:proofErr w:type="gramStart"/>
      <w:r w:rsidRPr="00780043">
        <w:rPr>
          <w:lang w:val="es-CO"/>
        </w:rPr>
        <w:t>Minero Energética</w:t>
      </w:r>
      <w:proofErr w:type="gramEnd"/>
      <w:r w:rsidR="009774F1">
        <w:rPr>
          <w:lang w:val="es-CO"/>
        </w:rPr>
        <w:t xml:space="preserve"> - </w:t>
      </w:r>
      <w:r w:rsidRPr="00780043">
        <w:rPr>
          <w:lang w:val="es-CO"/>
        </w:rPr>
        <w:t xml:space="preserve">UPME es una Unidad Administrativa Especial de carácter técnico, adscrita al Ministerio de Minas y Energía. De conformidad con </w:t>
      </w:r>
      <w:r w:rsidR="00F81CA6">
        <w:rPr>
          <w:lang w:val="es-CO"/>
        </w:rPr>
        <w:t>el</w:t>
      </w:r>
      <w:r w:rsidRPr="00780043">
        <w:rPr>
          <w:lang w:val="es-CO"/>
        </w:rPr>
        <w:t xml:space="preserve"> artículo 3 del Decreto 2121 de 2023, tiene por objeto planear, de manera integral, indicativa, permanente y coordinada, el desarrollo del sector minero energético, así como producir y divulgar información para la formulación de política pública y la toma de decisiones sectoriales.</w:t>
      </w:r>
    </w:p>
    <w:p w14:paraId="081A2DAE" w14:textId="77777777" w:rsidR="00780043" w:rsidRPr="00780043" w:rsidRDefault="00780043" w:rsidP="002F1961">
      <w:pPr>
        <w:spacing w:before="100" w:beforeAutospacing="1" w:after="100" w:afterAutospacing="1" w:line="360" w:lineRule="auto"/>
        <w:rPr>
          <w:lang w:val="es-CO"/>
        </w:rPr>
      </w:pPr>
      <w:r w:rsidRPr="00780043">
        <w:rPr>
          <w:lang w:val="es-CO"/>
        </w:rPr>
        <w:t>En materia de GLP, la UPME cumple una función técnica de planeación y análisis prospectivo. En ese marco, no ejerce funciones regulatorias ni de vigilancia, sino que elabora estudios, proyecciones y planes indicativos que permiten identificar las condiciones actuales y futuras de abastecimiento, la evolución esperada de la oferta y la demanda, y las necesidades de infraestructura requeridas para fortalecer la seguridad y confiabilidad del suministro.</w:t>
      </w:r>
    </w:p>
    <w:p w14:paraId="7D6D08D6" w14:textId="77777777" w:rsidR="00780043" w:rsidRPr="00780043" w:rsidRDefault="00780043" w:rsidP="002F1961">
      <w:pPr>
        <w:spacing w:before="100" w:beforeAutospacing="1" w:after="100" w:afterAutospacing="1" w:line="360" w:lineRule="auto"/>
        <w:rPr>
          <w:lang w:val="es-CO"/>
        </w:rPr>
      </w:pPr>
      <w:r w:rsidRPr="00780043">
        <w:rPr>
          <w:lang w:val="es-CO"/>
        </w:rPr>
        <w:t xml:space="preserve">Conforme al artículo 4 del Decreto 2121 de 2023, dentro de sus funciones se encuentran establecer los requerimientos energéticos del país con base en proyecciones de demanda, planear alternativas para atender dichos requerimientos, elaborar y actualizar planes sectoriales y </w:t>
      </w:r>
      <w:proofErr w:type="spellStart"/>
      <w:r w:rsidRPr="00780043">
        <w:rPr>
          <w:lang w:val="es-CO"/>
        </w:rPr>
        <w:t>subsectoriales</w:t>
      </w:r>
      <w:proofErr w:type="spellEnd"/>
      <w:r w:rsidRPr="00780043">
        <w:rPr>
          <w:lang w:val="es-CO"/>
        </w:rPr>
        <w:t>, realizar estudios para la formulación de política pública y consolidar información sectorial. Estas competencias sirven de fundamento para los análisis que realiza la UPME sobre el mercado de GLP.</w:t>
      </w:r>
    </w:p>
    <w:p w14:paraId="1DD5BC70" w14:textId="361DF796" w:rsidR="00780043" w:rsidRPr="00780043" w:rsidRDefault="00780043" w:rsidP="002F1961">
      <w:pPr>
        <w:spacing w:before="100" w:beforeAutospacing="1" w:after="100" w:afterAutospacing="1" w:line="360" w:lineRule="auto"/>
        <w:rPr>
          <w:lang w:val="es-CO"/>
        </w:rPr>
      </w:pPr>
      <w:r w:rsidRPr="00780043">
        <w:rPr>
          <w:lang w:val="es-CO"/>
        </w:rPr>
        <w:t xml:space="preserve">En desarrollo de dichas funciones, la UPME expide el Plan Indicativo de Abastecimiento de Gas Licuado de Petróleo – PIAGLP, cuyo horizonte vigente </w:t>
      </w:r>
      <w:r w:rsidR="00B14DF3">
        <w:rPr>
          <w:lang w:val="es-CO"/>
        </w:rPr>
        <w:t>actual</w:t>
      </w:r>
      <w:r w:rsidRPr="00780043">
        <w:rPr>
          <w:lang w:val="es-CO"/>
        </w:rPr>
        <w:t xml:space="preserve"> corresponde al período 2025–2034. En este documento se analiza el comportamiento esperado del mercado de GLP, considerando la producción nacional, la disponibilidad de producto importado, la evolución del consumo por sectores y regiones, y los escenarios de crecimiento de la demanda. A partir de este análisis, la UPME identifica posibles riesgos </w:t>
      </w:r>
      <w:r w:rsidRPr="00780043">
        <w:rPr>
          <w:lang w:val="es-CO"/>
        </w:rPr>
        <w:lastRenderedPageBreak/>
        <w:t xml:space="preserve">de abastecimiento y formula recomendaciones </w:t>
      </w:r>
      <w:r w:rsidR="00B14DF3">
        <w:rPr>
          <w:lang w:val="es-CO"/>
        </w:rPr>
        <w:t xml:space="preserve">al MME </w:t>
      </w:r>
      <w:r w:rsidRPr="00780043">
        <w:rPr>
          <w:lang w:val="es-CO"/>
        </w:rPr>
        <w:t>orientadas a fortalecer la confiabilidad del suministro en el mediano y largo plazo.</w:t>
      </w:r>
    </w:p>
    <w:p w14:paraId="53D60D85" w14:textId="77777777" w:rsidR="00780043" w:rsidRPr="00780043" w:rsidRDefault="00780043" w:rsidP="002F1961">
      <w:pPr>
        <w:spacing w:before="100" w:beforeAutospacing="1" w:after="100" w:afterAutospacing="1" w:line="360" w:lineRule="auto"/>
        <w:rPr>
          <w:lang w:val="es-CO"/>
        </w:rPr>
      </w:pPr>
      <w:r w:rsidRPr="00780043">
        <w:rPr>
          <w:lang w:val="es-CO"/>
        </w:rPr>
        <w:t>El PIAGLP también identifica necesidades asociadas a la infraestructura de importación, almacenamiento, transporte y distribución de GLP. En particular, permite reconocer restricciones logísticas, requerimientos de almacenamiento, ubicación de nodos estratégicos y zonas en las que podría requerirse nueva infraestructura o la ampliación de la existente.</w:t>
      </w:r>
    </w:p>
    <w:p w14:paraId="6476A91F" w14:textId="77777777" w:rsidR="00780043" w:rsidRPr="00780043" w:rsidRDefault="00780043" w:rsidP="002F1961">
      <w:pPr>
        <w:spacing w:before="100" w:beforeAutospacing="1" w:after="100" w:afterAutospacing="1" w:line="360" w:lineRule="auto"/>
        <w:rPr>
          <w:lang w:val="es-CO"/>
        </w:rPr>
      </w:pPr>
      <w:r w:rsidRPr="00780043">
        <w:rPr>
          <w:lang w:val="es-CO"/>
        </w:rPr>
        <w:t>Adicionalmente, el Decreto 1310 de 2024 asignó a la UPME funciones específicas en materia de almacenamiento estratégico de GLP. En particular, dispuso que el Plan Indicativo de Abastecimiento de GLP, o sus documentos complementarios, debe identificar las zonas para la construcción o ampliación de infraestructura de almacenamiento estratégico, teniendo en cuenta criterios como los inventarios requeridos, la cercanía a los centros de consumo y la ubicación en nodos estratégicos.</w:t>
      </w:r>
    </w:p>
    <w:p w14:paraId="1B1B0053" w14:textId="1C4F69F5" w:rsidR="00780043" w:rsidRDefault="00780043" w:rsidP="002F1961">
      <w:pPr>
        <w:spacing w:before="100" w:beforeAutospacing="1" w:after="100" w:afterAutospacing="1" w:line="360" w:lineRule="auto"/>
        <w:rPr>
          <w:highlight w:val="yellow"/>
          <w:lang w:val="es-CO"/>
        </w:rPr>
      </w:pPr>
      <w:r w:rsidRPr="00780043">
        <w:rPr>
          <w:lang w:val="es-CO"/>
        </w:rPr>
        <w:t>En consecuencia, para el presente Análisis de Impacto Normativo, los documentos técnicos de la UPME constituyen un insumo relevante para definir la línea base del mercado, identificar riesgos de abastecimiento, evaluar la dependencia de importaciones, reconocer necesidades de infraestructura y sustentar las alternativas de intervención regulatoria que se analicen.</w:t>
      </w:r>
    </w:p>
    <w:p w14:paraId="27103D66" w14:textId="30AE36CE" w:rsidR="00E12562" w:rsidRDefault="00E12562" w:rsidP="002F1961">
      <w:pPr>
        <w:pStyle w:val="Ttulo3"/>
        <w:spacing w:before="100" w:beforeAutospacing="1" w:after="100" w:afterAutospacing="1"/>
      </w:pPr>
      <w:bookmarkStart w:id="12" w:name="_Toc235128321"/>
      <w:r>
        <w:t xml:space="preserve">Competencias </w:t>
      </w:r>
      <w:r w:rsidR="00FA1AE7">
        <w:t>de la SSPD</w:t>
      </w:r>
      <w:bookmarkEnd w:id="12"/>
      <w:r w:rsidR="710ECD76">
        <w:t xml:space="preserve"> </w:t>
      </w:r>
    </w:p>
    <w:p w14:paraId="3AA2AA09" w14:textId="22708AC9" w:rsidR="008E378F" w:rsidRPr="008E378F" w:rsidRDefault="008E378F" w:rsidP="002F1961">
      <w:pPr>
        <w:spacing w:before="100" w:beforeAutospacing="1" w:after="100" w:afterAutospacing="1" w:line="360" w:lineRule="auto"/>
        <w:rPr>
          <w:lang w:val="es-CO"/>
        </w:rPr>
      </w:pPr>
      <w:r w:rsidRPr="008E378F">
        <w:rPr>
          <w:lang w:val="es-CO"/>
        </w:rPr>
        <w:t>La Superintendencia de Servicios Públicos Domiciliarios – SSPD ejerce las funciones de inspección, vigilancia y control sobre los prestadores del servicio público domiciliario de GLP, en los términos de los artículos 79, 80 y 81 de la Ley 142 de 1994, la Ley 689 de 2001 y el Decreto 1369 de 2020.</w:t>
      </w:r>
    </w:p>
    <w:p w14:paraId="023BA264" w14:textId="171E18AF" w:rsidR="008E378F" w:rsidRPr="008E378F" w:rsidRDefault="008E378F" w:rsidP="002F1961">
      <w:pPr>
        <w:spacing w:before="100" w:beforeAutospacing="1" w:after="100" w:afterAutospacing="1" w:line="360" w:lineRule="auto"/>
        <w:rPr>
          <w:lang w:val="es-CO"/>
        </w:rPr>
      </w:pPr>
      <w:r w:rsidRPr="008E378F">
        <w:rPr>
          <w:lang w:val="es-CO"/>
        </w:rPr>
        <w:t xml:space="preserve">En este ámbito, la SSPD cumple funciones de supervisión del cumplimiento normativo, regulatorio, tarifario, técnico y comercial por parte de los prestadores del servicio. Para ello, a través de la Superintendencia </w:t>
      </w:r>
      <w:proofErr w:type="gramStart"/>
      <w:r w:rsidRPr="008E378F">
        <w:rPr>
          <w:lang w:val="es-CO"/>
        </w:rPr>
        <w:t>Delegada</w:t>
      </w:r>
      <w:proofErr w:type="gramEnd"/>
      <w:r w:rsidRPr="008E378F">
        <w:rPr>
          <w:lang w:val="es-CO"/>
        </w:rPr>
        <w:t xml:space="preserve"> para Energía y Gas Combustible y de la Dirección Técnica de Gestión de Gas Combustible, realiza seguimiento a la prestación </w:t>
      </w:r>
      <w:r w:rsidRPr="008E378F">
        <w:rPr>
          <w:lang w:val="es-CO"/>
        </w:rPr>
        <w:lastRenderedPageBreak/>
        <w:t>del servicio, verifica la información reportada por los agentes</w:t>
      </w:r>
      <w:r w:rsidR="003B6A8A">
        <w:rPr>
          <w:lang w:val="es-CO"/>
        </w:rPr>
        <w:t xml:space="preserve"> al Sistema Único de Información - SUI</w:t>
      </w:r>
      <w:r w:rsidR="000163F6">
        <w:rPr>
          <w:rStyle w:val="Refdenotaalpie"/>
          <w:lang w:val="es-CO"/>
        </w:rPr>
        <w:footnoteReference w:id="3"/>
      </w:r>
      <w:r w:rsidRPr="008E378F">
        <w:rPr>
          <w:lang w:val="es-CO"/>
        </w:rPr>
        <w:t>, practica visitas de inspección y adopta las medidas preventivas, correctivas o sancionatorias que correspondan.</w:t>
      </w:r>
    </w:p>
    <w:p w14:paraId="3552D901" w14:textId="2B3D6A46" w:rsidR="008E378F" w:rsidRPr="008E378F" w:rsidRDefault="008E378F" w:rsidP="002F1961">
      <w:pPr>
        <w:spacing w:before="100" w:beforeAutospacing="1" w:after="100" w:afterAutospacing="1" w:line="360" w:lineRule="auto"/>
        <w:rPr>
          <w:lang w:val="es-CO"/>
        </w:rPr>
      </w:pPr>
      <w:r w:rsidRPr="008E378F">
        <w:rPr>
          <w:lang w:val="es-CO"/>
        </w:rPr>
        <w:t xml:space="preserve">En materia de GLP, la supervisión de la SSPD comprende, entre otros aspectos, la verificación del cumplimiento de la regulación expedida por la CREG, de los reglamentos técnicos aplicables, de las obligaciones de reporte </w:t>
      </w:r>
      <w:r w:rsidR="00783E70">
        <w:rPr>
          <w:lang w:val="es-CO"/>
        </w:rPr>
        <w:t xml:space="preserve">y calidad </w:t>
      </w:r>
      <w:r w:rsidRPr="008E378F">
        <w:rPr>
          <w:lang w:val="es-CO"/>
        </w:rPr>
        <w:t xml:space="preserve">de </w:t>
      </w:r>
      <w:r w:rsidR="00783E70">
        <w:rPr>
          <w:lang w:val="es-CO"/>
        </w:rPr>
        <w:t>la</w:t>
      </w:r>
      <w:r w:rsidRPr="008E378F">
        <w:rPr>
          <w:lang w:val="es-CO"/>
        </w:rPr>
        <w:t xml:space="preserve"> información </w:t>
      </w:r>
      <w:r w:rsidR="000414E6">
        <w:rPr>
          <w:lang w:val="es-CO"/>
        </w:rPr>
        <w:t xml:space="preserve">reportada por los agentes </w:t>
      </w:r>
      <w:r w:rsidRPr="008E378F">
        <w:rPr>
          <w:lang w:val="es-CO"/>
        </w:rPr>
        <w:t>al SUI, de la correcta aplicación del régimen tarifario y de las condiciones de calidad, continuidad y seguridad en la prestación del servicio. Esta función se desarrolla respecto de los agentes que participan en la cadena de GLP, incluyendo comercializadores mayoristas, transportadores, distribuidores y comercializadores minoristas, de conformidad con los reportes de información definidos para el sector</w:t>
      </w:r>
      <w:r w:rsidR="000414E6">
        <w:rPr>
          <w:lang w:val="es-CO"/>
        </w:rPr>
        <w:t xml:space="preserve"> en circulares y resoluciones</w:t>
      </w:r>
      <w:r w:rsidRPr="008E378F">
        <w:rPr>
          <w:lang w:val="es-CO"/>
        </w:rPr>
        <w:t>.</w:t>
      </w:r>
    </w:p>
    <w:p w14:paraId="491DDF72" w14:textId="40DB92EB" w:rsidR="008E378F" w:rsidRPr="008E378F" w:rsidRDefault="008E378F" w:rsidP="002F1961">
      <w:pPr>
        <w:spacing w:before="100" w:beforeAutospacing="1" w:after="100" w:afterAutospacing="1" w:line="360" w:lineRule="auto"/>
        <w:rPr>
          <w:lang w:val="es-CO"/>
        </w:rPr>
      </w:pPr>
      <w:r w:rsidRPr="008E378F">
        <w:rPr>
          <w:lang w:val="es-CO"/>
        </w:rPr>
        <w:t>La SSPD también cumple un rol relevante en la protección de los usuarios</w:t>
      </w:r>
      <w:r w:rsidR="008E5759">
        <w:rPr>
          <w:lang w:val="es-CO"/>
        </w:rPr>
        <w:t xml:space="preserve"> de GLP</w:t>
      </w:r>
      <w:r w:rsidRPr="008E378F">
        <w:rPr>
          <w:lang w:val="es-CO"/>
        </w:rPr>
        <w:t>. En este sentido, vigila el cumplimiento de los contratos de servicios públicos, la atención oportuna y adecuada de peticiones, quejas y recursos, y puede imponer sanciones cuando los prestadores incumplen sus obligaciones o afectan los derechos de los usuarios. Así mismo, la entidad realiza evaluaciones integrales, programas de gestión, boletines tarifarios, boletines de decisiones e informes sectoriales, que permiten identificar riesgos, incumplimientos y condiciones reales de prestación del servicio.</w:t>
      </w:r>
    </w:p>
    <w:p w14:paraId="3E4AF07E" w14:textId="00B1353D" w:rsidR="008E378F" w:rsidRPr="008E378F" w:rsidRDefault="00B105C2" w:rsidP="002F1961">
      <w:pPr>
        <w:spacing w:before="100" w:beforeAutospacing="1" w:after="100" w:afterAutospacing="1" w:line="360" w:lineRule="auto"/>
        <w:rPr>
          <w:lang w:val="es-CO"/>
        </w:rPr>
      </w:pPr>
      <w:r>
        <w:rPr>
          <w:lang w:val="es-CO"/>
        </w:rPr>
        <w:t>Por su parte</w:t>
      </w:r>
      <w:r w:rsidR="008E378F" w:rsidRPr="008E378F">
        <w:rPr>
          <w:lang w:val="es-CO"/>
        </w:rPr>
        <w:t xml:space="preserve">, el artículo 24 de la Ley 689 de 2001 creó el Comité de Seguridad de GLP, presidido por el Superintendente de Servicios Públicos Domiciliarios. Este comité fue incorporado dentro de los órganos de asesoría y coordinación de la SSPD por el Decreto 1369 de 2020 y constituye un espacio de articulación institucional y sectorial orientado a promover el cumplimiento de la normativa aplicable, la seguridad en la prestación del </w:t>
      </w:r>
      <w:r w:rsidR="008E378F" w:rsidRPr="008E378F">
        <w:rPr>
          <w:lang w:val="es-CO"/>
        </w:rPr>
        <w:lastRenderedPageBreak/>
        <w:t>servicio y la prevención de prácticas ilegales o informales en la distribución, comercialización, almacenamiento y manipulación del GLP.</w:t>
      </w:r>
    </w:p>
    <w:p w14:paraId="75A20CA8" w14:textId="35D6E3FC" w:rsidR="008E378F" w:rsidRPr="008E378F" w:rsidRDefault="008E378F" w:rsidP="002F1961">
      <w:pPr>
        <w:spacing w:before="100" w:beforeAutospacing="1" w:after="100" w:afterAutospacing="1" w:line="360" w:lineRule="auto"/>
        <w:rPr>
          <w:lang w:val="es-CO"/>
        </w:rPr>
      </w:pPr>
      <w:r w:rsidRPr="008E378F">
        <w:rPr>
          <w:lang w:val="es-CO"/>
        </w:rPr>
        <w:t>En el marco de dicho comité</w:t>
      </w:r>
      <w:r w:rsidR="00485693">
        <w:rPr>
          <w:lang w:val="es-CO"/>
        </w:rPr>
        <w:t>,</w:t>
      </w:r>
      <w:r w:rsidRPr="008E378F">
        <w:rPr>
          <w:lang w:val="es-CO"/>
        </w:rPr>
        <w:t xml:space="preserve"> la SSPD</w:t>
      </w:r>
      <w:r w:rsidR="00C50E06">
        <w:rPr>
          <w:lang w:val="es-CO"/>
        </w:rPr>
        <w:t xml:space="preserve"> </w:t>
      </w:r>
      <w:r w:rsidRPr="008E378F">
        <w:rPr>
          <w:lang w:val="es-CO"/>
        </w:rPr>
        <w:t xml:space="preserve">lidera actividades de socialización, mesas de trabajo, campañas de buenas prácticas y acciones de coordinación con entidades como el </w:t>
      </w:r>
      <w:r w:rsidR="009F2F91">
        <w:rPr>
          <w:lang w:val="es-CO"/>
        </w:rPr>
        <w:t>MME</w:t>
      </w:r>
      <w:r w:rsidRPr="008E378F">
        <w:rPr>
          <w:lang w:val="es-CO"/>
        </w:rPr>
        <w:t>, la CREG, la Superintendencia de Industria y Comercio</w:t>
      </w:r>
      <w:r w:rsidR="009F2F91">
        <w:rPr>
          <w:lang w:val="es-CO"/>
        </w:rPr>
        <w:t xml:space="preserve"> - SIC</w:t>
      </w:r>
      <w:r w:rsidRPr="008E378F">
        <w:rPr>
          <w:lang w:val="es-CO"/>
        </w:rPr>
        <w:t>, Icontec, agentes de la cadena y gremios del sector. Estas actividades buscan fortalecer la seguridad del servicio, prevenir riesgos para los usuarios y combatir prácticas como el uso de cilindros no autorizados, el repinte de cilindros, el culebreo, la operación de agentes informales y la comercialización en puntos que no cumplen los requisitos técnicos exigidos.</w:t>
      </w:r>
    </w:p>
    <w:p w14:paraId="0E37633E" w14:textId="07EA5184" w:rsidR="00EB05AF" w:rsidRDefault="008E378F" w:rsidP="002F1961">
      <w:pPr>
        <w:spacing w:before="100" w:beforeAutospacing="1" w:after="100" w:afterAutospacing="1" w:line="360" w:lineRule="auto"/>
        <w:rPr>
          <w:lang w:val="es-CO"/>
        </w:rPr>
      </w:pPr>
      <w:r w:rsidRPr="008E378F">
        <w:rPr>
          <w:lang w:val="es-CO"/>
        </w:rPr>
        <w:t xml:space="preserve">En </w:t>
      </w:r>
      <w:r w:rsidR="00B105C2">
        <w:rPr>
          <w:lang w:val="es-CO"/>
        </w:rPr>
        <w:t>ese sentido</w:t>
      </w:r>
      <w:r w:rsidRPr="008E378F">
        <w:rPr>
          <w:lang w:val="es-CO"/>
        </w:rPr>
        <w:t xml:space="preserve">, la información producida por la SSPD </w:t>
      </w:r>
      <w:r w:rsidR="00217125">
        <w:rPr>
          <w:lang w:val="es-CO"/>
        </w:rPr>
        <w:t>en</w:t>
      </w:r>
      <w:r w:rsidR="003E5AEE">
        <w:rPr>
          <w:lang w:val="es-CO"/>
        </w:rPr>
        <w:t xml:space="preserve"> boletines, in</w:t>
      </w:r>
      <w:r w:rsidR="00217125">
        <w:rPr>
          <w:lang w:val="es-CO"/>
        </w:rPr>
        <w:t>f</w:t>
      </w:r>
      <w:r w:rsidR="003E5AEE">
        <w:rPr>
          <w:lang w:val="es-CO"/>
        </w:rPr>
        <w:t>ormes de IVC</w:t>
      </w:r>
      <w:r w:rsidR="00217125">
        <w:rPr>
          <w:lang w:val="es-CO"/>
        </w:rPr>
        <w:t xml:space="preserve">, así como </w:t>
      </w:r>
      <w:r w:rsidR="003E5AEE">
        <w:rPr>
          <w:lang w:val="es-CO"/>
        </w:rPr>
        <w:t>la información que administra en el SUI</w:t>
      </w:r>
      <w:r w:rsidR="00F3094D">
        <w:rPr>
          <w:rStyle w:val="Refdenotaalpie"/>
          <w:lang w:val="es-CO"/>
        </w:rPr>
        <w:footnoteReference w:id="4"/>
      </w:r>
      <w:r w:rsidR="00217125">
        <w:rPr>
          <w:lang w:val="es-CO"/>
        </w:rPr>
        <w:t xml:space="preserve">, </w:t>
      </w:r>
      <w:r w:rsidRPr="008E378F">
        <w:rPr>
          <w:lang w:val="es-CO"/>
        </w:rPr>
        <w:t xml:space="preserve">constituye </w:t>
      </w:r>
      <w:r w:rsidR="00217125">
        <w:rPr>
          <w:lang w:val="es-CO"/>
        </w:rPr>
        <w:t>m</w:t>
      </w:r>
      <w:r w:rsidRPr="008E378F">
        <w:rPr>
          <w:lang w:val="es-CO"/>
        </w:rPr>
        <w:t>u</w:t>
      </w:r>
      <w:r w:rsidR="00217125">
        <w:rPr>
          <w:lang w:val="es-CO"/>
        </w:rPr>
        <w:t>y</w:t>
      </w:r>
      <w:r w:rsidRPr="008E378F">
        <w:rPr>
          <w:lang w:val="es-CO"/>
        </w:rPr>
        <w:t xml:space="preserve"> insumo relevante para el diagnóstico del mercado de GLP, en la medida en que permite identificar </w:t>
      </w:r>
      <w:r w:rsidR="001E7C79">
        <w:rPr>
          <w:lang w:val="es-CO"/>
        </w:rPr>
        <w:t xml:space="preserve">la información sectorial, </w:t>
      </w:r>
      <w:r w:rsidRPr="008E378F">
        <w:rPr>
          <w:lang w:val="es-CO"/>
        </w:rPr>
        <w:t>incumplimientos recurrentes, riesgos de seguridad, problemáticas en la prestación del servicio, afectaciones a los usuarios y condiciones operativas reales de los agentes vigilados.</w:t>
      </w:r>
    </w:p>
    <w:p w14:paraId="68A956FC" w14:textId="672CE57E" w:rsidR="00FA1AE7" w:rsidRDefault="00FA1AE7" w:rsidP="002F1961">
      <w:pPr>
        <w:pStyle w:val="Ttulo3"/>
        <w:spacing w:before="100" w:beforeAutospacing="1" w:after="100" w:afterAutospacing="1"/>
      </w:pPr>
      <w:bookmarkStart w:id="13" w:name="_Toc235128322"/>
      <w:r>
        <w:t>Competencias de la SIC</w:t>
      </w:r>
      <w:bookmarkEnd w:id="13"/>
      <w:r w:rsidR="4ACC351E">
        <w:t xml:space="preserve"> </w:t>
      </w:r>
    </w:p>
    <w:p w14:paraId="1E971655" w14:textId="2624612F" w:rsidR="008F76BD" w:rsidRDefault="008F76BD" w:rsidP="002F1961">
      <w:pPr>
        <w:spacing w:before="100" w:beforeAutospacing="1" w:after="100" w:afterAutospacing="1" w:line="360" w:lineRule="auto"/>
      </w:pPr>
      <w:r>
        <w:t>La SIC es una autoridad de naturaleza transversal cuyas competencias resultan relevantes para el sector de GLP en materia de protección de la competencia, protección al consumidor, reglamentos técnicos y metrología legal. Su intervención no sustituye las funciones de regulación de la CREG ni las funciones de inspección, vigilancia y control de la SSPD sobre los prestadores del servicio público domiciliario, sino que opera respecto de los asuntos que comprometen el régimen general de mercado, la seguridad de los productos y la libre competencia económica.</w:t>
      </w:r>
    </w:p>
    <w:p w14:paraId="3715255B" w14:textId="76E73829" w:rsidR="008F76BD" w:rsidRDefault="008F76BD" w:rsidP="002F1961">
      <w:pPr>
        <w:spacing w:before="100" w:beforeAutospacing="1" w:after="100" w:afterAutospacing="1" w:line="360" w:lineRule="auto"/>
      </w:pPr>
      <w:r>
        <w:t xml:space="preserve">Desde el punto de vista normativo, la Ley 1340 de 2009 asigna a la SIC la condición de autoridad nacional de protección de la competencia. En esa calidad, puede conocer investigaciones por prácticas restrictivas, acuerdos contrarios a la libre competencia, </w:t>
      </w:r>
      <w:r>
        <w:lastRenderedPageBreak/>
        <w:t xml:space="preserve">actos anticompetitivos, abuso de posición dominante y operaciones de integración empresarial. En el sector de GLP, esta competencia es relevante frente a las conductas de los agentes que participan en la cadena de </w:t>
      </w:r>
      <w:r w:rsidR="00B61FAF">
        <w:t>comercialización mayorista -</w:t>
      </w:r>
      <w:r>
        <w:t xml:space="preserve"> </w:t>
      </w:r>
      <w:r w:rsidR="00B61FAF">
        <w:t xml:space="preserve">incluyendo la </w:t>
      </w:r>
      <w:r>
        <w:t>importación</w:t>
      </w:r>
      <w:r w:rsidR="00B61FAF">
        <w:t xml:space="preserve"> –</w:t>
      </w:r>
      <w:r w:rsidR="00582AD9">
        <w:t xml:space="preserve">, </w:t>
      </w:r>
      <w:r w:rsidR="00B61FAF">
        <w:t xml:space="preserve">transporte, </w:t>
      </w:r>
      <w:r>
        <w:t>distribución</w:t>
      </w:r>
      <w:r w:rsidR="00B61FAF">
        <w:t xml:space="preserve"> y comercialización</w:t>
      </w:r>
      <w:r>
        <w:t>, cuando puedan afectar la competencia o el funcionamiento eficiente del mercado.</w:t>
      </w:r>
    </w:p>
    <w:p w14:paraId="58CE05FA" w14:textId="77777777" w:rsidR="008F76BD" w:rsidRDefault="008F76BD" w:rsidP="002F1961">
      <w:pPr>
        <w:spacing w:before="100" w:beforeAutospacing="1" w:after="100" w:afterAutospacing="1" w:line="360" w:lineRule="auto"/>
      </w:pPr>
      <w:r>
        <w:t>La SIC también cumple funciones asociadas a la protección del consumidor, en los términos de la Ley 1480 de 2011, particularmente respecto de la calidad, seguridad, información, publicidad y garantías de los productos puestos en el mercado. En materia de GLP, esta competencia puede resultar aplicable frente a bienes o elementos asociados al consumo seguro del energético, sin perjuicio de que las reclamaciones propias de la prestación del servicio público domiciliario correspondan al régimen especial de la Ley 142 de 1994 y a la vigilancia de la SSPD.</w:t>
      </w:r>
    </w:p>
    <w:p w14:paraId="03587B37" w14:textId="55FB1E1F" w:rsidR="008F76BD" w:rsidRDefault="008F76BD" w:rsidP="002F1961">
      <w:pPr>
        <w:spacing w:before="100" w:beforeAutospacing="1" w:after="100" w:afterAutospacing="1" w:line="360" w:lineRule="auto"/>
      </w:pPr>
      <w:r>
        <w:t>Así mismo, de conformidad con el Decreto 4886 de 2011, modificado por el Decreto 092 de 2022, la SIC ejerce funciones de control y verificación en materia de reglamentos técnicos y metrología legal. En GLP, esto resulta relevante frente al cumplimiento de exigencias técnicas aplicables a productos, equipos o elementos utilizados en la cadena, como cilindros, tanques estacionarios, gasodomésticos</w:t>
      </w:r>
      <w:r w:rsidR="00321208">
        <w:t xml:space="preserve"> e</w:t>
      </w:r>
      <w:r>
        <w:t xml:space="preserve"> instrumentos de medición. En este marco, la SIC puede adelantar verificaciones, requerimientos, investigaciones administrativas y sanciones cuando se incumplan las condiciones técnicas o metrológicas exigibles</w:t>
      </w:r>
      <w:r w:rsidR="00321208">
        <w:t xml:space="preserve"> por</w:t>
      </w:r>
      <w:r w:rsidR="00AE7949">
        <w:t xml:space="preserve"> los reglamentos técnicos que expida el MME. </w:t>
      </w:r>
    </w:p>
    <w:p w14:paraId="6256A3A4" w14:textId="3D2F13A6" w:rsidR="008F76BD" w:rsidRDefault="00B41888" w:rsidP="002F1961">
      <w:pPr>
        <w:spacing w:before="100" w:beforeAutospacing="1" w:after="100" w:afterAutospacing="1" w:line="360" w:lineRule="auto"/>
      </w:pPr>
      <w:r>
        <w:t>Ahora bien, el papel de la SIC</w:t>
      </w:r>
      <w:r w:rsidR="001D4779">
        <w:t xml:space="preserve"> resulta relevante en el desarrollo </w:t>
      </w:r>
      <w:r w:rsidR="0098333E">
        <w:t>del</w:t>
      </w:r>
      <w:r w:rsidR="008F76BD">
        <w:t xml:space="preserve"> presente Análisis, la información y actuaciones </w:t>
      </w:r>
      <w:r w:rsidR="0098333E">
        <w:t>de esta Entidad son</w:t>
      </w:r>
      <w:r w:rsidR="008F76BD">
        <w:t xml:space="preserve"> un insumo relevante para identificar riesgos de competencia, posibles fallas de mercado, problemas de seguridad de productos, incumplimientos técnicos o metrológicos y condiciones que puedan afectar la confianza de los usuarios y consumidores en la cadena de GLP.</w:t>
      </w:r>
    </w:p>
    <w:p w14:paraId="63F859A3" w14:textId="25344077" w:rsidR="004A3BAE" w:rsidRDefault="004A3BAE" w:rsidP="002F1961">
      <w:pPr>
        <w:pStyle w:val="Ttulo3"/>
        <w:spacing w:before="100" w:beforeAutospacing="1" w:after="100" w:afterAutospacing="1"/>
      </w:pPr>
      <w:bookmarkStart w:id="14" w:name="_Toc235128323"/>
      <w:r>
        <w:lastRenderedPageBreak/>
        <w:t xml:space="preserve">Regulación de </w:t>
      </w:r>
      <w:r w:rsidRPr="004503B3">
        <w:t>carácter particular</w:t>
      </w:r>
      <w:bookmarkEnd w:id="14"/>
      <w:r w:rsidR="3D9C5F04">
        <w:t xml:space="preserve"> </w:t>
      </w:r>
    </w:p>
    <w:p w14:paraId="1BCBF546" w14:textId="0277530E" w:rsidR="00B807C2" w:rsidRPr="00101702" w:rsidRDefault="00B807C2" w:rsidP="002F1961">
      <w:pPr>
        <w:spacing w:before="100" w:beforeAutospacing="1" w:after="100" w:afterAutospacing="1" w:line="360" w:lineRule="auto"/>
      </w:pPr>
      <w:r>
        <w:t>L</w:t>
      </w:r>
      <w:r w:rsidRPr="00B807C2">
        <w:t>a comercialización mayorista de GLP encuentra su principal desarrollo regulatorio en la Resolución CREG 053 de 2011. Esta resolución resulta relevante en la medida en que ordena una de las etapas esenciales de la cadena, esto es, la compra y venta de GLP al por mayor y a granel, ya sea de origen nacional o importado, cuando dicho producto se destina a la prestación del servicio público domiciliario.</w:t>
      </w:r>
      <w:r w:rsidRPr="00101702">
        <w:t> </w:t>
      </w:r>
    </w:p>
    <w:p w14:paraId="7A8D2D7B" w14:textId="5F2BBF4A" w:rsidR="00B807C2" w:rsidRPr="00101702" w:rsidRDefault="00B807C2" w:rsidP="002F1961">
      <w:pPr>
        <w:spacing w:before="100" w:beforeAutospacing="1" w:after="100" w:afterAutospacing="1" w:line="360" w:lineRule="auto"/>
      </w:pPr>
      <w:r w:rsidRPr="00B807C2">
        <w:t xml:space="preserve">La comercialización mayorista distingue entre GLP con precio regulado y GLP con precio libre. El precio regulado se encuentra asociado principalmente a las fuentes sometidas a </w:t>
      </w:r>
      <w:r w:rsidR="00607657">
        <w:t xml:space="preserve">la </w:t>
      </w:r>
      <w:r w:rsidRPr="00B807C2">
        <w:t>metodología de precio máximo regulado, conforme a la Resolución CREG 066 de 2007, que estableció la regulación de precios de suministro de GLP de comercializadores mayoristas a distribuidores.</w:t>
      </w:r>
    </w:p>
    <w:p w14:paraId="1516CA96" w14:textId="77777777" w:rsidR="00B807C2" w:rsidRPr="00101702" w:rsidRDefault="00B807C2" w:rsidP="002F1961">
      <w:pPr>
        <w:spacing w:before="100" w:beforeAutospacing="1" w:after="100" w:afterAutospacing="1" w:line="360" w:lineRule="auto"/>
      </w:pPr>
      <w:r w:rsidRPr="00B807C2">
        <w:t>En lo relacionado con el transporte de GLP, resulta pertinente señalar que la Resolución CREG 208 de 2021 constituye el reglamento operativo principal aplicable al transporte por poliductos. Esta norma establece las reglas para la prestación del servicio, incluyendo las condiciones de acceso a la infraestructura, operación, nominación, entrega y recibo del producto, así como las obligaciones de los transportadores y remitentes, el manejo de información y los demás aspectos necesarios para garantizar una adecuada utilización de la infraestructura de transporte.</w:t>
      </w:r>
      <w:r w:rsidRPr="00101702">
        <w:t> </w:t>
      </w:r>
    </w:p>
    <w:p w14:paraId="26669C8F" w14:textId="2C88BDE7" w:rsidR="00B807C2" w:rsidRPr="00101702" w:rsidRDefault="00B807C2" w:rsidP="002F1961">
      <w:pPr>
        <w:spacing w:before="100" w:beforeAutospacing="1" w:after="100" w:afterAutospacing="1" w:line="360" w:lineRule="auto"/>
      </w:pPr>
      <w:r w:rsidRPr="2BEF1E8F">
        <w:rPr>
          <w:lang w:val="es-ES"/>
        </w:rPr>
        <w:t>En materia tarifaria</w:t>
      </w:r>
      <w:r w:rsidR="00607657" w:rsidRPr="2BEF1E8F">
        <w:rPr>
          <w:lang w:val="es-ES"/>
        </w:rPr>
        <w:t xml:space="preserve"> de transporte</w:t>
      </w:r>
      <w:r w:rsidRPr="2BEF1E8F">
        <w:rPr>
          <w:lang w:val="es-ES"/>
        </w:rPr>
        <w:t xml:space="preserve">, la Resolución CREG 122 de 2008 establece los criterios generales para determinar la remuneración de la actividad de transporte de GLP por ductos. Esta regulación define las </w:t>
      </w:r>
      <w:r w:rsidRPr="747A086F">
        <w:rPr>
          <w:lang w:val="es-ES"/>
        </w:rPr>
        <w:t>bases</w:t>
      </w:r>
      <w:r w:rsidRPr="2BEF1E8F">
        <w:rPr>
          <w:lang w:val="es-ES"/>
        </w:rPr>
        <w:t xml:space="preserve"> para el reconocimiento de los costos asociados a dicha actividad, atendiendo las características técnicas y económicas propias de la infraestructura utilizada para el transporte del producto. </w:t>
      </w:r>
    </w:p>
    <w:p w14:paraId="4990D90A" w14:textId="6F0A81B1" w:rsidR="00B807C2" w:rsidRPr="00101702" w:rsidRDefault="00B807C2" w:rsidP="002F1961">
      <w:pPr>
        <w:spacing w:before="100" w:beforeAutospacing="1" w:after="100" w:afterAutospacing="1" w:line="360" w:lineRule="auto"/>
      </w:pPr>
      <w:r w:rsidRPr="00B807C2">
        <w:t>De manera complementaria, la Resolución CREG 180 de 2009 incorpora el componente de transporte dentro de la fórmula tarifaria aplicable al servicio público domiciliario de GLP, definiendo las reglas para el traslado de dicho costo a los usuarios, conforme a lo previsto en la regulación vigente.</w:t>
      </w:r>
    </w:p>
    <w:p w14:paraId="54E32C39" w14:textId="46922D09" w:rsidR="00B807C2" w:rsidRPr="00101702" w:rsidRDefault="00B807C2" w:rsidP="002F1961">
      <w:pPr>
        <w:spacing w:before="100" w:beforeAutospacing="1" w:after="100" w:afterAutospacing="1" w:line="360" w:lineRule="auto"/>
      </w:pPr>
      <w:r w:rsidRPr="11491998">
        <w:rPr>
          <w:lang w:val="es-ES"/>
        </w:rPr>
        <w:lastRenderedPageBreak/>
        <w:t>Ahora bien,</w:t>
      </w:r>
      <w:r w:rsidR="00EA5E0D">
        <w:rPr>
          <w:lang w:val="es-ES"/>
        </w:rPr>
        <w:t xml:space="preserve"> </w:t>
      </w:r>
      <w:r w:rsidRPr="11491998">
        <w:rPr>
          <w:lang w:val="es-ES"/>
        </w:rPr>
        <w:t>la Resolución CREG 237 de 2020, mediante la cual se adopta el Código de Medida de GLP, resulta relevante en lo relacionado con la medición de cantidades, la verificación de parámetros de calidad y la transferencia de custodia entre los agentes de la cadena.</w:t>
      </w:r>
      <w:r w:rsidR="00EA5E0D">
        <w:rPr>
          <w:lang w:val="es-ES"/>
        </w:rPr>
        <w:t xml:space="preserve"> </w:t>
      </w:r>
      <w:r w:rsidRPr="11491998">
        <w:rPr>
          <w:lang w:val="es-ES"/>
        </w:rPr>
        <w:t>Estas disposiciones permiten asegurar la trazabilidad, confiabilidad y adecuada liquidación de las cantidades transportadas.</w:t>
      </w:r>
    </w:p>
    <w:p w14:paraId="2A246D83" w14:textId="6A76CF8A" w:rsidR="00B807C2" w:rsidRPr="00101702" w:rsidRDefault="00B807C2" w:rsidP="002F1961">
      <w:pPr>
        <w:spacing w:before="100" w:beforeAutospacing="1" w:after="100" w:afterAutospacing="1" w:line="360" w:lineRule="auto"/>
      </w:pPr>
      <w:r w:rsidRPr="00B807C2">
        <w:t>En este contexto, debe precisarse que la Resolución CREG 092 de 2009 conserva relevancia específica frente al transporte de GLP hacia el Archipiélago de San Andrés, Providencia y Santa Catalina, en cuanto adoptó obligaciones para los transportadores y disposiciones asociadas al libre acceso en dicha prestación.</w:t>
      </w:r>
    </w:p>
    <w:p w14:paraId="5289F628" w14:textId="0CC17AA9" w:rsidR="00B807C2" w:rsidRPr="00101702" w:rsidRDefault="00B807C2" w:rsidP="002F1961">
      <w:pPr>
        <w:spacing w:before="100" w:beforeAutospacing="1" w:after="100" w:afterAutospacing="1" w:line="360" w:lineRule="auto"/>
      </w:pPr>
      <w:r w:rsidRPr="00B807C2">
        <w:t>En lo relacionado con la distribución de GLP en cilindros y tanques estacionarios, resulta pertinente</w:t>
      </w:r>
      <w:r w:rsidR="00EA5E0D">
        <w:t xml:space="preserve"> </w:t>
      </w:r>
      <w:r w:rsidRPr="00B807C2">
        <w:t>reiterar que</w:t>
      </w:r>
      <w:r w:rsidR="00EA5E0D">
        <w:t xml:space="preserve"> </w:t>
      </w:r>
      <w:r w:rsidRPr="00B807C2">
        <w:t>esta actividad</w:t>
      </w:r>
      <w:r w:rsidR="00067255">
        <w:t xml:space="preserve"> </w:t>
      </w:r>
      <w:r w:rsidRPr="00B807C2">
        <w:t>dentro de la definición del artículo 14.28 la Ley 142 de 1994,</w:t>
      </w:r>
      <w:r w:rsidR="00EA5E0D">
        <w:t xml:space="preserve"> </w:t>
      </w:r>
      <w:r w:rsidRPr="00B807C2">
        <w:t>se enmarca,</w:t>
      </w:r>
      <w:r w:rsidR="00EA5E0D">
        <w:t xml:space="preserve"> </w:t>
      </w:r>
      <w:r w:rsidRPr="00B807C2">
        <w:t>como la actividad principal</w:t>
      </w:r>
      <w:r w:rsidR="00067255">
        <w:t xml:space="preserve"> </w:t>
      </w:r>
      <w:r w:rsidRPr="00B807C2">
        <w:t>de la cadena de prestación del servicio de GLP en cilindros y a granel.</w:t>
      </w:r>
    </w:p>
    <w:p w14:paraId="1D10FFD5" w14:textId="30E03B85" w:rsidR="00B807C2" w:rsidRPr="00101702" w:rsidRDefault="00B807C2" w:rsidP="002F1961">
      <w:pPr>
        <w:spacing w:before="100" w:beforeAutospacing="1" w:after="100" w:afterAutospacing="1" w:line="360" w:lineRule="auto"/>
      </w:pPr>
      <w:r w:rsidRPr="00B807C2">
        <w:t>Ahora bien,</w:t>
      </w:r>
      <w:r w:rsidR="00EA5E0D">
        <w:t xml:space="preserve"> </w:t>
      </w:r>
      <w:r w:rsidRPr="00B807C2">
        <w:t>en lo que tiene que ver con el marco regulatorio,</w:t>
      </w:r>
      <w:r w:rsidR="00EA5E0D">
        <w:t xml:space="preserve"> </w:t>
      </w:r>
      <w:r w:rsidRPr="00B807C2">
        <w:t>la Resolución CREG 023 de 2008, modificada, entre otras, por la Resolución CREG 165 de 2008 y la Resolución CREG 177 de 2011, estableció el Reglamento de Distribución y Comercialización Minorista de</w:t>
      </w:r>
      <w:r w:rsidR="00067255">
        <w:t xml:space="preserve"> </w:t>
      </w:r>
      <w:r w:rsidRPr="00B807C2">
        <w:t>GLP</w:t>
      </w:r>
      <w:r w:rsidR="00067255">
        <w:t xml:space="preserve"> </w:t>
      </w:r>
      <w:r w:rsidRPr="00B807C2">
        <w:t>que</w:t>
      </w:r>
      <w:r w:rsidR="00067255">
        <w:t xml:space="preserve"> </w:t>
      </w:r>
      <w:r w:rsidRPr="00B807C2">
        <w:t>constituye</w:t>
      </w:r>
      <w:r w:rsidR="00067255">
        <w:t xml:space="preserve"> </w:t>
      </w:r>
      <w:r w:rsidRPr="00B807C2">
        <w:t>el eje normativo principal de la actividad, al definir las condiciones bajo las cuales los distribuidores y comercializadores minoristas deben prestar el servicio, así como sus requisitos de operación, obligaciones frente a los usuarios y responsabilidades asociadas a la entrega del producto.</w:t>
      </w:r>
    </w:p>
    <w:p w14:paraId="3D9410A4" w14:textId="439C52F6" w:rsidR="00B807C2" w:rsidRPr="00101702" w:rsidRDefault="00B807C2" w:rsidP="002F1961">
      <w:pPr>
        <w:spacing w:before="100" w:beforeAutospacing="1" w:after="100" w:afterAutospacing="1" w:line="360" w:lineRule="auto"/>
      </w:pPr>
      <w:r w:rsidRPr="11491998">
        <w:rPr>
          <w:lang w:val="es-ES"/>
        </w:rPr>
        <w:t>En particular, la distribución de GLP comprende la compra del producto en el mercado mayorista con destino al usuario final, el flete hasta las plantas de envasado, el envasado de cilindros, la operación de la planta de envasado, así como el flete y entrega de producto a granel mediante tanques estacionarios instalados en el domicilio de los usuarios finales y la venta de cilindros a través de puntos de venta.</w:t>
      </w:r>
    </w:p>
    <w:p w14:paraId="1BD4E780" w14:textId="283158B6" w:rsidR="00B807C2" w:rsidRPr="00101702" w:rsidRDefault="00B807C2" w:rsidP="002F1961">
      <w:pPr>
        <w:spacing w:before="100" w:beforeAutospacing="1" w:after="100" w:afterAutospacing="1" w:line="360" w:lineRule="auto"/>
      </w:pPr>
      <w:r w:rsidRPr="00B807C2">
        <w:t>De manera específica,</w:t>
      </w:r>
      <w:r w:rsidR="00067255">
        <w:t xml:space="preserve"> </w:t>
      </w:r>
      <w:r w:rsidRPr="00B807C2">
        <w:t>el mencionado reglamento introdujo</w:t>
      </w:r>
      <w:r w:rsidR="00067255">
        <w:t xml:space="preserve"> </w:t>
      </w:r>
      <w:r w:rsidRPr="00B807C2">
        <w:t>también</w:t>
      </w:r>
      <w:r w:rsidR="00067255">
        <w:t xml:space="preserve"> </w:t>
      </w:r>
      <w:r w:rsidRPr="00B807C2">
        <w:t xml:space="preserve">un esquema de responsabilidad de marca para la prestación del servicio en cilindros, en virtud del cual </w:t>
      </w:r>
      <w:r w:rsidRPr="00B807C2">
        <w:lastRenderedPageBreak/>
        <w:t>los cilindros utilizados en la prestación del servicio público domiciliario de GLP deben estar identificados con la marca del distribuidor responsable.</w:t>
      </w:r>
    </w:p>
    <w:p w14:paraId="1206EE53" w14:textId="11E405E1" w:rsidR="00B807C2" w:rsidRPr="00101702" w:rsidRDefault="00B807C2" w:rsidP="002F1961">
      <w:pPr>
        <w:spacing w:before="100" w:beforeAutospacing="1" w:after="100" w:afterAutospacing="1" w:line="360" w:lineRule="auto"/>
      </w:pPr>
      <w:r w:rsidRPr="00B807C2">
        <w:t>Este esquema busca garantizar la trazabilidad del prestador, asignar responsabilidades claras frente a la calidad y seguridad del combustible distribuido, y superar el antiguo modelo de parque universal de cilindros. En este contexto, la Resolución CREG 045 de 2008 reguló el período de transición hacia el esquema de parque marcado, mientras que disposiciones posteriores reforzaron la obligación de prestar el servicio mediante cilindros marcados y bajo responsabilidad del distribuidor correspondiente.</w:t>
      </w:r>
    </w:p>
    <w:p w14:paraId="2EF19F79" w14:textId="53CAD0E6" w:rsidR="00B807C2" w:rsidRPr="00101702" w:rsidRDefault="00B807C2" w:rsidP="002F1961">
      <w:pPr>
        <w:spacing w:before="100" w:beforeAutospacing="1" w:after="100" w:afterAutospacing="1" w:line="360" w:lineRule="auto"/>
      </w:pPr>
      <w:r w:rsidRPr="00B807C2">
        <w:t>En materia tarifaria, la Resolución CREG 001 de 2009 aprobó los principios generales y la metodología para el establecimiento de los cargos de distribución y comercialización minorista de GLP</w:t>
      </w:r>
      <w:r w:rsidR="00F011D6" w:rsidRPr="00F011D6">
        <w:t>, definiendo</w:t>
      </w:r>
      <w:r w:rsidRPr="00B807C2">
        <w:t xml:space="preserve"> los criterios </w:t>
      </w:r>
      <w:r w:rsidR="00F011D6" w:rsidRPr="00F011D6">
        <w:t>para remunerar</w:t>
      </w:r>
      <w:r w:rsidRPr="00B807C2">
        <w:t xml:space="preserve"> dichas actividades</w:t>
      </w:r>
      <w:r w:rsidR="00F011D6" w:rsidRPr="00F011D6">
        <w:t xml:space="preserve"> en</w:t>
      </w:r>
      <w:r w:rsidRPr="00B807C2">
        <w:t xml:space="preserve"> la prestación del servicio mediante cilindros y tanques estacionarios. De forma complementaria, la Resolución CREG 180 de 2009 aprobó la fórmula tarifaria general </w:t>
      </w:r>
      <w:r w:rsidR="00F011D6" w:rsidRPr="00F011D6">
        <w:t>aplicable al servicio público domiciliario de GLP distribuido en cilindros. Por su parte, la Resolución CREG 137 de 2013 estableció la fórmula tarifaria general para la</w:t>
      </w:r>
      <w:r w:rsidRPr="00B807C2">
        <w:t xml:space="preserve"> prestación del servicio público domiciliario de gas </w:t>
      </w:r>
      <w:r w:rsidR="00F011D6" w:rsidRPr="00F011D6">
        <w:t xml:space="preserve">combustible </w:t>
      </w:r>
      <w:r w:rsidRPr="00B807C2">
        <w:t>por redes</w:t>
      </w:r>
      <w:r w:rsidR="00F011D6" w:rsidRPr="00F011D6">
        <w:t xml:space="preserve"> de tubería, dentro del cual se incluye el GLP distribuido a través de</w:t>
      </w:r>
      <w:r w:rsidRPr="00B807C2">
        <w:t xml:space="preserve"> redes de distribución.</w:t>
      </w:r>
    </w:p>
    <w:p w14:paraId="113A96F2" w14:textId="0FD605F7" w:rsidR="003E7AD3" w:rsidRPr="00AB4A7E" w:rsidRDefault="003E7AD3" w:rsidP="002F1961">
      <w:pPr>
        <w:pStyle w:val="Ttulo3"/>
        <w:spacing w:before="100" w:beforeAutospacing="1" w:after="100" w:afterAutospacing="1"/>
        <w:rPr>
          <w:lang w:val="es-CO"/>
        </w:rPr>
      </w:pPr>
      <w:bookmarkStart w:id="15" w:name="_Toc235128324"/>
      <w:r w:rsidRPr="00752EE2">
        <w:rPr>
          <w:lang w:val="es-CO"/>
        </w:rPr>
        <w:t>Subsidios</w:t>
      </w:r>
      <w:bookmarkEnd w:id="15"/>
    </w:p>
    <w:p w14:paraId="073C9081" w14:textId="326A0A91" w:rsidR="008C26B0" w:rsidRDefault="00796E86" w:rsidP="002F1961">
      <w:pPr>
        <w:autoSpaceDE w:val="0"/>
        <w:autoSpaceDN w:val="0"/>
        <w:adjustRightInd w:val="0"/>
        <w:spacing w:before="100" w:beforeAutospacing="1" w:after="100" w:afterAutospacing="1" w:line="360" w:lineRule="auto"/>
        <w:rPr>
          <w:rFonts w:cs="Arial"/>
          <w:szCs w:val="24"/>
        </w:rPr>
      </w:pPr>
      <w:r w:rsidRPr="00796E86">
        <w:rPr>
          <w:rFonts w:cs="Arial"/>
          <w:szCs w:val="24"/>
        </w:rPr>
        <w:t>El régimen de subsidios en Colombia tiene fundamento constitucional en la función social del Estado y en la obligación de asegurar la prestación eficiente de los servicios públicos a todos los habitantes del territorio nacional.</w:t>
      </w:r>
      <w:r>
        <w:rPr>
          <w:rFonts w:cs="Arial"/>
          <w:szCs w:val="24"/>
        </w:rPr>
        <w:t xml:space="preserve"> En particular, </w:t>
      </w:r>
      <w:r w:rsidR="00657199" w:rsidRPr="00657199">
        <w:rPr>
          <w:rFonts w:cs="Arial"/>
          <w:szCs w:val="24"/>
        </w:rPr>
        <w:t>el artículo 368 autoriza a la Nación, los departamentos, distritos, municipios y entidades descentralizadas a conceder subsidios, con cargo a sus presupuestos, para que las personas de menores ingresos puedan pagar las tarifas de los servicios públicos domiciliarios que cubran sus necesidades básicas.</w:t>
      </w:r>
    </w:p>
    <w:p w14:paraId="271105B4" w14:textId="5C3AFE75" w:rsidR="00657199" w:rsidRDefault="00A02B77" w:rsidP="002F1961">
      <w:pPr>
        <w:autoSpaceDE w:val="0"/>
        <w:autoSpaceDN w:val="0"/>
        <w:adjustRightInd w:val="0"/>
        <w:spacing w:before="100" w:beforeAutospacing="1" w:after="100" w:afterAutospacing="1" w:line="360" w:lineRule="auto"/>
        <w:rPr>
          <w:rFonts w:cs="Arial"/>
          <w:szCs w:val="24"/>
        </w:rPr>
      </w:pPr>
      <w:r w:rsidRPr="00A02B77">
        <w:rPr>
          <w:rFonts w:cs="Arial"/>
          <w:szCs w:val="24"/>
        </w:rPr>
        <w:t xml:space="preserve">Este mandato constitucional fue desarrollado principalmente por la Ley 142 de 1994, que constituye el régimen general de los servicios públicos domiciliarios, incluido el servicio </w:t>
      </w:r>
      <w:r w:rsidRPr="00A02B77">
        <w:rPr>
          <w:rFonts w:cs="Arial"/>
          <w:szCs w:val="24"/>
        </w:rPr>
        <w:lastRenderedPageBreak/>
        <w:t>público domiciliario de gas combustible. Dicha ley incorpora el sistema de subsidios dentro del régimen tarifario, bajo los criterios de eficiencia económica, suficiencia financiera, solidaridad, redistribución, simplicidad y transparencia. En este sentido, los subsidios no operan como una reducción generalizada del precio del servicio, sino como un instrumento de política pública dirigido a facilitar el acceso y permanencia de los usuarios de menores ingresos en los servicios públicos esenciales.</w:t>
      </w:r>
    </w:p>
    <w:p w14:paraId="2E62DC97" w14:textId="1ECF9974" w:rsidR="00796E86" w:rsidRDefault="00EC3553" w:rsidP="002F1961">
      <w:pPr>
        <w:autoSpaceDE w:val="0"/>
        <w:autoSpaceDN w:val="0"/>
        <w:adjustRightInd w:val="0"/>
        <w:spacing w:before="100" w:beforeAutospacing="1" w:after="100" w:afterAutospacing="1" w:line="360" w:lineRule="auto"/>
        <w:rPr>
          <w:rFonts w:cs="Arial"/>
          <w:szCs w:val="24"/>
          <w:lang w:val="es-CO"/>
        </w:rPr>
      </w:pPr>
      <w:r>
        <w:rPr>
          <w:rFonts w:cs="Arial"/>
          <w:szCs w:val="24"/>
        </w:rPr>
        <w:t>E</w:t>
      </w:r>
      <w:r w:rsidRPr="00EC3553">
        <w:rPr>
          <w:rFonts w:cs="Arial"/>
          <w:szCs w:val="24"/>
        </w:rPr>
        <w:t>l artículo 89</w:t>
      </w:r>
      <w:r>
        <w:rPr>
          <w:rFonts w:cs="Arial"/>
          <w:szCs w:val="24"/>
        </w:rPr>
        <w:t xml:space="preserve"> de la mencionada ley</w:t>
      </w:r>
      <w:r w:rsidRPr="00EC3553">
        <w:rPr>
          <w:rFonts w:cs="Arial"/>
          <w:szCs w:val="24"/>
        </w:rPr>
        <w:t xml:space="preserve"> desarrolla la aplicación de los criterios de solidaridad y redistribución de ingresos, señalando que los usuarios de mayores ingresos y ciertos usuarios comerciales e industriales pueden contribuir al financiamiento de subsidios destinados a los usuarios de menores ingresos. Este esquema se complementa con los Fondos de Solidaridad y Redistribución de Ingresos, a través de los cuales se administran recursos destinados a cubrir subsidios tarifarios, sin perjuicio de los aportes que puedan realizar la Nación y las entidades territoriales con cargo a sus presupuestos.</w:t>
      </w:r>
    </w:p>
    <w:p w14:paraId="37EB1DC8" w14:textId="7380886A" w:rsidR="004A3BAE" w:rsidRPr="00AB4A7E" w:rsidRDefault="004A3BAE" w:rsidP="002F1961">
      <w:pPr>
        <w:pStyle w:val="Ttulo3"/>
        <w:spacing w:before="100" w:beforeAutospacing="1" w:after="100" w:afterAutospacing="1"/>
      </w:pPr>
      <w:bookmarkStart w:id="16" w:name="_Toc235128325"/>
      <w:r w:rsidRPr="67644597">
        <w:rPr>
          <w:lang w:val="es-ES"/>
        </w:rPr>
        <w:t>Regulación en materia de subsidios</w:t>
      </w:r>
      <w:r w:rsidR="002F5258" w:rsidRPr="67644597">
        <w:rPr>
          <w:lang w:val="es-ES"/>
        </w:rPr>
        <w:t xml:space="preserve"> para cilindros y tanques</w:t>
      </w:r>
      <w:bookmarkEnd w:id="16"/>
      <w:r w:rsidR="1A9EF2A0" w:rsidRPr="67644597">
        <w:rPr>
          <w:lang w:val="es-ES"/>
        </w:rPr>
        <w:t xml:space="preserve">  </w:t>
      </w:r>
    </w:p>
    <w:p w14:paraId="4E645E53" w14:textId="58DE11EE" w:rsidR="00F619FE" w:rsidRDefault="00F619FE" w:rsidP="002F1961">
      <w:pPr>
        <w:autoSpaceDE w:val="0"/>
        <w:autoSpaceDN w:val="0"/>
        <w:adjustRightInd w:val="0"/>
        <w:spacing w:before="100" w:beforeAutospacing="1" w:after="100" w:afterAutospacing="1" w:line="360" w:lineRule="auto"/>
        <w:rPr>
          <w:rFonts w:cs="Arial"/>
          <w:szCs w:val="24"/>
          <w:lang w:val="es-CO"/>
        </w:rPr>
      </w:pPr>
      <w:r>
        <w:rPr>
          <w:rFonts w:cs="Arial"/>
          <w:szCs w:val="24"/>
          <w:lang w:val="es-CO"/>
        </w:rPr>
        <w:t>En desarrollo reglamentario del mandato constitucional y lo dispuesto en la Ley 142 de 1994, el Decreto 2195 de 2013</w:t>
      </w:r>
      <w:r w:rsidRPr="00F678B2">
        <w:t xml:space="preserve"> </w:t>
      </w:r>
      <w:r w:rsidRPr="00F678B2">
        <w:rPr>
          <w:rFonts w:cs="Arial"/>
          <w:szCs w:val="24"/>
          <w:lang w:val="es-CO"/>
        </w:rPr>
        <w:t>constituye el primer instrumento específico de desarrollo del régimen de subsidios al consumo de GLP. Este Decreto reglamentó el otorgamiento de subsidios al consumo de gas licuado del petróleo para usuarios residenciales ubicados en zonas del territorio nacional donde este combustible constituye la alternativa energética predominante para los usos domésticos básicos. Estableció los criterios para la focalización geográfica del subsidio, la definición de los beneficiarios, los montos máximos de subsidio aplicables y los mecanismos de asignación, pago y control del esquema, sentando las bases del régimen que ha sido desarrollado y actualizado por las resoluciones ministeriales posteriores.</w:t>
      </w:r>
    </w:p>
    <w:p w14:paraId="2CEC3D29" w14:textId="15F902B9" w:rsidR="004E4E56" w:rsidRPr="004E4E56" w:rsidRDefault="004E4E56" w:rsidP="002F1961">
      <w:pPr>
        <w:autoSpaceDE w:val="0"/>
        <w:autoSpaceDN w:val="0"/>
        <w:adjustRightInd w:val="0"/>
        <w:spacing w:before="100" w:beforeAutospacing="1" w:after="100" w:afterAutospacing="1" w:line="360" w:lineRule="auto"/>
        <w:rPr>
          <w:rFonts w:cs="Arial"/>
          <w:szCs w:val="24"/>
          <w:lang w:val="es-CO"/>
        </w:rPr>
      </w:pPr>
      <w:r w:rsidRPr="004E4E56">
        <w:rPr>
          <w:rFonts w:cs="Arial"/>
          <w:szCs w:val="24"/>
          <w:lang w:val="es-CO"/>
        </w:rPr>
        <w:t xml:space="preserve">El </w:t>
      </w:r>
      <w:r w:rsidRPr="00A652A1">
        <w:rPr>
          <w:rFonts w:cs="Arial"/>
          <w:szCs w:val="24"/>
          <w:lang w:val="es-CO"/>
        </w:rPr>
        <w:t>Decreto 2195 de 2013</w:t>
      </w:r>
      <w:r w:rsidRPr="004E4E56">
        <w:rPr>
          <w:rFonts w:cs="Arial"/>
          <w:szCs w:val="24"/>
          <w:lang w:val="es-CO"/>
        </w:rPr>
        <w:t xml:space="preserve"> también introdujo elementos centrales para la implementación del mecanismo, al permitir que el </w:t>
      </w:r>
      <w:r w:rsidR="005F34D1">
        <w:rPr>
          <w:rFonts w:cs="Arial"/>
          <w:szCs w:val="24"/>
          <w:lang w:val="es-CO"/>
        </w:rPr>
        <w:t>MME</w:t>
      </w:r>
      <w:r w:rsidRPr="004E4E56">
        <w:rPr>
          <w:rFonts w:cs="Arial"/>
          <w:szCs w:val="24"/>
          <w:lang w:val="es-CO"/>
        </w:rPr>
        <w:t xml:space="preserve"> desarrollara programas piloto para definir la zona de influencia, el procedimiento de entrega, los plazos de aplicación y demás condiciones operativas del subsidio. Así, el diseño del subsidio al GLP no se estructuró como un </w:t>
      </w:r>
      <w:r w:rsidRPr="004E4E56">
        <w:rPr>
          <w:rFonts w:cs="Arial"/>
          <w:szCs w:val="24"/>
          <w:lang w:val="es-CO"/>
        </w:rPr>
        <w:lastRenderedPageBreak/>
        <w:t>esquema universal, sino como un mecanismo focalizado territorial y socioeconómicamente, orientado a atender hogares con restricciones de acceso a energéticos modernos y con menor capacidad de pago.</w:t>
      </w:r>
    </w:p>
    <w:p w14:paraId="7DF3178C" w14:textId="77777777" w:rsidR="004E4E56" w:rsidRPr="004E4E56" w:rsidRDefault="004E4E56" w:rsidP="002F1961">
      <w:pPr>
        <w:autoSpaceDE w:val="0"/>
        <w:autoSpaceDN w:val="0"/>
        <w:adjustRightInd w:val="0"/>
        <w:spacing w:before="100" w:beforeAutospacing="1" w:after="100" w:afterAutospacing="1" w:line="360" w:lineRule="auto"/>
        <w:rPr>
          <w:rFonts w:cs="Arial"/>
          <w:szCs w:val="24"/>
          <w:lang w:val="es-CO"/>
        </w:rPr>
      </w:pPr>
      <w:r w:rsidRPr="004E4E56">
        <w:rPr>
          <w:rFonts w:cs="Arial"/>
          <w:szCs w:val="24"/>
          <w:lang w:val="es-CO"/>
        </w:rPr>
        <w:t xml:space="preserve">En desarrollo de dicho decreto, el Ministerio de Minas y Energía expidió la Resolución </w:t>
      </w:r>
      <w:r w:rsidRPr="00A652A1">
        <w:rPr>
          <w:rFonts w:cs="Arial"/>
          <w:szCs w:val="24"/>
          <w:lang w:val="es-CO"/>
        </w:rPr>
        <w:t>40720 de 2016</w:t>
      </w:r>
      <w:r w:rsidRPr="004E4E56">
        <w:rPr>
          <w:rFonts w:cs="Arial"/>
          <w:szCs w:val="24"/>
          <w:lang w:val="es-CO"/>
        </w:rPr>
        <w:t>, mediante la cual se establecieron los lineamientos para el otorgamiento de subsidios al consumo de GLP distribuido en cilindros. Esta resolución definió parámetros operativos para la entrega del subsidio, los beneficiarios, la cobertura geográfica, la interacción con las empresas distribuidoras y comercializadoras, así como los procedimientos de reconocimiento y pago.</w:t>
      </w:r>
    </w:p>
    <w:p w14:paraId="49B82BDE" w14:textId="6C8F2997" w:rsidR="004E4E56" w:rsidRDefault="005B2258" w:rsidP="002F1961">
      <w:pPr>
        <w:autoSpaceDE w:val="0"/>
        <w:autoSpaceDN w:val="0"/>
        <w:adjustRightInd w:val="0"/>
        <w:spacing w:before="100" w:beforeAutospacing="1" w:after="100" w:afterAutospacing="1" w:line="360" w:lineRule="auto"/>
        <w:rPr>
          <w:rFonts w:cs="Arial"/>
          <w:szCs w:val="24"/>
          <w:lang w:val="es-CO"/>
        </w:rPr>
      </w:pPr>
      <w:r w:rsidRPr="005B2258">
        <w:rPr>
          <w:rFonts w:cs="Arial"/>
          <w:szCs w:val="24"/>
          <w:lang w:val="es-CO"/>
        </w:rPr>
        <w:t xml:space="preserve">Posteriormente, la Resolución MME 40005 de 2017 modificó la Resolución 40720 de 2016, con el fin de ajustar aspectos asociados a la identificación de beneficiarios, la distribución de recursos y la implementación del programa durante la respectiva vigencia presupuestal. De igual manera, la </w:t>
      </w:r>
      <w:r w:rsidRPr="00A652A1">
        <w:rPr>
          <w:rFonts w:cs="Arial"/>
          <w:szCs w:val="24"/>
          <w:lang w:val="es-CO"/>
        </w:rPr>
        <w:t>Resolución MME 40079 de 2017</w:t>
      </w:r>
      <w:r w:rsidRPr="005B2258">
        <w:rPr>
          <w:rFonts w:cs="Arial"/>
          <w:szCs w:val="24"/>
          <w:lang w:val="es-CO"/>
        </w:rPr>
        <w:t xml:space="preserve"> adoptó medidas adicionales para el otorgamiento de subsidios al consumo de GLP distribuido en cilindros, fortaleciendo el desarrollo operativo del mecanismo</w:t>
      </w:r>
      <w:r w:rsidR="00E80C9C">
        <w:rPr>
          <w:rFonts w:cs="Arial"/>
          <w:szCs w:val="24"/>
          <w:lang w:val="es-CO"/>
        </w:rPr>
        <w:t xml:space="preserve">, </w:t>
      </w:r>
      <w:r w:rsidR="001175F2">
        <w:rPr>
          <w:rFonts w:cs="Arial"/>
          <w:szCs w:val="24"/>
          <w:lang w:val="es-CO"/>
        </w:rPr>
        <w:t xml:space="preserve">ajustando obligaciones de los distribuidores en </w:t>
      </w:r>
      <w:r w:rsidR="002643D0">
        <w:rPr>
          <w:rFonts w:cs="Arial"/>
          <w:szCs w:val="24"/>
          <w:lang w:val="es-CO"/>
        </w:rPr>
        <w:t xml:space="preserve">materia de reporte de usuarios beneficiados </w:t>
      </w:r>
      <w:r w:rsidR="00B45575">
        <w:rPr>
          <w:rFonts w:cs="Arial"/>
          <w:szCs w:val="24"/>
          <w:lang w:val="es-CO"/>
        </w:rPr>
        <w:t>y plazos de presentación de informes.</w:t>
      </w:r>
    </w:p>
    <w:p w14:paraId="2C39417B" w14:textId="77777777" w:rsidR="00993F74" w:rsidRDefault="004C2719" w:rsidP="002F1961">
      <w:pPr>
        <w:autoSpaceDE w:val="0"/>
        <w:autoSpaceDN w:val="0"/>
        <w:adjustRightInd w:val="0"/>
        <w:spacing w:before="100" w:beforeAutospacing="1" w:after="100" w:afterAutospacing="1" w:line="360" w:lineRule="auto"/>
        <w:rPr>
          <w:rFonts w:cs="Arial"/>
          <w:szCs w:val="24"/>
        </w:rPr>
      </w:pPr>
      <w:r w:rsidRPr="004C2719">
        <w:rPr>
          <w:rFonts w:cs="Arial"/>
          <w:szCs w:val="24"/>
        </w:rPr>
        <w:t xml:space="preserve">La </w:t>
      </w:r>
      <w:r w:rsidRPr="00A652A1">
        <w:rPr>
          <w:rFonts w:cs="Arial"/>
          <w:szCs w:val="24"/>
        </w:rPr>
        <w:t>Resolución MME 40873 de 2019</w:t>
      </w:r>
      <w:r w:rsidRPr="004C2719">
        <w:rPr>
          <w:rFonts w:cs="Arial"/>
          <w:szCs w:val="24"/>
        </w:rPr>
        <w:t xml:space="preserve"> modificó nuevamente el esquema previsto en la Resolución 40720 de 2016 y consolidó la focalización territorial del subsidio</w:t>
      </w:r>
      <w:r w:rsidR="006570F5">
        <w:rPr>
          <w:rFonts w:cs="Arial"/>
          <w:szCs w:val="24"/>
        </w:rPr>
        <w:t>, los montos</w:t>
      </w:r>
      <w:r w:rsidR="00570899">
        <w:rPr>
          <w:rFonts w:cs="Arial"/>
          <w:szCs w:val="24"/>
        </w:rPr>
        <w:t xml:space="preserve"> por cilindro y la forma de acreditación de la condición de</w:t>
      </w:r>
      <w:r w:rsidR="00F75777">
        <w:rPr>
          <w:rFonts w:cs="Arial"/>
          <w:szCs w:val="24"/>
        </w:rPr>
        <w:t xml:space="preserve">l beneficiario </w:t>
      </w:r>
      <w:r w:rsidR="00951AB2">
        <w:rPr>
          <w:rFonts w:cs="Arial"/>
          <w:szCs w:val="24"/>
        </w:rPr>
        <w:t>por parte de los distribuidores registrados.</w:t>
      </w:r>
    </w:p>
    <w:p w14:paraId="6FF0EC15" w14:textId="4B3B737A" w:rsidR="00993F74" w:rsidRDefault="00993F74" w:rsidP="002F1961">
      <w:pPr>
        <w:spacing w:before="100" w:beforeAutospacing="1" w:after="100" w:afterAutospacing="1" w:line="360" w:lineRule="auto"/>
        <w:rPr>
          <w:rFonts w:cs="Arial"/>
          <w:szCs w:val="24"/>
        </w:rPr>
      </w:pPr>
      <w:r w:rsidRPr="00853A08">
        <w:rPr>
          <w:rFonts w:eastAsia="Arial" w:cs="Arial"/>
          <w:szCs w:val="24"/>
        </w:rPr>
        <w:t>Más recientemente</w:t>
      </w:r>
      <w:r w:rsidR="00853A08" w:rsidRPr="00853A08">
        <w:rPr>
          <w:rFonts w:eastAsia="Arial" w:cs="Arial"/>
          <w:szCs w:val="24"/>
        </w:rPr>
        <w:t>, la Resolución MME 40165 de 2024, que constituye</w:t>
      </w:r>
      <w:r w:rsidRPr="00853A08">
        <w:rPr>
          <w:rFonts w:eastAsia="Arial" w:cs="Arial"/>
          <w:szCs w:val="24"/>
        </w:rPr>
        <w:t xml:space="preserve"> la </w:t>
      </w:r>
      <w:r w:rsidR="0010032D" w:rsidRPr="00853A08">
        <w:rPr>
          <w:rFonts w:eastAsia="Arial" w:cs="Arial"/>
          <w:szCs w:val="24"/>
        </w:rPr>
        <w:t>actualización más reciente del régimen de subsidios de GLP</w:t>
      </w:r>
      <w:r w:rsidR="00E02A50">
        <w:rPr>
          <w:rFonts w:eastAsia="Arial" w:cs="Arial"/>
          <w:szCs w:val="24"/>
        </w:rPr>
        <w:t xml:space="preserve">, </w:t>
      </w:r>
      <w:r w:rsidR="00853A08" w:rsidRPr="00853A08">
        <w:rPr>
          <w:rFonts w:eastAsia="Arial" w:cs="Arial"/>
          <w:szCs w:val="24"/>
        </w:rPr>
        <w:t>estableció</w:t>
      </w:r>
      <w:r w:rsidR="003D2FAF" w:rsidRPr="003D2FAF">
        <w:rPr>
          <w:rFonts w:eastAsia="Arial" w:cs="Arial"/>
          <w:szCs w:val="24"/>
        </w:rPr>
        <w:t xml:space="preserve"> los parámetros para el desarrollo del Programa de Sustitución de Leña, Carbón y Residuos por Energéticos de Transición de Gas Combustible para la </w:t>
      </w:r>
      <w:r w:rsidR="00282F51">
        <w:rPr>
          <w:rFonts w:eastAsia="Arial" w:cs="Arial"/>
          <w:szCs w:val="24"/>
        </w:rPr>
        <w:t>c</w:t>
      </w:r>
      <w:r w:rsidR="00853A08" w:rsidRPr="00853A08">
        <w:rPr>
          <w:rFonts w:eastAsia="Arial" w:cs="Arial"/>
          <w:szCs w:val="24"/>
        </w:rPr>
        <w:t>occión</w:t>
      </w:r>
      <w:r w:rsidR="003D2FAF" w:rsidRPr="003D2FAF">
        <w:rPr>
          <w:rFonts w:eastAsia="Arial" w:cs="Arial"/>
          <w:szCs w:val="24"/>
        </w:rPr>
        <w:t xml:space="preserve"> de </w:t>
      </w:r>
      <w:r w:rsidR="00282F51">
        <w:rPr>
          <w:rFonts w:eastAsia="Arial" w:cs="Arial"/>
          <w:szCs w:val="24"/>
        </w:rPr>
        <w:t>a</w:t>
      </w:r>
      <w:r w:rsidR="00853A08" w:rsidRPr="00853A08">
        <w:rPr>
          <w:rFonts w:eastAsia="Arial" w:cs="Arial"/>
          <w:szCs w:val="24"/>
        </w:rPr>
        <w:t>limentos</w:t>
      </w:r>
      <w:r w:rsidR="003D2FAF" w:rsidRPr="003D2FAF">
        <w:rPr>
          <w:rFonts w:eastAsia="Arial" w:cs="Arial"/>
          <w:szCs w:val="24"/>
        </w:rPr>
        <w:t xml:space="preserve">, </w:t>
      </w:r>
      <w:r w:rsidR="00853A08" w:rsidRPr="00853A08">
        <w:rPr>
          <w:rFonts w:eastAsia="Arial" w:cs="Arial"/>
          <w:szCs w:val="24"/>
        </w:rPr>
        <w:t xml:space="preserve">así como las condiciones </w:t>
      </w:r>
      <w:r w:rsidR="003D2FAF" w:rsidRPr="003D2FAF">
        <w:rPr>
          <w:rFonts w:eastAsia="Arial" w:cs="Arial"/>
          <w:szCs w:val="24"/>
        </w:rPr>
        <w:t xml:space="preserve">para la entrega de subsidios al consumo de gas combustible a </w:t>
      </w:r>
      <w:r w:rsidR="00853A08" w:rsidRPr="00853A08">
        <w:rPr>
          <w:rFonts w:eastAsia="Arial" w:cs="Arial"/>
          <w:szCs w:val="24"/>
        </w:rPr>
        <w:t>sus</w:t>
      </w:r>
      <w:r w:rsidR="003D2FAF" w:rsidRPr="003D2FAF">
        <w:rPr>
          <w:rFonts w:eastAsia="Arial" w:cs="Arial"/>
          <w:szCs w:val="24"/>
        </w:rPr>
        <w:t xml:space="preserve"> beneficiarios</w:t>
      </w:r>
      <w:r w:rsidR="00853A08" w:rsidRPr="00853A08">
        <w:rPr>
          <w:rFonts w:eastAsia="Arial" w:cs="Arial"/>
          <w:szCs w:val="24"/>
        </w:rPr>
        <w:t>. Entre otros aspectos, esta resolución amplió los criterios de focalización socioeconómica y geográfica previstos en la Resolución 40720 de 2016 y sus modificaciones.</w:t>
      </w:r>
    </w:p>
    <w:p w14:paraId="5D7B03B7" w14:textId="4E5855B5" w:rsidR="00AF2BFE" w:rsidRDefault="00BF7868" w:rsidP="002F1961">
      <w:pPr>
        <w:autoSpaceDE w:val="0"/>
        <w:autoSpaceDN w:val="0"/>
        <w:adjustRightInd w:val="0"/>
        <w:spacing w:before="100" w:beforeAutospacing="1" w:after="100" w:afterAutospacing="1" w:line="360" w:lineRule="auto"/>
        <w:rPr>
          <w:rFonts w:cs="Arial"/>
          <w:szCs w:val="24"/>
        </w:rPr>
      </w:pPr>
      <w:r>
        <w:rPr>
          <w:rFonts w:cs="Arial"/>
          <w:szCs w:val="24"/>
        </w:rPr>
        <w:lastRenderedPageBreak/>
        <w:t xml:space="preserve">Claro el marco normativo desarrollado, </w:t>
      </w:r>
      <w:r w:rsidR="008C22F3">
        <w:rPr>
          <w:rFonts w:cs="Arial"/>
          <w:szCs w:val="24"/>
        </w:rPr>
        <w:t xml:space="preserve">es importante </w:t>
      </w:r>
      <w:r w:rsidR="00E16167">
        <w:rPr>
          <w:rFonts w:cs="Arial"/>
          <w:szCs w:val="24"/>
        </w:rPr>
        <w:t>señalar que, e</w:t>
      </w:r>
      <w:r w:rsidRPr="00BF7868">
        <w:rPr>
          <w:rFonts w:cs="Arial"/>
          <w:szCs w:val="24"/>
        </w:rPr>
        <w:t xml:space="preserve">l programa de subsidios de GLP en cilindros </w:t>
      </w:r>
      <w:r w:rsidR="00AF2BFE" w:rsidRPr="00AF2BFE">
        <w:rPr>
          <w:rFonts w:cs="Arial"/>
          <w:szCs w:val="24"/>
        </w:rPr>
        <w:t xml:space="preserve">se ha estructurado con una focalización territorial específica. Actualmente, los subsidios al consumo de GLP en cilindros aplican en los departamentos de Caquetá, Nariño, Putumayo, Amazonas y el Archipiélago de San Andrés, Providencia y Santa Catalina, así como en once municipios del Macizo Colombiano del departamento del Cauca, en este último caso únicamente para zonas rurales. Esta delimitación territorial </w:t>
      </w:r>
      <w:r w:rsidR="0071469E">
        <w:rPr>
          <w:rFonts w:cs="Arial"/>
          <w:szCs w:val="24"/>
        </w:rPr>
        <w:t xml:space="preserve">ha </w:t>
      </w:r>
      <w:r w:rsidR="00AF2BFE" w:rsidRPr="00AF2BFE">
        <w:rPr>
          <w:rFonts w:cs="Arial"/>
          <w:szCs w:val="24"/>
        </w:rPr>
        <w:t>respond</w:t>
      </w:r>
      <w:r w:rsidR="0071469E">
        <w:rPr>
          <w:rFonts w:cs="Arial"/>
          <w:szCs w:val="24"/>
        </w:rPr>
        <w:t>ido</w:t>
      </w:r>
      <w:r w:rsidR="00AF2BFE" w:rsidRPr="00AF2BFE">
        <w:rPr>
          <w:rFonts w:cs="Arial"/>
          <w:szCs w:val="24"/>
        </w:rPr>
        <w:t xml:space="preserve"> a la necesidad de priorizar zonas con mayores restricciones de acceso energético, condiciones socioeconómicas particulares y alta dependencia del GLP como energético de uso doméstico.</w:t>
      </w:r>
    </w:p>
    <w:p w14:paraId="7D1B285A" w14:textId="3DD82983" w:rsidR="00713CE2" w:rsidRPr="00B46849" w:rsidRDefault="00713CE2" w:rsidP="00C263E8">
      <w:pPr>
        <w:pStyle w:val="Descripcin"/>
        <w:jc w:val="center"/>
        <w:rPr>
          <w:b w:val="0"/>
        </w:rPr>
      </w:pPr>
      <w:bookmarkStart w:id="17" w:name="_Ref235023835"/>
      <w:bookmarkStart w:id="18" w:name="_Toc235118541"/>
      <w:r w:rsidRPr="00C263E8">
        <w:rPr>
          <w:b w:val="0"/>
        </w:rPr>
        <w:t xml:space="preserve">Figura </w:t>
      </w:r>
      <w:r w:rsidRPr="00C263E8">
        <w:rPr>
          <w:b w:val="0"/>
        </w:rPr>
        <w:fldChar w:fldCharType="begin"/>
      </w:r>
      <w:r w:rsidRPr="00B46849">
        <w:rPr>
          <w:b w:val="0"/>
        </w:rPr>
        <w:instrText xml:space="preserve"> SEQ Figura \* ARABIC </w:instrText>
      </w:r>
      <w:r w:rsidRPr="00C263E8">
        <w:rPr>
          <w:b w:val="0"/>
        </w:rPr>
        <w:fldChar w:fldCharType="separate"/>
      </w:r>
      <w:r w:rsidR="000E633B" w:rsidRPr="00C263E8">
        <w:rPr>
          <w:b w:val="0"/>
        </w:rPr>
        <w:t>1</w:t>
      </w:r>
      <w:r w:rsidRPr="00C263E8">
        <w:rPr>
          <w:b w:val="0"/>
        </w:rPr>
        <w:fldChar w:fldCharType="end"/>
      </w:r>
      <w:bookmarkEnd w:id="17"/>
      <w:r w:rsidR="00C21CE0" w:rsidRPr="00C263E8">
        <w:rPr>
          <w:b w:val="0"/>
          <w:bCs/>
        </w:rPr>
        <w:t>.</w:t>
      </w:r>
      <w:r w:rsidR="00C21CE0" w:rsidRPr="00B46849">
        <w:rPr>
          <w:b w:val="0"/>
        </w:rPr>
        <w:t xml:space="preserve"> </w:t>
      </w:r>
      <w:r w:rsidR="00784F07">
        <w:rPr>
          <w:b w:val="0"/>
          <w:lang w:val="es-ES"/>
        </w:rPr>
        <w:t>Beneficiarios</w:t>
      </w:r>
      <w:r w:rsidR="00904244">
        <w:rPr>
          <w:b w:val="0"/>
          <w:lang w:val="es-ES"/>
        </w:rPr>
        <w:t xml:space="preserve"> del p</w:t>
      </w:r>
      <w:r w:rsidR="004E6923">
        <w:rPr>
          <w:b w:val="0"/>
          <w:lang w:val="es-ES"/>
        </w:rPr>
        <w:t>rograma de subsidios de GLP</w:t>
      </w:r>
      <w:r w:rsidR="00CF2021">
        <w:rPr>
          <w:b w:val="0"/>
          <w:lang w:val="es-ES"/>
        </w:rPr>
        <w:t xml:space="preserve"> en cilindros</w:t>
      </w:r>
      <w:bookmarkEnd w:id="18"/>
    </w:p>
    <w:p w14:paraId="415CB9B4" w14:textId="77777777" w:rsidR="004E4E56" w:rsidRDefault="00713CE2" w:rsidP="002F1961">
      <w:pPr>
        <w:autoSpaceDE w:val="0"/>
        <w:autoSpaceDN w:val="0"/>
        <w:adjustRightInd w:val="0"/>
        <w:spacing w:before="100" w:beforeAutospacing="1" w:after="100" w:afterAutospacing="1" w:line="360" w:lineRule="auto"/>
        <w:jc w:val="center"/>
        <w:rPr>
          <w:rFonts w:cs="Arial"/>
          <w:szCs w:val="24"/>
        </w:rPr>
      </w:pPr>
      <w:r w:rsidRPr="00713CE2">
        <w:rPr>
          <w:rFonts w:cs="Arial"/>
          <w:noProof/>
          <w:szCs w:val="24"/>
        </w:rPr>
        <w:drawing>
          <wp:inline distT="0" distB="0" distL="0" distR="0" wp14:anchorId="20B18CBE" wp14:editId="4E496D43">
            <wp:extent cx="4766604" cy="2332119"/>
            <wp:effectExtent l="0" t="0" r="0" b="0"/>
            <wp:docPr id="3090274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027430" name=""/>
                    <pic:cNvPicPr/>
                  </pic:nvPicPr>
                  <pic:blipFill>
                    <a:blip r:embed="rId12"/>
                    <a:stretch>
                      <a:fillRect/>
                    </a:stretch>
                  </pic:blipFill>
                  <pic:spPr>
                    <a:xfrm>
                      <a:off x="0" y="0"/>
                      <a:ext cx="4782367" cy="2339831"/>
                    </a:xfrm>
                    <a:prstGeom prst="rect">
                      <a:avLst/>
                    </a:prstGeom>
                  </pic:spPr>
                </pic:pic>
              </a:graphicData>
            </a:graphic>
          </wp:inline>
        </w:drawing>
      </w:r>
    </w:p>
    <w:p w14:paraId="7EEBFD7A" w14:textId="5B78E666" w:rsidR="00713CE2" w:rsidRPr="004F1AA5" w:rsidRDefault="00C21CE0" w:rsidP="002F1961">
      <w:pPr>
        <w:spacing w:before="100" w:beforeAutospacing="1" w:after="100" w:afterAutospacing="1" w:line="360" w:lineRule="auto"/>
        <w:jc w:val="center"/>
        <w:rPr>
          <w:rFonts w:cs="Arial"/>
          <w:sz w:val="22"/>
          <w:szCs w:val="22"/>
          <w:lang w:val="es-ES"/>
        </w:rPr>
      </w:pPr>
      <w:r w:rsidRPr="004F1AA5">
        <w:rPr>
          <w:rFonts w:cs="Arial"/>
          <w:sz w:val="22"/>
          <w:szCs w:val="22"/>
          <w:lang w:val="es-ES"/>
        </w:rPr>
        <w:t xml:space="preserve">Fuente: </w:t>
      </w:r>
      <w:r w:rsidR="00247103" w:rsidRPr="004F1AA5">
        <w:rPr>
          <w:rFonts w:cs="Arial"/>
          <w:sz w:val="22"/>
          <w:szCs w:val="22"/>
          <w:lang w:val="es-ES"/>
        </w:rPr>
        <w:t>SUI</w:t>
      </w:r>
      <w:r w:rsidR="0007517D" w:rsidRPr="004F1AA5">
        <w:rPr>
          <w:rFonts w:cs="Arial"/>
          <w:sz w:val="22"/>
          <w:szCs w:val="22"/>
          <w:lang w:val="es-ES"/>
        </w:rPr>
        <w:t xml:space="preserve"> </w:t>
      </w:r>
      <w:r w:rsidR="00CB48D7" w:rsidRPr="004F1AA5">
        <w:rPr>
          <w:rFonts w:cs="Arial"/>
          <w:sz w:val="22"/>
          <w:szCs w:val="22"/>
          <w:lang w:val="es-ES"/>
        </w:rPr>
        <w:t>–</w:t>
      </w:r>
      <w:r w:rsidR="003C0050" w:rsidRPr="004F1AA5">
        <w:rPr>
          <w:rFonts w:cs="Arial"/>
          <w:sz w:val="22"/>
          <w:szCs w:val="22"/>
          <w:lang w:val="es-ES"/>
        </w:rPr>
        <w:t xml:space="preserve">O3 </w:t>
      </w:r>
      <w:proofErr w:type="spellStart"/>
      <w:r w:rsidR="00A2750E" w:rsidRPr="004F1AA5">
        <w:rPr>
          <w:rFonts w:cs="Arial"/>
          <w:sz w:val="22"/>
          <w:szCs w:val="22"/>
          <w:lang w:val="es-ES"/>
        </w:rPr>
        <w:t>comercial_GLP</w:t>
      </w:r>
      <w:proofErr w:type="spellEnd"/>
      <w:r w:rsidR="00CB48D7" w:rsidRPr="004F1AA5">
        <w:rPr>
          <w:rFonts w:cs="Arial"/>
          <w:sz w:val="22"/>
          <w:szCs w:val="22"/>
          <w:lang w:val="es-ES"/>
        </w:rPr>
        <w:t xml:space="preserve"> Consulta 2</w:t>
      </w:r>
      <w:r w:rsidR="00DF7BA3" w:rsidRPr="004F1AA5">
        <w:rPr>
          <w:rFonts w:cs="Arial"/>
          <w:sz w:val="22"/>
          <w:szCs w:val="22"/>
          <w:lang w:val="es-ES"/>
        </w:rPr>
        <w:t>4</w:t>
      </w:r>
      <w:r w:rsidR="00CB48D7" w:rsidRPr="004F1AA5">
        <w:rPr>
          <w:rFonts w:cs="Arial"/>
          <w:sz w:val="22"/>
          <w:szCs w:val="22"/>
          <w:lang w:val="es-ES"/>
        </w:rPr>
        <w:t>/06/2026</w:t>
      </w:r>
      <w:r w:rsidR="00A33FD5" w:rsidRPr="004F1AA5">
        <w:rPr>
          <w:rFonts w:cs="Arial"/>
          <w:sz w:val="22"/>
          <w:szCs w:val="22"/>
          <w:lang w:val="es-ES"/>
        </w:rPr>
        <w:t>.</w:t>
      </w:r>
      <w:r w:rsidR="00B46849" w:rsidRPr="004F1AA5">
        <w:rPr>
          <w:rFonts w:cs="Arial"/>
          <w:sz w:val="22"/>
          <w:szCs w:val="22"/>
          <w:lang w:val="es-ES"/>
        </w:rPr>
        <w:t xml:space="preserve"> Elaboración</w:t>
      </w:r>
      <w:r w:rsidR="00CD5790" w:rsidRPr="004F1AA5">
        <w:rPr>
          <w:rFonts w:cs="Arial"/>
          <w:sz w:val="22"/>
          <w:szCs w:val="22"/>
          <w:lang w:val="es-ES"/>
        </w:rPr>
        <w:t>: CREG</w:t>
      </w:r>
    </w:p>
    <w:p w14:paraId="403080D2" w14:textId="41C4E83A" w:rsidR="005F2A5F" w:rsidRPr="005F2A5F" w:rsidRDefault="005F2A5F" w:rsidP="002F1961">
      <w:pPr>
        <w:autoSpaceDE w:val="0"/>
        <w:autoSpaceDN w:val="0"/>
        <w:adjustRightInd w:val="0"/>
        <w:spacing w:before="100" w:beforeAutospacing="1" w:after="100" w:afterAutospacing="1" w:line="360" w:lineRule="auto"/>
        <w:rPr>
          <w:rFonts w:cs="Arial"/>
          <w:szCs w:val="24"/>
          <w:lang w:val="es-CO"/>
        </w:rPr>
      </w:pPr>
      <w:r w:rsidRPr="005F2A5F">
        <w:rPr>
          <w:rFonts w:cs="Arial"/>
          <w:szCs w:val="24"/>
          <w:lang w:val="es-CO"/>
        </w:rPr>
        <w:t xml:space="preserve">En cuanto a la población beneficiaria, </w:t>
      </w:r>
      <w:r w:rsidR="00C263E8">
        <w:rPr>
          <w:rFonts w:cs="Arial"/>
          <w:szCs w:val="24"/>
          <w:lang w:val="es-CO"/>
        </w:rPr>
        <w:t xml:space="preserve">ver </w:t>
      </w:r>
      <w:r w:rsidR="00C263E8" w:rsidRPr="00C263E8">
        <w:rPr>
          <w:rFonts w:cs="Arial"/>
          <w:szCs w:val="24"/>
          <w:lang w:val="es-CO"/>
        </w:rPr>
        <w:fldChar w:fldCharType="begin"/>
      </w:r>
      <w:r w:rsidR="00C263E8" w:rsidRPr="00C263E8">
        <w:rPr>
          <w:rFonts w:cs="Arial"/>
          <w:szCs w:val="24"/>
          <w:lang w:val="es-CO"/>
        </w:rPr>
        <w:instrText xml:space="preserve"> REF _Ref235023835 \h  \* MERGEFORMAT </w:instrText>
      </w:r>
      <w:r w:rsidR="00C263E8" w:rsidRPr="00C263E8">
        <w:rPr>
          <w:rFonts w:cs="Arial"/>
          <w:szCs w:val="24"/>
          <w:lang w:val="es-CO"/>
        </w:rPr>
      </w:r>
      <w:r w:rsidR="00C263E8" w:rsidRPr="00C263E8">
        <w:rPr>
          <w:rFonts w:cs="Arial"/>
          <w:szCs w:val="24"/>
          <w:lang w:val="es-CO"/>
        </w:rPr>
        <w:fldChar w:fldCharType="separate"/>
      </w:r>
      <w:r w:rsidR="00C263E8" w:rsidRPr="00C263E8">
        <w:t xml:space="preserve">Figura </w:t>
      </w:r>
      <w:r w:rsidR="00C263E8" w:rsidRPr="00C263E8">
        <w:rPr>
          <w:noProof/>
        </w:rPr>
        <w:t>1</w:t>
      </w:r>
      <w:r w:rsidR="00C263E8" w:rsidRPr="00C263E8">
        <w:rPr>
          <w:rFonts w:cs="Arial"/>
          <w:szCs w:val="24"/>
          <w:lang w:val="es-CO"/>
        </w:rPr>
        <w:fldChar w:fldCharType="end"/>
      </w:r>
      <w:r w:rsidR="00C263E8">
        <w:rPr>
          <w:rFonts w:cs="Arial"/>
          <w:szCs w:val="24"/>
          <w:lang w:val="es-CO"/>
        </w:rPr>
        <w:t xml:space="preserve">, </w:t>
      </w:r>
      <w:r w:rsidRPr="005F2A5F">
        <w:rPr>
          <w:rFonts w:cs="Arial"/>
          <w:szCs w:val="24"/>
          <w:lang w:val="es-CO"/>
        </w:rPr>
        <w:t xml:space="preserve">el esquema está dirigido principalmente a hogares de estratos 1 y 2, comunidades indígenas y usuarios rurales de estrato 1, conforme a los criterios definidos en la regulación sectorial expedida por el </w:t>
      </w:r>
      <w:r>
        <w:rPr>
          <w:rFonts w:cs="Arial"/>
          <w:szCs w:val="24"/>
          <w:lang w:val="es-CO"/>
        </w:rPr>
        <w:t>MME</w:t>
      </w:r>
      <w:r w:rsidRPr="005F2A5F">
        <w:rPr>
          <w:rFonts w:cs="Arial"/>
          <w:szCs w:val="24"/>
          <w:lang w:val="es-CO"/>
        </w:rPr>
        <w:t xml:space="preserve">. </w:t>
      </w:r>
    </w:p>
    <w:p w14:paraId="480CF758" w14:textId="709647E8" w:rsidR="00C25165" w:rsidRDefault="00C25165" w:rsidP="002F1961">
      <w:pPr>
        <w:autoSpaceDE w:val="0"/>
        <w:autoSpaceDN w:val="0"/>
        <w:adjustRightInd w:val="0"/>
        <w:spacing w:before="100" w:beforeAutospacing="1" w:after="100" w:afterAutospacing="1" w:line="360" w:lineRule="auto"/>
        <w:rPr>
          <w:rFonts w:cs="Arial"/>
        </w:rPr>
      </w:pPr>
      <w:r w:rsidRPr="4E3FC3D8">
        <w:rPr>
          <w:rFonts w:cs="Arial"/>
        </w:rPr>
        <w:t>El subsidio se reconoce sobre un consumo de subsistencia de 14,6 kg de GLP por hogar al mes, definido por la UPME</w:t>
      </w:r>
      <w:r w:rsidR="001207FC">
        <w:rPr>
          <w:rStyle w:val="Refdenotaalpie"/>
          <w:rFonts w:cs="Arial"/>
        </w:rPr>
        <w:footnoteReference w:id="5"/>
      </w:r>
      <w:r w:rsidRPr="4E3FC3D8">
        <w:rPr>
          <w:rFonts w:cs="Arial"/>
        </w:rPr>
        <w:t xml:space="preserve"> para un núcleo familiar promedio de cuatro integrantes. </w:t>
      </w:r>
      <w:r w:rsidRPr="4E3FC3D8">
        <w:rPr>
          <w:rFonts w:cs="Arial"/>
        </w:rPr>
        <w:lastRenderedPageBreak/>
        <w:t xml:space="preserve">Sobre dicho consumo, el beneficio puede cubrir hasta el 50% del costo para usuarios de estrato 1 y hasta el 40% para usuarios de estrato 2. </w:t>
      </w:r>
    </w:p>
    <w:p w14:paraId="54185505" w14:textId="77777777" w:rsidR="00D67B5D" w:rsidRDefault="009B1783" w:rsidP="002F1961">
      <w:pPr>
        <w:autoSpaceDE w:val="0"/>
        <w:autoSpaceDN w:val="0"/>
        <w:adjustRightInd w:val="0"/>
        <w:spacing w:before="100" w:beforeAutospacing="1" w:after="100" w:afterAutospacing="1" w:line="360" w:lineRule="auto"/>
        <w:rPr>
          <w:rFonts w:cs="Arial"/>
          <w:szCs w:val="24"/>
        </w:rPr>
      </w:pPr>
      <w:r w:rsidRPr="009B1783">
        <w:rPr>
          <w:rFonts w:cs="Arial"/>
          <w:szCs w:val="24"/>
        </w:rPr>
        <w:t xml:space="preserve">Para acceder al subsidio de GLP, el usuario debe estar ubicado en alguno de los departamentos, municipios o zonas beneficiarias del programa, pertenecer a estrato 1 o 2 y encontrarse registrado en el Sisbén administrado por el </w:t>
      </w:r>
      <w:r w:rsidR="00D67B5D">
        <w:rPr>
          <w:rFonts w:cs="Arial"/>
          <w:szCs w:val="24"/>
        </w:rPr>
        <w:t>Departamento de Planeación Nacional -</w:t>
      </w:r>
      <w:r w:rsidRPr="009B1783">
        <w:rPr>
          <w:rFonts w:cs="Arial"/>
          <w:szCs w:val="24"/>
        </w:rPr>
        <w:t xml:space="preserve">DNP. </w:t>
      </w:r>
    </w:p>
    <w:p w14:paraId="204B5290" w14:textId="77777777" w:rsidR="00F52679" w:rsidRDefault="009B1783" w:rsidP="002F1961">
      <w:pPr>
        <w:autoSpaceDE w:val="0"/>
        <w:autoSpaceDN w:val="0"/>
        <w:adjustRightInd w:val="0"/>
        <w:spacing w:before="100" w:beforeAutospacing="1" w:after="100" w:afterAutospacing="1" w:line="360" w:lineRule="auto"/>
        <w:rPr>
          <w:rFonts w:cs="Arial"/>
          <w:szCs w:val="24"/>
        </w:rPr>
      </w:pPr>
      <w:r w:rsidRPr="009B1783">
        <w:rPr>
          <w:rFonts w:cs="Arial"/>
          <w:szCs w:val="24"/>
        </w:rPr>
        <w:t>Al momento de la compra</w:t>
      </w:r>
      <w:r w:rsidR="00D67B5D">
        <w:rPr>
          <w:rFonts w:cs="Arial"/>
          <w:szCs w:val="24"/>
        </w:rPr>
        <w:t xml:space="preserve"> del cilindro</w:t>
      </w:r>
      <w:r w:rsidRPr="009B1783">
        <w:rPr>
          <w:rFonts w:cs="Arial"/>
          <w:szCs w:val="24"/>
        </w:rPr>
        <w:t>,</w:t>
      </w:r>
      <w:r w:rsidR="00D67B5D">
        <w:rPr>
          <w:rFonts w:cs="Arial"/>
          <w:szCs w:val="24"/>
        </w:rPr>
        <w:t xml:space="preserve"> el usuario</w:t>
      </w:r>
      <w:r w:rsidRPr="009B1783">
        <w:rPr>
          <w:rFonts w:cs="Arial"/>
          <w:szCs w:val="24"/>
        </w:rPr>
        <w:t xml:space="preserve"> debe presentar el documento original de su cédula de ciudadanía, con el fin de que el distribuidor valide su condición de beneficiario en la aplicación administrada por el </w:t>
      </w:r>
      <w:r w:rsidR="00D67B5D">
        <w:rPr>
          <w:rFonts w:cs="Arial"/>
          <w:szCs w:val="24"/>
        </w:rPr>
        <w:t>MME</w:t>
      </w:r>
      <w:r w:rsidRPr="009B1783">
        <w:rPr>
          <w:rFonts w:cs="Arial"/>
          <w:szCs w:val="24"/>
        </w:rPr>
        <w:t xml:space="preserve">. </w:t>
      </w:r>
      <w:r w:rsidR="00F52679" w:rsidRPr="009B1783">
        <w:rPr>
          <w:rFonts w:cs="Arial"/>
          <w:szCs w:val="24"/>
        </w:rPr>
        <w:t>En el caso de comunidades indígenas, el beneficio aplica siempre que la información se encuentre actualizada en el Censo Indígena del DNP. La compra debe realizarse en el municipio donde el usuario fue censado; en caso de cambio de municipio, deberá actualizar previamente su información en el Sisbén</w:t>
      </w:r>
      <w:r w:rsidRPr="009B1783">
        <w:rPr>
          <w:rFonts w:cs="Arial"/>
          <w:szCs w:val="24"/>
        </w:rPr>
        <w:t>.</w:t>
      </w:r>
    </w:p>
    <w:p w14:paraId="38BCB11E" w14:textId="110A70F7" w:rsidR="009B1783" w:rsidRPr="00F52679" w:rsidRDefault="009B1783" w:rsidP="002F1961">
      <w:pPr>
        <w:autoSpaceDE w:val="0"/>
        <w:autoSpaceDN w:val="0"/>
        <w:adjustRightInd w:val="0"/>
        <w:spacing w:before="100" w:beforeAutospacing="1" w:after="100" w:afterAutospacing="1" w:line="360" w:lineRule="auto"/>
        <w:rPr>
          <w:rFonts w:cs="Arial"/>
          <w:szCs w:val="24"/>
        </w:rPr>
      </w:pPr>
      <w:r w:rsidRPr="009B1783">
        <w:rPr>
          <w:rFonts w:cs="Arial"/>
          <w:szCs w:val="24"/>
        </w:rPr>
        <w:t>Una vez verificada la elegibilidad, el distribuidor aplica el descuento correspondiente sobre el valor del cilindro y,</w:t>
      </w:r>
      <w:r w:rsidRPr="00E1164E">
        <w:rPr>
          <w:rFonts w:cs="Arial"/>
          <w:szCs w:val="24"/>
          <w:lang w:val="es-CO"/>
        </w:rPr>
        <w:t xml:space="preserve"> </w:t>
      </w:r>
      <w:r w:rsidRPr="00D92C20">
        <w:rPr>
          <w:rFonts w:cs="Arial"/>
          <w:szCs w:val="24"/>
          <w:lang w:val="es-CO"/>
        </w:rPr>
        <w:t xml:space="preserve">posteriormente solicita </w:t>
      </w:r>
      <w:r w:rsidRPr="009B1783">
        <w:rPr>
          <w:rFonts w:cs="Arial"/>
          <w:szCs w:val="24"/>
        </w:rPr>
        <w:t xml:space="preserve">el reconocimiento de los recursos ante el </w:t>
      </w:r>
      <w:r w:rsidR="00E1164E">
        <w:rPr>
          <w:rFonts w:cs="Arial"/>
          <w:szCs w:val="24"/>
        </w:rPr>
        <w:t>MME</w:t>
      </w:r>
      <w:r w:rsidRPr="009B1783">
        <w:rPr>
          <w:rFonts w:cs="Arial"/>
          <w:szCs w:val="24"/>
        </w:rPr>
        <w:t xml:space="preserve"> conforme a los procedimientos de reporte, verificación y liquidación establecidos en las resoluciones ministeriales. En el caso de comunidades indígenas, el beneficio aplica siempre que la información se encuentre actualizada en el Censo Indígena del DNP. La compra debe realizarse en el municipio donde el usuario fue censado; en caso de cambio de municipio, deberá actualizar previamente su información en el Sisbén.</w:t>
      </w:r>
    </w:p>
    <w:p w14:paraId="6209555D" w14:textId="1A5F493D" w:rsidR="00F037ED" w:rsidRDefault="00F037ED" w:rsidP="002F1961">
      <w:pPr>
        <w:autoSpaceDE w:val="0"/>
        <w:autoSpaceDN w:val="0"/>
        <w:adjustRightInd w:val="0"/>
        <w:spacing w:before="100" w:beforeAutospacing="1" w:after="100" w:afterAutospacing="1" w:line="360" w:lineRule="auto"/>
        <w:rPr>
          <w:rFonts w:cs="Arial"/>
          <w:szCs w:val="24"/>
        </w:rPr>
      </w:pPr>
      <w:r>
        <w:rPr>
          <w:rFonts w:cs="Arial"/>
          <w:szCs w:val="24"/>
        </w:rPr>
        <w:t xml:space="preserve">En lo que tiene que ver con la evolución de los subsidios </w:t>
      </w:r>
      <w:r w:rsidR="00DB15A8">
        <w:rPr>
          <w:rFonts w:cs="Arial"/>
          <w:szCs w:val="24"/>
        </w:rPr>
        <w:t xml:space="preserve">de GLP en Colombia, </w:t>
      </w:r>
      <w:r w:rsidR="00C21AC3">
        <w:rPr>
          <w:rFonts w:cs="Arial"/>
          <w:szCs w:val="24"/>
        </w:rPr>
        <w:t xml:space="preserve">en la siguiente figura, </w:t>
      </w:r>
      <w:r w:rsidR="00DB15A8">
        <w:rPr>
          <w:rFonts w:cs="Arial"/>
          <w:szCs w:val="24"/>
        </w:rPr>
        <w:t xml:space="preserve">se presenta la </w:t>
      </w:r>
      <w:r w:rsidR="00C21AC3" w:rsidRPr="00C21AC3">
        <w:rPr>
          <w:rFonts w:cs="Arial"/>
          <w:szCs w:val="24"/>
        </w:rPr>
        <w:t>evolución del valor total de los subsidios al consumo de GLP entre 2017 y 2025, expresado en millones de pesos. Esta información permite observar el comportamiento histórico de los recursos destinados a financiar el beneficio y dimensionar su creciente relevancia fiscal dentro del esquema de subsidios del servicio.</w:t>
      </w:r>
    </w:p>
    <w:p w14:paraId="20E9B870" w14:textId="47E89F85" w:rsidR="004E6293" w:rsidRPr="00CD5790" w:rsidRDefault="004E6293" w:rsidP="002F1961">
      <w:pPr>
        <w:pStyle w:val="Descripcin"/>
        <w:keepNext/>
        <w:spacing w:before="100" w:beforeAutospacing="1" w:after="100" w:afterAutospacing="1" w:line="360" w:lineRule="auto"/>
        <w:jc w:val="center"/>
        <w:rPr>
          <w:b w:val="0"/>
        </w:rPr>
      </w:pPr>
      <w:bookmarkStart w:id="19" w:name="_Ref235023936"/>
      <w:bookmarkStart w:id="20" w:name="_Toc235118542"/>
      <w:r w:rsidRPr="00CD5790">
        <w:rPr>
          <w:b w:val="0"/>
        </w:rPr>
        <w:lastRenderedPageBreak/>
        <w:t xml:space="preserve">Figura </w:t>
      </w:r>
      <w:r w:rsidR="000B3B5D" w:rsidRPr="00CD5790">
        <w:rPr>
          <w:b w:val="0"/>
        </w:rPr>
        <w:fldChar w:fldCharType="begin"/>
      </w:r>
      <w:r w:rsidR="000B3B5D" w:rsidRPr="00CD5790">
        <w:rPr>
          <w:b w:val="0"/>
        </w:rPr>
        <w:instrText xml:space="preserve"> SEQ Figura \* ARABIC </w:instrText>
      </w:r>
      <w:r w:rsidR="000B3B5D" w:rsidRPr="00CD5790">
        <w:rPr>
          <w:b w:val="0"/>
        </w:rPr>
        <w:fldChar w:fldCharType="separate"/>
      </w:r>
      <w:r w:rsidR="002A60E5">
        <w:rPr>
          <w:b w:val="0"/>
          <w:noProof/>
        </w:rPr>
        <w:t>2</w:t>
      </w:r>
      <w:r w:rsidR="000B3B5D" w:rsidRPr="00CD5790">
        <w:rPr>
          <w:b w:val="0"/>
        </w:rPr>
        <w:fldChar w:fldCharType="end"/>
      </w:r>
      <w:bookmarkEnd w:id="19"/>
      <w:r w:rsidR="000B3B5D" w:rsidRPr="00CD5790">
        <w:rPr>
          <w:b w:val="0"/>
        </w:rPr>
        <w:t>.</w:t>
      </w:r>
      <w:r w:rsidRPr="00CD5790">
        <w:rPr>
          <w:b w:val="0"/>
        </w:rPr>
        <w:t xml:space="preserve"> </w:t>
      </w:r>
      <w:r w:rsidRPr="004E6293">
        <w:rPr>
          <w:b w:val="0"/>
          <w:lang w:val="es-ES"/>
        </w:rPr>
        <w:t>Evolución de valores subsidiados de GLP</w:t>
      </w:r>
      <w:bookmarkEnd w:id="20"/>
    </w:p>
    <w:p w14:paraId="3CEA3A45" w14:textId="5C2BC1BC" w:rsidR="002940ED" w:rsidRDefault="000072A4" w:rsidP="002F1961">
      <w:pPr>
        <w:spacing w:before="100" w:beforeAutospacing="1" w:after="100" w:afterAutospacing="1" w:line="360" w:lineRule="auto"/>
        <w:jc w:val="center"/>
        <w:rPr>
          <w:rFonts w:cs="Arial"/>
          <w:sz w:val="22"/>
          <w:szCs w:val="22"/>
          <w:lang w:val="es-ES"/>
        </w:rPr>
      </w:pPr>
      <w:r>
        <w:rPr>
          <w:rFonts w:cs="Arial"/>
          <w:iCs/>
          <w:noProof/>
          <w:sz w:val="22"/>
          <w:szCs w:val="22"/>
          <w:lang w:val="es-ES"/>
        </w:rPr>
        <w:drawing>
          <wp:inline distT="0" distB="0" distL="0" distR="0" wp14:anchorId="68592844" wp14:editId="3EA43841">
            <wp:extent cx="5421685" cy="2242990"/>
            <wp:effectExtent l="0" t="0" r="7620" b="5080"/>
            <wp:docPr id="1051886336"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1756" cy="2247156"/>
                    </a:xfrm>
                    <a:prstGeom prst="rect">
                      <a:avLst/>
                    </a:prstGeom>
                    <a:noFill/>
                  </pic:spPr>
                </pic:pic>
              </a:graphicData>
            </a:graphic>
          </wp:inline>
        </w:drawing>
      </w:r>
    </w:p>
    <w:p w14:paraId="02931509" w14:textId="15D8E587" w:rsidR="004E6293" w:rsidRPr="0035361E" w:rsidRDefault="002940ED" w:rsidP="002F1961">
      <w:pPr>
        <w:spacing w:before="100" w:beforeAutospacing="1" w:after="100" w:afterAutospacing="1" w:line="360" w:lineRule="auto"/>
        <w:jc w:val="center"/>
        <w:rPr>
          <w:rFonts w:cs="Arial"/>
          <w:sz w:val="22"/>
          <w:szCs w:val="22"/>
          <w:lang w:val="es-ES"/>
        </w:rPr>
      </w:pPr>
      <w:r w:rsidRPr="0035361E">
        <w:rPr>
          <w:rFonts w:cs="Arial"/>
          <w:sz w:val="22"/>
          <w:szCs w:val="22"/>
          <w:lang w:val="es-ES"/>
        </w:rPr>
        <w:t xml:space="preserve">Fuente: SUI –O3 </w:t>
      </w:r>
      <w:proofErr w:type="spellStart"/>
      <w:r w:rsidRPr="0035361E">
        <w:rPr>
          <w:rFonts w:cs="Arial"/>
          <w:sz w:val="22"/>
          <w:szCs w:val="22"/>
          <w:lang w:val="es-ES"/>
        </w:rPr>
        <w:t>comercial_GLP</w:t>
      </w:r>
      <w:proofErr w:type="spellEnd"/>
      <w:r w:rsidR="00CD5790" w:rsidRPr="0035361E">
        <w:rPr>
          <w:rFonts w:cs="Arial"/>
          <w:sz w:val="22"/>
          <w:szCs w:val="22"/>
          <w:lang w:val="es-ES"/>
        </w:rPr>
        <w:t>,</w:t>
      </w:r>
      <w:r w:rsidRPr="0035361E">
        <w:rPr>
          <w:rFonts w:cs="Arial"/>
          <w:sz w:val="22"/>
          <w:szCs w:val="22"/>
          <w:lang w:val="es-ES"/>
        </w:rPr>
        <w:t xml:space="preserve"> Consulta 24/06/2026</w:t>
      </w:r>
      <w:r w:rsidR="00CD5790" w:rsidRPr="0035361E">
        <w:rPr>
          <w:rFonts w:cs="Arial"/>
          <w:sz w:val="22"/>
          <w:szCs w:val="22"/>
          <w:lang w:val="es-ES"/>
        </w:rPr>
        <w:t>. Elaboración: CREG</w:t>
      </w:r>
    </w:p>
    <w:p w14:paraId="5395AFE9" w14:textId="2FE0EA2B" w:rsidR="0039389D" w:rsidRDefault="00593D37" w:rsidP="002F1961">
      <w:pPr>
        <w:autoSpaceDE w:val="0"/>
        <w:autoSpaceDN w:val="0"/>
        <w:adjustRightInd w:val="0"/>
        <w:spacing w:before="100" w:beforeAutospacing="1" w:after="100" w:afterAutospacing="1" w:line="360" w:lineRule="auto"/>
        <w:rPr>
          <w:rFonts w:cs="Arial"/>
          <w:szCs w:val="24"/>
        </w:rPr>
      </w:pPr>
      <w:r w:rsidRPr="00593D37">
        <w:rPr>
          <w:rFonts w:cs="Arial"/>
          <w:szCs w:val="24"/>
        </w:rPr>
        <w:t xml:space="preserve">La evolución de los valores subsidiados de GLP </w:t>
      </w:r>
      <w:r w:rsidR="00FA5C08">
        <w:rPr>
          <w:rFonts w:cs="Arial"/>
          <w:szCs w:val="24"/>
        </w:rPr>
        <w:t xml:space="preserve">(ver </w:t>
      </w:r>
      <w:r w:rsidR="00FA5C08">
        <w:rPr>
          <w:rFonts w:cs="Arial"/>
          <w:szCs w:val="24"/>
        </w:rPr>
        <w:fldChar w:fldCharType="begin"/>
      </w:r>
      <w:r w:rsidR="00FA5C08">
        <w:rPr>
          <w:rFonts w:cs="Arial"/>
          <w:szCs w:val="24"/>
        </w:rPr>
        <w:instrText xml:space="preserve"> REF _Ref235023936 \h  \* MERGEFORMAT </w:instrText>
      </w:r>
      <w:r w:rsidR="00FA5C08">
        <w:rPr>
          <w:rFonts w:cs="Arial"/>
          <w:szCs w:val="24"/>
        </w:rPr>
      </w:r>
      <w:r w:rsidR="00FA5C08">
        <w:rPr>
          <w:rFonts w:cs="Arial"/>
          <w:szCs w:val="24"/>
        </w:rPr>
        <w:fldChar w:fldCharType="separate"/>
      </w:r>
      <w:r w:rsidR="00FA5C08" w:rsidRPr="00CD5790">
        <w:t xml:space="preserve">Figura </w:t>
      </w:r>
      <w:r w:rsidR="00FA5C08" w:rsidRPr="00FA5C08">
        <w:rPr>
          <w:bCs/>
          <w:noProof/>
        </w:rPr>
        <w:t>2</w:t>
      </w:r>
      <w:r w:rsidR="00FA5C08">
        <w:rPr>
          <w:rFonts w:cs="Arial"/>
          <w:szCs w:val="24"/>
        </w:rPr>
        <w:fldChar w:fldCharType="end"/>
      </w:r>
      <w:r w:rsidR="00FA5C08">
        <w:rPr>
          <w:rFonts w:cs="Arial"/>
          <w:szCs w:val="24"/>
        </w:rPr>
        <w:t>)</w:t>
      </w:r>
      <w:r w:rsidRPr="00593D37">
        <w:rPr>
          <w:rFonts w:cs="Arial"/>
          <w:szCs w:val="24"/>
        </w:rPr>
        <w:t xml:space="preserve"> muestra un crecimiento sostenido hasta 2023 y un salto significativo en 2024, cuando el monto prácticamente se duplicó frente al año anterior. Aunque en 2025 se observa una leve reducción, el nivel de recursos continúa siendo considerablemente superior al promedio histórico</w:t>
      </w:r>
      <w:r w:rsidR="002E4AF1">
        <w:rPr>
          <w:rFonts w:cs="Arial"/>
          <w:szCs w:val="24"/>
        </w:rPr>
        <w:t>.</w:t>
      </w:r>
      <w:r w:rsidR="00E15C2E">
        <w:rPr>
          <w:rFonts w:cs="Arial"/>
          <w:szCs w:val="24"/>
        </w:rPr>
        <w:t xml:space="preserve"> </w:t>
      </w:r>
    </w:p>
    <w:p w14:paraId="35DB3E61" w14:textId="7A17FED5" w:rsidR="006C4AF1" w:rsidRPr="006C4AF1" w:rsidRDefault="006C4AF1" w:rsidP="002F1961">
      <w:pPr>
        <w:autoSpaceDE w:val="0"/>
        <w:autoSpaceDN w:val="0"/>
        <w:adjustRightInd w:val="0"/>
        <w:spacing w:before="100" w:beforeAutospacing="1" w:after="100" w:afterAutospacing="1" w:line="360" w:lineRule="auto"/>
        <w:rPr>
          <w:rFonts w:cs="Arial"/>
          <w:szCs w:val="24"/>
        </w:rPr>
      </w:pPr>
      <w:r>
        <w:rPr>
          <w:rFonts w:cs="Arial"/>
          <w:szCs w:val="24"/>
        </w:rPr>
        <w:t xml:space="preserve">Bajo ese contexto, queda claro que </w:t>
      </w:r>
      <w:r w:rsidR="0060210B">
        <w:rPr>
          <w:rFonts w:cs="Arial"/>
          <w:szCs w:val="24"/>
        </w:rPr>
        <w:t>el mecanismo</w:t>
      </w:r>
      <w:r w:rsidRPr="006C4AF1">
        <w:rPr>
          <w:rFonts w:cs="Arial"/>
          <w:szCs w:val="24"/>
        </w:rPr>
        <w:t xml:space="preserve"> de </w:t>
      </w:r>
      <w:r w:rsidR="0060210B">
        <w:rPr>
          <w:rFonts w:cs="Arial"/>
          <w:szCs w:val="24"/>
        </w:rPr>
        <w:t xml:space="preserve">subsidio de GLP </w:t>
      </w:r>
      <w:r w:rsidRPr="006C4AF1">
        <w:rPr>
          <w:rFonts w:cs="Arial"/>
          <w:szCs w:val="24"/>
        </w:rPr>
        <w:t>persigue múltiples objetivos de política pública</w:t>
      </w:r>
      <w:r w:rsidR="0060210B">
        <w:rPr>
          <w:rFonts w:cs="Arial"/>
          <w:szCs w:val="24"/>
        </w:rPr>
        <w:t>,</w:t>
      </w:r>
      <w:r w:rsidRPr="006C4AF1">
        <w:rPr>
          <w:rFonts w:cs="Arial"/>
          <w:szCs w:val="24"/>
        </w:rPr>
        <w:t xml:space="preserve"> garantizar el acceso de las poblaciones vulnerables a un energético esencial para la cocción de alimentos y el calentamiento de agua; contribuir a la sustitución de combustibles sólidos contaminantes (leña, carbón vegetal) con los consiguientes beneficios para la salud y el ambiente; y reducir las brechas energéticas entre zonas urbanas y rurales.</w:t>
      </w:r>
    </w:p>
    <w:p w14:paraId="251D96B8" w14:textId="68FED6A4" w:rsidR="0027666F" w:rsidRPr="00F95381" w:rsidRDefault="006C4AF1" w:rsidP="002F1961">
      <w:pPr>
        <w:autoSpaceDE w:val="0"/>
        <w:autoSpaceDN w:val="0"/>
        <w:adjustRightInd w:val="0"/>
        <w:spacing w:before="100" w:beforeAutospacing="1" w:after="100" w:afterAutospacing="1" w:line="360" w:lineRule="auto"/>
        <w:rPr>
          <w:rFonts w:cs="Arial"/>
          <w:szCs w:val="24"/>
          <w:lang w:val="es-CO"/>
        </w:rPr>
      </w:pPr>
      <w:r w:rsidRPr="006C4AF1">
        <w:rPr>
          <w:rFonts w:cs="Arial"/>
          <w:szCs w:val="24"/>
        </w:rPr>
        <w:t xml:space="preserve">Para el presente análisis, la dimensión de subsidios </w:t>
      </w:r>
      <w:r w:rsidR="000C7DD0" w:rsidRPr="000C7DD0">
        <w:rPr>
          <w:rFonts w:cs="Arial"/>
          <w:szCs w:val="24"/>
        </w:rPr>
        <w:t>resulta</w:t>
      </w:r>
      <w:r w:rsidRPr="006C4AF1">
        <w:rPr>
          <w:rFonts w:cs="Arial"/>
          <w:szCs w:val="24"/>
        </w:rPr>
        <w:t xml:space="preserve"> relevante en </w:t>
      </w:r>
      <w:r w:rsidR="000C7DD0" w:rsidRPr="000C7DD0">
        <w:rPr>
          <w:rFonts w:cs="Arial"/>
          <w:szCs w:val="24"/>
        </w:rPr>
        <w:t>la medida en que incide en</w:t>
      </w:r>
      <w:r w:rsidRPr="006C4AF1">
        <w:rPr>
          <w:rFonts w:cs="Arial"/>
          <w:szCs w:val="24"/>
        </w:rPr>
        <w:t xml:space="preserve"> las condiciones de </w:t>
      </w:r>
      <w:r w:rsidR="000C7DD0" w:rsidRPr="000C7DD0">
        <w:rPr>
          <w:rFonts w:cs="Arial"/>
          <w:szCs w:val="24"/>
        </w:rPr>
        <w:t xml:space="preserve">acceso y </w:t>
      </w:r>
      <w:r w:rsidRPr="006C4AF1">
        <w:rPr>
          <w:rFonts w:cs="Arial"/>
          <w:szCs w:val="24"/>
        </w:rPr>
        <w:t xml:space="preserve">demanda del servicio, </w:t>
      </w:r>
      <w:r w:rsidR="000C7DD0" w:rsidRPr="000C7DD0">
        <w:rPr>
          <w:rFonts w:cs="Arial"/>
          <w:szCs w:val="24"/>
        </w:rPr>
        <w:t xml:space="preserve">en </w:t>
      </w:r>
      <w:r w:rsidRPr="006C4AF1">
        <w:rPr>
          <w:rFonts w:cs="Arial"/>
          <w:szCs w:val="24"/>
        </w:rPr>
        <w:t xml:space="preserve">la dinámica competitiva de la cadena y </w:t>
      </w:r>
      <w:r w:rsidR="000C7DD0" w:rsidRPr="000C7DD0">
        <w:rPr>
          <w:rFonts w:cs="Arial"/>
          <w:szCs w:val="24"/>
        </w:rPr>
        <w:t xml:space="preserve">en </w:t>
      </w:r>
      <w:r w:rsidRPr="006C4AF1">
        <w:rPr>
          <w:rFonts w:cs="Arial"/>
          <w:szCs w:val="24"/>
        </w:rPr>
        <w:t xml:space="preserve">la sostenibilidad financiera de los prestadores. En </w:t>
      </w:r>
      <w:r w:rsidR="000C7DD0" w:rsidRPr="000C7DD0">
        <w:rPr>
          <w:rFonts w:cs="Arial"/>
          <w:szCs w:val="24"/>
        </w:rPr>
        <w:t>este sentido</w:t>
      </w:r>
      <w:r w:rsidRPr="006C4AF1">
        <w:rPr>
          <w:rFonts w:cs="Arial"/>
          <w:szCs w:val="24"/>
        </w:rPr>
        <w:t xml:space="preserve">, es </w:t>
      </w:r>
      <w:r w:rsidR="000C7DD0" w:rsidRPr="000C7DD0">
        <w:rPr>
          <w:rFonts w:cs="Arial"/>
          <w:szCs w:val="24"/>
        </w:rPr>
        <w:t>necesario</w:t>
      </w:r>
      <w:r w:rsidRPr="006C4AF1">
        <w:rPr>
          <w:rFonts w:cs="Arial"/>
          <w:szCs w:val="24"/>
        </w:rPr>
        <w:t xml:space="preserve"> evaluar si el monto </w:t>
      </w:r>
      <w:r w:rsidR="000C7DD0" w:rsidRPr="000C7DD0">
        <w:rPr>
          <w:rFonts w:cs="Arial"/>
          <w:szCs w:val="24"/>
        </w:rPr>
        <w:t>del subsidio permite</w:t>
      </w:r>
      <w:r w:rsidRPr="006C4AF1">
        <w:rPr>
          <w:rFonts w:cs="Arial"/>
          <w:szCs w:val="24"/>
        </w:rPr>
        <w:t xml:space="preserve"> garantizar el acceso efectivo al </w:t>
      </w:r>
      <w:r w:rsidR="000C7DD0" w:rsidRPr="000C7DD0">
        <w:rPr>
          <w:rFonts w:cs="Arial"/>
          <w:szCs w:val="24"/>
        </w:rPr>
        <w:t>GLP</w:t>
      </w:r>
      <w:r w:rsidRPr="006C4AF1">
        <w:rPr>
          <w:rFonts w:cs="Arial"/>
          <w:szCs w:val="24"/>
        </w:rPr>
        <w:t xml:space="preserve"> por parte de las poblaciones beneficiarias, si los </w:t>
      </w:r>
      <w:r w:rsidR="000C7DD0" w:rsidRPr="000C7DD0">
        <w:rPr>
          <w:rFonts w:cs="Arial"/>
          <w:szCs w:val="24"/>
        </w:rPr>
        <w:t xml:space="preserve">criterios de </w:t>
      </w:r>
      <w:r w:rsidRPr="006C4AF1">
        <w:rPr>
          <w:rFonts w:cs="Arial"/>
          <w:szCs w:val="24"/>
        </w:rPr>
        <w:t xml:space="preserve">focalización </w:t>
      </w:r>
      <w:r w:rsidR="000C7DD0" w:rsidRPr="000C7DD0">
        <w:rPr>
          <w:rFonts w:cs="Arial"/>
          <w:szCs w:val="24"/>
        </w:rPr>
        <w:t>vigentes responden adecuadamente</w:t>
      </w:r>
      <w:r w:rsidRPr="006C4AF1">
        <w:rPr>
          <w:rFonts w:cs="Arial"/>
          <w:szCs w:val="24"/>
        </w:rPr>
        <w:t xml:space="preserve"> a </w:t>
      </w:r>
      <w:r w:rsidR="000C7DD0" w:rsidRPr="000C7DD0">
        <w:rPr>
          <w:rFonts w:cs="Arial"/>
          <w:szCs w:val="24"/>
        </w:rPr>
        <w:t xml:space="preserve">las necesidades del </w:t>
      </w:r>
      <w:r w:rsidR="00703609">
        <w:rPr>
          <w:rFonts w:cs="Arial"/>
          <w:szCs w:val="24"/>
        </w:rPr>
        <w:t xml:space="preserve">territorio nacional y si </w:t>
      </w:r>
      <w:r w:rsidR="000C7DD0" w:rsidRPr="000C7DD0">
        <w:rPr>
          <w:rFonts w:cs="Arial"/>
          <w:szCs w:val="24"/>
        </w:rPr>
        <w:t xml:space="preserve">los </w:t>
      </w:r>
      <w:r w:rsidR="000C7DD0" w:rsidRPr="000C7DD0">
        <w:rPr>
          <w:rFonts w:cs="Arial"/>
          <w:szCs w:val="24"/>
        </w:rPr>
        <w:lastRenderedPageBreak/>
        <w:t xml:space="preserve">mecanismos de </w:t>
      </w:r>
      <w:r w:rsidR="00703609">
        <w:rPr>
          <w:rFonts w:cs="Arial"/>
          <w:szCs w:val="24"/>
        </w:rPr>
        <w:t xml:space="preserve">validación </w:t>
      </w:r>
      <w:r w:rsidR="0027666F" w:rsidRPr="000C7DD0">
        <w:rPr>
          <w:rFonts w:cs="Arial"/>
          <w:szCs w:val="24"/>
        </w:rPr>
        <w:t xml:space="preserve">y </w:t>
      </w:r>
      <w:r w:rsidR="000C7DD0" w:rsidRPr="000C7DD0">
        <w:rPr>
          <w:rFonts w:cs="Arial"/>
          <w:szCs w:val="24"/>
        </w:rPr>
        <w:t>reconocimiento del beneficio aseguran que los recursos se asignen de manera eficiente a quienes efectivamente los requieren</w:t>
      </w:r>
      <w:r w:rsidR="0027666F" w:rsidRPr="000C7DD0">
        <w:rPr>
          <w:rFonts w:cs="Arial"/>
          <w:szCs w:val="24"/>
        </w:rPr>
        <w:t>.</w:t>
      </w:r>
      <w:r w:rsidR="0027666F" w:rsidRPr="00F95381">
        <w:rPr>
          <w:rFonts w:cs="Arial"/>
          <w:szCs w:val="24"/>
          <w:lang w:val="es-CO"/>
        </w:rPr>
        <w:t xml:space="preserve"> </w:t>
      </w:r>
    </w:p>
    <w:p w14:paraId="3B713DA9" w14:textId="5F22DF18" w:rsidR="00B12E74" w:rsidRPr="000C7DD0" w:rsidRDefault="002F5258" w:rsidP="002F1961">
      <w:pPr>
        <w:pStyle w:val="Ttulo3"/>
        <w:spacing w:before="100" w:beforeAutospacing="1" w:after="100" w:afterAutospacing="1"/>
      </w:pPr>
      <w:bookmarkStart w:id="21" w:name="_Toc235128326"/>
      <w:r w:rsidRPr="67644597">
        <w:rPr>
          <w:lang w:val="es-ES"/>
        </w:rPr>
        <w:t xml:space="preserve">Regulación en materia de subsidios para </w:t>
      </w:r>
      <w:r w:rsidR="00BF290F" w:rsidRPr="67644597">
        <w:rPr>
          <w:lang w:val="es-ES"/>
        </w:rPr>
        <w:t>redes de tubería</w:t>
      </w:r>
      <w:bookmarkEnd w:id="21"/>
      <w:r w:rsidR="578B226A" w:rsidRPr="67644597">
        <w:rPr>
          <w:lang w:val="es-ES"/>
        </w:rPr>
        <w:t xml:space="preserve"> </w:t>
      </w:r>
    </w:p>
    <w:p w14:paraId="53E48245" w14:textId="688BE0BE" w:rsidR="00530F48" w:rsidRDefault="00530F48" w:rsidP="002F1961">
      <w:pPr>
        <w:spacing w:before="100" w:beforeAutospacing="1" w:after="100" w:afterAutospacing="1" w:line="360" w:lineRule="auto"/>
        <w:rPr>
          <w:lang w:val="es-CO"/>
        </w:rPr>
      </w:pPr>
      <w:r w:rsidRPr="00530F48">
        <w:rPr>
          <w:lang w:val="es-CO"/>
        </w:rPr>
        <w:t xml:space="preserve">En Colombia, el GLP distribuido por redes de tubería se enmarca </w:t>
      </w:r>
      <w:r w:rsidR="00122831" w:rsidRPr="00530F48">
        <w:rPr>
          <w:lang w:val="es-CO"/>
        </w:rPr>
        <w:t>en el</w:t>
      </w:r>
      <w:r w:rsidRPr="00530F48">
        <w:rPr>
          <w:lang w:val="es-CO"/>
        </w:rPr>
        <w:t xml:space="preserve"> servicio público domiciliario de gas combustible por red física, en los términos de la Ley 142 de 1994. En consecuencia, su régimen de subsidios no corresponde al esquema especial previsto para el GLP en cilindros, sino al régimen general de subsidios y contribuciones aplicable </w:t>
      </w:r>
      <w:r>
        <w:rPr>
          <w:lang w:val="es-CO"/>
        </w:rPr>
        <w:t>al</w:t>
      </w:r>
      <w:r w:rsidRPr="00530F48">
        <w:rPr>
          <w:lang w:val="es-CO"/>
        </w:rPr>
        <w:t xml:space="preserve"> servicio público domiciliarios de gas combustible</w:t>
      </w:r>
      <w:r w:rsidR="00593391">
        <w:rPr>
          <w:lang w:val="es-CO"/>
        </w:rPr>
        <w:t xml:space="preserve"> por redes</w:t>
      </w:r>
      <w:r w:rsidR="007F4276">
        <w:rPr>
          <w:lang w:val="es-CO"/>
        </w:rPr>
        <w:t xml:space="preserve">. </w:t>
      </w:r>
    </w:p>
    <w:p w14:paraId="00667433" w14:textId="1C59584E" w:rsidR="00530F48" w:rsidRDefault="00530F48" w:rsidP="002F1961">
      <w:pPr>
        <w:spacing w:before="100" w:beforeAutospacing="1" w:after="100" w:afterAutospacing="1" w:line="360" w:lineRule="auto"/>
        <w:rPr>
          <w:lang w:val="es-CO"/>
        </w:rPr>
      </w:pPr>
      <w:r w:rsidRPr="00530F48">
        <w:rPr>
          <w:lang w:val="es-CO"/>
        </w:rPr>
        <w:t xml:space="preserve">Esta distinción resulta fundamental para el análisis regulatorio, en tanto el criterio determinante no es únicamente el tipo de energético utilizado, sino la modalidad de prestación del servicio. Cuando el GLP se suministra a través de una red física, con usuarios conectados, medición, facturación y cargos regulados, el servicio se somete al régimen de gas combustible por redes. </w:t>
      </w:r>
    </w:p>
    <w:p w14:paraId="79428574" w14:textId="6F1BE5CA" w:rsidR="00C5002A" w:rsidRDefault="00530F48" w:rsidP="002F1961">
      <w:pPr>
        <w:spacing w:before="100" w:beforeAutospacing="1" w:after="100" w:afterAutospacing="1" w:line="360" w:lineRule="auto"/>
        <w:rPr>
          <w:lang w:val="es-CO"/>
        </w:rPr>
      </w:pPr>
      <w:r w:rsidRPr="00530F48">
        <w:rPr>
          <w:lang w:val="es-CO"/>
        </w:rPr>
        <w:t>El marco general de subsidios se fundamenta en los principios de solidaridad y redistribución de ingresos previstos en la Ley 142 de 1994. Bajo este esquema, los usuarios residenciales de menores ingresos pueden recibir descuentos en la factura del servicio, financiados parcialmente con las contribuciones de usuarios de mayor capacidad de pago y con recursos del Fondo de Solidaridad para Subsidios y Redistribución de Ingresos</w:t>
      </w:r>
      <w:r w:rsidR="009C3BCC">
        <w:rPr>
          <w:lang w:val="es-CO"/>
        </w:rPr>
        <w:t>, FSSRI,</w:t>
      </w:r>
      <w:r w:rsidRPr="00530F48">
        <w:rPr>
          <w:lang w:val="es-CO"/>
        </w:rPr>
        <w:t xml:space="preserve"> </w:t>
      </w:r>
      <w:r w:rsidR="00C12BAB">
        <w:rPr>
          <w:lang w:val="es-CO"/>
        </w:rPr>
        <w:t>del MME.</w:t>
      </w:r>
    </w:p>
    <w:p w14:paraId="4F373292" w14:textId="218F9483" w:rsidR="00C303F8" w:rsidRDefault="00E93BDB" w:rsidP="002F1961">
      <w:pPr>
        <w:spacing w:before="100" w:beforeAutospacing="1" w:after="100" w:afterAutospacing="1" w:line="360" w:lineRule="auto"/>
      </w:pPr>
      <w:r w:rsidRPr="00E93BDB">
        <w:t>Ahora bien, los porcentajes de subsidio aplicables a los usuarios de estratos 1 y 2 del servicio público domiciliario de gas combustible por redes de tubería se encuentran previstos en el artículo 3 de la Ley 1117 de 2006. Dichas disposiciones han sido prorrogadas sucesivamente por el artículo 1 de la Ley 1428 de 2010, el artículo 76 de la Ley 1739 de 2014, el artículo 17 de la Ley 1753 de 2015 y el artículo 297 de la Ley 1955 de 2019. Posteriormente, el artículo 272 de la Ley 2294 de 2023 prorrogó su aplicación, como máximo, hasta el 30 de junio de 2027.</w:t>
      </w:r>
    </w:p>
    <w:p w14:paraId="139BFCEF" w14:textId="011D3561" w:rsidR="00C303F8" w:rsidRPr="00C303F8" w:rsidRDefault="00C303F8" w:rsidP="002F1961">
      <w:pPr>
        <w:spacing w:before="100" w:beforeAutospacing="1" w:after="100" w:afterAutospacing="1" w:line="360" w:lineRule="auto"/>
        <w:rPr>
          <w:lang w:val="es-CO"/>
        </w:rPr>
      </w:pPr>
      <w:r w:rsidRPr="00C303F8">
        <w:rPr>
          <w:lang w:val="es-CO"/>
        </w:rPr>
        <w:lastRenderedPageBreak/>
        <w:t>En esta normatividad se establece que la aplicación de subsidios al costo de prestación del servicio público domiciliario de gas combustible para uso domiciliario distribuido por red de tuberías de los usuarios pertenecientes a los estratos socioeconómicos 1 y 2, debe hacerse de tal forma que el incremento tarifario a estos usuarios en relación con sus consumos básicos o de subsistencia corresponda en cada mes como máximo a la variación del Índice de Precios al Consumidor</w:t>
      </w:r>
      <w:r w:rsidR="00EE394F">
        <w:rPr>
          <w:lang w:val="es-CO"/>
        </w:rPr>
        <w:t>, IPC</w:t>
      </w:r>
      <w:r w:rsidRPr="00C303F8">
        <w:rPr>
          <w:lang w:val="es-CO"/>
        </w:rPr>
        <w:t>. Sin embargo, en ningún caso el porcentaje del subsidio será superior al 60% del costo de la prestación del servicio para el estrato 1 y al 50% de este para el estrato 2.</w:t>
      </w:r>
    </w:p>
    <w:p w14:paraId="425F2570" w14:textId="77777777" w:rsidR="00C303F8" w:rsidRPr="00C303F8" w:rsidRDefault="00C303F8" w:rsidP="002F1961">
      <w:pPr>
        <w:spacing w:before="100" w:beforeAutospacing="1" w:after="100" w:afterAutospacing="1" w:line="360" w:lineRule="auto"/>
        <w:rPr>
          <w:lang w:val="es-CO"/>
        </w:rPr>
      </w:pPr>
      <w:r w:rsidRPr="00C303F8">
        <w:rPr>
          <w:lang w:val="es-CO"/>
        </w:rPr>
        <w:t>De acuerdo con esto, los porcentajes de subsidio para los usuarios de estrato 1 y 2 en relación con su consumo básico son como máximo del sesenta por ciento (60%) del Costo de prestación del servicio para el estrato 1 y como máximo del cincuenta por ciento (50%) para el estrato 2. Ahora bien, los usuarios de gas combustible pertenecientes a los estratos 3 y 4 del gas combustible, no son sujetos de subsidio, a la vez que quedan exentos por Ley del pago de contribución.</w:t>
      </w:r>
    </w:p>
    <w:p w14:paraId="7AEBFA45" w14:textId="57F9F7A4" w:rsidR="00C303F8" w:rsidRDefault="00520B90" w:rsidP="002F1961">
      <w:pPr>
        <w:spacing w:before="100" w:beforeAutospacing="1" w:after="100" w:afterAutospacing="1" w:line="360" w:lineRule="auto"/>
      </w:pPr>
      <w:r w:rsidRPr="00520B90">
        <w:t>Para el servicio público domiciliario de GLP por redes, el consumo básico o de subsistencia fue establecido mediante la Resolución UPME 129 de 2007 en 7,26 m³ mensuales por suscriptor. A diferencia del esquema de subsidios aplicable al GLP distribuido en cilindros, cuyo reconocimiento se encuentra focalizado geográficamente en determinados departamentos y municipios, el subsidio asociado a la prestación por redes no está condicionado a una delimitación territorial específica, sino que aplica en todo el territorio nacional donde exista prestación del servicio y se cumplan las condiciones socioeconómicas previstas para los usuarios beneficiarios.</w:t>
      </w:r>
    </w:p>
    <w:p w14:paraId="49ED23CC" w14:textId="77777777" w:rsidR="00C303F8" w:rsidRPr="00C303F8" w:rsidRDefault="00C303F8" w:rsidP="002F1961">
      <w:pPr>
        <w:spacing w:before="100" w:beforeAutospacing="1" w:after="100" w:afterAutospacing="1" w:line="360" w:lineRule="auto"/>
        <w:rPr>
          <w:lang w:val="es-CO"/>
        </w:rPr>
      </w:pPr>
      <w:r w:rsidRPr="00C303F8">
        <w:rPr>
          <w:lang w:val="es-CO"/>
        </w:rPr>
        <w:t>Es de anotar que con el fin de aplicar lo dispuesto en las leyes de subsidios, en la regulación la cual está contenida en las Resoluciones CREG 186 de 2010, modificada por la Resolución CREG 186 de 2013 y ampliada mediante las resoluciones CREG 186 de 2014, 241 de 2015, 152 de 2018 y 198 de 2019, se establece un cargo equivalente que incluye el cargo fijo y variable del servicio, y que se aplica sólo al consumo subsidiado o de subsistencia. Los consumos por encima de este valor de subsistencia deben pagarse al costo del cargo variable.</w:t>
      </w:r>
    </w:p>
    <w:p w14:paraId="29EE72C6" w14:textId="77777777" w:rsidR="00C303F8" w:rsidRPr="00C303F8" w:rsidRDefault="00C303F8" w:rsidP="002F1961">
      <w:pPr>
        <w:spacing w:before="100" w:beforeAutospacing="1" w:after="100" w:afterAutospacing="1" w:line="360" w:lineRule="auto"/>
        <w:rPr>
          <w:lang w:val="es-CO"/>
        </w:rPr>
      </w:pPr>
      <w:r w:rsidRPr="00C303F8">
        <w:rPr>
          <w:lang w:val="es-CO"/>
        </w:rPr>
        <w:lastRenderedPageBreak/>
        <w:t>Así mismo, se determinó que, dado que en el cálculo del costo de prestación del servicio se incluye el cargo fijo correspondiente a los consumos superiores al consumo de subsistencia, solo se cobraría el cargo variable de conformidad con los regímenes regulatorios aplicables. De igual manera, se definió que para consumos superiores al consumo de subsistencia solo se cobrará cargo variable de conformidad con los regímenes regulatorios aplicables.</w:t>
      </w:r>
    </w:p>
    <w:p w14:paraId="1DDE2D24" w14:textId="4C68F980" w:rsidR="00B12E74" w:rsidRDefault="00C303F8" w:rsidP="002F1961">
      <w:pPr>
        <w:spacing w:before="100" w:beforeAutospacing="1" w:after="100" w:afterAutospacing="1" w:line="360" w:lineRule="auto"/>
        <w:rPr>
          <w:lang w:val="es-CO"/>
        </w:rPr>
      </w:pPr>
      <w:r w:rsidRPr="00C303F8">
        <w:rPr>
          <w:lang w:val="es-CO"/>
        </w:rPr>
        <w:t>Es de anotar que para establecer los subsidios aplicables para los usuarios de estrato 1 y 2, en primera instancia se aplica a la tarifa del mes anterior la variación del Índice de Precios al Consumidor, y posteriormente se establece el porcentaje de subsidio, haciendo una verificación de que estos porcentajes no superen los límites definidos por la Ley, del 60% del costo de la prestación del servicio para el estrato 1 y 50% de este para el estrato 2.</w:t>
      </w:r>
    </w:p>
    <w:p w14:paraId="11A81C4C" w14:textId="347828C9" w:rsidR="009D1F26" w:rsidRDefault="002F5CF8" w:rsidP="002F1961">
      <w:pPr>
        <w:spacing w:before="100" w:beforeAutospacing="1" w:after="100" w:afterAutospacing="1" w:line="360" w:lineRule="auto"/>
      </w:pPr>
      <w:r w:rsidRPr="002F5CF8">
        <w:t xml:space="preserve">En la </w:t>
      </w:r>
      <w:r w:rsidR="00C4477D">
        <w:fldChar w:fldCharType="begin"/>
      </w:r>
      <w:r w:rsidR="00C4477D">
        <w:instrText xml:space="preserve"> REF _Ref235082475 \h  \* MERGEFORMAT </w:instrText>
      </w:r>
      <w:r w:rsidR="00C4477D">
        <w:fldChar w:fldCharType="separate"/>
      </w:r>
      <w:r w:rsidR="00C4477D" w:rsidRPr="00CD5790">
        <w:t xml:space="preserve">Figura </w:t>
      </w:r>
      <w:r w:rsidR="00C4477D" w:rsidRPr="00C4477D">
        <w:rPr>
          <w:bCs/>
          <w:noProof/>
        </w:rPr>
        <w:t>3</w:t>
      </w:r>
      <w:r w:rsidR="00C4477D">
        <w:fldChar w:fldCharType="end"/>
      </w:r>
      <w:r w:rsidRPr="002F5CF8">
        <w:t xml:space="preserve"> </w:t>
      </w:r>
      <w:r w:rsidRPr="002F5CF8">
        <w:t>se muestra la evolución de los subsidios de GLP por redes para usuarios regulados entre 2006 y 2026, expresados en miles de millones de pesos co</w:t>
      </w:r>
      <w:r w:rsidR="007D0850">
        <w:t>lombianos</w:t>
      </w:r>
      <w:r w:rsidR="009F3FE8">
        <w:t>.</w:t>
      </w:r>
    </w:p>
    <w:p w14:paraId="14782098" w14:textId="11C8592B" w:rsidR="00303A62" w:rsidRDefault="00303A62" w:rsidP="002F1961">
      <w:pPr>
        <w:pStyle w:val="Descripcin"/>
        <w:keepNext/>
        <w:spacing w:before="100" w:beforeAutospacing="1" w:after="100" w:afterAutospacing="1" w:line="360" w:lineRule="auto"/>
        <w:jc w:val="center"/>
        <w:rPr>
          <w:b w:val="0"/>
          <w:lang w:val="es-ES"/>
        </w:rPr>
      </w:pPr>
      <w:bookmarkStart w:id="22" w:name="_Ref235082412"/>
      <w:bookmarkStart w:id="23" w:name="_Ref235082475"/>
      <w:bookmarkStart w:id="24" w:name="_Toc235118543"/>
      <w:r w:rsidRPr="00CD5790">
        <w:rPr>
          <w:b w:val="0"/>
        </w:rPr>
        <w:t xml:space="preserve">Figura </w:t>
      </w:r>
      <w:r w:rsidR="000B3B5D" w:rsidRPr="00CD5790">
        <w:rPr>
          <w:b w:val="0"/>
        </w:rPr>
        <w:fldChar w:fldCharType="begin"/>
      </w:r>
      <w:r w:rsidR="000B3B5D" w:rsidRPr="00CD5790">
        <w:rPr>
          <w:b w:val="0"/>
        </w:rPr>
        <w:instrText xml:space="preserve"> SEQ Figura \* ARABIC </w:instrText>
      </w:r>
      <w:r w:rsidR="000B3B5D" w:rsidRPr="00CD5790">
        <w:rPr>
          <w:b w:val="0"/>
        </w:rPr>
        <w:fldChar w:fldCharType="separate"/>
      </w:r>
      <w:r w:rsidR="00734C83">
        <w:rPr>
          <w:b w:val="0"/>
          <w:noProof/>
        </w:rPr>
        <w:t>3</w:t>
      </w:r>
      <w:r w:rsidR="000B3B5D" w:rsidRPr="00CD5790">
        <w:rPr>
          <w:b w:val="0"/>
        </w:rPr>
        <w:fldChar w:fldCharType="end"/>
      </w:r>
      <w:bookmarkEnd w:id="23"/>
      <w:r w:rsidR="000B3B5D" w:rsidRPr="00CD5790">
        <w:rPr>
          <w:b w:val="0"/>
        </w:rPr>
        <w:t>.</w:t>
      </w:r>
      <w:r w:rsidRPr="00CD5790">
        <w:rPr>
          <w:b w:val="0"/>
        </w:rPr>
        <w:t xml:space="preserve"> </w:t>
      </w:r>
      <w:r w:rsidRPr="004E6293">
        <w:rPr>
          <w:b w:val="0"/>
          <w:lang w:val="es-ES"/>
        </w:rPr>
        <w:t>Evolución de valores subsidiados de GLP</w:t>
      </w:r>
      <w:r>
        <w:rPr>
          <w:b w:val="0"/>
          <w:lang w:val="es-ES"/>
        </w:rPr>
        <w:t xml:space="preserve"> por redes</w:t>
      </w:r>
      <w:r w:rsidR="00C23A47">
        <w:rPr>
          <w:b w:val="0"/>
          <w:lang w:val="es-ES"/>
        </w:rPr>
        <w:t xml:space="preserve"> en MM -COP</w:t>
      </w:r>
      <w:bookmarkEnd w:id="22"/>
      <w:bookmarkEnd w:id="24"/>
    </w:p>
    <w:p w14:paraId="24E1278F" w14:textId="05CD89F3" w:rsidR="007D0850" w:rsidRPr="009F3FE8" w:rsidRDefault="009F3FE8" w:rsidP="009F3FE8">
      <w:pPr>
        <w:jc w:val="center"/>
        <w:rPr>
          <w:lang w:val="es-ES"/>
        </w:rPr>
      </w:pPr>
      <w:r>
        <w:rPr>
          <w:noProof/>
          <w:lang w:val="es-ES"/>
        </w:rPr>
        <w:drawing>
          <wp:inline distT="0" distB="0" distL="0" distR="0" wp14:anchorId="73A9670D" wp14:editId="65A2CB7C">
            <wp:extent cx="4883254" cy="2408340"/>
            <wp:effectExtent l="0" t="0" r="0" b="0"/>
            <wp:docPr id="966831782"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00228" cy="2416711"/>
                    </a:xfrm>
                    <a:prstGeom prst="rect">
                      <a:avLst/>
                    </a:prstGeom>
                    <a:noFill/>
                  </pic:spPr>
                </pic:pic>
              </a:graphicData>
            </a:graphic>
          </wp:inline>
        </w:drawing>
      </w:r>
    </w:p>
    <w:p w14:paraId="7193C2BC" w14:textId="00C60359" w:rsidR="00C23A47" w:rsidRPr="00AB2AF7" w:rsidRDefault="00C23A47" w:rsidP="002F1961">
      <w:pPr>
        <w:spacing w:before="100" w:beforeAutospacing="1" w:after="100" w:afterAutospacing="1" w:line="360" w:lineRule="auto"/>
        <w:jc w:val="center"/>
        <w:rPr>
          <w:rFonts w:cs="Arial"/>
          <w:sz w:val="22"/>
          <w:szCs w:val="18"/>
        </w:rPr>
      </w:pPr>
      <w:r w:rsidRPr="00AB2AF7">
        <w:rPr>
          <w:rFonts w:cs="Arial"/>
          <w:sz w:val="22"/>
          <w:szCs w:val="18"/>
        </w:rPr>
        <w:t xml:space="preserve">Fuente: SUI –O3 </w:t>
      </w:r>
      <w:r w:rsidR="00AA0EAE" w:rsidRPr="00AB2AF7">
        <w:rPr>
          <w:rFonts w:cs="Arial"/>
          <w:sz w:val="22"/>
          <w:szCs w:val="18"/>
        </w:rPr>
        <w:t xml:space="preserve">Comercial </w:t>
      </w:r>
      <w:r w:rsidRPr="00AB2AF7">
        <w:rPr>
          <w:rFonts w:cs="Arial"/>
          <w:sz w:val="22"/>
          <w:szCs w:val="18"/>
        </w:rPr>
        <w:t xml:space="preserve">Gas </w:t>
      </w:r>
      <w:r w:rsidR="00AA0EAE" w:rsidRPr="00AB2AF7">
        <w:rPr>
          <w:rFonts w:cs="Arial"/>
          <w:sz w:val="22"/>
          <w:szCs w:val="18"/>
        </w:rPr>
        <w:t>combustible por red</w:t>
      </w:r>
      <w:r w:rsidR="00CD5790" w:rsidRPr="00AB2AF7">
        <w:rPr>
          <w:rFonts w:cs="Arial"/>
          <w:sz w:val="22"/>
          <w:szCs w:val="18"/>
        </w:rPr>
        <w:t>.</w:t>
      </w:r>
      <w:r w:rsidRPr="00AB2AF7">
        <w:rPr>
          <w:rFonts w:cs="Arial"/>
          <w:sz w:val="22"/>
          <w:szCs w:val="18"/>
        </w:rPr>
        <w:t xml:space="preserve"> Consulta 24/06/2026</w:t>
      </w:r>
      <w:r w:rsidR="00CD5790" w:rsidRPr="00AB2AF7">
        <w:rPr>
          <w:rFonts w:cs="Arial"/>
          <w:sz w:val="22"/>
          <w:szCs w:val="18"/>
        </w:rPr>
        <w:t>. Elaboración: CREG</w:t>
      </w:r>
    </w:p>
    <w:p w14:paraId="4127CD03" w14:textId="5E050801" w:rsidR="00E15C2E" w:rsidRPr="00CD5790" w:rsidRDefault="00E15C2E" w:rsidP="002F1961">
      <w:pPr>
        <w:spacing w:before="100" w:beforeAutospacing="1" w:after="100" w:afterAutospacing="1" w:line="360" w:lineRule="auto"/>
        <w:rPr>
          <w:rFonts w:cs="Arial"/>
          <w:szCs w:val="24"/>
          <w:lang w:val="es-CO"/>
        </w:rPr>
      </w:pPr>
      <w:r w:rsidRPr="00CD5790">
        <w:rPr>
          <w:rFonts w:cs="Arial"/>
          <w:szCs w:val="24"/>
          <w:lang w:val="es-CO"/>
        </w:rPr>
        <w:lastRenderedPageBreak/>
        <w:t xml:space="preserve">A partir de la </w:t>
      </w:r>
      <w:r w:rsidR="00C55111">
        <w:rPr>
          <w:rFonts w:cs="Arial"/>
          <w:szCs w:val="24"/>
          <w:lang w:val="es-CO"/>
        </w:rPr>
        <w:fldChar w:fldCharType="begin"/>
      </w:r>
      <w:r w:rsidR="00C55111">
        <w:rPr>
          <w:rFonts w:cs="Arial"/>
          <w:szCs w:val="24"/>
          <w:lang w:val="es-CO"/>
        </w:rPr>
        <w:instrText xml:space="preserve"> REF _Ref235082475 \h  \* MERGEFORMAT </w:instrText>
      </w:r>
      <w:r w:rsidR="00C55111">
        <w:rPr>
          <w:rFonts w:cs="Arial"/>
          <w:szCs w:val="24"/>
          <w:lang w:val="es-CO"/>
        </w:rPr>
      </w:r>
      <w:r w:rsidR="00C55111">
        <w:rPr>
          <w:rFonts w:cs="Arial"/>
          <w:szCs w:val="24"/>
          <w:lang w:val="es-CO"/>
        </w:rPr>
        <w:fldChar w:fldCharType="separate"/>
      </w:r>
      <w:r w:rsidR="00C55111" w:rsidRPr="00CD5790">
        <w:t xml:space="preserve">Figura </w:t>
      </w:r>
      <w:r w:rsidR="00C55111" w:rsidRPr="00C55111">
        <w:rPr>
          <w:bCs/>
          <w:noProof/>
        </w:rPr>
        <w:t>3</w:t>
      </w:r>
      <w:r w:rsidR="00C55111">
        <w:rPr>
          <w:rFonts w:cs="Arial"/>
          <w:szCs w:val="24"/>
          <w:lang w:val="es-CO"/>
        </w:rPr>
        <w:fldChar w:fldCharType="end"/>
      </w:r>
      <w:r w:rsidRPr="00CD5790">
        <w:rPr>
          <w:rFonts w:cs="Arial"/>
          <w:szCs w:val="24"/>
          <w:lang w:val="es-CO"/>
        </w:rPr>
        <w:t xml:space="preserve"> se observa que, aunque entre 2006 y 2013 los montos de subsidios fueron bajos, desde 2014 empiezan a crecer de manera sostenida. Este incremento se acelera especialmente a partir de 2020, hasta alcanzar su valor más alto en 2025, con cerca de 82 mil millones de pesos.</w:t>
      </w:r>
    </w:p>
    <w:p w14:paraId="2EF0C555" w14:textId="77777777" w:rsidR="00E15C2E" w:rsidRPr="00CD5790" w:rsidRDefault="00E15C2E" w:rsidP="002F1961">
      <w:pPr>
        <w:spacing w:before="100" w:beforeAutospacing="1" w:after="100" w:afterAutospacing="1" w:line="360" w:lineRule="auto"/>
        <w:rPr>
          <w:rFonts w:cs="Arial"/>
          <w:szCs w:val="24"/>
          <w:lang w:val="es-CO"/>
        </w:rPr>
      </w:pPr>
      <w:r w:rsidRPr="00CD5790">
        <w:rPr>
          <w:rFonts w:cs="Arial"/>
          <w:szCs w:val="24"/>
          <w:lang w:val="es-CO"/>
        </w:rPr>
        <w:t>Lo anterior evidencia una mayor relevancia del esquema de subsidios de GLP por redes dentro de la política de apoyo al consumo de gas combustible para usuarios regulados. Este comportamiento puede estar asociado, entre otros factores, a la entrada de nuevos mercados de GLP por redes en municipios con una alta concentración de usuarios de estratos 1 y 2.</w:t>
      </w:r>
    </w:p>
    <w:p w14:paraId="2551A9F7" w14:textId="1AE4C725" w:rsidR="004A3BAE" w:rsidRPr="00A252B2" w:rsidRDefault="00D00490" w:rsidP="002F1961">
      <w:pPr>
        <w:pStyle w:val="Ttulo2"/>
        <w:spacing w:before="100" w:beforeAutospacing="1" w:after="100" w:afterAutospacing="1"/>
      </w:pPr>
      <w:bookmarkStart w:id="25" w:name="_Ref235111231"/>
      <w:bookmarkStart w:id="26" w:name="_Toc235128327"/>
      <w:r w:rsidRPr="00D00490">
        <w:t>Evolución de la regulación de las actividades de la cadena de GLP</w:t>
      </w:r>
      <w:bookmarkEnd w:id="25"/>
      <w:bookmarkEnd w:id="26"/>
    </w:p>
    <w:p w14:paraId="00B092DC" w14:textId="4F925BCC" w:rsidR="00D67509" w:rsidRPr="00D67509" w:rsidRDefault="00D67509" w:rsidP="002F1961">
      <w:pPr>
        <w:spacing w:before="100" w:beforeAutospacing="1" w:after="100" w:afterAutospacing="1" w:line="360" w:lineRule="auto"/>
      </w:pPr>
      <w:r w:rsidRPr="3E14A800">
        <w:rPr>
          <w:rFonts w:cs="Arial"/>
          <w:lang w:val="es-ES"/>
        </w:rPr>
        <w:t xml:space="preserve">La cadena de valor del </w:t>
      </w:r>
      <w:r>
        <w:rPr>
          <w:rFonts w:cs="Arial"/>
          <w:lang w:val="es-ES"/>
        </w:rPr>
        <w:t xml:space="preserve">GLP </w:t>
      </w:r>
      <w:r w:rsidRPr="3E14A800">
        <w:rPr>
          <w:rFonts w:cs="Arial"/>
          <w:lang w:val="es-ES"/>
        </w:rPr>
        <w:t xml:space="preserve">está compuesta por </w:t>
      </w:r>
      <w:r>
        <w:rPr>
          <w:rFonts w:cs="Arial"/>
          <w:lang w:val="es-ES"/>
        </w:rPr>
        <w:t>cuatro actividades</w:t>
      </w:r>
      <w:r w:rsidRPr="3E14A800">
        <w:rPr>
          <w:rFonts w:cs="Arial"/>
          <w:lang w:val="es-ES"/>
        </w:rPr>
        <w:t xml:space="preserve"> que son: </w:t>
      </w:r>
      <w:r>
        <w:rPr>
          <w:rFonts w:cs="Arial"/>
          <w:lang w:val="es-ES"/>
        </w:rPr>
        <w:t>(i) comercialización mayorista, (</w:t>
      </w:r>
      <w:proofErr w:type="spellStart"/>
      <w:r>
        <w:rPr>
          <w:rFonts w:cs="Arial"/>
          <w:lang w:val="es-ES"/>
        </w:rPr>
        <w:t>ii</w:t>
      </w:r>
      <w:proofErr w:type="spellEnd"/>
      <w:r>
        <w:rPr>
          <w:rFonts w:cs="Arial"/>
          <w:lang w:val="es-ES"/>
        </w:rPr>
        <w:t>) transporte por ductos, (</w:t>
      </w:r>
      <w:proofErr w:type="spellStart"/>
      <w:r>
        <w:rPr>
          <w:rFonts w:cs="Arial"/>
          <w:lang w:val="es-ES"/>
        </w:rPr>
        <w:t>iii</w:t>
      </w:r>
      <w:proofErr w:type="spellEnd"/>
      <w:r>
        <w:rPr>
          <w:rFonts w:cs="Arial"/>
          <w:lang w:val="es-ES"/>
        </w:rPr>
        <w:t>) distribución y (</w:t>
      </w:r>
      <w:proofErr w:type="spellStart"/>
      <w:r>
        <w:rPr>
          <w:rFonts w:cs="Arial"/>
          <w:lang w:val="es-ES"/>
        </w:rPr>
        <w:t>iv</w:t>
      </w:r>
      <w:proofErr w:type="spellEnd"/>
      <w:r>
        <w:rPr>
          <w:rFonts w:cs="Arial"/>
          <w:lang w:val="es-ES"/>
        </w:rPr>
        <w:t>) comercialización minorista</w:t>
      </w:r>
      <w:r w:rsidRPr="3E14A800">
        <w:rPr>
          <w:rFonts w:cs="Arial"/>
          <w:lang w:val="es-ES"/>
        </w:rPr>
        <w:t>.</w:t>
      </w:r>
      <w:r w:rsidR="00192687">
        <w:rPr>
          <w:rFonts w:cs="Arial"/>
          <w:lang w:val="es-ES"/>
        </w:rPr>
        <w:t xml:space="preserve"> A </w:t>
      </w:r>
      <w:r w:rsidR="00DB05D8">
        <w:rPr>
          <w:rFonts w:cs="Arial"/>
          <w:lang w:val="es-ES"/>
        </w:rPr>
        <w:t>continuación,</w:t>
      </w:r>
      <w:r w:rsidR="00192687">
        <w:rPr>
          <w:rFonts w:cs="Arial"/>
          <w:lang w:val="es-ES"/>
        </w:rPr>
        <w:t xml:space="preserve"> se describe la evolución que ha tenido la regulación expedida por la CREG para cada una de estas actividades.</w:t>
      </w:r>
    </w:p>
    <w:p w14:paraId="785CF02D" w14:textId="4E70BA48" w:rsidR="004A3BAE" w:rsidRPr="005A0288" w:rsidRDefault="009C3721" w:rsidP="002F1961">
      <w:pPr>
        <w:pStyle w:val="Ttulo3"/>
        <w:spacing w:before="100" w:beforeAutospacing="1" w:after="100" w:afterAutospacing="1"/>
      </w:pPr>
      <w:bookmarkStart w:id="27" w:name="_Ref235111420"/>
      <w:bookmarkStart w:id="28" w:name="_Toc235128328"/>
      <w:r w:rsidRPr="005A0288">
        <w:t>Comercialización Mayorista</w:t>
      </w:r>
      <w:bookmarkEnd w:id="27"/>
      <w:bookmarkEnd w:id="28"/>
    </w:p>
    <w:p w14:paraId="3C45818C" w14:textId="77777777" w:rsidR="008C0B06" w:rsidRPr="00ED6E8F" w:rsidRDefault="008C0B06" w:rsidP="002F1961">
      <w:pPr>
        <w:spacing w:before="100" w:beforeAutospacing="1" w:after="100" w:afterAutospacing="1" w:line="360" w:lineRule="auto"/>
        <w:rPr>
          <w:rFonts w:cs="Arial"/>
        </w:rPr>
      </w:pPr>
      <w:r w:rsidRPr="00ED6E8F">
        <w:rPr>
          <w:rFonts w:cs="Arial"/>
        </w:rPr>
        <w:t>El marco vigente de comercialización mayorista se caracteriza por reglamentar de forma separada lo relacionado con las conductas de los agentes y la metodología que determina el precio de suministro de GLP.</w:t>
      </w:r>
    </w:p>
    <w:p w14:paraId="36DA3D19" w14:textId="77777777" w:rsidR="00D33255" w:rsidRPr="00AC2998" w:rsidRDefault="00D33255" w:rsidP="002F1961">
      <w:pPr>
        <w:pStyle w:val="Ttulo4"/>
        <w:spacing w:before="100" w:beforeAutospacing="1" w:after="100" w:afterAutospacing="1" w:line="360" w:lineRule="auto"/>
        <w:ind w:left="0" w:firstLine="0"/>
      </w:pPr>
      <w:bookmarkStart w:id="29" w:name="_Toc64025614"/>
      <w:bookmarkStart w:id="30" w:name="_Toc64643228"/>
      <w:r>
        <w:t>P</w:t>
      </w:r>
      <w:r w:rsidRPr="00AC2998">
        <w:t>recios de suministro de GLP de comercializadores mayoristas a distribuidores</w:t>
      </w:r>
      <w:bookmarkEnd w:id="29"/>
      <w:bookmarkEnd w:id="30"/>
    </w:p>
    <w:p w14:paraId="184D21E1" w14:textId="77777777" w:rsidR="00D33255" w:rsidRPr="00203974" w:rsidRDefault="00D33255" w:rsidP="004F25D6">
      <w:pPr>
        <w:pStyle w:val="Ttulo4"/>
        <w:numPr>
          <w:ilvl w:val="4"/>
          <w:numId w:val="1"/>
        </w:numPr>
        <w:spacing w:before="100" w:beforeAutospacing="1" w:after="100" w:afterAutospacing="1" w:line="360" w:lineRule="auto"/>
        <w:ind w:left="851" w:hanging="851"/>
        <w:rPr>
          <w:rFonts w:cs="Arial"/>
          <w:szCs w:val="24"/>
        </w:rPr>
      </w:pPr>
      <w:r w:rsidRPr="00203974">
        <w:rPr>
          <w:rFonts w:cs="Arial"/>
          <w:lang w:val="es-ES"/>
        </w:rPr>
        <w:t>Marco tarifario</w:t>
      </w:r>
    </w:p>
    <w:p w14:paraId="62196152" w14:textId="77777777" w:rsidR="00D33255" w:rsidRDefault="00D33255" w:rsidP="002F1961">
      <w:pPr>
        <w:spacing w:before="100" w:beforeAutospacing="1" w:after="100" w:afterAutospacing="1" w:line="360" w:lineRule="auto"/>
        <w:rPr>
          <w:rFonts w:cs="Arial"/>
          <w:lang w:val="es-ES"/>
        </w:rPr>
      </w:pPr>
      <w:r>
        <w:rPr>
          <w:rFonts w:cs="Arial"/>
          <w:lang w:val="es-ES"/>
        </w:rPr>
        <w:t>Los precios</w:t>
      </w:r>
      <w:r w:rsidRPr="001E1CA3">
        <w:rPr>
          <w:rFonts w:cs="Arial"/>
          <w:lang w:val="es-ES"/>
        </w:rPr>
        <w:t xml:space="preserve"> </w:t>
      </w:r>
      <w:r>
        <w:rPr>
          <w:rFonts w:cs="Arial"/>
          <w:lang w:val="es-ES"/>
        </w:rPr>
        <w:t xml:space="preserve">de suministro de GLP </w:t>
      </w:r>
      <w:r w:rsidRPr="001E1CA3">
        <w:rPr>
          <w:rFonts w:cs="Arial"/>
          <w:lang w:val="es-ES"/>
        </w:rPr>
        <w:t>se encuentra</w:t>
      </w:r>
      <w:r>
        <w:rPr>
          <w:rFonts w:cs="Arial"/>
          <w:lang w:val="es-ES"/>
        </w:rPr>
        <w:t>n</w:t>
      </w:r>
      <w:r w:rsidRPr="001E1CA3">
        <w:rPr>
          <w:rFonts w:cs="Arial"/>
          <w:lang w:val="es-ES"/>
        </w:rPr>
        <w:t xml:space="preserve"> regulado</w:t>
      </w:r>
      <w:r>
        <w:rPr>
          <w:rFonts w:cs="Arial"/>
          <w:lang w:val="es-ES"/>
        </w:rPr>
        <w:t>s</w:t>
      </w:r>
      <w:r w:rsidRPr="001E1CA3">
        <w:rPr>
          <w:rFonts w:cs="Arial"/>
          <w:lang w:val="es-ES"/>
        </w:rPr>
        <w:t xml:space="preserve"> en la Resolución CREG 066 de 2007, modificada por las resoluciones CREG 059 de 2008, 002 de 2</w:t>
      </w:r>
      <w:r>
        <w:rPr>
          <w:rFonts w:cs="Arial"/>
          <w:lang w:val="es-ES"/>
        </w:rPr>
        <w:t>009, y 123 de 2010.</w:t>
      </w:r>
    </w:p>
    <w:p w14:paraId="5072ED1E" w14:textId="520A73EF" w:rsidR="00D33255" w:rsidRPr="00200277" w:rsidRDefault="00D33255" w:rsidP="002F1961">
      <w:pPr>
        <w:spacing w:before="100" w:beforeAutospacing="1" w:after="100" w:afterAutospacing="1" w:line="360" w:lineRule="auto"/>
        <w:rPr>
          <w:rFonts w:cs="Arial"/>
          <w:lang w:val="es-ES"/>
        </w:rPr>
      </w:pPr>
      <w:r>
        <w:rPr>
          <w:rFonts w:cs="Arial"/>
          <w:lang w:val="es-ES"/>
        </w:rPr>
        <w:lastRenderedPageBreak/>
        <w:t>En l</w:t>
      </w:r>
      <w:r w:rsidRPr="001E1CA3">
        <w:rPr>
          <w:rFonts w:cs="Arial"/>
          <w:lang w:val="es-ES"/>
        </w:rPr>
        <w:t>a</w:t>
      </w:r>
      <w:r>
        <w:rPr>
          <w:rFonts w:cs="Arial"/>
          <w:lang w:val="es-ES"/>
        </w:rPr>
        <w:t xml:space="preserve"> precitada resolución, la </w:t>
      </w:r>
      <w:r w:rsidRPr="001E1CA3">
        <w:rPr>
          <w:rFonts w:cs="Arial"/>
          <w:lang w:val="es-ES"/>
        </w:rPr>
        <w:t xml:space="preserve">Comisión estableció la regulación de precios de suministro de GLP de comercializadores mayoristas a distribuidores. </w:t>
      </w:r>
      <w:r>
        <w:rPr>
          <w:rFonts w:cs="Arial"/>
          <w:lang w:val="es-ES"/>
        </w:rPr>
        <w:t>Para ello, teniendo en cuenta la posición dominante de Ecopetrol, quién actúa como vendedor en el mercado mayorista, se tomó la decisión de dar un tratamiento diferencial aplicando un precio máximo regulado a las fuentes de suministro que estaban siendo comercializadas por este (Refinería de Barrancabermeja, campo Apiay, y Refinería de Cartagena). Así mismo, se estableció el precio máximo de venta para el GLP importado por Ecopetrol</w:t>
      </w:r>
      <w:r w:rsidR="00D5689E">
        <w:rPr>
          <w:rStyle w:val="Refdenotaalpie"/>
          <w:rFonts w:cs="Arial"/>
          <w:lang w:val="es-ES"/>
        </w:rPr>
        <w:footnoteReference w:id="6"/>
      </w:r>
      <w:r>
        <w:rPr>
          <w:rFonts w:cs="Arial"/>
          <w:lang w:val="es-ES"/>
        </w:rPr>
        <w:t xml:space="preserve">. </w:t>
      </w:r>
    </w:p>
    <w:p w14:paraId="589335A8" w14:textId="77777777" w:rsidR="00D33255" w:rsidRPr="00200277" w:rsidRDefault="00D33255" w:rsidP="002F1961">
      <w:pPr>
        <w:spacing w:before="100" w:beforeAutospacing="1" w:after="100" w:afterAutospacing="1" w:line="360" w:lineRule="auto"/>
        <w:rPr>
          <w:rFonts w:cs="Arial"/>
          <w:lang w:val="es-ES"/>
        </w:rPr>
      </w:pPr>
      <w:r>
        <w:rPr>
          <w:rFonts w:cs="Arial"/>
          <w:lang w:val="es-ES"/>
        </w:rPr>
        <w:t xml:space="preserve">Adicionalmente, se </w:t>
      </w:r>
      <w:r w:rsidRPr="001E1CA3">
        <w:rPr>
          <w:rFonts w:cs="Arial"/>
          <w:lang w:val="es-ES"/>
        </w:rPr>
        <w:t>señala la metodología para calcular el precio</w:t>
      </w:r>
      <w:r>
        <w:rPr>
          <w:rStyle w:val="Refdenotaalpie"/>
          <w:rFonts w:cs="Arial"/>
          <w:lang w:val="es-ES"/>
        </w:rPr>
        <w:footnoteReference w:id="7"/>
      </w:r>
      <w:r w:rsidRPr="001E1CA3">
        <w:rPr>
          <w:rFonts w:cs="Arial"/>
          <w:lang w:val="es-ES"/>
        </w:rPr>
        <w:t xml:space="preserve"> máximo regulado de suministro de GLP producido en las fuentes reguladas, mencionando adicionalmente que las demás fuentes de producción de GLP pueden fijar libremente su tarifa.</w:t>
      </w:r>
    </w:p>
    <w:p w14:paraId="6089D3D7" w14:textId="77777777" w:rsidR="00D33255" w:rsidRPr="001E1CA3" w:rsidRDefault="00D33255" w:rsidP="002F1961">
      <w:pPr>
        <w:spacing w:before="100" w:beforeAutospacing="1" w:after="100" w:afterAutospacing="1" w:line="360" w:lineRule="auto"/>
        <w:rPr>
          <w:rFonts w:cs="Arial"/>
        </w:rPr>
      </w:pPr>
      <w:r w:rsidRPr="001E1CA3">
        <w:rPr>
          <w:rFonts w:cs="Arial"/>
          <w:lang w:val="es-ES"/>
        </w:rPr>
        <w:t>En relación con esto, se debe tener en cuenta que</w:t>
      </w:r>
      <w:r>
        <w:rPr>
          <w:rFonts w:cs="Arial"/>
          <w:lang w:val="es-ES"/>
        </w:rPr>
        <w:t>,</w:t>
      </w:r>
      <w:r w:rsidRPr="001E1CA3">
        <w:rPr>
          <w:rFonts w:cs="Arial"/>
          <w:lang w:val="es-ES"/>
        </w:rPr>
        <w:t xml:space="preserve"> d</w:t>
      </w:r>
      <w:r w:rsidRPr="001E1CA3">
        <w:rPr>
          <w:rFonts w:cs="Arial"/>
        </w:rPr>
        <w:t xml:space="preserve">entro del trámite de consulta de la regulación </w:t>
      </w:r>
      <w:r>
        <w:rPr>
          <w:rFonts w:cs="Arial"/>
        </w:rPr>
        <w:t>adoptada</w:t>
      </w:r>
      <w:r w:rsidRPr="001E1CA3">
        <w:rPr>
          <w:rFonts w:cs="Arial"/>
        </w:rPr>
        <w:t xml:space="preserve"> para la definición de la remuneración del producto, en las resoluciones CREG 066 de 2002, 072 de 2005, 066 de 2007 y el Documento CREG 034 de 2007, se estableció por parte de la CREG la metodología de remunera</w:t>
      </w:r>
      <w:r>
        <w:rPr>
          <w:rFonts w:cs="Arial"/>
        </w:rPr>
        <w:t>ción</w:t>
      </w:r>
      <w:r w:rsidRPr="001E1CA3">
        <w:rPr>
          <w:rFonts w:cs="Arial"/>
        </w:rPr>
        <w:t xml:space="preserve"> al </w:t>
      </w:r>
      <w:r>
        <w:rPr>
          <w:rFonts w:cs="Arial"/>
        </w:rPr>
        <w:t>comercializador mayorista</w:t>
      </w:r>
      <w:r w:rsidRPr="001E1CA3">
        <w:rPr>
          <w:rFonts w:cs="Arial"/>
        </w:rPr>
        <w:t xml:space="preserve"> con base en el costo de oportunidad</w:t>
      </w:r>
      <w:r w:rsidRPr="001E1CA3">
        <w:rPr>
          <w:rFonts w:cs="Arial"/>
          <w:vertAlign w:val="superscript"/>
        </w:rPr>
        <w:footnoteReference w:id="8"/>
      </w:r>
      <w:r w:rsidRPr="001E1CA3">
        <w:rPr>
          <w:rFonts w:cs="Arial"/>
        </w:rPr>
        <w:t>, en este caso, de acceder al mercado externo. Lo anterior se hizo con el fin d</w:t>
      </w:r>
      <w:r>
        <w:rPr>
          <w:rFonts w:cs="Arial"/>
        </w:rPr>
        <w:t xml:space="preserve">e abastecer la demanda interna, </w:t>
      </w:r>
      <w:r w:rsidRPr="001E1CA3">
        <w:rPr>
          <w:rFonts w:cs="Arial"/>
        </w:rPr>
        <w:t xml:space="preserve">bajo la consideración que la capacidad de producción es suficiente para atender el mercado doméstico, sin necesidad de acudir sistemáticamente </w:t>
      </w:r>
      <w:r>
        <w:rPr>
          <w:rFonts w:cs="Arial"/>
        </w:rPr>
        <w:t>a la importación de combustible</w:t>
      </w:r>
      <w:r w:rsidRPr="001E1CA3">
        <w:rPr>
          <w:rFonts w:cs="Arial"/>
        </w:rPr>
        <w:t>, trasladando la eficiencia del mercado externo al mercado doméstico, de acuerdo con la remuneración, a través de precios internacionales.</w:t>
      </w:r>
    </w:p>
    <w:p w14:paraId="259267E6" w14:textId="3F204050" w:rsidR="00D33255" w:rsidRPr="00671CC4" w:rsidRDefault="00D33255" w:rsidP="002F1961">
      <w:pPr>
        <w:spacing w:before="100" w:beforeAutospacing="1" w:after="100" w:afterAutospacing="1" w:line="360" w:lineRule="auto"/>
        <w:rPr>
          <w:rFonts w:cs="Arial"/>
          <w:szCs w:val="24"/>
        </w:rPr>
      </w:pPr>
      <w:r>
        <w:rPr>
          <w:rFonts w:cs="Arial"/>
          <w:lang w:val="es-ES"/>
        </w:rPr>
        <w:t>Posteriormente</w:t>
      </w:r>
      <w:r w:rsidRPr="001E1CA3">
        <w:rPr>
          <w:rFonts w:cs="Arial"/>
        </w:rPr>
        <w:t xml:space="preserve">, mediante Resolución CREG 123 de 2010, </w:t>
      </w:r>
      <w:r>
        <w:rPr>
          <w:rFonts w:cs="Arial"/>
        </w:rPr>
        <w:t xml:space="preserve">se </w:t>
      </w:r>
      <w:r w:rsidRPr="001E1CA3">
        <w:rPr>
          <w:rFonts w:cs="Arial"/>
        </w:rPr>
        <w:t xml:space="preserve">amplió el régimen de libertad regulada </w:t>
      </w:r>
      <w:r>
        <w:rPr>
          <w:rFonts w:cs="Arial"/>
        </w:rPr>
        <w:t>a</w:t>
      </w:r>
      <w:r w:rsidRPr="001E1CA3">
        <w:rPr>
          <w:rFonts w:cs="Arial"/>
        </w:rPr>
        <w:t xml:space="preserve"> las todas las fuentes</w:t>
      </w:r>
      <w:r>
        <w:rPr>
          <w:rFonts w:cs="Arial"/>
        </w:rPr>
        <w:t xml:space="preserve"> de producción nacional que cumplieran con </w:t>
      </w:r>
      <w:r>
        <w:rPr>
          <w:rFonts w:cs="Arial"/>
        </w:rPr>
        <w:lastRenderedPageBreak/>
        <w:t xml:space="preserve">cualquiera de estas condiciones: </w:t>
      </w:r>
      <w:r w:rsidR="004F1AA5">
        <w:rPr>
          <w:rFonts w:cs="Arial"/>
        </w:rPr>
        <w:t>(</w:t>
      </w:r>
      <w:r>
        <w:rPr>
          <w:rFonts w:cs="Arial"/>
        </w:rPr>
        <w:t xml:space="preserve">i) cuando el beneficiario real de su comercialización sea mayoritariamente Ecopetrol o, </w:t>
      </w:r>
      <w:r w:rsidR="004F1AA5">
        <w:rPr>
          <w:rFonts w:cs="Arial"/>
        </w:rPr>
        <w:t>(</w:t>
      </w:r>
      <w:proofErr w:type="spellStart"/>
      <w:r>
        <w:rPr>
          <w:rFonts w:cs="Arial"/>
        </w:rPr>
        <w:t>ii</w:t>
      </w:r>
      <w:proofErr w:type="spellEnd"/>
      <w:r>
        <w:rPr>
          <w:rFonts w:cs="Arial"/>
        </w:rPr>
        <w:t>) dicha comercialización esté bajo responsabilidad y control de este último en forma directa o indirecta.</w:t>
      </w:r>
      <w:r w:rsidRPr="0082049C">
        <w:rPr>
          <w:rFonts w:cs="Arial"/>
          <w:szCs w:val="24"/>
        </w:rPr>
        <w:t xml:space="preserve"> </w:t>
      </w:r>
      <w:r>
        <w:rPr>
          <w:rFonts w:cs="Arial"/>
          <w:szCs w:val="24"/>
        </w:rPr>
        <w:t>Así mismo, la resolución en mención señala que, p</w:t>
      </w:r>
      <w:r w:rsidRPr="00671CC4">
        <w:rPr>
          <w:rFonts w:cs="Arial"/>
          <w:szCs w:val="24"/>
        </w:rPr>
        <w:t>ara fuentes nuevas, de manera previa a su comercialización, Ecopetrol debe solicitar el precio a la CREG, el cual será adoptado mediante resolución.</w:t>
      </w:r>
    </w:p>
    <w:p w14:paraId="6C11B13F" w14:textId="5FCC67DD" w:rsidR="00D33255" w:rsidRDefault="00D33255" w:rsidP="002F1961">
      <w:pPr>
        <w:spacing w:before="100" w:beforeAutospacing="1" w:after="100" w:afterAutospacing="1" w:line="360" w:lineRule="auto"/>
        <w:rPr>
          <w:rFonts w:cs="Arial"/>
          <w:szCs w:val="24"/>
        </w:rPr>
      </w:pPr>
      <w:r>
        <w:rPr>
          <w:rFonts w:cs="Arial"/>
          <w:szCs w:val="24"/>
        </w:rPr>
        <w:t>Teniendo en cuenta lo anterior, el marco tarifario vigente se resume en la</w:t>
      </w:r>
      <w:r>
        <w:rPr>
          <w:rFonts w:cs="Arial"/>
          <w:szCs w:val="24"/>
        </w:rPr>
        <w:t xml:space="preserve"> </w:t>
      </w:r>
      <w:r w:rsidR="00C55111">
        <w:rPr>
          <w:rFonts w:cs="Arial"/>
          <w:szCs w:val="24"/>
        </w:rPr>
        <w:fldChar w:fldCharType="begin"/>
      </w:r>
      <w:r w:rsidR="00C55111">
        <w:rPr>
          <w:rFonts w:cs="Arial"/>
          <w:szCs w:val="24"/>
        </w:rPr>
        <w:instrText xml:space="preserve"> REF _Ref235082570 \h  \* MERGEFORMAT </w:instrText>
      </w:r>
      <w:r w:rsidR="00C55111">
        <w:rPr>
          <w:rFonts w:cs="Arial"/>
          <w:szCs w:val="24"/>
        </w:rPr>
      </w:r>
      <w:r w:rsidR="00C55111">
        <w:rPr>
          <w:rFonts w:cs="Arial"/>
          <w:szCs w:val="24"/>
        </w:rPr>
        <w:fldChar w:fldCharType="separate"/>
      </w:r>
      <w:r w:rsidR="00C55111" w:rsidRPr="00A8111C">
        <w:rPr>
          <w:lang w:val="es-ES"/>
        </w:rPr>
        <w:t xml:space="preserve">Figura </w:t>
      </w:r>
      <w:r w:rsidR="00C55111" w:rsidRPr="00C55111">
        <w:rPr>
          <w:bCs/>
          <w:noProof/>
          <w:lang w:val="es-ES"/>
        </w:rPr>
        <w:t>4</w:t>
      </w:r>
      <w:r w:rsidR="00C55111">
        <w:rPr>
          <w:rFonts w:cs="Arial"/>
          <w:szCs w:val="24"/>
        </w:rPr>
        <w:fldChar w:fldCharType="end"/>
      </w:r>
      <w:r>
        <w:rPr>
          <w:rFonts w:cs="Arial"/>
          <w:szCs w:val="24"/>
        </w:rPr>
        <w:t>:</w:t>
      </w:r>
    </w:p>
    <w:p w14:paraId="48D2EF9C" w14:textId="11CD51DA" w:rsidR="00BD252C" w:rsidRPr="00A8111C" w:rsidRDefault="00D33255" w:rsidP="002F1961">
      <w:pPr>
        <w:pStyle w:val="Descripcin"/>
        <w:keepNext/>
        <w:spacing w:before="100" w:beforeAutospacing="1" w:after="100" w:afterAutospacing="1" w:line="360" w:lineRule="auto"/>
        <w:jc w:val="center"/>
        <w:rPr>
          <w:b w:val="0"/>
        </w:rPr>
      </w:pPr>
      <w:bookmarkStart w:id="31" w:name="_Ref235082570"/>
      <w:bookmarkStart w:id="32" w:name="_Toc235118544"/>
      <w:r w:rsidRPr="00A8111C">
        <w:rPr>
          <w:b w:val="0"/>
          <w:lang w:val="es-ES"/>
        </w:rPr>
        <w:t xml:space="preserve">Figura </w:t>
      </w:r>
      <w:r>
        <w:rPr>
          <w:b w:val="0"/>
          <w:lang w:val="es-ES"/>
        </w:rPr>
        <w:fldChar w:fldCharType="begin"/>
      </w:r>
      <w:r>
        <w:rPr>
          <w:b w:val="0"/>
          <w:lang w:val="es-ES"/>
        </w:rPr>
        <w:instrText xml:space="preserve"> SEQ Figura \* ARABIC </w:instrText>
      </w:r>
      <w:r>
        <w:rPr>
          <w:b w:val="0"/>
          <w:lang w:val="es-ES"/>
        </w:rPr>
        <w:fldChar w:fldCharType="separate"/>
      </w:r>
      <w:r w:rsidR="00C55111">
        <w:rPr>
          <w:b w:val="0"/>
          <w:noProof/>
          <w:lang w:val="es-ES"/>
        </w:rPr>
        <w:t>4</w:t>
      </w:r>
      <w:r>
        <w:rPr>
          <w:b w:val="0"/>
          <w:lang w:val="es-ES"/>
        </w:rPr>
        <w:fldChar w:fldCharType="end"/>
      </w:r>
      <w:bookmarkEnd w:id="31"/>
      <w:r w:rsidR="00BD252C" w:rsidRPr="00A8111C">
        <w:rPr>
          <w:b w:val="0"/>
          <w:lang w:val="es-ES"/>
        </w:rPr>
        <w:t xml:space="preserve">. </w:t>
      </w:r>
      <w:r w:rsidR="00BD252C">
        <w:rPr>
          <w:b w:val="0"/>
          <w:lang w:val="es-ES"/>
        </w:rPr>
        <w:t>Marco tarifario vigente</w:t>
      </w:r>
      <w:r w:rsidR="00BD252C" w:rsidRPr="5FAE69B6">
        <w:rPr>
          <w:b w:val="0"/>
          <w:lang w:val="es-ES"/>
        </w:rPr>
        <w:t>.</w:t>
      </w:r>
      <w:bookmarkEnd w:id="32"/>
    </w:p>
    <w:p w14:paraId="37879E9F" w14:textId="77777777" w:rsidR="00D33255" w:rsidRDefault="00D33255" w:rsidP="002F1961">
      <w:pPr>
        <w:spacing w:before="100" w:beforeAutospacing="1" w:after="100" w:afterAutospacing="1" w:line="360" w:lineRule="auto"/>
        <w:rPr>
          <w:rFonts w:cs="Arial"/>
          <w:lang w:val="es-ES"/>
        </w:rPr>
      </w:pPr>
      <w:r>
        <w:rPr>
          <w:rFonts w:cs="Arial"/>
          <w:noProof/>
          <w:lang w:val="es-CO" w:eastAsia="es-CO"/>
        </w:rPr>
        <w:drawing>
          <wp:inline distT="0" distB="0" distL="0" distR="0" wp14:anchorId="363D174F" wp14:editId="541B208A">
            <wp:extent cx="5927725" cy="3635315"/>
            <wp:effectExtent l="57150" t="38100" r="53975" b="80010"/>
            <wp:docPr id="124" name="Diagrama 1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8DD09A2" w14:textId="0F76F64E" w:rsidR="00D33255" w:rsidRPr="000054C8" w:rsidRDefault="00D33255" w:rsidP="002F1961">
      <w:pPr>
        <w:spacing w:before="100" w:beforeAutospacing="1" w:after="100" w:afterAutospacing="1" w:line="360" w:lineRule="auto"/>
        <w:jc w:val="center"/>
        <w:rPr>
          <w:rFonts w:cs="Arial"/>
          <w:sz w:val="32"/>
          <w:szCs w:val="24"/>
          <w:lang w:val="es-ES"/>
        </w:rPr>
      </w:pPr>
      <w:r w:rsidRPr="000054C8">
        <w:rPr>
          <w:rFonts w:cs="Arial"/>
          <w:sz w:val="22"/>
          <w:szCs w:val="22"/>
        </w:rPr>
        <w:t>Elaboración</w:t>
      </w:r>
      <w:r w:rsidR="00F46F35">
        <w:rPr>
          <w:rFonts w:cs="Arial"/>
          <w:sz w:val="22"/>
          <w:szCs w:val="22"/>
        </w:rPr>
        <w:t>: CREG</w:t>
      </w:r>
    </w:p>
    <w:p w14:paraId="3A329F55" w14:textId="77777777" w:rsidR="00D33255" w:rsidRPr="00EA2329" w:rsidRDefault="00D33255" w:rsidP="009D5D8A">
      <w:pPr>
        <w:pStyle w:val="Ttulo4"/>
        <w:spacing w:before="100" w:beforeAutospacing="1" w:after="100" w:afterAutospacing="1" w:line="360" w:lineRule="auto"/>
        <w:ind w:left="851" w:hanging="851"/>
        <w:rPr>
          <w:rFonts w:cs="Arial"/>
          <w:lang w:val="es-ES"/>
        </w:rPr>
      </w:pPr>
      <w:r>
        <w:rPr>
          <w:rFonts w:cs="Arial"/>
          <w:bCs/>
          <w:lang w:val="es-ES"/>
        </w:rPr>
        <w:t>Fórmula tarifaria precio máximo regulado de suministro</w:t>
      </w:r>
    </w:p>
    <w:p w14:paraId="0AC8C648" w14:textId="1DA9B947" w:rsidR="004850F6" w:rsidRDefault="008325A6" w:rsidP="002F1961">
      <w:pPr>
        <w:spacing w:before="100" w:beforeAutospacing="1" w:after="100" w:afterAutospacing="1" w:line="360" w:lineRule="auto"/>
        <w:rPr>
          <w:rFonts w:cs="Arial"/>
          <w:spacing w:val="-3"/>
          <w:lang w:val="es-ES"/>
        </w:rPr>
      </w:pPr>
      <w:r>
        <w:rPr>
          <w:rFonts w:cs="Arial"/>
          <w:spacing w:val="-3"/>
          <w:lang w:val="es-ES"/>
        </w:rPr>
        <w:t>Como se señala anteriormente, p</w:t>
      </w:r>
      <w:r w:rsidR="006A58D5">
        <w:rPr>
          <w:rFonts w:cs="Arial"/>
          <w:spacing w:val="-3"/>
          <w:lang w:val="es-ES"/>
        </w:rPr>
        <w:t xml:space="preserve">ara la determinación del </w:t>
      </w:r>
      <w:r w:rsidRPr="001E1CA3">
        <w:rPr>
          <w:rFonts w:cs="Arial"/>
          <w:spacing w:val="-3"/>
          <w:lang w:val="es-ES"/>
        </w:rPr>
        <w:t>precio máximo regulado de suministro</w:t>
      </w:r>
      <w:r>
        <w:rPr>
          <w:rFonts w:cs="Arial"/>
          <w:spacing w:val="-3"/>
          <w:lang w:val="es-ES"/>
        </w:rPr>
        <w:t>, l</w:t>
      </w:r>
      <w:r w:rsidR="00C53445" w:rsidRPr="00C53445">
        <w:rPr>
          <w:rFonts w:cs="Arial"/>
          <w:spacing w:val="-3"/>
          <w:lang w:val="es-ES"/>
        </w:rPr>
        <w:t>a Comisión optó por una metodología de costo de oportunidad mediante paridad de exportación debido a que</w:t>
      </w:r>
      <w:r w:rsidR="00F3474C">
        <w:rPr>
          <w:rFonts w:cs="Arial"/>
          <w:spacing w:val="-3"/>
          <w:lang w:val="es-ES"/>
        </w:rPr>
        <w:t>, en su momento,</w:t>
      </w:r>
      <w:r w:rsidR="00C53445" w:rsidRPr="00C53445">
        <w:rPr>
          <w:rFonts w:cs="Arial"/>
          <w:spacing w:val="-3"/>
          <w:lang w:val="es-ES"/>
        </w:rPr>
        <w:t xml:space="preserve"> la producción </w:t>
      </w:r>
      <w:r w:rsidR="000E679A">
        <w:rPr>
          <w:rFonts w:cs="Arial"/>
          <w:spacing w:val="-3"/>
          <w:lang w:val="es-ES"/>
        </w:rPr>
        <w:t xml:space="preserve">de GLP </w:t>
      </w:r>
      <w:r w:rsidR="00C53445" w:rsidRPr="00C53445">
        <w:rPr>
          <w:rFonts w:cs="Arial"/>
          <w:spacing w:val="-3"/>
          <w:lang w:val="es-ES"/>
        </w:rPr>
        <w:t xml:space="preserve">nacional presentaba </w:t>
      </w:r>
      <w:r w:rsidR="00C53445" w:rsidRPr="00C53445">
        <w:rPr>
          <w:rFonts w:cs="Arial"/>
          <w:spacing w:val="-3"/>
          <w:lang w:val="es-ES"/>
        </w:rPr>
        <w:lastRenderedPageBreak/>
        <w:t>excedentes exportables. Bajo este escenario, el costo económico relevante para abastecer el mercado interno correspondía al ingreso que el productor dejaba de percibir al destinar el GLP al consumo doméstico.</w:t>
      </w:r>
      <w:r w:rsidR="004850F6" w:rsidRPr="004850F6">
        <w:rPr>
          <w:rFonts w:cs="Arial"/>
          <w:spacing w:val="-3"/>
          <w:lang w:val="es-ES"/>
        </w:rPr>
        <w:t xml:space="preserve"> </w:t>
      </w:r>
    </w:p>
    <w:p w14:paraId="3D023A2D" w14:textId="77777777" w:rsidR="00D33255" w:rsidRDefault="00D33255" w:rsidP="002F1961">
      <w:pPr>
        <w:spacing w:before="100" w:beforeAutospacing="1" w:after="100" w:afterAutospacing="1" w:line="360" w:lineRule="auto"/>
        <w:rPr>
          <w:rFonts w:cs="Arial"/>
          <w:szCs w:val="24"/>
        </w:rPr>
      </w:pPr>
      <w:r>
        <w:rPr>
          <w:rFonts w:cs="Arial"/>
          <w:spacing w:val="-3"/>
          <w:lang w:val="es-ES"/>
        </w:rPr>
        <w:t>Así las cosas, l</w:t>
      </w:r>
      <w:r w:rsidRPr="001E1CA3">
        <w:rPr>
          <w:rFonts w:cs="Arial"/>
          <w:spacing w:val="-3"/>
          <w:lang w:val="es-ES"/>
        </w:rPr>
        <w:t xml:space="preserve">a fórmula </w:t>
      </w:r>
      <w:r>
        <w:rPr>
          <w:rFonts w:cs="Arial"/>
          <w:spacing w:val="-3"/>
          <w:lang w:val="es-ES"/>
        </w:rPr>
        <w:t xml:space="preserve">mediante la que se determina el precio máximo de suministro </w:t>
      </w:r>
      <w:r w:rsidRPr="001E1CA3">
        <w:rPr>
          <w:rFonts w:cs="Arial"/>
          <w:spacing w:val="-3"/>
          <w:lang w:val="es-ES"/>
        </w:rPr>
        <w:t>corresponde a un promedio ponderado del costo del propano y del butano</w:t>
      </w:r>
      <w:r>
        <w:rPr>
          <w:rFonts w:cs="Arial"/>
          <w:spacing w:val="-3"/>
          <w:lang w:val="es-ES"/>
        </w:rPr>
        <w:t>,</w:t>
      </w:r>
      <w:r w:rsidRPr="001E1CA3">
        <w:rPr>
          <w:rFonts w:cs="Arial"/>
          <w:spacing w:val="-3"/>
          <w:lang w:val="es-ES"/>
        </w:rPr>
        <w:t xml:space="preserve"> en el mercado internacional de </w:t>
      </w:r>
      <w:r w:rsidRPr="001E1CA3">
        <w:rPr>
          <w:rFonts w:cs="Arial"/>
          <w:i/>
          <w:spacing w:val="-3"/>
          <w:lang w:val="es-ES"/>
        </w:rPr>
        <w:t xml:space="preserve">Mont </w:t>
      </w:r>
      <w:proofErr w:type="spellStart"/>
      <w:r w:rsidRPr="001E1CA3">
        <w:rPr>
          <w:rFonts w:cs="Arial"/>
          <w:i/>
          <w:spacing w:val="-3"/>
          <w:lang w:val="es-ES"/>
        </w:rPr>
        <w:t>Belvieu</w:t>
      </w:r>
      <w:proofErr w:type="spellEnd"/>
      <w:r w:rsidRPr="001E1CA3">
        <w:rPr>
          <w:rFonts w:cs="Arial"/>
          <w:spacing w:val="-3"/>
          <w:lang w:val="es-ES"/>
        </w:rPr>
        <w:t xml:space="preserve"> en Texas</w:t>
      </w:r>
      <w:r>
        <w:rPr>
          <w:rFonts w:cs="Arial"/>
          <w:spacing w:val="-3"/>
          <w:lang w:val="es-ES"/>
        </w:rPr>
        <w:t>, y el descuento de los costos asociados a llevar el producto hasta el punto de exportación</w:t>
      </w:r>
      <w:r w:rsidRPr="001E1CA3">
        <w:rPr>
          <w:rFonts w:cs="Arial"/>
          <w:spacing w:val="-3"/>
          <w:lang w:val="es-ES"/>
        </w:rPr>
        <w:t>.</w:t>
      </w:r>
      <w:r>
        <w:rPr>
          <w:rFonts w:cs="Arial"/>
          <w:spacing w:val="-3"/>
          <w:lang w:val="es-ES"/>
        </w:rPr>
        <w:t xml:space="preserve"> </w:t>
      </w:r>
      <w:r>
        <w:rPr>
          <w:rFonts w:cs="Arial"/>
          <w:szCs w:val="24"/>
        </w:rPr>
        <w:t>A continuación, se detalla la fórmula de precio:</w:t>
      </w:r>
    </w:p>
    <w:p w14:paraId="2C4357EC" w14:textId="351A15FF" w:rsidR="00D33255" w:rsidRPr="001E1CA3" w:rsidRDefault="00D33255" w:rsidP="002F1961">
      <w:pPr>
        <w:pStyle w:val="Descripcin"/>
        <w:keepNext/>
        <w:spacing w:before="100" w:beforeAutospacing="1" w:after="100" w:afterAutospacing="1" w:line="360" w:lineRule="auto"/>
        <w:jc w:val="center"/>
        <w:rPr>
          <w:rFonts w:cs="Arial"/>
          <w:spacing w:val="-3"/>
          <w:lang w:val="es-ES"/>
        </w:rPr>
      </w:pPr>
      <w:bookmarkStart w:id="33" w:name="_Toc64025668"/>
      <w:bookmarkStart w:id="34" w:name="_Toc64643271"/>
      <w:bookmarkStart w:id="35" w:name="_Ref235088024"/>
      <w:bookmarkStart w:id="36" w:name="_Toc235118545"/>
      <w:r w:rsidRPr="00A8111C">
        <w:rPr>
          <w:b w:val="0"/>
          <w:lang w:val="es-ES"/>
        </w:rPr>
        <w:t xml:space="preserve">Figura </w:t>
      </w:r>
      <w:r w:rsidRPr="00A8111C">
        <w:rPr>
          <w:b w:val="0"/>
          <w:lang w:val="es-ES"/>
        </w:rPr>
        <w:fldChar w:fldCharType="begin"/>
      </w:r>
      <w:r>
        <w:rPr>
          <w:b w:val="0"/>
          <w:lang w:val="es-ES"/>
        </w:rPr>
        <w:instrText xml:space="preserve"> SEQ Figura \* ARABIC </w:instrText>
      </w:r>
      <w:r w:rsidRPr="00A8111C">
        <w:rPr>
          <w:b w:val="0"/>
          <w:lang w:val="es-ES"/>
        </w:rPr>
        <w:fldChar w:fldCharType="separate"/>
      </w:r>
      <w:r w:rsidR="00F46F35">
        <w:rPr>
          <w:b w:val="0"/>
          <w:noProof/>
          <w:lang w:val="es-ES"/>
        </w:rPr>
        <w:t>5</w:t>
      </w:r>
      <w:r w:rsidRPr="00A8111C">
        <w:rPr>
          <w:b w:val="0"/>
          <w:lang w:val="es-ES"/>
        </w:rPr>
        <w:fldChar w:fldCharType="end"/>
      </w:r>
      <w:bookmarkEnd w:id="35"/>
      <w:r w:rsidRPr="00A8111C">
        <w:rPr>
          <w:b w:val="0"/>
          <w:lang w:val="es-ES"/>
        </w:rPr>
        <w:t xml:space="preserve">. </w:t>
      </w:r>
      <w:r w:rsidRPr="00E4348F">
        <w:rPr>
          <w:b w:val="0"/>
          <w:lang w:val="es-ES"/>
        </w:rPr>
        <w:t>Fórmula Precio Máximo Regulado de suministro de GLP</w:t>
      </w:r>
      <w:bookmarkEnd w:id="33"/>
      <w:bookmarkEnd w:id="34"/>
      <w:bookmarkEnd w:id="36"/>
    </w:p>
    <w:p w14:paraId="2E90B49A" w14:textId="77777777" w:rsidR="00D33255" w:rsidRPr="00BA7A1F" w:rsidRDefault="00D33255" w:rsidP="002F1961">
      <w:pPr>
        <w:spacing w:before="100" w:beforeAutospacing="1" w:after="100" w:afterAutospacing="1" w:line="360" w:lineRule="auto"/>
        <w:rPr>
          <w:rFonts w:cs="Arial"/>
          <w:b/>
          <w:color w:val="000000" w:themeColor="text1"/>
          <w:kern w:val="24"/>
          <w:sz w:val="20"/>
        </w:rPr>
      </w:pPr>
      <w:r w:rsidRPr="00787999">
        <w:rPr>
          <w:noProof/>
          <w:lang w:val="es-CO" w:eastAsia="es-CO"/>
        </w:rPr>
        <w:drawing>
          <wp:anchor distT="0" distB="0" distL="114300" distR="114300" simplePos="0" relativeHeight="251658240" behindDoc="0" locked="0" layoutInCell="1" allowOverlap="1" wp14:anchorId="74FDAC62" wp14:editId="20836B47">
            <wp:simplePos x="0" y="0"/>
            <wp:positionH relativeFrom="column">
              <wp:posOffset>66675</wp:posOffset>
            </wp:positionH>
            <wp:positionV relativeFrom="paragraph">
              <wp:posOffset>654314</wp:posOffset>
            </wp:positionV>
            <wp:extent cx="5969635" cy="431165"/>
            <wp:effectExtent l="0" t="0" r="0" b="6985"/>
            <wp:wrapNone/>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69635" cy="431165"/>
                    </a:xfrm>
                    <a:prstGeom prst="rect">
                      <a:avLst/>
                    </a:prstGeom>
                    <a:noFill/>
                    <a:ln>
                      <a:noFill/>
                    </a:ln>
                  </pic:spPr>
                </pic:pic>
              </a:graphicData>
            </a:graphic>
          </wp:anchor>
        </w:drawing>
      </w:r>
      <w:r>
        <w:rPr>
          <w:rFonts w:cs="Arial"/>
          <w:noProof/>
          <w:szCs w:val="24"/>
          <w:lang w:val="es-CO" w:eastAsia="es-CO"/>
        </w:rPr>
        <w:drawing>
          <wp:inline distT="0" distB="0" distL="0" distR="0" wp14:anchorId="03266002" wp14:editId="3E4EE664">
            <wp:extent cx="5934710" cy="1117840"/>
            <wp:effectExtent l="19050" t="19050" r="27940" b="25400"/>
            <wp:docPr id="130" name="Diagrama 1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006D56CF" w14:textId="5C1EE243" w:rsidR="00D33255" w:rsidRPr="00D435C8" w:rsidRDefault="00D33255" w:rsidP="002F1961">
      <w:pPr>
        <w:spacing w:before="100" w:beforeAutospacing="1" w:after="100" w:afterAutospacing="1" w:line="360" w:lineRule="auto"/>
        <w:jc w:val="center"/>
        <w:rPr>
          <w:rFonts w:cs="Arial"/>
          <w:sz w:val="32"/>
          <w:szCs w:val="24"/>
          <w:lang w:val="es-ES"/>
        </w:rPr>
      </w:pPr>
      <w:r w:rsidRPr="00D435C8">
        <w:rPr>
          <w:rFonts w:cs="Arial"/>
          <w:sz w:val="22"/>
          <w:szCs w:val="22"/>
        </w:rPr>
        <w:t>Elaboración</w:t>
      </w:r>
      <w:r w:rsidR="00985C7F" w:rsidRPr="00D435C8">
        <w:rPr>
          <w:rFonts w:cs="Arial"/>
          <w:sz w:val="22"/>
          <w:szCs w:val="22"/>
        </w:rPr>
        <w:t>: CREG</w:t>
      </w:r>
      <w:r w:rsidRPr="00D435C8">
        <w:rPr>
          <w:rFonts w:cs="Arial"/>
          <w:sz w:val="22"/>
          <w:szCs w:val="22"/>
        </w:rPr>
        <w:t>.</w:t>
      </w:r>
    </w:p>
    <w:p w14:paraId="2F6FDF5E" w14:textId="77777777" w:rsidR="00D33255" w:rsidRDefault="00D33255" w:rsidP="002F1961">
      <w:pPr>
        <w:spacing w:before="100" w:beforeAutospacing="1" w:after="100" w:afterAutospacing="1" w:line="360" w:lineRule="auto"/>
        <w:rPr>
          <w:rFonts w:cs="Arial"/>
          <w:szCs w:val="24"/>
        </w:rPr>
      </w:pPr>
      <w:r>
        <w:rPr>
          <w:rFonts w:cs="Arial"/>
          <w:szCs w:val="24"/>
        </w:rPr>
        <w:t>En donde:</w:t>
      </w:r>
    </w:p>
    <w:p w14:paraId="28EEFC9B" w14:textId="52958B65" w:rsidR="00D33255" w:rsidRPr="00BA2229" w:rsidRDefault="00D33255" w:rsidP="002F1961">
      <w:pPr>
        <w:spacing w:before="100" w:beforeAutospacing="1" w:after="100" w:afterAutospacing="1" w:line="360" w:lineRule="auto"/>
        <w:rPr>
          <w:rFonts w:cs="Arial"/>
          <w:b/>
          <w:sz w:val="22"/>
          <w:szCs w:val="18"/>
        </w:rPr>
      </w:pPr>
      <w:r w:rsidRPr="00BA2229">
        <w:rPr>
          <w:position w:val="-6"/>
          <w:sz w:val="22"/>
          <w:szCs w:val="22"/>
        </w:rPr>
        <w:drawing>
          <wp:inline distT="0" distB="0" distL="0" distR="0" wp14:anchorId="0D9F645F" wp14:editId="25694555">
            <wp:extent cx="149860" cy="143510"/>
            <wp:effectExtent l="0" t="0" r="2540" b="8890"/>
            <wp:docPr id="168377186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860" cy="143510"/>
                    </a:xfrm>
                    <a:prstGeom prst="rect">
                      <a:avLst/>
                    </a:prstGeom>
                    <a:noFill/>
                    <a:ln>
                      <a:noFill/>
                    </a:ln>
                  </pic:spPr>
                </pic:pic>
              </a:graphicData>
            </a:graphic>
          </wp:inline>
        </w:drawing>
      </w:r>
      <w:r w:rsidRPr="00BA2229">
        <w:rPr>
          <w:sz w:val="22"/>
          <w:szCs w:val="22"/>
        </w:rPr>
        <w:tab/>
      </w:r>
      <w:r w:rsidRPr="00BA2229">
        <w:rPr>
          <w:rFonts w:cs="Arial"/>
          <w:sz w:val="22"/>
          <w:szCs w:val="18"/>
        </w:rPr>
        <w:t>:</w:t>
      </w:r>
      <w:r w:rsidRPr="00BA2229">
        <w:rPr>
          <w:rFonts w:cs="Arial"/>
          <w:sz w:val="22"/>
          <w:szCs w:val="18"/>
        </w:rPr>
        <w:tab/>
        <w:t xml:space="preserve">Ponderación del precio del butano en el GLP. </w:t>
      </w:r>
    </w:p>
    <w:p w14:paraId="64B6DE72" w14:textId="77777777" w:rsidR="00D33255" w:rsidRPr="00BA2229" w:rsidRDefault="00D33255" w:rsidP="002F1961">
      <w:pPr>
        <w:spacing w:before="100" w:beforeAutospacing="1" w:after="100" w:afterAutospacing="1" w:line="360" w:lineRule="auto"/>
        <w:ind w:left="1410" w:hanging="1410"/>
        <w:rPr>
          <w:rFonts w:cs="Arial"/>
          <w:b/>
          <w:sz w:val="22"/>
          <w:szCs w:val="18"/>
          <w:lang w:val="es-ES"/>
        </w:rPr>
      </w:pPr>
      <w:r w:rsidRPr="00BA2229">
        <w:rPr>
          <w:sz w:val="22"/>
          <w:szCs w:val="18"/>
          <w:lang w:val="es-ES"/>
        </w:rPr>
        <w:t>0.521:</w:t>
      </w:r>
      <w:r w:rsidRPr="00BA2229">
        <w:rPr>
          <w:sz w:val="22"/>
          <w:szCs w:val="18"/>
        </w:rPr>
        <w:tab/>
      </w:r>
      <w:r w:rsidRPr="00BA2229">
        <w:rPr>
          <w:sz w:val="22"/>
          <w:szCs w:val="18"/>
        </w:rPr>
        <w:tab/>
      </w:r>
      <w:r w:rsidRPr="00BA2229">
        <w:rPr>
          <w:rFonts w:cs="Arial"/>
          <w:sz w:val="22"/>
          <w:szCs w:val="18"/>
          <w:lang w:val="es-ES"/>
        </w:rPr>
        <w:t>Inverso de la densidad absoluta del propano. Expresado en galones por kilogramo.</w:t>
      </w:r>
    </w:p>
    <w:p w14:paraId="2387EFA0" w14:textId="77777777" w:rsidR="00D33255" w:rsidRPr="00BA2229" w:rsidRDefault="00D33255" w:rsidP="002F1961">
      <w:pPr>
        <w:spacing w:before="100" w:beforeAutospacing="1" w:after="100" w:afterAutospacing="1" w:line="360" w:lineRule="auto"/>
        <w:ind w:left="1410" w:hanging="1410"/>
        <w:rPr>
          <w:rFonts w:cs="Arial"/>
          <w:b/>
          <w:sz w:val="22"/>
          <w:szCs w:val="18"/>
          <w:lang w:val="es-ES"/>
        </w:rPr>
      </w:pPr>
      <w:r w:rsidRPr="00BA2229">
        <w:rPr>
          <w:sz w:val="22"/>
          <w:szCs w:val="18"/>
          <w:lang w:val="es-ES"/>
        </w:rPr>
        <w:t>0.462:</w:t>
      </w:r>
      <w:r w:rsidRPr="00BA2229">
        <w:rPr>
          <w:sz w:val="22"/>
          <w:szCs w:val="18"/>
        </w:rPr>
        <w:tab/>
      </w:r>
      <w:r w:rsidRPr="00BA2229">
        <w:rPr>
          <w:sz w:val="22"/>
          <w:szCs w:val="18"/>
        </w:rPr>
        <w:tab/>
      </w:r>
      <w:r w:rsidRPr="00BA2229">
        <w:rPr>
          <w:sz w:val="22"/>
          <w:szCs w:val="18"/>
          <w:lang w:val="es-ES"/>
        </w:rPr>
        <w:t xml:space="preserve">Inverso de la densidad absoluta del butano. Expresado en galones por kilogramo. </w:t>
      </w:r>
    </w:p>
    <w:p w14:paraId="7CEA9340" w14:textId="77777777" w:rsidR="00D33255" w:rsidRPr="00BA2229" w:rsidRDefault="00D33255" w:rsidP="002F1961">
      <w:pPr>
        <w:spacing w:before="100" w:beforeAutospacing="1" w:after="100" w:afterAutospacing="1" w:line="360" w:lineRule="auto"/>
        <w:ind w:left="1410" w:hanging="1410"/>
        <w:rPr>
          <w:rFonts w:cs="Arial"/>
          <w:b/>
          <w:sz w:val="22"/>
          <w:szCs w:val="18"/>
          <w:lang w:val="es-ES"/>
        </w:rPr>
      </w:pPr>
      <w:r w:rsidRPr="00BA2229">
        <w:rPr>
          <w:i/>
          <w:sz w:val="22"/>
          <w:szCs w:val="18"/>
          <w:lang w:val="es-ES"/>
        </w:rPr>
        <w:t>PP</w:t>
      </w:r>
      <w:r w:rsidRPr="00BA2229">
        <w:rPr>
          <w:rFonts w:cs="Arial"/>
          <w:i/>
          <w:sz w:val="22"/>
          <w:szCs w:val="18"/>
          <w:vertAlign w:val="subscript"/>
          <w:lang w:val="es-ES"/>
        </w:rPr>
        <w:t>m-</w:t>
      </w:r>
      <w:proofErr w:type="gramStart"/>
      <w:r w:rsidRPr="00BA2229">
        <w:rPr>
          <w:rFonts w:cs="Arial"/>
          <w:i/>
          <w:sz w:val="22"/>
          <w:szCs w:val="18"/>
          <w:vertAlign w:val="subscript"/>
          <w:lang w:val="es-ES"/>
        </w:rPr>
        <w:t>1,j</w:t>
      </w:r>
      <w:proofErr w:type="gramEnd"/>
      <w:r w:rsidRPr="00BA2229">
        <w:rPr>
          <w:rFonts w:cs="Arial"/>
          <w:sz w:val="22"/>
          <w:szCs w:val="18"/>
          <w:lang w:val="es-ES"/>
        </w:rPr>
        <w:t xml:space="preserve"> :</w:t>
      </w:r>
      <w:r w:rsidRPr="00BA2229">
        <w:rPr>
          <w:sz w:val="22"/>
          <w:szCs w:val="18"/>
        </w:rPr>
        <w:tab/>
      </w:r>
      <w:r w:rsidRPr="00BA2229">
        <w:rPr>
          <w:rFonts w:cs="Arial"/>
          <w:sz w:val="22"/>
          <w:szCs w:val="18"/>
          <w:lang w:val="es-ES"/>
        </w:rPr>
        <w:t xml:space="preserve">Precio del Propano NON-TET Mont </w:t>
      </w:r>
      <w:proofErr w:type="spellStart"/>
      <w:r w:rsidRPr="00BA2229">
        <w:rPr>
          <w:rFonts w:cs="Arial"/>
          <w:sz w:val="22"/>
          <w:szCs w:val="18"/>
          <w:lang w:val="es-ES"/>
        </w:rPr>
        <w:t>Belvieu</w:t>
      </w:r>
      <w:proofErr w:type="spellEnd"/>
      <w:r w:rsidRPr="00BA2229">
        <w:rPr>
          <w:rFonts w:cs="Arial"/>
          <w:sz w:val="22"/>
          <w:szCs w:val="18"/>
          <w:lang w:val="es-ES"/>
        </w:rPr>
        <w:t xml:space="preserve"> publicado por </w:t>
      </w:r>
      <w:proofErr w:type="spellStart"/>
      <w:r w:rsidRPr="00BA2229">
        <w:rPr>
          <w:rFonts w:cs="Arial"/>
          <w:sz w:val="22"/>
          <w:szCs w:val="18"/>
          <w:lang w:val="es-ES"/>
        </w:rPr>
        <w:t>Platt’s</w:t>
      </w:r>
      <w:proofErr w:type="spellEnd"/>
      <w:r w:rsidRPr="00BA2229">
        <w:rPr>
          <w:rFonts w:cs="Arial"/>
          <w:sz w:val="22"/>
          <w:szCs w:val="18"/>
          <w:lang w:val="es-ES"/>
        </w:rPr>
        <w:t xml:space="preserve"> para el día </w:t>
      </w:r>
      <w:r w:rsidRPr="00BA2229">
        <w:rPr>
          <w:rFonts w:cs="Arial"/>
          <w:i/>
          <w:sz w:val="22"/>
          <w:szCs w:val="18"/>
          <w:lang w:val="es-ES"/>
        </w:rPr>
        <w:t>j</w:t>
      </w:r>
      <w:r w:rsidRPr="00BA2229">
        <w:rPr>
          <w:rFonts w:cs="Arial"/>
          <w:sz w:val="22"/>
          <w:szCs w:val="18"/>
          <w:lang w:val="es-ES"/>
        </w:rPr>
        <w:t xml:space="preserve"> del mes </w:t>
      </w:r>
      <w:r w:rsidRPr="00BA2229">
        <w:rPr>
          <w:rFonts w:cs="Arial"/>
          <w:i/>
          <w:sz w:val="22"/>
          <w:szCs w:val="18"/>
          <w:lang w:val="es-ES"/>
        </w:rPr>
        <w:t>m-1</w:t>
      </w:r>
      <w:r w:rsidRPr="00BA2229">
        <w:rPr>
          <w:rFonts w:cs="Arial"/>
          <w:sz w:val="22"/>
          <w:szCs w:val="18"/>
          <w:lang w:val="es-ES"/>
        </w:rPr>
        <w:t xml:space="preserve">, expresado en dólares por galón. </w:t>
      </w:r>
    </w:p>
    <w:p w14:paraId="3AEA8B7A" w14:textId="77777777" w:rsidR="00D33255" w:rsidRPr="00BA2229" w:rsidRDefault="00D33255" w:rsidP="002F1961">
      <w:pPr>
        <w:spacing w:before="100" w:beforeAutospacing="1" w:after="100" w:afterAutospacing="1" w:line="360" w:lineRule="auto"/>
        <w:ind w:left="1410" w:hanging="1410"/>
        <w:rPr>
          <w:rFonts w:cs="Arial"/>
          <w:b/>
          <w:sz w:val="22"/>
          <w:szCs w:val="18"/>
          <w:lang w:val="es-ES"/>
        </w:rPr>
      </w:pPr>
      <w:r w:rsidRPr="00BA2229">
        <w:rPr>
          <w:i/>
          <w:sz w:val="22"/>
          <w:szCs w:val="18"/>
          <w:lang w:val="es-ES"/>
        </w:rPr>
        <w:t>PB</w:t>
      </w:r>
      <w:r w:rsidRPr="00BA2229">
        <w:rPr>
          <w:rFonts w:cs="Arial"/>
          <w:i/>
          <w:sz w:val="22"/>
          <w:szCs w:val="18"/>
          <w:vertAlign w:val="subscript"/>
          <w:lang w:val="es-ES"/>
        </w:rPr>
        <w:t>m-</w:t>
      </w:r>
      <w:proofErr w:type="gramStart"/>
      <w:r w:rsidRPr="00BA2229">
        <w:rPr>
          <w:rFonts w:cs="Arial"/>
          <w:i/>
          <w:sz w:val="22"/>
          <w:szCs w:val="18"/>
          <w:vertAlign w:val="subscript"/>
          <w:lang w:val="es-ES"/>
        </w:rPr>
        <w:t>1,j</w:t>
      </w:r>
      <w:proofErr w:type="gramEnd"/>
      <w:r w:rsidRPr="00BA2229">
        <w:rPr>
          <w:rFonts w:cs="Arial"/>
          <w:sz w:val="22"/>
          <w:szCs w:val="18"/>
          <w:lang w:val="es-ES"/>
        </w:rPr>
        <w:t xml:space="preserve"> :</w:t>
      </w:r>
      <w:r w:rsidRPr="00BA2229">
        <w:rPr>
          <w:sz w:val="22"/>
          <w:szCs w:val="18"/>
        </w:rPr>
        <w:tab/>
      </w:r>
      <w:r w:rsidRPr="00BA2229">
        <w:rPr>
          <w:rFonts w:cs="Arial"/>
          <w:sz w:val="22"/>
          <w:szCs w:val="18"/>
          <w:lang w:val="es-ES"/>
        </w:rPr>
        <w:t xml:space="preserve">Precio del Normal Butano NON-TET Mont </w:t>
      </w:r>
      <w:proofErr w:type="spellStart"/>
      <w:r w:rsidRPr="00BA2229">
        <w:rPr>
          <w:rFonts w:cs="Arial"/>
          <w:sz w:val="22"/>
          <w:szCs w:val="18"/>
          <w:lang w:val="es-ES"/>
        </w:rPr>
        <w:t>Belvieu</w:t>
      </w:r>
      <w:proofErr w:type="spellEnd"/>
      <w:r w:rsidRPr="00BA2229">
        <w:rPr>
          <w:rFonts w:cs="Arial"/>
          <w:sz w:val="22"/>
          <w:szCs w:val="18"/>
          <w:lang w:val="es-ES"/>
        </w:rPr>
        <w:t xml:space="preserve"> publicado por </w:t>
      </w:r>
      <w:proofErr w:type="spellStart"/>
      <w:r w:rsidRPr="00BA2229">
        <w:rPr>
          <w:rFonts w:cs="Arial"/>
          <w:sz w:val="22"/>
          <w:szCs w:val="18"/>
          <w:lang w:val="es-ES"/>
        </w:rPr>
        <w:t>Platt’s</w:t>
      </w:r>
      <w:proofErr w:type="spellEnd"/>
      <w:r w:rsidRPr="00BA2229">
        <w:rPr>
          <w:rFonts w:cs="Arial"/>
          <w:sz w:val="22"/>
          <w:szCs w:val="18"/>
          <w:lang w:val="es-ES"/>
        </w:rPr>
        <w:t xml:space="preserve"> para el día </w:t>
      </w:r>
      <w:r w:rsidRPr="00BA2229">
        <w:rPr>
          <w:rFonts w:cs="Arial"/>
          <w:i/>
          <w:sz w:val="22"/>
          <w:szCs w:val="18"/>
          <w:lang w:val="es-ES"/>
        </w:rPr>
        <w:t>j</w:t>
      </w:r>
      <w:r w:rsidRPr="00BA2229">
        <w:rPr>
          <w:rFonts w:cs="Arial"/>
          <w:sz w:val="22"/>
          <w:szCs w:val="18"/>
          <w:lang w:val="es-ES"/>
        </w:rPr>
        <w:t xml:space="preserve"> del mes </w:t>
      </w:r>
      <w:r w:rsidRPr="00BA2229">
        <w:rPr>
          <w:rFonts w:cs="Arial"/>
          <w:i/>
          <w:sz w:val="22"/>
          <w:szCs w:val="18"/>
          <w:lang w:val="es-ES"/>
        </w:rPr>
        <w:t>m-1</w:t>
      </w:r>
      <w:r w:rsidRPr="00BA2229">
        <w:rPr>
          <w:rFonts w:cs="Arial"/>
          <w:sz w:val="22"/>
          <w:szCs w:val="18"/>
          <w:lang w:val="es-ES"/>
        </w:rPr>
        <w:t xml:space="preserve">, expresado en dólares por galón. </w:t>
      </w:r>
    </w:p>
    <w:p w14:paraId="32EFA22E" w14:textId="77777777" w:rsidR="00D33255" w:rsidRPr="00BA2229" w:rsidRDefault="00D33255" w:rsidP="002F1961">
      <w:pPr>
        <w:spacing w:before="100" w:beforeAutospacing="1" w:after="100" w:afterAutospacing="1" w:line="360" w:lineRule="auto"/>
        <w:ind w:left="1410" w:hanging="1410"/>
        <w:rPr>
          <w:rFonts w:cs="Arial"/>
          <w:b/>
          <w:sz w:val="22"/>
          <w:szCs w:val="18"/>
          <w:lang w:val="es-ES"/>
        </w:rPr>
      </w:pPr>
      <w:r w:rsidRPr="00BA2229">
        <w:rPr>
          <w:i/>
          <w:sz w:val="22"/>
          <w:szCs w:val="18"/>
          <w:lang w:val="es-ES"/>
        </w:rPr>
        <w:t>TRM</w:t>
      </w:r>
      <w:r w:rsidRPr="00BA2229">
        <w:rPr>
          <w:rFonts w:cs="Arial"/>
          <w:i/>
          <w:sz w:val="22"/>
          <w:szCs w:val="18"/>
          <w:vertAlign w:val="subscript"/>
          <w:lang w:val="es-ES"/>
        </w:rPr>
        <w:t>m-1</w:t>
      </w:r>
      <w:r w:rsidRPr="00BA2229">
        <w:rPr>
          <w:rFonts w:cs="Arial"/>
          <w:sz w:val="22"/>
          <w:szCs w:val="18"/>
          <w:lang w:val="es-ES"/>
        </w:rPr>
        <w:t>:</w:t>
      </w:r>
      <w:r w:rsidRPr="00BA2229">
        <w:rPr>
          <w:sz w:val="22"/>
          <w:szCs w:val="18"/>
        </w:rPr>
        <w:tab/>
      </w:r>
      <w:r w:rsidRPr="00BA2229">
        <w:rPr>
          <w:rFonts w:cs="Arial"/>
          <w:sz w:val="22"/>
          <w:szCs w:val="18"/>
          <w:lang w:val="es-ES"/>
        </w:rPr>
        <w:t xml:space="preserve">Tasa Representativa del Mercado reportada por la Superintendencia Financiera para el último día del mes </w:t>
      </w:r>
      <w:r w:rsidRPr="00BA2229">
        <w:rPr>
          <w:rFonts w:cs="Arial"/>
          <w:i/>
          <w:sz w:val="22"/>
          <w:szCs w:val="18"/>
          <w:lang w:val="es-ES"/>
        </w:rPr>
        <w:t>m-1</w:t>
      </w:r>
      <w:r w:rsidRPr="00BA2229">
        <w:rPr>
          <w:rFonts w:cs="Arial"/>
          <w:sz w:val="22"/>
          <w:szCs w:val="18"/>
          <w:lang w:val="es-ES"/>
        </w:rPr>
        <w:t xml:space="preserve">. </w:t>
      </w:r>
    </w:p>
    <w:p w14:paraId="26FD027D" w14:textId="77777777" w:rsidR="00D33255" w:rsidRPr="00BA2229" w:rsidRDefault="00D33255" w:rsidP="002F1961">
      <w:pPr>
        <w:spacing w:before="100" w:beforeAutospacing="1" w:after="100" w:afterAutospacing="1" w:line="360" w:lineRule="auto"/>
        <w:ind w:left="1410" w:hanging="1410"/>
        <w:rPr>
          <w:rFonts w:cs="Arial"/>
          <w:b/>
          <w:sz w:val="22"/>
          <w:szCs w:val="18"/>
          <w:lang w:val="es-ES"/>
        </w:rPr>
      </w:pPr>
      <w:r w:rsidRPr="00BA2229">
        <w:rPr>
          <w:i/>
          <w:sz w:val="22"/>
          <w:szCs w:val="18"/>
          <w:lang w:val="es-ES"/>
        </w:rPr>
        <w:lastRenderedPageBreak/>
        <w:t>CE</w:t>
      </w:r>
      <w:r w:rsidRPr="00BA2229">
        <w:rPr>
          <w:rFonts w:cs="Arial"/>
          <w:i/>
          <w:sz w:val="22"/>
          <w:szCs w:val="18"/>
          <w:vertAlign w:val="subscript"/>
          <w:lang w:val="es-ES"/>
        </w:rPr>
        <w:t>m-1</w:t>
      </w:r>
      <w:r w:rsidRPr="00BA2229">
        <w:rPr>
          <w:rFonts w:cs="Arial"/>
          <w:i/>
          <w:sz w:val="22"/>
          <w:szCs w:val="18"/>
          <w:lang w:val="es-ES"/>
        </w:rPr>
        <w:t>:</w:t>
      </w:r>
      <w:r w:rsidRPr="00BA2229">
        <w:rPr>
          <w:sz w:val="22"/>
          <w:szCs w:val="18"/>
        </w:rPr>
        <w:tab/>
      </w:r>
      <w:r w:rsidRPr="00BA2229">
        <w:rPr>
          <w:sz w:val="22"/>
          <w:szCs w:val="18"/>
        </w:rPr>
        <w:tab/>
      </w:r>
      <w:r w:rsidRPr="00BA2229">
        <w:rPr>
          <w:rFonts w:cs="Arial"/>
          <w:sz w:val="22"/>
          <w:szCs w:val="18"/>
          <w:lang w:val="es-ES"/>
        </w:rPr>
        <w:t xml:space="preserve">Costo de Embarque en puerto colombiano vigente para el mes </w:t>
      </w:r>
      <w:r w:rsidRPr="00BA2229">
        <w:rPr>
          <w:rFonts w:cs="Arial"/>
          <w:i/>
          <w:sz w:val="22"/>
          <w:szCs w:val="18"/>
          <w:lang w:val="es-ES"/>
        </w:rPr>
        <w:t>m-1</w:t>
      </w:r>
      <w:r w:rsidRPr="00BA2229">
        <w:rPr>
          <w:rFonts w:cs="Arial"/>
          <w:sz w:val="22"/>
          <w:szCs w:val="18"/>
          <w:lang w:val="es-ES"/>
        </w:rPr>
        <w:t xml:space="preserve"> y expresado en pesos por kilogramo.   Mientras la CREG no defina otro valor éste se tomará como cero (0).</w:t>
      </w:r>
    </w:p>
    <w:p w14:paraId="0AD6BB8A" w14:textId="77777777" w:rsidR="00D33255" w:rsidRPr="00BA2229" w:rsidRDefault="00D33255" w:rsidP="002F1961">
      <w:pPr>
        <w:spacing w:before="100" w:beforeAutospacing="1" w:after="100" w:afterAutospacing="1" w:line="360" w:lineRule="auto"/>
        <w:ind w:left="1410" w:hanging="1410"/>
        <w:rPr>
          <w:sz w:val="22"/>
          <w:szCs w:val="18"/>
        </w:rPr>
      </w:pPr>
      <w:proofErr w:type="gramStart"/>
      <w:r w:rsidRPr="00BA2229">
        <w:rPr>
          <w:i/>
          <w:sz w:val="22"/>
          <w:szCs w:val="18"/>
          <w:lang w:val="es-ES"/>
        </w:rPr>
        <w:t>T</w:t>
      </w:r>
      <w:r w:rsidRPr="00BA2229">
        <w:rPr>
          <w:i/>
          <w:sz w:val="22"/>
          <w:szCs w:val="18"/>
          <w:vertAlign w:val="subscript"/>
          <w:lang w:val="es-ES"/>
        </w:rPr>
        <w:t>PCB,m</w:t>
      </w:r>
      <w:proofErr w:type="gramEnd"/>
      <w:r w:rsidRPr="00BA2229">
        <w:rPr>
          <w:i/>
          <w:sz w:val="22"/>
          <w:szCs w:val="18"/>
          <w:vertAlign w:val="subscript"/>
          <w:lang w:val="es-ES"/>
        </w:rPr>
        <w:t>-1</w:t>
      </w:r>
      <w:r w:rsidRPr="00BA2229">
        <w:rPr>
          <w:i/>
          <w:sz w:val="22"/>
          <w:szCs w:val="18"/>
          <w:lang w:val="es-ES"/>
        </w:rPr>
        <w:t>:</w:t>
      </w:r>
      <w:r w:rsidRPr="00BA2229">
        <w:rPr>
          <w:sz w:val="22"/>
          <w:szCs w:val="18"/>
        </w:rPr>
        <w:tab/>
      </w:r>
      <w:r w:rsidRPr="00BA2229">
        <w:rPr>
          <w:sz w:val="22"/>
          <w:szCs w:val="18"/>
          <w:lang w:val="es-ES"/>
        </w:rPr>
        <w:t xml:space="preserve">Costo de transporte por </w:t>
      </w:r>
      <w:proofErr w:type="spellStart"/>
      <w:r w:rsidRPr="00BA2229">
        <w:rPr>
          <w:sz w:val="22"/>
          <w:szCs w:val="18"/>
          <w:lang w:val="es-ES"/>
        </w:rPr>
        <w:t>propanoducto</w:t>
      </w:r>
      <w:proofErr w:type="spellEnd"/>
      <w:r w:rsidRPr="00BA2229">
        <w:rPr>
          <w:sz w:val="22"/>
          <w:szCs w:val="18"/>
          <w:lang w:val="es-ES"/>
        </w:rPr>
        <w:t xml:space="preserve"> de Pozos Colorados a Barrancabermeja, vigente para el mes </w:t>
      </w:r>
      <w:r w:rsidRPr="00BA2229">
        <w:rPr>
          <w:i/>
          <w:sz w:val="22"/>
          <w:szCs w:val="18"/>
          <w:lang w:val="es-ES"/>
        </w:rPr>
        <w:t>m-1</w:t>
      </w:r>
      <w:r w:rsidRPr="00BA2229">
        <w:rPr>
          <w:sz w:val="22"/>
          <w:szCs w:val="18"/>
          <w:lang w:val="es-ES"/>
        </w:rPr>
        <w:t xml:space="preserve"> y expresado en pesos por kilogramo. Este costo se determinará de conformidad con la metodología que para el efecto establezca la CREG.</w:t>
      </w:r>
    </w:p>
    <w:p w14:paraId="7866B875" w14:textId="77777777" w:rsidR="00D33255" w:rsidRPr="00BA2229" w:rsidRDefault="00D33255" w:rsidP="002F1961">
      <w:pPr>
        <w:spacing w:before="100" w:beforeAutospacing="1" w:after="100" w:afterAutospacing="1" w:line="360" w:lineRule="auto"/>
        <w:ind w:left="1410" w:hanging="1410"/>
        <w:rPr>
          <w:rFonts w:cs="Arial"/>
          <w:b/>
          <w:sz w:val="22"/>
          <w:szCs w:val="18"/>
          <w:lang w:val="es-ES"/>
        </w:rPr>
      </w:pPr>
      <w:r w:rsidRPr="00BA2229">
        <w:rPr>
          <w:sz w:val="22"/>
          <w:szCs w:val="18"/>
          <w:lang w:val="es-ES"/>
        </w:rPr>
        <w:t xml:space="preserve">n   </w:t>
      </w:r>
      <w:proofErr w:type="gramStart"/>
      <w:r w:rsidRPr="00BA2229">
        <w:rPr>
          <w:sz w:val="22"/>
          <w:szCs w:val="18"/>
          <w:lang w:val="es-ES"/>
        </w:rPr>
        <w:t xml:space="preserve">  :</w:t>
      </w:r>
      <w:proofErr w:type="gramEnd"/>
      <w:r w:rsidRPr="00BA2229">
        <w:rPr>
          <w:sz w:val="22"/>
          <w:szCs w:val="18"/>
        </w:rPr>
        <w:tab/>
      </w:r>
      <w:r w:rsidRPr="00BA2229">
        <w:rPr>
          <w:sz w:val="22"/>
          <w:szCs w:val="18"/>
        </w:rPr>
        <w:tab/>
      </w:r>
      <w:r w:rsidRPr="00BA2229">
        <w:rPr>
          <w:sz w:val="22"/>
          <w:szCs w:val="18"/>
          <w:lang w:val="es-ES"/>
        </w:rPr>
        <w:t xml:space="preserve">Número de días del mes </w:t>
      </w:r>
      <w:r w:rsidRPr="00BA2229">
        <w:rPr>
          <w:rFonts w:cs="Arial"/>
          <w:i/>
          <w:sz w:val="22"/>
          <w:szCs w:val="18"/>
          <w:lang w:val="es-ES"/>
        </w:rPr>
        <w:t xml:space="preserve">m-1 </w:t>
      </w:r>
      <w:r w:rsidRPr="00BA2229">
        <w:rPr>
          <w:rFonts w:cs="Arial"/>
          <w:sz w:val="22"/>
          <w:szCs w:val="18"/>
          <w:lang w:val="es-ES"/>
        </w:rPr>
        <w:t xml:space="preserve">para los cuales hay información de precios de propano y butano en </w:t>
      </w:r>
      <w:proofErr w:type="spellStart"/>
      <w:r w:rsidRPr="00BA2229">
        <w:rPr>
          <w:rFonts w:cs="Arial"/>
          <w:sz w:val="22"/>
          <w:szCs w:val="18"/>
          <w:lang w:val="es-ES"/>
        </w:rPr>
        <w:t>Platt’s</w:t>
      </w:r>
      <w:proofErr w:type="spellEnd"/>
      <w:r w:rsidRPr="00BA2229">
        <w:rPr>
          <w:rFonts w:cs="Arial"/>
          <w:sz w:val="22"/>
          <w:szCs w:val="18"/>
          <w:lang w:val="es-ES"/>
        </w:rPr>
        <w:t>.</w:t>
      </w:r>
    </w:p>
    <w:p w14:paraId="203EFBEC" w14:textId="77777777" w:rsidR="00D33255" w:rsidRPr="001E1CA3" w:rsidRDefault="00D33255" w:rsidP="002F1961">
      <w:pPr>
        <w:spacing w:before="100" w:beforeAutospacing="1" w:after="100" w:afterAutospacing="1" w:line="360" w:lineRule="auto"/>
        <w:rPr>
          <w:rFonts w:cs="Arial"/>
          <w:spacing w:val="-3"/>
          <w:lang w:val="es-ES"/>
        </w:rPr>
      </w:pPr>
      <w:r>
        <w:rPr>
          <w:rFonts w:cs="Arial"/>
          <w:szCs w:val="24"/>
        </w:rPr>
        <w:t xml:space="preserve">En el caso de la Refinería de Cartagena, debido a su ubicación y función como punto de exportación, el precio máximo corresponde solamente al promedio de los precios de propano y butano. Para las fuentes de producción nacional para las cuales la CREG ha identificado que el destino natural del producto es la atención de la demanda interna, </w:t>
      </w:r>
      <w:r w:rsidRPr="001E1CA3">
        <w:rPr>
          <w:rFonts w:cs="Arial"/>
          <w:spacing w:val="-3"/>
          <w:lang w:val="es-ES"/>
        </w:rPr>
        <w:t xml:space="preserve">al </w:t>
      </w:r>
      <w:r>
        <w:rPr>
          <w:rFonts w:cs="Arial"/>
          <w:spacing w:val="-3"/>
          <w:lang w:val="es-ES"/>
        </w:rPr>
        <w:t xml:space="preserve">promedio de precios </w:t>
      </w:r>
      <w:r w:rsidRPr="001E1CA3">
        <w:rPr>
          <w:rFonts w:cs="Arial"/>
          <w:spacing w:val="-3"/>
          <w:lang w:val="es-ES"/>
        </w:rPr>
        <w:t>se descuenta</w:t>
      </w:r>
      <w:r>
        <w:rPr>
          <w:rFonts w:cs="Arial"/>
          <w:spacing w:val="-3"/>
          <w:lang w:val="es-ES"/>
        </w:rPr>
        <w:t xml:space="preserve"> el costo de transporte desde el interior hasta el punto de exportación. Hasta el momento el costo de embarque se mantiene en cero (0)</w:t>
      </w:r>
      <w:r w:rsidRPr="001E1CA3">
        <w:rPr>
          <w:rStyle w:val="Refdenotaalpie"/>
          <w:rFonts w:cs="Arial"/>
          <w:spacing w:val="-3"/>
          <w:lang w:val="es-ES"/>
        </w:rPr>
        <w:footnoteReference w:id="9"/>
      </w:r>
      <w:r w:rsidRPr="001E1CA3">
        <w:rPr>
          <w:rFonts w:cs="Arial"/>
          <w:spacing w:val="-3"/>
          <w:lang w:val="es-ES"/>
        </w:rPr>
        <w:t>.</w:t>
      </w:r>
    </w:p>
    <w:p w14:paraId="7F49D0A7" w14:textId="77777777" w:rsidR="00D33255" w:rsidRPr="00EA2329" w:rsidRDefault="00D33255" w:rsidP="00674E25">
      <w:pPr>
        <w:pStyle w:val="Ttulo4"/>
        <w:spacing w:before="100" w:beforeAutospacing="1" w:after="100" w:afterAutospacing="1" w:line="360" w:lineRule="auto"/>
        <w:ind w:left="851" w:hanging="851"/>
        <w:rPr>
          <w:rFonts w:cs="Arial"/>
          <w:lang w:val="es-ES"/>
        </w:rPr>
      </w:pPr>
      <w:r w:rsidRPr="00BB047E">
        <w:rPr>
          <w:rFonts w:cs="Arial"/>
          <w:bCs/>
          <w:lang w:val="es-ES"/>
        </w:rPr>
        <w:t>Precios</w:t>
      </w:r>
      <w:r w:rsidRPr="00BB047E">
        <w:rPr>
          <w:rFonts w:cs="Arial"/>
          <w:lang w:val="es-ES"/>
        </w:rPr>
        <w:t xml:space="preserve"> máximos </w:t>
      </w:r>
      <w:r w:rsidRPr="00BB047E">
        <w:rPr>
          <w:rFonts w:cs="Arial"/>
          <w:bCs/>
          <w:lang w:val="es-ES"/>
        </w:rPr>
        <w:t xml:space="preserve">de suministro </w:t>
      </w:r>
    </w:p>
    <w:p w14:paraId="0D28E3FD" w14:textId="55D9BE8B" w:rsidR="00FF4BC2" w:rsidRDefault="003B359F" w:rsidP="002F1961">
      <w:pPr>
        <w:spacing w:before="100" w:beforeAutospacing="1" w:after="100" w:afterAutospacing="1" w:line="360" w:lineRule="auto"/>
        <w:rPr>
          <w:rFonts w:cs="Arial"/>
        </w:rPr>
      </w:pPr>
      <w:r>
        <w:rPr>
          <w:rFonts w:cs="Arial"/>
        </w:rPr>
        <w:t xml:space="preserve">Frente a </w:t>
      </w:r>
      <w:r w:rsidR="009C5A98">
        <w:rPr>
          <w:rFonts w:cs="Arial"/>
        </w:rPr>
        <w:t xml:space="preserve">la definición de los precios máximos de suministro de GLP, </w:t>
      </w:r>
      <w:r w:rsidR="00696E76">
        <w:rPr>
          <w:rFonts w:cs="Arial"/>
        </w:rPr>
        <w:t xml:space="preserve">en el año 2007 </w:t>
      </w:r>
      <w:r w:rsidR="009C5A98">
        <w:rPr>
          <w:rFonts w:cs="Arial"/>
        </w:rPr>
        <w:t>la Comisión</w:t>
      </w:r>
      <w:r w:rsidR="00C41BBF">
        <w:rPr>
          <w:rFonts w:cs="Arial"/>
        </w:rPr>
        <w:t xml:space="preserve"> realizó los análisis pertinentes en cuanto a los balances de oferta – demanda y </w:t>
      </w:r>
      <w:r w:rsidR="002E1596">
        <w:rPr>
          <w:rFonts w:cs="Arial"/>
        </w:rPr>
        <w:t xml:space="preserve">la posición dominante y promoción de la competencia en </w:t>
      </w:r>
      <w:r w:rsidR="00E7529E">
        <w:rPr>
          <w:rFonts w:cs="Arial"/>
        </w:rPr>
        <w:t>este segmento del mercado de GLP</w:t>
      </w:r>
      <w:r w:rsidR="007E17FB">
        <w:rPr>
          <w:rFonts w:cs="Arial"/>
        </w:rPr>
        <w:t>, en su Documento CREG 034</w:t>
      </w:r>
      <w:r w:rsidR="003924ED">
        <w:rPr>
          <w:rFonts w:cs="Arial"/>
        </w:rPr>
        <w:t xml:space="preserve"> de 2007</w:t>
      </w:r>
      <w:r w:rsidR="00912EE5">
        <w:rPr>
          <w:rFonts w:cs="Arial"/>
        </w:rPr>
        <w:t>, indicó lo siguiente:</w:t>
      </w:r>
    </w:p>
    <w:p w14:paraId="72ABDBBF" w14:textId="2BBCAFE5" w:rsidR="00696E76" w:rsidRPr="00C77649" w:rsidRDefault="00C77649" w:rsidP="002F1961">
      <w:pPr>
        <w:spacing w:before="100" w:beforeAutospacing="1" w:after="100" w:afterAutospacing="1" w:line="360" w:lineRule="auto"/>
        <w:ind w:left="567"/>
        <w:rPr>
          <w:rFonts w:cs="Arial"/>
          <w:i/>
          <w:sz w:val="22"/>
          <w:szCs w:val="18"/>
        </w:rPr>
      </w:pPr>
      <w:r w:rsidRPr="00C77649">
        <w:rPr>
          <w:rFonts w:cs="Arial"/>
          <w:i/>
          <w:iCs/>
          <w:sz w:val="22"/>
          <w:szCs w:val="18"/>
        </w:rPr>
        <w:t>“</w:t>
      </w:r>
      <w:r w:rsidR="00696E76" w:rsidRPr="00C77649">
        <w:rPr>
          <w:rFonts w:cs="Arial"/>
          <w:i/>
          <w:sz w:val="22"/>
          <w:szCs w:val="18"/>
        </w:rPr>
        <w:t>Históricamente la demanda doméstica de GLP con destino al servicio público domiciliario del interior del país ha sido abastecida principalmente por la refinería de Barrancabermeja mientras que la costa Atlántica tiene como fuente de abastecimiento predominante la Refinería de Cartagena. Como puede observarse en la Figura 7, la refinería de Barranca ha atendido desde el año 2001 más del 85% de la demanda nacional. La proporción de demanda del interior atendida con el gas del campo de Apiay es mínima (inferior al 5%).</w:t>
      </w:r>
    </w:p>
    <w:p w14:paraId="1D6FE46D" w14:textId="4549821E" w:rsidR="00696E76" w:rsidRPr="00C77649" w:rsidRDefault="00696E76" w:rsidP="002F1961">
      <w:pPr>
        <w:spacing w:before="100" w:beforeAutospacing="1" w:after="100" w:afterAutospacing="1" w:line="360" w:lineRule="auto"/>
        <w:ind w:left="567"/>
        <w:rPr>
          <w:rFonts w:cs="Arial"/>
          <w:i/>
          <w:sz w:val="22"/>
          <w:szCs w:val="18"/>
        </w:rPr>
      </w:pPr>
      <w:r w:rsidRPr="00C77649">
        <w:rPr>
          <w:rFonts w:cs="Arial"/>
          <w:i/>
          <w:sz w:val="22"/>
          <w:szCs w:val="18"/>
        </w:rPr>
        <w:lastRenderedPageBreak/>
        <w:t>Como lo ha expresado ECOPETROL, y se ha analizado previamente en este documento, el GLP producido en las refinerías de Barrancabermeja y Cartagena puede ser exportado o, algunas de sus corrientes y en particular el propileno, pueden ser suministradas a la industria petroquímica. En cuanto al GLP de Apiay, dada su situación geográfica, el costo de oportunidad es el precio máximo al que pueda suministrarlo en el mercado del interior.</w:t>
      </w:r>
    </w:p>
    <w:p w14:paraId="33DB1392" w14:textId="7CC199EE" w:rsidR="009C5A98" w:rsidRPr="00C77649" w:rsidRDefault="00696E76" w:rsidP="002F1961">
      <w:pPr>
        <w:spacing w:before="100" w:beforeAutospacing="1" w:after="100" w:afterAutospacing="1" w:line="360" w:lineRule="auto"/>
        <w:ind w:left="567"/>
        <w:rPr>
          <w:rFonts w:cs="Arial"/>
          <w:i/>
          <w:sz w:val="22"/>
          <w:szCs w:val="18"/>
        </w:rPr>
      </w:pPr>
      <w:r w:rsidRPr="00C77649">
        <w:rPr>
          <w:rFonts w:cs="Arial"/>
          <w:i/>
          <w:sz w:val="22"/>
          <w:szCs w:val="18"/>
        </w:rPr>
        <w:t xml:space="preserve">Por todo lo anterior, </w:t>
      </w:r>
      <w:r w:rsidRPr="00F350B5">
        <w:rPr>
          <w:rFonts w:cs="Arial"/>
          <w:i/>
          <w:sz w:val="22"/>
          <w:szCs w:val="18"/>
          <w:u w:val="single"/>
        </w:rPr>
        <w:t>se propone emplear una regulación de precios que remunere la</w:t>
      </w:r>
      <w:r w:rsidR="00C77649" w:rsidRPr="00F350B5">
        <w:rPr>
          <w:rFonts w:cs="Arial"/>
          <w:i/>
          <w:sz w:val="22"/>
          <w:szCs w:val="18"/>
          <w:u w:val="single"/>
        </w:rPr>
        <w:t xml:space="preserve"> </w:t>
      </w:r>
      <w:r w:rsidRPr="00F350B5">
        <w:rPr>
          <w:rFonts w:cs="Arial"/>
          <w:i/>
          <w:sz w:val="22"/>
          <w:szCs w:val="18"/>
          <w:u w:val="single"/>
        </w:rPr>
        <w:t>paridad de exportación para el GLP producido en Barrancabermeja como precio máximo</w:t>
      </w:r>
      <w:r w:rsidR="00C77649" w:rsidRPr="00F350B5">
        <w:rPr>
          <w:rFonts w:cs="Arial"/>
          <w:i/>
          <w:sz w:val="22"/>
          <w:szCs w:val="18"/>
          <w:u w:val="single"/>
        </w:rPr>
        <w:t xml:space="preserve"> </w:t>
      </w:r>
      <w:r w:rsidRPr="00F350B5">
        <w:rPr>
          <w:rFonts w:cs="Arial"/>
          <w:i/>
          <w:sz w:val="22"/>
          <w:szCs w:val="18"/>
          <w:u w:val="single"/>
        </w:rPr>
        <w:t>al que puede suministrar ECOPETROL el GLP al mercado del interior</w:t>
      </w:r>
      <w:r w:rsidRPr="00C77649">
        <w:rPr>
          <w:rFonts w:cs="Arial"/>
          <w:i/>
          <w:sz w:val="22"/>
          <w:szCs w:val="18"/>
        </w:rPr>
        <w:t>, esto significa que</w:t>
      </w:r>
      <w:r w:rsidR="00C77649" w:rsidRPr="00C77649">
        <w:rPr>
          <w:rFonts w:cs="Arial"/>
          <w:i/>
          <w:iCs/>
          <w:sz w:val="22"/>
          <w:szCs w:val="18"/>
        </w:rPr>
        <w:t xml:space="preserve"> </w:t>
      </w:r>
      <w:r w:rsidRPr="00C77649">
        <w:rPr>
          <w:rFonts w:cs="Arial"/>
          <w:i/>
          <w:sz w:val="22"/>
          <w:szCs w:val="18"/>
        </w:rPr>
        <w:t>dicho precio regulado aplica también al GLP procedente de Apiay y que representa poco</w:t>
      </w:r>
      <w:r w:rsidR="00C77649" w:rsidRPr="00C77649">
        <w:rPr>
          <w:rFonts w:cs="Arial"/>
          <w:i/>
          <w:iCs/>
          <w:sz w:val="22"/>
          <w:szCs w:val="18"/>
        </w:rPr>
        <w:t xml:space="preserve"> </w:t>
      </w:r>
      <w:r w:rsidRPr="00C77649">
        <w:rPr>
          <w:rFonts w:cs="Arial"/>
          <w:i/>
          <w:sz w:val="22"/>
          <w:szCs w:val="18"/>
        </w:rPr>
        <w:t>más del 4% del consumo nacional. El GLP procedente de Cartagena también tiene como</w:t>
      </w:r>
      <w:r w:rsidR="00C77649" w:rsidRPr="00C77649">
        <w:rPr>
          <w:rFonts w:cs="Arial"/>
          <w:i/>
          <w:iCs/>
          <w:sz w:val="22"/>
          <w:szCs w:val="18"/>
        </w:rPr>
        <w:t xml:space="preserve"> </w:t>
      </w:r>
      <w:r w:rsidRPr="00C77649">
        <w:rPr>
          <w:rFonts w:cs="Arial"/>
          <w:i/>
          <w:sz w:val="22"/>
          <w:szCs w:val="18"/>
        </w:rPr>
        <w:t>precio máximo regulado la paridad de exportación determinada para dicho punto de</w:t>
      </w:r>
      <w:r w:rsidR="00C77649" w:rsidRPr="00C77649">
        <w:rPr>
          <w:rFonts w:cs="Arial"/>
          <w:i/>
          <w:iCs/>
          <w:sz w:val="22"/>
          <w:szCs w:val="18"/>
        </w:rPr>
        <w:t xml:space="preserve"> </w:t>
      </w:r>
      <w:r w:rsidRPr="00C77649">
        <w:rPr>
          <w:rFonts w:cs="Arial"/>
          <w:i/>
          <w:sz w:val="22"/>
          <w:szCs w:val="18"/>
        </w:rPr>
        <w:t>suministro</w:t>
      </w:r>
      <w:r w:rsidR="00C77649" w:rsidRPr="00C77649">
        <w:rPr>
          <w:rFonts w:cs="Arial"/>
          <w:i/>
          <w:iCs/>
          <w:sz w:val="22"/>
          <w:szCs w:val="18"/>
        </w:rPr>
        <w:t>”</w:t>
      </w:r>
      <w:r w:rsidRPr="00C77649">
        <w:rPr>
          <w:rFonts w:cs="Arial"/>
          <w:i/>
          <w:iCs/>
          <w:sz w:val="22"/>
          <w:szCs w:val="18"/>
        </w:rPr>
        <w:t>.</w:t>
      </w:r>
      <w:r w:rsidR="00F350B5">
        <w:rPr>
          <w:rFonts w:cs="Arial"/>
          <w:i/>
          <w:iCs/>
          <w:sz w:val="22"/>
          <w:szCs w:val="18"/>
        </w:rPr>
        <w:t xml:space="preserve"> Subrayado fuera de texto</w:t>
      </w:r>
    </w:p>
    <w:p w14:paraId="3C8C3015" w14:textId="7ECB2F95" w:rsidR="00D33255" w:rsidRDefault="00D33255" w:rsidP="002F1961">
      <w:pPr>
        <w:spacing w:before="100" w:beforeAutospacing="1" w:after="100" w:afterAutospacing="1" w:line="360" w:lineRule="auto"/>
        <w:rPr>
          <w:rFonts w:cs="Arial"/>
        </w:rPr>
      </w:pPr>
      <w:r>
        <w:rPr>
          <w:rFonts w:cs="Arial"/>
        </w:rPr>
        <w:t xml:space="preserve">Como se mencionó previamente, </w:t>
      </w:r>
      <w:r w:rsidR="00F350B5">
        <w:rPr>
          <w:rFonts w:cs="Arial"/>
        </w:rPr>
        <w:t xml:space="preserve">y teniendo en cuenta los análisis realizados por la Comisión en el marco de la consulta pública, </w:t>
      </w:r>
      <w:r>
        <w:rPr>
          <w:rFonts w:cs="Arial"/>
        </w:rPr>
        <w:t xml:space="preserve">en la resolución CREG 066 de 2007 se define </w:t>
      </w:r>
      <w:r w:rsidRPr="001E1CA3">
        <w:rPr>
          <w:rFonts w:cs="Arial"/>
          <w:lang w:val="es-ES"/>
        </w:rPr>
        <w:t>la regulación de precios de suministro de GLP</w:t>
      </w:r>
      <w:r>
        <w:rPr>
          <w:rFonts w:cs="Arial"/>
          <w:lang w:val="es-ES"/>
        </w:rPr>
        <w:t xml:space="preserve"> </w:t>
      </w:r>
      <w:r w:rsidRPr="001E1CA3">
        <w:rPr>
          <w:rFonts w:cs="Arial"/>
          <w:lang w:val="es-ES"/>
        </w:rPr>
        <w:t>de comercializadores mayoristas a distribuidores</w:t>
      </w:r>
      <w:r w:rsidR="00F350B5">
        <w:rPr>
          <w:rFonts w:cs="Arial"/>
          <w:lang w:val="es-ES"/>
        </w:rPr>
        <w:t xml:space="preserve"> y</w:t>
      </w:r>
      <w:r>
        <w:rPr>
          <w:rFonts w:cs="Arial"/>
          <w:lang w:val="es-ES"/>
        </w:rPr>
        <w:t xml:space="preserve"> se establecieron las fórmulas mediante las que se determinan los precios máximos de suministro para la comercialización del GLP producido en las fuentes Refinería de Barrancabermeja, Campo Apiay y Refinería de Cartagena.</w:t>
      </w:r>
    </w:p>
    <w:p w14:paraId="26A0DEEB" w14:textId="7390B73C" w:rsidR="00D33255" w:rsidRPr="0082049C" w:rsidRDefault="006274BF" w:rsidP="002F1961">
      <w:pPr>
        <w:spacing w:before="100" w:beforeAutospacing="1" w:after="100" w:afterAutospacing="1" w:line="360" w:lineRule="auto"/>
        <w:rPr>
          <w:rFonts w:cs="Arial"/>
          <w:lang w:val="es-ES"/>
        </w:rPr>
      </w:pPr>
      <w:r>
        <w:rPr>
          <w:rFonts w:cs="Arial"/>
        </w:rPr>
        <w:t xml:space="preserve">Así mismo, </w:t>
      </w:r>
      <w:r w:rsidR="00803DD6">
        <w:rPr>
          <w:rFonts w:cs="Arial"/>
        </w:rPr>
        <w:t>T</w:t>
      </w:r>
      <w:r w:rsidR="00D33255">
        <w:rPr>
          <w:rFonts w:cs="Arial"/>
        </w:rPr>
        <w:t>eniendo en cuenta lo previsto en la Resolución CREG 123</w:t>
      </w:r>
      <w:r w:rsidR="00D33255" w:rsidRPr="0082049C">
        <w:rPr>
          <w:rFonts w:cs="Arial"/>
        </w:rPr>
        <w:t xml:space="preserve"> de </w:t>
      </w:r>
      <w:r w:rsidR="00D33255">
        <w:rPr>
          <w:rFonts w:cs="Arial"/>
        </w:rPr>
        <w:t>2010</w:t>
      </w:r>
      <w:r w:rsidR="00D33255" w:rsidRPr="0082049C">
        <w:rPr>
          <w:rFonts w:cs="Arial"/>
        </w:rPr>
        <w:t xml:space="preserve">, se estableció que el precio máximo regulado de suministro </w:t>
      </w:r>
      <w:r w:rsidR="00D33255">
        <w:rPr>
          <w:rFonts w:cs="Arial"/>
        </w:rPr>
        <w:t xml:space="preserve">para la comercialización del </w:t>
      </w:r>
      <w:r w:rsidR="00D33255" w:rsidRPr="0082049C">
        <w:rPr>
          <w:rFonts w:cs="Arial"/>
        </w:rPr>
        <w:t>GLP producido en l</w:t>
      </w:r>
      <w:r w:rsidR="00D33255">
        <w:rPr>
          <w:rFonts w:cs="Arial"/>
        </w:rPr>
        <w:t>a fuente C</w:t>
      </w:r>
      <w:r w:rsidR="00D33255" w:rsidRPr="0082049C">
        <w:rPr>
          <w:rFonts w:cs="Arial"/>
        </w:rPr>
        <w:t>ampo</w:t>
      </w:r>
      <w:r w:rsidR="00D33255">
        <w:rPr>
          <w:rFonts w:cs="Arial"/>
        </w:rPr>
        <w:t xml:space="preserve"> de</w:t>
      </w:r>
      <w:r w:rsidR="00D33255" w:rsidRPr="0082049C">
        <w:rPr>
          <w:rFonts w:cs="Arial"/>
        </w:rPr>
        <w:t xml:space="preserve"> Cusiana sería determinado aplicando lo dispuesto en el artículo 3 de la Resolución CREG 066 de 2007, </w:t>
      </w:r>
      <w:r w:rsidR="00D33255">
        <w:rPr>
          <w:rFonts w:cs="Arial"/>
        </w:rPr>
        <w:t xml:space="preserve">esto es, con la misma fórmula para </w:t>
      </w:r>
      <w:r w:rsidR="00D33255" w:rsidRPr="0082049C">
        <w:rPr>
          <w:rFonts w:cs="Arial"/>
        </w:rPr>
        <w:t xml:space="preserve">el </w:t>
      </w:r>
      <w:r w:rsidR="00D33255">
        <w:rPr>
          <w:rFonts w:cs="Arial"/>
        </w:rPr>
        <w:t>GLP producido en la R</w:t>
      </w:r>
      <w:r w:rsidR="00D33255" w:rsidRPr="0082049C">
        <w:rPr>
          <w:rFonts w:cs="Arial"/>
        </w:rPr>
        <w:t xml:space="preserve">efinería de Barrancabermeja y en el </w:t>
      </w:r>
      <w:r w:rsidR="00D33255">
        <w:rPr>
          <w:rFonts w:cs="Arial"/>
        </w:rPr>
        <w:t>C</w:t>
      </w:r>
      <w:r w:rsidR="00D33255" w:rsidRPr="0082049C">
        <w:rPr>
          <w:rFonts w:cs="Arial"/>
        </w:rPr>
        <w:t>ampo Apiay</w:t>
      </w:r>
      <w:r w:rsidR="00D33255" w:rsidRPr="001E1CA3">
        <w:rPr>
          <w:vertAlign w:val="superscript"/>
        </w:rPr>
        <w:footnoteReference w:id="10"/>
      </w:r>
      <w:r w:rsidR="00D33255">
        <w:rPr>
          <w:rFonts w:cs="Arial"/>
        </w:rPr>
        <w:t>, siempre que Ecopetrol pasara a ser directamente el comercializador mayorista para dicho producto o terminara siendo mayoritariamente el beneficiario real de su comercialización, según se dispuso en el artículo 1 de la Resolución CREG 123 de 2010.</w:t>
      </w:r>
    </w:p>
    <w:p w14:paraId="5517E8E3" w14:textId="77777777" w:rsidR="00D33255" w:rsidRDefault="00D33255" w:rsidP="002F1961">
      <w:pPr>
        <w:spacing w:before="100" w:beforeAutospacing="1" w:after="100" w:afterAutospacing="1" w:line="360" w:lineRule="auto"/>
        <w:rPr>
          <w:rFonts w:cs="Arial"/>
          <w:lang w:val="es-ES"/>
        </w:rPr>
      </w:pPr>
      <w:r w:rsidRPr="37A77A19">
        <w:rPr>
          <w:rFonts w:cs="Arial"/>
          <w:lang w:val="es-ES"/>
        </w:rPr>
        <w:lastRenderedPageBreak/>
        <w:t xml:space="preserve">Posteriormente, mediante Resolución CREG 095 de 2011 y Resolución CREG 110 de 2019 se definieron los precios máximos de suministro para la comercialización del GLP proveniente de las plantas de gas de Dina y Gigante, en el primer caso, y de la CPF </w:t>
      </w:r>
      <w:proofErr w:type="spellStart"/>
      <w:r w:rsidRPr="37A77A19">
        <w:rPr>
          <w:rFonts w:cs="Arial"/>
          <w:lang w:val="es-ES"/>
        </w:rPr>
        <w:t>Cupiagua</w:t>
      </w:r>
      <w:proofErr w:type="spellEnd"/>
      <w:r w:rsidRPr="37A77A19">
        <w:rPr>
          <w:rFonts w:cs="Arial"/>
          <w:lang w:val="es-ES"/>
        </w:rPr>
        <w:t>, en el segundo caso. Ambas decisiones se dieron en el mismo sentido que para el GLP proveniente del Campo Cusiana, es decir, aplicando la fórmula y demás disposiciones del artículo 3 de la Resolución CREG 066 de 2007, siempre que se cumplieran los supuestos señalados en el artículo 1 de la Resolución 123 de 2010.</w:t>
      </w:r>
    </w:p>
    <w:p w14:paraId="4635CFA7" w14:textId="5BA634D4" w:rsidR="00177FAD" w:rsidRDefault="00D33255" w:rsidP="00AC684C">
      <w:pPr>
        <w:pStyle w:val="Ttulo4"/>
        <w:spacing w:before="100" w:beforeAutospacing="1" w:after="100" w:afterAutospacing="1" w:line="360" w:lineRule="auto"/>
        <w:ind w:hanging="790"/>
      </w:pPr>
      <w:bookmarkStart w:id="37" w:name="_Toc64025615"/>
      <w:bookmarkStart w:id="38" w:name="_Toc64643229"/>
      <w:r>
        <w:t>Reglas de conducta</w:t>
      </w:r>
    </w:p>
    <w:p w14:paraId="67837CA3" w14:textId="3CA2A236" w:rsidR="00D33255" w:rsidRDefault="00D33255" w:rsidP="00AC684C">
      <w:pPr>
        <w:pStyle w:val="Ttulo4"/>
        <w:numPr>
          <w:ilvl w:val="4"/>
          <w:numId w:val="6"/>
        </w:numPr>
        <w:spacing w:before="100" w:beforeAutospacing="1" w:after="100" w:afterAutospacing="1" w:line="360" w:lineRule="auto"/>
        <w:ind w:left="993" w:hanging="993"/>
      </w:pPr>
      <w:r w:rsidRPr="00CE4FC8">
        <w:t>Reglamento de Comercialización Mayorista</w:t>
      </w:r>
      <w:bookmarkEnd w:id="37"/>
      <w:bookmarkEnd w:id="38"/>
    </w:p>
    <w:p w14:paraId="5DE346A2" w14:textId="77777777" w:rsidR="00D33255" w:rsidRDefault="00D33255" w:rsidP="002F1961">
      <w:pPr>
        <w:spacing w:before="100" w:beforeAutospacing="1" w:after="100" w:afterAutospacing="1" w:line="360" w:lineRule="auto"/>
        <w:rPr>
          <w:rFonts w:cs="Arial"/>
          <w:lang w:val="es-ES"/>
        </w:rPr>
      </w:pPr>
      <w:r w:rsidRPr="37A77A19">
        <w:rPr>
          <w:rFonts w:cs="Arial"/>
          <w:lang w:val="es-ES"/>
        </w:rPr>
        <w:t>La Resolución CREG 053 de 2011 es la norma que rige la asignación de GLP de las fuentes reguladas y reglamenta las relaciones comerciales de suministro entre los agentes del mercado mayorista de GLP. Dicha resolución fue modificada posteriormente por las resoluciones CREG 108 de 2011, 154 de 2014, 019 de 2015, 063 y 064 de 2016 y 180 de 2017.</w:t>
      </w:r>
    </w:p>
    <w:p w14:paraId="3AD3BC50" w14:textId="1170FDB5" w:rsidR="00D33255" w:rsidRPr="00D90828" w:rsidRDefault="00D33255" w:rsidP="002F1961">
      <w:pPr>
        <w:spacing w:before="100" w:beforeAutospacing="1" w:after="100" w:afterAutospacing="1" w:line="360" w:lineRule="auto"/>
        <w:rPr>
          <w:rFonts w:cs="Arial"/>
          <w:szCs w:val="24"/>
          <w:lang w:val="es-CO"/>
        </w:rPr>
      </w:pPr>
      <w:r>
        <w:rPr>
          <w:rFonts w:cs="Arial"/>
          <w:szCs w:val="24"/>
        </w:rPr>
        <w:t xml:space="preserve">El precitado reglamento, tiene dentro de sus objetivos, </w:t>
      </w:r>
      <w:r>
        <w:rPr>
          <w:rFonts w:cs="Arial"/>
          <w:i/>
          <w:iCs/>
          <w:szCs w:val="24"/>
          <w:lang w:val="es-CO"/>
        </w:rPr>
        <w:t>“(</w:t>
      </w:r>
      <w:r w:rsidRPr="00D90828">
        <w:rPr>
          <w:rFonts w:cs="Arial"/>
          <w:i/>
          <w:iCs/>
          <w:szCs w:val="24"/>
          <w:lang w:val="es-CO"/>
        </w:rPr>
        <w:t>…)</w:t>
      </w:r>
      <w:r>
        <w:rPr>
          <w:rFonts w:cs="Arial"/>
          <w:i/>
          <w:iCs/>
          <w:szCs w:val="24"/>
          <w:lang w:val="es-CO"/>
        </w:rPr>
        <w:t xml:space="preserve"> </w:t>
      </w:r>
      <w:r w:rsidRPr="00D90828">
        <w:rPr>
          <w:rFonts w:cs="Arial"/>
          <w:i/>
          <w:iCs/>
          <w:szCs w:val="24"/>
          <w:lang w:val="es-CO"/>
        </w:rPr>
        <w:t xml:space="preserve">c. </w:t>
      </w:r>
      <w:r w:rsidRPr="00D90828">
        <w:rPr>
          <w:rFonts w:cs="Arial"/>
          <w:b/>
          <w:bCs/>
          <w:i/>
          <w:iCs/>
          <w:szCs w:val="24"/>
          <w:lang w:val="es-CO"/>
        </w:rPr>
        <w:t>Evitar que el acceso al producto</w:t>
      </w:r>
      <w:r w:rsidRPr="00D90828">
        <w:rPr>
          <w:rFonts w:cs="Arial"/>
          <w:i/>
          <w:iCs/>
          <w:szCs w:val="24"/>
          <w:lang w:val="es-CO"/>
        </w:rPr>
        <w:t xml:space="preserve">, mientras el mismo proceda en su gran mayoría del que puede disponer Ecopetrol, </w:t>
      </w:r>
      <w:r w:rsidRPr="00D90828">
        <w:rPr>
          <w:rFonts w:cs="Arial"/>
          <w:b/>
          <w:bCs/>
          <w:i/>
          <w:iCs/>
          <w:szCs w:val="24"/>
          <w:lang w:val="es-CO"/>
        </w:rPr>
        <w:t>se convierta en una barrera para la competencia</w:t>
      </w:r>
      <w:r w:rsidRPr="00D90828">
        <w:rPr>
          <w:rFonts w:cs="Arial"/>
          <w:i/>
          <w:iCs/>
          <w:szCs w:val="24"/>
          <w:lang w:val="es-CO"/>
        </w:rPr>
        <w:t xml:space="preserve"> en la Distribución y Comercialización Minorista de GLP </w:t>
      </w:r>
      <w:r w:rsidRPr="00D90828">
        <w:rPr>
          <w:rFonts w:cs="Arial"/>
          <w:b/>
          <w:bCs/>
          <w:i/>
          <w:iCs/>
          <w:szCs w:val="24"/>
          <w:lang w:val="es-CO"/>
        </w:rPr>
        <w:t xml:space="preserve">o en una ventaja para aumentar la posición dominante </w:t>
      </w:r>
      <w:r w:rsidRPr="00D90828">
        <w:rPr>
          <w:rFonts w:cs="Arial"/>
          <w:i/>
          <w:iCs/>
          <w:szCs w:val="24"/>
          <w:lang w:val="es-CO"/>
        </w:rPr>
        <w:t>de este agente u otro agente, para lo cual se busca una asignación del producto: Justa, en igualdad de oportunidades de compra para todos los interesados</w:t>
      </w:r>
      <w:r>
        <w:rPr>
          <w:rFonts w:cs="Arial"/>
          <w:i/>
          <w:iCs/>
          <w:szCs w:val="24"/>
          <w:lang w:val="es-CO"/>
        </w:rPr>
        <w:t xml:space="preserve">; </w:t>
      </w:r>
      <w:r w:rsidRPr="00D90828">
        <w:rPr>
          <w:rFonts w:cs="Arial"/>
          <w:i/>
          <w:iCs/>
          <w:szCs w:val="24"/>
          <w:lang w:val="es-CO"/>
        </w:rPr>
        <w:t>Transparente, para hacer claros los resultados de la asignación</w:t>
      </w:r>
      <w:r>
        <w:rPr>
          <w:rFonts w:cs="Arial"/>
          <w:i/>
          <w:iCs/>
          <w:szCs w:val="24"/>
          <w:lang w:val="es-CO"/>
        </w:rPr>
        <w:t xml:space="preserve">; </w:t>
      </w:r>
      <w:r w:rsidRPr="00D90828">
        <w:rPr>
          <w:rFonts w:cs="Arial"/>
          <w:i/>
          <w:iCs/>
          <w:szCs w:val="24"/>
          <w:lang w:val="es-CO"/>
        </w:rPr>
        <w:t>Eficiente, reflejando la disponibilidad a pagar de la demanda”</w:t>
      </w:r>
      <w:r w:rsidR="002620A3">
        <w:rPr>
          <w:rFonts w:cs="Arial"/>
          <w:i/>
          <w:iCs/>
          <w:szCs w:val="24"/>
          <w:lang w:val="es-CO"/>
        </w:rPr>
        <w:t xml:space="preserve"> Resaltado fuera de texto</w:t>
      </w:r>
    </w:p>
    <w:p w14:paraId="67885AA9" w14:textId="77777777" w:rsidR="00D33255" w:rsidRDefault="00D33255" w:rsidP="002F1961">
      <w:pPr>
        <w:spacing w:before="100" w:beforeAutospacing="1" w:after="100" w:afterAutospacing="1" w:line="360" w:lineRule="auto"/>
        <w:rPr>
          <w:rFonts w:cs="Arial"/>
          <w:szCs w:val="24"/>
        </w:rPr>
      </w:pPr>
      <w:r>
        <w:rPr>
          <w:rFonts w:cs="Arial"/>
          <w:szCs w:val="24"/>
        </w:rPr>
        <w:t>Así mismo, se señala, dentro de las obligaciones de los comercializadores mayoristas en la oferta y venta de GLP lo siguiente:</w:t>
      </w:r>
    </w:p>
    <w:p w14:paraId="3E1A0759" w14:textId="20579971" w:rsidR="00D33255" w:rsidRPr="00137E54" w:rsidRDefault="005E0525" w:rsidP="002F1961">
      <w:pPr>
        <w:pStyle w:val="Prrafodelista"/>
        <w:spacing w:before="100" w:beforeAutospacing="1" w:after="100" w:afterAutospacing="1" w:line="360" w:lineRule="auto"/>
        <w:ind w:left="567"/>
        <w:rPr>
          <w:i/>
          <w:sz w:val="22"/>
          <w:szCs w:val="22"/>
        </w:rPr>
      </w:pPr>
      <w:r w:rsidRPr="00137E54">
        <w:rPr>
          <w:i/>
          <w:sz w:val="22"/>
          <w:szCs w:val="22"/>
        </w:rPr>
        <w:t>“</w:t>
      </w:r>
      <w:r w:rsidR="00D33255" w:rsidRPr="00137E54">
        <w:rPr>
          <w:i/>
          <w:sz w:val="22"/>
          <w:szCs w:val="22"/>
        </w:rPr>
        <w:t xml:space="preserve">ARTÍCULO 6. OBLIGACIONES DE LOS COMERCIALIZADORES MAYORISTAS EN </w:t>
      </w:r>
      <w:r w:rsidR="00D33255" w:rsidRPr="00137E54">
        <w:rPr>
          <w:b/>
          <w:i/>
          <w:sz w:val="22"/>
          <w:szCs w:val="22"/>
          <w:u w:val="single"/>
        </w:rPr>
        <w:t>LA OFERTA Y VENTA DE GLP</w:t>
      </w:r>
      <w:r w:rsidR="00D33255" w:rsidRPr="00137E54">
        <w:rPr>
          <w:i/>
          <w:sz w:val="22"/>
          <w:szCs w:val="22"/>
        </w:rPr>
        <w:t>. Para ofrecer y vender su producto, los Comercializadores Mayoristas de GLP tienen las siguientes obligaciones:</w:t>
      </w:r>
    </w:p>
    <w:p w14:paraId="07E16937" w14:textId="77777777" w:rsidR="00D33255" w:rsidRPr="00137E54" w:rsidRDefault="00D33255" w:rsidP="002F1961">
      <w:pPr>
        <w:pStyle w:val="Prrafodelista"/>
        <w:spacing w:before="100" w:beforeAutospacing="1" w:after="100" w:afterAutospacing="1" w:line="360" w:lineRule="auto"/>
        <w:ind w:left="993" w:hanging="426"/>
        <w:rPr>
          <w:i/>
          <w:sz w:val="22"/>
          <w:szCs w:val="22"/>
          <w:lang w:val="es-ES"/>
        </w:rPr>
      </w:pPr>
      <w:r w:rsidRPr="00137E54">
        <w:rPr>
          <w:i/>
          <w:sz w:val="22"/>
          <w:szCs w:val="22"/>
          <w:lang w:val="es-ES"/>
        </w:rPr>
        <w:lastRenderedPageBreak/>
        <w:t>a.</w:t>
      </w:r>
      <w:r w:rsidRPr="00137E54">
        <w:rPr>
          <w:sz w:val="22"/>
          <w:szCs w:val="22"/>
        </w:rPr>
        <w:tab/>
      </w:r>
      <w:r w:rsidRPr="00137E54">
        <w:rPr>
          <w:i/>
          <w:sz w:val="22"/>
          <w:szCs w:val="22"/>
          <w:lang w:val="es-ES"/>
        </w:rPr>
        <w:t>Abstenerse de asumir compromisos de exportación sin haber ofrecido previamente al Mercado Mayorista todo el GLP del que disponen. (…)</w:t>
      </w:r>
    </w:p>
    <w:p w14:paraId="6D8E0C6A" w14:textId="77777777" w:rsidR="00D33255" w:rsidRPr="00137E54" w:rsidRDefault="00D33255" w:rsidP="002F1961">
      <w:pPr>
        <w:pStyle w:val="Prrafodelista"/>
        <w:spacing w:before="100" w:beforeAutospacing="1" w:after="100" w:afterAutospacing="1" w:line="360" w:lineRule="auto"/>
        <w:ind w:left="993" w:hanging="426"/>
        <w:rPr>
          <w:i/>
          <w:sz w:val="22"/>
          <w:szCs w:val="22"/>
          <w:lang w:val="es-ES"/>
        </w:rPr>
      </w:pPr>
      <w:r w:rsidRPr="00137E54">
        <w:rPr>
          <w:i/>
          <w:sz w:val="22"/>
          <w:szCs w:val="22"/>
          <w:lang w:val="es-ES"/>
        </w:rPr>
        <w:t>c.</w:t>
      </w:r>
      <w:r w:rsidRPr="00137E54">
        <w:rPr>
          <w:sz w:val="22"/>
          <w:szCs w:val="22"/>
        </w:rPr>
        <w:tab/>
      </w:r>
      <w:r w:rsidRPr="00137E54">
        <w:rPr>
          <w:i/>
          <w:sz w:val="22"/>
          <w:szCs w:val="22"/>
          <w:lang w:val="es-ES"/>
        </w:rPr>
        <w:t xml:space="preserve">Cuando se trate de GLP con precio regulado, ofrecerlo a través de una OPC, de la cual trata el artículo 11 y ajustada a las condiciones establecidas en el Capítulo 3, de esta Resolución.  Su venta será el resultado de las asignaciones de producto de la OPC. </w:t>
      </w:r>
    </w:p>
    <w:p w14:paraId="7D7F2981" w14:textId="77777777" w:rsidR="00D33255" w:rsidRPr="00137E54" w:rsidRDefault="00D33255" w:rsidP="002F1961">
      <w:pPr>
        <w:pStyle w:val="Prrafodelista"/>
        <w:spacing w:before="100" w:beforeAutospacing="1" w:after="100" w:afterAutospacing="1" w:line="360" w:lineRule="auto"/>
        <w:ind w:left="993" w:hanging="426"/>
        <w:rPr>
          <w:i/>
          <w:sz w:val="22"/>
          <w:szCs w:val="22"/>
          <w:lang w:val="es-ES"/>
        </w:rPr>
      </w:pPr>
      <w:r w:rsidRPr="00137E54">
        <w:rPr>
          <w:i/>
          <w:sz w:val="22"/>
          <w:szCs w:val="22"/>
          <w:lang w:val="es-ES"/>
        </w:rPr>
        <w:t>d.</w:t>
      </w:r>
      <w:r w:rsidRPr="00137E54">
        <w:rPr>
          <w:sz w:val="22"/>
          <w:szCs w:val="22"/>
        </w:rPr>
        <w:tab/>
      </w:r>
      <w:r w:rsidRPr="00137E54">
        <w:rPr>
          <w:i/>
          <w:sz w:val="22"/>
          <w:szCs w:val="22"/>
          <w:lang w:val="es-ES"/>
        </w:rPr>
        <w:t>Incorporar en su oferta de venta de GLP disponible las variaciones en la producción o importación previsibles, generadas por cualquier causa. (…)</w:t>
      </w:r>
    </w:p>
    <w:p w14:paraId="3FFC18CA" w14:textId="77777777" w:rsidR="00D33255" w:rsidRPr="00137E54" w:rsidRDefault="00D33255" w:rsidP="002F1961">
      <w:pPr>
        <w:pStyle w:val="Prrafodelista"/>
        <w:spacing w:before="100" w:beforeAutospacing="1" w:after="100" w:afterAutospacing="1" w:line="360" w:lineRule="auto"/>
        <w:ind w:left="993" w:hanging="426"/>
        <w:rPr>
          <w:sz w:val="22"/>
          <w:szCs w:val="22"/>
          <w:lang w:val="es-ES"/>
        </w:rPr>
      </w:pPr>
      <w:r w:rsidRPr="00137E54">
        <w:rPr>
          <w:i/>
          <w:sz w:val="22"/>
          <w:szCs w:val="22"/>
          <w:lang w:val="es-ES"/>
        </w:rPr>
        <w:t>f.</w:t>
      </w:r>
      <w:r w:rsidRPr="00137E54">
        <w:rPr>
          <w:sz w:val="22"/>
          <w:szCs w:val="22"/>
        </w:rPr>
        <w:tab/>
      </w:r>
      <w:r w:rsidRPr="00137E54">
        <w:rPr>
          <w:i/>
          <w:sz w:val="22"/>
          <w:szCs w:val="22"/>
          <w:lang w:val="es-ES"/>
        </w:rPr>
        <w:t>Cuando se trate de GLP con precio libre, el comercializador mayorista deberá publicar en su página web las cantidades que tiene disponible para la oferta, de manera que se garantice que todos los interesados en adquirir el producto puedan presentar sus ofertas de compra en igualdad de condiciones y oportunidades. (…)”</w:t>
      </w:r>
      <w:r w:rsidRPr="00137E54">
        <w:rPr>
          <w:sz w:val="22"/>
          <w:szCs w:val="22"/>
          <w:lang w:val="es-ES"/>
        </w:rPr>
        <w:t xml:space="preserve"> </w:t>
      </w:r>
    </w:p>
    <w:p w14:paraId="23AA0FC0" w14:textId="77777777" w:rsidR="00D33255" w:rsidRPr="001E1CA3" w:rsidRDefault="00D33255" w:rsidP="002F1961">
      <w:pPr>
        <w:spacing w:before="100" w:beforeAutospacing="1" w:after="100" w:afterAutospacing="1" w:line="360" w:lineRule="auto"/>
        <w:rPr>
          <w:rFonts w:cs="Arial"/>
          <w:lang w:val="es-ES"/>
        </w:rPr>
      </w:pPr>
      <w:r w:rsidRPr="37A77A19">
        <w:rPr>
          <w:rFonts w:cs="Arial"/>
          <w:lang w:val="es-ES"/>
        </w:rPr>
        <w:t>De otra parte, como se menciona previamente, la Resolución CREG 053 de 2011 determina, entre otras disposiciones, cómo se accede al producto con precio regulado</w:t>
      </w:r>
      <w:r w:rsidRPr="37A77A19">
        <w:rPr>
          <w:rFonts w:cs="Arial"/>
          <w:spacing w:val="-3"/>
          <w:lang w:val="es-ES"/>
        </w:rPr>
        <w:t xml:space="preserve"> mediante el mecanismo de asignación de cantidades OPC</w:t>
      </w:r>
      <w:r w:rsidRPr="37A77A19">
        <w:rPr>
          <w:rStyle w:val="Refdenotaalpie"/>
          <w:rFonts w:cs="Arial"/>
          <w:spacing w:val="-3"/>
          <w:lang w:val="es-ES"/>
        </w:rPr>
        <w:footnoteReference w:id="11"/>
      </w:r>
      <w:r w:rsidRPr="37A77A19">
        <w:rPr>
          <w:rFonts w:cs="Arial"/>
          <w:lang w:val="es-ES"/>
        </w:rPr>
        <w:t>. Bajo este esquema, el productor debe asignar a los todos los demandantes las cantidades solicitadas, siempre que la oferta supere la demanda. En caso contrario, se hace una asignación a prorrata, conforme al histórico de ventas del demandante.</w:t>
      </w:r>
    </w:p>
    <w:p w14:paraId="0CC8AE71" w14:textId="1250DEEF" w:rsidR="003F2A08" w:rsidRDefault="003F2A08" w:rsidP="002F1961">
      <w:pPr>
        <w:spacing w:before="100" w:beforeAutospacing="1" w:after="100" w:afterAutospacing="1" w:line="360" w:lineRule="auto"/>
        <w:rPr>
          <w:rFonts w:cs="Arial"/>
        </w:rPr>
      </w:pPr>
      <w:r>
        <w:rPr>
          <w:rFonts w:cs="Arial"/>
        </w:rPr>
        <w:t>En relación con esto último, el precitado reglamento establece que la CREG</w:t>
      </w:r>
      <w:r w:rsidR="00A065E2">
        <w:rPr>
          <w:rFonts w:cs="Arial"/>
        </w:rPr>
        <w:t xml:space="preserve"> define, para cada periodo de compra</w:t>
      </w:r>
      <w:r w:rsidR="00AD0CDA">
        <w:rPr>
          <w:rFonts w:cs="Arial"/>
        </w:rPr>
        <w:t xml:space="preserve"> de seis (6) meses</w:t>
      </w:r>
      <w:r w:rsidR="00A065E2">
        <w:rPr>
          <w:rFonts w:cs="Arial"/>
        </w:rPr>
        <w:t xml:space="preserve">, </w:t>
      </w:r>
      <w:r w:rsidR="005725D7">
        <w:rPr>
          <w:rFonts w:cs="Arial"/>
        </w:rPr>
        <w:t>l</w:t>
      </w:r>
      <w:r w:rsidR="005725D7" w:rsidRPr="005725D7">
        <w:rPr>
          <w:rFonts w:cs="Arial"/>
        </w:rPr>
        <w:t xml:space="preserve">as zonas de influencia </w:t>
      </w:r>
      <w:r w:rsidR="00EB0385">
        <w:rPr>
          <w:rFonts w:cs="Arial"/>
        </w:rPr>
        <w:t>de</w:t>
      </w:r>
      <w:r w:rsidR="009D1519">
        <w:rPr>
          <w:rFonts w:cs="Arial"/>
        </w:rPr>
        <w:t xml:space="preserve"> cada </w:t>
      </w:r>
      <w:r w:rsidR="00E06E1D">
        <w:rPr>
          <w:rFonts w:cs="Arial"/>
        </w:rPr>
        <w:t xml:space="preserve">punto de </w:t>
      </w:r>
      <w:r w:rsidR="004E78DF">
        <w:rPr>
          <w:rFonts w:cs="Arial"/>
        </w:rPr>
        <w:t>producción</w:t>
      </w:r>
      <w:r w:rsidR="00E06E1D">
        <w:rPr>
          <w:rFonts w:cs="Arial"/>
        </w:rPr>
        <w:t xml:space="preserve"> ofertado por Ecopetrol</w:t>
      </w:r>
      <w:r w:rsidR="00271D50">
        <w:rPr>
          <w:rFonts w:cs="Arial"/>
        </w:rPr>
        <w:t xml:space="preserve">. </w:t>
      </w:r>
      <w:r w:rsidR="0091346A">
        <w:rPr>
          <w:rFonts w:cs="Arial"/>
        </w:rPr>
        <w:t>Para ello la CREG a</w:t>
      </w:r>
      <w:r w:rsidR="0091346A" w:rsidRPr="0091346A">
        <w:rPr>
          <w:rFonts w:cs="Arial"/>
        </w:rPr>
        <w:t xml:space="preserve">signa cada municipio </w:t>
      </w:r>
      <w:r w:rsidR="004A17D7">
        <w:rPr>
          <w:rFonts w:cs="Arial"/>
        </w:rPr>
        <w:t>del país</w:t>
      </w:r>
      <w:r w:rsidR="0091346A" w:rsidRPr="0091346A">
        <w:rPr>
          <w:rFonts w:cs="Arial"/>
        </w:rPr>
        <w:t xml:space="preserve"> al punto de producción más cercano para optimizar costos de transporte y garantizar el abastecimiento del gas licuado de petróleo (GLP) a nivel nacional.</w:t>
      </w:r>
      <w:r w:rsidR="002B0098">
        <w:rPr>
          <w:rFonts w:cs="Arial"/>
        </w:rPr>
        <w:t xml:space="preserve"> Dicha asignación </w:t>
      </w:r>
      <w:r w:rsidR="00D56078">
        <w:rPr>
          <w:rFonts w:cs="Arial"/>
        </w:rPr>
        <w:t xml:space="preserve">se realiza con un modelo </w:t>
      </w:r>
      <w:r w:rsidR="002B35A8">
        <w:rPr>
          <w:rFonts w:cs="Arial"/>
        </w:rPr>
        <w:t>de optimización que calcula cuál p</w:t>
      </w:r>
      <w:r w:rsidR="00C20845">
        <w:rPr>
          <w:rFonts w:cs="Arial"/>
        </w:rPr>
        <w:t>unto de producción</w:t>
      </w:r>
      <w:r w:rsidR="0004223D">
        <w:rPr>
          <w:rFonts w:cs="Arial"/>
        </w:rPr>
        <w:t xml:space="preserve"> debe abastecer a cada municipio para minimizar los costos logísticos.</w:t>
      </w:r>
    </w:p>
    <w:p w14:paraId="38CC9601" w14:textId="1F37D55E" w:rsidR="00D33255" w:rsidRPr="001E1CA3" w:rsidRDefault="00CC69CB" w:rsidP="002F1961">
      <w:pPr>
        <w:spacing w:before="100" w:beforeAutospacing="1" w:after="100" w:afterAutospacing="1" w:line="360" w:lineRule="auto"/>
        <w:rPr>
          <w:rFonts w:cs="Arial"/>
        </w:rPr>
      </w:pPr>
      <w:r w:rsidRPr="00CC69CB">
        <w:rPr>
          <w:rFonts w:cs="Arial"/>
        </w:rPr>
        <w:lastRenderedPageBreak/>
        <w:t>Estas zonas aseguran que los distribuidores puedan adquirir las cantidades de gas necesarias mediante la Oferta Pública de Cantidades (OPC) a tarifas reguladas, facilitando precios competitivos para el usuario final.</w:t>
      </w:r>
    </w:p>
    <w:p w14:paraId="1BA37C42" w14:textId="00869B37" w:rsidR="00D33255" w:rsidRDefault="00022007" w:rsidP="002F1961">
      <w:pPr>
        <w:spacing w:before="100" w:beforeAutospacing="1" w:after="100" w:afterAutospacing="1" w:line="360" w:lineRule="auto"/>
        <w:rPr>
          <w:rFonts w:cs="Arial"/>
        </w:rPr>
      </w:pPr>
      <w:r>
        <w:rPr>
          <w:rFonts w:cs="Arial"/>
        </w:rPr>
        <w:t xml:space="preserve">La </w:t>
      </w:r>
      <w:r>
        <w:rPr>
          <w:rFonts w:cs="Arial"/>
        </w:rPr>
        <w:fldChar w:fldCharType="begin"/>
      </w:r>
      <w:r>
        <w:rPr>
          <w:rFonts w:cs="Arial"/>
        </w:rPr>
        <w:instrText xml:space="preserve"> REF _Ref462640018 \h </w:instrText>
      </w:r>
      <w:r>
        <w:rPr>
          <w:rFonts w:cs="Arial"/>
        </w:rPr>
      </w:r>
      <w:r>
        <w:rPr>
          <w:rFonts w:cs="Arial"/>
        </w:rPr>
        <w:fldChar w:fldCharType="separate"/>
      </w:r>
      <w:r w:rsidRPr="00E16390">
        <w:rPr>
          <w:rFonts w:eastAsiaTheme="minorEastAsia" w:cs="Arial"/>
          <w:lang w:val="es-PE" w:eastAsia="es-PE"/>
        </w:rPr>
        <w:t xml:space="preserve">Figura </w:t>
      </w:r>
      <w:r>
        <w:rPr>
          <w:rFonts w:eastAsiaTheme="minorEastAsia" w:cs="Arial"/>
          <w:noProof/>
          <w:lang w:val="es-PE" w:eastAsia="es-PE"/>
        </w:rPr>
        <w:t>6</w:t>
      </w:r>
      <w:r>
        <w:rPr>
          <w:rFonts w:cs="Arial"/>
        </w:rPr>
        <w:fldChar w:fldCharType="end"/>
      </w:r>
      <w:r w:rsidR="00D33255">
        <w:rPr>
          <w:rFonts w:cs="Arial"/>
        </w:rPr>
        <w:t xml:space="preserve"> se muestra la definición de zonas de influencia para el </w:t>
      </w:r>
      <w:r w:rsidR="009813AB">
        <w:rPr>
          <w:rFonts w:cs="Arial"/>
        </w:rPr>
        <w:t>periodo comprendido entre marzo y agosto</w:t>
      </w:r>
      <w:r w:rsidR="00D33255">
        <w:rPr>
          <w:rFonts w:cs="Arial"/>
        </w:rPr>
        <w:t xml:space="preserve"> de 202</w:t>
      </w:r>
      <w:r w:rsidR="000B77AF">
        <w:rPr>
          <w:rFonts w:cs="Arial"/>
        </w:rPr>
        <w:t>6</w:t>
      </w:r>
      <w:r w:rsidR="00D33255">
        <w:rPr>
          <w:rFonts w:cs="Arial"/>
        </w:rPr>
        <w:t>:</w:t>
      </w:r>
    </w:p>
    <w:p w14:paraId="3A132D58" w14:textId="6204B05D" w:rsidR="00D33255" w:rsidRPr="00EA1CC0" w:rsidRDefault="00D33255" w:rsidP="002F1961">
      <w:pPr>
        <w:keepNext/>
        <w:spacing w:before="100" w:beforeAutospacing="1" w:after="100" w:afterAutospacing="1" w:line="360" w:lineRule="auto"/>
        <w:jc w:val="center"/>
        <w:rPr>
          <w:rFonts w:cs="Arial"/>
        </w:rPr>
      </w:pPr>
      <w:bookmarkStart w:id="39" w:name="_Ref462640018"/>
      <w:bookmarkStart w:id="40" w:name="_Toc467827656"/>
      <w:bookmarkStart w:id="41" w:name="_Toc64025669"/>
      <w:bookmarkStart w:id="42" w:name="_Toc64643273"/>
      <w:bookmarkStart w:id="43" w:name="_Toc235118546"/>
      <w:r w:rsidRPr="00E16390">
        <w:rPr>
          <w:rFonts w:eastAsiaTheme="minorEastAsia" w:cs="Arial"/>
          <w:lang w:val="es-PE" w:eastAsia="es-PE"/>
        </w:rPr>
        <w:t xml:space="preserve">Figura </w:t>
      </w:r>
      <w:r w:rsidRPr="00E16390">
        <w:rPr>
          <w:rFonts w:eastAsiaTheme="minorEastAsia" w:cs="Arial"/>
          <w:lang w:val="es-PE" w:eastAsia="es-PE"/>
        </w:rPr>
        <w:fldChar w:fldCharType="begin"/>
      </w:r>
      <w:r w:rsidRPr="00E16390">
        <w:rPr>
          <w:rFonts w:eastAsiaTheme="minorEastAsia" w:cs="Arial"/>
          <w:lang w:val="es-PE" w:eastAsia="es-PE"/>
        </w:rPr>
        <w:instrText xml:space="preserve"> SEQ Figura \* ARABIC </w:instrText>
      </w:r>
      <w:r w:rsidRPr="00E16390">
        <w:rPr>
          <w:rFonts w:eastAsiaTheme="minorEastAsia" w:cs="Arial"/>
          <w:lang w:val="es-PE" w:eastAsia="es-PE"/>
        </w:rPr>
        <w:fldChar w:fldCharType="separate"/>
      </w:r>
      <w:r w:rsidR="00022007">
        <w:rPr>
          <w:rFonts w:eastAsiaTheme="minorEastAsia" w:cs="Arial"/>
          <w:noProof/>
          <w:lang w:val="es-PE" w:eastAsia="es-PE"/>
        </w:rPr>
        <w:t>6</w:t>
      </w:r>
      <w:r w:rsidRPr="00E16390">
        <w:rPr>
          <w:rFonts w:eastAsiaTheme="minorEastAsia" w:cs="Arial"/>
          <w:lang w:val="es-PE" w:eastAsia="es-PE"/>
        </w:rPr>
        <w:fldChar w:fldCharType="end"/>
      </w:r>
      <w:bookmarkEnd w:id="39"/>
      <w:bookmarkEnd w:id="40"/>
      <w:r w:rsidRPr="00E16390">
        <w:rPr>
          <w:rFonts w:eastAsiaTheme="minorEastAsia" w:cs="Arial"/>
          <w:lang w:val="es-PE" w:eastAsia="es-PE"/>
        </w:rPr>
        <w:t xml:space="preserve">. </w:t>
      </w:r>
      <w:r w:rsidRPr="00EA1CC0">
        <w:rPr>
          <w:rFonts w:eastAsiaTheme="minorEastAsia" w:cs="Arial"/>
          <w:lang w:val="es-PE" w:eastAsia="es-PE"/>
        </w:rPr>
        <w:t>Zonas de Influencia</w:t>
      </w:r>
      <w:bookmarkEnd w:id="41"/>
      <w:bookmarkEnd w:id="42"/>
      <w:r w:rsidR="004E2F33">
        <w:rPr>
          <w:rFonts w:eastAsiaTheme="minorEastAsia" w:cs="Arial"/>
          <w:lang w:val="es-PE" w:eastAsia="es-PE"/>
        </w:rPr>
        <w:t xml:space="preserve"> </w:t>
      </w:r>
      <w:r w:rsidR="00022007">
        <w:rPr>
          <w:rFonts w:eastAsiaTheme="minorEastAsia" w:cs="Arial"/>
          <w:lang w:val="es-PE" w:eastAsia="es-PE"/>
        </w:rPr>
        <w:t>–</w:t>
      </w:r>
      <w:r w:rsidR="004E2F33">
        <w:rPr>
          <w:rFonts w:eastAsiaTheme="minorEastAsia" w:cs="Arial"/>
          <w:lang w:val="es-PE" w:eastAsia="es-PE"/>
        </w:rPr>
        <w:t xml:space="preserve"> </w:t>
      </w:r>
      <w:r w:rsidR="009E0563" w:rsidRPr="00EA1CC0">
        <w:rPr>
          <w:rFonts w:eastAsiaTheme="minorEastAsia" w:cs="Arial"/>
          <w:lang w:val="es-PE" w:eastAsia="es-PE"/>
        </w:rPr>
        <w:t>Mar</w:t>
      </w:r>
      <w:r w:rsidR="009E0563" w:rsidRPr="00EA1CC0">
        <w:rPr>
          <w:rFonts w:eastAsiaTheme="minorEastAsia" w:cs="Arial"/>
          <w:lang w:val="es-PE" w:eastAsia="es-PE"/>
        </w:rPr>
        <w:t>zo</w:t>
      </w:r>
      <w:r w:rsidR="00022007">
        <w:rPr>
          <w:rFonts w:eastAsiaTheme="minorEastAsia" w:cs="Arial"/>
          <w:lang w:val="es-PE" w:eastAsia="es-PE"/>
        </w:rPr>
        <w:t xml:space="preserve"> </w:t>
      </w:r>
      <w:r w:rsidRPr="00EA1CC0">
        <w:rPr>
          <w:rFonts w:eastAsiaTheme="minorEastAsia" w:cs="Arial"/>
          <w:lang w:val="es-PE" w:eastAsia="es-PE"/>
        </w:rPr>
        <w:t>-</w:t>
      </w:r>
      <w:r w:rsidR="00022007">
        <w:rPr>
          <w:rFonts w:eastAsiaTheme="minorEastAsia" w:cs="Arial"/>
          <w:lang w:val="es-PE" w:eastAsia="es-PE"/>
        </w:rPr>
        <w:t xml:space="preserve"> </w:t>
      </w:r>
      <w:proofErr w:type="gramStart"/>
      <w:r w:rsidR="009E0563" w:rsidRPr="00EA1CC0">
        <w:rPr>
          <w:rFonts w:eastAsiaTheme="minorEastAsia" w:cs="Arial"/>
          <w:lang w:val="es-PE" w:eastAsia="es-PE"/>
        </w:rPr>
        <w:t>Ago</w:t>
      </w:r>
      <w:r w:rsidR="00022007">
        <w:rPr>
          <w:rFonts w:eastAsiaTheme="minorEastAsia" w:cs="Arial"/>
          <w:lang w:val="es-PE" w:eastAsia="es-PE"/>
        </w:rPr>
        <w:t>sto</w:t>
      </w:r>
      <w:proofErr w:type="gramEnd"/>
      <w:r w:rsidRPr="00EA1CC0">
        <w:rPr>
          <w:rFonts w:eastAsiaTheme="minorEastAsia" w:cs="Arial"/>
          <w:lang w:val="es-PE" w:eastAsia="es-PE"/>
        </w:rPr>
        <w:t xml:space="preserve"> 202</w:t>
      </w:r>
      <w:r w:rsidR="00E46A7E" w:rsidRPr="00EA1CC0">
        <w:rPr>
          <w:rFonts w:eastAsiaTheme="minorEastAsia" w:cs="Arial"/>
          <w:lang w:val="es-PE" w:eastAsia="es-PE"/>
        </w:rPr>
        <w:t>6</w:t>
      </w:r>
      <w:bookmarkEnd w:id="43"/>
    </w:p>
    <w:p w14:paraId="0454EB3E" w14:textId="313DAFBB" w:rsidR="00E46A7E" w:rsidRDefault="00EA1CC0" w:rsidP="002F1961">
      <w:pPr>
        <w:spacing w:before="100" w:beforeAutospacing="1" w:after="100" w:afterAutospacing="1" w:line="360" w:lineRule="auto"/>
        <w:jc w:val="center"/>
        <w:rPr>
          <w:rFonts w:cs="Arial"/>
          <w:szCs w:val="24"/>
        </w:rPr>
      </w:pPr>
      <w:r w:rsidRPr="00EA1CC0">
        <w:rPr>
          <w:noProof/>
          <w:lang w:val="es-CO" w:eastAsia="es-CO"/>
        </w:rPr>
        <w:drawing>
          <wp:inline distT="0" distB="0" distL="0" distR="0" wp14:anchorId="268B6EBA" wp14:editId="180D8885">
            <wp:extent cx="4127500" cy="3410179"/>
            <wp:effectExtent l="0" t="0" r="6350" b="0"/>
            <wp:docPr id="16629456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945667" name=""/>
                    <pic:cNvPicPr/>
                  </pic:nvPicPr>
                  <pic:blipFill rotWithShape="1">
                    <a:blip r:embed="rId27"/>
                    <a:srcRect t="1661" b="-1"/>
                    <a:stretch>
                      <a:fillRect/>
                    </a:stretch>
                  </pic:blipFill>
                  <pic:spPr bwMode="auto">
                    <a:xfrm>
                      <a:off x="0" y="0"/>
                      <a:ext cx="4135410" cy="3416714"/>
                    </a:xfrm>
                    <a:prstGeom prst="rect">
                      <a:avLst/>
                    </a:prstGeom>
                    <a:ln>
                      <a:noFill/>
                    </a:ln>
                    <a:extLst>
                      <a:ext uri="{53640926-AAD7-44D8-BBD7-CCE9431645EC}">
                        <a14:shadowObscured xmlns:a14="http://schemas.microsoft.com/office/drawing/2010/main"/>
                      </a:ext>
                    </a:extLst>
                  </pic:spPr>
                </pic:pic>
              </a:graphicData>
            </a:graphic>
          </wp:inline>
        </w:drawing>
      </w:r>
    </w:p>
    <w:p w14:paraId="255B2F94" w14:textId="01F89204" w:rsidR="00D33255" w:rsidRPr="004E2F33" w:rsidRDefault="00D33255" w:rsidP="002F1961">
      <w:pPr>
        <w:spacing w:before="100" w:beforeAutospacing="1" w:after="100" w:afterAutospacing="1" w:line="360" w:lineRule="auto"/>
        <w:jc w:val="center"/>
        <w:rPr>
          <w:rFonts w:cs="Arial"/>
          <w:sz w:val="22"/>
          <w:szCs w:val="22"/>
          <w:lang w:val="es-ES"/>
        </w:rPr>
      </w:pPr>
      <w:r w:rsidRPr="004E2F33">
        <w:rPr>
          <w:rFonts w:cs="Arial"/>
          <w:sz w:val="22"/>
          <w:szCs w:val="22"/>
        </w:rPr>
        <w:t xml:space="preserve">Fuente: Circular CREG </w:t>
      </w:r>
      <w:r w:rsidR="00664227" w:rsidRPr="004E2F33">
        <w:rPr>
          <w:rFonts w:cs="Arial"/>
          <w:sz w:val="22"/>
          <w:szCs w:val="22"/>
        </w:rPr>
        <w:t>238</w:t>
      </w:r>
      <w:r w:rsidRPr="004E2F33">
        <w:rPr>
          <w:rFonts w:cs="Arial"/>
          <w:sz w:val="22"/>
          <w:szCs w:val="22"/>
        </w:rPr>
        <w:t xml:space="preserve"> de 20</w:t>
      </w:r>
      <w:r w:rsidR="00E46A7E" w:rsidRPr="004E2F33">
        <w:rPr>
          <w:rFonts w:cs="Arial"/>
          <w:sz w:val="22"/>
          <w:szCs w:val="22"/>
        </w:rPr>
        <w:t>26</w:t>
      </w:r>
      <w:r w:rsidRPr="004E2F33">
        <w:rPr>
          <w:rFonts w:cs="Arial"/>
          <w:sz w:val="22"/>
          <w:szCs w:val="22"/>
        </w:rPr>
        <w:t>.</w:t>
      </w:r>
      <w:r w:rsidR="00137E54" w:rsidRPr="004E2F33">
        <w:rPr>
          <w:rFonts w:cs="Arial"/>
          <w:sz w:val="22"/>
          <w:szCs w:val="22"/>
        </w:rPr>
        <w:t xml:space="preserve"> Elaboración: CREG</w:t>
      </w:r>
    </w:p>
    <w:p w14:paraId="0E3D0522" w14:textId="3FACC7ED" w:rsidR="005725D7" w:rsidRDefault="005725D7" w:rsidP="002F1961">
      <w:pPr>
        <w:spacing w:before="100" w:beforeAutospacing="1" w:after="100" w:afterAutospacing="1" w:line="360" w:lineRule="auto"/>
        <w:rPr>
          <w:rFonts w:cs="Arial"/>
        </w:rPr>
      </w:pPr>
      <w:r>
        <w:rPr>
          <w:rFonts w:cs="Arial"/>
        </w:rPr>
        <w:t xml:space="preserve">De otra parte, frente </w:t>
      </w:r>
      <w:r w:rsidRPr="001E1CA3">
        <w:rPr>
          <w:rFonts w:cs="Arial"/>
        </w:rPr>
        <w:t xml:space="preserve">a los incentivos a revelar la verdadera cantidad disponible de GLP, es preciso mencionar que, bajo el marco regulatorio vigente, las cantidades de GLP </w:t>
      </w:r>
      <w:r>
        <w:rPr>
          <w:rFonts w:cs="Arial"/>
        </w:rPr>
        <w:t>producidas</w:t>
      </w:r>
      <w:r w:rsidRPr="001E1CA3">
        <w:rPr>
          <w:rFonts w:cs="Arial"/>
        </w:rPr>
        <w:t xml:space="preserve"> </w:t>
      </w:r>
      <w:r>
        <w:rPr>
          <w:rFonts w:cs="Arial"/>
        </w:rPr>
        <w:t>en el país</w:t>
      </w:r>
      <w:r w:rsidRPr="001E1CA3">
        <w:rPr>
          <w:rFonts w:cs="Arial"/>
        </w:rPr>
        <w:t xml:space="preserve"> que no fueron ofrecidas</w:t>
      </w:r>
      <w:r>
        <w:rPr>
          <w:rFonts w:cs="Arial"/>
        </w:rPr>
        <w:t>, ya sea a través del mecanismo de</w:t>
      </w:r>
      <w:r w:rsidRPr="001E1CA3">
        <w:rPr>
          <w:rFonts w:cs="Arial"/>
        </w:rPr>
        <w:t xml:space="preserve"> OPC </w:t>
      </w:r>
      <w:r>
        <w:rPr>
          <w:rFonts w:cs="Arial"/>
        </w:rPr>
        <w:t>o del que disponga el comercializador mayorista de precio libre</w:t>
      </w:r>
      <w:r w:rsidRPr="001E1CA3">
        <w:rPr>
          <w:rFonts w:cs="Arial"/>
        </w:rPr>
        <w:t xml:space="preserve"> </w:t>
      </w:r>
      <w:r w:rsidRPr="00442283">
        <w:rPr>
          <w:rFonts w:cs="Arial"/>
        </w:rPr>
        <w:t>no pueden ser exportadas</w:t>
      </w:r>
      <w:r>
        <w:rPr>
          <w:rFonts w:cs="Arial"/>
        </w:rPr>
        <w:t>.</w:t>
      </w:r>
      <w:r w:rsidRPr="001E1CA3">
        <w:rPr>
          <w:rFonts w:cs="Arial"/>
        </w:rPr>
        <w:t xml:space="preserve"> </w:t>
      </w:r>
      <w:r>
        <w:rPr>
          <w:rFonts w:cs="Arial"/>
        </w:rPr>
        <w:t>Particularmente, para el caso del producto de precio regulado, los</w:t>
      </w:r>
      <w:r w:rsidRPr="001E1CA3">
        <w:rPr>
          <w:rFonts w:cs="Arial"/>
        </w:rPr>
        <w:t xml:space="preserve"> volúmenes adicionales que se produzcan y que no hayan sido previstos en la OPC, solo podrán ofrecerse en OPC adicionales </w:t>
      </w:r>
      <w:r>
        <w:rPr>
          <w:rFonts w:cs="Arial"/>
        </w:rPr>
        <w:t xml:space="preserve">de acuerdo con lo previsto en la Resolución </w:t>
      </w:r>
      <w:r w:rsidRPr="00442283">
        <w:rPr>
          <w:rFonts w:cs="Arial"/>
        </w:rPr>
        <w:t>CREG 064 de 2016</w:t>
      </w:r>
      <w:r w:rsidRPr="001E1CA3">
        <w:rPr>
          <w:rFonts w:cs="Arial"/>
        </w:rPr>
        <w:t xml:space="preserve">. Estas </w:t>
      </w:r>
      <w:r w:rsidRPr="001E1CA3">
        <w:rPr>
          <w:rFonts w:cs="Arial"/>
        </w:rPr>
        <w:lastRenderedPageBreak/>
        <w:t>restricciones tienen como objetivo, precisamente, incentivar al productor a revelar la disponibilidad real de GLP y garantizar así, el suministro para la demanda nacional.</w:t>
      </w:r>
    </w:p>
    <w:p w14:paraId="6D8F8842" w14:textId="04DA0FF3" w:rsidR="004B390B" w:rsidRPr="00EA2329" w:rsidRDefault="00177FAD" w:rsidP="00CE50D6">
      <w:pPr>
        <w:pStyle w:val="Ttulo4"/>
        <w:numPr>
          <w:ilvl w:val="4"/>
          <w:numId w:val="6"/>
        </w:numPr>
        <w:spacing w:before="100" w:beforeAutospacing="1" w:after="100" w:afterAutospacing="1" w:line="360" w:lineRule="auto"/>
        <w:ind w:left="851" w:hanging="851"/>
      </w:pPr>
      <w:r>
        <w:t>Capacidad de compra</w:t>
      </w:r>
    </w:p>
    <w:p w14:paraId="1CBF2D50" w14:textId="0B5F2B44" w:rsidR="00FA6CE3" w:rsidRDefault="00E57BA3" w:rsidP="002F1961">
      <w:pPr>
        <w:spacing w:before="100" w:beforeAutospacing="1" w:after="100" w:afterAutospacing="1" w:line="360" w:lineRule="auto"/>
      </w:pPr>
      <w:r w:rsidRPr="21A5E085">
        <w:rPr>
          <w:lang w:val="es-ES"/>
        </w:rPr>
        <w:t>Mediante</w:t>
      </w:r>
      <w:r w:rsidR="00FA6CE3" w:rsidRPr="21A5E085">
        <w:rPr>
          <w:lang w:val="es-ES"/>
        </w:rPr>
        <w:t xml:space="preserve"> Resolución CREG 063 de 2016 </w:t>
      </w:r>
      <w:r w:rsidRPr="21A5E085">
        <w:rPr>
          <w:lang w:val="es-ES"/>
        </w:rPr>
        <w:t xml:space="preserve">la Comisión estableció </w:t>
      </w:r>
      <w:r w:rsidR="00FA6CE3" w:rsidRPr="21A5E085">
        <w:rPr>
          <w:lang w:val="es-ES"/>
        </w:rPr>
        <w:t>parámetros de conducta y la participación de los agentes dentro de las actividades de comercialización mayorista y distribución de GLP</w:t>
      </w:r>
      <w:r w:rsidR="00DF620B" w:rsidRPr="21A5E085">
        <w:rPr>
          <w:lang w:val="es-ES"/>
        </w:rPr>
        <w:t xml:space="preserve">, </w:t>
      </w:r>
      <w:r w:rsidR="00FA6CE3" w:rsidRPr="21A5E085">
        <w:rPr>
          <w:lang w:val="es-ES"/>
        </w:rPr>
        <w:t>a fin de evitar que se presenten eventos que afecten el marco regulatorio y la forma como se debe realizar la prestación del servicio público domiciliario de GLP, reforzando la operatividad del esquema de responsabilidad de marca en cilindros, propiedad de los distribuidores, ordenado por la Ley 1151 de 2007.</w:t>
      </w:r>
    </w:p>
    <w:p w14:paraId="4450DF33" w14:textId="324ED7B5" w:rsidR="004B390B" w:rsidRDefault="00FA6CE3" w:rsidP="002F1961">
      <w:pPr>
        <w:spacing w:before="100" w:beforeAutospacing="1" w:after="100" w:afterAutospacing="1" w:line="360" w:lineRule="auto"/>
      </w:pPr>
      <w:r>
        <w:t>Dentro de la Resolución CREG 063 de 2016 se dispuso la existencia de una “</w:t>
      </w:r>
      <w:r w:rsidRPr="00015A8A">
        <w:rPr>
          <w:i/>
          <w:iCs/>
        </w:rPr>
        <w:t>capacidad de compra</w:t>
      </w:r>
      <w:r>
        <w:t xml:space="preserve">”, determinada por </w:t>
      </w:r>
      <w:r w:rsidR="00015A8A">
        <w:t>la</w:t>
      </w:r>
      <w:r>
        <w:t xml:space="preserve"> Comisión</w:t>
      </w:r>
      <w:r w:rsidR="00BD0B66">
        <w:t>,</w:t>
      </w:r>
      <w:r>
        <w:t xml:space="preserve"> </w:t>
      </w:r>
      <w:r w:rsidR="00BD0B66">
        <w:t>para cada periodo de compra de seis (6) meses,</w:t>
      </w:r>
      <w:r>
        <w:t xml:space="preserve"> de acuerdo con lo previsto en el artículo 8 de </w:t>
      </w:r>
      <w:r w:rsidR="001245CD">
        <w:t>la precitada</w:t>
      </w:r>
      <w:r>
        <w:t xml:space="preserve"> norma, la cual atiende a la capacidad de envase en kilogramos registrada de acuerdo con la información reportada en el Sistema Único de Información, SUI.</w:t>
      </w:r>
    </w:p>
    <w:p w14:paraId="25FCF12D" w14:textId="52E895D2" w:rsidR="008F79C2" w:rsidRDefault="00F40D57" w:rsidP="002F1961">
      <w:pPr>
        <w:spacing w:before="100" w:beforeAutospacing="1" w:after="100" w:afterAutospacing="1" w:line="360" w:lineRule="auto"/>
      </w:pPr>
      <w:r>
        <w:t>En el año 2026</w:t>
      </w:r>
      <w:r w:rsidR="00892E77">
        <w:t xml:space="preserve">, </w:t>
      </w:r>
      <w:r>
        <w:t xml:space="preserve">mediante Resolución CREG 103 001 de 2026, </w:t>
      </w:r>
      <w:r w:rsidR="001D3CD7" w:rsidRPr="001D3CD7">
        <w:t>se modifican los parágrafos 1, 4 y 5 del artículo 8o de la Resolución CREG 063 de 2016</w:t>
      </w:r>
      <w:r w:rsidR="00402012">
        <w:t xml:space="preserve">, </w:t>
      </w:r>
      <w:r w:rsidR="00402012" w:rsidRPr="00402012">
        <w:t>ajusta</w:t>
      </w:r>
      <w:r w:rsidR="00AB5F70">
        <w:t>ndo</w:t>
      </w:r>
      <w:r w:rsidR="00402012" w:rsidRPr="00402012">
        <w:t xml:space="preserve"> el esquema de cálculo de la capacidad de compra con el fin de incorporar información asociada a los distribuidores que prestan el servicio a través de sistemas de redes de tubería</w:t>
      </w:r>
      <w:r w:rsidR="00E41F72">
        <w:t>.</w:t>
      </w:r>
    </w:p>
    <w:p w14:paraId="30EBE452" w14:textId="566D5C41" w:rsidR="0018330D" w:rsidRPr="00DE5AB2" w:rsidRDefault="0018330D" w:rsidP="002F1961">
      <w:pPr>
        <w:pStyle w:val="Ttulo3"/>
        <w:spacing w:before="100" w:beforeAutospacing="1" w:after="100" w:afterAutospacing="1"/>
      </w:pPr>
      <w:bookmarkStart w:id="44" w:name="_Ref235085919"/>
      <w:bookmarkStart w:id="45" w:name="_Ref235111447"/>
      <w:bookmarkStart w:id="46" w:name="_Toc235128329"/>
      <w:r w:rsidRPr="00DE5AB2">
        <w:t>Transporte</w:t>
      </w:r>
      <w:bookmarkEnd w:id="44"/>
      <w:bookmarkEnd w:id="45"/>
      <w:bookmarkEnd w:id="46"/>
    </w:p>
    <w:p w14:paraId="2DED399A" w14:textId="0690E446" w:rsidR="00E52CA6" w:rsidRPr="00AC2998" w:rsidRDefault="00E52CA6" w:rsidP="00BF35CA">
      <w:pPr>
        <w:pStyle w:val="Ttulo4"/>
        <w:spacing w:before="100" w:beforeAutospacing="1" w:after="100" w:afterAutospacing="1" w:line="360" w:lineRule="auto"/>
        <w:ind w:left="567" w:hanging="567"/>
      </w:pPr>
      <w:r>
        <w:t>Transporte por ductos</w:t>
      </w:r>
    </w:p>
    <w:p w14:paraId="6C0407B6" w14:textId="48B1D210" w:rsidR="000D27FE" w:rsidRDefault="000D27FE" w:rsidP="002F1961">
      <w:pPr>
        <w:spacing w:before="100" w:beforeAutospacing="1" w:after="100" w:afterAutospacing="1" w:line="360" w:lineRule="auto"/>
        <w:rPr>
          <w:lang w:val="es-CO"/>
        </w:rPr>
      </w:pPr>
      <w:r w:rsidRPr="000D27FE">
        <w:rPr>
          <w:lang w:val="es-CO"/>
        </w:rPr>
        <w:t>El sistema de transporte por ductos está conformado por poliductos</w:t>
      </w:r>
      <w:r w:rsidR="00DC2DA8">
        <w:rPr>
          <w:lang w:val="es-CO"/>
        </w:rPr>
        <w:t>,</w:t>
      </w:r>
      <w:r w:rsidRPr="000D27FE">
        <w:rPr>
          <w:lang w:val="es-CO"/>
        </w:rPr>
        <w:t xml:space="preserve"> ducto</w:t>
      </w:r>
      <w:r w:rsidR="00DC2DA8">
        <w:rPr>
          <w:lang w:val="es-CO"/>
        </w:rPr>
        <w:t>s</w:t>
      </w:r>
      <w:r w:rsidRPr="000D27FE">
        <w:rPr>
          <w:lang w:val="es-CO"/>
        </w:rPr>
        <w:t xml:space="preserve"> que puede</w:t>
      </w:r>
      <w:r w:rsidR="00DC2DA8">
        <w:rPr>
          <w:lang w:val="es-CO"/>
        </w:rPr>
        <w:t>n</w:t>
      </w:r>
      <w:r w:rsidRPr="000D27FE">
        <w:rPr>
          <w:lang w:val="es-CO"/>
        </w:rPr>
        <w:t xml:space="preserve"> transporta</w:t>
      </w:r>
      <w:r w:rsidR="00DC2DA8">
        <w:rPr>
          <w:lang w:val="es-CO"/>
        </w:rPr>
        <w:t>r</w:t>
      </w:r>
      <w:r w:rsidRPr="000D27FE">
        <w:rPr>
          <w:lang w:val="es-CO"/>
        </w:rPr>
        <w:t xml:space="preserve"> diferentes derivados del petróleo como gasolina, GLP, etc.</w:t>
      </w:r>
      <w:r w:rsidR="007C765A">
        <w:rPr>
          <w:lang w:val="es-CO"/>
        </w:rPr>
        <w:t>,</w:t>
      </w:r>
      <w:r w:rsidRPr="000D27FE">
        <w:rPr>
          <w:lang w:val="es-CO"/>
        </w:rPr>
        <w:t xml:space="preserve"> o </w:t>
      </w:r>
      <w:proofErr w:type="spellStart"/>
      <w:r w:rsidRPr="000D27FE">
        <w:rPr>
          <w:lang w:val="es-CO"/>
        </w:rPr>
        <w:t>propanoductos</w:t>
      </w:r>
      <w:proofErr w:type="spellEnd"/>
      <w:r w:rsidRPr="000D27FE">
        <w:rPr>
          <w:lang w:val="es-CO"/>
        </w:rPr>
        <w:t xml:space="preserve"> </w:t>
      </w:r>
      <w:r w:rsidR="007C765A">
        <w:rPr>
          <w:lang w:val="es-CO"/>
        </w:rPr>
        <w:t xml:space="preserve">que corresponden a los </w:t>
      </w:r>
      <w:r w:rsidRPr="000D27FE">
        <w:rPr>
          <w:lang w:val="es-CO"/>
        </w:rPr>
        <w:t>ducto</w:t>
      </w:r>
      <w:r w:rsidR="007C765A">
        <w:rPr>
          <w:lang w:val="es-CO"/>
        </w:rPr>
        <w:t>s</w:t>
      </w:r>
      <w:r w:rsidRPr="000D27FE">
        <w:rPr>
          <w:lang w:val="es-CO"/>
        </w:rPr>
        <w:t xml:space="preserve"> que sólo se utiliza</w:t>
      </w:r>
      <w:r w:rsidR="007C765A">
        <w:rPr>
          <w:lang w:val="es-CO"/>
        </w:rPr>
        <w:t>n</w:t>
      </w:r>
      <w:r w:rsidRPr="000D27FE">
        <w:rPr>
          <w:lang w:val="es-CO"/>
        </w:rPr>
        <w:t xml:space="preserve"> para transportar GLP. </w:t>
      </w:r>
      <w:r w:rsidR="001E1DC4">
        <w:rPr>
          <w:lang w:val="es-CO"/>
        </w:rPr>
        <w:t xml:space="preserve">Ver </w:t>
      </w:r>
      <w:r w:rsidR="001E1DC4">
        <w:rPr>
          <w:lang w:val="es-CO"/>
        </w:rPr>
        <w:fldChar w:fldCharType="begin"/>
      </w:r>
      <w:r w:rsidR="001E1DC4">
        <w:rPr>
          <w:lang w:val="es-CO"/>
        </w:rPr>
        <w:instrText xml:space="preserve"> REF _Ref235082816 \h </w:instrText>
      </w:r>
      <w:r w:rsidR="001E1DC4">
        <w:rPr>
          <w:lang w:val="es-CO"/>
        </w:rPr>
      </w:r>
      <w:r w:rsidR="001E1DC4">
        <w:rPr>
          <w:lang w:val="es-CO"/>
        </w:rPr>
        <w:fldChar w:fldCharType="separate"/>
      </w:r>
      <w:r w:rsidR="001E1DC4" w:rsidRPr="00E16390">
        <w:rPr>
          <w:rFonts w:eastAsiaTheme="minorEastAsia" w:cs="Arial"/>
          <w:lang w:val="es-PE" w:eastAsia="es-PE"/>
        </w:rPr>
        <w:t xml:space="preserve">Figura </w:t>
      </w:r>
      <w:r w:rsidR="001E1DC4">
        <w:rPr>
          <w:rFonts w:eastAsiaTheme="minorEastAsia" w:cs="Arial"/>
          <w:noProof/>
          <w:lang w:val="es-PE" w:eastAsia="es-PE"/>
        </w:rPr>
        <w:t>7</w:t>
      </w:r>
      <w:r w:rsidR="001E1DC4">
        <w:rPr>
          <w:lang w:val="es-CO"/>
        </w:rPr>
        <w:fldChar w:fldCharType="end"/>
      </w:r>
    </w:p>
    <w:p w14:paraId="7945D33B" w14:textId="2C5FF757" w:rsidR="003C4FE0" w:rsidRPr="00EA1CC0" w:rsidRDefault="003C4FE0" w:rsidP="002F1961">
      <w:pPr>
        <w:keepNext/>
        <w:spacing w:before="100" w:beforeAutospacing="1" w:after="100" w:afterAutospacing="1" w:line="360" w:lineRule="auto"/>
        <w:jc w:val="center"/>
        <w:rPr>
          <w:rFonts w:eastAsiaTheme="minorEastAsia" w:cs="Arial"/>
          <w:lang w:val="es-PE" w:eastAsia="es-PE"/>
        </w:rPr>
      </w:pPr>
      <w:bookmarkStart w:id="47" w:name="_Ref235082816"/>
      <w:bookmarkStart w:id="48" w:name="_Toc235118547"/>
      <w:r w:rsidRPr="00E16390">
        <w:rPr>
          <w:rFonts w:eastAsiaTheme="minorEastAsia" w:cs="Arial"/>
          <w:lang w:val="es-PE" w:eastAsia="es-PE"/>
        </w:rPr>
        <w:lastRenderedPageBreak/>
        <w:t xml:space="preserve">Figura </w:t>
      </w:r>
      <w:r w:rsidRPr="00E16390">
        <w:rPr>
          <w:rFonts w:eastAsiaTheme="minorEastAsia" w:cs="Arial"/>
          <w:lang w:val="es-PE" w:eastAsia="es-PE"/>
        </w:rPr>
        <w:fldChar w:fldCharType="begin"/>
      </w:r>
      <w:r w:rsidRPr="00E16390">
        <w:rPr>
          <w:rFonts w:eastAsiaTheme="minorEastAsia" w:cs="Arial"/>
          <w:lang w:val="es-PE" w:eastAsia="es-PE"/>
        </w:rPr>
        <w:instrText xml:space="preserve"> SEQ Figura \* ARABIC </w:instrText>
      </w:r>
      <w:r w:rsidRPr="00E16390">
        <w:rPr>
          <w:rFonts w:eastAsiaTheme="minorEastAsia" w:cs="Arial"/>
          <w:lang w:val="es-PE" w:eastAsia="es-PE"/>
        </w:rPr>
        <w:fldChar w:fldCharType="separate"/>
      </w:r>
      <w:r w:rsidR="001E1DC4">
        <w:rPr>
          <w:rFonts w:eastAsiaTheme="minorEastAsia" w:cs="Arial"/>
          <w:noProof/>
          <w:lang w:val="es-PE" w:eastAsia="es-PE"/>
        </w:rPr>
        <w:t>7</w:t>
      </w:r>
      <w:r w:rsidRPr="00E16390">
        <w:rPr>
          <w:rFonts w:eastAsiaTheme="minorEastAsia" w:cs="Arial"/>
          <w:lang w:val="es-PE" w:eastAsia="es-PE"/>
        </w:rPr>
        <w:fldChar w:fldCharType="end"/>
      </w:r>
      <w:bookmarkEnd w:id="47"/>
      <w:r w:rsidRPr="00E16390">
        <w:rPr>
          <w:rFonts w:eastAsiaTheme="minorEastAsia" w:cs="Arial"/>
          <w:lang w:val="es-PE" w:eastAsia="es-PE"/>
        </w:rPr>
        <w:t xml:space="preserve">. </w:t>
      </w:r>
      <w:r>
        <w:rPr>
          <w:rFonts w:eastAsiaTheme="minorEastAsia" w:cs="Arial"/>
          <w:lang w:val="es-PE" w:eastAsia="es-PE"/>
        </w:rPr>
        <w:t>Red de Poliductos</w:t>
      </w:r>
      <w:bookmarkEnd w:id="48"/>
    </w:p>
    <w:p w14:paraId="06C58442" w14:textId="77777777" w:rsidR="003C4FE0" w:rsidRDefault="003C4FE0" w:rsidP="002F1961">
      <w:pPr>
        <w:spacing w:before="100" w:beforeAutospacing="1" w:after="100" w:afterAutospacing="1" w:line="360" w:lineRule="auto"/>
        <w:jc w:val="center"/>
        <w:rPr>
          <w:lang w:val="es-CO"/>
        </w:rPr>
      </w:pPr>
      <w:r>
        <w:rPr>
          <w:noProof/>
        </w:rPr>
        <w:drawing>
          <wp:inline distT="0" distB="0" distL="0" distR="0" wp14:anchorId="2EF4E4DC" wp14:editId="1EC891A1">
            <wp:extent cx="2774950" cy="2950454"/>
            <wp:effectExtent l="0" t="0" r="6350" b="2540"/>
            <wp:docPr id="2825515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551536" name=""/>
                    <pic:cNvPicPr/>
                  </pic:nvPicPr>
                  <pic:blipFill>
                    <a:blip r:embed="rId28"/>
                    <a:stretch>
                      <a:fillRect/>
                    </a:stretch>
                  </pic:blipFill>
                  <pic:spPr>
                    <a:xfrm>
                      <a:off x="0" y="0"/>
                      <a:ext cx="2793909" cy="2970612"/>
                    </a:xfrm>
                    <a:prstGeom prst="rect">
                      <a:avLst/>
                    </a:prstGeom>
                  </pic:spPr>
                </pic:pic>
              </a:graphicData>
            </a:graphic>
          </wp:inline>
        </w:drawing>
      </w:r>
    </w:p>
    <w:p w14:paraId="626F9B56" w14:textId="1C79EA54" w:rsidR="003C4FE0" w:rsidRPr="009F2622" w:rsidRDefault="003C4FE0" w:rsidP="002F1961">
      <w:pPr>
        <w:spacing w:before="100" w:beforeAutospacing="1" w:after="100" w:afterAutospacing="1" w:line="360" w:lineRule="auto"/>
        <w:jc w:val="center"/>
        <w:rPr>
          <w:sz w:val="22"/>
          <w:szCs w:val="22"/>
          <w:lang w:val="es-CO"/>
        </w:rPr>
      </w:pPr>
      <w:r w:rsidRPr="009F2622">
        <w:rPr>
          <w:sz w:val="22"/>
          <w:szCs w:val="22"/>
          <w:lang w:val="es-CO"/>
        </w:rPr>
        <w:t xml:space="preserve">Fuente: </w:t>
      </w:r>
      <w:r w:rsidR="00D61B0F" w:rsidRPr="009F2622">
        <w:rPr>
          <w:sz w:val="22"/>
          <w:szCs w:val="22"/>
          <w:lang w:val="es-CO"/>
        </w:rPr>
        <w:t xml:space="preserve">CENIT. </w:t>
      </w:r>
      <w:hyperlink r:id="rId29" w:history="1">
        <w:r w:rsidR="00BC56BB" w:rsidRPr="009D7F15">
          <w:rPr>
            <w:rStyle w:val="Hipervnculo"/>
            <w:sz w:val="22"/>
            <w:szCs w:val="22"/>
            <w:lang w:val="es-CO"/>
          </w:rPr>
          <w:t>https://www.cenit-transporte.com/poliductos/</w:t>
        </w:r>
      </w:hyperlink>
      <w:r w:rsidR="00BC56BB">
        <w:rPr>
          <w:sz w:val="22"/>
          <w:szCs w:val="22"/>
          <w:lang w:val="es-CO"/>
        </w:rPr>
        <w:t xml:space="preserve"> </w:t>
      </w:r>
    </w:p>
    <w:p w14:paraId="1B395FC6" w14:textId="77777777" w:rsidR="003C4FE0" w:rsidRDefault="003C4FE0" w:rsidP="002F1961">
      <w:pPr>
        <w:spacing w:before="100" w:beforeAutospacing="1" w:after="100" w:afterAutospacing="1" w:line="360" w:lineRule="auto"/>
        <w:rPr>
          <w:lang w:val="es-CO"/>
        </w:rPr>
      </w:pPr>
      <w:r>
        <w:rPr>
          <w:lang w:val="es-CO"/>
        </w:rPr>
        <w:t>De acuerdo con lo señalado por CENIT en su página web</w:t>
      </w:r>
      <w:r>
        <w:rPr>
          <w:rStyle w:val="Refdenotaalpie"/>
          <w:lang w:val="es-CO"/>
        </w:rPr>
        <w:footnoteReference w:id="12"/>
      </w:r>
      <w:r>
        <w:rPr>
          <w:lang w:val="es-CO"/>
        </w:rPr>
        <w:t xml:space="preserve"> para</w:t>
      </w:r>
      <w:r w:rsidRPr="00930B6F">
        <w:rPr>
          <w:lang w:val="es-CO"/>
        </w:rPr>
        <w:t xml:space="preserve"> el transporte del GLP dispone</w:t>
      </w:r>
      <w:r>
        <w:rPr>
          <w:lang w:val="es-CO"/>
        </w:rPr>
        <w:t>n</w:t>
      </w:r>
      <w:r w:rsidRPr="00930B6F">
        <w:rPr>
          <w:lang w:val="es-CO"/>
        </w:rPr>
        <w:t xml:space="preserve"> de los siguientes sistemas:</w:t>
      </w:r>
    </w:p>
    <w:p w14:paraId="031BFFEE" w14:textId="77777777" w:rsidR="003C4FE0" w:rsidRPr="004F1AA5" w:rsidRDefault="003C4FE0" w:rsidP="002F1961">
      <w:pPr>
        <w:spacing w:before="100" w:beforeAutospacing="1" w:after="100" w:afterAutospacing="1" w:line="360" w:lineRule="auto"/>
        <w:ind w:left="709"/>
        <w:rPr>
          <w:i/>
          <w:sz w:val="22"/>
          <w:szCs w:val="18"/>
          <w:lang w:val="es-CO"/>
        </w:rPr>
      </w:pPr>
      <w:r w:rsidRPr="004F1AA5">
        <w:rPr>
          <w:i/>
          <w:sz w:val="22"/>
          <w:szCs w:val="18"/>
          <w:lang w:val="es-CO"/>
        </w:rPr>
        <w:t xml:space="preserve">“ZONA OESTE | Poliducto </w:t>
      </w:r>
      <w:proofErr w:type="spellStart"/>
      <w:r w:rsidRPr="004F1AA5">
        <w:rPr>
          <w:i/>
          <w:sz w:val="22"/>
          <w:szCs w:val="18"/>
          <w:lang w:val="es-CO"/>
        </w:rPr>
        <w:t>Galán</w:t>
      </w:r>
      <w:proofErr w:type="spellEnd"/>
      <w:r w:rsidRPr="004F1AA5">
        <w:rPr>
          <w:i/>
          <w:sz w:val="22"/>
          <w:szCs w:val="18"/>
          <w:lang w:val="es-CO"/>
        </w:rPr>
        <w:t xml:space="preserve"> – Sebastopol – Salgar 8</w:t>
      </w:r>
    </w:p>
    <w:p w14:paraId="64360E7F" w14:textId="77777777" w:rsidR="003C4FE0" w:rsidRPr="004F1AA5" w:rsidRDefault="003C4FE0" w:rsidP="002F1961">
      <w:pPr>
        <w:spacing w:before="100" w:beforeAutospacing="1" w:after="100" w:afterAutospacing="1" w:line="360" w:lineRule="auto"/>
        <w:ind w:left="709"/>
        <w:rPr>
          <w:i/>
          <w:sz w:val="22"/>
          <w:szCs w:val="18"/>
          <w:lang w:val="es-CO"/>
        </w:rPr>
      </w:pPr>
      <w:r w:rsidRPr="004F1AA5">
        <w:rPr>
          <w:i/>
          <w:sz w:val="22"/>
          <w:szCs w:val="18"/>
          <w:lang w:val="es-CO"/>
        </w:rPr>
        <w:t>Poliducto Galán – Sebastopol – Salgar 8”: Longitud de 256+931 km, dedicado a la evacuación de GLP desde la Refinería de Barrancabermeja hasta el centro operativo de Puerto Salgar.</w:t>
      </w:r>
    </w:p>
    <w:p w14:paraId="3DC56E86" w14:textId="77777777" w:rsidR="003C4FE0" w:rsidRPr="004F1AA5" w:rsidRDefault="003C4FE0" w:rsidP="002F1961">
      <w:pPr>
        <w:spacing w:before="100" w:beforeAutospacing="1" w:after="100" w:afterAutospacing="1" w:line="360" w:lineRule="auto"/>
        <w:ind w:left="709"/>
        <w:rPr>
          <w:i/>
          <w:sz w:val="22"/>
          <w:szCs w:val="18"/>
          <w:lang w:val="es-CO"/>
        </w:rPr>
      </w:pPr>
      <w:r w:rsidRPr="004F1AA5">
        <w:rPr>
          <w:i/>
          <w:sz w:val="22"/>
          <w:szCs w:val="18"/>
          <w:lang w:val="es-CO"/>
        </w:rPr>
        <w:t>ZONA BOGOTÁ| Poliducto Salgar– Mansilla 8</w:t>
      </w:r>
    </w:p>
    <w:p w14:paraId="5A2DED49" w14:textId="77777777" w:rsidR="003C4FE0" w:rsidRPr="004F1AA5" w:rsidRDefault="003C4FE0" w:rsidP="002F1961">
      <w:pPr>
        <w:spacing w:before="100" w:beforeAutospacing="1" w:after="100" w:afterAutospacing="1" w:line="360" w:lineRule="auto"/>
        <w:ind w:left="709"/>
        <w:rPr>
          <w:i/>
          <w:sz w:val="22"/>
          <w:szCs w:val="18"/>
          <w:lang w:val="es-CO"/>
        </w:rPr>
      </w:pPr>
      <w:r w:rsidRPr="004F1AA5">
        <w:rPr>
          <w:i/>
          <w:sz w:val="22"/>
          <w:szCs w:val="18"/>
          <w:lang w:val="es-CO"/>
        </w:rPr>
        <w:t>Poliducto Salgar – Mansilla 8”: Sistema dedicado al transporte de GLP con una longitud de 104+479 km. Actualmente hibernado”.</w:t>
      </w:r>
    </w:p>
    <w:p w14:paraId="017ED2F2" w14:textId="249ABDDD" w:rsidR="005812BF" w:rsidRDefault="00A81168" w:rsidP="002F1961">
      <w:pPr>
        <w:spacing w:before="100" w:beforeAutospacing="1" w:after="100" w:afterAutospacing="1" w:line="360" w:lineRule="auto"/>
        <w:rPr>
          <w:lang w:val="es-CO"/>
        </w:rPr>
      </w:pPr>
      <w:r>
        <w:rPr>
          <w:lang w:val="es-CO"/>
        </w:rPr>
        <w:t xml:space="preserve">La metodología para la determinación del cargo de transporte por ductos </w:t>
      </w:r>
      <w:r w:rsidR="00C77D8B">
        <w:rPr>
          <w:lang w:val="es-CO"/>
        </w:rPr>
        <w:t>se encuentra consignada en la Resolución CREG 016 de 2010</w:t>
      </w:r>
      <w:r w:rsidR="005812BF">
        <w:rPr>
          <w:lang w:val="es-CO"/>
        </w:rPr>
        <w:t xml:space="preserve"> y 099 de 2010</w:t>
      </w:r>
      <w:r w:rsidR="000B1430">
        <w:rPr>
          <w:lang w:val="es-CO"/>
        </w:rPr>
        <w:t xml:space="preserve"> y establece </w:t>
      </w:r>
      <w:r w:rsidR="00304B36">
        <w:rPr>
          <w:lang w:val="es-CO"/>
        </w:rPr>
        <w:t xml:space="preserve">un </w:t>
      </w:r>
      <w:r w:rsidR="00E90BE6">
        <w:rPr>
          <w:lang w:val="es-CO"/>
        </w:rPr>
        <w:t xml:space="preserve">régimen </w:t>
      </w:r>
      <w:r w:rsidR="00E90BE6">
        <w:rPr>
          <w:lang w:val="es-CO"/>
        </w:rPr>
        <w:lastRenderedPageBreak/>
        <w:t xml:space="preserve">tarifario </w:t>
      </w:r>
      <w:r w:rsidR="00304B36">
        <w:rPr>
          <w:lang w:val="es-CO"/>
        </w:rPr>
        <w:t>de</w:t>
      </w:r>
      <w:r w:rsidR="008C5256">
        <w:rPr>
          <w:lang w:val="es-CO"/>
        </w:rPr>
        <w:t xml:space="preserve"> libertad regulada </w:t>
      </w:r>
      <w:r w:rsidR="00304B36">
        <w:rPr>
          <w:lang w:val="es-CO"/>
        </w:rPr>
        <w:t>para CENIT como transportador por ductos.</w:t>
      </w:r>
      <w:r w:rsidR="005812BF" w:rsidRPr="005812BF">
        <w:rPr>
          <w:lang w:val="es-CO"/>
        </w:rPr>
        <w:t xml:space="preserve"> </w:t>
      </w:r>
      <w:r w:rsidR="005812BF" w:rsidRPr="000D27FE">
        <w:rPr>
          <w:lang w:val="es-CO"/>
        </w:rPr>
        <w:t xml:space="preserve">La tarifa varía según el ducto utilizado y la distancia transportada. </w:t>
      </w:r>
    </w:p>
    <w:p w14:paraId="13A8AF9D" w14:textId="3078CFF0" w:rsidR="000D27FE" w:rsidRDefault="000D27FE" w:rsidP="002F1961">
      <w:pPr>
        <w:spacing w:before="100" w:beforeAutospacing="1" w:after="100" w:afterAutospacing="1" w:line="360" w:lineRule="auto"/>
        <w:rPr>
          <w:lang w:val="es-CO"/>
        </w:rPr>
      </w:pPr>
      <w:r w:rsidRPr="000D27FE">
        <w:rPr>
          <w:lang w:val="es-CO"/>
        </w:rPr>
        <w:t>El cargo</w:t>
      </w:r>
      <w:r w:rsidR="000125A7">
        <w:rPr>
          <w:lang w:val="es-CO"/>
        </w:rPr>
        <w:t xml:space="preserve"> de transporte </w:t>
      </w:r>
      <w:r w:rsidR="00304B36">
        <w:rPr>
          <w:lang w:val="es-CO"/>
        </w:rPr>
        <w:t xml:space="preserve">por ductos </w:t>
      </w:r>
      <w:r w:rsidRPr="000D27FE">
        <w:rPr>
          <w:lang w:val="es-CO"/>
        </w:rPr>
        <w:t>lo aplican los distribuidores que adquieren el producto proveniente de la refinería de Barrancabermeja y lo transportan hasta uno de los diferentes puntos terminales del sistema de transporte.</w:t>
      </w:r>
      <w:r w:rsidR="00840558">
        <w:rPr>
          <w:lang w:val="es-CO"/>
        </w:rPr>
        <w:t xml:space="preserve"> </w:t>
      </w:r>
      <w:r w:rsidRPr="000D27FE">
        <w:rPr>
          <w:lang w:val="es-CO"/>
        </w:rPr>
        <w:t>Los costos del transporte de GLP incluyen la estampilla a San Andrés.</w:t>
      </w:r>
    </w:p>
    <w:p w14:paraId="4F7A1D37" w14:textId="77777777" w:rsidR="00E20AA7" w:rsidRDefault="00E53B65" w:rsidP="002F1961">
      <w:pPr>
        <w:spacing w:before="100" w:beforeAutospacing="1" w:after="100" w:afterAutospacing="1" w:line="360" w:lineRule="auto"/>
        <w:rPr>
          <w:lang w:val="es-CO"/>
        </w:rPr>
      </w:pPr>
      <w:r>
        <w:rPr>
          <w:lang w:val="es-CO"/>
        </w:rPr>
        <w:t xml:space="preserve">Las tarifas de transporte de GLP por ductos </w:t>
      </w:r>
      <w:r w:rsidR="00220626">
        <w:rPr>
          <w:lang w:val="es-CO"/>
        </w:rPr>
        <w:t>publicadas por CENIT</w:t>
      </w:r>
      <w:r w:rsidR="0001345D">
        <w:rPr>
          <w:lang w:val="es-CO"/>
        </w:rPr>
        <w:t xml:space="preserve"> </w:t>
      </w:r>
      <w:r w:rsidR="00E20AA7">
        <w:rPr>
          <w:lang w:val="es-CO"/>
        </w:rPr>
        <w:t>para el año 2026 son las siguientes:</w:t>
      </w:r>
    </w:p>
    <w:p w14:paraId="3415B893" w14:textId="44CE5EEC" w:rsidR="002B2AF2" w:rsidRPr="002B2AF2" w:rsidRDefault="002B2AF2" w:rsidP="002F1961">
      <w:pPr>
        <w:keepNext/>
        <w:spacing w:before="100" w:beforeAutospacing="1" w:after="100" w:afterAutospacing="1" w:line="360" w:lineRule="auto"/>
        <w:jc w:val="center"/>
        <w:rPr>
          <w:lang w:val="es-PE"/>
        </w:rPr>
      </w:pPr>
      <w:bookmarkStart w:id="49" w:name="_Toc235118548"/>
      <w:r w:rsidRPr="00E16390">
        <w:rPr>
          <w:rFonts w:eastAsiaTheme="minorEastAsia" w:cs="Arial"/>
          <w:lang w:val="es-PE" w:eastAsia="es-PE"/>
        </w:rPr>
        <w:t xml:space="preserve">Figura </w:t>
      </w:r>
      <w:r w:rsidRPr="00E16390">
        <w:rPr>
          <w:rFonts w:eastAsiaTheme="minorEastAsia" w:cs="Arial"/>
          <w:lang w:val="es-PE" w:eastAsia="es-PE"/>
        </w:rPr>
        <w:fldChar w:fldCharType="begin"/>
      </w:r>
      <w:r w:rsidRPr="00E16390">
        <w:rPr>
          <w:rFonts w:eastAsiaTheme="minorEastAsia" w:cs="Arial"/>
          <w:lang w:val="es-PE" w:eastAsia="es-PE"/>
        </w:rPr>
        <w:instrText xml:space="preserve"> SEQ Figura \* ARABIC </w:instrText>
      </w:r>
      <w:r w:rsidRPr="00E16390">
        <w:rPr>
          <w:rFonts w:eastAsiaTheme="minorEastAsia" w:cs="Arial"/>
          <w:lang w:val="es-PE" w:eastAsia="es-PE"/>
        </w:rPr>
        <w:fldChar w:fldCharType="separate"/>
      </w:r>
      <w:r w:rsidR="002D0751">
        <w:rPr>
          <w:rFonts w:eastAsiaTheme="minorEastAsia" w:cs="Arial"/>
          <w:noProof/>
          <w:lang w:val="es-PE" w:eastAsia="es-PE"/>
        </w:rPr>
        <w:t>8</w:t>
      </w:r>
      <w:r w:rsidRPr="00E16390">
        <w:rPr>
          <w:rFonts w:eastAsiaTheme="minorEastAsia" w:cs="Arial"/>
          <w:lang w:val="es-PE" w:eastAsia="es-PE"/>
        </w:rPr>
        <w:fldChar w:fldCharType="end"/>
      </w:r>
      <w:r w:rsidRPr="00E16390">
        <w:rPr>
          <w:rFonts w:eastAsiaTheme="minorEastAsia" w:cs="Arial"/>
          <w:lang w:val="es-PE" w:eastAsia="es-PE"/>
        </w:rPr>
        <w:t xml:space="preserve">. </w:t>
      </w:r>
      <w:r>
        <w:rPr>
          <w:rFonts w:eastAsiaTheme="minorEastAsia" w:cs="Arial"/>
          <w:lang w:val="es-PE" w:eastAsia="es-PE"/>
        </w:rPr>
        <w:t>Tarifas de transporte por ductos para el año 2026 ($/kg)</w:t>
      </w:r>
      <w:bookmarkEnd w:id="49"/>
    </w:p>
    <w:p w14:paraId="02F66CBD" w14:textId="546A8AE7" w:rsidR="001F53D4" w:rsidRDefault="002B2AF2" w:rsidP="002F1961">
      <w:pPr>
        <w:spacing w:before="100" w:beforeAutospacing="1" w:after="100" w:afterAutospacing="1" w:line="360" w:lineRule="auto"/>
        <w:jc w:val="center"/>
        <w:rPr>
          <w:lang w:val="es-CO"/>
        </w:rPr>
      </w:pPr>
      <w:r w:rsidRPr="002B2AF2">
        <w:rPr>
          <w:noProof/>
          <w:lang w:val="es-CO"/>
        </w:rPr>
        <w:drawing>
          <wp:inline distT="0" distB="0" distL="0" distR="0" wp14:anchorId="165F945D" wp14:editId="2235DEE5">
            <wp:extent cx="5706231" cy="2787019"/>
            <wp:effectExtent l="0" t="0" r="8890" b="0"/>
            <wp:docPr id="9628022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802226" name=""/>
                    <pic:cNvPicPr/>
                  </pic:nvPicPr>
                  <pic:blipFill rotWithShape="1">
                    <a:blip r:embed="rId30"/>
                    <a:srcRect t="14574"/>
                    <a:stretch>
                      <a:fillRect/>
                    </a:stretch>
                  </pic:blipFill>
                  <pic:spPr bwMode="auto">
                    <a:xfrm>
                      <a:off x="0" y="0"/>
                      <a:ext cx="5792494" cy="2829151"/>
                    </a:xfrm>
                    <a:prstGeom prst="rect">
                      <a:avLst/>
                    </a:prstGeom>
                    <a:ln>
                      <a:noFill/>
                    </a:ln>
                    <a:extLst>
                      <a:ext uri="{53640926-AAD7-44D8-BBD7-CCE9431645EC}">
                        <a14:shadowObscured xmlns:a14="http://schemas.microsoft.com/office/drawing/2010/main"/>
                      </a:ext>
                    </a:extLst>
                  </pic:spPr>
                </pic:pic>
              </a:graphicData>
            </a:graphic>
          </wp:inline>
        </w:drawing>
      </w:r>
    </w:p>
    <w:p w14:paraId="4552EF00" w14:textId="5DDCD0C1" w:rsidR="002B2AF2" w:rsidRPr="00402BE0" w:rsidRDefault="002B2AF2" w:rsidP="002F1961">
      <w:pPr>
        <w:spacing w:before="100" w:beforeAutospacing="1" w:after="100" w:afterAutospacing="1" w:line="360" w:lineRule="auto"/>
        <w:jc w:val="center"/>
        <w:rPr>
          <w:sz w:val="22"/>
          <w:szCs w:val="18"/>
          <w:lang w:val="es-CO"/>
        </w:rPr>
      </w:pPr>
      <w:r w:rsidRPr="00402BE0">
        <w:rPr>
          <w:iCs/>
          <w:sz w:val="22"/>
          <w:szCs w:val="18"/>
          <w:lang w:val="es-CO"/>
        </w:rPr>
        <w:t xml:space="preserve">Fuente: </w:t>
      </w:r>
      <w:r w:rsidR="00D61B0F" w:rsidRPr="00402BE0">
        <w:rPr>
          <w:iCs/>
          <w:sz w:val="22"/>
          <w:szCs w:val="18"/>
          <w:lang w:val="es-CO"/>
        </w:rPr>
        <w:t xml:space="preserve">CENIT. </w:t>
      </w:r>
      <w:hyperlink r:id="rId31" w:history="1">
        <w:r w:rsidR="00BC56BB" w:rsidRPr="00D84FCA">
          <w:rPr>
            <w:rStyle w:val="Hipervnculo"/>
          </w:rPr>
          <w:t>https://www.cenit-transporte.com/glp-3/</w:t>
        </w:r>
      </w:hyperlink>
    </w:p>
    <w:p w14:paraId="648E003D" w14:textId="4805FB63" w:rsidR="001F53D4" w:rsidRDefault="0011397E" w:rsidP="002F1961">
      <w:pPr>
        <w:spacing w:before="100" w:beforeAutospacing="1" w:after="100" w:afterAutospacing="1" w:line="360" w:lineRule="auto"/>
        <w:rPr>
          <w:lang w:val="es-CO"/>
        </w:rPr>
      </w:pPr>
      <w:r>
        <w:rPr>
          <w:lang w:val="es-CO"/>
        </w:rPr>
        <w:t xml:space="preserve">En la </w:t>
      </w:r>
      <w:r w:rsidR="00A8072D">
        <w:rPr>
          <w:lang w:val="es-CO"/>
        </w:rPr>
        <w:fldChar w:fldCharType="begin"/>
      </w:r>
      <w:r w:rsidR="00A8072D">
        <w:rPr>
          <w:lang w:val="es-CO"/>
        </w:rPr>
        <w:instrText xml:space="preserve"> REF _Ref235082877 \h </w:instrText>
      </w:r>
      <w:r w:rsidR="00A8072D">
        <w:rPr>
          <w:lang w:val="es-CO"/>
        </w:rPr>
      </w:r>
      <w:r w:rsidR="00A8072D">
        <w:rPr>
          <w:lang w:val="es-CO"/>
        </w:rPr>
        <w:fldChar w:fldCharType="separate"/>
      </w:r>
      <w:r w:rsidR="00A8072D" w:rsidRPr="00E16390">
        <w:rPr>
          <w:rFonts w:eastAsiaTheme="minorEastAsia" w:cs="Arial"/>
          <w:lang w:val="es-PE" w:eastAsia="es-PE"/>
        </w:rPr>
        <w:t xml:space="preserve">Figura </w:t>
      </w:r>
      <w:r w:rsidR="00A8072D">
        <w:rPr>
          <w:rFonts w:eastAsiaTheme="minorEastAsia" w:cs="Arial"/>
          <w:noProof/>
          <w:lang w:val="es-PE" w:eastAsia="es-PE"/>
        </w:rPr>
        <w:t>9</w:t>
      </w:r>
      <w:r w:rsidR="00A8072D">
        <w:rPr>
          <w:lang w:val="es-CO"/>
        </w:rPr>
        <w:fldChar w:fldCharType="end"/>
      </w:r>
      <w:r w:rsidR="00D174CF">
        <w:rPr>
          <w:lang w:val="es-CO"/>
        </w:rPr>
        <w:t xml:space="preserve"> se observa la evolución del costo de transporte de GLP por ductos incluyendo las variaciones que ha tenido la estampilla</w:t>
      </w:r>
      <w:r w:rsidR="00512EF9">
        <w:rPr>
          <w:lang w:val="es-CO"/>
        </w:rPr>
        <w:t xml:space="preserve">, la cual en los últimos años ha </w:t>
      </w:r>
      <w:r w:rsidR="004E7C62">
        <w:rPr>
          <w:lang w:val="es-CO"/>
        </w:rPr>
        <w:t xml:space="preserve">aumentado </w:t>
      </w:r>
      <w:r w:rsidR="00A516D7">
        <w:rPr>
          <w:lang w:val="es-CO"/>
        </w:rPr>
        <w:t>debido a la disminución de oferta de producto en la fuente de Barrancabermeja.</w:t>
      </w:r>
    </w:p>
    <w:p w14:paraId="4FE38C8F" w14:textId="6DDD6AC0" w:rsidR="00392739" w:rsidRPr="00EA1CC0" w:rsidRDefault="00392739" w:rsidP="002F1961">
      <w:pPr>
        <w:keepNext/>
        <w:spacing w:before="100" w:beforeAutospacing="1" w:after="100" w:afterAutospacing="1" w:line="360" w:lineRule="auto"/>
        <w:jc w:val="center"/>
        <w:rPr>
          <w:rFonts w:eastAsiaTheme="minorEastAsia" w:cs="Arial"/>
          <w:lang w:val="es-PE" w:eastAsia="es-PE"/>
        </w:rPr>
      </w:pPr>
      <w:bookmarkStart w:id="50" w:name="_Ref235082877"/>
      <w:bookmarkStart w:id="51" w:name="_Toc235118549"/>
      <w:r w:rsidRPr="00E16390">
        <w:rPr>
          <w:rFonts w:eastAsiaTheme="minorEastAsia" w:cs="Arial"/>
          <w:lang w:val="es-PE" w:eastAsia="es-PE"/>
        </w:rPr>
        <w:lastRenderedPageBreak/>
        <w:t xml:space="preserve">Figura </w:t>
      </w:r>
      <w:r w:rsidRPr="00E16390">
        <w:rPr>
          <w:rFonts w:eastAsiaTheme="minorEastAsia" w:cs="Arial"/>
          <w:lang w:val="es-PE" w:eastAsia="es-PE"/>
        </w:rPr>
        <w:fldChar w:fldCharType="begin"/>
      </w:r>
      <w:r w:rsidRPr="00E16390">
        <w:rPr>
          <w:rFonts w:eastAsiaTheme="minorEastAsia" w:cs="Arial"/>
          <w:lang w:val="es-PE" w:eastAsia="es-PE"/>
        </w:rPr>
        <w:instrText xml:space="preserve"> SEQ Figura \* ARABIC </w:instrText>
      </w:r>
      <w:r w:rsidRPr="00E16390">
        <w:rPr>
          <w:rFonts w:eastAsiaTheme="minorEastAsia" w:cs="Arial"/>
          <w:lang w:val="es-PE" w:eastAsia="es-PE"/>
        </w:rPr>
        <w:fldChar w:fldCharType="separate"/>
      </w:r>
      <w:r w:rsidR="00A8072D">
        <w:rPr>
          <w:rFonts w:eastAsiaTheme="minorEastAsia" w:cs="Arial"/>
          <w:noProof/>
          <w:lang w:val="es-PE" w:eastAsia="es-PE"/>
        </w:rPr>
        <w:t>9</w:t>
      </w:r>
      <w:r w:rsidRPr="00E16390">
        <w:rPr>
          <w:rFonts w:eastAsiaTheme="minorEastAsia" w:cs="Arial"/>
          <w:lang w:val="es-PE" w:eastAsia="es-PE"/>
        </w:rPr>
        <w:fldChar w:fldCharType="end"/>
      </w:r>
      <w:bookmarkEnd w:id="50"/>
      <w:r w:rsidRPr="00E16390">
        <w:rPr>
          <w:rFonts w:eastAsiaTheme="minorEastAsia" w:cs="Arial"/>
          <w:lang w:val="es-PE" w:eastAsia="es-PE"/>
        </w:rPr>
        <w:t xml:space="preserve">. </w:t>
      </w:r>
      <w:r>
        <w:rPr>
          <w:rFonts w:eastAsiaTheme="minorEastAsia" w:cs="Arial"/>
          <w:lang w:val="es-PE" w:eastAsia="es-PE"/>
        </w:rPr>
        <w:t>Costo del T, incluyendo la Estampilla ($/kg)</w:t>
      </w:r>
      <w:bookmarkEnd w:id="51"/>
    </w:p>
    <w:p w14:paraId="5C29EFDB" w14:textId="48A7BA63" w:rsidR="00392739" w:rsidRDefault="00354008" w:rsidP="002F1961">
      <w:pPr>
        <w:spacing w:before="100" w:beforeAutospacing="1" w:after="100" w:afterAutospacing="1" w:line="360" w:lineRule="auto"/>
        <w:jc w:val="center"/>
        <w:rPr>
          <w:lang w:val="es-CO"/>
        </w:rPr>
      </w:pPr>
      <w:r w:rsidRPr="00354008">
        <w:rPr>
          <w:noProof/>
          <w:lang w:val="es-CO"/>
        </w:rPr>
        <w:drawing>
          <wp:inline distT="0" distB="0" distL="0" distR="0" wp14:anchorId="65A630B8" wp14:editId="4C89F4E1">
            <wp:extent cx="5908655" cy="2901950"/>
            <wp:effectExtent l="0" t="0" r="0" b="0"/>
            <wp:docPr id="5880709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070970" name=""/>
                    <pic:cNvPicPr/>
                  </pic:nvPicPr>
                  <pic:blipFill rotWithShape="1">
                    <a:blip r:embed="rId32"/>
                    <a:srcRect t="7608"/>
                    <a:stretch>
                      <a:fillRect/>
                    </a:stretch>
                  </pic:blipFill>
                  <pic:spPr bwMode="auto">
                    <a:xfrm>
                      <a:off x="0" y="0"/>
                      <a:ext cx="5914043" cy="2904596"/>
                    </a:xfrm>
                    <a:prstGeom prst="rect">
                      <a:avLst/>
                    </a:prstGeom>
                    <a:ln>
                      <a:noFill/>
                    </a:ln>
                    <a:extLst>
                      <a:ext uri="{53640926-AAD7-44D8-BBD7-CCE9431645EC}">
                        <a14:shadowObscured xmlns:a14="http://schemas.microsoft.com/office/drawing/2010/main"/>
                      </a:ext>
                    </a:extLst>
                  </pic:spPr>
                </pic:pic>
              </a:graphicData>
            </a:graphic>
          </wp:inline>
        </w:drawing>
      </w:r>
    </w:p>
    <w:p w14:paraId="437A1256" w14:textId="78B8B432" w:rsidR="00354008" w:rsidRPr="000A00FB" w:rsidRDefault="00354008" w:rsidP="002F1961">
      <w:pPr>
        <w:spacing w:before="100" w:beforeAutospacing="1" w:after="100" w:afterAutospacing="1" w:line="360" w:lineRule="auto"/>
        <w:jc w:val="center"/>
        <w:rPr>
          <w:sz w:val="22"/>
          <w:szCs w:val="18"/>
          <w:lang w:val="es-CO"/>
        </w:rPr>
      </w:pPr>
      <w:r w:rsidRPr="000A00FB">
        <w:rPr>
          <w:sz w:val="22"/>
          <w:szCs w:val="18"/>
          <w:lang w:val="es-CO"/>
        </w:rPr>
        <w:t>Fuente: SUI. Elaboración</w:t>
      </w:r>
      <w:r w:rsidR="00D174CF" w:rsidRPr="000A00FB">
        <w:rPr>
          <w:sz w:val="22"/>
          <w:szCs w:val="18"/>
          <w:lang w:val="es-CO"/>
        </w:rPr>
        <w:t>: CREG</w:t>
      </w:r>
    </w:p>
    <w:p w14:paraId="19534355" w14:textId="04073AFC" w:rsidR="000D27FE" w:rsidRPr="000D27FE" w:rsidRDefault="00E35E5F" w:rsidP="002F1961">
      <w:pPr>
        <w:spacing w:before="100" w:beforeAutospacing="1" w:after="100" w:afterAutospacing="1" w:line="360" w:lineRule="auto"/>
        <w:rPr>
          <w:lang w:val="es-CO"/>
        </w:rPr>
      </w:pPr>
      <w:r>
        <w:rPr>
          <w:lang w:val="es-CO"/>
        </w:rPr>
        <w:t>Finalmente, es importante resaltar que l</w:t>
      </w:r>
      <w:r w:rsidR="000D27FE" w:rsidRPr="000D27FE">
        <w:rPr>
          <w:lang w:val="es-CO"/>
        </w:rPr>
        <w:t>a entrega de GLP en camiones</w:t>
      </w:r>
      <w:r>
        <w:rPr>
          <w:lang w:val="es-CO"/>
        </w:rPr>
        <w:t xml:space="preserve"> o </w:t>
      </w:r>
      <w:r w:rsidR="00AC09D8">
        <w:rPr>
          <w:lang w:val="es-CO"/>
        </w:rPr>
        <w:t>carro cisterna</w:t>
      </w:r>
      <w:r w:rsidR="000D27FE" w:rsidRPr="000D27FE">
        <w:rPr>
          <w:lang w:val="es-CO"/>
        </w:rPr>
        <w:t xml:space="preserve"> no se considera </w:t>
      </w:r>
      <w:r w:rsidR="00AC09D8">
        <w:rPr>
          <w:lang w:val="es-CO"/>
        </w:rPr>
        <w:t>parte de la actividad de transporte</w:t>
      </w:r>
      <w:r w:rsidR="000D27FE" w:rsidRPr="000D27FE">
        <w:rPr>
          <w:lang w:val="es-CO"/>
        </w:rPr>
        <w:t>. Dicha actividad se define como flete en la actividad de distribución.</w:t>
      </w:r>
    </w:p>
    <w:p w14:paraId="10F3C5BC" w14:textId="588577DA" w:rsidR="00E52CA6" w:rsidRPr="00AC2998" w:rsidRDefault="00E52CA6" w:rsidP="000A00FB">
      <w:pPr>
        <w:pStyle w:val="Ttulo4"/>
        <w:spacing w:before="100" w:beforeAutospacing="1" w:after="100" w:afterAutospacing="1" w:line="360" w:lineRule="auto"/>
        <w:ind w:hanging="790"/>
      </w:pPr>
      <w:r>
        <w:t>Transporte marítimo</w:t>
      </w:r>
    </w:p>
    <w:p w14:paraId="499983AA" w14:textId="3A012458" w:rsidR="00AB0A0C" w:rsidRDefault="008316C0" w:rsidP="002F1961">
      <w:pPr>
        <w:tabs>
          <w:tab w:val="num" w:pos="720"/>
        </w:tabs>
        <w:spacing w:before="100" w:beforeAutospacing="1" w:after="100" w:afterAutospacing="1" w:line="360" w:lineRule="auto"/>
        <w:rPr>
          <w:lang w:val="es-CO"/>
        </w:rPr>
      </w:pPr>
      <w:r w:rsidRPr="008316C0">
        <w:rPr>
          <w:lang w:val="es-CO"/>
        </w:rPr>
        <w:t xml:space="preserve">El sistema de transporte marítimo </w:t>
      </w:r>
      <w:r w:rsidR="00A93784">
        <w:rPr>
          <w:lang w:val="es-CO"/>
        </w:rPr>
        <w:t xml:space="preserve">de GLP </w:t>
      </w:r>
      <w:r w:rsidRPr="008316C0">
        <w:rPr>
          <w:lang w:val="es-CO"/>
        </w:rPr>
        <w:t xml:space="preserve">corresponde al trayecto comprendido entre Cartagena y la isla de San Andrés. </w:t>
      </w:r>
      <w:r w:rsidR="00AB0A0C">
        <w:rPr>
          <w:lang w:val="es-CO"/>
        </w:rPr>
        <w:t xml:space="preserve">La metodología de remuneración se encuentra consignada en </w:t>
      </w:r>
      <w:r w:rsidR="009C1F8E">
        <w:rPr>
          <w:lang w:val="es-CO"/>
        </w:rPr>
        <w:t xml:space="preserve">la </w:t>
      </w:r>
      <w:r w:rsidR="00AB0A0C" w:rsidRPr="00AB0A0C">
        <w:rPr>
          <w:lang w:val="es-CO"/>
        </w:rPr>
        <w:t>R</w:t>
      </w:r>
      <w:r w:rsidR="009C1F8E">
        <w:rPr>
          <w:lang w:val="es-CO"/>
        </w:rPr>
        <w:t>esolución CRE</w:t>
      </w:r>
      <w:r w:rsidR="00664940">
        <w:rPr>
          <w:lang w:val="es-CO"/>
        </w:rPr>
        <w:t>G 050 de 2009</w:t>
      </w:r>
      <w:r w:rsidR="00D07263">
        <w:rPr>
          <w:lang w:val="es-CO"/>
        </w:rPr>
        <w:t xml:space="preserve"> </w:t>
      </w:r>
      <w:r w:rsidR="006E501F">
        <w:rPr>
          <w:lang w:val="es-CO"/>
        </w:rPr>
        <w:t>y definió un régimen de</w:t>
      </w:r>
      <w:r w:rsidR="00D07263">
        <w:rPr>
          <w:lang w:val="es-CO"/>
        </w:rPr>
        <w:t xml:space="preserve"> l</w:t>
      </w:r>
      <w:r w:rsidR="00AB0A0C" w:rsidRPr="00AB0A0C">
        <w:rPr>
          <w:lang w:val="es-CO"/>
        </w:rPr>
        <w:t xml:space="preserve">ibertad regulada para </w:t>
      </w:r>
      <w:r w:rsidR="00DD29DE" w:rsidRPr="00AB0A0C">
        <w:rPr>
          <w:lang w:val="es-CO"/>
        </w:rPr>
        <w:t>PROVIGAS</w:t>
      </w:r>
      <w:r w:rsidR="00DD29DE">
        <w:rPr>
          <w:lang w:val="es-CO"/>
        </w:rPr>
        <w:t xml:space="preserve"> S.A. E.S.P.</w:t>
      </w:r>
      <w:r w:rsidR="00AB0A0C" w:rsidRPr="00AB0A0C">
        <w:rPr>
          <w:lang w:val="es-CO"/>
        </w:rPr>
        <w:t xml:space="preserve"> como transportador marítimo.</w:t>
      </w:r>
    </w:p>
    <w:p w14:paraId="49D9D17C" w14:textId="582CD5CC" w:rsidR="008316C0" w:rsidRPr="008316C0" w:rsidRDefault="008316C0" w:rsidP="002F1961">
      <w:pPr>
        <w:tabs>
          <w:tab w:val="num" w:pos="720"/>
        </w:tabs>
        <w:spacing w:before="100" w:beforeAutospacing="1" w:after="100" w:afterAutospacing="1" w:line="360" w:lineRule="auto"/>
        <w:rPr>
          <w:lang w:val="es-CO"/>
        </w:rPr>
      </w:pPr>
      <w:r w:rsidRPr="008316C0">
        <w:rPr>
          <w:lang w:val="es-CO"/>
        </w:rPr>
        <w:t>El cargo medio de transporte se remunera en un porcentaje con la demanda del mercado de San Andrés y el resto con la demanda del continente (cargo estampilla).</w:t>
      </w:r>
      <w:r w:rsidR="00676779">
        <w:rPr>
          <w:lang w:val="es-CO"/>
        </w:rPr>
        <w:t xml:space="preserve"> </w:t>
      </w:r>
      <w:r w:rsidRPr="008316C0">
        <w:rPr>
          <w:lang w:val="es-CO"/>
        </w:rPr>
        <w:t>El costo de</w:t>
      </w:r>
      <w:r w:rsidR="001054D1">
        <w:rPr>
          <w:lang w:val="es-CO"/>
        </w:rPr>
        <w:t xml:space="preserve"> dicho</w:t>
      </w:r>
      <w:r w:rsidRPr="008316C0">
        <w:rPr>
          <w:lang w:val="es-CO"/>
        </w:rPr>
        <w:t xml:space="preserve"> cargo se establece en las Resoluciones CREG 049 y 176 de 2011. </w:t>
      </w:r>
    </w:p>
    <w:p w14:paraId="44466447" w14:textId="668B461C" w:rsidR="008316C0" w:rsidRPr="008316C0" w:rsidRDefault="008316C0" w:rsidP="002F1961">
      <w:pPr>
        <w:tabs>
          <w:tab w:val="num" w:pos="720"/>
        </w:tabs>
        <w:spacing w:before="100" w:beforeAutospacing="1" w:after="100" w:afterAutospacing="1" w:line="360" w:lineRule="auto"/>
        <w:rPr>
          <w:lang w:val="es-CO"/>
        </w:rPr>
      </w:pPr>
      <w:r w:rsidRPr="008316C0">
        <w:rPr>
          <w:lang w:val="es-CO"/>
        </w:rPr>
        <w:t xml:space="preserve">El responsable por la operación y mantenimiento del almacenamiento de respaldo de la demanda del archipiélago </w:t>
      </w:r>
      <w:r w:rsidR="00D543C6">
        <w:rPr>
          <w:lang w:val="es-CO"/>
        </w:rPr>
        <w:t>de San Andrés</w:t>
      </w:r>
      <w:r w:rsidRPr="008316C0">
        <w:rPr>
          <w:lang w:val="es-CO"/>
        </w:rPr>
        <w:t xml:space="preserve"> es el transportador marítimo.</w:t>
      </w:r>
    </w:p>
    <w:p w14:paraId="5B81D6A7" w14:textId="4CA24094" w:rsidR="008316C0" w:rsidRPr="008316C0" w:rsidRDefault="00BD146D" w:rsidP="002F1961">
      <w:pPr>
        <w:tabs>
          <w:tab w:val="num" w:pos="720"/>
        </w:tabs>
        <w:spacing w:before="100" w:beforeAutospacing="1" w:after="100" w:afterAutospacing="1" w:line="360" w:lineRule="auto"/>
        <w:rPr>
          <w:lang w:val="es-CO"/>
        </w:rPr>
      </w:pPr>
      <w:r>
        <w:rPr>
          <w:lang w:val="es-CO"/>
        </w:rPr>
        <w:lastRenderedPageBreak/>
        <w:t>Frente a la</w:t>
      </w:r>
      <w:r w:rsidR="008316C0" w:rsidRPr="008316C0">
        <w:rPr>
          <w:lang w:val="es-CO"/>
        </w:rPr>
        <w:t xml:space="preserve"> entrega de GLP entr</w:t>
      </w:r>
      <w:r>
        <w:rPr>
          <w:lang w:val="es-CO"/>
        </w:rPr>
        <w:t>e</w:t>
      </w:r>
      <w:r w:rsidR="008316C0" w:rsidRPr="008316C0">
        <w:rPr>
          <w:lang w:val="es-CO"/>
        </w:rPr>
        <w:t xml:space="preserve"> la isla de San Andrés y las islas de Providencia y Santa Catalina </w:t>
      </w:r>
      <w:r>
        <w:rPr>
          <w:lang w:val="es-CO"/>
        </w:rPr>
        <w:t xml:space="preserve">se resalta que </w:t>
      </w:r>
      <w:r w:rsidR="00534905">
        <w:rPr>
          <w:lang w:val="es-CO"/>
        </w:rPr>
        <w:t xml:space="preserve">dicha actividad </w:t>
      </w:r>
      <w:r w:rsidR="008316C0" w:rsidRPr="008316C0">
        <w:rPr>
          <w:lang w:val="es-CO"/>
        </w:rPr>
        <w:t>no se considera como transporte</w:t>
      </w:r>
      <w:r w:rsidR="00534905">
        <w:rPr>
          <w:lang w:val="es-CO"/>
        </w:rPr>
        <w:t xml:space="preserve"> y se</w:t>
      </w:r>
      <w:r w:rsidR="008316C0" w:rsidRPr="008316C0">
        <w:rPr>
          <w:lang w:val="es-CO"/>
        </w:rPr>
        <w:t xml:space="preserve"> define como flete en la actividad de distribución.</w:t>
      </w:r>
    </w:p>
    <w:p w14:paraId="2E264B82" w14:textId="3D2174B2" w:rsidR="00B313AC" w:rsidRPr="00AC2998" w:rsidRDefault="00B313AC" w:rsidP="000A00FB">
      <w:pPr>
        <w:pStyle w:val="Ttulo4"/>
        <w:spacing w:before="100" w:beforeAutospacing="1" w:after="100" w:afterAutospacing="1" w:line="360" w:lineRule="auto"/>
        <w:ind w:hanging="790"/>
      </w:pPr>
      <w:r>
        <w:t>Reglamento de Transporte por poliductos - RTP</w:t>
      </w:r>
    </w:p>
    <w:p w14:paraId="36E4BB81" w14:textId="58B722D6" w:rsidR="00C12A5A" w:rsidRDefault="00914BAE" w:rsidP="002F1961">
      <w:pPr>
        <w:tabs>
          <w:tab w:val="num" w:pos="720"/>
        </w:tabs>
        <w:spacing w:before="100" w:beforeAutospacing="1" w:after="100" w:afterAutospacing="1" w:line="360" w:lineRule="auto"/>
        <w:rPr>
          <w:lang w:val="es-CO"/>
        </w:rPr>
      </w:pPr>
      <w:r w:rsidRPr="00914BAE">
        <w:rPr>
          <w:lang w:val="es-CO"/>
        </w:rPr>
        <w:t>El Reglamento de Transporte por Poliductos</w:t>
      </w:r>
      <w:r w:rsidR="00C12A5A">
        <w:rPr>
          <w:lang w:val="es-CO"/>
        </w:rPr>
        <w:t>,</w:t>
      </w:r>
      <w:r w:rsidRPr="00914BAE">
        <w:rPr>
          <w:lang w:val="es-CO"/>
        </w:rPr>
        <w:t xml:space="preserve"> RTP</w:t>
      </w:r>
      <w:r>
        <w:rPr>
          <w:lang w:val="es-CO"/>
        </w:rPr>
        <w:t>,</w:t>
      </w:r>
      <w:r w:rsidRPr="00914BAE">
        <w:rPr>
          <w:lang w:val="es-CO"/>
        </w:rPr>
        <w:t xml:space="preserve"> </w:t>
      </w:r>
      <w:r w:rsidR="00FB5775">
        <w:rPr>
          <w:lang w:val="es-CO"/>
        </w:rPr>
        <w:t>expedido p</w:t>
      </w:r>
      <w:r w:rsidR="00C12A5A">
        <w:rPr>
          <w:lang w:val="es-CO"/>
        </w:rPr>
        <w:t xml:space="preserve">or </w:t>
      </w:r>
      <w:r w:rsidRPr="00914BAE">
        <w:rPr>
          <w:lang w:val="es-CO"/>
        </w:rPr>
        <w:t xml:space="preserve">de la CREG </w:t>
      </w:r>
      <w:r w:rsidR="00C12A5A" w:rsidRPr="00914BAE">
        <w:rPr>
          <w:lang w:val="es-CO"/>
        </w:rPr>
        <w:t xml:space="preserve">mediante la Resolución CREG 208 de 2021 Resolución 208 de 2021 </w:t>
      </w:r>
      <w:r w:rsidRPr="00914BAE">
        <w:rPr>
          <w:lang w:val="es-CO"/>
        </w:rPr>
        <w:t>es el marco normativo colombiano que establece las condiciones operativas, comerciales y técnicas para el transporte de combustibles líquidos derivados del petróleo y sus mezclas por la red de poliductos</w:t>
      </w:r>
      <w:r w:rsidR="00E92959">
        <w:rPr>
          <w:lang w:val="es-CO"/>
        </w:rPr>
        <w:t xml:space="preserve"> incluyendo al GLP</w:t>
      </w:r>
      <w:r w:rsidRPr="00914BAE">
        <w:rPr>
          <w:lang w:val="es-CO"/>
        </w:rPr>
        <w:t>.</w:t>
      </w:r>
    </w:p>
    <w:p w14:paraId="7E255B30" w14:textId="760EEF10" w:rsidR="009E2BDD" w:rsidRPr="00B97542" w:rsidRDefault="00E92959" w:rsidP="002F1961">
      <w:pPr>
        <w:tabs>
          <w:tab w:val="num" w:pos="720"/>
        </w:tabs>
        <w:spacing w:before="100" w:beforeAutospacing="1" w:after="100" w:afterAutospacing="1" w:line="360" w:lineRule="auto"/>
        <w:rPr>
          <w:lang w:val="es-CO"/>
        </w:rPr>
      </w:pPr>
      <w:r>
        <w:rPr>
          <w:lang w:val="es-CO"/>
        </w:rPr>
        <w:t>Dentro de los a</w:t>
      </w:r>
      <w:r w:rsidR="00914BAE" w:rsidRPr="00914BAE">
        <w:rPr>
          <w:lang w:val="es-CO"/>
        </w:rPr>
        <w:t>spectos clave del RTP</w:t>
      </w:r>
      <w:r w:rsidR="00077B8F">
        <w:rPr>
          <w:lang w:val="es-CO"/>
        </w:rPr>
        <w:t xml:space="preserve"> se encuentran</w:t>
      </w:r>
      <w:r w:rsidR="00B97542">
        <w:rPr>
          <w:lang w:val="es-CO"/>
        </w:rPr>
        <w:t xml:space="preserve"> las o</w:t>
      </w:r>
      <w:r w:rsidR="00914BAE" w:rsidRPr="00B97542">
        <w:rPr>
          <w:lang w:val="es-CO"/>
        </w:rPr>
        <w:t>bligaciones del transportador</w:t>
      </w:r>
      <w:r w:rsidR="00C6500A">
        <w:rPr>
          <w:lang w:val="es-CO"/>
        </w:rPr>
        <w:t xml:space="preserve"> que i</w:t>
      </w:r>
      <w:r w:rsidR="00914BAE" w:rsidRPr="00B97542">
        <w:rPr>
          <w:lang w:val="es-CO"/>
        </w:rPr>
        <w:t>ncluye</w:t>
      </w:r>
      <w:r w:rsidR="006E3B80">
        <w:rPr>
          <w:lang w:val="es-CO"/>
        </w:rPr>
        <w:t>n</w:t>
      </w:r>
      <w:r w:rsidR="00914BAE" w:rsidRPr="00B97542">
        <w:rPr>
          <w:lang w:val="es-CO"/>
        </w:rPr>
        <w:t xml:space="preserve"> la captura, procesamiento y publicación de información técnica, volumétrica, operativa y legal en la plataforma del BTP (Bolet</w:t>
      </w:r>
      <w:r w:rsidR="00C6500A">
        <w:rPr>
          <w:lang w:val="es-CO"/>
        </w:rPr>
        <w:t>ín</w:t>
      </w:r>
      <w:r w:rsidR="00914BAE" w:rsidRPr="00B97542">
        <w:rPr>
          <w:lang w:val="es-CO"/>
        </w:rPr>
        <w:t xml:space="preserve"> de Transporte por Poliducto)</w:t>
      </w:r>
      <w:r w:rsidR="00C6500A">
        <w:rPr>
          <w:lang w:val="es-CO"/>
        </w:rPr>
        <w:t>, así como también las o</w:t>
      </w:r>
      <w:r w:rsidR="00914BAE" w:rsidRPr="00B97542">
        <w:rPr>
          <w:lang w:val="es-CO"/>
        </w:rPr>
        <w:t>bligaciones del remitente</w:t>
      </w:r>
      <w:r w:rsidR="00C6500A">
        <w:rPr>
          <w:lang w:val="es-CO"/>
        </w:rPr>
        <w:t xml:space="preserve"> que corresponde</w:t>
      </w:r>
      <w:r w:rsidR="005B6FF4">
        <w:rPr>
          <w:lang w:val="es-CO"/>
        </w:rPr>
        <w:t xml:space="preserve"> a</w:t>
      </w:r>
      <w:r w:rsidR="00914BAE" w:rsidRPr="00B97542">
        <w:rPr>
          <w:lang w:val="es-CO"/>
        </w:rPr>
        <w:t xml:space="preserve"> los requisitos para la nominación oportuna, entrega, recepción de producto y la celebración de contratos de transporte.</w:t>
      </w:r>
    </w:p>
    <w:p w14:paraId="6257762C" w14:textId="30277EDE" w:rsidR="007A7F6E" w:rsidRPr="008349A7" w:rsidRDefault="007A7F6E" w:rsidP="002F1961">
      <w:pPr>
        <w:pStyle w:val="Ttulo3"/>
        <w:spacing w:before="100" w:beforeAutospacing="1" w:after="100" w:afterAutospacing="1"/>
      </w:pPr>
      <w:bookmarkStart w:id="52" w:name="_Toc235128330"/>
      <w:r w:rsidRPr="008349A7">
        <w:t xml:space="preserve">Distribución </w:t>
      </w:r>
      <w:r w:rsidR="001B5249" w:rsidRPr="008349A7">
        <w:t xml:space="preserve">y comercialización minorista </w:t>
      </w:r>
      <w:r w:rsidRPr="008349A7">
        <w:t>en cilindros y tanques</w:t>
      </w:r>
      <w:r w:rsidR="00292E4E">
        <w:t xml:space="preserve"> estacionarios</w:t>
      </w:r>
      <w:bookmarkEnd w:id="52"/>
    </w:p>
    <w:p w14:paraId="362AB527" w14:textId="2C549BFE" w:rsidR="004D521C" w:rsidRPr="004D521C" w:rsidRDefault="00447683" w:rsidP="002F1961">
      <w:pPr>
        <w:spacing w:before="100" w:beforeAutospacing="1" w:after="100" w:afterAutospacing="1" w:line="360" w:lineRule="auto"/>
        <w:rPr>
          <w:rFonts w:eastAsia="MS Mincho" w:cs="Arial"/>
          <w:color w:val="000000"/>
          <w:szCs w:val="24"/>
          <w:lang w:val="es-CO" w:eastAsia="es-CO"/>
        </w:rPr>
      </w:pPr>
      <w:r>
        <w:rPr>
          <w:rFonts w:eastAsia="MS Mincho" w:cs="Arial"/>
          <w:color w:val="000000"/>
          <w:szCs w:val="24"/>
          <w:lang w:val="es-CO" w:eastAsia="es-CO"/>
        </w:rPr>
        <w:t>C</w:t>
      </w:r>
      <w:r w:rsidRPr="004D521C">
        <w:rPr>
          <w:rFonts w:eastAsia="MS Mincho" w:cs="Arial"/>
          <w:color w:val="000000"/>
          <w:szCs w:val="24"/>
          <w:lang w:val="es-CO" w:eastAsia="es-CO"/>
        </w:rPr>
        <w:t>on</w:t>
      </w:r>
      <w:r w:rsidR="004D521C" w:rsidRPr="004D521C">
        <w:rPr>
          <w:rFonts w:eastAsia="MS Mincho" w:cs="Arial"/>
          <w:color w:val="000000"/>
          <w:szCs w:val="24"/>
          <w:lang w:val="es-CO" w:eastAsia="es-CO"/>
        </w:rPr>
        <w:t xml:space="preserve"> la expedición de la Ley 1151 de 2008, la prestación del servicio </w:t>
      </w:r>
      <w:r>
        <w:rPr>
          <w:rFonts w:eastAsia="MS Mincho" w:cs="Arial"/>
          <w:color w:val="000000"/>
          <w:szCs w:val="24"/>
          <w:lang w:val="es-CO" w:eastAsia="es-CO"/>
        </w:rPr>
        <w:t xml:space="preserve">público </w:t>
      </w:r>
      <w:r w:rsidR="004D521C" w:rsidRPr="004D521C">
        <w:rPr>
          <w:rFonts w:eastAsia="MS Mincho" w:cs="Arial"/>
          <w:color w:val="000000"/>
          <w:szCs w:val="24"/>
          <w:lang w:val="es-CO" w:eastAsia="es-CO"/>
        </w:rPr>
        <w:t xml:space="preserve">domiciliario de </w:t>
      </w:r>
      <w:r w:rsidR="00342325">
        <w:rPr>
          <w:rFonts w:eastAsia="MS Mincho" w:cs="Arial"/>
          <w:color w:val="000000"/>
          <w:szCs w:val="24"/>
          <w:lang w:val="es-CO" w:eastAsia="es-CO"/>
        </w:rPr>
        <w:t>GLP</w:t>
      </w:r>
      <w:r w:rsidR="004D521C" w:rsidRPr="004D521C">
        <w:rPr>
          <w:rFonts w:eastAsia="MS Mincho" w:cs="Arial"/>
          <w:color w:val="000000"/>
          <w:szCs w:val="24"/>
          <w:lang w:val="es-CO" w:eastAsia="es-CO"/>
        </w:rPr>
        <w:t xml:space="preserve"> tuvo un cambio significativo principalmente de cara al usuario final, quien además de gozar de un mejor servicio, </w:t>
      </w:r>
      <w:r w:rsidR="009A0919">
        <w:rPr>
          <w:rFonts w:eastAsia="MS Mincho" w:cs="Arial"/>
          <w:color w:val="000000"/>
          <w:szCs w:val="24"/>
          <w:lang w:val="es-CO" w:eastAsia="es-CO"/>
        </w:rPr>
        <w:t>pu</w:t>
      </w:r>
      <w:r w:rsidR="001401F4">
        <w:rPr>
          <w:rFonts w:eastAsia="MS Mincho" w:cs="Arial"/>
          <w:color w:val="000000"/>
          <w:szCs w:val="24"/>
          <w:lang w:val="es-CO" w:eastAsia="es-CO"/>
        </w:rPr>
        <w:t>do</w:t>
      </w:r>
      <w:r w:rsidR="004D521C" w:rsidRPr="004D521C">
        <w:rPr>
          <w:rFonts w:eastAsia="MS Mincho" w:cs="Arial"/>
          <w:color w:val="000000"/>
          <w:szCs w:val="24"/>
          <w:lang w:val="es-CO" w:eastAsia="es-CO"/>
        </w:rPr>
        <w:t xml:space="preserve"> identificar plenamente a la empresa prestadora del mismo, a través del esquema de marca en los cilindros.</w:t>
      </w:r>
      <w:r w:rsidR="001401F4">
        <w:rPr>
          <w:rFonts w:eastAsia="MS Mincho" w:cs="Arial"/>
          <w:color w:val="000000"/>
          <w:szCs w:val="24"/>
          <w:lang w:val="es-CO" w:eastAsia="es-CO"/>
        </w:rPr>
        <w:t xml:space="preserve"> </w:t>
      </w:r>
    </w:p>
    <w:p w14:paraId="6F2202CC" w14:textId="05051899" w:rsidR="00187DD3" w:rsidRDefault="00187DD3" w:rsidP="002F1961">
      <w:pPr>
        <w:spacing w:before="100" w:beforeAutospacing="1" w:after="100" w:afterAutospacing="1" w:line="360" w:lineRule="auto"/>
        <w:rPr>
          <w:rFonts w:eastAsia="MS Mincho" w:cs="Arial"/>
          <w:color w:val="000000"/>
          <w:szCs w:val="24"/>
          <w:lang w:eastAsia="es-CO"/>
        </w:rPr>
      </w:pPr>
      <w:r w:rsidRPr="00187DD3">
        <w:rPr>
          <w:rFonts w:eastAsia="MS Mincho" w:cs="Arial"/>
          <w:color w:val="000000"/>
          <w:szCs w:val="24"/>
          <w:lang w:eastAsia="es-CO"/>
        </w:rPr>
        <w:t>Mediante Resolución CREG 023 de 2008</w:t>
      </w:r>
      <w:r w:rsidRPr="00187DD3">
        <w:rPr>
          <w:rFonts w:eastAsia="MS Mincho" w:cs="Arial"/>
          <w:szCs w:val="24"/>
          <w:vertAlign w:val="superscript"/>
        </w:rPr>
        <w:footnoteReference w:id="13"/>
      </w:r>
      <w:r w:rsidRPr="00187DD3">
        <w:rPr>
          <w:rFonts w:eastAsia="MS Mincho" w:cs="Arial"/>
          <w:color w:val="000000"/>
          <w:szCs w:val="24"/>
          <w:lang w:eastAsia="es-CO"/>
        </w:rPr>
        <w:t xml:space="preserve">, la CREG estableció el </w:t>
      </w:r>
      <w:r w:rsidRPr="00187DD3">
        <w:rPr>
          <w:rFonts w:eastAsia="MS Mincho" w:cs="Arial"/>
          <w:i/>
          <w:color w:val="000000"/>
          <w:szCs w:val="24"/>
          <w:lang w:eastAsia="es-CO"/>
        </w:rPr>
        <w:t>Reglamento de Distribución y Comercialización Minorista de GLP</w:t>
      </w:r>
      <w:r w:rsidRPr="00187DD3">
        <w:rPr>
          <w:rFonts w:eastAsia="MS Mincho" w:cs="Arial"/>
          <w:color w:val="000000"/>
          <w:szCs w:val="24"/>
          <w:lang w:eastAsia="es-CO"/>
        </w:rPr>
        <w:t xml:space="preserve">, que consiste en un conjunto de normas de carácter general que reglamentan la actividad de las empresas que prestan los </w:t>
      </w:r>
      <w:r w:rsidRPr="00187DD3">
        <w:rPr>
          <w:rFonts w:eastAsia="MS Mincho" w:cs="Arial"/>
          <w:color w:val="000000"/>
          <w:szCs w:val="24"/>
          <w:lang w:eastAsia="es-CO"/>
        </w:rPr>
        <w:lastRenderedPageBreak/>
        <w:t xml:space="preserve">servicios de distribución y comercialización minorista de GLP y su relación con los demás agentes. </w:t>
      </w:r>
      <w:r w:rsidRPr="006F7B45">
        <w:rPr>
          <w:rFonts w:eastAsia="MS Mincho" w:cs="Arial"/>
          <w:color w:val="000000"/>
          <w:szCs w:val="24"/>
          <w:lang w:eastAsia="es-CO"/>
        </w:rPr>
        <w:t>En este sentido, dichas actividades han sido definidas de la siguiente forma:</w:t>
      </w:r>
    </w:p>
    <w:p w14:paraId="06D23C22" w14:textId="77777777" w:rsidR="00187DD3" w:rsidRPr="000A00FB" w:rsidRDefault="00187DD3" w:rsidP="002F1961">
      <w:pPr>
        <w:autoSpaceDE w:val="0"/>
        <w:autoSpaceDN w:val="0"/>
        <w:adjustRightInd w:val="0"/>
        <w:spacing w:before="100" w:beforeAutospacing="1" w:after="100" w:afterAutospacing="1" w:line="360" w:lineRule="auto"/>
        <w:ind w:left="567" w:right="613"/>
        <w:rPr>
          <w:rFonts w:cs="Arial"/>
          <w:i/>
          <w:color w:val="000000"/>
          <w:sz w:val="22"/>
          <w:szCs w:val="18"/>
          <w:lang w:val="es-ES"/>
        </w:rPr>
      </w:pPr>
      <w:r w:rsidRPr="000A00FB">
        <w:rPr>
          <w:rFonts w:cs="Arial"/>
          <w:i/>
          <w:color w:val="000000" w:themeColor="text1"/>
          <w:sz w:val="22"/>
          <w:szCs w:val="18"/>
          <w:lang w:val="es-ES"/>
        </w:rPr>
        <w:t>“</w:t>
      </w:r>
      <w:r w:rsidRPr="000A00FB">
        <w:rPr>
          <w:rFonts w:cs="Arial"/>
          <w:b/>
          <w:i/>
          <w:color w:val="000000" w:themeColor="text1"/>
          <w:sz w:val="22"/>
          <w:szCs w:val="18"/>
          <w:lang w:val="es-ES"/>
        </w:rPr>
        <w:t>Distribución de GLP:</w:t>
      </w:r>
      <w:r w:rsidRPr="000A00FB">
        <w:rPr>
          <w:rFonts w:cs="Arial"/>
          <w:i/>
          <w:color w:val="000000" w:themeColor="text1"/>
          <w:sz w:val="22"/>
          <w:szCs w:val="18"/>
          <w:lang w:val="es-ES"/>
        </w:rPr>
        <w:t xml:space="preserve"> Actividad que comprende las actividades de: i) Compra del GLP en el mercado mayorista con destino al usuario final, </w:t>
      </w:r>
      <w:proofErr w:type="spellStart"/>
      <w:r w:rsidRPr="000A00FB">
        <w:rPr>
          <w:rFonts w:cs="Arial"/>
          <w:i/>
          <w:color w:val="000000" w:themeColor="text1"/>
          <w:sz w:val="22"/>
          <w:szCs w:val="18"/>
          <w:lang w:val="es-ES"/>
        </w:rPr>
        <w:t>ii</w:t>
      </w:r>
      <w:proofErr w:type="spellEnd"/>
      <w:r w:rsidRPr="000A00FB">
        <w:rPr>
          <w:rFonts w:cs="Arial"/>
          <w:i/>
          <w:color w:val="000000" w:themeColor="text1"/>
          <w:sz w:val="22"/>
          <w:szCs w:val="18"/>
          <w:lang w:val="es-ES"/>
        </w:rPr>
        <w:t xml:space="preserve">) flete desde los puntos de entrega directa del producto o los puntos de salida del sistema de transporte hasta las plantas de envasado, </w:t>
      </w:r>
      <w:proofErr w:type="spellStart"/>
      <w:r w:rsidRPr="000A00FB">
        <w:rPr>
          <w:rFonts w:cs="Arial"/>
          <w:i/>
          <w:color w:val="000000" w:themeColor="text1"/>
          <w:sz w:val="22"/>
          <w:szCs w:val="18"/>
          <w:lang w:val="es-ES"/>
        </w:rPr>
        <w:t>iii</w:t>
      </w:r>
      <w:proofErr w:type="spellEnd"/>
      <w:r w:rsidRPr="000A00FB">
        <w:rPr>
          <w:rFonts w:cs="Arial"/>
          <w:i/>
          <w:color w:val="000000" w:themeColor="text1"/>
          <w:sz w:val="22"/>
          <w:szCs w:val="18"/>
          <w:lang w:val="es-ES"/>
        </w:rPr>
        <w:t xml:space="preserve">) envasado de cilindros marcados y </w:t>
      </w:r>
      <w:proofErr w:type="spellStart"/>
      <w:r w:rsidRPr="000A00FB">
        <w:rPr>
          <w:rFonts w:cs="Arial"/>
          <w:i/>
          <w:color w:val="000000" w:themeColor="text1"/>
          <w:sz w:val="22"/>
          <w:szCs w:val="18"/>
          <w:lang w:val="es-ES"/>
        </w:rPr>
        <w:t>iv</w:t>
      </w:r>
      <w:proofErr w:type="spellEnd"/>
      <w:r w:rsidRPr="000A00FB">
        <w:rPr>
          <w:rFonts w:cs="Arial"/>
          <w:i/>
          <w:color w:val="000000" w:themeColor="text1"/>
          <w:sz w:val="22"/>
          <w:szCs w:val="18"/>
          <w:lang w:val="es-ES"/>
        </w:rPr>
        <w:t>) operación de la planta de envasado correspondiente. Comprende además las actividades de flete y entrega de producto a granel a través de tanques estacionarios instalados en el domicilio de los usuarios finales y de venta de cilindros a través de Puntos de Venta.</w:t>
      </w:r>
    </w:p>
    <w:p w14:paraId="4A5986BE" w14:textId="77777777" w:rsidR="00187DD3" w:rsidRPr="000A00FB" w:rsidRDefault="00187DD3" w:rsidP="002F1961">
      <w:pPr>
        <w:autoSpaceDE w:val="0"/>
        <w:autoSpaceDN w:val="0"/>
        <w:adjustRightInd w:val="0"/>
        <w:spacing w:before="100" w:beforeAutospacing="1" w:after="100" w:afterAutospacing="1" w:line="360" w:lineRule="auto"/>
        <w:ind w:left="567" w:right="613"/>
        <w:rPr>
          <w:rFonts w:cs="Arial"/>
          <w:i/>
          <w:color w:val="000000"/>
          <w:sz w:val="22"/>
          <w:szCs w:val="22"/>
        </w:rPr>
      </w:pPr>
      <w:r w:rsidRPr="000A00FB">
        <w:rPr>
          <w:rFonts w:cs="Arial"/>
          <w:i/>
          <w:color w:val="000000"/>
          <w:sz w:val="22"/>
          <w:szCs w:val="22"/>
        </w:rPr>
        <w:t>(…)</w:t>
      </w:r>
    </w:p>
    <w:p w14:paraId="67930F2C" w14:textId="77777777" w:rsidR="00187DD3" w:rsidRPr="000A00FB" w:rsidRDefault="00187DD3" w:rsidP="002F1961">
      <w:pPr>
        <w:autoSpaceDE w:val="0"/>
        <w:autoSpaceDN w:val="0"/>
        <w:adjustRightInd w:val="0"/>
        <w:spacing w:before="100" w:beforeAutospacing="1" w:after="100" w:afterAutospacing="1" w:line="360" w:lineRule="auto"/>
        <w:ind w:left="567" w:right="613"/>
        <w:rPr>
          <w:rFonts w:cs="Arial"/>
          <w:i/>
          <w:color w:val="000000"/>
          <w:sz w:val="22"/>
          <w:szCs w:val="22"/>
        </w:rPr>
      </w:pPr>
      <w:r w:rsidRPr="000A00FB">
        <w:rPr>
          <w:rFonts w:cs="Arial"/>
          <w:b/>
          <w:i/>
          <w:color w:val="000000"/>
          <w:sz w:val="22"/>
          <w:szCs w:val="22"/>
        </w:rPr>
        <w:t>Comercialización Minorista de GLP:</w:t>
      </w:r>
      <w:r w:rsidRPr="000A00FB">
        <w:rPr>
          <w:rFonts w:cs="Arial"/>
          <w:i/>
          <w:color w:val="000000"/>
          <w:sz w:val="22"/>
          <w:szCs w:val="22"/>
        </w:rPr>
        <w:t xml:space="preserve"> Actividad que consiste en la entrega de GLP en cilindros en el domicilio del usuario final o en expendios. Incluye la compra del producto envasado mediante contrato exclusivo con un distribuidor, cuando aplique, el flete del producto en cilindros, la celebración de los contratos de servicios públicos con los usuarios y la atención comercial de los usuarios. Cuando la comercialización de GLP se realiza a través de redes locales de gasoductos está sujeta a la Resolución CREG 011 de 2003, o aquella que la modifique o sustituya.”</w:t>
      </w:r>
    </w:p>
    <w:p w14:paraId="0FB9F742" w14:textId="579D3172" w:rsidR="00187DD3" w:rsidRPr="00747BA6" w:rsidRDefault="00187DD3" w:rsidP="002F1961">
      <w:pPr>
        <w:autoSpaceDE w:val="0"/>
        <w:autoSpaceDN w:val="0"/>
        <w:adjustRightInd w:val="0"/>
        <w:spacing w:before="100" w:beforeAutospacing="1" w:after="100" w:afterAutospacing="1" w:line="360" w:lineRule="auto"/>
        <w:rPr>
          <w:rFonts w:cs="Arial"/>
          <w:color w:val="000000"/>
          <w:szCs w:val="24"/>
          <w:lang w:val="es-ES" w:eastAsia="es-CO"/>
        </w:rPr>
      </w:pPr>
      <w:r w:rsidRPr="00187DD3">
        <w:rPr>
          <w:rFonts w:cs="Arial"/>
          <w:color w:val="000000"/>
          <w:szCs w:val="24"/>
          <w:lang w:val="es-ES" w:eastAsia="es-CO"/>
        </w:rPr>
        <w:t xml:space="preserve">De conformidad con estas definiciones, el objeto del reglamento de distribución y comercialización minorista es asegurar que la prestación del servicio de GLP la realicen solamente </w:t>
      </w:r>
      <w:r w:rsidRPr="00E13478">
        <w:rPr>
          <w:rFonts w:cs="Arial"/>
          <w:color w:val="000000"/>
          <w:szCs w:val="24"/>
          <w:lang w:val="es-ES" w:eastAsia="es-CO"/>
        </w:rPr>
        <w:t xml:space="preserve">empresas debidamente establecidas, constituidas y registradas como empresas de servicios públicos, </w:t>
      </w:r>
      <w:r w:rsidRPr="00187DD3">
        <w:rPr>
          <w:rFonts w:cs="Arial"/>
          <w:color w:val="000000"/>
          <w:szCs w:val="24"/>
          <w:lang w:val="es-ES" w:eastAsia="es-CO"/>
        </w:rPr>
        <w:t xml:space="preserve">mediante un esquema de parque de cilindros marcados propiedad de estas empresas; que la prestación del servicio se realice de forma segura y de calidad para los usuarios; creando condiciones e instrumentos para la operación eficiente y segura de la prestación del servicio; y exigiendo el cumplimiento de normas y especificaciones técnicas aplicables a cada una de las actividades que comprenden la </w:t>
      </w:r>
      <w:r w:rsidRPr="00187DD3">
        <w:rPr>
          <w:rFonts w:cs="Arial"/>
          <w:color w:val="000000"/>
          <w:szCs w:val="24"/>
          <w:lang w:val="es-ES" w:eastAsia="es-CO"/>
        </w:rPr>
        <w:lastRenderedPageBreak/>
        <w:t xml:space="preserve">distribución y comercialización minorista de </w:t>
      </w:r>
      <w:r w:rsidRPr="00747BA6">
        <w:rPr>
          <w:rFonts w:cs="Arial"/>
          <w:color w:val="000000"/>
          <w:szCs w:val="24"/>
          <w:lang w:val="es-ES" w:eastAsia="es-CO"/>
        </w:rPr>
        <w:t>GLP</w:t>
      </w:r>
      <w:r w:rsidR="00747BA6" w:rsidRPr="00747BA6">
        <w:rPr>
          <w:rFonts w:cs="Arial"/>
          <w:color w:val="000000"/>
          <w:szCs w:val="24"/>
          <w:lang w:val="es-ES" w:eastAsia="es-CO"/>
        </w:rPr>
        <w:t xml:space="preserve"> </w:t>
      </w:r>
      <w:r w:rsidR="00747BA6" w:rsidRPr="00747BA6">
        <w:rPr>
          <w:rFonts w:cs="Arial"/>
          <w:color w:val="000000"/>
          <w:lang w:val="es-ES" w:eastAsia="es-CO"/>
        </w:rPr>
        <w:t>(</w:t>
      </w:r>
      <w:proofErr w:type="spellStart"/>
      <w:r w:rsidR="00747BA6" w:rsidRPr="00747BA6">
        <w:rPr>
          <w:rFonts w:cs="Arial"/>
          <w:color w:val="000000"/>
          <w:lang w:val="es-ES" w:eastAsia="es-CO"/>
        </w:rPr>
        <w:t>e.j</w:t>
      </w:r>
      <w:proofErr w:type="spellEnd"/>
      <w:r w:rsidR="00747BA6" w:rsidRPr="00747BA6">
        <w:rPr>
          <w:rFonts w:cs="Arial"/>
          <w:color w:val="000000"/>
          <w:lang w:val="es-ES" w:eastAsia="es-CO"/>
        </w:rPr>
        <w:t>. reglamentos técnicos de cilindros y tanques estacionarios, así como de plantas de envasado y expendios</w:t>
      </w:r>
      <w:r w:rsidR="00747BA6" w:rsidRPr="00747BA6">
        <w:rPr>
          <w:rStyle w:val="Refdenotaalpie"/>
          <w:rFonts w:cs="Arial"/>
          <w:color w:val="000000"/>
          <w:lang w:val="es-ES" w:eastAsia="es-CO"/>
        </w:rPr>
        <w:footnoteReference w:id="14"/>
      </w:r>
      <w:r w:rsidR="00747BA6" w:rsidRPr="00747BA6">
        <w:rPr>
          <w:rFonts w:cs="Arial"/>
          <w:color w:val="000000"/>
          <w:lang w:val="es-ES" w:eastAsia="es-CO"/>
        </w:rPr>
        <w:t>).</w:t>
      </w:r>
    </w:p>
    <w:p w14:paraId="102DE0DE" w14:textId="5B855F8A" w:rsidR="00FC754C" w:rsidRPr="00FD53AC" w:rsidRDefault="00FC754C" w:rsidP="002F1961">
      <w:pPr>
        <w:spacing w:before="100" w:beforeAutospacing="1" w:after="100" w:afterAutospacing="1" w:line="360" w:lineRule="auto"/>
        <w:rPr>
          <w:rFonts w:cs="Arial"/>
          <w:spacing w:val="-5"/>
        </w:rPr>
      </w:pPr>
      <w:r w:rsidRPr="00FD53AC">
        <w:rPr>
          <w:rFonts w:cs="Arial"/>
          <w:spacing w:val="-5"/>
        </w:rPr>
        <w:t>Atendiendo estos lineamientos, mediante las resoluciones CREG 178 de 2011 y 164 de 2014 se dispuso que, para efectos de la prestación del servicio público domiciliario de GLP en cilindros, se encuentra prohibida la circulación de cilindros universales</w:t>
      </w:r>
      <w:r w:rsidRPr="00FD53AC">
        <w:rPr>
          <w:rFonts w:cs="Arial"/>
          <w:spacing w:val="-5"/>
          <w:vertAlign w:val="superscript"/>
        </w:rPr>
        <w:footnoteReference w:id="15"/>
      </w:r>
      <w:r w:rsidRPr="00FD53AC">
        <w:rPr>
          <w:rFonts w:cs="Arial"/>
          <w:spacing w:val="-5"/>
        </w:rPr>
        <w:t xml:space="preserve"> con o sin gas, así como la prestación del servicio público domiciliario de GLP en cilindros universales. </w:t>
      </w:r>
    </w:p>
    <w:p w14:paraId="4B185C3F" w14:textId="77777777" w:rsidR="00FC754C" w:rsidRPr="00FD53AC" w:rsidRDefault="00FC754C" w:rsidP="002F1961">
      <w:pPr>
        <w:spacing w:before="100" w:beforeAutospacing="1" w:after="100" w:afterAutospacing="1" w:line="360" w:lineRule="auto"/>
        <w:rPr>
          <w:rFonts w:cs="Arial"/>
          <w:lang w:val="es-ES"/>
        </w:rPr>
      </w:pPr>
      <w:r w:rsidRPr="00FD53AC">
        <w:rPr>
          <w:rFonts w:cs="Arial"/>
          <w:lang w:val="es-ES"/>
        </w:rPr>
        <w:t>Dicha medida fue adoptada por la CREG en atención a sus funciones regulatorias, así como las otorgadas en el artículo 62 de la Ley 1151 de 2007, luego de surtirse un período de transición entre el año 2008 a 2012</w:t>
      </w:r>
      <w:r w:rsidRPr="00FD53AC">
        <w:rPr>
          <w:rStyle w:val="Refdenotaalpie"/>
          <w:rFonts w:cs="Arial"/>
          <w:lang w:val="es-ES"/>
        </w:rPr>
        <w:footnoteReference w:id="16"/>
      </w:r>
      <w:r w:rsidRPr="00FD53AC">
        <w:rPr>
          <w:rFonts w:cs="Arial"/>
          <w:lang w:val="es-ES"/>
        </w:rPr>
        <w:t xml:space="preserve"> en el cual se llevó a cabo la destrucción de aproximadamente cinco (5) millones de cilindros universales, por lo que a partir de dicho momento se estableció un esquema de prestación del servicio público domiciliario de GLP mediante cilindros marcados propiedad de los distribuidores, no encontrándose habilitados los cilindros universales para la prestación del servicio.</w:t>
      </w:r>
    </w:p>
    <w:p w14:paraId="3B80C08D" w14:textId="7919DB67" w:rsidR="00F71AED" w:rsidRPr="00B22181" w:rsidRDefault="004D735D" w:rsidP="002F1961">
      <w:pPr>
        <w:spacing w:before="100" w:beforeAutospacing="1" w:after="100" w:afterAutospacing="1" w:line="360" w:lineRule="auto"/>
        <w:rPr>
          <w:rFonts w:cs="Arial"/>
          <w:spacing w:val="-5"/>
        </w:rPr>
      </w:pPr>
      <w:r>
        <w:rPr>
          <w:rFonts w:cs="Arial"/>
          <w:spacing w:val="-5"/>
        </w:rPr>
        <w:t xml:space="preserve">Teniendo en cuenta que </w:t>
      </w:r>
      <w:r w:rsidR="00FC16DF" w:rsidRPr="00B22181">
        <w:rPr>
          <w:rFonts w:cs="Arial"/>
          <w:spacing w:val="-5"/>
        </w:rPr>
        <w:t>las actividades de distribución y comercialización minorista de GLP a través de cilindros y tanques estacionarios</w:t>
      </w:r>
      <w:r w:rsidR="00F234E1">
        <w:rPr>
          <w:rFonts w:cs="Arial"/>
          <w:spacing w:val="-5"/>
        </w:rPr>
        <w:t xml:space="preserve"> cons</w:t>
      </w:r>
      <w:r w:rsidR="00501A54">
        <w:rPr>
          <w:rFonts w:cs="Arial"/>
          <w:spacing w:val="-5"/>
        </w:rPr>
        <w:t>ti</w:t>
      </w:r>
      <w:r w:rsidR="00F234E1">
        <w:rPr>
          <w:rFonts w:cs="Arial"/>
          <w:spacing w:val="-5"/>
        </w:rPr>
        <w:t>t</w:t>
      </w:r>
      <w:r w:rsidR="00501A54">
        <w:rPr>
          <w:rFonts w:cs="Arial"/>
          <w:spacing w:val="-5"/>
        </w:rPr>
        <w:t>uyen</w:t>
      </w:r>
      <w:r w:rsidR="00F234E1">
        <w:rPr>
          <w:rFonts w:cs="Arial"/>
          <w:spacing w:val="-5"/>
        </w:rPr>
        <w:t xml:space="preserve"> actividades en competencia, la Comisión determinó que </w:t>
      </w:r>
      <w:r w:rsidR="00501A54">
        <w:rPr>
          <w:rFonts w:cs="Arial"/>
          <w:spacing w:val="-5"/>
        </w:rPr>
        <w:t xml:space="preserve">el régimen tarifario </w:t>
      </w:r>
      <w:r w:rsidR="00447FAF">
        <w:rPr>
          <w:rFonts w:cs="Arial"/>
          <w:spacing w:val="-5"/>
        </w:rPr>
        <w:t xml:space="preserve">aplicable es el de Libertad vigilada </w:t>
      </w:r>
      <w:r w:rsidR="0084082A">
        <w:rPr>
          <w:rFonts w:cs="Arial"/>
          <w:spacing w:val="-5"/>
        </w:rPr>
        <w:t xml:space="preserve">y </w:t>
      </w:r>
      <w:r w:rsidR="002C5851">
        <w:rPr>
          <w:rFonts w:cs="Arial"/>
          <w:spacing w:val="-5"/>
        </w:rPr>
        <w:t xml:space="preserve">dichas disposiciones </w:t>
      </w:r>
      <w:r w:rsidR="00FC16DF" w:rsidRPr="00B22181">
        <w:rPr>
          <w:rFonts w:cs="Arial"/>
          <w:spacing w:val="-5"/>
        </w:rPr>
        <w:t xml:space="preserve">se </w:t>
      </w:r>
      <w:r w:rsidR="002C5851">
        <w:rPr>
          <w:rFonts w:cs="Arial"/>
          <w:spacing w:val="-5"/>
        </w:rPr>
        <w:t>encuentran contenidas</w:t>
      </w:r>
      <w:r w:rsidR="00FC16DF" w:rsidRPr="00B22181">
        <w:rPr>
          <w:rFonts w:cs="Arial"/>
          <w:spacing w:val="-5"/>
        </w:rPr>
        <w:t xml:space="preserve"> en la </w:t>
      </w:r>
      <w:r w:rsidR="00A27B29" w:rsidRPr="00B22181">
        <w:rPr>
          <w:rFonts w:cs="Arial"/>
          <w:spacing w:val="-5"/>
        </w:rPr>
        <w:t>Resolución CREG 001 de 2009</w:t>
      </w:r>
      <w:r w:rsidR="002C5851">
        <w:rPr>
          <w:rFonts w:cs="Arial"/>
          <w:spacing w:val="-5"/>
        </w:rPr>
        <w:t>.</w:t>
      </w:r>
    </w:p>
    <w:p w14:paraId="505D57C4" w14:textId="35D2B26B" w:rsidR="007A7F6E" w:rsidRPr="000D3226" w:rsidRDefault="007A7F6E" w:rsidP="002F1961">
      <w:pPr>
        <w:pStyle w:val="Ttulo3"/>
        <w:spacing w:before="100" w:beforeAutospacing="1" w:after="100" w:afterAutospacing="1"/>
      </w:pPr>
      <w:bookmarkStart w:id="53" w:name="_Toc235128331"/>
      <w:r w:rsidRPr="000D3226">
        <w:t xml:space="preserve">Distribución </w:t>
      </w:r>
      <w:r w:rsidR="001B5249" w:rsidRPr="000D3226">
        <w:t>y comercialización minorista por r</w:t>
      </w:r>
      <w:r w:rsidRPr="000D3226">
        <w:t>edes de tubería</w:t>
      </w:r>
      <w:bookmarkEnd w:id="53"/>
    </w:p>
    <w:p w14:paraId="3811AD4E" w14:textId="6ACF19CA" w:rsidR="008804CB" w:rsidRDefault="00EB0E96" w:rsidP="002F1961">
      <w:pPr>
        <w:spacing w:before="100" w:beforeAutospacing="1" w:after="100" w:afterAutospacing="1" w:line="360" w:lineRule="auto"/>
      </w:pPr>
      <w:r w:rsidRPr="00EB0E96">
        <w:t xml:space="preserve">La distribución y la comercialización minorista por redes de tubería son una forma de prestar el servicio público </w:t>
      </w:r>
      <w:r w:rsidR="00801AE0">
        <w:t>domiciliario de GLP</w:t>
      </w:r>
      <w:r w:rsidR="00905DCE">
        <w:t>,</w:t>
      </w:r>
      <w:r w:rsidRPr="00EB0E96">
        <w:t xml:space="preserve"> </w:t>
      </w:r>
      <w:r w:rsidR="00905DCE" w:rsidRPr="00905DCE">
        <w:t>mediante</w:t>
      </w:r>
      <w:r w:rsidRPr="00EB0E96">
        <w:t xml:space="preserve"> la </w:t>
      </w:r>
      <w:r w:rsidR="00905DCE" w:rsidRPr="00905DCE">
        <w:t>cual</w:t>
      </w:r>
      <w:r w:rsidRPr="00EB0E96">
        <w:t xml:space="preserve"> el </w:t>
      </w:r>
      <w:r w:rsidR="00905DCE" w:rsidRPr="00905DCE">
        <w:t>combustible es suministrado de forma continua</w:t>
      </w:r>
      <w:r w:rsidRPr="00EB0E96">
        <w:t xml:space="preserve"> a los usuarios finales a través de sistemas de distribución conectados </w:t>
      </w:r>
      <w:r w:rsidR="00905DCE" w:rsidRPr="00905DCE">
        <w:t xml:space="preserve">permanentemente </w:t>
      </w:r>
      <w:r w:rsidRPr="00EB0E96">
        <w:t xml:space="preserve">a </w:t>
      </w:r>
      <w:r w:rsidR="00905DCE" w:rsidRPr="00905DCE">
        <w:t>sus</w:t>
      </w:r>
      <w:r w:rsidRPr="00EB0E96">
        <w:t xml:space="preserve"> instalaciones </w:t>
      </w:r>
      <w:r w:rsidR="00905DCE" w:rsidRPr="00905DCE">
        <w:t>internas.</w:t>
      </w:r>
      <w:r w:rsidRPr="00EB0E96">
        <w:t xml:space="preserve"> </w:t>
      </w:r>
      <w:r w:rsidR="00F855EE">
        <w:t xml:space="preserve">En este esquema el </w:t>
      </w:r>
      <w:r w:rsidR="00F855EE">
        <w:lastRenderedPageBreak/>
        <w:t>distribuidor</w:t>
      </w:r>
      <w:r w:rsidRPr="00EB0E96">
        <w:t xml:space="preserve"> compra el GLP en el mercado mayorista, transporta el GLP a las estaciones de almacenamiento y regulación, y después distribuye el GLP por las redes de tubería hasta la conexión de los usuarios finales</w:t>
      </w:r>
      <w:r>
        <w:t>.</w:t>
      </w:r>
    </w:p>
    <w:p w14:paraId="14653D03" w14:textId="2C1A8AD7" w:rsidR="003310D3" w:rsidRDefault="003310D3" w:rsidP="002F1961">
      <w:pPr>
        <w:spacing w:before="100" w:beforeAutospacing="1" w:after="100" w:afterAutospacing="1" w:line="360" w:lineRule="auto"/>
      </w:pPr>
      <w:r>
        <w:t xml:space="preserve">Debido a las características económicas y técnicas asociadas al desarrollo de infraestructura fija, </w:t>
      </w:r>
      <w:r w:rsidR="00FE1784" w:rsidRPr="00FE1784">
        <w:t xml:space="preserve">la </w:t>
      </w:r>
      <w:r w:rsidR="00ED5BC6">
        <w:t>prestación del</w:t>
      </w:r>
      <w:r w:rsidR="00FE1784" w:rsidRPr="00FE1784">
        <w:t xml:space="preserve"> servicio está bajo las normas que aplican</w:t>
      </w:r>
      <w:r>
        <w:t xml:space="preserve"> a los distribuidores de gas por redes y </w:t>
      </w:r>
      <w:r w:rsidR="00FE1784" w:rsidRPr="00FE1784">
        <w:t>bajo el</w:t>
      </w:r>
      <w:r>
        <w:t xml:space="preserve"> Código de Distribución de Gas Combustible por Redes </w:t>
      </w:r>
      <w:r w:rsidR="00FE1784" w:rsidRPr="00FE1784">
        <w:t xml:space="preserve">que estableció </w:t>
      </w:r>
      <w:r>
        <w:t xml:space="preserve">la Comisión. En consecuencia, </w:t>
      </w:r>
      <w:r w:rsidR="004C7983" w:rsidRPr="004C7983">
        <w:t>la regulación ha desarrollado metodologías para la remuneración de las inversiones, la recuperación de los costos eficientes de prestación del servicio, la conformación de mercados relevantes de distribución y la remuneración de la actividad de comercialización.</w:t>
      </w:r>
    </w:p>
    <w:p w14:paraId="0846F669" w14:textId="43B4C628" w:rsidR="00C874FE" w:rsidRDefault="00E8253E" w:rsidP="002F1961">
      <w:pPr>
        <w:spacing w:before="100" w:beforeAutospacing="1" w:after="100" w:afterAutospacing="1" w:line="360" w:lineRule="auto"/>
      </w:pPr>
      <w:r w:rsidRPr="00E8253E">
        <w:t>La evolución regulatoria de la actividad se caracteriza por definir metodologías para determinar los cargos de distribución, por establecer criterios para la conformación y la atención de los mercados, por desarrollar disposiciones para la actividad de comercialización</w:t>
      </w:r>
      <w:r w:rsidR="00C2084E">
        <w:t xml:space="preserve"> y </w:t>
      </w:r>
      <w:r w:rsidR="00C874FE">
        <w:t>l</w:t>
      </w:r>
      <w:r w:rsidR="00C874FE" w:rsidRPr="00C874FE">
        <w:t>a consolidación de un esquema tarifario que permita recuperar los costos eficientes de prestación del servicio bajo criterios de eficiencia económica y suficiencia financiera.</w:t>
      </w:r>
    </w:p>
    <w:p w14:paraId="11AB1509" w14:textId="7AD31789" w:rsidR="00455360" w:rsidRDefault="009B7B1F" w:rsidP="002F1961">
      <w:pPr>
        <w:spacing w:before="100" w:beforeAutospacing="1" w:after="100" w:afterAutospacing="1" w:line="360" w:lineRule="auto"/>
      </w:pPr>
      <w:r w:rsidRPr="009B7B1F">
        <w:t xml:space="preserve">En este contexto, a continuación, se presentan los principales hitos regulatorios asociados </w:t>
      </w:r>
      <w:r w:rsidR="00C3686D">
        <w:t>a estos aspectos.</w:t>
      </w:r>
    </w:p>
    <w:p w14:paraId="0A414CC9" w14:textId="2436B03C" w:rsidR="00821CA5" w:rsidRDefault="00821CA5">
      <w:pPr>
        <w:pStyle w:val="Prrafodelista"/>
        <w:numPr>
          <w:ilvl w:val="0"/>
          <w:numId w:val="25"/>
        </w:numPr>
        <w:spacing w:before="100" w:beforeAutospacing="1" w:after="100" w:afterAutospacing="1" w:line="360" w:lineRule="auto"/>
      </w:pPr>
      <w:r w:rsidRPr="00821CA5">
        <w:rPr>
          <w:b/>
        </w:rPr>
        <w:t xml:space="preserve">Evolución de </w:t>
      </w:r>
      <w:r w:rsidR="002072D8" w:rsidRPr="002072D8">
        <w:rPr>
          <w:b/>
        </w:rPr>
        <w:t>la regulación</w:t>
      </w:r>
      <w:r w:rsidRPr="00821CA5">
        <w:rPr>
          <w:b/>
        </w:rPr>
        <w:t xml:space="preserve"> de la actividad de distribución</w:t>
      </w:r>
    </w:p>
    <w:p w14:paraId="558E4388" w14:textId="0D10F225" w:rsidR="003258E7" w:rsidRDefault="003258E7" w:rsidP="002F1961">
      <w:pPr>
        <w:spacing w:before="100" w:beforeAutospacing="1" w:after="100" w:afterAutospacing="1" w:line="360" w:lineRule="auto"/>
      </w:pPr>
      <w:r>
        <w:t>Con la expedición de la Resolución CREG 011 de 2003, mediante la cual la Comisión estableció la metodología para la determinación de los cargos de distribución aplicables a los mercados regulados. Esta resolución definió, entre otros aspectos, los criterios para la conformación de los mercados relevantes de distribución, la valoración de las inversiones reconocidas en la infraestructura, el reconocimiento de los gastos de administración, operación y mantenimiento (AOM) y las reglas para la aprobación de los cargos tarifarios.</w:t>
      </w:r>
    </w:p>
    <w:p w14:paraId="7288B257" w14:textId="177B9C65" w:rsidR="002072D8" w:rsidRDefault="003258E7" w:rsidP="002F1961">
      <w:pPr>
        <w:spacing w:before="100" w:beforeAutospacing="1" w:after="100" w:afterAutospacing="1" w:line="360" w:lineRule="auto"/>
      </w:pPr>
      <w:r>
        <w:lastRenderedPageBreak/>
        <w:t>La metodología establecida en la Resolución CREG 011 de 2003 permaneció vigente durante aproximadamente una década y constituyó el referente para la aprobación de los cargos de distribución hasta la expedición de la Resolución CREG 202 de 2013, mediante la cual la Comisión actualizó el esquema de remuneración de la actividad para el siguiente período tarifario.</w:t>
      </w:r>
    </w:p>
    <w:p w14:paraId="73A3AA5A" w14:textId="36FC9331" w:rsidR="006354A8" w:rsidRDefault="006354A8" w:rsidP="002F1961">
      <w:pPr>
        <w:spacing w:before="100" w:beforeAutospacing="1" w:after="100" w:afterAutospacing="1" w:line="360" w:lineRule="auto"/>
      </w:pPr>
      <w:r w:rsidRPr="006354A8">
        <w:t>La actividad de distribución de gas combustible por redes de tubería se remunera actualmente con base en la metodología establecida en la Resolución CREG 202 de 2013, mediante la cual la Comisión definió los criterios para la determinación de los cargos de distribución, incorporando principios de eficiencia económica, reconocimiento de inversiones y gastos de administración, operación y mantenimiento (AOM), así como disposiciones aplicables a mercados existentes y nuevos.</w:t>
      </w:r>
    </w:p>
    <w:p w14:paraId="4070D426" w14:textId="6C0D2E1C" w:rsidR="005677F3" w:rsidRDefault="002530CC" w:rsidP="002F1961">
      <w:pPr>
        <w:spacing w:before="100" w:beforeAutospacing="1" w:after="100" w:afterAutospacing="1" w:line="360" w:lineRule="auto"/>
      </w:pPr>
      <w:r w:rsidRPr="002530CC">
        <w:t>Con posterioridad a su expedición</w:t>
      </w:r>
      <w:r w:rsidR="004C320A">
        <w:t>, l</w:t>
      </w:r>
      <w:r w:rsidR="005677F3">
        <w:t xml:space="preserve">a </w:t>
      </w:r>
      <w:r w:rsidR="00D241BF">
        <w:t>metodología</w:t>
      </w:r>
      <w:r w:rsidR="00844360" w:rsidRPr="00844360">
        <w:t xml:space="preserve"> fue objeto de </w:t>
      </w:r>
      <w:r w:rsidR="000D42BB">
        <w:t>varios</w:t>
      </w:r>
      <w:r w:rsidR="00844360" w:rsidRPr="00844360">
        <w:t xml:space="preserve"> ajustes y precisiones regulatorias orientados a fortalecer su aplicación y atender aspectos asociados a la valoración de inversiones, el reconocimiento de los gastos de administración, operación y mantenimiento (AOM) y la definición de parámetros financieros para </w:t>
      </w:r>
      <w:r w:rsidR="00DC6E5A">
        <w:t>determinar</w:t>
      </w:r>
      <w:r w:rsidR="00844360" w:rsidRPr="00844360">
        <w:t xml:space="preserve"> cargos eficientes.</w:t>
      </w:r>
    </w:p>
    <w:p w14:paraId="230330D5" w14:textId="535D4596" w:rsidR="004A0372" w:rsidRDefault="0027269E" w:rsidP="002F1961">
      <w:pPr>
        <w:spacing w:before="100" w:beforeAutospacing="1" w:after="100" w:afterAutospacing="1" w:line="360" w:lineRule="auto"/>
      </w:pPr>
      <w:r>
        <w:t xml:space="preserve">En este sentido, mediante la Resolución CREG 052 de 2014 se modificaron el numeral 6.4 y el literal i) del numeral 6.5 de la Resolución CREG 202 de 2013, con el propósito de ajustar los plazos para la presentación de las solicitudes tarifarias tanto de los distribuidores cuyos períodos tarifarios hubieran concluido como de aquellos mercados cuyos cargos de distribución aprobados bajo la metodología de la Resolución CREG 011 de 2003 aún no hubieran completado los cinco años de vigencia. </w:t>
      </w:r>
      <w:r w:rsidR="001A326A" w:rsidRPr="001A326A">
        <w:t>Dado que la metodología para determinar la tasa de retorno (WACC) aún no había sido expedida, la Comisión consideró necesario ajustar el cronograma inicialmente previsto para la presentación de las solicitudes tarifarias.</w:t>
      </w:r>
    </w:p>
    <w:p w14:paraId="0ED5B0D5" w14:textId="621A9BDB" w:rsidR="004A0372" w:rsidRDefault="004A0372" w:rsidP="002F1961">
      <w:pPr>
        <w:spacing w:before="100" w:beforeAutospacing="1" w:after="100" w:afterAutospacing="1" w:line="360" w:lineRule="auto"/>
      </w:pPr>
      <w:r>
        <w:t xml:space="preserve">En consecuencia, se estableció que </w:t>
      </w:r>
      <w:r w:rsidR="007365A9" w:rsidRPr="007365A9">
        <w:t>dichas solicitudes deberían radicarse</w:t>
      </w:r>
      <w:r>
        <w:t xml:space="preserve"> dentro de los quince (15) días hábiles siguientes a la firmeza de la resolución </w:t>
      </w:r>
      <w:r w:rsidR="0027269E">
        <w:t xml:space="preserve">que </w:t>
      </w:r>
      <w:r w:rsidR="007365A9" w:rsidRPr="007365A9">
        <w:t>definiera la</w:t>
      </w:r>
      <w:r w:rsidR="0027269E">
        <w:t xml:space="preserve"> </w:t>
      </w:r>
      <w:r>
        <w:t>tasa de retorno</w:t>
      </w:r>
      <w:r w:rsidR="007365A9" w:rsidRPr="007365A9">
        <w:t xml:space="preserve"> aplicable a la actividad de distribución</w:t>
      </w:r>
      <w:r w:rsidR="007365A9">
        <w:t>.</w:t>
      </w:r>
      <w:r>
        <w:t xml:space="preserve"> Adicionalmente, se precisó que </w:t>
      </w:r>
      <w:r>
        <w:lastRenderedPageBreak/>
        <w:t>únicamente los distribuidores que estuvieran prestando efectivamente el servicio en mercados existentes podrían presentar solicitudes tarifarias</w:t>
      </w:r>
      <w:r w:rsidR="0027269E">
        <w:t xml:space="preserve"> y</w:t>
      </w:r>
      <w:r>
        <w:t xml:space="preserve"> se </w:t>
      </w:r>
      <w:r w:rsidR="0027269E">
        <w:t>permitió que</w:t>
      </w:r>
      <w:r>
        <w:t xml:space="preserve"> aquellos mercados con cargos aprobados bajo la Resolución CREG 011 de 2003</w:t>
      </w:r>
      <w:r w:rsidR="0027269E">
        <w:t>,</w:t>
      </w:r>
      <w:r>
        <w:t xml:space="preserve"> cuya vigencia fuera inferior a un año y en los cuales no se hubiera iniciado la prestación del servicio, pudieran </w:t>
      </w:r>
      <w:r w:rsidR="0027269E">
        <w:t xml:space="preserve">solicitar </w:t>
      </w:r>
      <w:r>
        <w:t xml:space="preserve">ser considerados como </w:t>
      </w:r>
      <w:r w:rsidR="0027269E">
        <w:t xml:space="preserve">nuevos </w:t>
      </w:r>
      <w:r>
        <w:t>mercados de distribución</w:t>
      </w:r>
      <w:r w:rsidR="0027269E">
        <w:t>, facilitando así</w:t>
      </w:r>
      <w:r>
        <w:t xml:space="preserve"> la transición </w:t>
      </w:r>
      <w:r w:rsidR="0027269E">
        <w:t>hacia el</w:t>
      </w:r>
      <w:r>
        <w:t xml:space="preserve"> esquema de remuneración </w:t>
      </w:r>
      <w:r w:rsidR="0027269E">
        <w:t>previsto en la Resolución CREG 202 de 2013.</w:t>
      </w:r>
    </w:p>
    <w:p w14:paraId="57A09988" w14:textId="56B62155" w:rsidR="00D57C93" w:rsidRDefault="00EB4A1F" w:rsidP="002F1961">
      <w:pPr>
        <w:spacing w:before="100" w:beforeAutospacing="1" w:after="100" w:afterAutospacing="1" w:line="360" w:lineRule="auto"/>
      </w:pPr>
      <w:r>
        <w:t>Posteriormente,</w:t>
      </w:r>
      <w:r w:rsidR="00D57C93">
        <w:t xml:space="preserve"> la Resolución CREG 138 de 2014 </w:t>
      </w:r>
      <w:r w:rsidR="00322832">
        <w:t>modificó</w:t>
      </w:r>
      <w:r w:rsidR="00D57C93">
        <w:t xml:space="preserve"> y </w:t>
      </w:r>
      <w:r w:rsidR="00322832">
        <w:t>adicionó</w:t>
      </w:r>
      <w:r w:rsidR="00D57C93">
        <w:t xml:space="preserve"> varias disposiciones de la Resolución CREG 202 de 2013, con el propósito de facilitar la implementación del nuevo esquema de remuneración de la actividad de distribución de gas combustible por redes de tubería. </w:t>
      </w:r>
      <w:r w:rsidR="009D3EC5" w:rsidRPr="009D3EC5">
        <w:t>En este contexto, la Comisión consideró necesario adoptar medidas</w:t>
      </w:r>
      <w:r w:rsidR="00D57C93">
        <w:t xml:space="preserve"> transitorias </w:t>
      </w:r>
      <w:r w:rsidR="009D3EC5" w:rsidRPr="009D3EC5">
        <w:t>respecto</w:t>
      </w:r>
      <w:r w:rsidR="00D57C93">
        <w:t xml:space="preserve"> de la tasa de retorno (WACC) y </w:t>
      </w:r>
      <w:r w:rsidR="009D3EC5" w:rsidRPr="009D3EC5">
        <w:t>del</w:t>
      </w:r>
      <w:r w:rsidR="00D57C93">
        <w:t xml:space="preserve"> reconocimiento de los gastos de administración, operación y mantenimiento (AOM), </w:t>
      </w:r>
      <w:r w:rsidR="009D3EC5" w:rsidRPr="009D3EC5">
        <w:t xml:space="preserve">dado que ambos </w:t>
      </w:r>
      <w:r w:rsidR="00D57C93">
        <w:t xml:space="preserve">componentes </w:t>
      </w:r>
      <w:r w:rsidR="009D3EC5" w:rsidRPr="009D3EC5">
        <w:t>tienen una incidencia directa en</w:t>
      </w:r>
      <w:r w:rsidR="00D57C93">
        <w:t xml:space="preserve"> el cálculo de los cargos de distribución</w:t>
      </w:r>
      <w:r w:rsidR="00A00575">
        <w:t>.</w:t>
      </w:r>
    </w:p>
    <w:p w14:paraId="6051E283" w14:textId="4BB05BF4" w:rsidR="0027269E" w:rsidRDefault="00A00575" w:rsidP="002F1961">
      <w:pPr>
        <w:spacing w:before="100" w:beforeAutospacing="1" w:after="100" w:afterAutospacing="1" w:line="360" w:lineRule="auto"/>
      </w:pPr>
      <w:r w:rsidRPr="21A5E085">
        <w:rPr>
          <w:lang w:val="es-ES"/>
        </w:rPr>
        <w:t>Adicionalmente</w:t>
      </w:r>
      <w:r w:rsidR="00206325" w:rsidRPr="21A5E085">
        <w:rPr>
          <w:lang w:val="es-ES"/>
        </w:rPr>
        <w:t>, se establecieron</w:t>
      </w:r>
      <w:r w:rsidR="00D57C93" w:rsidRPr="21A5E085">
        <w:rPr>
          <w:lang w:val="es-ES"/>
        </w:rPr>
        <w:t xml:space="preserve"> mecanismos que permitieran continuar con el trámite de las solicitudes tarifarias</w:t>
      </w:r>
      <w:r w:rsidR="00206325" w:rsidRPr="21A5E085">
        <w:rPr>
          <w:lang w:val="es-ES"/>
        </w:rPr>
        <w:t xml:space="preserve"> y avanzar</w:t>
      </w:r>
      <w:r w:rsidR="00D57C93" w:rsidRPr="21A5E085">
        <w:rPr>
          <w:lang w:val="es-ES"/>
        </w:rPr>
        <w:t xml:space="preserve"> en la </w:t>
      </w:r>
      <w:r w:rsidR="00206325" w:rsidRPr="21A5E085">
        <w:rPr>
          <w:lang w:val="es-ES"/>
        </w:rPr>
        <w:t>implementación</w:t>
      </w:r>
      <w:r w:rsidR="00D57C93" w:rsidRPr="21A5E085">
        <w:rPr>
          <w:lang w:val="es-ES"/>
        </w:rPr>
        <w:t xml:space="preserve"> de la metodología</w:t>
      </w:r>
      <w:r w:rsidR="00206325" w:rsidRPr="21A5E085">
        <w:rPr>
          <w:lang w:val="es-ES"/>
        </w:rPr>
        <w:t>,</w:t>
      </w:r>
      <w:r w:rsidR="00D57C93" w:rsidRPr="21A5E085">
        <w:rPr>
          <w:lang w:val="es-ES"/>
        </w:rPr>
        <w:t xml:space="preserve"> mientras se </w:t>
      </w:r>
      <w:r w:rsidR="00206325" w:rsidRPr="21A5E085">
        <w:rPr>
          <w:lang w:val="es-ES"/>
        </w:rPr>
        <w:t>consolidaban las definiciones regulatorias</w:t>
      </w:r>
      <w:r w:rsidR="00D57C93" w:rsidRPr="21A5E085">
        <w:rPr>
          <w:lang w:val="es-ES"/>
        </w:rPr>
        <w:t xml:space="preserve"> de </w:t>
      </w:r>
      <w:r w:rsidR="00206325" w:rsidRPr="21A5E085">
        <w:rPr>
          <w:lang w:val="es-ES"/>
        </w:rPr>
        <w:t>estos parámetros.</w:t>
      </w:r>
      <w:r w:rsidR="00D57C93" w:rsidRPr="21A5E085">
        <w:rPr>
          <w:lang w:val="es-ES"/>
        </w:rPr>
        <w:t xml:space="preserve"> En este sentido, se introdujeron ajustes relacionados con la información que debían presentar los distribuidores, las condiciones aplicables a los mercados existentes y nuevos, y los criterios para la valoración de inversiones y el reconocimiento de los costos eficientes asociados a la prestación del servicio.</w:t>
      </w:r>
    </w:p>
    <w:p w14:paraId="3DE66A70" w14:textId="57AF878E" w:rsidR="0087562F" w:rsidRPr="00EB67F3" w:rsidRDefault="00161DDC" w:rsidP="002F1961">
      <w:pPr>
        <w:spacing w:before="100" w:beforeAutospacing="1" w:after="100" w:afterAutospacing="1" w:line="360" w:lineRule="auto"/>
      </w:pPr>
      <w:r>
        <w:rPr>
          <w:lang w:val="es-ES"/>
        </w:rPr>
        <w:t xml:space="preserve">Más </w:t>
      </w:r>
      <w:r w:rsidR="00820401">
        <w:rPr>
          <w:lang w:val="es-ES"/>
        </w:rPr>
        <w:t>adelante</w:t>
      </w:r>
      <w:r w:rsidR="00BD20BF" w:rsidRPr="68C51FAD">
        <w:rPr>
          <w:lang w:val="es-ES"/>
        </w:rPr>
        <w:t xml:space="preserve">, </w:t>
      </w:r>
      <w:r w:rsidR="000259F1" w:rsidRPr="68C51FAD">
        <w:rPr>
          <w:lang w:val="es-ES"/>
        </w:rPr>
        <w:t xml:space="preserve">mediante </w:t>
      </w:r>
      <w:r w:rsidR="003F1A1D" w:rsidRPr="68C51FAD">
        <w:rPr>
          <w:lang w:val="es-ES"/>
        </w:rPr>
        <w:t>l</w:t>
      </w:r>
      <w:r w:rsidR="00E05C93" w:rsidRPr="68C51FAD">
        <w:rPr>
          <w:lang w:val="es-ES"/>
        </w:rPr>
        <w:t>a Resolución CREG 095 de 2015</w:t>
      </w:r>
      <w:r w:rsidR="00E0124A" w:rsidRPr="68C51FAD">
        <w:rPr>
          <w:lang w:val="es-ES"/>
        </w:rPr>
        <w:t xml:space="preserve">, </w:t>
      </w:r>
      <w:r w:rsidR="005A3035" w:rsidRPr="68C51FAD">
        <w:rPr>
          <w:lang w:val="es-ES"/>
        </w:rPr>
        <w:t xml:space="preserve">se </w:t>
      </w:r>
      <w:r w:rsidR="008664A5">
        <w:rPr>
          <w:lang w:val="es-ES"/>
        </w:rPr>
        <w:t>adoptó</w:t>
      </w:r>
      <w:r w:rsidR="007810BA" w:rsidRPr="68C51FAD">
        <w:rPr>
          <w:lang w:val="es-ES"/>
        </w:rPr>
        <w:t xml:space="preserve"> la metodología para la determinación de la tasa de retorno (WACC) aplicable a la actividad de distribución de gas combustible por redes de tubería. </w:t>
      </w:r>
      <w:r w:rsidR="00FA66F5" w:rsidRPr="68C51FAD">
        <w:rPr>
          <w:lang w:val="es-ES"/>
        </w:rPr>
        <w:t>La expedición de esta resolución permitió superar el esquema transitorio que se había venido aplicando hasta ese momento, al incorporar los parámetros financieros definitivos requeridos para la remuneración de las inversiones</w:t>
      </w:r>
      <w:r w:rsidR="00BA7421">
        <w:rPr>
          <w:lang w:val="es-ES"/>
        </w:rPr>
        <w:t xml:space="preserve">, </w:t>
      </w:r>
      <w:r w:rsidR="00FA66F5" w:rsidRPr="68C51FAD">
        <w:rPr>
          <w:lang w:val="es-ES"/>
        </w:rPr>
        <w:t>brind</w:t>
      </w:r>
      <w:r w:rsidR="00BA7421">
        <w:rPr>
          <w:lang w:val="es-ES"/>
        </w:rPr>
        <w:t>ando</w:t>
      </w:r>
      <w:r w:rsidR="00FA66F5" w:rsidRPr="68C51FAD">
        <w:rPr>
          <w:lang w:val="es-ES"/>
        </w:rPr>
        <w:t xml:space="preserve"> mayor certeza para la aprobación de cargos de distribución en mercados existentes y nuevos, manteniendo los principios de eficiencia económica y suficiencia financiera que orientan el régimen tarifario.</w:t>
      </w:r>
    </w:p>
    <w:p w14:paraId="2C9F06EC" w14:textId="49BCA0A5" w:rsidR="000912CE" w:rsidRDefault="00E33055" w:rsidP="002F1961">
      <w:pPr>
        <w:spacing w:before="100" w:beforeAutospacing="1" w:after="100" w:afterAutospacing="1" w:line="360" w:lineRule="auto"/>
        <w:rPr>
          <w:lang w:val="es-ES"/>
        </w:rPr>
      </w:pPr>
      <w:r>
        <w:rPr>
          <w:lang w:val="es-ES"/>
        </w:rPr>
        <w:lastRenderedPageBreak/>
        <w:t>Sumado a esto</w:t>
      </w:r>
      <w:r w:rsidR="000912CE" w:rsidRPr="37A77A19">
        <w:rPr>
          <w:lang w:val="es-ES"/>
        </w:rPr>
        <w:t xml:space="preserve">, mediante la Resolución CREG 096 de 2015, </w:t>
      </w:r>
      <w:r w:rsidR="00D67F53" w:rsidRPr="37A77A19">
        <w:rPr>
          <w:lang w:val="es-ES"/>
        </w:rPr>
        <w:t>se</w:t>
      </w:r>
      <w:r w:rsidR="00D0166F" w:rsidRPr="37A77A19">
        <w:rPr>
          <w:lang w:val="es-ES"/>
        </w:rPr>
        <w:t xml:space="preserve"> </w:t>
      </w:r>
      <w:r w:rsidR="00522DD4" w:rsidRPr="37A77A19">
        <w:rPr>
          <w:lang w:val="es-ES"/>
        </w:rPr>
        <w:t>defini</w:t>
      </w:r>
      <w:r w:rsidR="00D0166F" w:rsidRPr="37A77A19">
        <w:rPr>
          <w:lang w:val="es-ES"/>
        </w:rPr>
        <w:t>eron</w:t>
      </w:r>
      <w:r w:rsidR="00522DD4" w:rsidRPr="37A77A19">
        <w:rPr>
          <w:lang w:val="es-ES"/>
        </w:rPr>
        <w:t xml:space="preserve"> los valores de la prima por diferencias entre el esquema de remuneración del mercado de referencia (Estados Unidos de América) y el esquema aplicado en Colombia (</w:t>
      </w:r>
      <w:proofErr w:type="spellStart"/>
      <w:proofErr w:type="gramStart"/>
      <w:r w:rsidR="00522DD4" w:rsidRPr="37A77A19">
        <w:rPr>
          <w:lang w:val="es-ES"/>
        </w:rPr>
        <w:t>Rr,a</w:t>
      </w:r>
      <w:proofErr w:type="spellEnd"/>
      <w:proofErr w:type="gramEnd"/>
      <w:r w:rsidR="00522DD4" w:rsidRPr="37A77A19">
        <w:rPr>
          <w:lang w:val="es-ES"/>
        </w:rPr>
        <w:t>) y la tasa de descuento para la actividad de distribución de gas combustible</w:t>
      </w:r>
      <w:r w:rsidR="00BA10E2" w:rsidRPr="37A77A19">
        <w:rPr>
          <w:lang w:val="es-ES"/>
        </w:rPr>
        <w:t xml:space="preserve">, </w:t>
      </w:r>
      <w:r w:rsidR="00A33F4D" w:rsidRPr="37A77A19">
        <w:rPr>
          <w:lang w:val="es-ES"/>
        </w:rPr>
        <w:t xml:space="preserve">permitiendo </w:t>
      </w:r>
      <w:r w:rsidR="00AE462D" w:rsidRPr="37A77A19">
        <w:rPr>
          <w:lang w:val="es-ES"/>
        </w:rPr>
        <w:t>así la implementación de la metodología</w:t>
      </w:r>
      <w:r w:rsidR="0059073B" w:rsidRPr="37A77A19">
        <w:rPr>
          <w:lang w:val="es-ES"/>
        </w:rPr>
        <w:t xml:space="preserve"> desarrollada en la Resolución CREG 095 de 2015</w:t>
      </w:r>
      <w:r w:rsidR="00BF1822" w:rsidRPr="37A77A19">
        <w:rPr>
          <w:lang w:val="es-ES"/>
        </w:rPr>
        <w:t>.</w:t>
      </w:r>
    </w:p>
    <w:p w14:paraId="24A608F2" w14:textId="109573A2" w:rsidR="00CC03CE" w:rsidRPr="00EB74A2" w:rsidRDefault="00157884" w:rsidP="002F1961">
      <w:pPr>
        <w:spacing w:before="100" w:beforeAutospacing="1" w:after="100" w:afterAutospacing="1" w:line="360" w:lineRule="auto"/>
      </w:pPr>
      <w:r>
        <w:t>De igual forma</w:t>
      </w:r>
      <w:r w:rsidR="00E965D9">
        <w:t xml:space="preserve">, a través </w:t>
      </w:r>
      <w:r w:rsidR="00CC03CE" w:rsidRPr="00EB74A2">
        <w:t>de la Circular CREG</w:t>
      </w:r>
      <w:r w:rsidR="00283C4D">
        <w:t xml:space="preserve"> </w:t>
      </w:r>
      <w:hyperlink r:id="rId33" w:anchor="INICIO" w:tgtFrame="_blank" w:history="1">
        <w:r w:rsidR="00CC03CE" w:rsidRPr="00EB74A2">
          <w:rPr>
            <w:rStyle w:val="Hipervnculo"/>
            <w:color w:val="auto"/>
            <w:u w:val="none"/>
          </w:rPr>
          <w:t>105</w:t>
        </w:r>
      </w:hyperlink>
      <w:r w:rsidR="00283C4D">
        <w:t xml:space="preserve"> </w:t>
      </w:r>
      <w:r w:rsidR="00CC03CE" w:rsidRPr="00EB74A2">
        <w:t>de 2015 se publicó el documento CREG número 095 de 2015, que contiene la definición de las funciones óptimas para determinar la remuneración de los gastos de Administración, Operación y Mantenimiento (AOM) de las actividades de distribución y comercialización de gas combustible por redes de tubería y de Otros Activos para la actividad de distribución conforme a lo definido en los anexos 9 y 10 de la Resolución CREG número</w:t>
      </w:r>
      <w:r w:rsidR="00283C4D">
        <w:t xml:space="preserve"> </w:t>
      </w:r>
      <w:hyperlink r:id="rId34" w:anchor="INICIO" w:tgtFrame="_blank" w:history="1">
        <w:r w:rsidR="00CC03CE" w:rsidRPr="00EB74A2">
          <w:rPr>
            <w:rStyle w:val="Hipervnculo"/>
            <w:color w:val="auto"/>
            <w:u w:val="none"/>
          </w:rPr>
          <w:t>202</w:t>
        </w:r>
      </w:hyperlink>
      <w:r w:rsidR="00283C4D">
        <w:t xml:space="preserve"> </w:t>
      </w:r>
      <w:r w:rsidR="00CC03CE" w:rsidRPr="00EB74A2">
        <w:t>de 2013.</w:t>
      </w:r>
    </w:p>
    <w:p w14:paraId="74A4F6DD" w14:textId="5B9D3F24" w:rsidR="00AD7388" w:rsidRPr="00AF2BC8" w:rsidRDefault="00C83E5B" w:rsidP="002F1961">
      <w:pPr>
        <w:spacing w:before="100" w:beforeAutospacing="1" w:after="100" w:afterAutospacing="1" w:line="360" w:lineRule="auto"/>
      </w:pPr>
      <w:r w:rsidRPr="21A5E085">
        <w:rPr>
          <w:lang w:val="es-ES"/>
        </w:rPr>
        <w:t>Posteriormente, m</w:t>
      </w:r>
      <w:r w:rsidR="00AD7388" w:rsidRPr="21A5E085">
        <w:rPr>
          <w:lang w:val="es-ES"/>
        </w:rPr>
        <w:t xml:space="preserve">ediante la </w:t>
      </w:r>
      <w:r w:rsidR="00962058" w:rsidRPr="21A5E085">
        <w:rPr>
          <w:lang w:val="es-ES"/>
        </w:rPr>
        <w:t>Resolución 125 de 2015,</w:t>
      </w:r>
      <w:r w:rsidR="00AD7388" w:rsidRPr="21A5E085">
        <w:rPr>
          <w:lang w:val="es-ES"/>
        </w:rPr>
        <w:t xml:space="preserve"> se modificaron y adicionaron los numerales 6.4 y 6.5 del artículo </w:t>
      </w:r>
      <w:hyperlink r:id="rId35" w:anchor="6">
        <w:r w:rsidR="00AD7388" w:rsidRPr="21A5E085">
          <w:rPr>
            <w:rStyle w:val="Hipervnculo"/>
            <w:color w:val="auto"/>
            <w:u w:val="none"/>
            <w:lang w:val="es-ES"/>
          </w:rPr>
          <w:t>6</w:t>
        </w:r>
      </w:hyperlink>
      <w:r w:rsidR="00AD7388" w:rsidRPr="21A5E085">
        <w:rPr>
          <w:lang w:val="es-ES"/>
        </w:rPr>
        <w:t>o, el parágrafo 2o del numeral 9.5., del artículo </w:t>
      </w:r>
      <w:hyperlink r:id="rId36" w:anchor="9">
        <w:r w:rsidR="00AD7388" w:rsidRPr="21A5E085">
          <w:rPr>
            <w:rStyle w:val="Hipervnculo"/>
            <w:color w:val="auto"/>
            <w:u w:val="none"/>
            <w:lang w:val="es-ES"/>
          </w:rPr>
          <w:t>9</w:t>
        </w:r>
      </w:hyperlink>
      <w:r w:rsidR="00AD7388" w:rsidRPr="21A5E085">
        <w:rPr>
          <w:lang w:val="es-ES"/>
        </w:rPr>
        <w:t>o, el artículo</w:t>
      </w:r>
      <w:r w:rsidR="003C3CC7">
        <w:rPr>
          <w:lang w:val="es-ES"/>
        </w:rPr>
        <w:t xml:space="preserve"> </w:t>
      </w:r>
      <w:hyperlink r:id="rId37" w:anchor="12">
        <w:r w:rsidR="00AD7388" w:rsidRPr="21A5E085">
          <w:rPr>
            <w:rStyle w:val="Hipervnculo"/>
            <w:color w:val="auto"/>
            <w:u w:val="none"/>
            <w:lang w:val="es-ES"/>
          </w:rPr>
          <w:t>12</w:t>
        </w:r>
      </w:hyperlink>
      <w:r w:rsidR="00AD7388" w:rsidRPr="21A5E085">
        <w:rPr>
          <w:lang w:val="es-ES"/>
        </w:rPr>
        <w:t>, el numeral 13.4 al artículo</w:t>
      </w:r>
      <w:r w:rsidR="003C3CC7">
        <w:rPr>
          <w:lang w:val="es-ES"/>
        </w:rPr>
        <w:t xml:space="preserve"> </w:t>
      </w:r>
      <w:hyperlink r:id="rId38" w:anchor="13">
        <w:r w:rsidR="00AD7388" w:rsidRPr="21A5E085">
          <w:rPr>
            <w:rStyle w:val="Hipervnculo"/>
            <w:color w:val="auto"/>
            <w:u w:val="none"/>
            <w:lang w:val="es-ES"/>
          </w:rPr>
          <w:t>13</w:t>
        </w:r>
      </w:hyperlink>
      <w:r w:rsidR="00AD7388" w:rsidRPr="21A5E085">
        <w:rPr>
          <w:lang w:val="es-ES"/>
        </w:rPr>
        <w:t>, el numeral 4.8., del Anexo 4, numeral 5.8 del Anexo 5, el Anexo 9 y el Anexo 10 de la Resolución CREG número 202 de 2013</w:t>
      </w:r>
      <w:r w:rsidR="00AA4A1D" w:rsidRPr="21A5E085">
        <w:rPr>
          <w:lang w:val="es-ES"/>
        </w:rPr>
        <w:t>. Los principales ajustes estuvieron orientados a</w:t>
      </w:r>
      <w:r w:rsidR="0004315C" w:rsidRPr="21A5E085">
        <w:rPr>
          <w:lang w:val="es-ES"/>
        </w:rPr>
        <w:t xml:space="preserve"> la valoración de activos </w:t>
      </w:r>
      <w:r w:rsidR="00D1632F" w:rsidRPr="21A5E085">
        <w:rPr>
          <w:lang w:val="es-ES"/>
        </w:rPr>
        <w:t xml:space="preserve">y </w:t>
      </w:r>
      <w:r w:rsidR="00AA4A1D" w:rsidRPr="21A5E085">
        <w:rPr>
          <w:lang w:val="es-ES"/>
        </w:rPr>
        <w:t xml:space="preserve">a </w:t>
      </w:r>
      <w:r w:rsidR="00D1632F" w:rsidRPr="21A5E085">
        <w:rPr>
          <w:lang w:val="es-ES"/>
        </w:rPr>
        <w:t>la determinación de los gastos de AOM</w:t>
      </w:r>
      <w:r w:rsidR="00D07AA8" w:rsidRPr="21A5E085">
        <w:rPr>
          <w:lang w:val="es-ES"/>
        </w:rPr>
        <w:t xml:space="preserve">, con el fin de contar con información </w:t>
      </w:r>
      <w:r w:rsidR="00AA4A1D" w:rsidRPr="21A5E085">
        <w:rPr>
          <w:lang w:val="es-ES"/>
        </w:rPr>
        <w:t>más</w:t>
      </w:r>
      <w:r w:rsidR="00FC063F" w:rsidRPr="21A5E085">
        <w:rPr>
          <w:lang w:val="es-ES"/>
        </w:rPr>
        <w:t xml:space="preserve"> consistente </w:t>
      </w:r>
      <w:r w:rsidR="007E1D96" w:rsidRPr="21A5E085">
        <w:rPr>
          <w:lang w:val="es-ES"/>
        </w:rPr>
        <w:t xml:space="preserve">para la determinación de los cargos de distribución. </w:t>
      </w:r>
      <w:r w:rsidR="000A2F69" w:rsidRPr="21A5E085">
        <w:rPr>
          <w:lang w:val="es-ES"/>
        </w:rPr>
        <w:t>Así mismo,</w:t>
      </w:r>
      <w:r w:rsidR="005012FE" w:rsidRPr="21A5E085">
        <w:rPr>
          <w:lang w:val="es-ES"/>
        </w:rPr>
        <w:t xml:space="preserve"> se realizaron ajustes</w:t>
      </w:r>
      <w:r w:rsidR="000B0FEA" w:rsidRPr="21A5E085">
        <w:rPr>
          <w:lang w:val="es-ES"/>
        </w:rPr>
        <w:t xml:space="preserve"> en relación con la información </w:t>
      </w:r>
      <w:r w:rsidR="00EA760F" w:rsidRPr="21A5E085">
        <w:rPr>
          <w:lang w:val="es-ES"/>
        </w:rPr>
        <w:t xml:space="preserve">a presentar </w:t>
      </w:r>
      <w:r w:rsidR="00AF2BC8" w:rsidRPr="21A5E085">
        <w:rPr>
          <w:lang w:val="es-ES"/>
        </w:rPr>
        <w:t>por parte de los distribuidores.</w:t>
      </w:r>
    </w:p>
    <w:p w14:paraId="1530D0F0" w14:textId="6A878F78" w:rsidR="006E5FA2" w:rsidRDefault="00CB2AFD" w:rsidP="002F1961">
      <w:pPr>
        <w:spacing w:before="100" w:beforeAutospacing="1" w:after="100" w:afterAutospacing="1" w:line="360" w:lineRule="auto"/>
      </w:pPr>
      <w:r w:rsidRPr="21A5E085">
        <w:rPr>
          <w:lang w:val="es-ES"/>
        </w:rPr>
        <w:t>Así</w:t>
      </w:r>
      <w:r w:rsidR="006B48D2" w:rsidRPr="21A5E085">
        <w:rPr>
          <w:lang w:val="es-ES"/>
        </w:rPr>
        <w:t xml:space="preserve"> mismo</w:t>
      </w:r>
      <w:r w:rsidR="00F74923" w:rsidRPr="21A5E085">
        <w:rPr>
          <w:lang w:val="es-ES"/>
        </w:rPr>
        <w:t>, m</w:t>
      </w:r>
      <w:r w:rsidR="006E5FA2" w:rsidRPr="21A5E085">
        <w:rPr>
          <w:lang w:val="es-ES"/>
        </w:rPr>
        <w:t xml:space="preserve">ediante la Resolución CREG 141 de 2015, la Comisión introdujo ajustes a los numerales 6.4 y 6.5 del artículo 6 de la Resolución CREG 202 de 2013, con el propósito de establecer un cronograma específico para la presentación de las solicitudes tarifarias y facilitar el uso del aplicativo </w:t>
      </w:r>
      <w:proofErr w:type="spellStart"/>
      <w:r w:rsidR="006E5FA2" w:rsidRPr="21A5E085">
        <w:rPr>
          <w:lang w:val="es-ES"/>
        </w:rPr>
        <w:t>Apligas</w:t>
      </w:r>
      <w:proofErr w:type="spellEnd"/>
      <w:r w:rsidR="006E5FA2" w:rsidRPr="21A5E085">
        <w:rPr>
          <w:lang w:val="es-ES"/>
        </w:rPr>
        <w:t xml:space="preserve"> dispuesto para tal fin. Asimismo, se definió como fecha de corte el 31 de diciembre de 2014, se incorporaron reglas para el reconocimiento de inversiones ejecutadas durante el período de transición y se precisó el tratamiento aplicable a mercados en los que no se hubiera iniciado la prestación del servicio o cuyos prestadores se encontraran en proceso de liquidación. Con ello, se buscó garantizar una transición ordenada hacia el nuevo período tarifario y asegurar la </w:t>
      </w:r>
      <w:r w:rsidR="006E5FA2" w:rsidRPr="21A5E085">
        <w:rPr>
          <w:lang w:val="es-ES"/>
        </w:rPr>
        <w:lastRenderedPageBreak/>
        <w:t>adecuada presentación de la información requerida para la aprobación de cargos de distribución.</w:t>
      </w:r>
    </w:p>
    <w:p w14:paraId="44153613" w14:textId="0BEA1492" w:rsidR="003B4818" w:rsidRDefault="00281DB4" w:rsidP="002F1961">
      <w:pPr>
        <w:spacing w:before="100" w:beforeAutospacing="1" w:after="100" w:afterAutospacing="1" w:line="360" w:lineRule="auto"/>
      </w:pPr>
      <w:r w:rsidRPr="21A5E085">
        <w:rPr>
          <w:lang w:val="es-ES"/>
        </w:rPr>
        <w:t>Posteriormente, m</w:t>
      </w:r>
      <w:r w:rsidR="005D6D33" w:rsidRPr="21A5E085">
        <w:rPr>
          <w:lang w:val="es-ES"/>
        </w:rPr>
        <w:t>ediante</w:t>
      </w:r>
      <w:r w:rsidR="00BE4B13" w:rsidRPr="21A5E085">
        <w:rPr>
          <w:lang w:val="es-ES"/>
        </w:rPr>
        <w:t xml:space="preserve"> la Resolución CREG 093 de 2016, la Comisión revocó parcialmente algunas disposiciones de la Resolución CREG 202 de 2013, como resultado del análisis de </w:t>
      </w:r>
      <w:r w:rsidR="009D103F" w:rsidRPr="21A5E085">
        <w:rPr>
          <w:lang w:val="es-ES"/>
        </w:rPr>
        <w:t>las comunicaciones</w:t>
      </w:r>
      <w:r w:rsidR="00BE4B13" w:rsidRPr="21A5E085">
        <w:rPr>
          <w:lang w:val="es-ES"/>
        </w:rPr>
        <w:t xml:space="preserve"> presentados por los agentes y de la necesidad de profundizar en determinados aspectos metodológicos</w:t>
      </w:r>
      <w:r w:rsidR="00953A84" w:rsidRPr="21A5E085">
        <w:rPr>
          <w:lang w:val="es-ES"/>
        </w:rPr>
        <w:t xml:space="preserve">, </w:t>
      </w:r>
      <w:r w:rsidR="00612A5B" w:rsidRPr="21A5E085">
        <w:rPr>
          <w:lang w:val="es-ES"/>
        </w:rPr>
        <w:t>entre los cu</w:t>
      </w:r>
      <w:r w:rsidR="00913B9A" w:rsidRPr="21A5E085">
        <w:rPr>
          <w:lang w:val="es-ES"/>
        </w:rPr>
        <w:t xml:space="preserve">ales se consideró </w:t>
      </w:r>
      <w:r w:rsidR="001859EC" w:rsidRPr="21A5E085">
        <w:rPr>
          <w:lang w:val="es-ES"/>
        </w:rPr>
        <w:t xml:space="preserve">necesario </w:t>
      </w:r>
      <w:r w:rsidR="006B5FC7" w:rsidRPr="21A5E085">
        <w:rPr>
          <w:lang w:val="es-ES"/>
        </w:rPr>
        <w:t>revisar</w:t>
      </w:r>
      <w:r w:rsidR="003E23B6" w:rsidRPr="21A5E085">
        <w:rPr>
          <w:lang w:val="es-ES"/>
        </w:rPr>
        <w:t xml:space="preserve"> </w:t>
      </w:r>
      <w:r w:rsidR="00B57DCD" w:rsidRPr="21A5E085">
        <w:rPr>
          <w:lang w:val="es-ES"/>
        </w:rPr>
        <w:t xml:space="preserve">los criterios aplicables </w:t>
      </w:r>
      <w:r w:rsidR="006D1BC6" w:rsidRPr="21A5E085">
        <w:rPr>
          <w:lang w:val="es-ES"/>
        </w:rPr>
        <w:t xml:space="preserve">al reconocimiento </w:t>
      </w:r>
      <w:r w:rsidR="00C32CF9" w:rsidRPr="21A5E085">
        <w:rPr>
          <w:lang w:val="es-ES"/>
        </w:rPr>
        <w:t>de los gastos de AOM</w:t>
      </w:r>
      <w:r w:rsidR="00660EEF" w:rsidRPr="21A5E085">
        <w:rPr>
          <w:lang w:val="es-ES"/>
        </w:rPr>
        <w:t xml:space="preserve">, </w:t>
      </w:r>
      <w:r w:rsidR="002C13C5" w:rsidRPr="21A5E085">
        <w:rPr>
          <w:lang w:val="es-ES"/>
        </w:rPr>
        <w:t xml:space="preserve">las </w:t>
      </w:r>
      <w:r w:rsidR="006C5F6B" w:rsidRPr="21A5E085">
        <w:rPr>
          <w:lang w:val="es-ES"/>
        </w:rPr>
        <w:t>variables de demanda</w:t>
      </w:r>
      <w:r w:rsidR="00325581" w:rsidRPr="21A5E085">
        <w:rPr>
          <w:lang w:val="es-ES"/>
        </w:rPr>
        <w:t xml:space="preserve"> utilizadas para calcular el cargo de distribución</w:t>
      </w:r>
      <w:r w:rsidR="00D07657" w:rsidRPr="21A5E085">
        <w:rPr>
          <w:lang w:val="es-ES"/>
        </w:rPr>
        <w:t>,</w:t>
      </w:r>
      <w:r w:rsidR="00DC3AE1" w:rsidRPr="21A5E085">
        <w:rPr>
          <w:lang w:val="es-ES"/>
        </w:rPr>
        <w:t xml:space="preserve"> </w:t>
      </w:r>
      <w:r w:rsidR="00327BBE" w:rsidRPr="21A5E085">
        <w:rPr>
          <w:lang w:val="es-ES"/>
        </w:rPr>
        <w:t xml:space="preserve">algunos </w:t>
      </w:r>
      <w:r w:rsidR="00DC3AE1" w:rsidRPr="21A5E085">
        <w:rPr>
          <w:lang w:val="es-ES"/>
        </w:rPr>
        <w:t>aspectos</w:t>
      </w:r>
      <w:r w:rsidR="00327BBE" w:rsidRPr="21A5E085">
        <w:rPr>
          <w:lang w:val="es-ES"/>
        </w:rPr>
        <w:t xml:space="preserve"> relacionados</w:t>
      </w:r>
      <w:r w:rsidR="00DC3AE1" w:rsidRPr="21A5E085">
        <w:rPr>
          <w:lang w:val="es-ES"/>
        </w:rPr>
        <w:t xml:space="preserve"> </w:t>
      </w:r>
      <w:r w:rsidR="00BA4AE3" w:rsidRPr="21A5E085">
        <w:rPr>
          <w:lang w:val="es-ES"/>
        </w:rPr>
        <w:t>con la valoración de</w:t>
      </w:r>
      <w:r w:rsidR="00D07657" w:rsidRPr="21A5E085">
        <w:rPr>
          <w:lang w:val="es-ES"/>
        </w:rPr>
        <w:t xml:space="preserve"> inversiones y </w:t>
      </w:r>
      <w:r w:rsidR="003B4818" w:rsidRPr="21A5E085">
        <w:rPr>
          <w:lang w:val="es-ES"/>
        </w:rPr>
        <w:t>los criterios de conformación de mercados.</w:t>
      </w:r>
    </w:p>
    <w:p w14:paraId="285C5B0F" w14:textId="173CECA4" w:rsidR="004964A7" w:rsidRDefault="00AA0E3E" w:rsidP="002F1961">
      <w:pPr>
        <w:spacing w:before="100" w:beforeAutospacing="1" w:after="100" w:afterAutospacing="1" w:line="360" w:lineRule="auto"/>
      </w:pPr>
      <w:r w:rsidRPr="00AA0E3E">
        <w:t xml:space="preserve">Adicionalmente, a través de la </w:t>
      </w:r>
      <w:r w:rsidR="0019592B">
        <w:t>R</w:t>
      </w:r>
      <w:r w:rsidR="00452653" w:rsidRPr="00AA0E3E">
        <w:t>esolución</w:t>
      </w:r>
      <w:r w:rsidRPr="00AA0E3E">
        <w:t xml:space="preserve"> CREG 090</w:t>
      </w:r>
      <w:r w:rsidR="00D44C33">
        <w:t xml:space="preserve"> de 2018,</w:t>
      </w:r>
      <w:r w:rsidRPr="00AA0E3E">
        <w:t xml:space="preserve"> </w:t>
      </w:r>
      <w:r w:rsidR="00452653">
        <w:t xml:space="preserve">se </w:t>
      </w:r>
      <w:r w:rsidR="00573F80">
        <w:t xml:space="preserve">modificó y adicionó la Resolución 202 de 2013, </w:t>
      </w:r>
      <w:r w:rsidR="00E828CA">
        <w:t xml:space="preserve">dando continuidad a </w:t>
      </w:r>
      <w:r w:rsidR="000B78C6">
        <w:t xml:space="preserve">aspectos que ya habían sido objeto de </w:t>
      </w:r>
      <w:r w:rsidR="00A17A53">
        <w:t>revocatoria parcial mediante la Resolución CREG 093 de 2016, con el fi</w:t>
      </w:r>
      <w:r w:rsidR="004164DE">
        <w:t>n</w:t>
      </w:r>
      <w:r w:rsidR="00A17A53">
        <w:t xml:space="preserve"> de precisar criterios </w:t>
      </w:r>
      <w:r w:rsidR="00387646">
        <w:t xml:space="preserve">relacionados con la conformación de mercados, la demanda, los criterios de los </w:t>
      </w:r>
      <w:r w:rsidR="004164DE">
        <w:t>reconocimientos de los g</w:t>
      </w:r>
      <w:r w:rsidR="00387646">
        <w:t>astos de AOM</w:t>
      </w:r>
      <w:r w:rsidR="005C2AC3">
        <w:t xml:space="preserve"> y de los otros activos </w:t>
      </w:r>
      <w:r w:rsidR="00914083">
        <w:t xml:space="preserve">(OA), </w:t>
      </w:r>
      <w:r w:rsidR="008B759E">
        <w:t xml:space="preserve">con el </w:t>
      </w:r>
      <w:r w:rsidR="00AA3506">
        <w:t>propósito</w:t>
      </w:r>
      <w:r w:rsidR="00914083">
        <w:t xml:space="preserve"> de </w:t>
      </w:r>
      <w:r w:rsidR="00B50D3D">
        <w:t>fortalecer la metodología y asegurar qu</w:t>
      </w:r>
      <w:r w:rsidR="004964A7">
        <w:t>e</w:t>
      </w:r>
      <w:r w:rsidR="00B50D3D">
        <w:t xml:space="preserve"> los </w:t>
      </w:r>
      <w:r w:rsidR="00E83E53">
        <w:t>cargos</w:t>
      </w:r>
      <w:r w:rsidR="00311B0D">
        <w:t xml:space="preserve"> </w:t>
      </w:r>
      <w:r w:rsidR="00B50D3D">
        <w:t>reflej</w:t>
      </w:r>
      <w:r w:rsidR="00311B0D">
        <w:t>aran</w:t>
      </w:r>
      <w:r w:rsidR="008C4D0F">
        <w:t xml:space="preserve"> condiciones de</w:t>
      </w:r>
      <w:r w:rsidR="004964A7">
        <w:t xml:space="preserve"> eficiencia económica y suficiencia financiera</w:t>
      </w:r>
      <w:r w:rsidR="00311B0D">
        <w:t xml:space="preserve"> de la actividad.</w:t>
      </w:r>
      <w:r w:rsidR="004964A7">
        <w:t xml:space="preserve">. </w:t>
      </w:r>
    </w:p>
    <w:p w14:paraId="414D7BB7" w14:textId="4557E489" w:rsidR="00CC5ACC" w:rsidRDefault="007017F3" w:rsidP="002F1961">
      <w:pPr>
        <w:spacing w:before="100" w:beforeAutospacing="1" w:after="100" w:afterAutospacing="1" w:line="360" w:lineRule="auto"/>
      </w:pPr>
      <w:r>
        <w:t>Finalmente, m</w:t>
      </w:r>
      <w:r w:rsidR="00B33E72" w:rsidRPr="00B33E72">
        <w:t>ediante la Resolución CREG 132 de 2018, la Comisión modificó y adicionó algunas disposiciones de la Resolución CREG 202 de 2013 con el propósito de precisar la aplicación del artículo 126 de la Ley 142 de 1994 en relación con la vigencia de las fórmulas tarifarias.</w:t>
      </w:r>
    </w:p>
    <w:p w14:paraId="2F96DCA6" w14:textId="7FECF1C3" w:rsidR="001E7F73" w:rsidRDefault="006A4763" w:rsidP="002F1961">
      <w:pPr>
        <w:spacing w:before="100" w:beforeAutospacing="1" w:after="100" w:afterAutospacing="1" w:line="360" w:lineRule="auto"/>
      </w:pPr>
      <w:r w:rsidRPr="006A4763">
        <w:t>Mientras la regulación de la distribución se concentró en la determinación de los cargos asociados al uso de la infraestructura de redes, la actividad de comercialización minorista también experimentó una evolución normativa orientada a establecer una metodología que remunerara los costos eficientes de atención a los usuarios, facturación, recaudo, gestión comercial y demás actividades propias del comercializador.</w:t>
      </w:r>
    </w:p>
    <w:p w14:paraId="3432C83A" w14:textId="6CABBBC4" w:rsidR="004F3440" w:rsidRDefault="00553474">
      <w:pPr>
        <w:pStyle w:val="Prrafodelista"/>
        <w:keepNext/>
        <w:numPr>
          <w:ilvl w:val="0"/>
          <w:numId w:val="25"/>
        </w:numPr>
        <w:spacing w:before="100" w:beforeAutospacing="1" w:after="100" w:afterAutospacing="1" w:line="360" w:lineRule="auto"/>
        <w:ind w:left="357" w:hanging="357"/>
        <w:rPr>
          <w:b/>
        </w:rPr>
      </w:pPr>
      <w:r w:rsidRPr="006D6A19">
        <w:rPr>
          <w:b/>
          <w:bCs/>
        </w:rPr>
        <w:lastRenderedPageBreak/>
        <w:t>Evolución de la regulación de la actividad de comercialización</w:t>
      </w:r>
    </w:p>
    <w:p w14:paraId="61B7DE44" w14:textId="1AADE828" w:rsidR="00B40492" w:rsidRPr="00B40492" w:rsidRDefault="00B40492" w:rsidP="002F1961">
      <w:pPr>
        <w:spacing w:before="100" w:beforeAutospacing="1" w:after="100" w:afterAutospacing="1" w:line="360" w:lineRule="auto"/>
      </w:pPr>
      <w:r w:rsidRPr="00B40492">
        <w:t>De manera paralela a la evolución de la metodología aplicable a la actividad de distribución</w:t>
      </w:r>
      <w:r w:rsidR="002C6E8C">
        <w:t xml:space="preserve"> por redes de tubería</w:t>
      </w:r>
      <w:r w:rsidRPr="00B40492">
        <w:t xml:space="preserve">, la Comisión también desarrolló el marco regulatorio para la remuneración de la actividad de comercialización </w:t>
      </w:r>
      <w:r w:rsidR="0081355E">
        <w:t xml:space="preserve">minorista </w:t>
      </w:r>
      <w:r w:rsidRPr="00B40492">
        <w:t>de gas combustible por redes de tubería.</w:t>
      </w:r>
    </w:p>
    <w:p w14:paraId="679EACEF" w14:textId="79144C98" w:rsidR="006D6A19" w:rsidRPr="00B40492" w:rsidRDefault="00B40492" w:rsidP="002F1961">
      <w:pPr>
        <w:spacing w:before="100" w:beforeAutospacing="1" w:after="100" w:afterAutospacing="1" w:line="360" w:lineRule="auto"/>
      </w:pPr>
      <w:r w:rsidRPr="00B40492">
        <w:t>Inicialmente, la Resolución CREG 011 de 2003 estableció el cargo de comercialización destinado a remunerar los costos eficientes asociados a la atención comercial de los usuarios, incluyendo actividades como la lectura de medidores, la facturación, el recaudo, la atención de peticiones, quejas y recursos, la gestión de cartera y las demás actividades necesarias para la prestación del servicio comercial.</w:t>
      </w:r>
    </w:p>
    <w:p w14:paraId="7087DABD" w14:textId="10CF61F4" w:rsidR="00AA6CBC" w:rsidRDefault="00DF468C" w:rsidP="002F1961">
      <w:pPr>
        <w:spacing w:before="100" w:beforeAutospacing="1" w:after="100" w:afterAutospacing="1" w:line="360" w:lineRule="auto"/>
      </w:pPr>
      <w:r w:rsidRPr="00DF468C">
        <w:t xml:space="preserve">Posteriormente, con la expedición de la Resolución CREG 102 003 de 2022, </w:t>
      </w:r>
      <w:r w:rsidR="009647CE">
        <w:t>se establecieron</w:t>
      </w:r>
      <w:r w:rsidR="00AA6CBC" w:rsidRPr="00AA6CBC">
        <w:t xml:space="preserve"> los criterios generales para remunerar la actividad de comercialización minorista de gas combustible a usuarios regulados y se establecen las reglas para la solicitud y aprobación de los cargos tarifarios correspondientes.</w:t>
      </w:r>
    </w:p>
    <w:p w14:paraId="1A0C0D1E" w14:textId="2BD9B8DD" w:rsidR="00DF468C" w:rsidRDefault="00D338EC" w:rsidP="002F1961">
      <w:pPr>
        <w:spacing w:before="100" w:beforeAutospacing="1" w:after="100" w:afterAutospacing="1" w:line="360" w:lineRule="auto"/>
      </w:pPr>
      <w:r>
        <w:t>Adicionalmente</w:t>
      </w:r>
      <w:r w:rsidR="00DA399D">
        <w:t>, c</w:t>
      </w:r>
      <w:r w:rsidR="000A1225" w:rsidRPr="000A1225">
        <w:t>omo resultado de análisis realizados con posterioridad a la expedición, publicación y entrada en vigencia de la Metodología contenida en la Resolución CREG 102 003 de 2022, para efectos de dar respuesta a consultas formuladas a la CREG por empresas prestadoras del servicio de gas combustible por red de tubería, se identific</w:t>
      </w:r>
      <w:r w:rsidR="00134078">
        <w:t>aron</w:t>
      </w:r>
      <w:r w:rsidR="000A1225" w:rsidRPr="000A1225">
        <w:t xml:space="preserve"> dos errores </w:t>
      </w:r>
      <w:r w:rsidR="00295327" w:rsidRPr="00295327">
        <w:t xml:space="preserve">de cálculo en </w:t>
      </w:r>
      <w:r w:rsidR="000A1225" w:rsidRPr="000A1225">
        <w:t xml:space="preserve">las fórmulas </w:t>
      </w:r>
      <w:r w:rsidR="00295327" w:rsidRPr="00295327">
        <w:t>correspondientes al reconocimiento de los impuestos, tasas y contribuciones y de la contribución adicional a favor</w:t>
      </w:r>
      <w:r w:rsidR="000A1225" w:rsidRPr="000A1225">
        <w:t xml:space="preserve"> del </w:t>
      </w:r>
      <w:r w:rsidR="00295327" w:rsidRPr="00295327">
        <w:t>Fondo Empresarial de la Superintendencia de Servicios Públicos Domiciliarios (SSPD)</w:t>
      </w:r>
      <w:r w:rsidR="004E1629">
        <w:t xml:space="preserve">. </w:t>
      </w:r>
    </w:p>
    <w:p w14:paraId="29E85EEA" w14:textId="1FC40461" w:rsidR="007078C2" w:rsidRDefault="00784EA5" w:rsidP="002F1961">
      <w:pPr>
        <w:spacing w:before="100" w:beforeAutospacing="1" w:after="100" w:afterAutospacing="1" w:line="360" w:lineRule="auto"/>
      </w:pPr>
      <w:r w:rsidRPr="00784EA5">
        <w:t xml:space="preserve">En consecuencia, mediante el Resolución CREG </w:t>
      </w:r>
      <w:r w:rsidR="00560CC0">
        <w:t>1</w:t>
      </w:r>
      <w:r w:rsidRPr="00784EA5">
        <w:t>02 01</w:t>
      </w:r>
      <w:r w:rsidR="00560CC0">
        <w:t>9</w:t>
      </w:r>
      <w:r w:rsidRPr="00784EA5">
        <w:t xml:space="preserve"> de 2025 se </w:t>
      </w:r>
      <w:r w:rsidR="00D032DA" w:rsidRPr="00784EA5">
        <w:t>corrigi</w:t>
      </w:r>
      <w:r w:rsidR="00D032DA">
        <w:t>eron</w:t>
      </w:r>
      <w:r w:rsidRPr="00784EA5">
        <w:t xml:space="preserve"> dichas fórmulas, con fundamento en la facultad prevista en el artículo 126 de la Ley 142 de 1994, evitando que estos conceptos fueran reconocidos de manera duplicada en cada mercado relevante de comercialización cuando un mismo prestador atiende varios mercados. Estas modificaciones no alteran la estructura general de la metodología de remuneración, </w:t>
      </w:r>
      <w:r w:rsidRPr="00784EA5">
        <w:lastRenderedPageBreak/>
        <w:t>sino que buscan garantizar su correcta aplicación y preservar los principios de eficiencia económica y suficiencia financiera que orientan el régimen tarifario.</w:t>
      </w:r>
    </w:p>
    <w:p w14:paraId="79080B2C" w14:textId="77777777" w:rsidR="00B94BAD" w:rsidRPr="00F46FE0" w:rsidRDefault="00B94BAD" w:rsidP="002A023E">
      <w:pPr>
        <w:pStyle w:val="Prrafodelista"/>
        <w:numPr>
          <w:ilvl w:val="0"/>
          <w:numId w:val="4"/>
        </w:numPr>
        <w:spacing w:before="100" w:beforeAutospacing="1" w:after="100" w:afterAutospacing="1" w:line="360" w:lineRule="auto"/>
        <w:ind w:left="426" w:hanging="426"/>
        <w:rPr>
          <w:b/>
        </w:rPr>
      </w:pPr>
      <w:r w:rsidRPr="00F46FE0">
        <w:rPr>
          <w:b/>
        </w:rPr>
        <w:t>Asignación de mercados.</w:t>
      </w:r>
    </w:p>
    <w:p w14:paraId="65415A0B" w14:textId="77777777" w:rsidR="00E73334" w:rsidRDefault="00D076A0" w:rsidP="002F1961">
      <w:pPr>
        <w:spacing w:before="100" w:beforeAutospacing="1" w:after="100" w:afterAutospacing="1" w:line="360" w:lineRule="auto"/>
      </w:pPr>
      <w:r w:rsidRPr="00D076A0">
        <w:t>Para la actividad de distribución, la Resolución CREG 202 de 2013 estableció los criterios para conformar los mercados relevantes para el siguiente periodo tarifario, basándose en la solicitud de cada distribuidor. Como regla general, estos mercados deben estar conformados por al menos un municipio o un grupo de ellos, exceptuando los casos especiales descritos en el numeral 5.3 de la resolución.</w:t>
      </w:r>
    </w:p>
    <w:p w14:paraId="5109E65D" w14:textId="17284206" w:rsidR="000D42A9" w:rsidRDefault="00D076A0" w:rsidP="002F1961">
      <w:pPr>
        <w:spacing w:before="100" w:beforeAutospacing="1" w:after="100" w:afterAutospacing="1" w:line="360" w:lineRule="auto"/>
        <w:rPr>
          <w:b/>
          <w:bCs/>
        </w:rPr>
      </w:pPr>
      <w:r w:rsidRPr="00D076A0">
        <w:t>Con este propósito, la metodología define cuatro criterios de conformación que diferencian entre mercados existentes y nuevos, así como sus respectivas agregaciones. A continuación, se detallan los criterios para la conformación de los mercados relevantes aplicables al siguiente periodo tarifario:</w:t>
      </w:r>
    </w:p>
    <w:p w14:paraId="24F3FCBF" w14:textId="27207316" w:rsidR="004311F9" w:rsidRDefault="00B84579" w:rsidP="002F1961">
      <w:pPr>
        <w:spacing w:before="100" w:beforeAutospacing="1" w:after="100" w:afterAutospacing="1" w:line="360" w:lineRule="auto"/>
      </w:pPr>
      <w:r w:rsidRPr="11491998">
        <w:rPr>
          <w:b/>
          <w:lang w:val="es-ES"/>
        </w:rPr>
        <w:t>Mercados Existentes de Distribución:</w:t>
      </w:r>
      <w:r w:rsidRPr="11491998">
        <w:rPr>
          <w:lang w:val="es-ES"/>
        </w:rPr>
        <w:t xml:space="preserve"> Constituir el Mercado Relevante de Distribución para el Siguiente Período Tarifario, </w:t>
      </w:r>
      <w:r w:rsidR="00A31872" w:rsidRPr="11491998">
        <w:rPr>
          <w:lang w:val="es-ES"/>
        </w:rPr>
        <w:t>conservando la estructura de los mercados aprobados bajo la metodología de la Resolución CREG 011 de 2003. Para ello, el mercado debía mantener los municipios que originalmente lo conformaban, permitiéndose únicamente el retiro de aquellos en los cuales, transcurrido un año desde la aprobación del cargo, no se hubiera iniciado la prestación del servicio. Igualmente, se incorporaron dentro de esta categoría las zonas geográficas pertenecientes a Áreas de Servicio Exclusivo cuyos contratos de concesión hubieran finalizado.</w:t>
      </w:r>
    </w:p>
    <w:p w14:paraId="143122A5" w14:textId="31259632" w:rsidR="004311F9" w:rsidRDefault="004311F9" w:rsidP="002F1961">
      <w:pPr>
        <w:spacing w:before="100" w:beforeAutospacing="1" w:after="100" w:afterAutospacing="1" w:line="360" w:lineRule="auto"/>
        <w:rPr>
          <w:lang w:val="es-CO"/>
        </w:rPr>
      </w:pPr>
      <w:r w:rsidRPr="004311F9">
        <w:rPr>
          <w:b/>
          <w:bCs/>
          <w:lang w:val="es-CO"/>
        </w:rPr>
        <w:t>Agregación de Mercados Existentes de Distribución:</w:t>
      </w:r>
      <w:r w:rsidR="00336603">
        <w:rPr>
          <w:b/>
          <w:bCs/>
          <w:lang w:val="es-CO"/>
        </w:rPr>
        <w:t xml:space="preserve"> </w:t>
      </w:r>
      <w:r w:rsidRPr="004311F9">
        <w:rPr>
          <w:lang w:val="es-CO"/>
        </w:rPr>
        <w:t xml:space="preserve">Incorporar en un Mercado Relevante de Distribución para el Siguiente Período Tarifario dos o más Mercados Relevantes Existentes de Distribución o que fueron constituidos conforme a la metodología tarifaria establecida en la Resolución CREG </w:t>
      </w:r>
      <w:hyperlink r:id="rId39" w:anchor="INICIO" w:tgtFrame="_blank" w:history="1">
        <w:r w:rsidRPr="008B76E5">
          <w:rPr>
            <w:rStyle w:val="Hipervnculo"/>
            <w:color w:val="auto"/>
            <w:u w:val="none"/>
            <w:lang w:val="es-CO"/>
          </w:rPr>
          <w:t>011</w:t>
        </w:r>
      </w:hyperlink>
      <w:r w:rsidR="00336603">
        <w:t xml:space="preserve"> </w:t>
      </w:r>
      <w:r w:rsidRPr="004311F9">
        <w:rPr>
          <w:lang w:val="es-CO"/>
        </w:rPr>
        <w:t>de 2003. Esta agregación de Mercados Existentes sólo se podrá realizar siempre y cuando los mercados objeto de integración sean atendidos por un mismo distribuidor o cuando los distribuidores que prestan servicio en dichos Mercados estén de acuerdo con la integración.</w:t>
      </w:r>
    </w:p>
    <w:p w14:paraId="3C0AE085" w14:textId="77777777" w:rsidR="004311F9" w:rsidRDefault="004311F9" w:rsidP="002F1961">
      <w:pPr>
        <w:spacing w:before="100" w:beforeAutospacing="1" w:after="100" w:afterAutospacing="1" w:line="360" w:lineRule="auto"/>
        <w:rPr>
          <w:lang w:val="es-CO"/>
        </w:rPr>
      </w:pPr>
      <w:r w:rsidRPr="004311F9">
        <w:rPr>
          <w:lang w:val="es-CO"/>
        </w:rPr>
        <w:lastRenderedPageBreak/>
        <w:t>Adicionalmente, los Mercados Existentes de Distribución que se agreguen deberán estar ubicados en un mismo departamento o en departamentos diferentes, pero con alguno(s) de los municipios que los conforman con fronteras comunes.</w:t>
      </w:r>
    </w:p>
    <w:p w14:paraId="08541A39" w14:textId="77777777" w:rsidR="004311F9" w:rsidRDefault="004311F9" w:rsidP="002F1961">
      <w:pPr>
        <w:spacing w:before="100" w:beforeAutospacing="1" w:after="100" w:afterAutospacing="1" w:line="360" w:lineRule="auto"/>
        <w:rPr>
          <w:lang w:val="es-CO"/>
        </w:rPr>
      </w:pPr>
      <w:r w:rsidRPr="004311F9">
        <w:rPr>
          <w:lang w:val="es-CO"/>
        </w:rPr>
        <w:t>Podrán incluir mercados existentes de GNC que se conectarán a red física para lo cual se podrá incluir la infraestructura requerida como inversión existente.</w:t>
      </w:r>
    </w:p>
    <w:p w14:paraId="61616DC6" w14:textId="70912CAD" w:rsidR="00787C4E" w:rsidRPr="004311F9" w:rsidRDefault="00787C4E" w:rsidP="002F1961">
      <w:pPr>
        <w:spacing w:before="100" w:beforeAutospacing="1" w:after="100" w:afterAutospacing="1" w:line="360" w:lineRule="auto"/>
        <w:rPr>
          <w:lang w:val="es-CO"/>
        </w:rPr>
      </w:pPr>
      <w:r w:rsidRPr="00A20C56">
        <w:rPr>
          <w:b/>
          <w:bCs/>
          <w:lang w:val="es-CO"/>
        </w:rPr>
        <w:t>Anexar a Mercados Existentes de Distribución Municipios Nuevos:</w:t>
      </w:r>
      <w:r w:rsidRPr="00787C4E">
        <w:rPr>
          <w:lang w:val="es-CO"/>
        </w:rPr>
        <w:t xml:space="preserve"> Conformar el Mercado Relevante de Distribución para el Siguiente Período Tarifario con Mercado(s) Existente(s) conformado(s) con las reglas de la Resolución CREG número 011 de 2003 y municipio(s) nuevo(s). Estos municipios(s) nuevo(s) sólo podrán anexarse al Mercado Existente cuando estén ubicados en el mismo departamento o en departamento diferentes, pero con frontera común a alguno de los municipios que forman parte del Mercado Existente de Distribución.</w:t>
      </w:r>
    </w:p>
    <w:p w14:paraId="7ADDE73F" w14:textId="692D7083" w:rsidR="006A0051" w:rsidRDefault="006A0051" w:rsidP="002F1961">
      <w:pPr>
        <w:spacing w:before="100" w:beforeAutospacing="1" w:after="100" w:afterAutospacing="1" w:line="360" w:lineRule="auto"/>
      </w:pPr>
      <w:r w:rsidRPr="006A0051">
        <w:rPr>
          <w:b/>
          <w:bCs/>
        </w:rPr>
        <w:t>Creación de Nuevos Mercados de Distribución:</w:t>
      </w:r>
      <w:r w:rsidR="005D5C94">
        <w:rPr>
          <w:b/>
          <w:bCs/>
        </w:rPr>
        <w:t xml:space="preserve"> </w:t>
      </w:r>
      <w:r w:rsidRPr="006A0051">
        <w:t>Constituir Nuevos Mercados Relevantes de Distribución para el Siguiente Período Tarifario por Municipios Nuevos, bien sea que la infraestructura esté o no ejecutada.</w:t>
      </w:r>
    </w:p>
    <w:p w14:paraId="56718378" w14:textId="6C0470DE" w:rsidR="003C64B9" w:rsidRDefault="00D91D1E" w:rsidP="002F1961">
      <w:pPr>
        <w:spacing w:before="100" w:beforeAutospacing="1" w:after="100" w:afterAutospacing="1" w:line="360" w:lineRule="auto"/>
      </w:pPr>
      <w:r w:rsidRPr="00D91D1E">
        <w:t>Con posterioridad, los criterios para la conformación de mercados relevantes fueron objeto de ajustes mediante las Resoluciones CREG 138 de 2014, 090 y 132 de 2018 y 011 de 2020, con el propósito de precisar aspectos relacionados con la integración de mercados, los mercados especiales y la aplicación de la metodología durante los distintos períodos tarifarios.</w:t>
      </w:r>
    </w:p>
    <w:p w14:paraId="78BCBB35" w14:textId="175C3970" w:rsidR="003B0246" w:rsidRDefault="003B0246" w:rsidP="002F1961">
      <w:pPr>
        <w:spacing w:before="100" w:beforeAutospacing="1" w:after="100" w:afterAutospacing="1" w:line="360" w:lineRule="auto"/>
        <w:rPr>
          <w:lang w:val="es-CO"/>
        </w:rPr>
      </w:pPr>
      <w:bookmarkStart w:id="54" w:name="4"/>
      <w:r w:rsidRPr="003B0246">
        <w:rPr>
          <w:lang w:val="es-CO"/>
        </w:rPr>
        <w:t>En materia de comercialización, la metodología adoptada mediante la Resolución CREG 102 003 de 2022 mantuvo la articulación entre ambas actividades al establecer que el Mercado Relevante de Comercialización debe corresponder al mismo Mercado Relevante de Distribución aprobado para el respectivo período tarifario. De esta manera, cada mercado relevante de distribución cuenta con un mercado relevante de comercialización asociado, garantizando que la remuneración de ambas actividades se realice sobre una misma unidad territorial y operacional.</w:t>
      </w:r>
    </w:p>
    <w:p w14:paraId="7E835611" w14:textId="1DFB46AA" w:rsidR="00390963" w:rsidRDefault="00390963" w:rsidP="002F1961">
      <w:pPr>
        <w:spacing w:before="100" w:beforeAutospacing="1" w:after="100" w:afterAutospacing="1" w:line="360" w:lineRule="auto"/>
        <w:rPr>
          <w:lang w:val="es-CO"/>
        </w:rPr>
      </w:pPr>
      <w:r w:rsidRPr="00390963">
        <w:rPr>
          <w:lang w:val="es-CO"/>
        </w:rPr>
        <w:lastRenderedPageBreak/>
        <w:t xml:space="preserve">De igual forma, la regulación dispuso que, cuando se conformen Mercados Relevantes de Distribución Especiales conforme a la metodología de distribución, el correspondiente Mercado Relevante de Comercialización será el mismo mercado aprobado para distribución, sobre el cual se determinará el respectivo cargo de comercialización. </w:t>
      </w:r>
    </w:p>
    <w:bookmarkEnd w:id="54"/>
    <w:p w14:paraId="667266C6" w14:textId="55985CD3" w:rsidR="00405F9F" w:rsidRPr="00A7552F" w:rsidRDefault="00405F9F" w:rsidP="00A7552F">
      <w:pPr>
        <w:pStyle w:val="Prrafodelista"/>
        <w:numPr>
          <w:ilvl w:val="0"/>
          <w:numId w:val="4"/>
        </w:numPr>
        <w:spacing w:before="100" w:beforeAutospacing="1" w:after="100" w:afterAutospacing="1" w:line="360" w:lineRule="auto"/>
        <w:ind w:left="284" w:hanging="284"/>
        <w:rPr>
          <w:lang w:val="es-CO"/>
        </w:rPr>
      </w:pPr>
      <w:r>
        <w:rPr>
          <w:b/>
        </w:rPr>
        <w:t>Evolución de los mercados relevantes de GLP</w:t>
      </w:r>
    </w:p>
    <w:p w14:paraId="669B053C" w14:textId="5748BAD4" w:rsidR="00405F9F" w:rsidRPr="00405F9F" w:rsidRDefault="00F0403B" w:rsidP="002F1961">
      <w:pPr>
        <w:spacing w:before="100" w:beforeAutospacing="1" w:after="100" w:afterAutospacing="1" w:line="360" w:lineRule="auto"/>
        <w:rPr>
          <w:highlight w:val="yellow"/>
          <w:lang w:val="es-CO"/>
        </w:rPr>
      </w:pPr>
      <w:r w:rsidRPr="00F0403B">
        <w:rPr>
          <w:lang w:val="es-CO"/>
        </w:rPr>
        <w:t>La aplicación de los criterios establecidos por la Resolución CREG 202 de 2013 y sus posteriores modificaciones permitió la expansión gradual del servicio de GLP distribuido por redes de tubería. La conformación de nuevos mercados, la agregación de mercados existentes y la incorporación de nuevos municipios facilitaron el crecimiento de la cobertura del servicio y la participación de un mayor número de agentes en el mercado.</w:t>
      </w:r>
    </w:p>
    <w:p w14:paraId="5DE69DBE" w14:textId="70406CDC" w:rsidR="00591EAC" w:rsidRDefault="00591EAC" w:rsidP="002F1961">
      <w:pPr>
        <w:spacing w:before="100" w:beforeAutospacing="1" w:after="100" w:afterAutospacing="1" w:line="360" w:lineRule="auto"/>
        <w:rPr>
          <w:lang w:val="es-CO"/>
        </w:rPr>
      </w:pPr>
      <w:r w:rsidRPr="00591EAC">
        <w:rPr>
          <w:lang w:val="es-CO"/>
        </w:rPr>
        <w:t>La</w:t>
      </w:r>
      <w:r w:rsidR="0035381A">
        <w:rPr>
          <w:lang w:val="es-CO"/>
        </w:rPr>
        <w:t xml:space="preserve"> </w:t>
      </w:r>
      <w:r w:rsidR="0035381A">
        <w:rPr>
          <w:lang w:val="es-CO"/>
        </w:rPr>
        <w:fldChar w:fldCharType="begin"/>
      </w:r>
      <w:r w:rsidR="0035381A">
        <w:rPr>
          <w:lang w:val="es-CO"/>
        </w:rPr>
        <w:instrText xml:space="preserve"> REF _Ref235083033 \h </w:instrText>
      </w:r>
      <w:r w:rsidR="0035381A">
        <w:rPr>
          <w:lang w:val="es-CO"/>
        </w:rPr>
      </w:r>
      <w:r w:rsidR="0035381A">
        <w:rPr>
          <w:lang w:val="es-CO"/>
        </w:rPr>
        <w:fldChar w:fldCharType="separate"/>
      </w:r>
      <w:r w:rsidR="0035381A" w:rsidRPr="00A7552F">
        <w:rPr>
          <w:lang w:val="es-CO"/>
        </w:rPr>
        <w:t xml:space="preserve">Figura </w:t>
      </w:r>
      <w:r w:rsidR="0035381A">
        <w:rPr>
          <w:noProof/>
          <w:lang w:val="es-CO"/>
        </w:rPr>
        <w:t>10</w:t>
      </w:r>
      <w:r w:rsidR="0035381A">
        <w:rPr>
          <w:lang w:val="es-CO"/>
        </w:rPr>
        <w:fldChar w:fldCharType="end"/>
      </w:r>
      <w:r w:rsidR="0035381A">
        <w:rPr>
          <w:lang w:val="es-CO"/>
        </w:rPr>
        <w:t xml:space="preserve"> </w:t>
      </w:r>
      <w:r w:rsidRPr="00591EAC">
        <w:rPr>
          <w:lang w:val="es-CO"/>
        </w:rPr>
        <w:t>presenta la evolución del número de mercados relevantes aprobados, las empresas participantes y los usuarios atendidos entre 2014 y 2026.</w:t>
      </w:r>
    </w:p>
    <w:p w14:paraId="7693F090" w14:textId="509229F9" w:rsidR="00190F09" w:rsidRPr="00A7552F" w:rsidRDefault="00190F09" w:rsidP="00A7552F">
      <w:pPr>
        <w:spacing w:before="100" w:beforeAutospacing="1" w:after="100" w:afterAutospacing="1" w:line="360" w:lineRule="auto"/>
        <w:jc w:val="center"/>
        <w:rPr>
          <w:lang w:val="es-CO"/>
        </w:rPr>
      </w:pPr>
      <w:bookmarkStart w:id="55" w:name="_Ref235083033"/>
      <w:bookmarkStart w:id="56" w:name="_Toc235118550"/>
      <w:r w:rsidRPr="00A7552F">
        <w:rPr>
          <w:lang w:val="es-CO"/>
        </w:rPr>
        <w:t xml:space="preserve">Figura </w:t>
      </w:r>
      <w:r w:rsidRPr="00A7552F">
        <w:rPr>
          <w:lang w:val="es-CO"/>
        </w:rPr>
        <w:fldChar w:fldCharType="begin"/>
      </w:r>
      <w:r w:rsidRPr="00A7552F">
        <w:rPr>
          <w:lang w:val="es-CO"/>
        </w:rPr>
        <w:instrText xml:space="preserve"> SEQ Figura \* ARABIC </w:instrText>
      </w:r>
      <w:r w:rsidRPr="00A7552F">
        <w:rPr>
          <w:lang w:val="es-CO"/>
        </w:rPr>
        <w:fldChar w:fldCharType="separate"/>
      </w:r>
      <w:r w:rsidR="00890B0D">
        <w:rPr>
          <w:noProof/>
          <w:lang w:val="es-CO"/>
        </w:rPr>
        <w:t>10</w:t>
      </w:r>
      <w:r w:rsidRPr="00A7552F">
        <w:rPr>
          <w:lang w:val="es-CO"/>
        </w:rPr>
        <w:fldChar w:fldCharType="end"/>
      </w:r>
      <w:bookmarkEnd w:id="55"/>
      <w:r w:rsidRPr="00A7552F">
        <w:rPr>
          <w:lang w:val="es-CO"/>
        </w:rPr>
        <w:t xml:space="preserve">. </w:t>
      </w:r>
      <w:r w:rsidR="00B54A85" w:rsidRPr="00A7552F">
        <w:rPr>
          <w:lang w:val="es-CO"/>
        </w:rPr>
        <w:t>Evolución del número de mercados relevantes de GLP por redes</w:t>
      </w:r>
      <w:bookmarkEnd w:id="56"/>
    </w:p>
    <w:p w14:paraId="04C571C9" w14:textId="44B064C6" w:rsidR="0074379B" w:rsidRPr="00A7552F" w:rsidRDefault="0074379B" w:rsidP="00A7552F">
      <w:pPr>
        <w:spacing w:before="100" w:beforeAutospacing="1" w:after="100" w:afterAutospacing="1" w:line="360" w:lineRule="auto"/>
        <w:jc w:val="center"/>
        <w:rPr>
          <w:lang w:val="es-CO"/>
        </w:rPr>
      </w:pPr>
      <w:r w:rsidRPr="00A7552F">
        <w:rPr>
          <w:lang w:val="es-CO"/>
        </w:rPr>
        <w:drawing>
          <wp:inline distT="0" distB="0" distL="0" distR="0" wp14:anchorId="33A1BDD1" wp14:editId="35CE2B20">
            <wp:extent cx="4972829" cy="2381250"/>
            <wp:effectExtent l="0" t="0" r="0" b="0"/>
            <wp:docPr id="80835138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0">
                      <a:extLst>
                        <a:ext uri="{28A0092B-C50C-407E-A947-70E740481C1C}">
                          <a14:useLocalDpi xmlns:a14="http://schemas.microsoft.com/office/drawing/2010/main" val="0"/>
                        </a:ext>
                      </a:extLst>
                    </a:blip>
                    <a:srcRect t="7222"/>
                    <a:stretch>
                      <a:fillRect/>
                    </a:stretch>
                  </pic:blipFill>
                  <pic:spPr bwMode="auto">
                    <a:xfrm>
                      <a:off x="0" y="0"/>
                      <a:ext cx="4999509" cy="2394026"/>
                    </a:xfrm>
                    <a:prstGeom prst="rect">
                      <a:avLst/>
                    </a:prstGeom>
                    <a:noFill/>
                    <a:ln>
                      <a:noFill/>
                    </a:ln>
                    <a:extLst>
                      <a:ext uri="{53640926-AAD7-44D8-BBD7-CCE9431645EC}">
                        <a14:shadowObscured xmlns:a14="http://schemas.microsoft.com/office/drawing/2010/main"/>
                      </a:ext>
                    </a:extLst>
                  </pic:spPr>
                </pic:pic>
              </a:graphicData>
            </a:graphic>
          </wp:inline>
        </w:drawing>
      </w:r>
    </w:p>
    <w:p w14:paraId="28D6FD3D" w14:textId="62D3140E" w:rsidR="000A210C" w:rsidRPr="00A7552F" w:rsidRDefault="000A210C" w:rsidP="00A7552F">
      <w:pPr>
        <w:spacing w:before="100" w:beforeAutospacing="1" w:after="100" w:afterAutospacing="1" w:line="360" w:lineRule="auto"/>
        <w:jc w:val="center"/>
        <w:rPr>
          <w:sz w:val="22"/>
          <w:szCs w:val="18"/>
          <w:lang w:val="es-CO"/>
        </w:rPr>
      </w:pPr>
      <w:r w:rsidRPr="00A7552F">
        <w:rPr>
          <w:sz w:val="22"/>
          <w:szCs w:val="18"/>
          <w:lang w:val="es-CO"/>
        </w:rPr>
        <w:t>Fuente: SUI</w:t>
      </w:r>
      <w:r w:rsidR="00806EFB" w:rsidRPr="00A7552F">
        <w:rPr>
          <w:sz w:val="22"/>
          <w:szCs w:val="18"/>
          <w:lang w:val="es-CO"/>
        </w:rPr>
        <w:t xml:space="preserve">. </w:t>
      </w:r>
      <w:r w:rsidRPr="00A7552F">
        <w:rPr>
          <w:sz w:val="22"/>
          <w:szCs w:val="18"/>
          <w:lang w:val="es-CO"/>
        </w:rPr>
        <w:t>Elaboración: CREG</w:t>
      </w:r>
    </w:p>
    <w:p w14:paraId="1C16ED57" w14:textId="0D7309D2" w:rsidR="00190F09" w:rsidRPr="00B06324" w:rsidRDefault="007D7909" w:rsidP="008E030C">
      <w:pPr>
        <w:spacing w:before="100" w:beforeAutospacing="1" w:after="100" w:afterAutospacing="1" w:line="360" w:lineRule="auto"/>
        <w:rPr>
          <w:lang w:val="es-CO"/>
        </w:rPr>
      </w:pPr>
      <w:r w:rsidRPr="007D7909">
        <w:rPr>
          <w:lang w:val="es-CO"/>
        </w:rPr>
        <w:t xml:space="preserve">La </w:t>
      </w:r>
      <w:r w:rsidR="00F73F94">
        <w:rPr>
          <w:lang w:val="es-CO"/>
        </w:rPr>
        <w:fldChar w:fldCharType="begin"/>
      </w:r>
      <w:r w:rsidR="00F73F94">
        <w:rPr>
          <w:lang w:val="es-CO"/>
        </w:rPr>
        <w:instrText xml:space="preserve"> REF _Ref235083033 \h </w:instrText>
      </w:r>
      <w:r w:rsidR="00F73F94">
        <w:rPr>
          <w:lang w:val="es-CO"/>
        </w:rPr>
      </w:r>
      <w:r w:rsidR="00F73F94">
        <w:rPr>
          <w:lang w:val="es-CO"/>
        </w:rPr>
        <w:fldChar w:fldCharType="separate"/>
      </w:r>
      <w:r w:rsidR="00F73F94" w:rsidRPr="00A7552F">
        <w:rPr>
          <w:lang w:val="es-CO"/>
        </w:rPr>
        <w:t xml:space="preserve">Figura </w:t>
      </w:r>
      <w:r w:rsidR="00F73F94">
        <w:rPr>
          <w:noProof/>
          <w:lang w:val="es-CO"/>
        </w:rPr>
        <w:t>10</w:t>
      </w:r>
      <w:r w:rsidR="00F73F94">
        <w:rPr>
          <w:lang w:val="es-CO"/>
        </w:rPr>
        <w:fldChar w:fldCharType="end"/>
      </w:r>
      <w:r w:rsidRPr="007D7909">
        <w:rPr>
          <w:lang w:val="es-CO"/>
        </w:rPr>
        <w:t xml:space="preserve"> muestra un crecimiento sostenido del número de mercados relevantes durante el período analizado. Mientras en 2014 existían aproximadamente 50 mercados, </w:t>
      </w:r>
      <w:r w:rsidRPr="007D7909">
        <w:rPr>
          <w:lang w:val="es-CO"/>
        </w:rPr>
        <w:lastRenderedPageBreak/>
        <w:t>para 2026 la cifra alcanzó cerca de 197 mercados, lo que representa un incremento cercano al 294 %. El crecimiento fue especialmente acelerado entre 2020 y 2025, período en el que se incorporó un número importante de nuevos municipios y se consolidaron procesos de agregación de mercados existentes.</w:t>
      </w:r>
    </w:p>
    <w:p w14:paraId="4C6F27D5" w14:textId="756002F6" w:rsidR="00545954" w:rsidRPr="00F76853" w:rsidRDefault="003562EB" w:rsidP="00545954">
      <w:pPr>
        <w:pStyle w:val="Descripcin"/>
        <w:keepNext/>
        <w:jc w:val="center"/>
        <w:rPr>
          <w:b w:val="0"/>
        </w:rPr>
      </w:pPr>
      <w:bookmarkStart w:id="57" w:name="_Ref235083111"/>
      <w:bookmarkStart w:id="58" w:name="_Toc235118551"/>
      <w:r w:rsidRPr="00F76853">
        <w:rPr>
          <w:b w:val="0"/>
        </w:rPr>
        <w:t xml:space="preserve">Figura </w:t>
      </w:r>
      <w:r w:rsidRPr="00F76853">
        <w:rPr>
          <w:b w:val="0"/>
        </w:rPr>
        <w:fldChar w:fldCharType="begin"/>
      </w:r>
      <w:r w:rsidRPr="00F76853">
        <w:rPr>
          <w:b w:val="0"/>
          <w:lang w:val="es-ES"/>
        </w:rPr>
        <w:instrText xml:space="preserve"> SEQ Figura \* ARABIC </w:instrText>
      </w:r>
      <w:r w:rsidRPr="00F76853">
        <w:rPr>
          <w:b w:val="0"/>
        </w:rPr>
        <w:fldChar w:fldCharType="separate"/>
      </w:r>
      <w:r w:rsidR="00F76853" w:rsidRPr="00F76853">
        <w:rPr>
          <w:b w:val="0"/>
          <w:bCs/>
          <w:noProof/>
          <w:lang w:val="es-ES"/>
        </w:rPr>
        <w:t>11</w:t>
      </w:r>
      <w:r w:rsidRPr="00F76853">
        <w:rPr>
          <w:b w:val="0"/>
        </w:rPr>
        <w:fldChar w:fldCharType="end"/>
      </w:r>
      <w:bookmarkEnd w:id="57"/>
      <w:r w:rsidR="00545954" w:rsidRPr="00F76853">
        <w:rPr>
          <w:b w:val="0"/>
        </w:rPr>
        <w:t xml:space="preserve"> </w:t>
      </w:r>
      <w:r w:rsidR="00545954" w:rsidRPr="00545954">
        <w:rPr>
          <w:b w:val="0"/>
          <w:bCs/>
          <w:lang w:val="es-CO"/>
        </w:rPr>
        <w:t>Evolución del número de empresas con mercados aprobados</w:t>
      </w:r>
      <w:bookmarkEnd w:id="58"/>
    </w:p>
    <w:p w14:paraId="6614EA57" w14:textId="39569B1D" w:rsidR="0023666A" w:rsidRPr="00B06324" w:rsidRDefault="003562EB" w:rsidP="00B06324">
      <w:pPr>
        <w:spacing w:before="100" w:beforeAutospacing="1" w:after="100" w:afterAutospacing="1" w:line="360" w:lineRule="auto"/>
        <w:jc w:val="center"/>
        <w:rPr>
          <w:lang w:val="es-CO"/>
        </w:rPr>
      </w:pPr>
      <w:r w:rsidRPr="00B06324">
        <w:rPr>
          <w:lang w:val="es-CO"/>
        </w:rPr>
        <w:t xml:space="preserve">. </w:t>
      </w:r>
      <w:r w:rsidR="0023666A" w:rsidRPr="00B06324">
        <w:rPr>
          <w:lang w:val="es-CO"/>
        </w:rPr>
        <w:drawing>
          <wp:inline distT="0" distB="0" distL="0" distR="0" wp14:anchorId="7C9827B7" wp14:editId="5EB36171">
            <wp:extent cx="5081104" cy="2425700"/>
            <wp:effectExtent l="0" t="0" r="5715" b="0"/>
            <wp:docPr id="1077190606"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1">
                      <a:extLst>
                        <a:ext uri="{28A0092B-C50C-407E-A947-70E740481C1C}">
                          <a14:useLocalDpi xmlns:a14="http://schemas.microsoft.com/office/drawing/2010/main" val="0"/>
                        </a:ext>
                      </a:extLst>
                    </a:blip>
                    <a:srcRect t="7618"/>
                    <a:stretch>
                      <a:fillRect/>
                    </a:stretch>
                  </pic:blipFill>
                  <pic:spPr bwMode="auto">
                    <a:xfrm>
                      <a:off x="0" y="0"/>
                      <a:ext cx="5145017" cy="2456212"/>
                    </a:xfrm>
                    <a:prstGeom prst="rect">
                      <a:avLst/>
                    </a:prstGeom>
                    <a:noFill/>
                    <a:ln>
                      <a:noFill/>
                    </a:ln>
                    <a:extLst>
                      <a:ext uri="{53640926-AAD7-44D8-BBD7-CCE9431645EC}">
                        <a14:shadowObscured xmlns:a14="http://schemas.microsoft.com/office/drawing/2010/main"/>
                      </a:ext>
                    </a:extLst>
                  </pic:spPr>
                </pic:pic>
              </a:graphicData>
            </a:graphic>
          </wp:inline>
        </w:drawing>
      </w:r>
    </w:p>
    <w:p w14:paraId="6C6FC743" w14:textId="77777777" w:rsidR="00693D9F" w:rsidRPr="00B06324" w:rsidRDefault="00693D9F" w:rsidP="00B06324">
      <w:pPr>
        <w:spacing w:before="100" w:beforeAutospacing="1" w:after="100" w:afterAutospacing="1" w:line="360" w:lineRule="auto"/>
        <w:jc w:val="center"/>
        <w:rPr>
          <w:sz w:val="22"/>
          <w:szCs w:val="18"/>
          <w:lang w:val="es-CO"/>
        </w:rPr>
      </w:pPr>
      <w:r w:rsidRPr="00B06324">
        <w:rPr>
          <w:sz w:val="22"/>
          <w:szCs w:val="18"/>
          <w:lang w:val="es-CO"/>
        </w:rPr>
        <w:t>Fuente: SUI. Elaboración: CREG</w:t>
      </w:r>
    </w:p>
    <w:p w14:paraId="7D01C74C" w14:textId="14E923ED" w:rsidR="003562EB" w:rsidRDefault="002D1D11" w:rsidP="002F1961">
      <w:pPr>
        <w:spacing w:before="100" w:beforeAutospacing="1" w:after="100" w:afterAutospacing="1" w:line="360" w:lineRule="auto"/>
        <w:rPr>
          <w:lang w:val="es-CO"/>
        </w:rPr>
      </w:pPr>
      <w:r w:rsidRPr="002D1D11">
        <w:rPr>
          <w:lang w:val="es-CO"/>
        </w:rPr>
        <w:t>La</w:t>
      </w:r>
      <w:r w:rsidRPr="002D1D11">
        <w:rPr>
          <w:lang w:val="es-CO"/>
        </w:rPr>
        <w:t xml:space="preserve"> </w:t>
      </w:r>
      <w:r w:rsidR="00D806EC" w:rsidRPr="00D806EC">
        <w:rPr>
          <w:lang w:val="es-CO"/>
        </w:rPr>
        <w:fldChar w:fldCharType="begin"/>
      </w:r>
      <w:r w:rsidR="00D806EC" w:rsidRPr="00D806EC">
        <w:rPr>
          <w:lang w:val="es-CO"/>
        </w:rPr>
        <w:instrText xml:space="preserve"> REF _Ref235083111 \h  \* MERGEFORMAT </w:instrText>
      </w:r>
      <w:r w:rsidR="00D806EC" w:rsidRPr="00D806EC">
        <w:rPr>
          <w:lang w:val="es-CO"/>
        </w:rPr>
      </w:r>
      <w:r w:rsidR="00D806EC" w:rsidRPr="00D806EC">
        <w:rPr>
          <w:lang w:val="es-CO"/>
        </w:rPr>
        <w:fldChar w:fldCharType="separate"/>
      </w:r>
      <w:r w:rsidR="00D806EC" w:rsidRPr="00D806EC">
        <w:t xml:space="preserve">Figura </w:t>
      </w:r>
      <w:r w:rsidR="00D806EC" w:rsidRPr="00D806EC">
        <w:rPr>
          <w:noProof/>
          <w:lang w:val="es-ES"/>
        </w:rPr>
        <w:t>11</w:t>
      </w:r>
      <w:r w:rsidR="00D806EC" w:rsidRPr="00D806EC">
        <w:rPr>
          <w:lang w:val="es-CO"/>
        </w:rPr>
        <w:fldChar w:fldCharType="end"/>
      </w:r>
      <w:r w:rsidRPr="002D1D11">
        <w:rPr>
          <w:lang w:val="es-CO"/>
        </w:rPr>
        <w:t xml:space="preserve"> presenta el comportamiento del número de empresas distribuidoras con mercados relevantes aprobados. Entre 2014 y 2025 el número de agentes pasó de 11 a 40 empresas, reflejando una mayor participación empresarial en la prestación del servicio. Aunque en 2026 se observa una ligera reducción, el número de empresas permanece significativamente superior al registrado al inicio del período, evidenciando el fortalecimiento del mercado</w:t>
      </w:r>
      <w:r>
        <w:rPr>
          <w:lang w:val="es-CO"/>
        </w:rPr>
        <w:t>.</w:t>
      </w:r>
    </w:p>
    <w:p w14:paraId="5B4356F2" w14:textId="2A087ABA" w:rsidR="002D1D11" w:rsidRPr="006371C2" w:rsidRDefault="00F54481" w:rsidP="002F1961">
      <w:pPr>
        <w:keepNext/>
        <w:spacing w:before="100" w:beforeAutospacing="1" w:after="100" w:afterAutospacing="1" w:line="360" w:lineRule="auto"/>
        <w:jc w:val="center"/>
        <w:rPr>
          <w:lang w:val="es-CO"/>
        </w:rPr>
      </w:pPr>
      <w:bookmarkStart w:id="59" w:name="_Ref235085515"/>
      <w:bookmarkStart w:id="60" w:name="_Toc235118552"/>
      <w:r w:rsidRPr="006371C2">
        <w:rPr>
          <w:lang w:val="es-CO"/>
        </w:rPr>
        <w:lastRenderedPageBreak/>
        <w:t xml:space="preserve">Figura </w:t>
      </w:r>
      <w:r w:rsidRPr="006371C2">
        <w:rPr>
          <w:lang w:val="es-CO"/>
        </w:rPr>
        <w:fldChar w:fldCharType="begin"/>
      </w:r>
      <w:r w:rsidRPr="006371C2">
        <w:rPr>
          <w:lang w:val="es-CO"/>
        </w:rPr>
        <w:instrText xml:space="preserve"> SEQ Figura \* ARABIC </w:instrText>
      </w:r>
      <w:r w:rsidRPr="006371C2">
        <w:rPr>
          <w:lang w:val="es-CO"/>
        </w:rPr>
        <w:fldChar w:fldCharType="separate"/>
      </w:r>
      <w:r w:rsidR="00B171DA">
        <w:rPr>
          <w:noProof/>
          <w:lang w:val="es-CO"/>
        </w:rPr>
        <w:t>12</w:t>
      </w:r>
      <w:r w:rsidRPr="006371C2">
        <w:rPr>
          <w:lang w:val="es-CO"/>
        </w:rPr>
        <w:fldChar w:fldCharType="end"/>
      </w:r>
      <w:bookmarkEnd w:id="59"/>
      <w:r w:rsidRPr="006371C2">
        <w:rPr>
          <w:lang w:val="es-CO"/>
        </w:rPr>
        <w:t xml:space="preserve">. </w:t>
      </w:r>
      <w:r w:rsidR="00E43BC8" w:rsidRPr="006371C2">
        <w:rPr>
          <w:lang w:val="es-CO"/>
        </w:rPr>
        <w:t>Evolución del número de usuarios atendidos</w:t>
      </w:r>
      <w:bookmarkEnd w:id="60"/>
    </w:p>
    <w:p w14:paraId="06FE6B70" w14:textId="15C16E70" w:rsidR="00E43BC8" w:rsidRPr="00B06324" w:rsidRDefault="0056709F" w:rsidP="006371C2">
      <w:pPr>
        <w:spacing w:before="100" w:beforeAutospacing="1" w:after="100" w:afterAutospacing="1" w:line="360" w:lineRule="auto"/>
        <w:jc w:val="center"/>
        <w:rPr>
          <w:lang w:val="es-CO"/>
        </w:rPr>
      </w:pPr>
      <w:r w:rsidRPr="00B06324">
        <w:rPr>
          <w:lang w:val="es-CO"/>
        </w:rPr>
        <w:drawing>
          <wp:inline distT="0" distB="0" distL="0" distR="0" wp14:anchorId="3C2D44F7" wp14:editId="0F31911F">
            <wp:extent cx="4872011" cy="2077720"/>
            <wp:effectExtent l="0" t="0" r="5080" b="0"/>
            <wp:docPr id="1777405350"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2">
                      <a:extLst>
                        <a:ext uri="{28A0092B-C50C-407E-A947-70E740481C1C}">
                          <a14:useLocalDpi xmlns:a14="http://schemas.microsoft.com/office/drawing/2010/main" val="0"/>
                        </a:ext>
                      </a:extLst>
                    </a:blip>
                    <a:srcRect t="5760"/>
                    <a:stretch>
                      <a:fillRect/>
                    </a:stretch>
                  </pic:blipFill>
                  <pic:spPr bwMode="auto">
                    <a:xfrm>
                      <a:off x="0" y="0"/>
                      <a:ext cx="4888525" cy="2084763"/>
                    </a:xfrm>
                    <a:prstGeom prst="rect">
                      <a:avLst/>
                    </a:prstGeom>
                    <a:noFill/>
                    <a:ln>
                      <a:noFill/>
                    </a:ln>
                    <a:extLst>
                      <a:ext uri="{53640926-AAD7-44D8-BBD7-CCE9431645EC}">
                        <a14:shadowObscured xmlns:a14="http://schemas.microsoft.com/office/drawing/2010/main"/>
                      </a:ext>
                    </a:extLst>
                  </pic:spPr>
                </pic:pic>
              </a:graphicData>
            </a:graphic>
          </wp:inline>
        </w:drawing>
      </w:r>
    </w:p>
    <w:p w14:paraId="258D9DB0" w14:textId="77777777" w:rsidR="000D0E9F" w:rsidRPr="006371C2" w:rsidRDefault="000D0E9F" w:rsidP="006371C2">
      <w:pPr>
        <w:spacing w:before="100" w:beforeAutospacing="1" w:after="100" w:afterAutospacing="1" w:line="360" w:lineRule="auto"/>
        <w:jc w:val="center"/>
        <w:rPr>
          <w:lang w:val="es-CO"/>
        </w:rPr>
      </w:pPr>
      <w:r w:rsidRPr="006371C2">
        <w:rPr>
          <w:lang w:val="es-CO"/>
        </w:rPr>
        <w:t>Fuente: SUI. Elaboración: CREG</w:t>
      </w:r>
    </w:p>
    <w:p w14:paraId="6E81C2B2" w14:textId="7A8272EB" w:rsidR="007C64A7" w:rsidRPr="007C64A7" w:rsidRDefault="007C64A7" w:rsidP="006371C2">
      <w:pPr>
        <w:spacing w:before="100" w:beforeAutospacing="1" w:after="100" w:afterAutospacing="1" w:line="360" w:lineRule="auto"/>
        <w:rPr>
          <w:lang w:val="es-CO"/>
        </w:rPr>
      </w:pPr>
      <w:r w:rsidRPr="007C64A7">
        <w:rPr>
          <w:lang w:val="es-CO"/>
        </w:rPr>
        <w:t xml:space="preserve">La </w:t>
      </w:r>
      <w:r w:rsidR="00CA511D">
        <w:rPr>
          <w:lang w:val="es-CO"/>
        </w:rPr>
        <w:fldChar w:fldCharType="begin"/>
      </w:r>
      <w:r w:rsidR="00CA511D">
        <w:rPr>
          <w:lang w:val="es-CO"/>
        </w:rPr>
        <w:instrText xml:space="preserve"> REF _Ref235085515 \h </w:instrText>
      </w:r>
      <w:r w:rsidR="00CA511D">
        <w:rPr>
          <w:lang w:val="es-CO"/>
        </w:rPr>
      </w:r>
      <w:r w:rsidR="00CA511D">
        <w:rPr>
          <w:lang w:val="es-CO"/>
        </w:rPr>
        <w:fldChar w:fldCharType="separate"/>
      </w:r>
      <w:r w:rsidR="00CA511D" w:rsidRPr="006371C2">
        <w:rPr>
          <w:lang w:val="es-CO"/>
        </w:rPr>
        <w:t xml:space="preserve">Figura </w:t>
      </w:r>
      <w:r w:rsidR="00CA511D">
        <w:rPr>
          <w:noProof/>
          <w:lang w:val="es-CO"/>
        </w:rPr>
        <w:t>12</w:t>
      </w:r>
      <w:r w:rsidR="00CA511D">
        <w:rPr>
          <w:lang w:val="es-CO"/>
        </w:rPr>
        <w:fldChar w:fldCharType="end"/>
      </w:r>
      <w:r w:rsidRPr="007C64A7">
        <w:rPr>
          <w:lang w:val="es-CO"/>
        </w:rPr>
        <w:t xml:space="preserve"> evidencia el crecimiento de la cobertura del servicio de GLP por redes de tubería. El número de usuarios pasó de aproximadamente 35 mil en 2014 a más de 330 mil en 2025, lo que representa un incremento cercano a nueve veces respecto del inicio del período analizado. Este comportamiento refleja la expansión de la infraestructura de distribución, la incorporación de nuevos municipios y el desarrollo progresivo de los mercados relevantes definidos por la regulación.</w:t>
      </w:r>
    </w:p>
    <w:p w14:paraId="11C63B96" w14:textId="290FF1D9" w:rsidR="000D0E9F" w:rsidRPr="006371C2" w:rsidRDefault="007C64A7" w:rsidP="006371C2">
      <w:pPr>
        <w:spacing w:before="100" w:beforeAutospacing="1" w:after="100" w:afterAutospacing="1" w:line="360" w:lineRule="auto"/>
        <w:rPr>
          <w:lang w:val="es-CO"/>
        </w:rPr>
      </w:pPr>
      <w:r w:rsidRPr="007C64A7">
        <w:rPr>
          <w:lang w:val="es-CO"/>
        </w:rPr>
        <w:t>En conjunto, las tres figuras muestran que la metodología de conformación de mercados relevantes contribuyó al crecimiento del sector de GLP por redes de tubería, permitiendo ampliar la cobertura del servicio mediante la incorporación de nuevos municipios, la creación de nuevos mercados y la integración de mercados existentes. El aumento simultáneo en el número de mercados, empresas y usuarios evidencia el desarrollo alcanzado durante la aplicación de la Resolución CREG 202 de 2013 y de las modificaciones introducidas posteriormente.</w:t>
      </w:r>
    </w:p>
    <w:p w14:paraId="44A19AC9" w14:textId="77777777" w:rsidR="00B94BAD" w:rsidRPr="005D1206" w:rsidRDefault="00B94BAD" w:rsidP="00C062A6">
      <w:pPr>
        <w:pStyle w:val="Prrafodelista"/>
        <w:numPr>
          <w:ilvl w:val="0"/>
          <w:numId w:val="4"/>
        </w:numPr>
        <w:spacing w:before="100" w:beforeAutospacing="1" w:after="100" w:afterAutospacing="1" w:line="360" w:lineRule="auto"/>
        <w:ind w:left="567" w:hanging="567"/>
        <w:rPr>
          <w:b/>
          <w:bCs/>
        </w:rPr>
      </w:pPr>
      <w:r w:rsidRPr="005D1206">
        <w:rPr>
          <w:b/>
          <w:bCs/>
        </w:rPr>
        <w:t>Particularidades frente a otras modalidades de prestación.</w:t>
      </w:r>
    </w:p>
    <w:p w14:paraId="4FB909EB" w14:textId="19042A20" w:rsidR="00AB115A" w:rsidRDefault="000C5472" w:rsidP="002F1961">
      <w:pPr>
        <w:spacing w:before="100" w:beforeAutospacing="1" w:after="100" w:afterAutospacing="1" w:line="360" w:lineRule="auto"/>
      </w:pPr>
      <w:r w:rsidRPr="000C5472">
        <w:t xml:space="preserve">Para establecer una nueva fórmula para la prestación del servicio de GLP distribuido por redes de tubería, es importante inicialmente ver las diferencias en la remuneración de </w:t>
      </w:r>
      <w:r w:rsidRPr="000C5472">
        <w:lastRenderedPageBreak/>
        <w:t>este servicio frente al que es prestado por cilindros o tanques estacionarios y, para ello, se ha realizado el siguiente cuadro que las resume en cada una de sus componentes</w:t>
      </w:r>
      <w:r w:rsidR="00BB52BA">
        <w:t>.</w:t>
      </w:r>
      <w:r w:rsidR="00EC04BA">
        <w:t xml:space="preserve"> </w:t>
      </w:r>
      <w:r w:rsidR="00BB52BA">
        <w:t>V</w:t>
      </w:r>
      <w:r w:rsidR="00EC04BA">
        <w:t xml:space="preserve">er </w:t>
      </w:r>
      <w:r w:rsidR="00BB52BA">
        <w:fldChar w:fldCharType="begin"/>
      </w:r>
      <w:r w:rsidR="00BB52BA">
        <w:instrText xml:space="preserve"> REF _Ref235022727 \h  \* MERGEFORMAT </w:instrText>
      </w:r>
      <w:r w:rsidR="00BB52BA">
        <w:fldChar w:fldCharType="separate"/>
      </w:r>
      <w:r w:rsidR="00BB52BA" w:rsidRPr="00BF2400">
        <w:rPr>
          <w:rFonts w:cs="Arial"/>
          <w:szCs w:val="24"/>
        </w:rPr>
        <w:t xml:space="preserve">Tabla </w:t>
      </w:r>
      <w:r w:rsidR="00BB52BA" w:rsidRPr="00BB52BA">
        <w:rPr>
          <w:rFonts w:cs="Arial"/>
          <w:bCs/>
          <w:noProof/>
          <w:szCs w:val="24"/>
        </w:rPr>
        <w:t>1</w:t>
      </w:r>
      <w:r w:rsidR="00BB52BA">
        <w:fldChar w:fldCharType="end"/>
      </w:r>
      <w:r w:rsidRPr="000C5472">
        <w:t>:</w:t>
      </w:r>
    </w:p>
    <w:p w14:paraId="34C3211B" w14:textId="59B0991A" w:rsidR="00CD5A6A" w:rsidRPr="00BF2400" w:rsidRDefault="00CD5A6A" w:rsidP="002F1961">
      <w:pPr>
        <w:pStyle w:val="Descripcin"/>
        <w:keepNext/>
        <w:spacing w:before="100" w:beforeAutospacing="1" w:after="100" w:afterAutospacing="1" w:line="360" w:lineRule="auto"/>
        <w:jc w:val="center"/>
        <w:rPr>
          <w:rFonts w:cs="Arial"/>
          <w:b w:val="0"/>
          <w:szCs w:val="24"/>
        </w:rPr>
      </w:pPr>
      <w:bookmarkStart w:id="61" w:name="_Ref235022727"/>
      <w:bookmarkStart w:id="62" w:name="_Toc235128398"/>
      <w:r w:rsidRPr="00BF2400">
        <w:rPr>
          <w:rFonts w:cs="Arial"/>
          <w:b w:val="0"/>
          <w:szCs w:val="24"/>
        </w:rPr>
        <w:t xml:space="preserve">Tabla </w:t>
      </w:r>
      <w:r w:rsidRPr="00BF2400">
        <w:rPr>
          <w:rFonts w:cs="Arial"/>
          <w:b w:val="0"/>
          <w:szCs w:val="24"/>
        </w:rPr>
        <w:fldChar w:fldCharType="begin"/>
      </w:r>
      <w:r w:rsidRPr="00BF2400">
        <w:rPr>
          <w:rFonts w:cs="Arial"/>
          <w:b w:val="0"/>
          <w:szCs w:val="24"/>
        </w:rPr>
        <w:instrText xml:space="preserve"> SEQ Tabla \* ARABIC </w:instrText>
      </w:r>
      <w:r w:rsidRPr="00BF2400">
        <w:rPr>
          <w:rFonts w:cs="Arial"/>
          <w:b w:val="0"/>
          <w:szCs w:val="24"/>
        </w:rPr>
        <w:fldChar w:fldCharType="separate"/>
      </w:r>
      <w:r w:rsidR="00C062A6">
        <w:rPr>
          <w:rFonts w:cs="Arial"/>
          <w:b w:val="0"/>
          <w:noProof/>
          <w:szCs w:val="24"/>
        </w:rPr>
        <w:t>1</w:t>
      </w:r>
      <w:r w:rsidRPr="00BF2400">
        <w:rPr>
          <w:rFonts w:cs="Arial"/>
          <w:b w:val="0"/>
          <w:szCs w:val="24"/>
        </w:rPr>
        <w:fldChar w:fldCharType="end"/>
      </w:r>
      <w:bookmarkEnd w:id="61"/>
      <w:r w:rsidRPr="00BF2400">
        <w:rPr>
          <w:rFonts w:cs="Arial"/>
          <w:b w:val="0"/>
          <w:szCs w:val="24"/>
        </w:rPr>
        <w:t>. Comparación remuneración en cilindros vs redes</w:t>
      </w:r>
      <w:bookmarkEnd w:id="62"/>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833"/>
        <w:gridCol w:w="3118"/>
        <w:gridCol w:w="4395"/>
      </w:tblGrid>
      <w:tr w:rsidR="000E5AE7" w:rsidRPr="00F5257F" w14:paraId="75B5FA1D" w14:textId="77777777" w:rsidTr="002873D2">
        <w:trPr>
          <w:trHeight w:val="562"/>
          <w:tblHeader/>
        </w:trPr>
        <w:tc>
          <w:tcPr>
            <w:tcW w:w="1833" w:type="dxa"/>
            <w:shd w:val="clear" w:color="auto" w:fill="D9D9D9" w:themeFill="background1" w:themeFillShade="D9"/>
            <w:tcMar>
              <w:top w:w="72" w:type="dxa"/>
              <w:left w:w="144" w:type="dxa"/>
              <w:bottom w:w="72" w:type="dxa"/>
              <w:right w:w="144" w:type="dxa"/>
            </w:tcMar>
            <w:hideMark/>
          </w:tcPr>
          <w:p w14:paraId="7CF1AA94" w14:textId="2515E010" w:rsidR="000E5AE7" w:rsidRPr="00F5257F" w:rsidRDefault="00F5257F" w:rsidP="00F5257F">
            <w:pPr>
              <w:spacing w:before="100" w:beforeAutospacing="1" w:after="100" w:afterAutospacing="1" w:line="360" w:lineRule="auto"/>
              <w:jc w:val="center"/>
              <w:rPr>
                <w:rFonts w:cs="Arial"/>
                <w:b/>
                <w:sz w:val="20"/>
                <w:lang w:val="es-CO" w:eastAsia="es-CO"/>
              </w:rPr>
            </w:pPr>
            <w:r w:rsidRPr="00F5257F">
              <w:rPr>
                <w:rFonts w:cs="Arial"/>
                <w:b/>
                <w:bCs/>
                <w:sz w:val="20"/>
                <w:lang w:val="es-CO" w:eastAsia="es-CO"/>
              </w:rPr>
              <w:t>A</w:t>
            </w:r>
            <w:r w:rsidR="002873D2">
              <w:rPr>
                <w:rFonts w:cs="Arial"/>
                <w:b/>
                <w:bCs/>
                <w:sz w:val="20"/>
                <w:lang w:val="es-CO" w:eastAsia="es-CO"/>
              </w:rPr>
              <w:t>ctividad</w:t>
            </w:r>
          </w:p>
        </w:tc>
        <w:tc>
          <w:tcPr>
            <w:tcW w:w="3118" w:type="dxa"/>
            <w:shd w:val="clear" w:color="auto" w:fill="D9D9D9" w:themeFill="background1" w:themeFillShade="D9"/>
            <w:tcMar>
              <w:top w:w="72" w:type="dxa"/>
              <w:left w:w="144" w:type="dxa"/>
              <w:bottom w:w="72" w:type="dxa"/>
              <w:right w:w="144" w:type="dxa"/>
            </w:tcMar>
            <w:hideMark/>
          </w:tcPr>
          <w:p w14:paraId="5E29EAB9" w14:textId="0565E21F" w:rsidR="000E5AE7" w:rsidRPr="00F5257F" w:rsidRDefault="0002193A" w:rsidP="002F1961">
            <w:pPr>
              <w:spacing w:before="100" w:beforeAutospacing="1" w:after="100" w:afterAutospacing="1" w:line="360" w:lineRule="auto"/>
              <w:jc w:val="center"/>
              <w:rPr>
                <w:rFonts w:cs="Arial"/>
                <w:b/>
                <w:sz w:val="20"/>
                <w:lang w:val="es-CO" w:eastAsia="es-CO"/>
              </w:rPr>
            </w:pPr>
            <w:r>
              <w:rPr>
                <w:rFonts w:cs="Arial"/>
                <w:b/>
                <w:bCs/>
                <w:color w:val="000000" w:themeColor="text1"/>
                <w:kern w:val="24"/>
                <w:sz w:val="20"/>
                <w:lang w:val="es-CO" w:eastAsia="es-CO"/>
              </w:rPr>
              <w:t>Prestación en Cilindros</w:t>
            </w:r>
          </w:p>
        </w:tc>
        <w:tc>
          <w:tcPr>
            <w:tcW w:w="4395" w:type="dxa"/>
            <w:shd w:val="clear" w:color="auto" w:fill="D9D9D9" w:themeFill="background1" w:themeFillShade="D9"/>
            <w:tcMar>
              <w:top w:w="72" w:type="dxa"/>
              <w:left w:w="144" w:type="dxa"/>
              <w:bottom w:w="72" w:type="dxa"/>
              <w:right w:w="144" w:type="dxa"/>
            </w:tcMar>
            <w:hideMark/>
          </w:tcPr>
          <w:p w14:paraId="091E97E6" w14:textId="741D443D" w:rsidR="000E5AE7" w:rsidRPr="00F5257F" w:rsidRDefault="0002193A" w:rsidP="002F1961">
            <w:pPr>
              <w:spacing w:before="100" w:beforeAutospacing="1" w:after="100" w:afterAutospacing="1" w:line="360" w:lineRule="auto"/>
              <w:jc w:val="center"/>
              <w:rPr>
                <w:rFonts w:cs="Arial"/>
                <w:b/>
                <w:sz w:val="20"/>
                <w:lang w:val="es-CO" w:eastAsia="es-CO"/>
              </w:rPr>
            </w:pPr>
            <w:r>
              <w:rPr>
                <w:rFonts w:cs="Arial"/>
                <w:b/>
                <w:bCs/>
                <w:color w:val="000000" w:themeColor="text1"/>
                <w:kern w:val="24"/>
                <w:sz w:val="20"/>
                <w:lang w:val="es-CO" w:eastAsia="es-CO"/>
              </w:rPr>
              <w:t>Prestación a través de redes de tubería</w:t>
            </w:r>
          </w:p>
        </w:tc>
      </w:tr>
      <w:tr w:rsidR="000E5AE7" w:rsidRPr="008413CC" w14:paraId="4BBD1973" w14:textId="77777777" w:rsidTr="002873D2">
        <w:trPr>
          <w:trHeight w:val="351"/>
        </w:trPr>
        <w:tc>
          <w:tcPr>
            <w:tcW w:w="1833" w:type="dxa"/>
            <w:tcMar>
              <w:top w:w="72" w:type="dxa"/>
              <w:left w:w="144" w:type="dxa"/>
              <w:bottom w:w="72" w:type="dxa"/>
              <w:right w:w="144" w:type="dxa"/>
            </w:tcMar>
            <w:hideMark/>
          </w:tcPr>
          <w:p w14:paraId="61492724" w14:textId="77777777" w:rsidR="000E5AE7" w:rsidRPr="008413CC" w:rsidRDefault="000E5AE7" w:rsidP="002F1961">
            <w:pPr>
              <w:spacing w:before="100" w:beforeAutospacing="1" w:after="100" w:afterAutospacing="1" w:line="360" w:lineRule="auto"/>
              <w:jc w:val="center"/>
              <w:rPr>
                <w:rFonts w:cs="Arial"/>
                <w:sz w:val="20"/>
                <w:lang w:val="es-CO" w:eastAsia="es-CO"/>
              </w:rPr>
            </w:pPr>
            <w:r w:rsidRPr="008413CC">
              <w:rPr>
                <w:rFonts w:cs="Arial"/>
                <w:b/>
                <w:bCs/>
                <w:kern w:val="24"/>
                <w:sz w:val="20"/>
                <w:lang w:val="es-CO" w:eastAsia="es-CO"/>
              </w:rPr>
              <w:t>G</w:t>
            </w:r>
          </w:p>
        </w:tc>
        <w:tc>
          <w:tcPr>
            <w:tcW w:w="3118" w:type="dxa"/>
            <w:tcMar>
              <w:top w:w="72" w:type="dxa"/>
              <w:left w:w="144" w:type="dxa"/>
              <w:bottom w:w="72" w:type="dxa"/>
              <w:right w:w="144" w:type="dxa"/>
            </w:tcMar>
            <w:hideMark/>
          </w:tcPr>
          <w:p w14:paraId="4E6F6C9D" w14:textId="77777777" w:rsidR="000E5AE7" w:rsidRPr="008413CC" w:rsidRDefault="000E5AE7">
            <w:pPr>
              <w:numPr>
                <w:ilvl w:val="0"/>
                <w:numId w:val="21"/>
              </w:numPr>
              <w:spacing w:before="100" w:beforeAutospacing="1" w:after="100" w:afterAutospacing="1" w:line="360" w:lineRule="auto"/>
              <w:ind w:left="568" w:hanging="283"/>
              <w:jc w:val="left"/>
              <w:rPr>
                <w:rFonts w:cs="Arial"/>
                <w:sz w:val="20"/>
                <w:lang w:val="es-CO" w:eastAsia="es-CO"/>
              </w:rPr>
            </w:pPr>
            <w:r w:rsidRPr="008413CC">
              <w:rPr>
                <w:rFonts w:cs="Arial"/>
                <w:kern w:val="24"/>
                <w:sz w:val="20"/>
                <w:lang w:val="es-CO" w:eastAsia="es-CO"/>
              </w:rPr>
              <w:t>Precio del producto según fuente.</w:t>
            </w:r>
          </w:p>
        </w:tc>
        <w:tc>
          <w:tcPr>
            <w:tcW w:w="4395" w:type="dxa"/>
            <w:tcMar>
              <w:top w:w="72" w:type="dxa"/>
              <w:left w:w="144" w:type="dxa"/>
              <w:bottom w:w="72" w:type="dxa"/>
              <w:right w:w="144" w:type="dxa"/>
            </w:tcMar>
            <w:hideMark/>
          </w:tcPr>
          <w:p w14:paraId="23A6A964" w14:textId="77777777" w:rsidR="000E5AE7" w:rsidRPr="008413CC" w:rsidRDefault="000E5AE7">
            <w:pPr>
              <w:numPr>
                <w:ilvl w:val="0"/>
                <w:numId w:val="21"/>
              </w:numPr>
              <w:tabs>
                <w:tab w:val="clear" w:pos="720"/>
              </w:tabs>
              <w:spacing w:before="100" w:beforeAutospacing="1" w:after="100" w:afterAutospacing="1" w:line="360" w:lineRule="auto"/>
              <w:ind w:left="423" w:hanging="285"/>
              <w:jc w:val="left"/>
              <w:rPr>
                <w:rFonts w:cs="Arial"/>
                <w:sz w:val="20"/>
                <w:lang w:val="es-CO" w:eastAsia="es-CO"/>
              </w:rPr>
            </w:pPr>
            <w:r w:rsidRPr="008413CC">
              <w:rPr>
                <w:rFonts w:cs="Arial"/>
                <w:kern w:val="24"/>
                <w:sz w:val="20"/>
                <w:lang w:val="es-CO" w:eastAsia="es-CO"/>
              </w:rPr>
              <w:t>Precio del producto según fuente.</w:t>
            </w:r>
          </w:p>
        </w:tc>
      </w:tr>
      <w:tr w:rsidR="000E5AE7" w:rsidRPr="008413CC" w14:paraId="74C555C1" w14:textId="77777777" w:rsidTr="002873D2">
        <w:trPr>
          <w:trHeight w:val="1088"/>
        </w:trPr>
        <w:tc>
          <w:tcPr>
            <w:tcW w:w="1833" w:type="dxa"/>
            <w:tcMar>
              <w:top w:w="72" w:type="dxa"/>
              <w:left w:w="144" w:type="dxa"/>
              <w:bottom w:w="72" w:type="dxa"/>
              <w:right w:w="144" w:type="dxa"/>
            </w:tcMar>
            <w:hideMark/>
          </w:tcPr>
          <w:p w14:paraId="30862C7E" w14:textId="77777777" w:rsidR="000E5AE7" w:rsidRPr="008413CC" w:rsidRDefault="000E5AE7" w:rsidP="002F1961">
            <w:pPr>
              <w:spacing w:before="100" w:beforeAutospacing="1" w:after="100" w:afterAutospacing="1" w:line="360" w:lineRule="auto"/>
              <w:jc w:val="center"/>
              <w:rPr>
                <w:rFonts w:cs="Arial"/>
                <w:sz w:val="20"/>
                <w:lang w:val="es-CO" w:eastAsia="es-CO"/>
              </w:rPr>
            </w:pPr>
            <w:r w:rsidRPr="008413CC">
              <w:rPr>
                <w:rFonts w:cs="Arial"/>
                <w:b/>
                <w:bCs/>
                <w:kern w:val="24"/>
                <w:sz w:val="20"/>
                <w:lang w:val="es-CO" w:eastAsia="es-CO"/>
              </w:rPr>
              <w:t>T</w:t>
            </w:r>
          </w:p>
        </w:tc>
        <w:tc>
          <w:tcPr>
            <w:tcW w:w="3118" w:type="dxa"/>
            <w:tcMar>
              <w:top w:w="72" w:type="dxa"/>
              <w:left w:w="144" w:type="dxa"/>
              <w:bottom w:w="72" w:type="dxa"/>
              <w:right w:w="144" w:type="dxa"/>
            </w:tcMar>
            <w:hideMark/>
          </w:tcPr>
          <w:p w14:paraId="26659DD7" w14:textId="77777777" w:rsidR="000E5AE7" w:rsidRPr="008413CC" w:rsidRDefault="000E5AE7">
            <w:pPr>
              <w:numPr>
                <w:ilvl w:val="0"/>
                <w:numId w:val="22"/>
              </w:numPr>
              <w:spacing w:before="100" w:beforeAutospacing="1" w:after="100" w:afterAutospacing="1" w:line="360" w:lineRule="auto"/>
              <w:ind w:left="568" w:hanging="283"/>
              <w:jc w:val="left"/>
              <w:rPr>
                <w:rFonts w:cs="Arial"/>
                <w:sz w:val="20"/>
                <w:lang w:val="es-CO" w:eastAsia="es-CO"/>
              </w:rPr>
            </w:pPr>
            <w:r w:rsidRPr="008413CC">
              <w:rPr>
                <w:rFonts w:cs="Arial"/>
                <w:kern w:val="24"/>
                <w:sz w:val="20"/>
                <w:lang w:val="es-CO" w:eastAsia="es-CO"/>
              </w:rPr>
              <w:t>Cargos regulados de ductos.</w:t>
            </w:r>
          </w:p>
        </w:tc>
        <w:tc>
          <w:tcPr>
            <w:tcW w:w="4395" w:type="dxa"/>
            <w:tcMar>
              <w:top w:w="72" w:type="dxa"/>
              <w:left w:w="144" w:type="dxa"/>
              <w:bottom w:w="72" w:type="dxa"/>
              <w:right w:w="144" w:type="dxa"/>
            </w:tcMar>
            <w:hideMark/>
          </w:tcPr>
          <w:p w14:paraId="23650032" w14:textId="77777777" w:rsidR="000E5AE7" w:rsidRPr="008413CC" w:rsidRDefault="000E5AE7">
            <w:pPr>
              <w:numPr>
                <w:ilvl w:val="0"/>
                <w:numId w:val="22"/>
              </w:numPr>
              <w:tabs>
                <w:tab w:val="clear" w:pos="720"/>
              </w:tabs>
              <w:spacing w:before="100" w:beforeAutospacing="1" w:after="100" w:afterAutospacing="1" w:line="360" w:lineRule="auto"/>
              <w:ind w:left="423" w:hanging="285"/>
              <w:jc w:val="left"/>
              <w:rPr>
                <w:rFonts w:cs="Arial"/>
                <w:sz w:val="20"/>
                <w:lang w:val="es-CO" w:eastAsia="es-CO"/>
              </w:rPr>
            </w:pPr>
            <w:r w:rsidRPr="008413CC">
              <w:rPr>
                <w:rFonts w:cs="Arial"/>
                <w:kern w:val="24"/>
                <w:sz w:val="20"/>
                <w:lang w:val="es-CO" w:eastAsia="es-CO"/>
              </w:rPr>
              <w:t xml:space="preserve">Cargo regulado de ductos + Transporte terrestre o </w:t>
            </w:r>
            <w:r w:rsidRPr="008413CC">
              <w:rPr>
                <w:rFonts w:cs="Arial"/>
                <w:b/>
                <w:kern w:val="24"/>
                <w:sz w:val="20"/>
                <w:u w:val="single"/>
                <w:lang w:val="es-CO" w:eastAsia="es-CO"/>
              </w:rPr>
              <w:t xml:space="preserve">fletes </w:t>
            </w:r>
            <w:r w:rsidRPr="008413CC">
              <w:rPr>
                <w:rFonts w:cs="Arial"/>
                <w:kern w:val="24"/>
                <w:sz w:val="20"/>
                <w:lang w:val="es-CO" w:eastAsia="es-CO"/>
              </w:rPr>
              <w:t xml:space="preserve">desde la fuente o planta de almacenamiento al tanque del mercado relevante de comercialización. </w:t>
            </w:r>
          </w:p>
        </w:tc>
      </w:tr>
      <w:tr w:rsidR="000E5AE7" w:rsidRPr="008413CC" w14:paraId="4D71C5CD" w14:textId="77777777" w:rsidTr="002873D2">
        <w:trPr>
          <w:trHeight w:val="1160"/>
        </w:trPr>
        <w:tc>
          <w:tcPr>
            <w:tcW w:w="1833" w:type="dxa"/>
            <w:tcMar>
              <w:top w:w="72" w:type="dxa"/>
              <w:left w:w="144" w:type="dxa"/>
              <w:bottom w:w="72" w:type="dxa"/>
              <w:right w:w="144" w:type="dxa"/>
            </w:tcMar>
            <w:hideMark/>
          </w:tcPr>
          <w:p w14:paraId="5177B3EA" w14:textId="77777777" w:rsidR="000E5AE7" w:rsidRPr="008413CC" w:rsidRDefault="000E5AE7" w:rsidP="002F1961">
            <w:pPr>
              <w:spacing w:before="100" w:beforeAutospacing="1" w:after="100" w:afterAutospacing="1" w:line="360" w:lineRule="auto"/>
              <w:jc w:val="center"/>
              <w:rPr>
                <w:rFonts w:cs="Arial"/>
                <w:sz w:val="20"/>
                <w:lang w:val="es-CO" w:eastAsia="es-CO"/>
              </w:rPr>
            </w:pPr>
            <w:r w:rsidRPr="008413CC">
              <w:rPr>
                <w:rFonts w:cs="Arial"/>
                <w:b/>
                <w:bCs/>
                <w:kern w:val="24"/>
                <w:sz w:val="20"/>
                <w:lang w:val="es-CO" w:eastAsia="es-CO"/>
              </w:rPr>
              <w:t>D</w:t>
            </w:r>
          </w:p>
        </w:tc>
        <w:tc>
          <w:tcPr>
            <w:tcW w:w="3118" w:type="dxa"/>
            <w:tcMar>
              <w:top w:w="72" w:type="dxa"/>
              <w:left w:w="144" w:type="dxa"/>
              <w:bottom w:w="72" w:type="dxa"/>
              <w:right w:w="144" w:type="dxa"/>
            </w:tcMar>
            <w:hideMark/>
          </w:tcPr>
          <w:p w14:paraId="783DF9F0" w14:textId="77777777" w:rsidR="000E5AE7" w:rsidRPr="008413CC" w:rsidRDefault="000E5AE7">
            <w:pPr>
              <w:numPr>
                <w:ilvl w:val="0"/>
                <w:numId w:val="23"/>
              </w:numPr>
              <w:spacing w:before="100" w:beforeAutospacing="1" w:after="100" w:afterAutospacing="1" w:line="360" w:lineRule="auto"/>
              <w:ind w:left="568" w:hanging="283"/>
              <w:jc w:val="left"/>
              <w:rPr>
                <w:rFonts w:cs="Arial"/>
                <w:sz w:val="20"/>
                <w:lang w:val="es-CO" w:eastAsia="es-CO"/>
              </w:rPr>
            </w:pPr>
            <w:r w:rsidRPr="008413CC">
              <w:rPr>
                <w:rFonts w:cs="Arial"/>
                <w:kern w:val="24"/>
                <w:sz w:val="20"/>
                <w:lang w:val="es-CO" w:eastAsia="es-CO"/>
              </w:rPr>
              <w:t>Compra del GLP en el mercado mayorista.</w:t>
            </w:r>
          </w:p>
          <w:p w14:paraId="7CAA5589" w14:textId="77777777" w:rsidR="000E5AE7" w:rsidRPr="008413CC" w:rsidRDefault="000E5AE7">
            <w:pPr>
              <w:numPr>
                <w:ilvl w:val="0"/>
                <w:numId w:val="23"/>
              </w:numPr>
              <w:spacing w:before="100" w:beforeAutospacing="1" w:after="100" w:afterAutospacing="1" w:line="360" w:lineRule="auto"/>
              <w:ind w:left="568" w:hanging="283"/>
              <w:jc w:val="left"/>
              <w:rPr>
                <w:rFonts w:cs="Arial"/>
                <w:sz w:val="20"/>
                <w:lang w:val="es-CO" w:eastAsia="es-CO"/>
              </w:rPr>
            </w:pPr>
            <w:r w:rsidRPr="008413CC">
              <w:rPr>
                <w:rFonts w:cs="Arial"/>
                <w:kern w:val="24"/>
                <w:sz w:val="20"/>
                <w:u w:val="single"/>
                <w:lang w:val="es-CO" w:eastAsia="es-CO"/>
              </w:rPr>
              <w:t>Flete</w:t>
            </w:r>
            <w:r w:rsidRPr="008413CC">
              <w:rPr>
                <w:rFonts w:cs="Arial"/>
                <w:kern w:val="24"/>
                <w:sz w:val="20"/>
                <w:lang w:val="es-CO" w:eastAsia="es-CO"/>
              </w:rPr>
              <w:t xml:space="preserve"> desde puntos de entrega del producto hasta plantas de envasado.</w:t>
            </w:r>
          </w:p>
          <w:p w14:paraId="2DA05198" w14:textId="77777777" w:rsidR="000E5AE7" w:rsidRPr="008413CC" w:rsidRDefault="000E5AE7">
            <w:pPr>
              <w:numPr>
                <w:ilvl w:val="0"/>
                <w:numId w:val="23"/>
              </w:numPr>
              <w:spacing w:before="100" w:beforeAutospacing="1" w:after="100" w:afterAutospacing="1" w:line="360" w:lineRule="auto"/>
              <w:ind w:left="568" w:hanging="283"/>
              <w:jc w:val="left"/>
              <w:rPr>
                <w:rFonts w:cs="Arial"/>
                <w:sz w:val="20"/>
                <w:lang w:val="es-CO" w:eastAsia="es-CO"/>
              </w:rPr>
            </w:pPr>
            <w:r w:rsidRPr="008413CC">
              <w:rPr>
                <w:rFonts w:cs="Arial"/>
                <w:kern w:val="24"/>
                <w:sz w:val="20"/>
                <w:lang w:val="es-CO" w:eastAsia="es-CO"/>
              </w:rPr>
              <w:t xml:space="preserve">Envasado de cilindros marcados. </w:t>
            </w:r>
          </w:p>
          <w:p w14:paraId="7A67128D" w14:textId="77777777" w:rsidR="000E5AE7" w:rsidRPr="008413CC" w:rsidRDefault="000E5AE7">
            <w:pPr>
              <w:numPr>
                <w:ilvl w:val="0"/>
                <w:numId w:val="23"/>
              </w:numPr>
              <w:spacing w:before="100" w:beforeAutospacing="1" w:after="100" w:afterAutospacing="1" w:line="360" w:lineRule="auto"/>
              <w:ind w:left="568" w:hanging="283"/>
              <w:jc w:val="left"/>
              <w:rPr>
                <w:rFonts w:cs="Arial"/>
                <w:sz w:val="20"/>
                <w:lang w:val="es-CO" w:eastAsia="es-CO"/>
              </w:rPr>
            </w:pPr>
            <w:r w:rsidRPr="008413CC">
              <w:rPr>
                <w:rFonts w:cs="Arial"/>
                <w:kern w:val="24"/>
                <w:sz w:val="20"/>
                <w:lang w:val="es-CO" w:eastAsia="es-CO"/>
              </w:rPr>
              <w:t>Operación de la planta de envasado.</w:t>
            </w:r>
          </w:p>
          <w:p w14:paraId="5F3F9F5C" w14:textId="77777777" w:rsidR="000E5AE7" w:rsidRPr="008413CC" w:rsidRDefault="000E5AE7">
            <w:pPr>
              <w:numPr>
                <w:ilvl w:val="0"/>
                <w:numId w:val="23"/>
              </w:numPr>
              <w:spacing w:before="100" w:beforeAutospacing="1" w:after="100" w:afterAutospacing="1" w:line="360" w:lineRule="auto"/>
              <w:ind w:left="568" w:hanging="283"/>
              <w:jc w:val="left"/>
              <w:rPr>
                <w:rFonts w:cs="Arial"/>
                <w:sz w:val="20"/>
                <w:lang w:val="es-CO" w:eastAsia="es-CO"/>
              </w:rPr>
            </w:pPr>
            <w:r w:rsidRPr="008413CC">
              <w:rPr>
                <w:rFonts w:cs="Arial"/>
                <w:kern w:val="24"/>
                <w:sz w:val="20"/>
                <w:u w:val="single"/>
                <w:lang w:val="es-CO" w:eastAsia="es-CO"/>
              </w:rPr>
              <w:t>Flete</w:t>
            </w:r>
            <w:r w:rsidRPr="008413CC">
              <w:rPr>
                <w:rFonts w:cs="Arial"/>
                <w:kern w:val="24"/>
                <w:sz w:val="20"/>
                <w:lang w:val="es-CO" w:eastAsia="es-CO"/>
              </w:rPr>
              <w:t xml:space="preserve"> y entrega de producto a granel o a través de tanques estacionarios instalados en el domicilio de los usuarios y de venta de cilindros en Puntos de Venta.</w:t>
            </w:r>
          </w:p>
        </w:tc>
        <w:tc>
          <w:tcPr>
            <w:tcW w:w="4395" w:type="dxa"/>
            <w:tcMar>
              <w:top w:w="72" w:type="dxa"/>
              <w:left w:w="144" w:type="dxa"/>
              <w:bottom w:w="72" w:type="dxa"/>
              <w:right w:w="144" w:type="dxa"/>
            </w:tcMar>
            <w:hideMark/>
          </w:tcPr>
          <w:p w14:paraId="26D17B3E" w14:textId="77777777" w:rsidR="000E5AE7" w:rsidRPr="008413CC" w:rsidRDefault="000E5AE7">
            <w:pPr>
              <w:numPr>
                <w:ilvl w:val="0"/>
                <w:numId w:val="23"/>
              </w:numPr>
              <w:tabs>
                <w:tab w:val="clear" w:pos="720"/>
              </w:tabs>
              <w:spacing w:before="100" w:beforeAutospacing="1" w:after="100" w:afterAutospacing="1" w:line="360" w:lineRule="auto"/>
              <w:ind w:left="423" w:hanging="285"/>
              <w:jc w:val="left"/>
              <w:rPr>
                <w:rFonts w:cs="Arial"/>
                <w:sz w:val="20"/>
                <w:lang w:val="es-CO" w:eastAsia="es-CO"/>
              </w:rPr>
            </w:pPr>
            <w:r w:rsidRPr="008413CC">
              <w:rPr>
                <w:rFonts w:cs="Arial"/>
                <w:kern w:val="24"/>
                <w:sz w:val="20"/>
                <w:lang w:val="es-CO" w:eastAsia="es-CO"/>
              </w:rPr>
              <w:t>Cargos regulados que remuneran la inversión en redes de distribución que llegan hasta el domicilio del usuario desde el tanque de almacenamiento donde se inyecta el GLP al mercado relevante.</w:t>
            </w:r>
          </w:p>
        </w:tc>
      </w:tr>
      <w:tr w:rsidR="000E5AE7" w:rsidRPr="008413CC" w14:paraId="4D15109B" w14:textId="77777777" w:rsidTr="002873D2">
        <w:trPr>
          <w:trHeight w:val="1960"/>
        </w:trPr>
        <w:tc>
          <w:tcPr>
            <w:tcW w:w="1833" w:type="dxa"/>
            <w:tcMar>
              <w:top w:w="72" w:type="dxa"/>
              <w:left w:w="144" w:type="dxa"/>
              <w:bottom w:w="72" w:type="dxa"/>
              <w:right w:w="144" w:type="dxa"/>
            </w:tcMar>
            <w:hideMark/>
          </w:tcPr>
          <w:p w14:paraId="20BE1FDE" w14:textId="77777777" w:rsidR="000E5AE7" w:rsidRPr="008413CC" w:rsidRDefault="000E5AE7" w:rsidP="002F1961">
            <w:pPr>
              <w:spacing w:before="100" w:beforeAutospacing="1" w:after="100" w:afterAutospacing="1" w:line="360" w:lineRule="auto"/>
              <w:jc w:val="center"/>
              <w:rPr>
                <w:rFonts w:cs="Arial"/>
                <w:sz w:val="20"/>
                <w:lang w:val="es-CO" w:eastAsia="es-CO"/>
              </w:rPr>
            </w:pPr>
            <w:r w:rsidRPr="008413CC">
              <w:rPr>
                <w:rFonts w:cs="Arial"/>
                <w:b/>
                <w:bCs/>
                <w:kern w:val="24"/>
                <w:sz w:val="20"/>
                <w:lang w:val="es-CO" w:eastAsia="es-CO"/>
              </w:rPr>
              <w:lastRenderedPageBreak/>
              <w:t>C</w:t>
            </w:r>
          </w:p>
        </w:tc>
        <w:tc>
          <w:tcPr>
            <w:tcW w:w="3118" w:type="dxa"/>
            <w:tcMar>
              <w:top w:w="72" w:type="dxa"/>
              <w:left w:w="144" w:type="dxa"/>
              <w:bottom w:w="72" w:type="dxa"/>
              <w:right w:w="144" w:type="dxa"/>
            </w:tcMar>
            <w:hideMark/>
          </w:tcPr>
          <w:p w14:paraId="38D94BAF" w14:textId="77777777" w:rsidR="000E5AE7" w:rsidRPr="008413CC" w:rsidRDefault="000E5AE7">
            <w:pPr>
              <w:numPr>
                <w:ilvl w:val="0"/>
                <w:numId w:val="24"/>
              </w:numPr>
              <w:spacing w:before="100" w:beforeAutospacing="1" w:after="100" w:afterAutospacing="1" w:line="360" w:lineRule="auto"/>
              <w:ind w:left="568" w:hanging="283"/>
              <w:jc w:val="left"/>
              <w:rPr>
                <w:rFonts w:cs="Arial"/>
                <w:sz w:val="20"/>
                <w:lang w:val="es-CO" w:eastAsia="es-CO"/>
              </w:rPr>
            </w:pPr>
            <w:r w:rsidRPr="008413CC">
              <w:rPr>
                <w:rFonts w:cs="Arial"/>
                <w:kern w:val="24"/>
                <w:sz w:val="20"/>
                <w:lang w:val="es-CO" w:eastAsia="es-CO"/>
              </w:rPr>
              <w:t xml:space="preserve">Entrega de GLP en cilindros en el domicilio del usuario final o en expendios. </w:t>
            </w:r>
          </w:p>
          <w:p w14:paraId="03394FB8" w14:textId="77777777" w:rsidR="000E5AE7" w:rsidRPr="008413CC" w:rsidRDefault="000E5AE7">
            <w:pPr>
              <w:numPr>
                <w:ilvl w:val="0"/>
                <w:numId w:val="24"/>
              </w:numPr>
              <w:spacing w:before="100" w:beforeAutospacing="1" w:after="100" w:afterAutospacing="1" w:line="360" w:lineRule="auto"/>
              <w:ind w:left="568" w:hanging="283"/>
              <w:jc w:val="left"/>
              <w:rPr>
                <w:rFonts w:cs="Arial"/>
                <w:sz w:val="20"/>
                <w:lang w:val="es-CO" w:eastAsia="es-CO"/>
              </w:rPr>
            </w:pPr>
            <w:r w:rsidRPr="008413CC">
              <w:rPr>
                <w:rFonts w:cs="Arial"/>
                <w:kern w:val="24"/>
                <w:sz w:val="20"/>
                <w:lang w:val="es-CO" w:eastAsia="es-CO"/>
              </w:rPr>
              <w:t>Compra del producto envasado mediante contrato exclusivo con un distribuidor.</w:t>
            </w:r>
          </w:p>
          <w:p w14:paraId="48B402D6" w14:textId="77777777" w:rsidR="000E5AE7" w:rsidRPr="008413CC" w:rsidRDefault="000E5AE7">
            <w:pPr>
              <w:numPr>
                <w:ilvl w:val="0"/>
                <w:numId w:val="24"/>
              </w:numPr>
              <w:spacing w:before="100" w:beforeAutospacing="1" w:after="100" w:afterAutospacing="1" w:line="360" w:lineRule="auto"/>
              <w:ind w:left="568" w:hanging="283"/>
              <w:jc w:val="left"/>
              <w:rPr>
                <w:rFonts w:cs="Arial"/>
                <w:sz w:val="20"/>
                <w:lang w:val="es-CO" w:eastAsia="es-CO"/>
              </w:rPr>
            </w:pPr>
            <w:r w:rsidRPr="008413CC">
              <w:rPr>
                <w:rFonts w:cs="Arial"/>
                <w:kern w:val="24"/>
                <w:sz w:val="20"/>
                <w:u w:val="single"/>
                <w:lang w:val="es-CO" w:eastAsia="es-CO"/>
              </w:rPr>
              <w:t>Flete</w:t>
            </w:r>
            <w:r w:rsidRPr="008413CC">
              <w:rPr>
                <w:rFonts w:cs="Arial"/>
                <w:kern w:val="24"/>
                <w:sz w:val="20"/>
                <w:lang w:val="es-CO" w:eastAsia="es-CO"/>
              </w:rPr>
              <w:t xml:space="preserve"> del producto en cilindros.</w:t>
            </w:r>
          </w:p>
          <w:p w14:paraId="3CDDA00A" w14:textId="77777777" w:rsidR="000E5AE7" w:rsidRPr="008413CC" w:rsidRDefault="000E5AE7">
            <w:pPr>
              <w:numPr>
                <w:ilvl w:val="0"/>
                <w:numId w:val="24"/>
              </w:numPr>
              <w:spacing w:before="100" w:beforeAutospacing="1" w:after="100" w:afterAutospacing="1" w:line="360" w:lineRule="auto"/>
              <w:ind w:left="568" w:hanging="283"/>
              <w:jc w:val="left"/>
              <w:rPr>
                <w:rFonts w:cs="Arial"/>
                <w:sz w:val="20"/>
                <w:lang w:val="es-CO" w:eastAsia="es-CO"/>
              </w:rPr>
            </w:pPr>
            <w:r w:rsidRPr="008413CC">
              <w:rPr>
                <w:rFonts w:cs="Arial"/>
                <w:kern w:val="24"/>
                <w:sz w:val="20"/>
                <w:lang w:val="es-CO" w:eastAsia="es-CO"/>
              </w:rPr>
              <w:t>Atención comercial de los usuarios.</w:t>
            </w:r>
          </w:p>
        </w:tc>
        <w:tc>
          <w:tcPr>
            <w:tcW w:w="4395" w:type="dxa"/>
            <w:tcMar>
              <w:top w:w="72" w:type="dxa"/>
              <w:left w:w="144" w:type="dxa"/>
              <w:bottom w:w="72" w:type="dxa"/>
              <w:right w:w="144" w:type="dxa"/>
            </w:tcMar>
            <w:hideMark/>
          </w:tcPr>
          <w:p w14:paraId="1D517760" w14:textId="77777777" w:rsidR="000E5AE7" w:rsidRPr="008413CC" w:rsidRDefault="000E5AE7">
            <w:pPr>
              <w:numPr>
                <w:ilvl w:val="0"/>
                <w:numId w:val="24"/>
              </w:numPr>
              <w:tabs>
                <w:tab w:val="clear" w:pos="720"/>
              </w:tabs>
              <w:spacing w:before="100" w:beforeAutospacing="1" w:after="100" w:afterAutospacing="1" w:line="360" w:lineRule="auto"/>
              <w:ind w:left="423" w:hanging="285"/>
              <w:jc w:val="left"/>
              <w:rPr>
                <w:rFonts w:cs="Arial"/>
                <w:sz w:val="20"/>
                <w:lang w:val="es-CO" w:eastAsia="es-CO"/>
              </w:rPr>
            </w:pPr>
            <w:r w:rsidRPr="008413CC">
              <w:rPr>
                <w:rFonts w:cs="Arial"/>
                <w:kern w:val="24"/>
                <w:sz w:val="20"/>
                <w:lang w:val="es-CO" w:eastAsia="es-CO"/>
              </w:rPr>
              <w:t xml:space="preserve">Compra del GLP. </w:t>
            </w:r>
          </w:p>
          <w:p w14:paraId="595D6C40" w14:textId="77777777" w:rsidR="000E5AE7" w:rsidRPr="008413CC" w:rsidRDefault="000E5AE7">
            <w:pPr>
              <w:numPr>
                <w:ilvl w:val="0"/>
                <w:numId w:val="24"/>
              </w:numPr>
              <w:tabs>
                <w:tab w:val="clear" w:pos="720"/>
              </w:tabs>
              <w:spacing w:before="100" w:beforeAutospacing="1" w:after="100" w:afterAutospacing="1" w:line="360" w:lineRule="auto"/>
              <w:ind w:left="423" w:hanging="285"/>
              <w:jc w:val="left"/>
              <w:rPr>
                <w:rFonts w:cs="Arial"/>
                <w:sz w:val="20"/>
                <w:lang w:val="es-CO" w:eastAsia="es-CO"/>
              </w:rPr>
            </w:pPr>
            <w:r w:rsidRPr="008413CC">
              <w:rPr>
                <w:rFonts w:cs="Arial"/>
                <w:kern w:val="24"/>
                <w:sz w:val="20"/>
                <w:lang w:val="es-CO" w:eastAsia="es-CO"/>
              </w:rPr>
              <w:t>Contrato con transporte y distribución.</w:t>
            </w:r>
          </w:p>
          <w:p w14:paraId="700EACF0" w14:textId="77777777" w:rsidR="000E5AE7" w:rsidRPr="008413CC" w:rsidRDefault="000E5AE7">
            <w:pPr>
              <w:numPr>
                <w:ilvl w:val="0"/>
                <w:numId w:val="24"/>
              </w:numPr>
              <w:tabs>
                <w:tab w:val="clear" w:pos="720"/>
              </w:tabs>
              <w:spacing w:before="100" w:beforeAutospacing="1" w:after="100" w:afterAutospacing="1" w:line="360" w:lineRule="auto"/>
              <w:ind w:left="423" w:hanging="285"/>
              <w:jc w:val="left"/>
              <w:rPr>
                <w:rFonts w:cs="Arial"/>
                <w:sz w:val="20"/>
                <w:lang w:val="es-CO" w:eastAsia="es-CO"/>
              </w:rPr>
            </w:pPr>
            <w:r w:rsidRPr="008413CC">
              <w:rPr>
                <w:rFonts w:cs="Arial"/>
                <w:kern w:val="24"/>
                <w:sz w:val="20"/>
                <w:lang w:val="es-CO" w:eastAsia="es-CO"/>
              </w:rPr>
              <w:t>Medición.</w:t>
            </w:r>
          </w:p>
          <w:p w14:paraId="7E0D5D48" w14:textId="77777777" w:rsidR="000E5AE7" w:rsidRPr="008413CC" w:rsidRDefault="000E5AE7">
            <w:pPr>
              <w:numPr>
                <w:ilvl w:val="0"/>
                <w:numId w:val="24"/>
              </w:numPr>
              <w:tabs>
                <w:tab w:val="clear" w:pos="720"/>
              </w:tabs>
              <w:spacing w:before="100" w:beforeAutospacing="1" w:after="100" w:afterAutospacing="1" w:line="360" w:lineRule="auto"/>
              <w:ind w:left="423" w:hanging="285"/>
              <w:jc w:val="left"/>
              <w:rPr>
                <w:rFonts w:cs="Arial"/>
                <w:sz w:val="20"/>
                <w:lang w:val="es-CO" w:eastAsia="es-CO"/>
              </w:rPr>
            </w:pPr>
            <w:r w:rsidRPr="008413CC">
              <w:rPr>
                <w:rFonts w:cs="Arial"/>
                <w:kern w:val="24"/>
                <w:sz w:val="20"/>
                <w:lang w:val="es-CO" w:eastAsia="es-CO"/>
              </w:rPr>
              <w:t>Liquidación y Facturación.</w:t>
            </w:r>
          </w:p>
          <w:p w14:paraId="61C09B26" w14:textId="77777777" w:rsidR="000E5AE7" w:rsidRPr="008413CC" w:rsidRDefault="000E5AE7">
            <w:pPr>
              <w:numPr>
                <w:ilvl w:val="0"/>
                <w:numId w:val="24"/>
              </w:numPr>
              <w:tabs>
                <w:tab w:val="clear" w:pos="720"/>
              </w:tabs>
              <w:spacing w:before="100" w:beforeAutospacing="1" w:after="100" w:afterAutospacing="1" w:line="360" w:lineRule="auto"/>
              <w:ind w:left="423" w:hanging="285"/>
              <w:jc w:val="left"/>
              <w:rPr>
                <w:rFonts w:cs="Arial"/>
                <w:sz w:val="20"/>
                <w:lang w:val="es-CO" w:eastAsia="es-CO"/>
              </w:rPr>
            </w:pPr>
            <w:r w:rsidRPr="008413CC">
              <w:rPr>
                <w:rFonts w:cs="Arial"/>
                <w:kern w:val="24"/>
                <w:sz w:val="20"/>
                <w:lang w:val="es-CO" w:eastAsia="es-CO"/>
              </w:rPr>
              <w:t>Atención usuarios.</w:t>
            </w:r>
          </w:p>
          <w:p w14:paraId="350CF4B8" w14:textId="77777777" w:rsidR="000E5AE7" w:rsidRPr="008413CC" w:rsidRDefault="000E5AE7">
            <w:pPr>
              <w:numPr>
                <w:ilvl w:val="0"/>
                <w:numId w:val="24"/>
              </w:numPr>
              <w:tabs>
                <w:tab w:val="clear" w:pos="720"/>
              </w:tabs>
              <w:spacing w:before="100" w:beforeAutospacing="1" w:after="100" w:afterAutospacing="1" w:line="360" w:lineRule="auto"/>
              <w:ind w:left="423" w:hanging="285"/>
              <w:jc w:val="left"/>
              <w:rPr>
                <w:rFonts w:cs="Arial"/>
                <w:sz w:val="20"/>
                <w:lang w:val="es-CO" w:eastAsia="es-CO"/>
              </w:rPr>
            </w:pPr>
            <w:r w:rsidRPr="008413CC">
              <w:rPr>
                <w:rFonts w:cs="Arial"/>
                <w:kern w:val="24"/>
                <w:sz w:val="20"/>
                <w:lang w:val="es-CO" w:eastAsia="es-CO"/>
              </w:rPr>
              <w:t>Obligación de continuidad del servicio.</w:t>
            </w:r>
          </w:p>
        </w:tc>
      </w:tr>
      <w:tr w:rsidR="001072A2" w:rsidRPr="008413CC" w14:paraId="3E98A306" w14:textId="77777777" w:rsidTr="002873D2">
        <w:trPr>
          <w:trHeight w:val="1174"/>
        </w:trPr>
        <w:tc>
          <w:tcPr>
            <w:tcW w:w="1833" w:type="dxa"/>
            <w:tcMar>
              <w:top w:w="72" w:type="dxa"/>
              <w:left w:w="144" w:type="dxa"/>
              <w:bottom w:w="72" w:type="dxa"/>
              <w:right w:w="144" w:type="dxa"/>
            </w:tcMar>
          </w:tcPr>
          <w:p w14:paraId="0D7C2DC7" w14:textId="2BB205BF" w:rsidR="001072A2" w:rsidRPr="008413CC" w:rsidRDefault="00C43ACF" w:rsidP="002F1961">
            <w:pPr>
              <w:spacing w:before="100" w:beforeAutospacing="1" w:after="100" w:afterAutospacing="1" w:line="360" w:lineRule="auto"/>
              <w:jc w:val="center"/>
              <w:rPr>
                <w:rFonts w:cs="Arial"/>
                <w:b/>
                <w:bCs/>
                <w:kern w:val="24"/>
                <w:sz w:val="20"/>
                <w:lang w:val="es-CO" w:eastAsia="es-CO"/>
              </w:rPr>
            </w:pPr>
            <w:r w:rsidRPr="00C43ACF">
              <w:rPr>
                <w:rFonts w:cs="Arial"/>
                <w:b/>
                <w:bCs/>
                <w:kern w:val="24"/>
                <w:sz w:val="20"/>
                <w:lang w:val="es-CO" w:eastAsia="es-CO"/>
              </w:rPr>
              <w:t>Continuidad del servicio</w:t>
            </w:r>
          </w:p>
        </w:tc>
        <w:tc>
          <w:tcPr>
            <w:tcW w:w="3118" w:type="dxa"/>
            <w:tcMar>
              <w:top w:w="72" w:type="dxa"/>
              <w:left w:w="144" w:type="dxa"/>
              <w:bottom w:w="72" w:type="dxa"/>
              <w:right w:w="144" w:type="dxa"/>
            </w:tcMar>
          </w:tcPr>
          <w:p w14:paraId="6FF4E968" w14:textId="30E24D39" w:rsidR="001072A2" w:rsidRPr="0065720F" w:rsidRDefault="00C86BD4">
            <w:pPr>
              <w:numPr>
                <w:ilvl w:val="0"/>
                <w:numId w:val="24"/>
              </w:numPr>
              <w:spacing w:before="100" w:beforeAutospacing="1" w:after="100" w:afterAutospacing="1" w:line="360" w:lineRule="auto"/>
              <w:ind w:left="568" w:hanging="283"/>
              <w:jc w:val="left"/>
              <w:rPr>
                <w:rFonts w:cs="Arial"/>
                <w:kern w:val="24"/>
                <w:sz w:val="20"/>
                <w:lang w:val="es-CO" w:eastAsia="es-CO"/>
              </w:rPr>
            </w:pPr>
            <w:r w:rsidRPr="0065720F">
              <w:rPr>
                <w:rFonts w:cs="Arial"/>
                <w:kern w:val="24"/>
                <w:sz w:val="20"/>
                <w:lang w:val="es-CO" w:eastAsia="es-CO"/>
              </w:rPr>
              <w:t>El suministro depende de la disponibilidad del producto y de la solicitud del usuario.</w:t>
            </w:r>
          </w:p>
        </w:tc>
        <w:tc>
          <w:tcPr>
            <w:tcW w:w="4395" w:type="dxa"/>
            <w:tcMar>
              <w:top w:w="72" w:type="dxa"/>
              <w:left w:w="144" w:type="dxa"/>
              <w:bottom w:w="72" w:type="dxa"/>
              <w:right w:w="144" w:type="dxa"/>
            </w:tcMar>
          </w:tcPr>
          <w:p w14:paraId="21AB2AE0" w14:textId="142B511F" w:rsidR="001072A2" w:rsidRPr="0065720F" w:rsidRDefault="00A26075">
            <w:pPr>
              <w:numPr>
                <w:ilvl w:val="0"/>
                <w:numId w:val="24"/>
              </w:numPr>
              <w:tabs>
                <w:tab w:val="clear" w:pos="720"/>
              </w:tabs>
              <w:spacing w:before="100" w:beforeAutospacing="1" w:after="100" w:afterAutospacing="1" w:line="360" w:lineRule="auto"/>
              <w:ind w:left="423" w:hanging="285"/>
              <w:jc w:val="left"/>
              <w:rPr>
                <w:rFonts w:cs="Arial"/>
                <w:kern w:val="24"/>
                <w:sz w:val="20"/>
                <w:lang w:val="es-CO" w:eastAsia="es-CO"/>
              </w:rPr>
            </w:pPr>
            <w:r w:rsidRPr="0065720F">
              <w:rPr>
                <w:rFonts w:cs="Arial"/>
                <w:kern w:val="24"/>
                <w:sz w:val="20"/>
                <w:lang w:val="es-CO" w:eastAsia="es-CO"/>
              </w:rPr>
              <w:t>El prestador debe garantizar la prestación continua del servicio, salvo interrupciones programadas o por razones de seguridad.</w:t>
            </w:r>
          </w:p>
        </w:tc>
      </w:tr>
      <w:tr w:rsidR="00B43290" w:rsidRPr="008413CC" w14:paraId="567746C5" w14:textId="77777777" w:rsidTr="002873D2">
        <w:trPr>
          <w:trHeight w:val="1457"/>
        </w:trPr>
        <w:tc>
          <w:tcPr>
            <w:tcW w:w="1833" w:type="dxa"/>
            <w:tcMar>
              <w:top w:w="72" w:type="dxa"/>
              <w:left w:w="144" w:type="dxa"/>
              <w:bottom w:w="72" w:type="dxa"/>
              <w:right w:w="144" w:type="dxa"/>
            </w:tcMar>
          </w:tcPr>
          <w:p w14:paraId="2ADB179F" w14:textId="097E27A7" w:rsidR="00B43290" w:rsidRPr="00C43ACF" w:rsidRDefault="00B641B9" w:rsidP="002F1961">
            <w:pPr>
              <w:spacing w:before="100" w:beforeAutospacing="1" w:after="100" w:afterAutospacing="1" w:line="360" w:lineRule="auto"/>
              <w:jc w:val="center"/>
              <w:rPr>
                <w:rFonts w:cs="Arial"/>
                <w:b/>
                <w:bCs/>
                <w:kern w:val="24"/>
                <w:sz w:val="20"/>
                <w:lang w:val="es-CO" w:eastAsia="es-CO"/>
              </w:rPr>
            </w:pPr>
            <w:r w:rsidRPr="00B641B9">
              <w:rPr>
                <w:rFonts w:cs="Arial"/>
                <w:b/>
                <w:bCs/>
                <w:kern w:val="24"/>
                <w:sz w:val="20"/>
                <w:lang w:val="es-CO" w:eastAsia="es-CO"/>
              </w:rPr>
              <w:t>Seguridad del servicio</w:t>
            </w:r>
          </w:p>
        </w:tc>
        <w:tc>
          <w:tcPr>
            <w:tcW w:w="3118" w:type="dxa"/>
            <w:tcMar>
              <w:top w:w="72" w:type="dxa"/>
              <w:left w:w="144" w:type="dxa"/>
              <w:bottom w:w="72" w:type="dxa"/>
              <w:right w:w="144" w:type="dxa"/>
            </w:tcMar>
          </w:tcPr>
          <w:p w14:paraId="322607ED" w14:textId="3C00C789" w:rsidR="00B43290" w:rsidRPr="0065720F" w:rsidRDefault="0008562C">
            <w:pPr>
              <w:numPr>
                <w:ilvl w:val="0"/>
                <w:numId w:val="24"/>
              </w:numPr>
              <w:spacing w:before="100" w:beforeAutospacing="1" w:after="100" w:afterAutospacing="1" w:line="360" w:lineRule="auto"/>
              <w:ind w:left="568" w:hanging="283"/>
              <w:jc w:val="left"/>
              <w:rPr>
                <w:rFonts w:cs="Arial"/>
                <w:kern w:val="24"/>
                <w:sz w:val="20"/>
                <w:lang w:val="es-CO" w:eastAsia="es-CO"/>
              </w:rPr>
            </w:pPr>
            <w:r w:rsidRPr="0065720F">
              <w:rPr>
                <w:rFonts w:cs="Arial"/>
                <w:kern w:val="24"/>
                <w:sz w:val="20"/>
                <w:lang w:val="es-CO" w:eastAsia="es-CO"/>
              </w:rPr>
              <w:t>Se enfoca en el manejo seguro de cilindros, tanques estacionarios y transporte del GLP.</w:t>
            </w:r>
          </w:p>
        </w:tc>
        <w:tc>
          <w:tcPr>
            <w:tcW w:w="4395" w:type="dxa"/>
            <w:tcMar>
              <w:top w:w="72" w:type="dxa"/>
              <w:left w:w="144" w:type="dxa"/>
              <w:bottom w:w="72" w:type="dxa"/>
              <w:right w:w="144" w:type="dxa"/>
            </w:tcMar>
          </w:tcPr>
          <w:p w14:paraId="780AEEC7" w14:textId="31C2E4FA" w:rsidR="00B43290" w:rsidRPr="0065720F" w:rsidRDefault="008160DF">
            <w:pPr>
              <w:numPr>
                <w:ilvl w:val="0"/>
                <w:numId w:val="24"/>
              </w:numPr>
              <w:tabs>
                <w:tab w:val="clear" w:pos="720"/>
              </w:tabs>
              <w:spacing w:before="100" w:beforeAutospacing="1" w:after="100" w:afterAutospacing="1" w:line="360" w:lineRule="auto"/>
              <w:ind w:left="423" w:hanging="285"/>
              <w:jc w:val="left"/>
              <w:rPr>
                <w:rFonts w:cs="Arial"/>
                <w:kern w:val="24"/>
                <w:sz w:val="20"/>
                <w:lang w:val="es-CO" w:eastAsia="es-CO"/>
              </w:rPr>
            </w:pPr>
            <w:r w:rsidRPr="0065720F">
              <w:rPr>
                <w:rFonts w:cs="Arial"/>
                <w:kern w:val="24"/>
                <w:sz w:val="20"/>
                <w:lang w:val="es-CO" w:eastAsia="es-CO"/>
              </w:rPr>
              <w:t>Comprende la operación segura de toda la infraestructura de distribución, incluyendo redes, tanques, válvulas y estaciones de regulación, con protocolos permanentes para la prevención y atención de emergencias.</w:t>
            </w:r>
          </w:p>
        </w:tc>
      </w:tr>
      <w:tr w:rsidR="008160DF" w:rsidRPr="008413CC" w14:paraId="13D70E78" w14:textId="77777777" w:rsidTr="002873D2">
        <w:trPr>
          <w:trHeight w:val="1253"/>
        </w:trPr>
        <w:tc>
          <w:tcPr>
            <w:tcW w:w="1833" w:type="dxa"/>
            <w:tcMar>
              <w:top w:w="72" w:type="dxa"/>
              <w:left w:w="144" w:type="dxa"/>
              <w:bottom w:w="72" w:type="dxa"/>
              <w:right w:w="144" w:type="dxa"/>
            </w:tcMar>
          </w:tcPr>
          <w:p w14:paraId="63BDC7D3" w14:textId="09CA34A2" w:rsidR="008160DF" w:rsidRPr="00B641B9" w:rsidRDefault="000C024A" w:rsidP="002F1961">
            <w:pPr>
              <w:spacing w:before="100" w:beforeAutospacing="1" w:after="100" w:afterAutospacing="1" w:line="360" w:lineRule="auto"/>
              <w:jc w:val="center"/>
              <w:rPr>
                <w:rFonts w:cs="Arial"/>
                <w:b/>
                <w:bCs/>
                <w:kern w:val="24"/>
                <w:sz w:val="20"/>
                <w:lang w:val="es-CO" w:eastAsia="es-CO"/>
              </w:rPr>
            </w:pPr>
            <w:r w:rsidRPr="000C024A">
              <w:rPr>
                <w:rFonts w:cs="Arial"/>
                <w:b/>
                <w:bCs/>
                <w:kern w:val="24"/>
                <w:sz w:val="20"/>
                <w:lang w:val="es-CO" w:eastAsia="es-CO"/>
              </w:rPr>
              <w:t>Medición del consumo</w:t>
            </w:r>
          </w:p>
        </w:tc>
        <w:tc>
          <w:tcPr>
            <w:tcW w:w="3118" w:type="dxa"/>
            <w:tcMar>
              <w:top w:w="72" w:type="dxa"/>
              <w:left w:w="144" w:type="dxa"/>
              <w:bottom w:w="72" w:type="dxa"/>
              <w:right w:w="144" w:type="dxa"/>
            </w:tcMar>
          </w:tcPr>
          <w:p w14:paraId="02A7C7D7" w14:textId="2DB53BA9" w:rsidR="008160DF" w:rsidRPr="0065720F" w:rsidRDefault="007400F1">
            <w:pPr>
              <w:numPr>
                <w:ilvl w:val="0"/>
                <w:numId w:val="24"/>
              </w:numPr>
              <w:spacing w:before="100" w:beforeAutospacing="1" w:after="100" w:afterAutospacing="1" w:line="360" w:lineRule="auto"/>
              <w:ind w:left="568" w:hanging="283"/>
              <w:jc w:val="left"/>
              <w:rPr>
                <w:rFonts w:cs="Arial"/>
                <w:kern w:val="24"/>
                <w:sz w:val="20"/>
                <w:lang w:val="es-CO" w:eastAsia="es-CO"/>
              </w:rPr>
            </w:pPr>
            <w:r w:rsidRPr="0065720F">
              <w:rPr>
                <w:rFonts w:cs="Arial"/>
                <w:kern w:val="24"/>
                <w:sz w:val="20"/>
                <w:lang w:val="es-CO" w:eastAsia="es-CO"/>
              </w:rPr>
              <w:t>El usuario adquiere un volumen determinado de GLP; normalmente no existe medición continua del consumo.</w:t>
            </w:r>
          </w:p>
        </w:tc>
        <w:tc>
          <w:tcPr>
            <w:tcW w:w="4395" w:type="dxa"/>
            <w:tcMar>
              <w:top w:w="72" w:type="dxa"/>
              <w:left w:w="144" w:type="dxa"/>
              <w:bottom w:w="72" w:type="dxa"/>
              <w:right w:w="144" w:type="dxa"/>
            </w:tcMar>
          </w:tcPr>
          <w:p w14:paraId="79AA42F1" w14:textId="0C61BC2B" w:rsidR="008160DF" w:rsidRPr="0065720F" w:rsidRDefault="00306FDB">
            <w:pPr>
              <w:numPr>
                <w:ilvl w:val="0"/>
                <w:numId w:val="24"/>
              </w:numPr>
              <w:tabs>
                <w:tab w:val="clear" w:pos="720"/>
              </w:tabs>
              <w:spacing w:before="100" w:beforeAutospacing="1" w:after="100" w:afterAutospacing="1" w:line="360" w:lineRule="auto"/>
              <w:ind w:left="423" w:hanging="285"/>
              <w:jc w:val="left"/>
              <w:rPr>
                <w:rFonts w:cs="Arial"/>
                <w:kern w:val="24"/>
                <w:sz w:val="20"/>
                <w:lang w:val="es-CO" w:eastAsia="es-CO"/>
              </w:rPr>
            </w:pPr>
            <w:r w:rsidRPr="0065720F">
              <w:rPr>
                <w:rFonts w:cs="Arial"/>
                <w:kern w:val="24"/>
                <w:sz w:val="20"/>
                <w:lang w:val="es-CO" w:eastAsia="es-CO"/>
              </w:rPr>
              <w:t>Cada usuario cuenta con un medidor que permite registrar el consumo real para efectos de facturación y control del servicio.</w:t>
            </w:r>
          </w:p>
        </w:tc>
      </w:tr>
      <w:tr w:rsidR="00306FDB" w:rsidRPr="008413CC" w14:paraId="2F545C77" w14:textId="77777777" w:rsidTr="002873D2">
        <w:trPr>
          <w:trHeight w:val="1253"/>
        </w:trPr>
        <w:tc>
          <w:tcPr>
            <w:tcW w:w="1833" w:type="dxa"/>
            <w:tcMar>
              <w:top w:w="72" w:type="dxa"/>
              <w:left w:w="144" w:type="dxa"/>
              <w:bottom w:w="72" w:type="dxa"/>
              <w:right w:w="144" w:type="dxa"/>
            </w:tcMar>
          </w:tcPr>
          <w:p w14:paraId="21CC1742" w14:textId="2436109D" w:rsidR="00306FDB" w:rsidRPr="000C024A" w:rsidRDefault="00790032" w:rsidP="002F1961">
            <w:pPr>
              <w:spacing w:before="100" w:beforeAutospacing="1" w:after="100" w:afterAutospacing="1" w:line="360" w:lineRule="auto"/>
              <w:jc w:val="center"/>
              <w:rPr>
                <w:rFonts w:cs="Arial"/>
                <w:b/>
                <w:bCs/>
                <w:kern w:val="24"/>
                <w:sz w:val="20"/>
                <w:lang w:val="es-CO" w:eastAsia="es-CO"/>
              </w:rPr>
            </w:pPr>
            <w:r w:rsidRPr="00790032">
              <w:rPr>
                <w:rFonts w:cs="Arial"/>
                <w:b/>
                <w:bCs/>
                <w:kern w:val="24"/>
                <w:sz w:val="20"/>
                <w:lang w:val="es-CO" w:eastAsia="es-CO"/>
              </w:rPr>
              <w:t>Atención a usuarios</w:t>
            </w:r>
          </w:p>
        </w:tc>
        <w:tc>
          <w:tcPr>
            <w:tcW w:w="3118" w:type="dxa"/>
            <w:tcMar>
              <w:top w:w="72" w:type="dxa"/>
              <w:left w:w="144" w:type="dxa"/>
              <w:bottom w:w="72" w:type="dxa"/>
              <w:right w:w="144" w:type="dxa"/>
            </w:tcMar>
          </w:tcPr>
          <w:p w14:paraId="2DA4FC62" w14:textId="30B251B8" w:rsidR="00306FDB" w:rsidRPr="0065720F" w:rsidRDefault="00E3737C">
            <w:pPr>
              <w:numPr>
                <w:ilvl w:val="0"/>
                <w:numId w:val="24"/>
              </w:numPr>
              <w:spacing w:before="100" w:beforeAutospacing="1" w:after="100" w:afterAutospacing="1" w:line="360" w:lineRule="auto"/>
              <w:ind w:left="568" w:hanging="283"/>
              <w:jc w:val="left"/>
              <w:rPr>
                <w:rFonts w:cs="Arial"/>
                <w:kern w:val="24"/>
                <w:sz w:val="20"/>
                <w:lang w:val="es-CO" w:eastAsia="es-CO"/>
              </w:rPr>
            </w:pPr>
            <w:r w:rsidRPr="0065720F">
              <w:rPr>
                <w:rFonts w:cs="Arial"/>
                <w:kern w:val="24"/>
                <w:sz w:val="20"/>
                <w:lang w:val="es-CO" w:eastAsia="es-CO"/>
              </w:rPr>
              <w:t xml:space="preserve">Atención asociada principalmente a pedidos, entrega del </w:t>
            </w:r>
            <w:r w:rsidRPr="0065720F">
              <w:rPr>
                <w:rFonts w:cs="Arial"/>
                <w:kern w:val="24"/>
                <w:sz w:val="20"/>
                <w:lang w:val="es-CO" w:eastAsia="es-CO"/>
              </w:rPr>
              <w:lastRenderedPageBreak/>
              <w:t>producto y reclamaciones comerciales.</w:t>
            </w:r>
          </w:p>
        </w:tc>
        <w:tc>
          <w:tcPr>
            <w:tcW w:w="4395" w:type="dxa"/>
            <w:tcMar>
              <w:top w:w="72" w:type="dxa"/>
              <w:left w:w="144" w:type="dxa"/>
              <w:bottom w:w="72" w:type="dxa"/>
              <w:right w:w="144" w:type="dxa"/>
            </w:tcMar>
          </w:tcPr>
          <w:p w14:paraId="2D72FCAE" w14:textId="23474102" w:rsidR="00306FDB" w:rsidRPr="0065720F" w:rsidRDefault="00E3737C">
            <w:pPr>
              <w:numPr>
                <w:ilvl w:val="0"/>
                <w:numId w:val="24"/>
              </w:numPr>
              <w:tabs>
                <w:tab w:val="clear" w:pos="720"/>
              </w:tabs>
              <w:spacing w:before="100" w:beforeAutospacing="1" w:after="100" w:afterAutospacing="1" w:line="360" w:lineRule="auto"/>
              <w:ind w:left="423" w:hanging="285"/>
              <w:jc w:val="left"/>
              <w:rPr>
                <w:rFonts w:cs="Arial"/>
                <w:kern w:val="24"/>
                <w:sz w:val="20"/>
                <w:lang w:val="es-CO" w:eastAsia="es-CO"/>
              </w:rPr>
            </w:pPr>
            <w:r w:rsidRPr="0065720F">
              <w:rPr>
                <w:rFonts w:cs="Arial"/>
                <w:kern w:val="24"/>
                <w:sz w:val="20"/>
                <w:lang w:val="es-CO" w:eastAsia="es-CO"/>
              </w:rPr>
              <w:lastRenderedPageBreak/>
              <w:t xml:space="preserve">Incluye atención comercial, recepción y trámite de PQR, suspensión y reconexión del servicio, gestión de </w:t>
            </w:r>
            <w:r w:rsidRPr="0065720F">
              <w:rPr>
                <w:rFonts w:cs="Arial"/>
                <w:kern w:val="24"/>
                <w:sz w:val="20"/>
                <w:lang w:val="es-CO" w:eastAsia="es-CO"/>
              </w:rPr>
              <w:lastRenderedPageBreak/>
              <w:t>emergencias y demás obligaciones propias del servicio público domiciliario.</w:t>
            </w:r>
          </w:p>
        </w:tc>
      </w:tr>
      <w:tr w:rsidR="000F5607" w:rsidRPr="008413CC" w14:paraId="6CEA806F" w14:textId="77777777" w:rsidTr="002873D2">
        <w:trPr>
          <w:trHeight w:val="1253"/>
        </w:trPr>
        <w:tc>
          <w:tcPr>
            <w:tcW w:w="1833" w:type="dxa"/>
            <w:tcMar>
              <w:top w:w="72" w:type="dxa"/>
              <w:left w:w="144" w:type="dxa"/>
              <w:bottom w:w="72" w:type="dxa"/>
              <w:right w:w="144" w:type="dxa"/>
            </w:tcMar>
          </w:tcPr>
          <w:p w14:paraId="169CD333" w14:textId="7A9F7E54" w:rsidR="000F5607" w:rsidRPr="00790032" w:rsidRDefault="003B5186" w:rsidP="002F1961">
            <w:pPr>
              <w:spacing w:before="100" w:beforeAutospacing="1" w:after="100" w:afterAutospacing="1" w:line="360" w:lineRule="auto"/>
              <w:jc w:val="center"/>
              <w:rPr>
                <w:rFonts w:cs="Arial"/>
                <w:b/>
                <w:bCs/>
                <w:kern w:val="24"/>
                <w:sz w:val="20"/>
                <w:lang w:val="es-CO" w:eastAsia="es-CO"/>
              </w:rPr>
            </w:pPr>
            <w:r w:rsidRPr="003B5186">
              <w:rPr>
                <w:rFonts w:cs="Arial"/>
                <w:b/>
                <w:bCs/>
                <w:kern w:val="24"/>
                <w:sz w:val="20"/>
                <w:lang w:val="es-CO" w:eastAsia="es-CO"/>
              </w:rPr>
              <w:t>Inspecciones y mantenimiento</w:t>
            </w:r>
          </w:p>
        </w:tc>
        <w:tc>
          <w:tcPr>
            <w:tcW w:w="3118" w:type="dxa"/>
            <w:tcMar>
              <w:top w:w="72" w:type="dxa"/>
              <w:left w:w="144" w:type="dxa"/>
              <w:bottom w:w="72" w:type="dxa"/>
              <w:right w:w="144" w:type="dxa"/>
            </w:tcMar>
          </w:tcPr>
          <w:p w14:paraId="195F11AA" w14:textId="29A22772" w:rsidR="000F5607" w:rsidRPr="0065720F" w:rsidRDefault="00352808">
            <w:pPr>
              <w:numPr>
                <w:ilvl w:val="0"/>
                <w:numId w:val="24"/>
              </w:numPr>
              <w:spacing w:before="100" w:beforeAutospacing="1" w:after="100" w:afterAutospacing="1" w:line="360" w:lineRule="auto"/>
              <w:ind w:left="568" w:hanging="283"/>
              <w:jc w:val="left"/>
              <w:rPr>
                <w:rFonts w:cs="Arial"/>
                <w:kern w:val="24"/>
                <w:sz w:val="20"/>
                <w:lang w:val="es-CO" w:eastAsia="es-CO"/>
              </w:rPr>
            </w:pPr>
            <w:r w:rsidRPr="0065720F">
              <w:rPr>
                <w:rFonts w:cs="Arial"/>
                <w:kern w:val="24"/>
                <w:sz w:val="20"/>
                <w:lang w:val="es-CO" w:eastAsia="es-CO"/>
              </w:rPr>
              <w:t>Se realizan inspecciones y mantenimiento de cilindros, tanques estacionarios y plantas de envasado conforme a la regulación técnica aplicable.</w:t>
            </w:r>
          </w:p>
        </w:tc>
        <w:tc>
          <w:tcPr>
            <w:tcW w:w="4395" w:type="dxa"/>
            <w:tcMar>
              <w:top w:w="72" w:type="dxa"/>
              <w:left w:w="144" w:type="dxa"/>
              <w:bottom w:w="72" w:type="dxa"/>
              <w:right w:w="144" w:type="dxa"/>
            </w:tcMar>
          </w:tcPr>
          <w:p w14:paraId="6F355AD5" w14:textId="4B9673CA" w:rsidR="000F5607" w:rsidRPr="0065720F" w:rsidRDefault="00352808">
            <w:pPr>
              <w:numPr>
                <w:ilvl w:val="0"/>
                <w:numId w:val="24"/>
              </w:numPr>
              <w:tabs>
                <w:tab w:val="clear" w:pos="720"/>
              </w:tabs>
              <w:spacing w:before="100" w:beforeAutospacing="1" w:after="100" w:afterAutospacing="1" w:line="360" w:lineRule="auto"/>
              <w:ind w:left="423" w:hanging="285"/>
              <w:jc w:val="left"/>
              <w:rPr>
                <w:rFonts w:cs="Arial"/>
                <w:kern w:val="24"/>
                <w:sz w:val="20"/>
                <w:lang w:val="es-CO" w:eastAsia="es-CO"/>
              </w:rPr>
            </w:pPr>
            <w:r w:rsidRPr="0065720F">
              <w:rPr>
                <w:rFonts w:cs="Arial"/>
                <w:kern w:val="24"/>
                <w:sz w:val="20"/>
                <w:lang w:val="es-CO" w:eastAsia="es-CO"/>
              </w:rPr>
              <w:t>Requiere inspección, operación y mantenimiento preventivo y correctivo de redes, acometidas, medidores, válvulas, reguladores y demás activos del sistema de distribución.</w:t>
            </w:r>
          </w:p>
        </w:tc>
      </w:tr>
      <w:tr w:rsidR="00670A9E" w:rsidRPr="008413CC" w14:paraId="3A15E043" w14:textId="77777777" w:rsidTr="002873D2">
        <w:trPr>
          <w:trHeight w:val="1253"/>
        </w:trPr>
        <w:tc>
          <w:tcPr>
            <w:tcW w:w="1833" w:type="dxa"/>
            <w:tcMar>
              <w:top w:w="72" w:type="dxa"/>
              <w:left w:w="144" w:type="dxa"/>
              <w:bottom w:w="72" w:type="dxa"/>
              <w:right w:w="144" w:type="dxa"/>
            </w:tcMar>
          </w:tcPr>
          <w:p w14:paraId="55157A6C" w14:textId="5B9D7A29" w:rsidR="00670A9E" w:rsidRPr="003B5186" w:rsidRDefault="00457DFD" w:rsidP="002F1961">
            <w:pPr>
              <w:spacing w:before="100" w:beforeAutospacing="1" w:after="100" w:afterAutospacing="1" w:line="360" w:lineRule="auto"/>
              <w:jc w:val="center"/>
              <w:rPr>
                <w:rFonts w:cs="Arial"/>
                <w:b/>
                <w:bCs/>
                <w:kern w:val="24"/>
                <w:sz w:val="20"/>
                <w:lang w:val="es-CO" w:eastAsia="es-CO"/>
              </w:rPr>
            </w:pPr>
            <w:r w:rsidRPr="00457DFD">
              <w:rPr>
                <w:rFonts w:cs="Arial"/>
                <w:b/>
                <w:bCs/>
                <w:kern w:val="24"/>
                <w:sz w:val="20"/>
                <w:lang w:val="es-CO" w:eastAsia="es-CO"/>
              </w:rPr>
              <w:t>Reglamentos técnicos aplicables</w:t>
            </w:r>
          </w:p>
        </w:tc>
        <w:tc>
          <w:tcPr>
            <w:tcW w:w="3118" w:type="dxa"/>
            <w:tcMar>
              <w:top w:w="72" w:type="dxa"/>
              <w:left w:w="144" w:type="dxa"/>
              <w:bottom w:w="72" w:type="dxa"/>
              <w:right w:w="144" w:type="dxa"/>
            </w:tcMar>
          </w:tcPr>
          <w:p w14:paraId="34065C20" w14:textId="4C91E6E7" w:rsidR="00670A9E" w:rsidRPr="00352808" w:rsidRDefault="006B4DD6">
            <w:pPr>
              <w:numPr>
                <w:ilvl w:val="0"/>
                <w:numId w:val="24"/>
              </w:numPr>
              <w:spacing w:before="100" w:beforeAutospacing="1" w:after="100" w:afterAutospacing="1" w:line="360" w:lineRule="auto"/>
              <w:ind w:left="568" w:hanging="283"/>
              <w:jc w:val="left"/>
              <w:rPr>
                <w:rFonts w:cs="Arial"/>
                <w:kern w:val="24"/>
                <w:sz w:val="20"/>
                <w:lang w:val="es-CO" w:eastAsia="es-CO"/>
              </w:rPr>
            </w:pPr>
            <w:r w:rsidRPr="006B4DD6">
              <w:rPr>
                <w:rFonts w:cs="Arial"/>
                <w:kern w:val="24"/>
                <w:sz w:val="20"/>
                <w:lang w:val="es-CO" w:eastAsia="es-CO"/>
              </w:rPr>
              <w:t>Cumplimiento de la regulación relacionada con el envasado, transporte, almacenamiento y distribución de GLP en cilindros o tanques estacionarios.</w:t>
            </w:r>
          </w:p>
        </w:tc>
        <w:tc>
          <w:tcPr>
            <w:tcW w:w="4395" w:type="dxa"/>
            <w:tcMar>
              <w:top w:w="72" w:type="dxa"/>
              <w:left w:w="144" w:type="dxa"/>
              <w:bottom w:w="72" w:type="dxa"/>
              <w:right w:w="144" w:type="dxa"/>
            </w:tcMar>
          </w:tcPr>
          <w:p w14:paraId="7308F7C3" w14:textId="5EDCD4D0" w:rsidR="00670A9E" w:rsidRPr="00352808" w:rsidRDefault="006B4DD6">
            <w:pPr>
              <w:numPr>
                <w:ilvl w:val="0"/>
                <w:numId w:val="24"/>
              </w:numPr>
              <w:tabs>
                <w:tab w:val="clear" w:pos="720"/>
              </w:tabs>
              <w:spacing w:before="100" w:beforeAutospacing="1" w:after="100" w:afterAutospacing="1" w:line="360" w:lineRule="auto"/>
              <w:ind w:left="423" w:hanging="285"/>
              <w:jc w:val="left"/>
              <w:rPr>
                <w:rFonts w:cs="Arial"/>
                <w:kern w:val="24"/>
                <w:sz w:val="20"/>
                <w:lang w:val="es-CO" w:eastAsia="es-CO"/>
              </w:rPr>
            </w:pPr>
            <w:r w:rsidRPr="006B4DD6">
              <w:rPr>
                <w:rFonts w:cs="Arial"/>
                <w:kern w:val="24"/>
                <w:sz w:val="20"/>
                <w:lang w:val="es-CO" w:eastAsia="es-CO"/>
              </w:rPr>
              <w:t>Cumplimiento del Código de Distribución, reglamentos técnicos para instalaciones internas y redes de distribución, normas de calidad del servicio, seguridad industrial y demás disposiciones aplicables a la prestación del servicio público por redes.</w:t>
            </w:r>
          </w:p>
        </w:tc>
      </w:tr>
    </w:tbl>
    <w:p w14:paraId="01898BF5" w14:textId="07740881" w:rsidR="00A03B22" w:rsidRPr="00F5257F" w:rsidRDefault="00C9528F" w:rsidP="002F1961">
      <w:pPr>
        <w:spacing w:before="100" w:beforeAutospacing="1" w:after="100" w:afterAutospacing="1" w:line="360" w:lineRule="auto"/>
        <w:jc w:val="center"/>
        <w:rPr>
          <w:sz w:val="22"/>
          <w:szCs w:val="18"/>
        </w:rPr>
      </w:pPr>
      <w:r w:rsidRPr="00F5257F">
        <w:rPr>
          <w:sz w:val="22"/>
          <w:szCs w:val="18"/>
        </w:rPr>
        <w:t xml:space="preserve">Fuente: Documento CREG 902 </w:t>
      </w:r>
      <w:r w:rsidR="00F968F8" w:rsidRPr="00F5257F">
        <w:rPr>
          <w:sz w:val="22"/>
          <w:szCs w:val="18"/>
        </w:rPr>
        <w:t xml:space="preserve">082 de </w:t>
      </w:r>
      <w:r w:rsidR="00D02708" w:rsidRPr="00F5257F">
        <w:rPr>
          <w:sz w:val="22"/>
          <w:szCs w:val="18"/>
        </w:rPr>
        <w:t>2024</w:t>
      </w:r>
      <w:r w:rsidRPr="00F5257F">
        <w:rPr>
          <w:sz w:val="22"/>
          <w:szCs w:val="18"/>
        </w:rPr>
        <w:t xml:space="preserve">. </w:t>
      </w:r>
      <w:r w:rsidR="00711C52" w:rsidRPr="00F5257F">
        <w:rPr>
          <w:sz w:val="22"/>
          <w:szCs w:val="18"/>
        </w:rPr>
        <w:t>Elaboración</w:t>
      </w:r>
      <w:r w:rsidR="00A03B22" w:rsidRPr="00F5257F">
        <w:rPr>
          <w:sz w:val="22"/>
          <w:szCs w:val="18"/>
        </w:rPr>
        <w:t>: CREG</w:t>
      </w:r>
    </w:p>
    <w:p w14:paraId="4B0117CE" w14:textId="497CF880" w:rsidR="0039314C" w:rsidRPr="00D75C25" w:rsidRDefault="0039314C" w:rsidP="002F1961">
      <w:pPr>
        <w:pStyle w:val="Ttulo3"/>
        <w:spacing w:before="100" w:beforeAutospacing="1" w:after="100" w:afterAutospacing="1"/>
      </w:pPr>
      <w:bookmarkStart w:id="63" w:name="_Toc235128332"/>
      <w:r w:rsidRPr="00D75C25">
        <w:t>Fórmula tarifaria</w:t>
      </w:r>
      <w:bookmarkEnd w:id="63"/>
    </w:p>
    <w:p w14:paraId="42CA8360" w14:textId="036C4D5A" w:rsidR="00DC1BC0" w:rsidRPr="00DC1BC0" w:rsidRDefault="00DC1BC0" w:rsidP="002F1961">
      <w:pPr>
        <w:spacing w:before="100" w:beforeAutospacing="1" w:after="100" w:afterAutospacing="1" w:line="360" w:lineRule="auto"/>
        <w:rPr>
          <w:spacing w:val="-3"/>
          <w:lang w:val="es-ES"/>
        </w:rPr>
      </w:pPr>
      <w:r w:rsidRPr="00DC1BC0">
        <w:rPr>
          <w:spacing w:val="-3"/>
          <w:lang w:val="es-ES"/>
        </w:rPr>
        <w:t>La metodología tarifaria del servicio público domiciliario de GLP tiene como propósito reconocer los costos eficientes de cada una de las actividades de la cadena de prestación del servicio, garantizando simultáneamente la suficiencia financiera de las empresas prestadoras, la eficiencia económica, la neutralidad entre usuarios y la protección del usuario frente al traslado de costos ineficientes, conforme a los principios establecidos en la Ley 142 de 1994.</w:t>
      </w:r>
      <w:r w:rsidR="000A1768">
        <w:rPr>
          <w:spacing w:val="-3"/>
          <w:lang w:val="es-ES"/>
        </w:rPr>
        <w:t xml:space="preserve"> </w:t>
      </w:r>
      <w:r w:rsidR="000A1768" w:rsidRPr="37A77A19">
        <w:rPr>
          <w:spacing w:val="-3"/>
          <w:lang w:val="es-ES"/>
        </w:rPr>
        <w:t>En</w:t>
      </w:r>
      <w:r w:rsidR="000A1768" w:rsidRPr="37A77A19">
        <w:rPr>
          <w:rFonts w:cs="Arial"/>
          <w:spacing w:val="-5"/>
          <w:lang w:val="es-ES"/>
        </w:rPr>
        <w:t xml:space="preserve"> esencia, el objetivo de las fórmulas tarifarias es el de agregar los costos en que debe incurrir el prestador del servicio para atender a sus usuarios finales.</w:t>
      </w:r>
    </w:p>
    <w:p w14:paraId="27765BD5" w14:textId="35822C3E" w:rsidR="0052686C" w:rsidRPr="00842608" w:rsidRDefault="0052686C" w:rsidP="000A1768">
      <w:pPr>
        <w:pStyle w:val="Ttulo4"/>
        <w:spacing w:before="100" w:beforeAutospacing="1" w:after="100" w:afterAutospacing="1" w:line="360" w:lineRule="auto"/>
        <w:ind w:hanging="790"/>
      </w:pPr>
      <w:r w:rsidRPr="00842608">
        <w:lastRenderedPageBreak/>
        <w:t>Cilindros y tanques</w:t>
      </w:r>
      <w:r w:rsidR="00605AF3" w:rsidRPr="00842608">
        <w:t xml:space="preserve"> estacionarios</w:t>
      </w:r>
      <w:r w:rsidRPr="00842608">
        <w:t xml:space="preserve"> </w:t>
      </w:r>
    </w:p>
    <w:p w14:paraId="1804A412" w14:textId="152BCCE0" w:rsidR="0037265E" w:rsidRDefault="00417D65" w:rsidP="002F1961">
      <w:pPr>
        <w:spacing w:before="100" w:beforeAutospacing="1" w:after="100" w:afterAutospacing="1" w:line="360" w:lineRule="auto"/>
        <w:rPr>
          <w:rFonts w:cs="Arial"/>
          <w:spacing w:val="-5"/>
          <w:lang w:val="es-ES"/>
        </w:rPr>
      </w:pPr>
      <w:r w:rsidRPr="37A77A19">
        <w:rPr>
          <w:spacing w:val="-3"/>
          <w:lang w:val="es-ES"/>
        </w:rPr>
        <w:t>L</w:t>
      </w:r>
      <w:r w:rsidR="0037265E" w:rsidRPr="37A77A19">
        <w:rPr>
          <w:spacing w:val="-3"/>
          <w:lang w:val="es-ES"/>
        </w:rPr>
        <w:t xml:space="preserve">a Resolución CREG 180 de 2009 establece la fórmula tarifaria que deben aplicar las empresas prestadoras del servicio </w:t>
      </w:r>
      <w:r w:rsidR="00F05616" w:rsidRPr="37A77A19">
        <w:rPr>
          <w:spacing w:val="-3"/>
          <w:lang w:val="es-ES"/>
        </w:rPr>
        <w:t>de GLP</w:t>
      </w:r>
      <w:r w:rsidR="00965FAF" w:rsidRPr="37A77A19">
        <w:rPr>
          <w:spacing w:val="-3"/>
          <w:lang w:val="es-ES"/>
        </w:rPr>
        <w:t>, a través de cilindros y tanques estacionarios</w:t>
      </w:r>
      <w:r w:rsidR="005F1D14">
        <w:rPr>
          <w:spacing w:val="-3"/>
          <w:lang w:val="es-ES"/>
        </w:rPr>
        <w:t>, para determinar</w:t>
      </w:r>
      <w:r w:rsidR="0037265E">
        <w:rPr>
          <w:spacing w:val="-3"/>
          <w:lang w:val="es-ES"/>
        </w:rPr>
        <w:t xml:space="preserve"> el </w:t>
      </w:r>
      <w:r w:rsidR="005F1D14">
        <w:rPr>
          <w:spacing w:val="-3"/>
          <w:lang w:val="es-ES"/>
        </w:rPr>
        <w:t>costo unitario</w:t>
      </w:r>
      <w:r w:rsidR="0037265E">
        <w:rPr>
          <w:spacing w:val="-3"/>
          <w:lang w:val="es-ES"/>
        </w:rPr>
        <w:t xml:space="preserve"> de </w:t>
      </w:r>
      <w:r w:rsidR="00600AEE">
        <w:rPr>
          <w:spacing w:val="-3"/>
          <w:lang w:val="es-ES"/>
        </w:rPr>
        <w:t>dicho</w:t>
      </w:r>
      <w:r w:rsidR="0037265E">
        <w:rPr>
          <w:spacing w:val="-3"/>
          <w:lang w:val="es-ES"/>
        </w:rPr>
        <w:t xml:space="preserve"> servicio</w:t>
      </w:r>
      <w:r w:rsidR="0037265E" w:rsidRPr="37A77A19">
        <w:rPr>
          <w:spacing w:val="-3"/>
          <w:lang w:val="es-ES"/>
        </w:rPr>
        <w:t xml:space="preserve">. </w:t>
      </w:r>
    </w:p>
    <w:p w14:paraId="051709FA" w14:textId="77777777" w:rsidR="0037265E" w:rsidRDefault="0037265E" w:rsidP="002F1961">
      <w:pPr>
        <w:spacing w:before="100" w:beforeAutospacing="1" w:after="100" w:afterAutospacing="1" w:line="360" w:lineRule="auto"/>
        <w:rPr>
          <w:rFonts w:cs="Arial"/>
          <w:spacing w:val="-5"/>
          <w:szCs w:val="24"/>
        </w:rPr>
      </w:pPr>
      <w:r w:rsidRPr="0037265E">
        <w:rPr>
          <w:rFonts w:cs="Arial"/>
          <w:spacing w:val="-5"/>
          <w:szCs w:val="24"/>
        </w:rPr>
        <w:t>La fórmula tarifaria definida en la resolución mencionada y que se aplica al servicio público domiciliario de GLP es:</w:t>
      </w:r>
      <w:r w:rsidRPr="0037265E" w:rsidDel="00F00E87">
        <w:rPr>
          <w:rFonts w:cs="Arial"/>
          <w:spacing w:val="-5"/>
          <w:szCs w:val="24"/>
        </w:rPr>
        <w:t xml:space="preserve"> </w:t>
      </w:r>
    </w:p>
    <w:p w14:paraId="5FE68194" w14:textId="77777777" w:rsidR="0037265E" w:rsidRPr="0037265E" w:rsidRDefault="0037265E" w:rsidP="002F1961">
      <w:pPr>
        <w:spacing w:before="100" w:beforeAutospacing="1" w:after="100" w:afterAutospacing="1" w:line="360" w:lineRule="auto"/>
        <w:ind w:firstLine="708"/>
        <w:jc w:val="center"/>
        <w:rPr>
          <w:rFonts w:cs="Arial"/>
          <w:spacing w:val="-5"/>
          <w:szCs w:val="24"/>
        </w:rPr>
      </w:pPr>
      <w:r w:rsidRPr="0037265E">
        <w:rPr>
          <w:rFonts w:cs="Arial"/>
          <w:spacing w:val="-5"/>
          <w:position w:val="-6"/>
          <w:szCs w:val="24"/>
        </w:rPr>
        <w:object w:dxaOrig="2140" w:dyaOrig="279" w14:anchorId="1F317C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9pt;height:21.7pt" o:ole="">
            <v:imagedata r:id="rId43" o:title=""/>
          </v:shape>
          <o:OLEObject Type="Embed" ProgID="Equation.3" ShapeID="_x0000_i1025" DrawAspect="Content" ObjectID="_1845746750" r:id="rId44"/>
        </w:object>
      </w:r>
    </w:p>
    <w:p w14:paraId="62BDF8DE" w14:textId="77777777" w:rsidR="0037265E" w:rsidRPr="0037265E" w:rsidRDefault="0037265E" w:rsidP="002F1961">
      <w:pPr>
        <w:tabs>
          <w:tab w:val="left" w:pos="9186"/>
        </w:tabs>
        <w:autoSpaceDE w:val="0"/>
        <w:autoSpaceDN w:val="0"/>
        <w:spacing w:before="100" w:beforeAutospacing="1" w:after="100" w:afterAutospacing="1" w:line="360" w:lineRule="auto"/>
        <w:ind w:right="476"/>
        <w:rPr>
          <w:rFonts w:cs="Arial"/>
          <w:spacing w:val="-5"/>
          <w:szCs w:val="24"/>
        </w:rPr>
      </w:pPr>
      <w:r w:rsidRPr="0037265E">
        <w:rPr>
          <w:rFonts w:cs="Arial"/>
          <w:spacing w:val="-5"/>
          <w:position w:val="-6"/>
          <w:szCs w:val="24"/>
        </w:rPr>
        <w:object w:dxaOrig="380" w:dyaOrig="279" w14:anchorId="4873A819">
          <v:shape id="_x0000_i1026" type="#_x0000_t75" style="width:26.75pt;height:21.7pt" o:ole="">
            <v:imagedata r:id="rId45" o:title=""/>
          </v:shape>
          <o:OLEObject Type="Embed" ProgID="Equation.3" ShapeID="_x0000_i1026" DrawAspect="Content" ObjectID="_1845746751" r:id="rId46"/>
        </w:object>
      </w:r>
      <w:r w:rsidRPr="0037265E">
        <w:rPr>
          <w:rFonts w:cs="Arial"/>
          <w:spacing w:val="-5"/>
          <w:szCs w:val="24"/>
        </w:rPr>
        <w:t>: Costo Unitario de Prestación del Servicio (pesos por kilogramo - $/kg.)</w:t>
      </w:r>
    </w:p>
    <w:p w14:paraId="528C9389" w14:textId="1923BD8D" w:rsidR="0037265E" w:rsidRPr="00A0386D" w:rsidRDefault="0037265E" w:rsidP="002F1961">
      <w:pPr>
        <w:tabs>
          <w:tab w:val="left" w:pos="9186"/>
        </w:tabs>
        <w:autoSpaceDE w:val="0"/>
        <w:autoSpaceDN w:val="0"/>
        <w:spacing w:before="100" w:beforeAutospacing="1" w:after="100" w:afterAutospacing="1" w:line="360" w:lineRule="auto"/>
        <w:ind w:right="51"/>
        <w:rPr>
          <w:rFonts w:cs="Arial"/>
          <w:spacing w:val="-5"/>
          <w:szCs w:val="24"/>
        </w:rPr>
      </w:pPr>
      <w:r w:rsidRPr="0037265E">
        <w:rPr>
          <w:rFonts w:cs="Arial"/>
          <w:spacing w:val="-5"/>
          <w:szCs w:val="24"/>
        </w:rPr>
        <w:t>Para los usuarios finales. Cuando el servicio se presta en cilindros, este costo unitario se multiplica por la cantidad de kilogramos de gas que contienen las diferentes denominaciones de dichos cilindros</w:t>
      </w:r>
      <w:r w:rsidR="00F56206">
        <w:rPr>
          <w:rFonts w:cs="Arial"/>
          <w:spacing w:val="-5"/>
          <w:szCs w:val="24"/>
        </w:rPr>
        <w:t xml:space="preserve">. </w:t>
      </w:r>
      <w:r w:rsidRPr="00A0386D">
        <w:rPr>
          <w:rFonts w:cs="Arial"/>
          <w:spacing w:val="-5"/>
          <w:szCs w:val="24"/>
        </w:rPr>
        <w:t xml:space="preserve">Este valor del Cu puede variar mensualmente según varíen los </w:t>
      </w:r>
      <w:r w:rsidRPr="00A0386D">
        <w:rPr>
          <w:rFonts w:cs="Arial"/>
          <w:spacing w:val="-5"/>
          <w:szCs w:val="24"/>
        </w:rPr>
        <w:t>c</w:t>
      </w:r>
      <w:r w:rsidRPr="00A0386D">
        <w:rPr>
          <w:rFonts w:cs="Arial"/>
          <w:spacing w:val="-5"/>
          <w:szCs w:val="24"/>
        </w:rPr>
        <w:t>omponentes G, T, D y Cd de la fórmula.</w:t>
      </w:r>
    </w:p>
    <w:p w14:paraId="0C4FE92F" w14:textId="77777777" w:rsidR="00702D98" w:rsidRPr="00702D98" w:rsidRDefault="00702D98">
      <w:pPr>
        <w:numPr>
          <w:ilvl w:val="0"/>
          <w:numId w:val="18"/>
        </w:numPr>
        <w:tabs>
          <w:tab w:val="left" w:pos="9186"/>
        </w:tabs>
        <w:autoSpaceDE w:val="0"/>
        <w:autoSpaceDN w:val="0"/>
        <w:spacing w:before="100" w:beforeAutospacing="1" w:after="100" w:afterAutospacing="1" w:line="360" w:lineRule="auto"/>
        <w:ind w:left="426" w:right="476"/>
        <w:rPr>
          <w:rFonts w:cs="Arial"/>
          <w:spacing w:val="-5"/>
          <w:szCs w:val="24"/>
        </w:rPr>
      </w:pPr>
      <w:r w:rsidRPr="00702D98">
        <w:rPr>
          <w:spacing w:val="-5"/>
          <w:position w:val="-6"/>
          <w:szCs w:val="24"/>
        </w:rPr>
        <w:object w:dxaOrig="260" w:dyaOrig="279" w14:anchorId="70B6C017">
          <v:shape id="_x0000_i1027" type="#_x0000_t75" style="width:18.9pt;height:21.7pt" o:ole="">
            <v:imagedata r:id="rId47" o:title=""/>
          </v:shape>
          <o:OLEObject Type="Embed" ProgID="Equation.3" ShapeID="_x0000_i1027" DrawAspect="Content" ObjectID="_1845746752" r:id="rId48"/>
        </w:object>
      </w:r>
      <w:r w:rsidRPr="00702D98">
        <w:rPr>
          <w:rFonts w:cs="Arial"/>
          <w:spacing w:val="-5"/>
          <w:szCs w:val="24"/>
        </w:rPr>
        <w:t>: Costo de compra del GLP, se calcula en $/kg.</w:t>
      </w:r>
    </w:p>
    <w:p w14:paraId="5EC69B18" w14:textId="64A196E2" w:rsidR="00702D98" w:rsidRPr="00702D98" w:rsidRDefault="002620A3" w:rsidP="002F1961">
      <w:pPr>
        <w:tabs>
          <w:tab w:val="left" w:pos="9186"/>
        </w:tabs>
        <w:autoSpaceDE w:val="0"/>
        <w:autoSpaceDN w:val="0"/>
        <w:spacing w:before="100" w:beforeAutospacing="1" w:after="100" w:afterAutospacing="1" w:line="360" w:lineRule="auto"/>
        <w:ind w:right="-1"/>
        <w:rPr>
          <w:rFonts w:cs="Arial"/>
          <w:spacing w:val="-5"/>
          <w:lang w:val="es-ES"/>
        </w:rPr>
      </w:pPr>
      <w:r w:rsidRPr="4DD9625D">
        <w:rPr>
          <w:rFonts w:cs="Arial"/>
          <w:spacing w:val="-5"/>
          <w:lang w:val="es-ES"/>
        </w:rPr>
        <w:t xml:space="preserve">Como se menciona </w:t>
      </w:r>
      <w:r w:rsidR="00F5354D" w:rsidRPr="4DD9625D">
        <w:rPr>
          <w:rFonts w:cs="Arial"/>
          <w:spacing w:val="-5"/>
          <w:lang w:val="es-ES"/>
        </w:rPr>
        <w:t xml:space="preserve">en el numeral 1.2.1 </w:t>
      </w:r>
      <w:r w:rsidRPr="4DD9625D">
        <w:rPr>
          <w:rFonts w:cs="Arial"/>
          <w:spacing w:val="-5"/>
          <w:lang w:val="es-ES"/>
        </w:rPr>
        <w:t>del presente documento, e</w:t>
      </w:r>
      <w:r w:rsidR="00702D98" w:rsidRPr="4DD9625D">
        <w:rPr>
          <w:rFonts w:cs="Arial"/>
          <w:spacing w:val="-5"/>
          <w:lang w:val="es-ES"/>
        </w:rPr>
        <w:t xml:space="preserve">l </w:t>
      </w:r>
      <w:r w:rsidR="00F5354D" w:rsidRPr="4DD9625D">
        <w:rPr>
          <w:rFonts w:cs="Arial"/>
          <w:spacing w:val="-5"/>
          <w:lang w:val="es-ES"/>
        </w:rPr>
        <w:t>GLP</w:t>
      </w:r>
      <w:r w:rsidR="00702D98" w:rsidRPr="4DD9625D">
        <w:rPr>
          <w:rFonts w:cs="Arial"/>
          <w:spacing w:val="-5"/>
          <w:lang w:val="es-ES"/>
        </w:rPr>
        <w:t xml:space="preserve"> puede tener diferentes precios dependiendo de la fuente de origen </w:t>
      </w:r>
      <w:r w:rsidR="1217AFE0" w:rsidRPr="4DD9625D">
        <w:rPr>
          <w:rFonts w:cs="Arial"/>
          <w:spacing w:val="-5"/>
          <w:lang w:val="es-ES"/>
        </w:rPr>
        <w:t>de este</w:t>
      </w:r>
      <w:r w:rsidR="00702D98" w:rsidRPr="4DD9625D">
        <w:rPr>
          <w:rFonts w:cs="Arial"/>
          <w:spacing w:val="-5"/>
          <w:lang w:val="es-ES"/>
        </w:rPr>
        <w:t xml:space="preserve">, sea ésta de producción nacional </w:t>
      </w:r>
      <w:r w:rsidR="10FDFEC5" w:rsidRPr="4DD9625D">
        <w:rPr>
          <w:rFonts w:cs="Arial"/>
          <w:spacing w:val="-5"/>
          <w:lang w:val="es-ES"/>
        </w:rPr>
        <w:t>e</w:t>
      </w:r>
      <w:r w:rsidR="00702D98" w:rsidRPr="4DD9625D">
        <w:rPr>
          <w:rFonts w:cs="Arial"/>
          <w:spacing w:val="-5"/>
          <w:lang w:val="es-ES"/>
        </w:rPr>
        <w:t xml:space="preserve"> importaci</w:t>
      </w:r>
      <w:r w:rsidR="4BD6441E" w:rsidRPr="4DD9625D">
        <w:rPr>
          <w:rFonts w:cs="Arial"/>
          <w:spacing w:val="-5"/>
          <w:lang w:val="es-ES"/>
        </w:rPr>
        <w:t xml:space="preserve">ones, cuyos precios pueden diferir dependiendo del origen del productor, la estructura contractual y las condiciones de </w:t>
      </w:r>
      <w:r w:rsidR="00A61071" w:rsidRPr="4DD9625D">
        <w:rPr>
          <w:rFonts w:cs="Arial"/>
          <w:spacing w:val="-5"/>
          <w:lang w:val="es-ES"/>
        </w:rPr>
        <w:t>abastecimiento</w:t>
      </w:r>
      <w:r w:rsidR="4BD6441E" w:rsidRPr="4DD9625D">
        <w:rPr>
          <w:rFonts w:cs="Arial"/>
          <w:spacing w:val="-5"/>
          <w:lang w:val="es-ES"/>
        </w:rPr>
        <w:t>.</w:t>
      </w:r>
      <w:r w:rsidR="00702D98" w:rsidRPr="4DD9625D">
        <w:rPr>
          <w:rFonts w:cs="Arial"/>
          <w:spacing w:val="-5"/>
          <w:lang w:val="es-ES"/>
        </w:rPr>
        <w:t xml:space="preserve"> Las fuentes de producción nacional son generalmente refinerías como las localizadas en las ciudades de Cartagena y Barrancabermeja; pero también se obtiene del tratamiento del gas natural como en Tauramena - Casanare en el campo de producción Cusiana. Si el distribuidor adquiere el producto desde diferentes fuentes, el costo se determina como el promedio ponderado del precio de todas sus compras.</w:t>
      </w:r>
    </w:p>
    <w:p w14:paraId="47D3A475" w14:textId="02FAA844" w:rsidR="003B6617" w:rsidRDefault="00A74166" w:rsidP="002F1961">
      <w:pPr>
        <w:tabs>
          <w:tab w:val="left" w:pos="9186"/>
        </w:tabs>
        <w:autoSpaceDE w:val="0"/>
        <w:autoSpaceDN w:val="0"/>
        <w:spacing w:before="100" w:beforeAutospacing="1" w:after="100" w:afterAutospacing="1" w:line="360" w:lineRule="auto"/>
        <w:ind w:right="-1"/>
        <w:rPr>
          <w:rFonts w:cs="Arial"/>
          <w:spacing w:val="-5"/>
          <w:szCs w:val="24"/>
        </w:rPr>
      </w:pPr>
      <w:r w:rsidRPr="00A74166">
        <w:rPr>
          <w:rFonts w:cs="Arial"/>
          <w:spacing w:val="-5"/>
          <w:szCs w:val="24"/>
        </w:rPr>
        <w:t xml:space="preserve">Para determinar la remuneración de las empresas que proveen el GLP a los distribuidores la CREG consideró la posición dominante de ECOPETROL y determinó la necesidad de </w:t>
      </w:r>
      <w:r w:rsidRPr="00A74166">
        <w:rPr>
          <w:rFonts w:cs="Arial"/>
          <w:spacing w:val="-5"/>
          <w:szCs w:val="24"/>
        </w:rPr>
        <w:lastRenderedPageBreak/>
        <w:t>someter dicha remuneración al régimen de libertad regulada contemplado en el artículo 88 de la Ley 142 de 1994. Para el efecto, mediante Resolución CREG 066 de 2007 adoptó las fórmulas tarifarias con base en las cuales ECOPETROL puede determinar el precio máximo que puede cobrar a los distribuidores que le compran el GLP.</w:t>
      </w:r>
    </w:p>
    <w:p w14:paraId="43CF6E60" w14:textId="09AE93A6" w:rsidR="001336C9" w:rsidRPr="00702D98" w:rsidRDefault="001336C9" w:rsidP="002F1961">
      <w:pPr>
        <w:tabs>
          <w:tab w:val="left" w:pos="9186"/>
        </w:tabs>
        <w:autoSpaceDE w:val="0"/>
        <w:autoSpaceDN w:val="0"/>
        <w:spacing w:before="100" w:beforeAutospacing="1" w:after="100" w:afterAutospacing="1" w:line="360" w:lineRule="auto"/>
        <w:ind w:right="-1"/>
        <w:rPr>
          <w:rFonts w:cs="Arial"/>
          <w:spacing w:val="-5"/>
          <w:lang w:val="es-ES"/>
        </w:rPr>
      </w:pPr>
      <w:r w:rsidRPr="4DD9625D">
        <w:rPr>
          <w:rFonts w:cs="Arial"/>
          <w:spacing w:val="-5"/>
          <w:lang w:val="es-ES"/>
        </w:rPr>
        <w:t>Teniendo en cuenta lo anterior, dentro de los determinantes del precio del producto se encuentran el precio del propano, el precio del butano y la tasa representativa del mercado, situación que lleva a que se presenten variaciones de manera permanente en el precio del producto regulado. Cabe resaltar que el precio del producto que no es comercializado por Ecopetrol es libre y el mismo se determina mediante negociación directa entre comercializadores mayoristas y sus contrapartes.</w:t>
      </w:r>
    </w:p>
    <w:p w14:paraId="73C38EC8" w14:textId="77777777" w:rsidR="009B0170" w:rsidRPr="009B0170" w:rsidRDefault="009B0170">
      <w:pPr>
        <w:numPr>
          <w:ilvl w:val="0"/>
          <w:numId w:val="18"/>
        </w:numPr>
        <w:tabs>
          <w:tab w:val="left" w:pos="9186"/>
        </w:tabs>
        <w:autoSpaceDE w:val="0"/>
        <w:autoSpaceDN w:val="0"/>
        <w:spacing w:before="100" w:beforeAutospacing="1" w:after="100" w:afterAutospacing="1" w:line="360" w:lineRule="auto"/>
        <w:ind w:left="426" w:right="476"/>
        <w:rPr>
          <w:spacing w:val="-5"/>
          <w:position w:val="-6"/>
          <w:szCs w:val="24"/>
        </w:rPr>
      </w:pPr>
      <w:r w:rsidRPr="009B0170">
        <w:rPr>
          <w:spacing w:val="-5"/>
          <w:position w:val="-6"/>
          <w:szCs w:val="24"/>
        </w:rPr>
        <w:object w:dxaOrig="220" w:dyaOrig="260" w14:anchorId="550379BB">
          <v:shape id="_x0000_i1028" type="#_x0000_t75" style="width:16.6pt;height:18.9pt" o:ole="">
            <v:imagedata r:id="rId49" o:title=""/>
          </v:shape>
          <o:OLEObject Type="Embed" ProgID="Equation.3" ShapeID="_x0000_i1028" DrawAspect="Content" ObjectID="_1845746753" r:id="rId50"/>
        </w:object>
      </w:r>
      <w:r w:rsidRPr="009B0170">
        <w:rPr>
          <w:spacing w:val="-5"/>
          <w:position w:val="-6"/>
          <w:szCs w:val="24"/>
        </w:rPr>
        <w:t>: Costo de transporte por ducto, se calcula en $/kg.</w:t>
      </w:r>
    </w:p>
    <w:p w14:paraId="1022C94C" w14:textId="3EE3E966" w:rsidR="009B0170" w:rsidRPr="009B0170" w:rsidRDefault="00A11564" w:rsidP="002F1961">
      <w:pPr>
        <w:tabs>
          <w:tab w:val="left" w:pos="9186"/>
        </w:tabs>
        <w:autoSpaceDE w:val="0"/>
        <w:autoSpaceDN w:val="0"/>
        <w:spacing w:before="100" w:beforeAutospacing="1" w:after="100" w:afterAutospacing="1" w:line="360" w:lineRule="auto"/>
        <w:ind w:right="-1"/>
        <w:rPr>
          <w:rFonts w:cs="Arial"/>
          <w:spacing w:val="-5"/>
          <w:szCs w:val="24"/>
        </w:rPr>
      </w:pPr>
      <w:r>
        <w:rPr>
          <w:rFonts w:cs="Arial"/>
          <w:spacing w:val="-5"/>
          <w:szCs w:val="24"/>
        </w:rPr>
        <w:t xml:space="preserve">Como se señala en el numeral </w:t>
      </w:r>
      <w:r w:rsidR="00A61071">
        <w:rPr>
          <w:rFonts w:cs="Arial"/>
          <w:spacing w:val="-5"/>
          <w:szCs w:val="24"/>
        </w:rPr>
        <w:fldChar w:fldCharType="begin"/>
      </w:r>
      <w:r w:rsidR="00A61071">
        <w:rPr>
          <w:rFonts w:cs="Arial"/>
          <w:spacing w:val="-5"/>
          <w:szCs w:val="24"/>
        </w:rPr>
        <w:instrText xml:space="preserve"> REF _Ref235085919 \r \h </w:instrText>
      </w:r>
      <w:r w:rsidR="00A61071">
        <w:rPr>
          <w:rFonts w:cs="Arial"/>
          <w:spacing w:val="-5"/>
          <w:szCs w:val="24"/>
        </w:rPr>
      </w:r>
      <w:r w:rsidR="00A61071">
        <w:rPr>
          <w:rFonts w:cs="Arial"/>
          <w:spacing w:val="-5"/>
          <w:szCs w:val="24"/>
        </w:rPr>
        <w:fldChar w:fldCharType="separate"/>
      </w:r>
      <w:r w:rsidR="00A61071">
        <w:rPr>
          <w:rFonts w:cs="Arial"/>
          <w:spacing w:val="-5"/>
          <w:szCs w:val="24"/>
        </w:rPr>
        <w:t>1.2.2</w:t>
      </w:r>
      <w:r w:rsidR="00A61071">
        <w:rPr>
          <w:rFonts w:cs="Arial"/>
          <w:spacing w:val="-5"/>
          <w:szCs w:val="24"/>
        </w:rPr>
        <w:fldChar w:fldCharType="end"/>
      </w:r>
      <w:r w:rsidR="00DE3CCA">
        <w:rPr>
          <w:rFonts w:cs="Arial"/>
          <w:spacing w:val="-5"/>
          <w:szCs w:val="24"/>
        </w:rPr>
        <w:t xml:space="preserve"> del presente documento, el</w:t>
      </w:r>
      <w:r w:rsidR="009B0170" w:rsidRPr="009B0170">
        <w:rPr>
          <w:rFonts w:cs="Arial"/>
          <w:spacing w:val="-5"/>
          <w:szCs w:val="24"/>
        </w:rPr>
        <w:t xml:space="preserve"> cargo </w:t>
      </w:r>
      <w:r w:rsidR="00BC68F9">
        <w:rPr>
          <w:rFonts w:cs="Arial"/>
          <w:spacing w:val="-5"/>
          <w:szCs w:val="24"/>
        </w:rPr>
        <w:t xml:space="preserve">de transporte por poliducto </w:t>
      </w:r>
      <w:r w:rsidR="009B0170" w:rsidRPr="009B0170">
        <w:rPr>
          <w:rFonts w:cs="Arial"/>
          <w:spacing w:val="-5"/>
          <w:szCs w:val="24"/>
        </w:rPr>
        <w:t>lo aplican los distribuidores que adquieren el producto proveniente de la refinería de Barrancabermeja y lo transportan hasta uno de los diferentes puntos terminales del sistema de transporte.</w:t>
      </w:r>
    </w:p>
    <w:p w14:paraId="21911DD0" w14:textId="77777777" w:rsidR="009B0170" w:rsidRPr="009B0170" w:rsidRDefault="009B0170" w:rsidP="002F1961">
      <w:pPr>
        <w:tabs>
          <w:tab w:val="left" w:pos="9186"/>
        </w:tabs>
        <w:autoSpaceDE w:val="0"/>
        <w:autoSpaceDN w:val="0"/>
        <w:spacing w:before="100" w:beforeAutospacing="1" w:after="100" w:afterAutospacing="1" w:line="360" w:lineRule="auto"/>
        <w:ind w:right="-1"/>
        <w:rPr>
          <w:rFonts w:cs="Arial"/>
          <w:spacing w:val="-5"/>
          <w:szCs w:val="24"/>
        </w:rPr>
      </w:pPr>
      <w:r w:rsidRPr="009B0170">
        <w:rPr>
          <w:rFonts w:cs="Arial"/>
          <w:spacing w:val="-5"/>
          <w:szCs w:val="24"/>
        </w:rPr>
        <w:t>Este costo varía según el ducto utilizado y en función a la distancia transportada, costo que se establece en las Resoluciones CREG 016 y 099 de 2010. Dado que este costo fue fijado al 31 de diciembre de 2007 se ajusta mensualmente con base en el Índice de Precios al Productor - IPP.</w:t>
      </w:r>
    </w:p>
    <w:p w14:paraId="1D3D5BA3" w14:textId="77777777" w:rsidR="009B0170" w:rsidRPr="009B0170" w:rsidRDefault="009B0170">
      <w:pPr>
        <w:numPr>
          <w:ilvl w:val="0"/>
          <w:numId w:val="18"/>
        </w:numPr>
        <w:tabs>
          <w:tab w:val="left" w:pos="9186"/>
        </w:tabs>
        <w:autoSpaceDE w:val="0"/>
        <w:autoSpaceDN w:val="0"/>
        <w:spacing w:before="100" w:beforeAutospacing="1" w:after="100" w:afterAutospacing="1" w:line="360" w:lineRule="auto"/>
        <w:ind w:left="426" w:right="476"/>
        <w:rPr>
          <w:spacing w:val="-5"/>
          <w:position w:val="-6"/>
          <w:szCs w:val="24"/>
        </w:rPr>
      </w:pPr>
      <w:r w:rsidRPr="009B0170">
        <w:rPr>
          <w:spacing w:val="-5"/>
          <w:position w:val="-6"/>
          <w:szCs w:val="24"/>
        </w:rPr>
        <w:object w:dxaOrig="240" w:dyaOrig="260" w14:anchorId="0161DA9F">
          <v:shape id="_x0000_i1029" type="#_x0000_t75" style="width:18.9pt;height:18.9pt" o:ole="">
            <v:imagedata r:id="rId51" o:title=""/>
          </v:shape>
          <o:OLEObject Type="Embed" ProgID="Equation.3" ShapeID="_x0000_i1029" DrawAspect="Content" ObjectID="_1845746754" r:id="rId52"/>
        </w:object>
      </w:r>
      <w:r w:rsidRPr="009B0170">
        <w:rPr>
          <w:spacing w:val="-5"/>
          <w:position w:val="-6"/>
          <w:szCs w:val="24"/>
        </w:rPr>
        <w:t>: Cargo de Distribución, se calcula en $/kg.</w:t>
      </w:r>
    </w:p>
    <w:p w14:paraId="204C7026" w14:textId="77777777" w:rsidR="009B0170" w:rsidRPr="009B0170" w:rsidRDefault="009B0170" w:rsidP="002F1961">
      <w:pPr>
        <w:tabs>
          <w:tab w:val="left" w:pos="9186"/>
        </w:tabs>
        <w:autoSpaceDE w:val="0"/>
        <w:autoSpaceDN w:val="0"/>
        <w:spacing w:before="100" w:beforeAutospacing="1" w:after="100" w:afterAutospacing="1" w:line="360" w:lineRule="auto"/>
        <w:ind w:right="-1"/>
        <w:rPr>
          <w:rFonts w:cs="Arial"/>
          <w:spacing w:val="-5"/>
          <w:szCs w:val="24"/>
        </w:rPr>
      </w:pPr>
      <w:r w:rsidRPr="009B0170">
        <w:rPr>
          <w:rFonts w:cs="Arial"/>
          <w:spacing w:val="-5"/>
          <w:szCs w:val="24"/>
        </w:rPr>
        <w:t xml:space="preserve">Este cargo reconoce el costo de transporte del GLP desde el terminal del sistema de transporte, en caso de ser GLP proveniente de la refinería de Barrancabermeja, o desde puerto o punto de entrega del productor hasta las plantas de envasado (lugar donde se envasa el gas en cilindros). Cuando el servicio de distribución se presta a través de tanques estacionarios, este cargo también reconoce el costo del transporte del GLP desde la planta de envasado hasta el domicilio del usuario final del tanque. Este cargo varía para cada </w:t>
      </w:r>
      <w:r w:rsidRPr="009B0170">
        <w:rPr>
          <w:rFonts w:cs="Arial"/>
          <w:spacing w:val="-5"/>
          <w:szCs w:val="24"/>
        </w:rPr>
        <w:lastRenderedPageBreak/>
        <w:t xml:space="preserve">distribuidor y para cada una de sus plantas de envasado, según el tamaño y según la distancia a la que se encuentra de los puntos de abasto del producto. El distribuidor determina el valor de su cargo de distribución dentro de un régimen de libertad vigilada, según Resolución CREG 001 de 2009. </w:t>
      </w:r>
    </w:p>
    <w:p w14:paraId="081BE9F3" w14:textId="77777777" w:rsidR="009B0170" w:rsidRPr="009B0170" w:rsidRDefault="009B0170">
      <w:pPr>
        <w:numPr>
          <w:ilvl w:val="0"/>
          <w:numId w:val="18"/>
        </w:numPr>
        <w:tabs>
          <w:tab w:val="left" w:pos="9186"/>
        </w:tabs>
        <w:autoSpaceDE w:val="0"/>
        <w:autoSpaceDN w:val="0"/>
        <w:spacing w:before="100" w:beforeAutospacing="1" w:after="100" w:afterAutospacing="1" w:line="360" w:lineRule="auto"/>
        <w:ind w:left="426" w:right="476"/>
        <w:rPr>
          <w:spacing w:val="-5"/>
          <w:position w:val="-6"/>
          <w:szCs w:val="24"/>
        </w:rPr>
      </w:pPr>
      <w:r w:rsidRPr="009B0170">
        <w:rPr>
          <w:spacing w:val="-5"/>
          <w:position w:val="-6"/>
          <w:szCs w:val="24"/>
        </w:rPr>
        <w:object w:dxaOrig="380" w:dyaOrig="279" w14:anchorId="220CB784">
          <v:shape id="_x0000_i1030" type="#_x0000_t75" style="width:26.75pt;height:21.7pt" o:ole="">
            <v:imagedata r:id="rId53" o:title=""/>
          </v:shape>
          <o:OLEObject Type="Embed" ProgID="Equation.3" ShapeID="_x0000_i1030" DrawAspect="Content" ObjectID="_1845746755" r:id="rId54"/>
        </w:object>
      </w:r>
      <w:r w:rsidRPr="009B0170">
        <w:rPr>
          <w:spacing w:val="-5"/>
          <w:position w:val="-6"/>
          <w:szCs w:val="24"/>
        </w:rPr>
        <w:t>: Cargo de Comercialización Minorista, se calcula en $/kg.</w:t>
      </w:r>
    </w:p>
    <w:p w14:paraId="17FEA39D" w14:textId="08987E56" w:rsidR="009B0170" w:rsidRPr="009B0170" w:rsidRDefault="009B0170" w:rsidP="002F1961">
      <w:pPr>
        <w:tabs>
          <w:tab w:val="left" w:pos="9186"/>
        </w:tabs>
        <w:autoSpaceDE w:val="0"/>
        <w:autoSpaceDN w:val="0"/>
        <w:spacing w:before="100" w:beforeAutospacing="1" w:after="100" w:afterAutospacing="1" w:line="360" w:lineRule="auto"/>
        <w:ind w:right="-1"/>
        <w:rPr>
          <w:rFonts w:cs="Arial"/>
          <w:spacing w:val="-5"/>
          <w:szCs w:val="24"/>
        </w:rPr>
      </w:pPr>
      <w:r w:rsidRPr="009B0170">
        <w:rPr>
          <w:rFonts w:cs="Arial"/>
          <w:spacing w:val="-5"/>
          <w:szCs w:val="24"/>
        </w:rPr>
        <w:t>Este cargo remunera los costos de entrega de GLP envasado en cilindros en el domicilio de usuarios finales. Este cargo varía para cada comercializador y municipio pues incluye el costo de traslado de los cilindros desde la planta de envasado hasta los diferentes domicilios en el municipio atendido. Este costo además es diferente si la entrega la hace a través de un expendio o si la hace en el domicilio del usuario. El comercializador determina el valor de su cargo de comercialización dentro de un régimen de libertad vigilada, según Resolución CREG 001 de 2009.</w:t>
      </w:r>
      <w:r w:rsidRPr="009B0170">
        <w:rPr>
          <w:rFonts w:cs="Arial"/>
          <w:spacing w:val="-5"/>
          <w:szCs w:val="24"/>
          <w:vertAlign w:val="superscript"/>
        </w:rPr>
        <w:t xml:space="preserve"> </w:t>
      </w:r>
    </w:p>
    <w:p w14:paraId="687D024C" w14:textId="2EB2B1F5" w:rsidR="0052686C" w:rsidRPr="00842608" w:rsidRDefault="0052686C" w:rsidP="002F1961">
      <w:pPr>
        <w:pStyle w:val="Ttulo4"/>
        <w:spacing w:before="100" w:beforeAutospacing="1" w:after="100" w:afterAutospacing="1" w:line="360" w:lineRule="auto"/>
      </w:pPr>
      <w:r w:rsidRPr="00842608">
        <w:t>Redes</w:t>
      </w:r>
      <w:r w:rsidR="00651FD1" w:rsidRPr="00842608">
        <w:t xml:space="preserve"> de tubería</w:t>
      </w:r>
    </w:p>
    <w:p w14:paraId="4613A30E" w14:textId="44F5E737" w:rsidR="003B485F" w:rsidRDefault="006C27CF" w:rsidP="002F1961">
      <w:pPr>
        <w:spacing w:before="100" w:beforeAutospacing="1" w:after="100" w:afterAutospacing="1" w:line="360" w:lineRule="auto"/>
      </w:pPr>
      <w:r w:rsidRPr="006C27CF">
        <w:t xml:space="preserve">La fórmula tarifaria es el </w:t>
      </w:r>
      <w:r w:rsidR="00C66ADC">
        <w:t>mecanismo</w:t>
      </w:r>
      <w:r w:rsidRPr="006C27CF">
        <w:t xml:space="preserve"> </w:t>
      </w:r>
      <w:r w:rsidR="00821051">
        <w:t xml:space="preserve">mediante el cual se </w:t>
      </w:r>
      <w:r w:rsidRPr="006C27CF">
        <w:t xml:space="preserve">calcula el costo por unidad del servicio de GLP que se entrega a los </w:t>
      </w:r>
      <w:r w:rsidR="006F5D9E">
        <w:t xml:space="preserve">usuarios </w:t>
      </w:r>
      <w:r w:rsidRPr="006C27CF">
        <w:t xml:space="preserve">a través de </w:t>
      </w:r>
      <w:r w:rsidR="00ED6139">
        <w:t xml:space="preserve">redes de </w:t>
      </w:r>
      <w:r w:rsidRPr="006C27CF">
        <w:t xml:space="preserve">tuberías. </w:t>
      </w:r>
      <w:r w:rsidR="00C949E5">
        <w:t xml:space="preserve">Su </w:t>
      </w:r>
      <w:r w:rsidR="00233E81">
        <w:t>propósito es</w:t>
      </w:r>
      <w:r w:rsidRPr="006C27CF">
        <w:t xml:space="preserve"> reunir en un esquema los costos de cada actividad que forma la cadena del servicio. Así la tarifa muestra los costos que se deben cubrir para prestar el servicio</w:t>
      </w:r>
      <w:r w:rsidR="00505661">
        <w:t>, garantizando que la</w:t>
      </w:r>
      <w:r w:rsidR="0042241B">
        <w:t>s tarifas reflejen los costos necesarios</w:t>
      </w:r>
      <w:r w:rsidR="003E16BC">
        <w:t xml:space="preserve"> para </w:t>
      </w:r>
      <w:r w:rsidR="00E644CD">
        <w:t>la prestación del servicio</w:t>
      </w:r>
      <w:r w:rsidR="007F7EBE">
        <w:t>.</w:t>
      </w:r>
    </w:p>
    <w:p w14:paraId="248CFC8A" w14:textId="0139DCFC" w:rsidR="00AD1D2D" w:rsidRDefault="00AD1D2D" w:rsidP="002F1961">
      <w:pPr>
        <w:spacing w:before="100" w:beforeAutospacing="1" w:after="100" w:afterAutospacing="1" w:line="360" w:lineRule="auto"/>
      </w:pPr>
      <w:r>
        <w:t>Inicialmente, la Resolución CREG 011 de 2003 estableció la metodología para la determinación de los cargos de distribución, comercialización y del costo unitario de prestación del servicio. Posteriormente, la Resolución CREG 137 de 2013 actualizó la fórmula tarifaria general, manteniendo la estructura basada en los componentes de suministro, transporte, distribución y comercialización</w:t>
      </w:r>
      <w:r w:rsidR="00D433AD">
        <w:t>.</w:t>
      </w:r>
    </w:p>
    <w:p w14:paraId="2FD2B78E" w14:textId="25B3991A" w:rsidR="0062024B" w:rsidRPr="0052686C" w:rsidRDefault="00AD1D2D" w:rsidP="002F1961">
      <w:pPr>
        <w:spacing w:before="100" w:beforeAutospacing="1" w:after="100" w:afterAutospacing="1" w:line="360" w:lineRule="auto"/>
        <w:rPr>
          <w:highlight w:val="yellow"/>
        </w:rPr>
      </w:pPr>
      <w:r>
        <w:t xml:space="preserve">Con la expedición de la Resolución CREG 202 de 2013 y sus posteriores modificaciones, se actualizó la metodología para la remuneración de la actividad de distribución, mientras que la Resolución CREG 102 003 de 2022 estableció una nueva metodología para la </w:t>
      </w:r>
      <w:r>
        <w:lastRenderedPageBreak/>
        <w:t xml:space="preserve">remuneración de la actividad de comercialización minorista de gas combustible por redes de tubería. </w:t>
      </w:r>
      <w:r w:rsidR="00180C5D">
        <w:t xml:space="preserve"> </w:t>
      </w:r>
      <w:r>
        <w:t>En consecuencia, la fórmula tarifaria vigente integra metodologías independientes para cada actividad de la cadena, permitiendo que la tarifa final refleje los costos eficientes asociados a la prestación del servicio.</w:t>
      </w:r>
    </w:p>
    <w:p w14:paraId="4574D224" w14:textId="5F3C4976" w:rsidR="00203790" w:rsidRDefault="00203790" w:rsidP="002F1961">
      <w:pPr>
        <w:spacing w:before="100" w:beforeAutospacing="1" w:after="100" w:afterAutospacing="1" w:line="360" w:lineRule="auto"/>
      </w:pPr>
      <w:r w:rsidRPr="00203790">
        <w:t xml:space="preserve">La </w:t>
      </w:r>
      <w:r w:rsidR="00467BAA">
        <w:t>estructura tarifaria</w:t>
      </w:r>
      <w:r w:rsidR="009B2161">
        <w:t xml:space="preserve"> definida e</w:t>
      </w:r>
      <w:r w:rsidR="00F3701D">
        <w:t>n</w:t>
      </w:r>
      <w:r w:rsidR="009B2161">
        <w:t xml:space="preserve"> la </w:t>
      </w:r>
      <w:r w:rsidRPr="00203790">
        <w:t>Resolución CREG 137 de 2013</w:t>
      </w:r>
      <w:r w:rsidR="009B2161">
        <w:t xml:space="preserve">, se compone de un </w:t>
      </w:r>
      <w:r w:rsidRPr="00203790">
        <w:t>componente variable, expresado en pesos por metro cúbico ($/m³), y un componente fijo, expresado en pesos por factura ($/factura). Ambos componentes agrupan los costos asociados a las diferentes actividades de la cadena de prestación del servicio y constituyen la base para la determinación de las tarifas aplicables a los usuarios regulados.</w:t>
      </w:r>
    </w:p>
    <w:p w14:paraId="451C307C" w14:textId="1F3C40AC" w:rsidR="00DA51DB" w:rsidRDefault="00481EA3" w:rsidP="002F1961">
      <w:pPr>
        <w:keepNext/>
        <w:spacing w:before="100" w:beforeAutospacing="1" w:after="100" w:afterAutospacing="1" w:line="360" w:lineRule="auto"/>
        <w:jc w:val="center"/>
      </w:pPr>
      <w:bookmarkStart w:id="64" w:name="_Ref235086672"/>
      <w:bookmarkStart w:id="65" w:name="_Toc235118553"/>
      <w:r w:rsidRPr="004511A8">
        <w:rPr>
          <w:lang w:val="es-ES"/>
        </w:rPr>
        <w:t xml:space="preserve">Figura </w:t>
      </w:r>
      <w:r w:rsidRPr="004511A8">
        <w:rPr>
          <w:lang w:val="es-ES"/>
        </w:rPr>
        <w:fldChar w:fldCharType="begin"/>
      </w:r>
      <w:r w:rsidRPr="004511A8">
        <w:rPr>
          <w:lang w:val="es-ES"/>
        </w:rPr>
        <w:instrText xml:space="preserve"> SEQ Figura \* ARABIC </w:instrText>
      </w:r>
      <w:r w:rsidRPr="004511A8">
        <w:rPr>
          <w:lang w:val="es-ES"/>
        </w:rPr>
        <w:fldChar w:fldCharType="separate"/>
      </w:r>
      <w:r w:rsidR="00323B16">
        <w:rPr>
          <w:noProof/>
          <w:lang w:val="es-ES"/>
        </w:rPr>
        <w:t>13</w:t>
      </w:r>
      <w:r w:rsidRPr="004511A8">
        <w:rPr>
          <w:lang w:val="es-ES"/>
        </w:rPr>
        <w:fldChar w:fldCharType="end"/>
      </w:r>
      <w:bookmarkEnd w:id="64"/>
      <w:r w:rsidRPr="5FAE69B6">
        <w:rPr>
          <w:lang w:val="es-ES"/>
        </w:rPr>
        <w:t xml:space="preserve">. </w:t>
      </w:r>
      <w:r w:rsidRPr="00EE329D">
        <w:rPr>
          <w:bCs/>
          <w:lang w:val="es-ES"/>
        </w:rPr>
        <w:t xml:space="preserve">Estructura </w:t>
      </w:r>
      <w:r w:rsidR="00EE329D" w:rsidRPr="00EE329D">
        <w:rPr>
          <w:bCs/>
          <w:lang w:val="es-ES"/>
        </w:rPr>
        <w:t>general del costo unitario</w:t>
      </w:r>
      <w:bookmarkEnd w:id="65"/>
    </w:p>
    <w:p w14:paraId="1B31F7C5" w14:textId="2CC73FE5" w:rsidR="00203790" w:rsidRDefault="004748E3" w:rsidP="002F1961">
      <w:pPr>
        <w:spacing w:before="100" w:beforeAutospacing="1" w:after="100" w:afterAutospacing="1" w:line="360" w:lineRule="auto"/>
        <w:jc w:val="center"/>
      </w:pPr>
      <w:r>
        <w:rPr>
          <w:noProof/>
        </w:rPr>
        <mc:AlternateContent>
          <mc:Choice Requires="wpg">
            <w:drawing>
              <wp:inline distT="0" distB="0" distL="0" distR="0" wp14:anchorId="72EAFD2B" wp14:editId="4B5112BA">
                <wp:extent cx="2995684" cy="1699146"/>
                <wp:effectExtent l="0" t="0" r="0" b="0"/>
                <wp:docPr id="1256682266" name="Grupo 52"/>
                <wp:cNvGraphicFramePr/>
                <a:graphic xmlns:a="http://schemas.openxmlformats.org/drawingml/2006/main">
                  <a:graphicData uri="http://schemas.microsoft.com/office/word/2010/wordprocessingGroup">
                    <wpg:wgp>
                      <wpg:cNvGrpSpPr/>
                      <wpg:grpSpPr>
                        <a:xfrm>
                          <a:off x="0" y="0"/>
                          <a:ext cx="2995684" cy="1699146"/>
                          <a:chOff x="0" y="0"/>
                          <a:chExt cx="3367134" cy="2167805"/>
                        </a:xfrm>
                      </wpg:grpSpPr>
                      <wps:wsp>
                        <wps:cNvPr id="1598347456" name="Conector recto 4"/>
                        <wps:cNvCnPr/>
                        <wps:spPr>
                          <a:xfrm>
                            <a:off x="1644555" y="334370"/>
                            <a:ext cx="0" cy="301925"/>
                          </a:xfrm>
                          <a:prstGeom prst="line">
                            <a:avLst/>
                          </a:prstGeom>
                          <a:ln w="19050">
                            <a:prstDash val="sysDash"/>
                          </a:ln>
                        </wps:spPr>
                        <wps:style>
                          <a:lnRef idx="1">
                            <a:schemeClr val="accent1"/>
                          </a:lnRef>
                          <a:fillRef idx="0">
                            <a:schemeClr val="accent1"/>
                          </a:fillRef>
                          <a:effectRef idx="0">
                            <a:schemeClr val="accent1"/>
                          </a:effectRef>
                          <a:fontRef idx="minor">
                            <a:schemeClr val="tx1"/>
                          </a:fontRef>
                        </wps:style>
                        <wps:bodyPr/>
                      </wps:wsp>
                      <wps:wsp>
                        <wps:cNvPr id="709111271" name="Conector recto 5"/>
                        <wps:cNvCnPr/>
                        <wps:spPr>
                          <a:xfrm>
                            <a:off x="975815" y="641445"/>
                            <a:ext cx="1483744"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136980861" name="Conector recto de flecha 6"/>
                        <wps:cNvCnPr/>
                        <wps:spPr>
                          <a:xfrm>
                            <a:off x="979796" y="641445"/>
                            <a:ext cx="8627" cy="319177"/>
                          </a:xfrm>
                          <a:prstGeom prst="straightConnector1">
                            <a:avLst/>
                          </a:prstGeom>
                          <a:ln w="19050">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1297028714" name="Conector recto de flecha 6"/>
                        <wps:cNvCnPr/>
                        <wps:spPr>
                          <a:xfrm>
                            <a:off x="2467402" y="627797"/>
                            <a:ext cx="8255" cy="318770"/>
                          </a:xfrm>
                          <a:prstGeom prst="straightConnector1">
                            <a:avLst/>
                          </a:prstGeom>
                          <a:ln w="19050">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1131311971" name="Conector recto de flecha 6"/>
                        <wps:cNvCnPr/>
                        <wps:spPr>
                          <a:xfrm>
                            <a:off x="979796" y="1412543"/>
                            <a:ext cx="8255" cy="318770"/>
                          </a:xfrm>
                          <a:prstGeom prst="straightConnector1">
                            <a:avLst/>
                          </a:prstGeom>
                          <a:ln w="19050">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1238333932" name="Conector recto de flecha 6"/>
                        <wps:cNvCnPr/>
                        <wps:spPr>
                          <a:xfrm>
                            <a:off x="2481050" y="1405719"/>
                            <a:ext cx="8255" cy="318770"/>
                          </a:xfrm>
                          <a:prstGeom prst="straightConnector1">
                            <a:avLst/>
                          </a:prstGeom>
                          <a:ln w="19050">
                            <a:prstDash val="dash"/>
                            <a:tailEnd type="triangle"/>
                          </a:ln>
                        </wps:spPr>
                        <wps:style>
                          <a:lnRef idx="1">
                            <a:schemeClr val="accent1"/>
                          </a:lnRef>
                          <a:fillRef idx="0">
                            <a:schemeClr val="accent1"/>
                          </a:fillRef>
                          <a:effectRef idx="0">
                            <a:schemeClr val="accent1"/>
                          </a:effectRef>
                          <a:fontRef idx="minor">
                            <a:schemeClr val="tx1"/>
                          </a:fontRef>
                        </wps:style>
                        <wps:bodyPr/>
                      </wps:wsp>
                      <wpg:grpSp>
                        <wpg:cNvPr id="943997324" name="Grupo 51"/>
                        <wpg:cNvGrpSpPr/>
                        <wpg:grpSpPr>
                          <a:xfrm>
                            <a:off x="0" y="0"/>
                            <a:ext cx="3367134" cy="2167805"/>
                            <a:chOff x="0" y="0"/>
                            <a:chExt cx="3367134" cy="2167805"/>
                          </a:xfrm>
                        </wpg:grpSpPr>
                        <wps:wsp>
                          <wps:cNvPr id="127620019" name="Rectángulo: esquinas redondeadas 3"/>
                          <wps:cNvSpPr/>
                          <wps:spPr>
                            <a:xfrm>
                              <a:off x="941696" y="0"/>
                              <a:ext cx="1380226" cy="327803"/>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0DD21D33" w14:textId="23EAB1BD" w:rsidR="00823562" w:rsidRPr="004748E3" w:rsidRDefault="00823562" w:rsidP="00823562">
                                <w:pPr>
                                  <w:jc w:val="center"/>
                                  <w:rPr>
                                    <w:sz w:val="20"/>
                                    <w:lang w:val="es-CO"/>
                                  </w:rPr>
                                </w:pPr>
                                <w:r w:rsidRPr="004748E3">
                                  <w:rPr>
                                    <w:sz w:val="20"/>
                                    <w:lang w:val="es-CO"/>
                                  </w:rPr>
                                  <w:t>Costo Unitario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334778" name="Rectángulo: esquinas redondeadas 3"/>
                          <wps:cNvSpPr/>
                          <wps:spPr>
                            <a:xfrm>
                              <a:off x="204717" y="968991"/>
                              <a:ext cx="1483743" cy="552091"/>
                            </a:xfrm>
                            <a:prstGeom prst="roundRect">
                              <a:avLst/>
                            </a:prstGeom>
                            <a:ln>
                              <a:noFill/>
                            </a:ln>
                          </wps:spPr>
                          <wps:style>
                            <a:lnRef idx="2">
                              <a:schemeClr val="accent1"/>
                            </a:lnRef>
                            <a:fillRef idx="1">
                              <a:schemeClr val="lt1"/>
                            </a:fillRef>
                            <a:effectRef idx="0">
                              <a:schemeClr val="accent1"/>
                            </a:effectRef>
                            <a:fontRef idx="minor">
                              <a:schemeClr val="dk1"/>
                            </a:fontRef>
                          </wps:style>
                          <wps:txbx>
                            <w:txbxContent>
                              <w:p w14:paraId="48F1CEA9" w14:textId="52752A5A" w:rsidR="00A369C0" w:rsidRPr="004748E3" w:rsidRDefault="00503FE4" w:rsidP="00A369C0">
                                <w:pPr>
                                  <w:jc w:val="center"/>
                                  <w:rPr>
                                    <w:sz w:val="20"/>
                                    <w:lang w:val="es-CO"/>
                                  </w:rPr>
                                </w:pPr>
                                <w:r w:rsidRPr="004748E3">
                                  <w:rPr>
                                    <w:sz w:val="20"/>
                                    <w:lang w:val="es-CO"/>
                                  </w:rPr>
                                  <w:t>Componente Variable ($/m</w:t>
                                </w:r>
                                <w:r w:rsidRPr="004748E3">
                                  <w:rPr>
                                    <w:sz w:val="20"/>
                                    <w:vertAlign w:val="superscript"/>
                                    <w:lang w:val="es-CO"/>
                                  </w:rPr>
                                  <w:t>3</w:t>
                                </w:r>
                                <w:r w:rsidRPr="004748E3">
                                  <w:rPr>
                                    <w:sz w:val="20"/>
                                    <w:lang w:val="es-C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7729725" name="Rectángulo: esquinas redondeadas 3"/>
                          <wps:cNvSpPr/>
                          <wps:spPr>
                            <a:xfrm>
                              <a:off x="1883391" y="955343"/>
                              <a:ext cx="1483743" cy="552091"/>
                            </a:xfrm>
                            <a:prstGeom prst="roundRect">
                              <a:avLst/>
                            </a:prstGeom>
                            <a:ln>
                              <a:noFill/>
                            </a:ln>
                          </wps:spPr>
                          <wps:style>
                            <a:lnRef idx="2">
                              <a:schemeClr val="accent1"/>
                            </a:lnRef>
                            <a:fillRef idx="1">
                              <a:schemeClr val="lt1"/>
                            </a:fillRef>
                            <a:effectRef idx="0">
                              <a:schemeClr val="accent1"/>
                            </a:effectRef>
                            <a:fontRef idx="minor">
                              <a:schemeClr val="dk1"/>
                            </a:fontRef>
                          </wps:style>
                          <wps:txbx>
                            <w:txbxContent>
                              <w:p w14:paraId="7FC1A133" w14:textId="3FCD117C" w:rsidR="00503FE4" w:rsidRPr="004748E3" w:rsidRDefault="00503FE4" w:rsidP="00503FE4">
                                <w:pPr>
                                  <w:jc w:val="center"/>
                                  <w:rPr>
                                    <w:sz w:val="20"/>
                                    <w:lang w:val="es-CO"/>
                                  </w:rPr>
                                </w:pPr>
                                <w:r w:rsidRPr="004748E3">
                                  <w:rPr>
                                    <w:sz w:val="20"/>
                                    <w:lang w:val="es-CO"/>
                                  </w:rPr>
                                  <w:t>Componente Fijo ($/factura)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7386680" name="Rectángulo: esquinas redondeadas 3"/>
                          <wps:cNvSpPr/>
                          <wps:spPr>
                            <a:xfrm>
                              <a:off x="0" y="1753737"/>
                              <a:ext cx="1690394" cy="414068"/>
                            </a:xfrm>
                            <a:prstGeom prst="roundRect">
                              <a:avLst/>
                            </a:prstGeom>
                            <a:ln>
                              <a:noFill/>
                            </a:ln>
                          </wps:spPr>
                          <wps:style>
                            <a:lnRef idx="2">
                              <a:schemeClr val="accent1"/>
                            </a:lnRef>
                            <a:fillRef idx="1">
                              <a:schemeClr val="lt1"/>
                            </a:fillRef>
                            <a:effectRef idx="0">
                              <a:schemeClr val="accent1"/>
                            </a:effectRef>
                            <a:fontRef idx="minor">
                              <a:schemeClr val="dk1"/>
                            </a:fontRef>
                          </wps:style>
                          <wps:txbx>
                            <w:txbxContent>
                              <w:p w14:paraId="0F277072" w14:textId="10FE4984" w:rsidR="002B075C" w:rsidRPr="004748E3" w:rsidRDefault="002B075C" w:rsidP="002B075C">
                                <w:pPr>
                                  <w:jc w:val="center"/>
                                  <w:rPr>
                                    <w:sz w:val="20"/>
                                    <w:lang w:val="es-CO"/>
                                  </w:rPr>
                                </w:pPr>
                                <w:r w:rsidRPr="004748E3">
                                  <w:rPr>
                                    <w:sz w:val="20"/>
                                    <w:lang w:val="es-CO"/>
                                  </w:rPr>
                                  <w:t>G + T + D + Cv + Cc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7016382" name="Rectángulo: esquinas redondeadas 3"/>
                          <wps:cNvSpPr/>
                          <wps:spPr>
                            <a:xfrm>
                              <a:off x="1944806" y="1726442"/>
                              <a:ext cx="1052423" cy="414068"/>
                            </a:xfrm>
                            <a:prstGeom prst="roundRect">
                              <a:avLst/>
                            </a:prstGeom>
                            <a:ln>
                              <a:noFill/>
                            </a:ln>
                          </wps:spPr>
                          <wps:style>
                            <a:lnRef idx="2">
                              <a:schemeClr val="accent1"/>
                            </a:lnRef>
                            <a:fillRef idx="1">
                              <a:schemeClr val="lt1"/>
                            </a:fillRef>
                            <a:effectRef idx="0">
                              <a:schemeClr val="accent1"/>
                            </a:effectRef>
                            <a:fontRef idx="minor">
                              <a:schemeClr val="dk1"/>
                            </a:fontRef>
                          </wps:style>
                          <wps:txbx>
                            <w:txbxContent>
                              <w:p w14:paraId="7FBAD074" w14:textId="63D53FCE" w:rsidR="002B075C" w:rsidRPr="004748E3" w:rsidRDefault="002B075C" w:rsidP="002B075C">
                                <w:pPr>
                                  <w:jc w:val="center"/>
                                  <w:rPr>
                                    <w:sz w:val="20"/>
                                    <w:lang w:val="es-CO"/>
                                  </w:rPr>
                                </w:pPr>
                                <w:r w:rsidRPr="004748E3">
                                  <w:rPr>
                                    <w:sz w:val="20"/>
                                    <w:lang w:val="es-CO"/>
                                  </w:rPr>
                                  <w:t>Cf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72EAFD2B" id="Grupo 52" o:spid="_x0000_s1026" style="width:235.9pt;height:133.8pt;mso-position-horizontal-relative:char;mso-position-vertical-relative:line" coordsize="33671,21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">
                <v:line id="Conector recto 4" o:spid="_x0000_s1027" style="position:absolute;visibility:visible;mso-wrap-style:square" from="16445,3343" to="16445,6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" strokecolor="#5b9bd5 [3204]" strokeweight="1.5pt">
                  <v:stroke dashstyle="3 1" joinstyle="miter"/>
                </v:line>
                <v:line id="Conector recto 5" o:spid="_x0000_s1028" style="position:absolute;visibility:visible;mso-wrap-style:square" from="9758,6414" to="24595,6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" strokecolor="#5b9bd5 [3204]" strokeweight="1.5pt">
                  <v:stroke joinstyle="miter"/>
                </v:line>
                <v:shapetype id="_x0000_t32" coordsize="21600,21600" o:spt="32" o:oned="t" path="m,l21600,21600e" filled="f">
                  <v:path arrowok="t" fillok="f" o:connecttype="none"/>
                  <o:lock v:ext="edit" shapetype="t"/>
                </v:shapetype>
                <v:shape id="Conector recto de flecha 6" o:spid="_x0000_s1029" type="#_x0000_t32" style="position:absolute;left:9797;top:6414;width:87;height:3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" strokecolor="#5b9bd5 [3204]" strokeweight="1.5pt">
                  <v:stroke dashstyle="dash" endarrow="block" joinstyle="miter"/>
                </v:shape>
                <v:shape id="Conector recto de flecha 6" o:spid="_x0000_s1030" type="#_x0000_t32" style="position:absolute;left:24674;top:6277;width:82;height:31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" strokecolor="#5b9bd5 [3204]" strokeweight="1.5pt">
                  <v:stroke dashstyle="dash" endarrow="block" joinstyle="miter"/>
                </v:shape>
                <v:shape id="Conector recto de flecha 6" o:spid="_x0000_s1031" type="#_x0000_t32" style="position:absolute;left:9797;top:14125;width:83;height:31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" strokecolor="#5b9bd5 [3204]" strokeweight="1.5pt">
                  <v:stroke dashstyle="dash" endarrow="block" joinstyle="miter"/>
                </v:shape>
                <v:shape id="Conector recto de flecha 6" o:spid="_x0000_s1032" type="#_x0000_t32" style="position:absolute;left:24810;top:14057;width:83;height:31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" strokecolor="#5b9bd5 [3204]" strokeweight="1.5pt">
                  <v:stroke dashstyle="dash" endarrow="block" joinstyle="miter"/>
                </v:shape>
                <v:group id="Grupo 51" o:spid="_x0000_s1033" style="position:absolute;width:33671;height:21678" coordsize="33671,2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">
                  <v:roundrect id="Rectángulo: esquinas redondeadas 3" o:spid="_x0000_s1034" style="position:absolute;left:9416;width:13803;height:3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" fillcolor="#c3c3c3 [2166]" strokecolor="#a5a5a5 [3206]" strokeweight=".5pt">
                    <v:fill color2="#b6b6b6 [2614]" rotate="t" colors="0 #d2d2d2;.5 #c8c8c8;1 silver" focus="100%" type="gradient">
                      <o:fill v:ext="view" type="gradientUnscaled"/>
                    </v:fill>
                    <v:stroke joinstyle="miter"/>
                    <v:textbox>
                      <w:txbxContent>
                        <w:p w14:paraId="0DD21D33" w14:textId="23EAB1BD" w:rsidR="00823562" w:rsidRPr="004748E3" w:rsidRDefault="00823562" w:rsidP="00823562">
                          <w:pPr>
                            <w:jc w:val="center"/>
                            <w:rPr>
                              <w:sz w:val="20"/>
                              <w:lang w:val="es-CO"/>
                            </w:rPr>
                          </w:pPr>
                          <w:r w:rsidRPr="004748E3">
                            <w:rPr>
                              <w:sz w:val="20"/>
                              <w:lang w:val="es-CO"/>
                            </w:rPr>
                            <w:t>Costo Unitario</w:t>
                          </w:r>
                        </w:p>
                      </w:txbxContent>
                    </v:textbox>
                  </v:roundrect>
                  <v:roundrect id="Rectángulo: esquinas redondeadas 3" o:spid="_x0000_s1035" style="position:absolute;left:2047;top:9689;width:14837;height:55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" fillcolor="white [3201]" stroked="f" strokeweight="1pt">
                    <v:stroke joinstyle="miter"/>
                    <v:textbox>
                      <w:txbxContent>
                        <w:p w14:paraId="48F1CEA9" w14:textId="52752A5A" w:rsidR="00A369C0" w:rsidRPr="004748E3" w:rsidRDefault="00503FE4" w:rsidP="00A369C0">
                          <w:pPr>
                            <w:jc w:val="center"/>
                            <w:rPr>
                              <w:sz w:val="20"/>
                              <w:lang w:val="es-CO"/>
                            </w:rPr>
                          </w:pPr>
                          <w:r w:rsidRPr="004748E3">
                            <w:rPr>
                              <w:sz w:val="20"/>
                              <w:lang w:val="es-CO"/>
                            </w:rPr>
                            <w:t>Componente Variable ($/m</w:t>
                          </w:r>
                          <w:r w:rsidRPr="004748E3">
                            <w:rPr>
                              <w:sz w:val="20"/>
                              <w:vertAlign w:val="superscript"/>
                              <w:lang w:val="es-CO"/>
                            </w:rPr>
                            <w:t>3</w:t>
                          </w:r>
                          <w:r w:rsidRPr="004748E3">
                            <w:rPr>
                              <w:sz w:val="20"/>
                              <w:lang w:val="es-CO"/>
                            </w:rPr>
                            <w:t>)</w:t>
                          </w:r>
                        </w:p>
                      </w:txbxContent>
                    </v:textbox>
                  </v:roundrect>
                  <v:roundrect id="Rectángulo: esquinas redondeadas 3" o:spid="_x0000_s1036" style="position:absolute;left:18833;top:9553;width:14838;height:55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" fillcolor="white [3201]" stroked="f" strokeweight="1pt">
                    <v:stroke joinstyle="miter"/>
                    <v:textbox>
                      <w:txbxContent>
                        <w:p w14:paraId="7FC1A133" w14:textId="3FCD117C" w:rsidR="00503FE4" w:rsidRPr="004748E3" w:rsidRDefault="00503FE4" w:rsidP="00503FE4">
                          <w:pPr>
                            <w:jc w:val="center"/>
                            <w:rPr>
                              <w:sz w:val="20"/>
                              <w:lang w:val="es-CO"/>
                            </w:rPr>
                          </w:pPr>
                          <w:r w:rsidRPr="004748E3">
                            <w:rPr>
                              <w:sz w:val="20"/>
                              <w:lang w:val="es-CO"/>
                            </w:rPr>
                            <w:t>Componente Fijo ($/factura)</w:t>
                          </w:r>
                        </w:p>
                      </w:txbxContent>
                    </v:textbox>
                  </v:roundrect>
                  <v:roundrect id="Rectángulo: esquinas redondeadas 3" o:spid="_x0000_s1037" style="position:absolute;top:17537;width:16903;height:41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" fillcolor="white [3201]" stroked="f" strokeweight="1pt">
                    <v:stroke joinstyle="miter"/>
                    <v:textbox>
                      <w:txbxContent>
                        <w:p w14:paraId="0F277072" w14:textId="10FE4984" w:rsidR="002B075C" w:rsidRPr="004748E3" w:rsidRDefault="002B075C" w:rsidP="002B075C">
                          <w:pPr>
                            <w:jc w:val="center"/>
                            <w:rPr>
                              <w:sz w:val="20"/>
                              <w:lang w:val="es-CO"/>
                            </w:rPr>
                          </w:pPr>
                          <w:r w:rsidRPr="004748E3">
                            <w:rPr>
                              <w:sz w:val="20"/>
                              <w:lang w:val="es-CO"/>
                            </w:rPr>
                            <w:t>G + T + D + Cv + Cc</w:t>
                          </w:r>
                        </w:p>
                      </w:txbxContent>
                    </v:textbox>
                  </v:roundrect>
                  <v:roundrect id="Rectángulo: esquinas redondeadas 3" o:spid="_x0000_s1038" style="position:absolute;left:19448;top:17264;width:10524;height:41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" fillcolor="white [3201]" stroked="f" strokeweight="1pt">
                    <v:stroke joinstyle="miter"/>
                    <v:textbox>
                      <w:txbxContent>
                        <w:p w14:paraId="7FBAD074" w14:textId="63D53FCE" w:rsidR="002B075C" w:rsidRPr="004748E3" w:rsidRDefault="002B075C" w:rsidP="002B075C">
                          <w:pPr>
                            <w:jc w:val="center"/>
                            <w:rPr>
                              <w:sz w:val="20"/>
                              <w:lang w:val="es-CO"/>
                            </w:rPr>
                          </w:pPr>
                          <w:r w:rsidRPr="004748E3">
                            <w:rPr>
                              <w:sz w:val="20"/>
                              <w:lang w:val="es-CO"/>
                            </w:rPr>
                            <w:t>Cf</w:t>
                          </w:r>
                        </w:p>
                      </w:txbxContent>
                    </v:textbox>
                  </v:roundrect>
                </v:group>
                <w10:anchorlock/>
              </v:group>
            </w:pict>
          </mc:Fallback>
        </mc:AlternateContent>
      </w:r>
    </w:p>
    <w:p w14:paraId="717C8BB9" w14:textId="183A78FC" w:rsidR="00DA7B47" w:rsidRPr="00651FD1" w:rsidRDefault="00DA7B47" w:rsidP="002F1961">
      <w:pPr>
        <w:spacing w:before="100" w:beforeAutospacing="1" w:after="100" w:afterAutospacing="1" w:line="360" w:lineRule="auto"/>
        <w:jc w:val="center"/>
        <w:rPr>
          <w:sz w:val="22"/>
          <w:szCs w:val="18"/>
        </w:rPr>
      </w:pPr>
      <w:r w:rsidRPr="00651FD1">
        <w:rPr>
          <w:sz w:val="22"/>
          <w:szCs w:val="18"/>
        </w:rPr>
        <w:t>Elaboración: CREG</w:t>
      </w:r>
    </w:p>
    <w:p w14:paraId="7867BD51" w14:textId="083D4386" w:rsidR="00B55CA2" w:rsidRDefault="00B55CA2" w:rsidP="002F1961">
      <w:pPr>
        <w:spacing w:before="100" w:beforeAutospacing="1" w:after="100" w:afterAutospacing="1" w:line="360" w:lineRule="auto"/>
      </w:pPr>
      <w:r w:rsidRPr="00B55CA2">
        <w:t xml:space="preserve">Como se observa en la </w:t>
      </w:r>
      <w:r w:rsidR="001E77D1">
        <w:fldChar w:fldCharType="begin"/>
      </w:r>
      <w:r w:rsidR="001E77D1">
        <w:instrText xml:space="preserve"> REF _Ref235086672 \h </w:instrText>
      </w:r>
      <w:r w:rsidR="001E77D1">
        <w:fldChar w:fldCharType="separate"/>
      </w:r>
      <w:r w:rsidR="001E77D1" w:rsidRPr="004511A8">
        <w:rPr>
          <w:lang w:val="es-ES"/>
        </w:rPr>
        <w:t xml:space="preserve">Figura </w:t>
      </w:r>
      <w:r w:rsidR="001E77D1">
        <w:rPr>
          <w:noProof/>
          <w:lang w:val="es-ES"/>
        </w:rPr>
        <w:t>13</w:t>
      </w:r>
      <w:r w:rsidR="001E77D1">
        <w:fldChar w:fldCharType="end"/>
      </w:r>
      <w:r w:rsidR="001E77D1">
        <w:t>,</w:t>
      </w:r>
      <w:r w:rsidRPr="00B55CA2">
        <w:t xml:space="preserve"> el costo unitario de prestación del servicio se estructura a partir de dos componentes. El componente variable incorpora los costos asociados al suministro del combustible, su transporte, la distribución y una parte de la actividad de comercialización, mientras que el componente fijo remunera aquellos costos de comercialización que permanecen constantes independientemente del volumen consumido por el usuario.</w:t>
      </w:r>
    </w:p>
    <w:p w14:paraId="09D758B9" w14:textId="6E11FFAE" w:rsidR="00BE2ABE" w:rsidRDefault="008B4126" w:rsidP="002F1961">
      <w:pPr>
        <w:spacing w:before="100" w:beforeAutospacing="1" w:after="100" w:afterAutospacing="1" w:line="360" w:lineRule="auto"/>
      </w:pPr>
      <w:r>
        <w:lastRenderedPageBreak/>
        <w:t>De acuerdo con el</w:t>
      </w:r>
      <w:r w:rsidR="009D2713">
        <w:t xml:space="preserve"> </w:t>
      </w:r>
      <w:r>
        <w:t>artículo</w:t>
      </w:r>
      <w:r w:rsidR="009D2713">
        <w:t xml:space="preserve"> 4 de la Resolució</w:t>
      </w:r>
      <w:r w:rsidR="00693CAD">
        <w:t>n 1</w:t>
      </w:r>
      <w:r w:rsidR="00966B8F">
        <w:t>3</w:t>
      </w:r>
      <w:r w:rsidR="00693CAD">
        <w:t xml:space="preserve">7 de 2013, </w:t>
      </w:r>
      <w:r w:rsidR="00F22B02" w:rsidRPr="00F22B02">
        <w:t>las fórmulas tarifarias generales aplicables a los usuarios regulados del servicio público domiciliario de gas combustible por redes de tubería son las siguientes</w:t>
      </w:r>
      <w:r w:rsidRPr="008B4126">
        <w:t>:</w:t>
      </w:r>
    </w:p>
    <w:p w14:paraId="7EB87802" w14:textId="34D04CB5" w:rsidR="00084174" w:rsidRDefault="00084174" w:rsidP="002F1961">
      <w:pPr>
        <w:keepNext/>
        <w:spacing w:before="100" w:beforeAutospacing="1" w:after="100" w:afterAutospacing="1" w:line="360" w:lineRule="auto"/>
        <w:jc w:val="center"/>
      </w:pPr>
      <w:bookmarkStart w:id="66" w:name="_Toc235118554"/>
      <w:r w:rsidRPr="004511A8">
        <w:rPr>
          <w:lang w:val="es-ES"/>
        </w:rPr>
        <w:t xml:space="preserve">Figura </w:t>
      </w:r>
      <w:r w:rsidRPr="004511A8">
        <w:rPr>
          <w:lang w:val="es-ES"/>
        </w:rPr>
        <w:fldChar w:fldCharType="begin"/>
      </w:r>
      <w:r w:rsidRPr="004511A8">
        <w:rPr>
          <w:lang w:val="es-ES"/>
        </w:rPr>
        <w:instrText xml:space="preserve"> SEQ Figura \* ARABIC </w:instrText>
      </w:r>
      <w:r w:rsidRPr="004511A8">
        <w:rPr>
          <w:lang w:val="es-ES"/>
        </w:rPr>
        <w:fldChar w:fldCharType="separate"/>
      </w:r>
      <w:r w:rsidR="001E77D1">
        <w:rPr>
          <w:noProof/>
          <w:lang w:val="es-ES"/>
        </w:rPr>
        <w:t>14</w:t>
      </w:r>
      <w:r w:rsidRPr="004511A8">
        <w:rPr>
          <w:lang w:val="es-ES"/>
        </w:rPr>
        <w:fldChar w:fldCharType="end"/>
      </w:r>
      <w:r w:rsidRPr="5FAE69B6">
        <w:rPr>
          <w:lang w:val="es-ES"/>
        </w:rPr>
        <w:t xml:space="preserve">. </w:t>
      </w:r>
      <w:r>
        <w:rPr>
          <w:bCs/>
          <w:lang w:val="es-ES"/>
        </w:rPr>
        <w:t>Fórmula tarifaria</w:t>
      </w:r>
      <w:bookmarkEnd w:id="66"/>
    </w:p>
    <w:p w14:paraId="65F25D63" w14:textId="52F2494B" w:rsidR="00DC2EE5" w:rsidRPr="00AD3A38" w:rsidRDefault="00DC2EE5">
      <w:pPr>
        <w:numPr>
          <w:ilvl w:val="0"/>
          <w:numId w:val="26"/>
        </w:numPr>
        <w:spacing w:before="100" w:beforeAutospacing="1" w:after="100" w:afterAutospacing="1" w:line="360" w:lineRule="auto"/>
        <w:rPr>
          <w:lang w:val="es-CO"/>
        </w:rPr>
      </w:pPr>
      <w:r w:rsidRPr="00DC2EE5">
        <w:rPr>
          <w:b/>
          <w:bCs/>
          <w:lang w:val="es-CO"/>
        </w:rPr>
        <w:t>Cargo variable ($/m³):</w:t>
      </w:r>
    </w:p>
    <w:p w14:paraId="4968AA53" w14:textId="71E01ADC" w:rsidR="00AD3A38" w:rsidRDefault="00962CBB" w:rsidP="002F1961">
      <w:pPr>
        <w:spacing w:before="100" w:beforeAutospacing="1" w:after="100" w:afterAutospacing="1" w:line="360" w:lineRule="auto"/>
        <w:jc w:val="center"/>
        <w:rPr>
          <w:b/>
          <w:bCs/>
          <w:lang w:val="es-CO"/>
        </w:rPr>
      </w:pPr>
      <w:r w:rsidRPr="00962CBB">
        <w:rPr>
          <w:b/>
          <w:bCs/>
          <w:noProof/>
        </w:rPr>
        <mc:AlternateContent>
          <mc:Choice Requires="wps">
            <w:drawing>
              <wp:inline distT="0" distB="0" distL="0" distR="0" wp14:anchorId="6D1687A1" wp14:editId="72C5A8D5">
                <wp:extent cx="5465206" cy="863698"/>
                <wp:effectExtent l="0" t="0" r="0" b="0"/>
                <wp:docPr id="25" name="1 Rectángulo">
                  <a:extLst xmlns:a="http://schemas.openxmlformats.org/drawingml/2006/main">
                    <a:ext uri="{FF2B5EF4-FFF2-40B4-BE49-F238E27FC236}">
                      <a16:creationId xmlns:a16="http://schemas.microsoft.com/office/drawing/2014/main" id="{45958989-51C5-0D43-E8F0-799675197701}"/>
                    </a:ext>
                  </a:extLst>
                </wp:docPr>
                <wp:cNvGraphicFramePr/>
                <a:graphic xmlns:a="http://schemas.openxmlformats.org/drawingml/2006/main">
                  <a:graphicData uri="http://schemas.microsoft.com/office/word/2010/wordprocessingShape">
                    <wps:wsp>
                      <wps:cNvSpPr/>
                      <wps:spPr>
                        <a:xfrm>
                          <a:off x="0" y="0"/>
                          <a:ext cx="5465206" cy="863698"/>
                        </a:xfrm>
                        <a:prstGeom prst="rect">
                          <a:avLst/>
                        </a:prstGeom>
                      </wps:spPr>
                      <wps:txbx>
                        <w:txbxContent>
                          <w:p w14:paraId="3046F0A7" w14:textId="77777777" w:rsidR="00962CBB" w:rsidRPr="00962CBB" w:rsidRDefault="00000000" w:rsidP="00962CBB">
                            <w:pPr>
                              <w:jc w:val="center"/>
                              <w:textAlignment w:val="baseline"/>
                              <w:rPr>
                                <w:rFonts w:ascii="Cambria Math" w:cs="Arial"/>
                                <w:b/>
                                <w:bCs/>
                                <w:i/>
                                <w:iCs/>
                                <w:color w:val="4E4D4D"/>
                                <w:kern w:val="24"/>
                                <w:szCs w:val="24"/>
                              </w:rPr>
                            </w:pPr>
                            <m:oMathPara>
                              <m:oMathParaPr>
                                <m:jc m:val="centerGroup"/>
                              </m:oMathParaPr>
                              <m:oMath>
                                <m:sSub>
                                  <m:sSubPr>
                                    <m:ctrlPr>
                                      <w:rPr>
                                        <w:rFonts w:ascii="Cambria Math" w:hAnsi="Cambria Math" w:cs="Arial"/>
                                        <w:b/>
                                        <w:bCs/>
                                        <w:i/>
                                        <w:iCs/>
                                        <w:color w:val="4E4D4D"/>
                                        <w:kern w:val="24"/>
                                        <w:szCs w:val="24"/>
                                      </w:rPr>
                                    </m:ctrlPr>
                                  </m:sSubPr>
                                  <m:e>
                                    <m:r>
                                      <m:rPr>
                                        <m:sty m:val="bi"/>
                                      </m:rPr>
                                      <w:rPr>
                                        <w:rFonts w:ascii="Cambria Math" w:hAnsi="Cambria Math" w:cs="Arial"/>
                                        <w:color w:val="4E4D4D"/>
                                        <w:kern w:val="24"/>
                                        <w:szCs w:val="24"/>
                                        <w:lang w:val="es-MX"/>
                                      </w:rPr>
                                      <m:t>CUv</m:t>
                                    </m:r>
                                  </m:e>
                                  <m:sub>
                                    <m:r>
                                      <m:rPr>
                                        <m:sty m:val="bi"/>
                                      </m:rPr>
                                      <w:rPr>
                                        <w:rFonts w:ascii="Cambria Math" w:hAnsi="Cambria Math" w:cs="Arial"/>
                                        <w:color w:val="4E4D4D"/>
                                        <w:kern w:val="24"/>
                                        <w:szCs w:val="24"/>
                                        <w:lang w:val="es-MX"/>
                                      </w:rPr>
                                      <m:t>m,i,j</m:t>
                                    </m:r>
                                  </m:sub>
                                </m:sSub>
                                <m:r>
                                  <m:rPr>
                                    <m:sty m:val="bi"/>
                                  </m:rPr>
                                  <w:rPr>
                                    <w:rFonts w:ascii="Cambria Math" w:hAnsi="Cambria Math" w:cs="Arial"/>
                                    <w:color w:val="4E4D4D"/>
                                    <w:kern w:val="24"/>
                                    <w:szCs w:val="24"/>
                                    <w:lang w:val="es-MX"/>
                                  </w:rPr>
                                  <m:t>=</m:t>
                                </m:r>
                                <m:f>
                                  <m:fPr>
                                    <m:ctrlPr>
                                      <w:rPr>
                                        <w:rFonts w:ascii="Cambria Math" w:hAnsi="Cambria Math" w:cs="Arial"/>
                                        <w:b/>
                                        <w:bCs/>
                                        <w:i/>
                                        <w:iCs/>
                                        <w:color w:val="4E4D4D"/>
                                        <w:kern w:val="24"/>
                                        <w:szCs w:val="24"/>
                                      </w:rPr>
                                    </m:ctrlPr>
                                  </m:fPr>
                                  <m:num>
                                    <m:sSub>
                                      <m:sSubPr>
                                        <m:ctrlPr>
                                          <w:rPr>
                                            <w:rFonts w:ascii="Cambria Math" w:hAnsi="Cambria Math" w:cs="Arial"/>
                                            <w:b/>
                                            <w:bCs/>
                                            <w:i/>
                                            <w:iCs/>
                                            <w:color w:val="4E4D4D"/>
                                            <w:kern w:val="24"/>
                                            <w:szCs w:val="24"/>
                                          </w:rPr>
                                        </m:ctrlPr>
                                      </m:sSubPr>
                                      <m:e>
                                        <m:r>
                                          <m:rPr>
                                            <m:sty m:val="bi"/>
                                          </m:rPr>
                                          <w:rPr>
                                            <w:rFonts w:ascii="Cambria Math" w:hAnsi="Cambria Math" w:cs="Arial"/>
                                            <w:color w:val="4E4D4D"/>
                                            <w:kern w:val="24"/>
                                            <w:szCs w:val="24"/>
                                            <w:lang w:val="es-MX"/>
                                          </w:rPr>
                                          <m:t>G</m:t>
                                        </m:r>
                                      </m:e>
                                      <m:sub>
                                        <m:r>
                                          <m:rPr>
                                            <m:sty m:val="bi"/>
                                          </m:rPr>
                                          <w:rPr>
                                            <w:rFonts w:ascii="Cambria Math" w:hAnsi="Cambria Math" w:cs="Arial"/>
                                            <w:color w:val="4E4D4D"/>
                                            <w:kern w:val="24"/>
                                            <w:szCs w:val="24"/>
                                            <w:lang w:val="es-MX"/>
                                          </w:rPr>
                                          <m:t>m,i,j</m:t>
                                        </m:r>
                                      </m:sub>
                                    </m:sSub>
                                    <m:r>
                                      <m:rPr>
                                        <m:sty m:val="bi"/>
                                      </m:rPr>
                                      <w:rPr>
                                        <w:rFonts w:ascii="Cambria Math" w:hAnsi="Cambria Math" w:cs="Arial"/>
                                        <w:color w:val="4E4D4D"/>
                                        <w:kern w:val="24"/>
                                        <w:szCs w:val="24"/>
                                        <w:lang w:val="es-MX"/>
                                      </w:rPr>
                                      <m:t>+</m:t>
                                    </m:r>
                                    <m:sSub>
                                      <m:sSubPr>
                                        <m:ctrlPr>
                                          <w:rPr>
                                            <w:rFonts w:ascii="Cambria Math" w:hAnsi="Cambria Math" w:cs="Arial"/>
                                            <w:b/>
                                            <w:bCs/>
                                            <w:i/>
                                            <w:iCs/>
                                            <w:color w:val="4E4D4D"/>
                                            <w:kern w:val="24"/>
                                            <w:szCs w:val="24"/>
                                          </w:rPr>
                                        </m:ctrlPr>
                                      </m:sSubPr>
                                      <m:e>
                                        <m:r>
                                          <m:rPr>
                                            <m:sty m:val="bi"/>
                                          </m:rPr>
                                          <w:rPr>
                                            <w:rFonts w:ascii="Cambria Math" w:hAnsi="Cambria Math" w:cs="Arial"/>
                                            <w:color w:val="4E4D4D"/>
                                            <w:kern w:val="24"/>
                                            <w:szCs w:val="24"/>
                                            <w:lang w:val="es-MX"/>
                                          </w:rPr>
                                          <m:t>T</m:t>
                                        </m:r>
                                      </m:e>
                                      <m:sub>
                                        <m:r>
                                          <m:rPr>
                                            <m:sty m:val="bi"/>
                                          </m:rPr>
                                          <w:rPr>
                                            <w:rFonts w:ascii="Cambria Math" w:hAnsi="Cambria Math" w:cs="Arial"/>
                                            <w:color w:val="4E4D4D"/>
                                            <w:kern w:val="24"/>
                                            <w:szCs w:val="24"/>
                                            <w:lang w:val="es-MX"/>
                                          </w:rPr>
                                          <m:t>m,i,j</m:t>
                                        </m:r>
                                      </m:sub>
                                    </m:sSub>
                                  </m:num>
                                  <m:den>
                                    <m:r>
                                      <m:rPr>
                                        <m:sty m:val="bi"/>
                                      </m:rPr>
                                      <w:rPr>
                                        <w:rFonts w:ascii="Cambria Math" w:hAnsi="Cambria Math" w:cs="Arial"/>
                                        <w:color w:val="4E4D4D"/>
                                        <w:kern w:val="24"/>
                                        <w:szCs w:val="24"/>
                                        <w:lang w:val="es-MX"/>
                                      </w:rPr>
                                      <m:t>1-ρ</m:t>
                                    </m:r>
                                  </m:den>
                                </m:f>
                                <m:r>
                                  <m:rPr>
                                    <m:sty m:val="bi"/>
                                  </m:rPr>
                                  <w:rPr>
                                    <w:rFonts w:ascii="Cambria Math" w:hAnsi="Cambria Math" w:cs="Arial"/>
                                    <w:color w:val="4E4D4D"/>
                                    <w:kern w:val="24"/>
                                    <w:szCs w:val="24"/>
                                    <w:lang w:val="es-MX"/>
                                  </w:rPr>
                                  <m:t>+</m:t>
                                </m:r>
                                <m:d>
                                  <m:dPr>
                                    <m:ctrlPr>
                                      <w:rPr>
                                        <w:rFonts w:ascii="Cambria Math" w:hAnsi="Cambria Math" w:cs="Arial"/>
                                        <w:b/>
                                        <w:bCs/>
                                        <w:i/>
                                        <w:iCs/>
                                        <w:color w:val="4E4D4D"/>
                                        <w:kern w:val="24"/>
                                        <w:szCs w:val="24"/>
                                      </w:rPr>
                                    </m:ctrlPr>
                                  </m:dPr>
                                  <m:e>
                                    <m:sSub>
                                      <m:sSubPr>
                                        <m:ctrlPr>
                                          <w:rPr>
                                            <w:rFonts w:ascii="Cambria Math" w:hAnsi="Cambria Math" w:cs="Arial"/>
                                            <w:b/>
                                            <w:bCs/>
                                            <w:i/>
                                            <w:iCs/>
                                            <w:color w:val="4E4D4D"/>
                                            <w:kern w:val="24"/>
                                            <w:szCs w:val="24"/>
                                          </w:rPr>
                                        </m:ctrlPr>
                                      </m:sSubPr>
                                      <m:e>
                                        <m:r>
                                          <m:rPr>
                                            <m:sty m:val="bi"/>
                                          </m:rPr>
                                          <w:rPr>
                                            <w:rFonts w:ascii="Cambria Math" w:hAnsi="Cambria Math" w:cs="Arial"/>
                                            <w:color w:val="4E4D4D"/>
                                            <w:kern w:val="24"/>
                                            <w:szCs w:val="24"/>
                                            <w:lang w:val="es-MX"/>
                                          </w:rPr>
                                          <m:t>D</m:t>
                                        </m:r>
                                      </m:e>
                                      <m:sub>
                                        <m:r>
                                          <m:rPr>
                                            <m:sty m:val="bi"/>
                                          </m:rPr>
                                          <w:rPr>
                                            <w:rFonts w:ascii="Cambria Math" w:hAnsi="Cambria Math" w:cs="Arial"/>
                                            <w:color w:val="4E4D4D"/>
                                            <w:kern w:val="24"/>
                                            <w:szCs w:val="24"/>
                                            <w:lang w:val="es-MX"/>
                                          </w:rPr>
                                          <m:t>m,i,j</m:t>
                                        </m:r>
                                      </m:sub>
                                    </m:sSub>
                                    <m:r>
                                      <m:rPr>
                                        <m:sty m:val="bi"/>
                                      </m:rPr>
                                      <w:rPr>
                                        <w:rFonts w:ascii="Cambria Math" w:cs="Arial"/>
                                        <w:color w:val="4E4D4D"/>
                                        <w:kern w:val="24"/>
                                        <w:szCs w:val="24"/>
                                        <w:lang w:val="es-MX"/>
                                      </w:rPr>
                                      <m:t>×</m:t>
                                    </m:r>
                                    <m:sSub>
                                      <m:sSubPr>
                                        <m:ctrlPr>
                                          <w:rPr>
                                            <w:rFonts w:ascii="Cambria Math" w:hAnsi="Cambria Math" w:cs="Arial"/>
                                            <w:b/>
                                            <w:bCs/>
                                            <w:i/>
                                            <w:iCs/>
                                            <w:color w:val="4E4D4D"/>
                                            <w:kern w:val="24"/>
                                            <w:szCs w:val="24"/>
                                          </w:rPr>
                                        </m:ctrlPr>
                                      </m:sSubPr>
                                      <m:e>
                                        <m:sSub>
                                          <m:sSubPr>
                                            <m:ctrlPr>
                                              <w:rPr>
                                                <w:rFonts w:ascii="Cambria Math" w:hAnsi="Cambria Math" w:cs="Arial"/>
                                                <w:b/>
                                                <w:bCs/>
                                                <w:i/>
                                                <w:iCs/>
                                                <w:color w:val="4E4D4D"/>
                                                <w:kern w:val="24"/>
                                                <w:szCs w:val="24"/>
                                              </w:rPr>
                                            </m:ctrlPr>
                                          </m:sSubPr>
                                          <m:e>
                                            <m:r>
                                              <m:rPr>
                                                <m:sty m:val="bi"/>
                                              </m:rPr>
                                              <w:rPr>
                                                <w:rFonts w:ascii="Cambria Math" w:hAnsi="Cambria Math" w:cs="Arial"/>
                                                <w:color w:val="4E4D4D"/>
                                                <w:kern w:val="24"/>
                                                <w:szCs w:val="24"/>
                                                <w:lang w:val="es-MX"/>
                                              </w:rPr>
                                              <m:t>f</m:t>
                                            </m:r>
                                          </m:e>
                                          <m:sub>
                                            <m:r>
                                              <m:rPr>
                                                <m:sty m:val="bi"/>
                                              </m:rPr>
                                              <w:rPr>
                                                <w:rFonts w:ascii="Cambria Math" w:hAnsi="Cambria Math" w:cs="Arial"/>
                                                <w:color w:val="4E4D4D"/>
                                                <w:kern w:val="24"/>
                                                <w:szCs w:val="24"/>
                                                <w:lang w:val="es-MX"/>
                                              </w:rPr>
                                              <m:t>pc</m:t>
                                            </m:r>
                                          </m:sub>
                                        </m:sSub>
                                      </m:e>
                                      <m:sub>
                                        <m:r>
                                          <m:rPr>
                                            <m:sty m:val="bi"/>
                                          </m:rPr>
                                          <w:rPr>
                                            <w:rFonts w:ascii="Cambria Math" w:hAnsi="Cambria Math" w:cs="Arial"/>
                                            <w:color w:val="4E4D4D"/>
                                            <w:kern w:val="24"/>
                                            <w:szCs w:val="24"/>
                                            <w:lang w:val="es-MX"/>
                                          </w:rPr>
                                          <m:t>m,i,j</m:t>
                                        </m:r>
                                      </m:sub>
                                    </m:sSub>
                                  </m:e>
                                </m:d>
                                <m:r>
                                  <m:rPr>
                                    <m:sty m:val="bi"/>
                                  </m:rPr>
                                  <w:rPr>
                                    <w:rFonts w:ascii="Cambria Math" w:hAnsi="Cambria Math" w:cs="Arial"/>
                                    <w:color w:val="4E4D4D"/>
                                    <w:kern w:val="24"/>
                                    <w:szCs w:val="24"/>
                                    <w:lang w:val="es-MX"/>
                                  </w:rPr>
                                  <m:t>+</m:t>
                                </m:r>
                                <m:sSub>
                                  <m:sSubPr>
                                    <m:ctrlPr>
                                      <w:rPr>
                                        <w:rFonts w:ascii="Cambria Math" w:hAnsi="Cambria Math" w:cs="Arial"/>
                                        <w:b/>
                                        <w:bCs/>
                                        <w:i/>
                                        <w:iCs/>
                                        <w:color w:val="4E4D4D"/>
                                        <w:kern w:val="24"/>
                                        <w:szCs w:val="24"/>
                                      </w:rPr>
                                    </m:ctrlPr>
                                  </m:sSubPr>
                                  <m:e>
                                    <m:r>
                                      <m:rPr>
                                        <m:sty m:val="bi"/>
                                      </m:rPr>
                                      <w:rPr>
                                        <w:rFonts w:ascii="Cambria Math" w:hAnsi="Cambria Math" w:cs="Arial"/>
                                        <w:color w:val="4E4D4D"/>
                                        <w:kern w:val="24"/>
                                        <w:szCs w:val="24"/>
                                        <w:lang w:val="es-MX"/>
                                      </w:rPr>
                                      <m:t>Cv</m:t>
                                    </m:r>
                                  </m:e>
                                  <m:sub>
                                    <m:r>
                                      <m:rPr>
                                        <m:sty m:val="bi"/>
                                      </m:rPr>
                                      <w:rPr>
                                        <w:rFonts w:ascii="Cambria Math" w:hAnsi="Cambria Math" w:cs="Arial"/>
                                        <w:color w:val="4E4D4D"/>
                                        <w:kern w:val="24"/>
                                        <w:szCs w:val="24"/>
                                        <w:lang w:val="es-MX"/>
                                      </w:rPr>
                                      <m:t>m,i,j</m:t>
                                    </m:r>
                                  </m:sub>
                                </m:sSub>
                                <m:r>
                                  <m:rPr>
                                    <m:sty m:val="bi"/>
                                  </m:rPr>
                                  <w:rPr>
                                    <w:rFonts w:ascii="Cambria Math" w:hAnsi="Cambria Math" w:cs="Arial"/>
                                    <w:color w:val="4E4D4D"/>
                                    <w:kern w:val="24"/>
                                    <w:szCs w:val="24"/>
                                    <w:lang w:val="es-MX"/>
                                  </w:rPr>
                                  <m:t>+</m:t>
                                </m:r>
                                <m:sSub>
                                  <m:sSubPr>
                                    <m:ctrlPr>
                                      <w:rPr>
                                        <w:rFonts w:ascii="Cambria Math" w:hAnsi="Cambria Math" w:cs="Arial"/>
                                        <w:b/>
                                        <w:bCs/>
                                        <w:i/>
                                        <w:iCs/>
                                        <w:color w:val="4E4D4D"/>
                                        <w:kern w:val="24"/>
                                        <w:szCs w:val="24"/>
                                      </w:rPr>
                                    </m:ctrlPr>
                                  </m:sSubPr>
                                  <m:e>
                                    <m:r>
                                      <m:rPr>
                                        <m:sty m:val="bi"/>
                                      </m:rPr>
                                      <w:rPr>
                                        <w:rFonts w:ascii="Cambria Math" w:hAnsi="Cambria Math" w:cs="Arial"/>
                                        <w:color w:val="4E4D4D"/>
                                        <w:kern w:val="24"/>
                                        <w:szCs w:val="24"/>
                                        <w:lang w:val="es-MX"/>
                                      </w:rPr>
                                      <m:t>Cc</m:t>
                                    </m:r>
                                  </m:e>
                                  <m:sub>
                                    <m:r>
                                      <m:rPr>
                                        <m:sty m:val="bi"/>
                                      </m:rPr>
                                      <w:rPr>
                                        <w:rFonts w:ascii="Cambria Math" w:hAnsi="Cambria Math" w:cs="Arial"/>
                                        <w:color w:val="4E4D4D"/>
                                        <w:kern w:val="24"/>
                                        <w:szCs w:val="24"/>
                                        <w:lang w:val="es-MX"/>
                                      </w:rPr>
                                      <m:t>m,i,j</m:t>
                                    </m:r>
                                  </m:sub>
                                </m:sSub>
                              </m:oMath>
                            </m:oMathPara>
                          </w:p>
                        </w:txbxContent>
                      </wps:txbx>
                      <wps:bodyPr wrap="square">
                        <a:spAutoFit/>
                      </wps:bodyPr>
                    </wps:wsp>
                  </a:graphicData>
                </a:graphic>
              </wp:inline>
            </w:drawing>
          </mc:Choice>
          <mc:Fallback>
            <w:pict>
              <v:rect w14:anchorId="6D1687A1" id="1 Rectángulo" o:spid="_x0000_s1039" style="width:430.35pt;height: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" filled="f" stroked="f">
                <v:textbox style="mso-fit-shape-to-text:t">
                  <w:txbxContent>
                    <w:p w14:paraId="3046F0A7" w14:textId="77777777" w:rsidR="00962CBB" w:rsidRPr="00962CBB" w:rsidRDefault="00000000" w:rsidP="00962CBB">
                      <w:pPr>
                        <w:jc w:val="center"/>
                        <w:textAlignment w:val="baseline"/>
                        <w:rPr>
                          <w:rFonts w:ascii="Cambria Math" w:cs="Arial"/>
                          <w:b/>
                          <w:bCs/>
                          <w:i/>
                          <w:iCs/>
                          <w:color w:val="4E4D4D"/>
                          <w:kern w:val="24"/>
                          <w:szCs w:val="24"/>
                        </w:rPr>
                      </w:pPr>
                      <m:oMathPara>
                        <m:oMathParaPr>
                          <m:jc m:val="centerGroup"/>
                        </m:oMathParaPr>
                        <m:oMath>
                          <m:sSub>
                            <m:sSubPr>
                              <m:ctrlPr>
                                <w:rPr>
                                  <w:rFonts w:ascii="Cambria Math" w:hAnsi="Cambria Math" w:cs="Arial"/>
                                  <w:b/>
                                  <w:bCs/>
                                  <w:i/>
                                  <w:iCs/>
                                  <w:color w:val="4E4D4D"/>
                                  <w:kern w:val="24"/>
                                  <w:szCs w:val="24"/>
                                </w:rPr>
                              </m:ctrlPr>
                            </m:sSubPr>
                            <m:e>
                              <m:r>
                                <m:rPr>
                                  <m:sty m:val="bi"/>
                                </m:rPr>
                                <w:rPr>
                                  <w:rFonts w:ascii="Cambria Math" w:hAnsi="Cambria Math" w:cs="Arial"/>
                                  <w:color w:val="4E4D4D"/>
                                  <w:kern w:val="24"/>
                                  <w:szCs w:val="24"/>
                                  <w:lang w:val="es-MX"/>
                                </w:rPr>
                                <m:t>CUv</m:t>
                              </m:r>
                            </m:e>
                            <m:sub>
                              <m:r>
                                <m:rPr>
                                  <m:sty m:val="bi"/>
                                </m:rPr>
                                <w:rPr>
                                  <w:rFonts w:ascii="Cambria Math" w:hAnsi="Cambria Math" w:cs="Arial"/>
                                  <w:color w:val="4E4D4D"/>
                                  <w:kern w:val="24"/>
                                  <w:szCs w:val="24"/>
                                  <w:lang w:val="es-MX"/>
                                </w:rPr>
                                <m:t>m,i,j</m:t>
                              </m:r>
                            </m:sub>
                          </m:sSub>
                          <m:r>
                            <m:rPr>
                              <m:sty m:val="bi"/>
                            </m:rPr>
                            <w:rPr>
                              <w:rFonts w:ascii="Cambria Math" w:hAnsi="Cambria Math" w:cs="Arial"/>
                              <w:color w:val="4E4D4D"/>
                              <w:kern w:val="24"/>
                              <w:szCs w:val="24"/>
                              <w:lang w:val="es-MX"/>
                            </w:rPr>
                            <m:t>=</m:t>
                          </m:r>
                          <m:f>
                            <m:fPr>
                              <m:ctrlPr>
                                <w:rPr>
                                  <w:rFonts w:ascii="Cambria Math" w:hAnsi="Cambria Math" w:cs="Arial"/>
                                  <w:b/>
                                  <w:bCs/>
                                  <w:i/>
                                  <w:iCs/>
                                  <w:color w:val="4E4D4D"/>
                                  <w:kern w:val="24"/>
                                  <w:szCs w:val="24"/>
                                </w:rPr>
                              </m:ctrlPr>
                            </m:fPr>
                            <m:num>
                              <m:sSub>
                                <m:sSubPr>
                                  <m:ctrlPr>
                                    <w:rPr>
                                      <w:rFonts w:ascii="Cambria Math" w:hAnsi="Cambria Math" w:cs="Arial"/>
                                      <w:b/>
                                      <w:bCs/>
                                      <w:i/>
                                      <w:iCs/>
                                      <w:color w:val="4E4D4D"/>
                                      <w:kern w:val="24"/>
                                      <w:szCs w:val="24"/>
                                    </w:rPr>
                                  </m:ctrlPr>
                                </m:sSubPr>
                                <m:e>
                                  <m:r>
                                    <m:rPr>
                                      <m:sty m:val="bi"/>
                                    </m:rPr>
                                    <w:rPr>
                                      <w:rFonts w:ascii="Cambria Math" w:hAnsi="Cambria Math" w:cs="Arial"/>
                                      <w:color w:val="4E4D4D"/>
                                      <w:kern w:val="24"/>
                                      <w:szCs w:val="24"/>
                                      <w:lang w:val="es-MX"/>
                                    </w:rPr>
                                    <m:t>G</m:t>
                                  </m:r>
                                </m:e>
                                <m:sub>
                                  <m:r>
                                    <m:rPr>
                                      <m:sty m:val="bi"/>
                                    </m:rPr>
                                    <w:rPr>
                                      <w:rFonts w:ascii="Cambria Math" w:hAnsi="Cambria Math" w:cs="Arial"/>
                                      <w:color w:val="4E4D4D"/>
                                      <w:kern w:val="24"/>
                                      <w:szCs w:val="24"/>
                                      <w:lang w:val="es-MX"/>
                                    </w:rPr>
                                    <m:t>m,i,j</m:t>
                                  </m:r>
                                </m:sub>
                              </m:sSub>
                              <m:r>
                                <m:rPr>
                                  <m:sty m:val="bi"/>
                                </m:rPr>
                                <w:rPr>
                                  <w:rFonts w:ascii="Cambria Math" w:hAnsi="Cambria Math" w:cs="Arial"/>
                                  <w:color w:val="4E4D4D"/>
                                  <w:kern w:val="24"/>
                                  <w:szCs w:val="24"/>
                                  <w:lang w:val="es-MX"/>
                                </w:rPr>
                                <m:t>+</m:t>
                              </m:r>
                              <m:sSub>
                                <m:sSubPr>
                                  <m:ctrlPr>
                                    <w:rPr>
                                      <w:rFonts w:ascii="Cambria Math" w:hAnsi="Cambria Math" w:cs="Arial"/>
                                      <w:b/>
                                      <w:bCs/>
                                      <w:i/>
                                      <w:iCs/>
                                      <w:color w:val="4E4D4D"/>
                                      <w:kern w:val="24"/>
                                      <w:szCs w:val="24"/>
                                    </w:rPr>
                                  </m:ctrlPr>
                                </m:sSubPr>
                                <m:e>
                                  <m:r>
                                    <m:rPr>
                                      <m:sty m:val="bi"/>
                                    </m:rPr>
                                    <w:rPr>
                                      <w:rFonts w:ascii="Cambria Math" w:hAnsi="Cambria Math" w:cs="Arial"/>
                                      <w:color w:val="4E4D4D"/>
                                      <w:kern w:val="24"/>
                                      <w:szCs w:val="24"/>
                                      <w:lang w:val="es-MX"/>
                                    </w:rPr>
                                    <m:t>T</m:t>
                                  </m:r>
                                </m:e>
                                <m:sub>
                                  <m:r>
                                    <m:rPr>
                                      <m:sty m:val="bi"/>
                                    </m:rPr>
                                    <w:rPr>
                                      <w:rFonts w:ascii="Cambria Math" w:hAnsi="Cambria Math" w:cs="Arial"/>
                                      <w:color w:val="4E4D4D"/>
                                      <w:kern w:val="24"/>
                                      <w:szCs w:val="24"/>
                                      <w:lang w:val="es-MX"/>
                                    </w:rPr>
                                    <m:t>m,i,j</m:t>
                                  </m:r>
                                </m:sub>
                              </m:sSub>
                            </m:num>
                            <m:den>
                              <m:r>
                                <m:rPr>
                                  <m:sty m:val="bi"/>
                                </m:rPr>
                                <w:rPr>
                                  <w:rFonts w:ascii="Cambria Math" w:hAnsi="Cambria Math" w:cs="Arial"/>
                                  <w:color w:val="4E4D4D"/>
                                  <w:kern w:val="24"/>
                                  <w:szCs w:val="24"/>
                                  <w:lang w:val="es-MX"/>
                                </w:rPr>
                                <m:t>1-ρ</m:t>
                              </m:r>
                            </m:den>
                          </m:f>
                          <m:r>
                            <m:rPr>
                              <m:sty m:val="bi"/>
                            </m:rPr>
                            <w:rPr>
                              <w:rFonts w:ascii="Cambria Math" w:hAnsi="Cambria Math" w:cs="Arial"/>
                              <w:color w:val="4E4D4D"/>
                              <w:kern w:val="24"/>
                              <w:szCs w:val="24"/>
                              <w:lang w:val="es-MX"/>
                            </w:rPr>
                            <m:t>+</m:t>
                          </m:r>
                          <m:d>
                            <m:dPr>
                              <m:ctrlPr>
                                <w:rPr>
                                  <w:rFonts w:ascii="Cambria Math" w:hAnsi="Cambria Math" w:cs="Arial"/>
                                  <w:b/>
                                  <w:bCs/>
                                  <w:i/>
                                  <w:iCs/>
                                  <w:color w:val="4E4D4D"/>
                                  <w:kern w:val="24"/>
                                  <w:szCs w:val="24"/>
                                </w:rPr>
                              </m:ctrlPr>
                            </m:dPr>
                            <m:e>
                              <m:sSub>
                                <m:sSubPr>
                                  <m:ctrlPr>
                                    <w:rPr>
                                      <w:rFonts w:ascii="Cambria Math" w:hAnsi="Cambria Math" w:cs="Arial"/>
                                      <w:b/>
                                      <w:bCs/>
                                      <w:i/>
                                      <w:iCs/>
                                      <w:color w:val="4E4D4D"/>
                                      <w:kern w:val="24"/>
                                      <w:szCs w:val="24"/>
                                    </w:rPr>
                                  </m:ctrlPr>
                                </m:sSubPr>
                                <m:e>
                                  <m:r>
                                    <m:rPr>
                                      <m:sty m:val="bi"/>
                                    </m:rPr>
                                    <w:rPr>
                                      <w:rFonts w:ascii="Cambria Math" w:hAnsi="Cambria Math" w:cs="Arial"/>
                                      <w:color w:val="4E4D4D"/>
                                      <w:kern w:val="24"/>
                                      <w:szCs w:val="24"/>
                                      <w:lang w:val="es-MX"/>
                                    </w:rPr>
                                    <m:t>D</m:t>
                                  </m:r>
                                </m:e>
                                <m:sub>
                                  <m:r>
                                    <m:rPr>
                                      <m:sty m:val="bi"/>
                                    </m:rPr>
                                    <w:rPr>
                                      <w:rFonts w:ascii="Cambria Math" w:hAnsi="Cambria Math" w:cs="Arial"/>
                                      <w:color w:val="4E4D4D"/>
                                      <w:kern w:val="24"/>
                                      <w:szCs w:val="24"/>
                                      <w:lang w:val="es-MX"/>
                                    </w:rPr>
                                    <m:t>m,i,j</m:t>
                                  </m:r>
                                </m:sub>
                              </m:sSub>
                              <m:r>
                                <m:rPr>
                                  <m:sty m:val="bi"/>
                                </m:rPr>
                                <w:rPr>
                                  <w:rFonts w:ascii="Cambria Math" w:cs="Arial"/>
                                  <w:color w:val="4E4D4D"/>
                                  <w:kern w:val="24"/>
                                  <w:szCs w:val="24"/>
                                  <w:lang w:val="es-MX"/>
                                </w:rPr>
                                <m:t>×</m:t>
                              </m:r>
                              <m:sSub>
                                <m:sSubPr>
                                  <m:ctrlPr>
                                    <w:rPr>
                                      <w:rFonts w:ascii="Cambria Math" w:hAnsi="Cambria Math" w:cs="Arial"/>
                                      <w:b/>
                                      <w:bCs/>
                                      <w:i/>
                                      <w:iCs/>
                                      <w:color w:val="4E4D4D"/>
                                      <w:kern w:val="24"/>
                                      <w:szCs w:val="24"/>
                                    </w:rPr>
                                  </m:ctrlPr>
                                </m:sSubPr>
                                <m:e>
                                  <m:sSub>
                                    <m:sSubPr>
                                      <m:ctrlPr>
                                        <w:rPr>
                                          <w:rFonts w:ascii="Cambria Math" w:hAnsi="Cambria Math" w:cs="Arial"/>
                                          <w:b/>
                                          <w:bCs/>
                                          <w:i/>
                                          <w:iCs/>
                                          <w:color w:val="4E4D4D"/>
                                          <w:kern w:val="24"/>
                                          <w:szCs w:val="24"/>
                                        </w:rPr>
                                      </m:ctrlPr>
                                    </m:sSubPr>
                                    <m:e>
                                      <m:r>
                                        <m:rPr>
                                          <m:sty m:val="bi"/>
                                        </m:rPr>
                                        <w:rPr>
                                          <w:rFonts w:ascii="Cambria Math" w:hAnsi="Cambria Math" w:cs="Arial"/>
                                          <w:color w:val="4E4D4D"/>
                                          <w:kern w:val="24"/>
                                          <w:szCs w:val="24"/>
                                          <w:lang w:val="es-MX"/>
                                        </w:rPr>
                                        <m:t>f</m:t>
                                      </m:r>
                                    </m:e>
                                    <m:sub>
                                      <m:r>
                                        <m:rPr>
                                          <m:sty m:val="bi"/>
                                        </m:rPr>
                                        <w:rPr>
                                          <w:rFonts w:ascii="Cambria Math" w:hAnsi="Cambria Math" w:cs="Arial"/>
                                          <w:color w:val="4E4D4D"/>
                                          <w:kern w:val="24"/>
                                          <w:szCs w:val="24"/>
                                          <w:lang w:val="es-MX"/>
                                        </w:rPr>
                                        <m:t>pc</m:t>
                                      </m:r>
                                    </m:sub>
                                  </m:sSub>
                                </m:e>
                                <m:sub>
                                  <m:r>
                                    <m:rPr>
                                      <m:sty m:val="bi"/>
                                    </m:rPr>
                                    <w:rPr>
                                      <w:rFonts w:ascii="Cambria Math" w:hAnsi="Cambria Math" w:cs="Arial"/>
                                      <w:color w:val="4E4D4D"/>
                                      <w:kern w:val="24"/>
                                      <w:szCs w:val="24"/>
                                      <w:lang w:val="es-MX"/>
                                    </w:rPr>
                                    <m:t>m,i,j</m:t>
                                  </m:r>
                                </m:sub>
                              </m:sSub>
                            </m:e>
                          </m:d>
                          <m:r>
                            <m:rPr>
                              <m:sty m:val="bi"/>
                            </m:rPr>
                            <w:rPr>
                              <w:rFonts w:ascii="Cambria Math" w:hAnsi="Cambria Math" w:cs="Arial"/>
                              <w:color w:val="4E4D4D"/>
                              <w:kern w:val="24"/>
                              <w:szCs w:val="24"/>
                              <w:lang w:val="es-MX"/>
                            </w:rPr>
                            <m:t>+</m:t>
                          </m:r>
                          <m:sSub>
                            <m:sSubPr>
                              <m:ctrlPr>
                                <w:rPr>
                                  <w:rFonts w:ascii="Cambria Math" w:hAnsi="Cambria Math" w:cs="Arial"/>
                                  <w:b/>
                                  <w:bCs/>
                                  <w:i/>
                                  <w:iCs/>
                                  <w:color w:val="4E4D4D"/>
                                  <w:kern w:val="24"/>
                                  <w:szCs w:val="24"/>
                                </w:rPr>
                              </m:ctrlPr>
                            </m:sSubPr>
                            <m:e>
                              <m:r>
                                <m:rPr>
                                  <m:sty m:val="bi"/>
                                </m:rPr>
                                <w:rPr>
                                  <w:rFonts w:ascii="Cambria Math" w:hAnsi="Cambria Math" w:cs="Arial"/>
                                  <w:color w:val="4E4D4D"/>
                                  <w:kern w:val="24"/>
                                  <w:szCs w:val="24"/>
                                  <w:lang w:val="es-MX"/>
                                </w:rPr>
                                <m:t>Cv</m:t>
                              </m:r>
                            </m:e>
                            <m:sub>
                              <m:r>
                                <m:rPr>
                                  <m:sty m:val="bi"/>
                                </m:rPr>
                                <w:rPr>
                                  <w:rFonts w:ascii="Cambria Math" w:hAnsi="Cambria Math" w:cs="Arial"/>
                                  <w:color w:val="4E4D4D"/>
                                  <w:kern w:val="24"/>
                                  <w:szCs w:val="24"/>
                                  <w:lang w:val="es-MX"/>
                                </w:rPr>
                                <m:t>m,i,j</m:t>
                              </m:r>
                            </m:sub>
                          </m:sSub>
                          <m:r>
                            <m:rPr>
                              <m:sty m:val="bi"/>
                            </m:rPr>
                            <w:rPr>
                              <w:rFonts w:ascii="Cambria Math" w:hAnsi="Cambria Math" w:cs="Arial"/>
                              <w:color w:val="4E4D4D"/>
                              <w:kern w:val="24"/>
                              <w:szCs w:val="24"/>
                              <w:lang w:val="es-MX"/>
                            </w:rPr>
                            <m:t>+</m:t>
                          </m:r>
                          <m:sSub>
                            <m:sSubPr>
                              <m:ctrlPr>
                                <w:rPr>
                                  <w:rFonts w:ascii="Cambria Math" w:hAnsi="Cambria Math" w:cs="Arial"/>
                                  <w:b/>
                                  <w:bCs/>
                                  <w:i/>
                                  <w:iCs/>
                                  <w:color w:val="4E4D4D"/>
                                  <w:kern w:val="24"/>
                                  <w:szCs w:val="24"/>
                                </w:rPr>
                              </m:ctrlPr>
                            </m:sSubPr>
                            <m:e>
                              <m:r>
                                <m:rPr>
                                  <m:sty m:val="bi"/>
                                </m:rPr>
                                <w:rPr>
                                  <w:rFonts w:ascii="Cambria Math" w:hAnsi="Cambria Math" w:cs="Arial"/>
                                  <w:color w:val="4E4D4D"/>
                                  <w:kern w:val="24"/>
                                  <w:szCs w:val="24"/>
                                  <w:lang w:val="es-MX"/>
                                </w:rPr>
                                <m:t>Cc</m:t>
                              </m:r>
                            </m:e>
                            <m:sub>
                              <m:r>
                                <m:rPr>
                                  <m:sty m:val="bi"/>
                                </m:rPr>
                                <w:rPr>
                                  <w:rFonts w:ascii="Cambria Math" w:hAnsi="Cambria Math" w:cs="Arial"/>
                                  <w:color w:val="4E4D4D"/>
                                  <w:kern w:val="24"/>
                                  <w:szCs w:val="24"/>
                                  <w:lang w:val="es-MX"/>
                                </w:rPr>
                                <m:t>m,i,j</m:t>
                              </m:r>
                            </m:sub>
                          </m:sSub>
                        </m:oMath>
                      </m:oMathPara>
                    </w:p>
                  </w:txbxContent>
                </v:textbox>
                <w10:anchorlock/>
              </v:rect>
            </w:pict>
          </mc:Fallback>
        </mc:AlternateContent>
      </w:r>
    </w:p>
    <w:p w14:paraId="544C5593" w14:textId="781177BF" w:rsidR="00C53E96" w:rsidRPr="00481901" w:rsidRDefault="00C53E96">
      <w:pPr>
        <w:numPr>
          <w:ilvl w:val="0"/>
          <w:numId w:val="27"/>
        </w:numPr>
        <w:spacing w:before="100" w:beforeAutospacing="1" w:after="100" w:afterAutospacing="1" w:line="360" w:lineRule="auto"/>
        <w:rPr>
          <w:lang w:val="es-CO"/>
        </w:rPr>
      </w:pPr>
      <w:r w:rsidRPr="00C53E96">
        <w:rPr>
          <w:b/>
          <w:bCs/>
          <w:lang w:val="es-CO"/>
        </w:rPr>
        <w:t>Cargo fijo ($/factura):</w:t>
      </w:r>
    </w:p>
    <w:p w14:paraId="1BE49C6B" w14:textId="6ABF91B5" w:rsidR="00481901" w:rsidRPr="009A004B" w:rsidRDefault="00481901" w:rsidP="002F1961">
      <w:pPr>
        <w:spacing w:before="100" w:beforeAutospacing="1" w:after="100" w:afterAutospacing="1" w:line="360" w:lineRule="auto"/>
        <w:jc w:val="center"/>
        <w:rPr>
          <w:lang w:val="es-CO"/>
        </w:rPr>
      </w:pPr>
      <w:r w:rsidRPr="00481901">
        <w:rPr>
          <w:noProof/>
        </w:rPr>
        <mc:AlternateContent>
          <mc:Choice Requires="wps">
            <w:drawing>
              <wp:inline distT="0" distB="0" distL="0" distR="0" wp14:anchorId="6956C4B8" wp14:editId="42A9DCDC">
                <wp:extent cx="2351285" cy="496226"/>
                <wp:effectExtent l="0" t="0" r="0" b="0"/>
                <wp:docPr id="26" name="3 Rectángulo">
                  <a:extLst xmlns:a="http://schemas.openxmlformats.org/drawingml/2006/main">
                    <a:ext uri="{FF2B5EF4-FFF2-40B4-BE49-F238E27FC236}">
                      <a16:creationId xmlns:a16="http://schemas.microsoft.com/office/drawing/2014/main" id="{DDC6DA26-77FA-E4A4-8C96-E85014077B93}"/>
                    </a:ext>
                  </a:extLst>
                </wp:docPr>
                <wp:cNvGraphicFramePr/>
                <a:graphic xmlns:a="http://schemas.openxmlformats.org/drawingml/2006/main">
                  <a:graphicData uri="http://schemas.microsoft.com/office/word/2010/wordprocessingShape">
                    <wps:wsp>
                      <wps:cNvSpPr/>
                      <wps:spPr>
                        <a:xfrm>
                          <a:off x="0" y="0"/>
                          <a:ext cx="2351285" cy="496226"/>
                        </a:xfrm>
                        <a:prstGeom prst="rect">
                          <a:avLst/>
                        </a:prstGeom>
                      </wps:spPr>
                      <wps:txbx>
                        <w:txbxContent>
                          <w:p w14:paraId="4D8516B4" w14:textId="77777777" w:rsidR="00481901" w:rsidRPr="00481901" w:rsidRDefault="00000000" w:rsidP="00DA7B47">
                            <w:pPr>
                              <w:textAlignment w:val="baseline"/>
                              <w:rPr>
                                <w:rFonts w:ascii="Cambria Math" w:cs="Arial"/>
                                <w:b/>
                                <w:bCs/>
                                <w:i/>
                                <w:iCs/>
                                <w:color w:val="4E4D4D"/>
                                <w:kern w:val="24"/>
                                <w:szCs w:val="24"/>
                              </w:rPr>
                            </w:pPr>
                            <m:oMathPara>
                              <m:oMathParaPr>
                                <m:jc m:val="centerGroup"/>
                              </m:oMathParaPr>
                              <m:oMath>
                                <m:sSub>
                                  <m:sSubPr>
                                    <m:ctrlPr>
                                      <w:rPr>
                                        <w:rFonts w:ascii="Cambria Math" w:hAnsi="Cambria Math" w:cs="Arial"/>
                                        <w:b/>
                                        <w:bCs/>
                                        <w:i/>
                                        <w:iCs/>
                                        <w:color w:val="4E4D4D"/>
                                        <w:kern w:val="24"/>
                                        <w:szCs w:val="24"/>
                                      </w:rPr>
                                    </m:ctrlPr>
                                  </m:sSubPr>
                                  <m:e>
                                    <m:r>
                                      <m:rPr>
                                        <m:sty m:val="bi"/>
                                      </m:rPr>
                                      <w:rPr>
                                        <w:rFonts w:ascii="Cambria Math" w:hAnsi="Cambria Math" w:cs="Arial"/>
                                        <w:color w:val="4E4D4D"/>
                                        <w:kern w:val="24"/>
                                        <w:szCs w:val="24"/>
                                      </w:rPr>
                                      <m:t>Cuf</m:t>
                                    </m:r>
                                  </m:e>
                                  <m:sub>
                                    <m:r>
                                      <m:rPr>
                                        <m:sty m:val="bi"/>
                                      </m:rPr>
                                      <w:rPr>
                                        <w:rFonts w:ascii="Cambria Math" w:hAnsi="Cambria Math" w:cs="Arial"/>
                                        <w:color w:val="4E4D4D"/>
                                        <w:kern w:val="24"/>
                                        <w:szCs w:val="24"/>
                                      </w:rPr>
                                      <m:t>m,i,j</m:t>
                                    </m:r>
                                  </m:sub>
                                </m:sSub>
                                <m:r>
                                  <m:rPr>
                                    <m:sty m:val="bi"/>
                                  </m:rPr>
                                  <w:rPr>
                                    <w:rFonts w:ascii="Cambria Math" w:hAnsi="Cambria Math" w:cs="Arial"/>
                                    <w:color w:val="4E4D4D"/>
                                    <w:kern w:val="24"/>
                                    <w:szCs w:val="24"/>
                                  </w:rPr>
                                  <m:t>=</m:t>
                                </m:r>
                                <m:sSub>
                                  <m:sSubPr>
                                    <m:ctrlPr>
                                      <w:rPr>
                                        <w:rFonts w:ascii="Cambria Math" w:hAnsi="Cambria Math" w:cs="Arial"/>
                                        <w:b/>
                                        <w:bCs/>
                                        <w:i/>
                                        <w:iCs/>
                                        <w:color w:val="4E4D4D"/>
                                        <w:kern w:val="24"/>
                                        <w:szCs w:val="24"/>
                                      </w:rPr>
                                    </m:ctrlPr>
                                  </m:sSubPr>
                                  <m:e>
                                    <m:r>
                                      <m:rPr>
                                        <m:sty m:val="bi"/>
                                      </m:rPr>
                                      <w:rPr>
                                        <w:rFonts w:ascii="Cambria Math" w:hAnsi="Cambria Math" w:cs="Arial"/>
                                        <w:color w:val="4E4D4D"/>
                                        <w:kern w:val="24"/>
                                        <w:szCs w:val="24"/>
                                      </w:rPr>
                                      <m:t>Cf</m:t>
                                    </m:r>
                                  </m:e>
                                  <m:sub>
                                    <m:r>
                                      <m:rPr>
                                        <m:sty m:val="bi"/>
                                      </m:rPr>
                                      <w:rPr>
                                        <w:rFonts w:ascii="Cambria Math" w:hAnsi="Cambria Math" w:cs="Arial"/>
                                        <w:color w:val="4E4D4D"/>
                                        <w:kern w:val="24"/>
                                        <w:szCs w:val="24"/>
                                      </w:rPr>
                                      <m:t>m,i,j</m:t>
                                    </m:r>
                                  </m:sub>
                                </m:sSub>
                              </m:oMath>
                            </m:oMathPara>
                          </w:p>
                        </w:txbxContent>
                      </wps:txbx>
                      <wps:bodyPr wrap="none">
                        <a:spAutoFit/>
                      </wps:bodyPr>
                    </wps:wsp>
                  </a:graphicData>
                </a:graphic>
              </wp:inline>
            </w:drawing>
          </mc:Choice>
          <mc:Fallback>
            <w:pict>
              <v:rect w14:anchorId="6956C4B8" id="3 Rectángulo" o:spid="_x0000_s1040" style="width:185.15pt;height:39.0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" filled="f" stroked="f">
                <v:textbox style="mso-fit-shape-to-text:t">
                  <w:txbxContent>
                    <w:p w14:paraId="4D8516B4" w14:textId="77777777" w:rsidR="00481901" w:rsidRPr="00481901" w:rsidRDefault="00000000" w:rsidP="00DA7B47">
                      <w:pPr>
                        <w:textAlignment w:val="baseline"/>
                        <w:rPr>
                          <w:rFonts w:ascii="Cambria Math" w:cs="Arial"/>
                          <w:b/>
                          <w:bCs/>
                          <w:i/>
                          <w:iCs/>
                          <w:color w:val="4E4D4D"/>
                          <w:kern w:val="24"/>
                          <w:szCs w:val="24"/>
                        </w:rPr>
                      </w:pPr>
                      <m:oMathPara>
                        <m:oMathParaPr>
                          <m:jc m:val="centerGroup"/>
                        </m:oMathParaPr>
                        <m:oMath>
                          <m:sSub>
                            <m:sSubPr>
                              <m:ctrlPr>
                                <w:rPr>
                                  <w:rFonts w:ascii="Cambria Math" w:hAnsi="Cambria Math" w:cs="Arial"/>
                                  <w:b/>
                                  <w:bCs/>
                                  <w:i/>
                                  <w:iCs/>
                                  <w:color w:val="4E4D4D"/>
                                  <w:kern w:val="24"/>
                                  <w:szCs w:val="24"/>
                                </w:rPr>
                              </m:ctrlPr>
                            </m:sSubPr>
                            <m:e>
                              <m:r>
                                <m:rPr>
                                  <m:sty m:val="bi"/>
                                </m:rPr>
                                <w:rPr>
                                  <w:rFonts w:ascii="Cambria Math" w:hAnsi="Cambria Math" w:cs="Arial"/>
                                  <w:color w:val="4E4D4D"/>
                                  <w:kern w:val="24"/>
                                  <w:szCs w:val="24"/>
                                </w:rPr>
                                <m:t>Cuf</m:t>
                              </m:r>
                            </m:e>
                            <m:sub>
                              <m:r>
                                <m:rPr>
                                  <m:sty m:val="bi"/>
                                </m:rPr>
                                <w:rPr>
                                  <w:rFonts w:ascii="Cambria Math" w:hAnsi="Cambria Math" w:cs="Arial"/>
                                  <w:color w:val="4E4D4D"/>
                                  <w:kern w:val="24"/>
                                  <w:szCs w:val="24"/>
                                </w:rPr>
                                <m:t>m,i,j</m:t>
                              </m:r>
                            </m:sub>
                          </m:sSub>
                          <m:r>
                            <m:rPr>
                              <m:sty m:val="bi"/>
                            </m:rPr>
                            <w:rPr>
                              <w:rFonts w:ascii="Cambria Math" w:hAnsi="Cambria Math" w:cs="Arial"/>
                              <w:color w:val="4E4D4D"/>
                              <w:kern w:val="24"/>
                              <w:szCs w:val="24"/>
                            </w:rPr>
                            <m:t>=</m:t>
                          </m:r>
                          <m:sSub>
                            <m:sSubPr>
                              <m:ctrlPr>
                                <w:rPr>
                                  <w:rFonts w:ascii="Cambria Math" w:hAnsi="Cambria Math" w:cs="Arial"/>
                                  <w:b/>
                                  <w:bCs/>
                                  <w:i/>
                                  <w:iCs/>
                                  <w:color w:val="4E4D4D"/>
                                  <w:kern w:val="24"/>
                                  <w:szCs w:val="24"/>
                                </w:rPr>
                              </m:ctrlPr>
                            </m:sSubPr>
                            <m:e>
                              <m:r>
                                <m:rPr>
                                  <m:sty m:val="bi"/>
                                </m:rPr>
                                <w:rPr>
                                  <w:rFonts w:ascii="Cambria Math" w:hAnsi="Cambria Math" w:cs="Arial"/>
                                  <w:color w:val="4E4D4D"/>
                                  <w:kern w:val="24"/>
                                  <w:szCs w:val="24"/>
                                </w:rPr>
                                <m:t>Cf</m:t>
                              </m:r>
                            </m:e>
                            <m:sub>
                              <m:r>
                                <m:rPr>
                                  <m:sty m:val="bi"/>
                                </m:rPr>
                                <w:rPr>
                                  <w:rFonts w:ascii="Cambria Math" w:hAnsi="Cambria Math" w:cs="Arial"/>
                                  <w:color w:val="4E4D4D"/>
                                  <w:kern w:val="24"/>
                                  <w:szCs w:val="24"/>
                                </w:rPr>
                                <m:t>m,i,j</m:t>
                              </m:r>
                            </m:sub>
                          </m:sSub>
                        </m:oMath>
                      </m:oMathPara>
                    </w:p>
                  </w:txbxContent>
                </v:textbox>
                <w10:anchorlock/>
              </v:rect>
            </w:pict>
          </mc:Fallback>
        </mc:AlternateContent>
      </w:r>
    </w:p>
    <w:p w14:paraId="4F7B3709" w14:textId="0807FEED" w:rsidR="00DA7B47" w:rsidRPr="00B35440" w:rsidRDefault="00B35440" w:rsidP="00B35440">
      <w:pPr>
        <w:spacing w:before="100" w:beforeAutospacing="1" w:after="100" w:afterAutospacing="1" w:line="360" w:lineRule="auto"/>
        <w:jc w:val="center"/>
        <w:rPr>
          <w:sz w:val="22"/>
          <w:szCs w:val="18"/>
        </w:rPr>
      </w:pPr>
      <w:r w:rsidRPr="00B35440">
        <w:rPr>
          <w:sz w:val="22"/>
          <w:szCs w:val="18"/>
        </w:rPr>
        <w:t>Elaboración: CREG</w:t>
      </w:r>
    </w:p>
    <w:p w14:paraId="2930FE18" w14:textId="341BDA81" w:rsidR="00D30D70" w:rsidRDefault="00D30D70" w:rsidP="002F1961">
      <w:pPr>
        <w:spacing w:before="100" w:beforeAutospacing="1" w:after="100" w:afterAutospacing="1" w:line="360" w:lineRule="auto"/>
      </w:pPr>
      <w:r w:rsidRPr="00D30D70">
        <w:t xml:space="preserve">Las principales variables que conforman la fórmula tarifaria se describen </w:t>
      </w:r>
      <w:r w:rsidR="001A168E">
        <w:t xml:space="preserve">en la </w:t>
      </w:r>
      <w:r w:rsidR="00B35440">
        <w:fldChar w:fldCharType="begin"/>
      </w:r>
      <w:r w:rsidR="00B35440">
        <w:instrText xml:space="preserve"> REF _Ref235023584 \h  \* MERGEFORMAT </w:instrText>
      </w:r>
      <w:r w:rsidR="00B35440">
        <w:fldChar w:fldCharType="separate"/>
      </w:r>
      <w:r w:rsidR="00B35440" w:rsidRPr="00BF2400">
        <w:rPr>
          <w:rFonts w:cs="Arial"/>
          <w:bCs/>
          <w:szCs w:val="24"/>
        </w:rPr>
        <w:t xml:space="preserve">Tabla </w:t>
      </w:r>
      <w:r w:rsidR="00B35440" w:rsidRPr="00B35440">
        <w:rPr>
          <w:rFonts w:cs="Arial"/>
          <w:noProof/>
          <w:szCs w:val="24"/>
        </w:rPr>
        <w:t>2</w:t>
      </w:r>
      <w:r w:rsidR="00B35440">
        <w:fldChar w:fldCharType="end"/>
      </w:r>
      <w:r>
        <w:t>:</w:t>
      </w:r>
    </w:p>
    <w:p w14:paraId="57A7E619" w14:textId="054EE28B" w:rsidR="00B04677" w:rsidRPr="00BF2400" w:rsidRDefault="00B04677" w:rsidP="002F1961">
      <w:pPr>
        <w:pStyle w:val="Descripcin"/>
        <w:keepNext/>
        <w:spacing w:before="100" w:beforeAutospacing="1" w:after="100" w:afterAutospacing="1" w:line="360" w:lineRule="auto"/>
        <w:jc w:val="center"/>
        <w:rPr>
          <w:rFonts w:cs="Arial"/>
          <w:b w:val="0"/>
          <w:bCs/>
          <w:szCs w:val="24"/>
        </w:rPr>
      </w:pPr>
      <w:bookmarkStart w:id="67" w:name="_Ref235023577"/>
      <w:bookmarkStart w:id="68" w:name="_Ref235023584"/>
      <w:bookmarkStart w:id="69" w:name="_Toc235128399"/>
      <w:r w:rsidRPr="00BF2400">
        <w:rPr>
          <w:rFonts w:cs="Arial"/>
          <w:b w:val="0"/>
          <w:bCs/>
          <w:szCs w:val="24"/>
        </w:rPr>
        <w:t xml:space="preserve">Tabla </w:t>
      </w:r>
      <w:r w:rsidRPr="00BF2400">
        <w:rPr>
          <w:rFonts w:cs="Arial"/>
          <w:b w:val="0"/>
          <w:bCs/>
          <w:szCs w:val="24"/>
        </w:rPr>
        <w:fldChar w:fldCharType="begin"/>
      </w:r>
      <w:r w:rsidRPr="00BF2400">
        <w:rPr>
          <w:rFonts w:cs="Arial"/>
          <w:b w:val="0"/>
          <w:bCs/>
          <w:szCs w:val="24"/>
        </w:rPr>
        <w:instrText xml:space="preserve"> SEQ Tabla \* ARABIC </w:instrText>
      </w:r>
      <w:r w:rsidRPr="00BF2400">
        <w:rPr>
          <w:rFonts w:cs="Arial"/>
          <w:b w:val="0"/>
          <w:bCs/>
          <w:szCs w:val="24"/>
        </w:rPr>
        <w:fldChar w:fldCharType="separate"/>
      </w:r>
      <w:r w:rsidR="00B35440">
        <w:rPr>
          <w:rFonts w:cs="Arial"/>
          <w:b w:val="0"/>
          <w:bCs/>
          <w:noProof/>
          <w:szCs w:val="24"/>
        </w:rPr>
        <w:t>2</w:t>
      </w:r>
      <w:r w:rsidRPr="00BF2400">
        <w:rPr>
          <w:rFonts w:cs="Arial"/>
          <w:b w:val="0"/>
          <w:bCs/>
          <w:szCs w:val="24"/>
        </w:rPr>
        <w:fldChar w:fldCharType="end"/>
      </w:r>
      <w:bookmarkEnd w:id="68"/>
      <w:r w:rsidRPr="00BF2400">
        <w:rPr>
          <w:rFonts w:cs="Arial"/>
          <w:b w:val="0"/>
          <w:bCs/>
          <w:szCs w:val="24"/>
        </w:rPr>
        <w:t xml:space="preserve">. </w:t>
      </w:r>
      <w:r w:rsidR="001A168E">
        <w:rPr>
          <w:rFonts w:cs="Arial"/>
          <w:b w:val="0"/>
          <w:bCs/>
          <w:szCs w:val="24"/>
        </w:rPr>
        <w:t>Variables que conforman la fórmula tarifaria</w:t>
      </w:r>
      <w:bookmarkEnd w:id="67"/>
      <w:bookmarkEnd w:id="69"/>
    </w:p>
    <w:tbl>
      <w:tblPr>
        <w:tblStyle w:val="Tablanormal1"/>
        <w:tblW w:w="8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
        <w:gridCol w:w="7795"/>
      </w:tblGrid>
      <w:tr w:rsidR="00743E89" w:rsidRPr="00084174" w14:paraId="50A0BEA8" w14:textId="77777777" w:rsidTr="001E77D1">
        <w:trPr>
          <w:cnfStyle w:val="100000000000" w:firstRow="1" w:lastRow="0" w:firstColumn="0" w:lastColumn="0" w:oddVBand="0" w:evenVBand="0" w:oddHBand="0" w:evenHBand="0" w:firstRowFirstColumn="0" w:firstRowLastColumn="0" w:lastRowFirstColumn="0" w:lastRowLastColumn="0"/>
          <w:trHeight w:val="273"/>
          <w:tblHeade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hideMark/>
          </w:tcPr>
          <w:p w14:paraId="2BE1EBAE" w14:textId="77777777" w:rsidR="00743E89" w:rsidRPr="00084174" w:rsidRDefault="00743E89" w:rsidP="002F1961">
            <w:pPr>
              <w:spacing w:before="100" w:beforeAutospacing="1" w:after="100" w:afterAutospacing="1" w:line="360" w:lineRule="auto"/>
              <w:jc w:val="center"/>
              <w:rPr>
                <w:rFonts w:cs="Arial"/>
                <w:sz w:val="20"/>
                <w:lang w:val="es-CO"/>
              </w:rPr>
            </w:pPr>
            <w:r w:rsidRPr="00084174">
              <w:rPr>
                <w:rFonts w:cs="Arial"/>
                <w:sz w:val="20"/>
                <w:lang w:val="es-CO"/>
              </w:rPr>
              <w:t>Variable</w:t>
            </w:r>
          </w:p>
        </w:tc>
        <w:tc>
          <w:tcPr>
            <w:tcW w:w="0" w:type="auto"/>
            <w:shd w:val="clear" w:color="auto" w:fill="D9D9D9" w:themeFill="background1" w:themeFillShade="D9"/>
            <w:hideMark/>
          </w:tcPr>
          <w:p w14:paraId="151B3A85" w14:textId="77777777" w:rsidR="00743E89" w:rsidRPr="00084174" w:rsidRDefault="00743E89" w:rsidP="002F1961">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cs="Arial"/>
                <w:sz w:val="20"/>
                <w:lang w:val="es-CO"/>
              </w:rPr>
            </w:pPr>
            <w:r w:rsidRPr="00084174">
              <w:rPr>
                <w:rFonts w:cs="Arial"/>
                <w:sz w:val="20"/>
                <w:lang w:val="es-CO"/>
              </w:rPr>
              <w:t>Descripción</w:t>
            </w:r>
          </w:p>
        </w:tc>
      </w:tr>
      <w:tr w:rsidR="00743E89" w:rsidRPr="00084174" w14:paraId="0851C3F8" w14:textId="77777777" w:rsidTr="001E77D1">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1BF11AA" w14:textId="5A63EF16" w:rsidR="00743E89" w:rsidRPr="00084174" w:rsidRDefault="00743E89" w:rsidP="002F1961">
            <w:pPr>
              <w:spacing w:before="100" w:beforeAutospacing="1" w:after="100" w:afterAutospacing="1" w:line="360" w:lineRule="auto"/>
              <w:jc w:val="center"/>
              <w:rPr>
                <w:rFonts w:cs="Arial"/>
                <w:b w:val="0"/>
                <w:bCs w:val="0"/>
                <w:i/>
                <w:iCs/>
                <w:sz w:val="20"/>
                <w:lang w:val="es-CO"/>
              </w:rPr>
            </w:pPr>
            <w:r w:rsidRPr="00084174">
              <w:rPr>
                <w:rFonts w:cs="Arial"/>
                <w:b w:val="0"/>
                <w:bCs w:val="0"/>
                <w:i/>
                <w:iCs/>
                <w:sz w:val="20"/>
                <w:lang w:val="es-CO"/>
              </w:rPr>
              <w:t>C</w:t>
            </w:r>
            <w:r w:rsidR="001A168E" w:rsidRPr="00084174">
              <w:rPr>
                <w:rFonts w:cs="Arial"/>
                <w:b w:val="0"/>
                <w:bCs w:val="0"/>
                <w:i/>
                <w:iCs/>
                <w:sz w:val="20"/>
                <w:lang w:val="es-CO"/>
              </w:rPr>
              <w:t>u</w:t>
            </w:r>
            <w:r w:rsidRPr="00084174">
              <w:rPr>
                <w:rFonts w:cs="Arial"/>
                <w:b w:val="0"/>
                <w:bCs w:val="0"/>
                <w:i/>
                <w:iCs/>
                <w:sz w:val="20"/>
                <w:lang w:val="es-CO"/>
              </w:rPr>
              <w:t>v</w:t>
            </w:r>
          </w:p>
        </w:tc>
        <w:tc>
          <w:tcPr>
            <w:tcW w:w="0" w:type="auto"/>
            <w:hideMark/>
          </w:tcPr>
          <w:p w14:paraId="5A159068" w14:textId="392463E9" w:rsidR="00743E89" w:rsidRPr="00084174" w:rsidRDefault="00FE4C98" w:rsidP="002F1961">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cs="Arial"/>
                <w:sz w:val="20"/>
                <w:lang w:val="es-CO"/>
              </w:rPr>
            </w:pPr>
            <w:r w:rsidRPr="00084174">
              <w:rPr>
                <w:rFonts w:cs="Arial"/>
                <w:sz w:val="20"/>
                <w:lang w:val="es-CO"/>
              </w:rPr>
              <w:t>Componente variable del costo unitario de prestación del servicio</w:t>
            </w:r>
          </w:p>
        </w:tc>
      </w:tr>
      <w:tr w:rsidR="00743E89" w:rsidRPr="00084174" w14:paraId="00D15D78" w14:textId="77777777" w:rsidTr="001E77D1">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3D7C0EF" w14:textId="6812A24C" w:rsidR="00743E89" w:rsidRPr="00084174" w:rsidRDefault="00743E89" w:rsidP="002F1961">
            <w:pPr>
              <w:spacing w:before="100" w:beforeAutospacing="1" w:after="100" w:afterAutospacing="1" w:line="360" w:lineRule="auto"/>
              <w:jc w:val="center"/>
              <w:rPr>
                <w:rFonts w:cs="Arial"/>
                <w:b w:val="0"/>
                <w:bCs w:val="0"/>
                <w:i/>
                <w:iCs/>
                <w:sz w:val="20"/>
                <w:lang w:val="es-CO"/>
              </w:rPr>
            </w:pPr>
            <w:proofErr w:type="spellStart"/>
            <w:r w:rsidRPr="00084174">
              <w:rPr>
                <w:rFonts w:cs="Arial"/>
                <w:b w:val="0"/>
                <w:bCs w:val="0"/>
                <w:i/>
                <w:iCs/>
                <w:sz w:val="20"/>
                <w:lang w:val="es-CO"/>
              </w:rPr>
              <w:t>C</w:t>
            </w:r>
            <w:r w:rsidR="001A168E" w:rsidRPr="00084174">
              <w:rPr>
                <w:rFonts w:cs="Arial"/>
                <w:b w:val="0"/>
                <w:bCs w:val="0"/>
                <w:i/>
                <w:iCs/>
                <w:sz w:val="20"/>
                <w:lang w:val="es-CO"/>
              </w:rPr>
              <w:t>u</w:t>
            </w:r>
            <w:r w:rsidRPr="00084174">
              <w:rPr>
                <w:rFonts w:cs="Arial"/>
                <w:b w:val="0"/>
                <w:bCs w:val="0"/>
                <w:i/>
                <w:iCs/>
                <w:sz w:val="20"/>
                <w:lang w:val="es-CO"/>
              </w:rPr>
              <w:t>f</w:t>
            </w:r>
            <w:proofErr w:type="spellEnd"/>
          </w:p>
        </w:tc>
        <w:tc>
          <w:tcPr>
            <w:tcW w:w="0" w:type="auto"/>
            <w:hideMark/>
          </w:tcPr>
          <w:p w14:paraId="4711615F" w14:textId="5F0C64CE" w:rsidR="00743E89" w:rsidRPr="00084174" w:rsidRDefault="00755A0D" w:rsidP="002F1961">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cs="Arial"/>
                <w:sz w:val="20"/>
                <w:lang w:val="es-CO"/>
              </w:rPr>
            </w:pPr>
            <w:r w:rsidRPr="00084174">
              <w:rPr>
                <w:rFonts w:cs="Arial"/>
                <w:sz w:val="20"/>
                <w:lang w:val="es-CO"/>
              </w:rPr>
              <w:t>Componente fijo del costo unitario de prestación del servicio.</w:t>
            </w:r>
          </w:p>
        </w:tc>
      </w:tr>
      <w:tr w:rsidR="00743E89" w:rsidRPr="00084174" w14:paraId="0BCE8346" w14:textId="77777777" w:rsidTr="001E77D1">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AFB83E8" w14:textId="77777777" w:rsidR="00743E89" w:rsidRPr="00084174" w:rsidRDefault="00743E89" w:rsidP="002F1961">
            <w:pPr>
              <w:spacing w:before="100" w:beforeAutospacing="1" w:after="100" w:afterAutospacing="1" w:line="360" w:lineRule="auto"/>
              <w:jc w:val="center"/>
              <w:rPr>
                <w:rFonts w:cs="Arial"/>
                <w:b w:val="0"/>
                <w:bCs w:val="0"/>
                <w:i/>
                <w:iCs/>
                <w:sz w:val="20"/>
                <w:lang w:val="es-CO"/>
              </w:rPr>
            </w:pPr>
            <w:r w:rsidRPr="00084174">
              <w:rPr>
                <w:rFonts w:cs="Arial"/>
                <w:b w:val="0"/>
                <w:bCs w:val="0"/>
                <w:i/>
                <w:iCs/>
                <w:sz w:val="20"/>
                <w:lang w:val="es-CO"/>
              </w:rPr>
              <w:t>G</w:t>
            </w:r>
          </w:p>
        </w:tc>
        <w:tc>
          <w:tcPr>
            <w:tcW w:w="0" w:type="auto"/>
            <w:hideMark/>
          </w:tcPr>
          <w:p w14:paraId="1E0047C8" w14:textId="285F7215" w:rsidR="00743E89" w:rsidRPr="00084174" w:rsidRDefault="00755A0D" w:rsidP="002F1961">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cs="Arial"/>
                <w:sz w:val="20"/>
                <w:lang w:val="es-CO"/>
              </w:rPr>
            </w:pPr>
            <w:r w:rsidRPr="00084174">
              <w:rPr>
                <w:rFonts w:cs="Arial"/>
                <w:sz w:val="20"/>
                <w:lang w:val="es-CO"/>
              </w:rPr>
              <w:t xml:space="preserve">Costo promedio unitario </w:t>
            </w:r>
            <w:r w:rsidR="008A5B20" w:rsidRPr="00084174">
              <w:rPr>
                <w:rFonts w:cs="Arial"/>
                <w:sz w:val="20"/>
                <w:lang w:val="es-CO"/>
              </w:rPr>
              <w:t xml:space="preserve">correspondiente a las compras de Gas Natural y/o Gas Metano en Depósitos de Carbón y/o GLP por redes y/o aire </w:t>
            </w:r>
            <w:proofErr w:type="spellStart"/>
            <w:r w:rsidR="008A5B20" w:rsidRPr="00084174">
              <w:rPr>
                <w:rFonts w:cs="Arial"/>
                <w:sz w:val="20"/>
                <w:lang w:val="es-CO"/>
              </w:rPr>
              <w:t>propanado</w:t>
            </w:r>
            <w:proofErr w:type="spellEnd"/>
            <w:r w:rsidR="008A5B20" w:rsidRPr="00084174">
              <w:rPr>
                <w:rFonts w:cs="Arial"/>
                <w:sz w:val="20"/>
                <w:lang w:val="es-CO"/>
              </w:rPr>
              <w:t>.</w:t>
            </w:r>
          </w:p>
        </w:tc>
      </w:tr>
      <w:tr w:rsidR="00743E89" w:rsidRPr="00084174" w14:paraId="3D98E01D" w14:textId="77777777" w:rsidTr="001E77D1">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C8ED013" w14:textId="77777777" w:rsidR="00743E89" w:rsidRPr="00084174" w:rsidRDefault="00743E89" w:rsidP="002F1961">
            <w:pPr>
              <w:spacing w:before="100" w:beforeAutospacing="1" w:after="100" w:afterAutospacing="1" w:line="360" w:lineRule="auto"/>
              <w:jc w:val="center"/>
              <w:rPr>
                <w:rFonts w:cs="Arial"/>
                <w:b w:val="0"/>
                <w:bCs w:val="0"/>
                <w:i/>
                <w:iCs/>
                <w:sz w:val="20"/>
                <w:lang w:val="es-CO"/>
              </w:rPr>
            </w:pPr>
            <w:r w:rsidRPr="00084174">
              <w:rPr>
                <w:rFonts w:cs="Arial"/>
                <w:b w:val="0"/>
                <w:bCs w:val="0"/>
                <w:i/>
                <w:iCs/>
                <w:sz w:val="20"/>
                <w:lang w:val="es-CO"/>
              </w:rPr>
              <w:t>T</w:t>
            </w:r>
          </w:p>
        </w:tc>
        <w:tc>
          <w:tcPr>
            <w:tcW w:w="0" w:type="auto"/>
            <w:hideMark/>
          </w:tcPr>
          <w:p w14:paraId="5DD132DB" w14:textId="5A215C37" w:rsidR="00743E89" w:rsidRPr="00084174" w:rsidRDefault="00755A0D" w:rsidP="002F1961">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cs="Arial"/>
                <w:sz w:val="20"/>
                <w:lang w:val="es-CO"/>
              </w:rPr>
            </w:pPr>
            <w:r w:rsidRPr="00084174">
              <w:rPr>
                <w:rFonts w:cs="Arial"/>
                <w:sz w:val="20"/>
                <w:lang w:val="es-CO"/>
              </w:rPr>
              <w:t>Costo unitario del transporte</w:t>
            </w:r>
            <w:r w:rsidR="00F05934" w:rsidRPr="00084174">
              <w:rPr>
                <w:rFonts w:cs="Arial"/>
                <w:sz w:val="20"/>
                <w:lang w:val="es-CO"/>
              </w:rPr>
              <w:t xml:space="preserve"> de gas combustible</w:t>
            </w:r>
            <w:r w:rsidRPr="00084174">
              <w:rPr>
                <w:rFonts w:cs="Arial"/>
                <w:sz w:val="20"/>
                <w:lang w:val="es-CO"/>
              </w:rPr>
              <w:t xml:space="preserve"> </w:t>
            </w:r>
            <w:r w:rsidR="00F05934" w:rsidRPr="00084174">
              <w:rPr>
                <w:rFonts w:cs="Arial"/>
                <w:sz w:val="20"/>
                <w:lang w:val="es-CO"/>
              </w:rPr>
              <w:t xml:space="preserve">a usuarios regulados en el </w:t>
            </w:r>
            <w:r w:rsidRPr="00084174">
              <w:rPr>
                <w:rFonts w:cs="Arial"/>
                <w:sz w:val="20"/>
                <w:lang w:val="es-CO"/>
              </w:rPr>
              <w:t>mercado relevant</w:t>
            </w:r>
            <w:r w:rsidR="00045E76" w:rsidRPr="00084174">
              <w:rPr>
                <w:rFonts w:cs="Arial"/>
                <w:sz w:val="20"/>
                <w:lang w:val="es-CO"/>
              </w:rPr>
              <w:t>e de comercialización.</w:t>
            </w:r>
          </w:p>
        </w:tc>
      </w:tr>
      <w:tr w:rsidR="00743E89" w:rsidRPr="00084174" w14:paraId="7393E396" w14:textId="77777777" w:rsidTr="001E77D1">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CDA893C" w14:textId="77777777" w:rsidR="00743E89" w:rsidRPr="00084174" w:rsidRDefault="00743E89" w:rsidP="002F1961">
            <w:pPr>
              <w:spacing w:before="100" w:beforeAutospacing="1" w:after="100" w:afterAutospacing="1" w:line="360" w:lineRule="auto"/>
              <w:jc w:val="center"/>
              <w:rPr>
                <w:rFonts w:cs="Arial"/>
                <w:b w:val="0"/>
                <w:bCs w:val="0"/>
                <w:i/>
                <w:iCs/>
                <w:sz w:val="20"/>
                <w:lang w:val="es-CO"/>
              </w:rPr>
            </w:pPr>
            <w:r w:rsidRPr="00084174">
              <w:rPr>
                <w:rFonts w:cs="Arial"/>
                <w:b w:val="0"/>
                <w:bCs w:val="0"/>
                <w:i/>
                <w:iCs/>
                <w:sz w:val="20"/>
                <w:lang w:val="es-CO"/>
              </w:rPr>
              <w:t>D</w:t>
            </w:r>
          </w:p>
        </w:tc>
        <w:tc>
          <w:tcPr>
            <w:tcW w:w="0" w:type="auto"/>
            <w:hideMark/>
          </w:tcPr>
          <w:p w14:paraId="56CF8E53" w14:textId="1EF6466D" w:rsidR="00743E89" w:rsidRPr="00084174" w:rsidRDefault="00A7320C" w:rsidP="002F1961">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cs="Arial"/>
                <w:sz w:val="20"/>
                <w:lang w:val="es-CO"/>
              </w:rPr>
            </w:pPr>
            <w:r w:rsidRPr="00084174">
              <w:rPr>
                <w:rFonts w:cs="Arial"/>
                <w:sz w:val="20"/>
                <w:lang w:val="es-CO"/>
              </w:rPr>
              <w:t>Costo por uso del sistema de distribución de gas combustible.</w:t>
            </w:r>
          </w:p>
        </w:tc>
      </w:tr>
      <w:tr w:rsidR="00743E89" w:rsidRPr="00084174" w14:paraId="43BDD509" w14:textId="77777777" w:rsidTr="001E77D1">
        <w:trPr>
          <w:trHeight w:val="27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B8EDEBE" w14:textId="77777777" w:rsidR="00743E89" w:rsidRPr="00084174" w:rsidRDefault="00743E89" w:rsidP="002F1961">
            <w:pPr>
              <w:spacing w:before="100" w:beforeAutospacing="1" w:after="100" w:afterAutospacing="1" w:line="360" w:lineRule="auto"/>
              <w:jc w:val="center"/>
              <w:rPr>
                <w:rFonts w:cs="Arial"/>
                <w:b w:val="0"/>
                <w:bCs w:val="0"/>
                <w:i/>
                <w:iCs/>
                <w:sz w:val="20"/>
                <w:lang w:val="es-CO"/>
              </w:rPr>
            </w:pPr>
            <w:proofErr w:type="spellStart"/>
            <w:r w:rsidRPr="00084174">
              <w:rPr>
                <w:rFonts w:cs="Arial"/>
                <w:b w:val="0"/>
                <w:bCs w:val="0"/>
                <w:i/>
                <w:iCs/>
                <w:sz w:val="20"/>
                <w:lang w:val="es-CO"/>
              </w:rPr>
              <w:t>Cv</w:t>
            </w:r>
            <w:proofErr w:type="spellEnd"/>
          </w:p>
        </w:tc>
        <w:tc>
          <w:tcPr>
            <w:tcW w:w="0" w:type="auto"/>
            <w:hideMark/>
          </w:tcPr>
          <w:p w14:paraId="0303CC36" w14:textId="53876CC1" w:rsidR="00743E89" w:rsidRPr="00084174" w:rsidRDefault="00A7320C" w:rsidP="002F1961">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cs="Arial"/>
                <w:sz w:val="20"/>
                <w:lang w:val="es-CO"/>
              </w:rPr>
            </w:pPr>
            <w:r w:rsidRPr="00084174">
              <w:rPr>
                <w:rFonts w:cs="Arial"/>
                <w:sz w:val="20"/>
                <w:lang w:val="es-CO"/>
              </w:rPr>
              <w:t>Componente variable del costo de comercialización.</w:t>
            </w:r>
          </w:p>
        </w:tc>
      </w:tr>
      <w:tr w:rsidR="00743E89" w:rsidRPr="00084174" w14:paraId="06D07681" w14:textId="77777777" w:rsidTr="001E77D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4A2948F" w14:textId="77777777" w:rsidR="00743E89" w:rsidRPr="00084174" w:rsidRDefault="00743E89" w:rsidP="002F1961">
            <w:pPr>
              <w:spacing w:before="100" w:beforeAutospacing="1" w:after="100" w:afterAutospacing="1" w:line="360" w:lineRule="auto"/>
              <w:jc w:val="center"/>
              <w:rPr>
                <w:rFonts w:cs="Arial"/>
                <w:b w:val="0"/>
                <w:bCs w:val="0"/>
                <w:i/>
                <w:iCs/>
                <w:sz w:val="20"/>
                <w:lang w:val="es-CO"/>
              </w:rPr>
            </w:pPr>
            <w:r w:rsidRPr="00084174">
              <w:rPr>
                <w:rFonts w:cs="Arial"/>
                <w:b w:val="0"/>
                <w:bCs w:val="0"/>
                <w:i/>
                <w:iCs/>
                <w:sz w:val="20"/>
                <w:lang w:val="es-CO"/>
              </w:rPr>
              <w:t>Cf</w:t>
            </w:r>
          </w:p>
        </w:tc>
        <w:tc>
          <w:tcPr>
            <w:tcW w:w="0" w:type="auto"/>
            <w:hideMark/>
          </w:tcPr>
          <w:p w14:paraId="4C2A1E12" w14:textId="7D5B24C2" w:rsidR="00743E89" w:rsidRPr="00084174" w:rsidRDefault="00A7320C" w:rsidP="002F1961">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cs="Arial"/>
                <w:sz w:val="20"/>
                <w:lang w:val="es-CO"/>
              </w:rPr>
            </w:pPr>
            <w:r w:rsidRPr="00084174">
              <w:rPr>
                <w:rFonts w:cs="Arial"/>
                <w:sz w:val="20"/>
                <w:lang w:val="es-CO"/>
              </w:rPr>
              <w:t>Componente fijo del costo de comercialización.</w:t>
            </w:r>
          </w:p>
        </w:tc>
      </w:tr>
      <w:tr w:rsidR="00743E89" w:rsidRPr="00084174" w14:paraId="58F37AA5" w14:textId="77777777" w:rsidTr="001E77D1">
        <w:trPr>
          <w:trHeight w:val="27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65EDDCD" w14:textId="77777777" w:rsidR="00743E89" w:rsidRPr="00084174" w:rsidRDefault="00743E89" w:rsidP="002F1961">
            <w:pPr>
              <w:spacing w:before="100" w:beforeAutospacing="1" w:after="100" w:afterAutospacing="1" w:line="360" w:lineRule="auto"/>
              <w:jc w:val="center"/>
              <w:rPr>
                <w:rFonts w:cs="Arial"/>
                <w:b w:val="0"/>
                <w:bCs w:val="0"/>
                <w:i/>
                <w:iCs/>
                <w:sz w:val="20"/>
                <w:lang w:val="es-CO"/>
              </w:rPr>
            </w:pPr>
            <w:proofErr w:type="spellStart"/>
            <w:r w:rsidRPr="00084174">
              <w:rPr>
                <w:rFonts w:cs="Arial"/>
                <w:b w:val="0"/>
                <w:bCs w:val="0"/>
                <w:i/>
                <w:iCs/>
                <w:sz w:val="20"/>
                <w:lang w:val="es-CO"/>
              </w:rPr>
              <w:t>Cc</w:t>
            </w:r>
            <w:proofErr w:type="spellEnd"/>
          </w:p>
        </w:tc>
        <w:tc>
          <w:tcPr>
            <w:tcW w:w="0" w:type="auto"/>
            <w:hideMark/>
          </w:tcPr>
          <w:p w14:paraId="006FB806" w14:textId="045464B5" w:rsidR="00743E89" w:rsidRPr="00084174" w:rsidRDefault="000A7D10" w:rsidP="002F1961">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cs="Arial"/>
                <w:sz w:val="20"/>
                <w:lang w:val="es-CO"/>
              </w:rPr>
            </w:pPr>
            <w:r w:rsidRPr="00084174">
              <w:rPr>
                <w:rFonts w:cs="Arial"/>
                <w:sz w:val="20"/>
                <w:lang w:val="es-CO"/>
              </w:rPr>
              <w:t>Costo asociado a la confiabilidad del servicio.</w:t>
            </w:r>
          </w:p>
        </w:tc>
      </w:tr>
      <w:tr w:rsidR="00743E89" w:rsidRPr="00084174" w14:paraId="5EAF186D" w14:textId="77777777" w:rsidTr="001E77D1">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FB4FC30" w14:textId="77777777" w:rsidR="00743E89" w:rsidRPr="00084174" w:rsidRDefault="00743E89" w:rsidP="002F1961">
            <w:pPr>
              <w:spacing w:before="100" w:beforeAutospacing="1" w:after="100" w:afterAutospacing="1" w:line="360" w:lineRule="auto"/>
              <w:jc w:val="center"/>
              <w:rPr>
                <w:rFonts w:cs="Arial"/>
                <w:b w:val="0"/>
                <w:bCs w:val="0"/>
                <w:i/>
                <w:iCs/>
                <w:sz w:val="20"/>
                <w:lang w:val="es-CO"/>
              </w:rPr>
            </w:pPr>
            <w:proofErr w:type="spellStart"/>
            <w:r w:rsidRPr="00084174">
              <w:rPr>
                <w:rFonts w:cs="Arial"/>
                <w:b w:val="0"/>
                <w:bCs w:val="0"/>
                <w:i/>
                <w:iCs/>
                <w:sz w:val="20"/>
                <w:lang w:val="es-CO"/>
              </w:rPr>
              <w:t>Fpc</w:t>
            </w:r>
            <w:proofErr w:type="spellEnd"/>
          </w:p>
        </w:tc>
        <w:tc>
          <w:tcPr>
            <w:tcW w:w="0" w:type="auto"/>
            <w:hideMark/>
          </w:tcPr>
          <w:p w14:paraId="2D3B8020" w14:textId="674DD804" w:rsidR="00743E89" w:rsidRPr="00084174" w:rsidRDefault="005E6680" w:rsidP="002F1961">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cs="Arial"/>
                <w:sz w:val="20"/>
                <w:lang w:val="es-CO"/>
              </w:rPr>
            </w:pPr>
            <w:r w:rsidRPr="00084174">
              <w:rPr>
                <w:rFonts w:cs="Arial"/>
                <w:sz w:val="20"/>
                <w:lang w:val="es-CO"/>
              </w:rPr>
              <w:t>Factor multiplicador de poder calorífico</w:t>
            </w:r>
          </w:p>
        </w:tc>
      </w:tr>
      <w:tr w:rsidR="00743E89" w:rsidRPr="00084174" w14:paraId="3C146BB8" w14:textId="77777777" w:rsidTr="001E77D1">
        <w:trPr>
          <w:trHeight w:val="285"/>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E48EE67" w14:textId="77777777" w:rsidR="00743E89" w:rsidRPr="00084174" w:rsidRDefault="00743E89" w:rsidP="002F1961">
            <w:pPr>
              <w:spacing w:before="100" w:beforeAutospacing="1" w:after="100" w:afterAutospacing="1" w:line="360" w:lineRule="auto"/>
              <w:jc w:val="center"/>
              <w:rPr>
                <w:rFonts w:cs="Arial"/>
                <w:b w:val="0"/>
                <w:bCs w:val="0"/>
                <w:i/>
                <w:iCs/>
                <w:sz w:val="20"/>
                <w:lang w:val="es-CO"/>
              </w:rPr>
            </w:pPr>
            <w:r w:rsidRPr="00084174">
              <w:rPr>
                <w:rFonts w:cs="Arial"/>
                <w:b w:val="0"/>
                <w:bCs w:val="0"/>
                <w:i/>
                <w:iCs/>
                <w:sz w:val="20"/>
                <w:lang w:val="es-CO"/>
              </w:rPr>
              <w:t>m</w:t>
            </w:r>
          </w:p>
        </w:tc>
        <w:tc>
          <w:tcPr>
            <w:tcW w:w="0" w:type="auto"/>
            <w:hideMark/>
          </w:tcPr>
          <w:p w14:paraId="4EEED955" w14:textId="77777777" w:rsidR="00743E89" w:rsidRPr="00084174" w:rsidRDefault="00743E89" w:rsidP="002F1961">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cs="Arial"/>
                <w:sz w:val="20"/>
                <w:lang w:val="es-CO"/>
              </w:rPr>
            </w:pPr>
            <w:r w:rsidRPr="00084174">
              <w:rPr>
                <w:rFonts w:cs="Arial"/>
                <w:sz w:val="20"/>
                <w:lang w:val="es-CO"/>
              </w:rPr>
              <w:t>Mes</w:t>
            </w:r>
          </w:p>
        </w:tc>
      </w:tr>
      <w:tr w:rsidR="00743E89" w:rsidRPr="00084174" w14:paraId="5F631644" w14:textId="77777777" w:rsidTr="001E77D1">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6754383" w14:textId="77777777" w:rsidR="00743E89" w:rsidRPr="00084174" w:rsidRDefault="00743E89" w:rsidP="002F1961">
            <w:pPr>
              <w:spacing w:before="100" w:beforeAutospacing="1" w:after="100" w:afterAutospacing="1" w:line="360" w:lineRule="auto"/>
              <w:jc w:val="center"/>
              <w:rPr>
                <w:rFonts w:cs="Arial"/>
                <w:b w:val="0"/>
                <w:bCs w:val="0"/>
                <w:i/>
                <w:iCs/>
                <w:sz w:val="20"/>
                <w:lang w:val="es-CO"/>
              </w:rPr>
            </w:pPr>
            <w:r w:rsidRPr="00084174">
              <w:rPr>
                <w:rFonts w:cs="Arial"/>
                <w:b w:val="0"/>
                <w:bCs w:val="0"/>
                <w:i/>
                <w:iCs/>
                <w:sz w:val="20"/>
                <w:lang w:val="es-CO"/>
              </w:rPr>
              <w:t>i</w:t>
            </w:r>
          </w:p>
        </w:tc>
        <w:tc>
          <w:tcPr>
            <w:tcW w:w="0" w:type="auto"/>
            <w:hideMark/>
          </w:tcPr>
          <w:p w14:paraId="0BABF859" w14:textId="711A6B5A" w:rsidR="00743E89" w:rsidRPr="00084174" w:rsidRDefault="00F3701D" w:rsidP="002F1961">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cs="Arial"/>
                <w:sz w:val="20"/>
                <w:lang w:val="es-CO"/>
              </w:rPr>
            </w:pPr>
            <w:r w:rsidRPr="00084174">
              <w:rPr>
                <w:rFonts w:cs="Arial"/>
                <w:sz w:val="20"/>
                <w:lang w:val="es-CO"/>
              </w:rPr>
              <w:t>Mercado Relevante de Comercialización.</w:t>
            </w:r>
          </w:p>
        </w:tc>
      </w:tr>
      <w:tr w:rsidR="00743E89" w:rsidRPr="00084174" w14:paraId="3B3B5D7E" w14:textId="77777777" w:rsidTr="001E77D1">
        <w:trPr>
          <w:trHeight w:val="273"/>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75A27C9" w14:textId="6493ED29" w:rsidR="00743E89" w:rsidRPr="00084174" w:rsidRDefault="001A168E" w:rsidP="002F1961">
            <w:pPr>
              <w:spacing w:before="100" w:beforeAutospacing="1" w:after="100" w:afterAutospacing="1" w:line="360" w:lineRule="auto"/>
              <w:jc w:val="center"/>
              <w:rPr>
                <w:rFonts w:cs="Arial"/>
                <w:b w:val="0"/>
                <w:bCs w:val="0"/>
                <w:i/>
                <w:iCs/>
                <w:sz w:val="20"/>
                <w:lang w:val="es-CO"/>
              </w:rPr>
            </w:pPr>
            <w:r w:rsidRPr="00084174">
              <w:rPr>
                <w:rFonts w:cs="Arial"/>
                <w:b w:val="0"/>
                <w:bCs w:val="0"/>
                <w:i/>
                <w:iCs/>
                <w:sz w:val="20"/>
                <w:lang w:val="es-CO"/>
              </w:rPr>
              <w:lastRenderedPageBreak/>
              <w:t>J</w:t>
            </w:r>
          </w:p>
        </w:tc>
        <w:tc>
          <w:tcPr>
            <w:tcW w:w="0" w:type="auto"/>
            <w:hideMark/>
          </w:tcPr>
          <w:p w14:paraId="58B5383D" w14:textId="4A658DBC" w:rsidR="00743E89" w:rsidRPr="00084174" w:rsidRDefault="00637AED" w:rsidP="002F1961">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cs="Arial"/>
                <w:sz w:val="20"/>
                <w:lang w:val="es-CO"/>
              </w:rPr>
            </w:pPr>
            <w:r w:rsidRPr="00084174">
              <w:rPr>
                <w:rFonts w:cs="Arial"/>
                <w:sz w:val="20"/>
                <w:lang w:val="es-CO"/>
              </w:rPr>
              <w:t>Comercializador que presta el servicio</w:t>
            </w:r>
          </w:p>
        </w:tc>
      </w:tr>
    </w:tbl>
    <w:p w14:paraId="512C792F" w14:textId="0A158D32" w:rsidR="00743E89" w:rsidRPr="00B35440" w:rsidRDefault="001A168E" w:rsidP="002F1961">
      <w:pPr>
        <w:spacing w:before="100" w:beforeAutospacing="1" w:after="100" w:afterAutospacing="1" w:line="360" w:lineRule="auto"/>
        <w:ind w:left="708" w:hanging="708"/>
        <w:jc w:val="center"/>
        <w:rPr>
          <w:sz w:val="22"/>
          <w:szCs w:val="18"/>
        </w:rPr>
      </w:pPr>
      <w:r w:rsidRPr="00B35440">
        <w:rPr>
          <w:sz w:val="22"/>
          <w:szCs w:val="18"/>
        </w:rPr>
        <w:t>Elaboración: CREG</w:t>
      </w:r>
    </w:p>
    <w:p w14:paraId="3F0EBE47" w14:textId="40254AED" w:rsidR="00E878B4" w:rsidRPr="00A43F72" w:rsidRDefault="00A43F72">
      <w:pPr>
        <w:pStyle w:val="Prrafodelista"/>
        <w:numPr>
          <w:ilvl w:val="0"/>
          <w:numId w:val="18"/>
        </w:numPr>
        <w:spacing w:before="100" w:beforeAutospacing="1" w:after="100" w:afterAutospacing="1" w:line="360" w:lineRule="auto"/>
        <w:rPr>
          <w:b/>
          <w:bCs/>
        </w:rPr>
      </w:pPr>
      <w:r w:rsidRPr="00A43F72">
        <w:rPr>
          <w:b/>
          <w:bCs/>
        </w:rPr>
        <w:t xml:space="preserve">Metodologías de Remuneración </w:t>
      </w:r>
    </w:p>
    <w:p w14:paraId="5ECF35B9" w14:textId="00164A64" w:rsidR="00A43F72" w:rsidRDefault="00584844" w:rsidP="002F1961">
      <w:pPr>
        <w:spacing w:before="100" w:beforeAutospacing="1" w:after="100" w:afterAutospacing="1" w:line="360" w:lineRule="auto"/>
      </w:pPr>
      <w:r w:rsidRPr="00584844">
        <w:t>Aunque la fórmula tarifaria integra todos los costos en un único esquema, cada componente se determina mediante metodologías independientes que reconocen las particularidades técnicas y económicas de cada actividad.</w:t>
      </w:r>
    </w:p>
    <w:p w14:paraId="27BD6A4A" w14:textId="4AAF4442" w:rsidR="007E2505" w:rsidRDefault="007E2505">
      <w:pPr>
        <w:pStyle w:val="Prrafodelista"/>
        <w:numPr>
          <w:ilvl w:val="0"/>
          <w:numId w:val="18"/>
        </w:numPr>
        <w:spacing w:before="100" w:beforeAutospacing="1" w:after="100" w:afterAutospacing="1" w:line="360" w:lineRule="auto"/>
        <w:rPr>
          <w:b/>
          <w:bCs/>
        </w:rPr>
      </w:pPr>
      <w:r>
        <w:rPr>
          <w:b/>
          <w:bCs/>
        </w:rPr>
        <w:t>Remuneración de la actividad de distribución</w:t>
      </w:r>
    </w:p>
    <w:p w14:paraId="267A4CD0" w14:textId="2A0BE307" w:rsidR="001C4D4D" w:rsidRDefault="00C34F1A" w:rsidP="002F1961">
      <w:pPr>
        <w:spacing w:before="100" w:beforeAutospacing="1" w:after="100" w:afterAutospacing="1" w:line="360" w:lineRule="auto"/>
      </w:pPr>
      <w:r w:rsidRPr="00C34F1A">
        <w:t>La remuneración de la actividad</w:t>
      </w:r>
      <w:r>
        <w:t xml:space="preserve"> </w:t>
      </w:r>
      <w:r w:rsidR="001C4D4D">
        <w:t xml:space="preserve">de distribución tiene como finalidad reconocer los costos eficientes asociados a la infraestructura </w:t>
      </w:r>
      <w:r w:rsidR="00222DEF">
        <w:t xml:space="preserve">y a la operación </w:t>
      </w:r>
      <w:r w:rsidR="001573B1">
        <w:t>del sistema de distribución de GLP por redes de tubería</w:t>
      </w:r>
      <w:r w:rsidR="00C539D3">
        <w:t xml:space="preserve">, </w:t>
      </w:r>
      <w:r w:rsidR="00C539D3" w:rsidRPr="00C539D3">
        <w:t>garantizando la recuperación de las inversiones necesarias para la prestación del servicio y la sostenibilidad de la actividad durante el período tarifario.</w:t>
      </w:r>
    </w:p>
    <w:p w14:paraId="3FB883D8" w14:textId="6CF04597" w:rsidR="00254F2D" w:rsidRDefault="00F54BE7" w:rsidP="002F1961">
      <w:pPr>
        <w:spacing w:before="100" w:beforeAutospacing="1" w:after="100" w:afterAutospacing="1" w:line="360" w:lineRule="auto"/>
      </w:pPr>
      <w:r w:rsidRPr="00F54BE7">
        <w:t>La remuneración de la actividad de distribución se encuentra regulada por la</w:t>
      </w:r>
      <w:r>
        <w:t xml:space="preserve"> </w:t>
      </w:r>
      <w:r w:rsidR="00D529C9" w:rsidRPr="00D529C9">
        <w:t>Resolución CREG 202 de 2013 y sus modificaciones, mediante la cual se determina un cargo de distribución (D) que remunera tanto las inversiones realizadas en la infraestructura de distribución como los gastos eficientes de Administración, Operación y Mantenimiento (AOM). En términos generales, el cargo de distribución se determina mediante la siguiente relación:</w:t>
      </w:r>
    </w:p>
    <w:p w14:paraId="5CF46F24" w14:textId="3DAE361D" w:rsidR="0040592D" w:rsidRDefault="0035417B" w:rsidP="002F1961">
      <w:pPr>
        <w:keepNext/>
        <w:spacing w:before="100" w:beforeAutospacing="1" w:after="100" w:afterAutospacing="1" w:line="360" w:lineRule="auto"/>
        <w:jc w:val="center"/>
      </w:pPr>
      <w:bookmarkStart w:id="70" w:name="_Ref235086858"/>
      <w:bookmarkStart w:id="71" w:name="_Toc235118555"/>
      <w:r w:rsidRPr="004511A8">
        <w:rPr>
          <w:lang w:val="es-ES"/>
        </w:rPr>
        <w:t xml:space="preserve">Figura </w:t>
      </w:r>
      <w:r w:rsidRPr="004511A8">
        <w:rPr>
          <w:lang w:val="es-ES"/>
        </w:rPr>
        <w:fldChar w:fldCharType="begin"/>
      </w:r>
      <w:r w:rsidRPr="004511A8">
        <w:rPr>
          <w:lang w:val="es-ES"/>
        </w:rPr>
        <w:instrText xml:space="preserve"> SEQ Figura \* ARABIC </w:instrText>
      </w:r>
      <w:r w:rsidRPr="004511A8">
        <w:rPr>
          <w:lang w:val="es-ES"/>
        </w:rPr>
        <w:fldChar w:fldCharType="separate"/>
      </w:r>
      <w:r w:rsidR="004908A8">
        <w:rPr>
          <w:noProof/>
          <w:lang w:val="es-ES"/>
        </w:rPr>
        <w:t>15</w:t>
      </w:r>
      <w:r w:rsidRPr="004511A8">
        <w:rPr>
          <w:lang w:val="es-ES"/>
        </w:rPr>
        <w:fldChar w:fldCharType="end"/>
      </w:r>
      <w:bookmarkEnd w:id="70"/>
      <w:r w:rsidRPr="5FAE69B6">
        <w:rPr>
          <w:lang w:val="es-ES"/>
        </w:rPr>
        <w:t xml:space="preserve">. </w:t>
      </w:r>
      <w:r w:rsidRPr="00EE329D">
        <w:rPr>
          <w:bCs/>
          <w:lang w:val="es-ES"/>
        </w:rPr>
        <w:t xml:space="preserve">Estructura general </w:t>
      </w:r>
      <w:r w:rsidR="00D84936" w:rsidRPr="00D84936">
        <w:rPr>
          <w:bCs/>
          <w:lang w:val="es-ES"/>
        </w:rPr>
        <w:t>para el cálculo del cargo de distribución</w:t>
      </w:r>
      <w:bookmarkEnd w:id="71"/>
    </w:p>
    <w:p w14:paraId="6883DA4F" w14:textId="0A1C369D" w:rsidR="0040592D" w:rsidRPr="00465413" w:rsidRDefault="0004573B" w:rsidP="002F1961">
      <w:pPr>
        <w:spacing w:before="100" w:beforeAutospacing="1" w:after="100" w:afterAutospacing="1" w:line="360" w:lineRule="auto"/>
        <w:jc w:val="center"/>
        <w:rPr>
          <w:rFonts w:cs="Arial"/>
          <w:szCs w:val="24"/>
        </w:rPr>
      </w:pPr>
      <m:oMathPara>
        <m:oMathParaPr>
          <m:jc m:val="center"/>
        </m:oMathParaPr>
        <m:oMath>
          <m:r>
            <w:rPr>
              <w:rFonts w:ascii="Cambria Math" w:hAnsi="Cambria Math" w:cs="Arial"/>
              <w:szCs w:val="24"/>
            </w:rPr>
            <m:t>D=</m:t>
          </m:r>
          <m:f>
            <m:fPr>
              <m:ctrlPr>
                <w:rPr>
                  <w:rFonts w:ascii="Cambria Math" w:hAnsi="Cambria Math" w:cs="Arial"/>
                  <w:szCs w:val="24"/>
                </w:rPr>
              </m:ctrlPr>
            </m:fPr>
            <m:num>
              <m:r>
                <w:rPr>
                  <w:rFonts w:ascii="Cambria Math" w:hAnsi="Cambria Math" w:cs="Arial"/>
                  <w:szCs w:val="24"/>
                </w:rPr>
                <m:t xml:space="preserve">Inversiones+AOM </m:t>
              </m:r>
            </m:num>
            <m:den>
              <m:r>
                <w:rPr>
                  <w:rFonts w:ascii="Cambria Math" w:hAnsi="Cambria Math" w:cs="Arial"/>
                  <w:szCs w:val="24"/>
                </w:rPr>
                <m:t>Demanda</m:t>
              </m:r>
            </m:den>
          </m:f>
        </m:oMath>
      </m:oMathPara>
    </w:p>
    <w:p w14:paraId="70A60718" w14:textId="15CDD1F5" w:rsidR="001A4240" w:rsidRPr="00746181" w:rsidRDefault="00A94E1E" w:rsidP="002F1961">
      <w:pPr>
        <w:spacing w:before="100" w:beforeAutospacing="1" w:after="100" w:afterAutospacing="1" w:line="360" w:lineRule="auto"/>
        <w:jc w:val="center"/>
        <w:rPr>
          <w:sz w:val="22"/>
          <w:szCs w:val="18"/>
        </w:rPr>
      </w:pPr>
      <w:r w:rsidRPr="00746181">
        <w:rPr>
          <w:sz w:val="22"/>
          <w:szCs w:val="18"/>
        </w:rPr>
        <w:t>Elaboración: CREG</w:t>
      </w:r>
    </w:p>
    <w:p w14:paraId="6520147C" w14:textId="38F96008" w:rsidR="002E448D" w:rsidRDefault="002E448D" w:rsidP="002F1961">
      <w:pPr>
        <w:spacing w:before="100" w:beforeAutospacing="1" w:after="100" w:afterAutospacing="1" w:line="360" w:lineRule="auto"/>
      </w:pPr>
      <w:r w:rsidRPr="00A32B39">
        <w:rPr>
          <w:lang w:val="es-ES"/>
        </w:rPr>
        <w:t xml:space="preserve">La </w:t>
      </w:r>
      <w:r w:rsidR="00E65F29">
        <w:rPr>
          <w:lang w:val="es-ES"/>
        </w:rPr>
        <w:fldChar w:fldCharType="begin"/>
      </w:r>
      <w:r w:rsidR="00E65F29">
        <w:rPr>
          <w:lang w:val="es-ES"/>
        </w:rPr>
        <w:instrText xml:space="preserve"> REF _Ref235086858 \h </w:instrText>
      </w:r>
      <w:r w:rsidR="00E65F29">
        <w:rPr>
          <w:lang w:val="es-ES"/>
        </w:rPr>
      </w:r>
      <w:r w:rsidR="00E65F29">
        <w:rPr>
          <w:lang w:val="es-ES"/>
        </w:rPr>
        <w:fldChar w:fldCharType="separate"/>
      </w:r>
      <w:r w:rsidR="00E65F29" w:rsidRPr="004511A8">
        <w:rPr>
          <w:lang w:val="es-ES"/>
        </w:rPr>
        <w:t xml:space="preserve">Figura </w:t>
      </w:r>
      <w:r w:rsidR="00E65F29">
        <w:rPr>
          <w:noProof/>
          <w:lang w:val="es-ES"/>
        </w:rPr>
        <w:t>15</w:t>
      </w:r>
      <w:r w:rsidR="00E65F29">
        <w:rPr>
          <w:lang w:val="es-ES"/>
        </w:rPr>
        <w:fldChar w:fldCharType="end"/>
      </w:r>
      <w:r w:rsidRPr="11491998">
        <w:rPr>
          <w:lang w:val="es-ES"/>
        </w:rPr>
        <w:t xml:space="preserve"> presenta la estructura general utilizada para determinar el cargo de distribución. Como puede observarse, la metodología distribuye los costos eficientes de </w:t>
      </w:r>
      <w:r w:rsidRPr="11491998">
        <w:rPr>
          <w:lang w:val="es-ES"/>
        </w:rPr>
        <w:lastRenderedPageBreak/>
        <w:t>inversión y de Administración, Operación y Mantenimiento (AOM) entre la demanda reconocida del mercado relevante, constituyendo este el principio fundamental de la remuneración de la actividad de distribución.</w:t>
      </w:r>
    </w:p>
    <w:p w14:paraId="238D7AA8" w14:textId="1ABEC8FE" w:rsidR="001A4240" w:rsidRDefault="00C55019" w:rsidP="002F1961">
      <w:pPr>
        <w:spacing w:before="100" w:beforeAutospacing="1" w:after="100" w:afterAutospacing="1" w:line="360" w:lineRule="auto"/>
      </w:pPr>
      <w:r w:rsidRPr="00C55019">
        <w:t>De manera general, el cargo resulta de dividir los costos eficientes de inversión y de administración, operación y mantenimiento (AOM) entre la demanda reconocida del mercado relevante.</w:t>
      </w:r>
      <w:r w:rsidR="006A2BA8" w:rsidRPr="006A2BA8">
        <w:t xml:space="preserve"> No obstante, cada uno de estos componentes se determina mediante procedimientos específicos establecidos en la Resolución CREG 202 de 2013.</w:t>
      </w:r>
    </w:p>
    <w:p w14:paraId="3D93EFC4" w14:textId="6049D224" w:rsidR="009C15B5" w:rsidRDefault="00752AE8" w:rsidP="002F1961">
      <w:pPr>
        <w:spacing w:before="100" w:beforeAutospacing="1" w:after="100" w:afterAutospacing="1" w:line="360" w:lineRule="auto"/>
      </w:pPr>
      <w:r w:rsidRPr="11491998">
        <w:rPr>
          <w:lang w:val="es-ES"/>
        </w:rPr>
        <w:t>En consecuencia, el cargo de distribución se determina a partir de cuatro componentes principales: (i) las inversiones reconocidas, representadas por la Base Regulatoria de Activos (BRA) y los Otros Activos (OA); (</w:t>
      </w:r>
      <w:proofErr w:type="spellStart"/>
      <w:r w:rsidRPr="11491998">
        <w:rPr>
          <w:lang w:val="es-ES"/>
        </w:rPr>
        <w:t>ii</w:t>
      </w:r>
      <w:proofErr w:type="spellEnd"/>
      <w:r w:rsidRPr="11491998">
        <w:rPr>
          <w:lang w:val="es-ES"/>
        </w:rPr>
        <w:t>) los gastos eficientes de Administración, Operación y Mantenimiento (AOM); (</w:t>
      </w:r>
      <w:proofErr w:type="spellStart"/>
      <w:r w:rsidRPr="11491998">
        <w:rPr>
          <w:lang w:val="es-ES"/>
        </w:rPr>
        <w:t>iii</w:t>
      </w:r>
      <w:proofErr w:type="spellEnd"/>
      <w:r w:rsidRPr="11491998">
        <w:rPr>
          <w:lang w:val="es-ES"/>
        </w:rPr>
        <w:t>) la demanda reconocida del mercado relevante; y (</w:t>
      </w:r>
      <w:proofErr w:type="spellStart"/>
      <w:r w:rsidRPr="11491998">
        <w:rPr>
          <w:lang w:val="es-ES"/>
        </w:rPr>
        <w:t>iv</w:t>
      </w:r>
      <w:proofErr w:type="spellEnd"/>
      <w:r w:rsidRPr="11491998">
        <w:rPr>
          <w:lang w:val="es-ES"/>
        </w:rPr>
        <w:t>) otros componentes regulatorios, entre los cuales se encuentran la tasa de retorno (WACC), los deltas tarifarios y los mecanismos de actualización del cargo.</w:t>
      </w:r>
    </w:p>
    <w:p w14:paraId="7BB7FA90" w14:textId="6F61FAE2" w:rsidR="004C1898" w:rsidRDefault="009C15B5" w:rsidP="002F1961">
      <w:pPr>
        <w:spacing w:before="100" w:beforeAutospacing="1" w:after="100" w:afterAutospacing="1" w:line="360" w:lineRule="auto"/>
      </w:pPr>
      <w:r>
        <w:t>En las siguientes secciones se describen los principales elementos que conforman la metodología de remuneración de la actividad de distribución.</w:t>
      </w:r>
    </w:p>
    <w:p w14:paraId="0C138860" w14:textId="2180BDE5" w:rsidR="00CB6503" w:rsidRDefault="00E86BD9" w:rsidP="002F1961">
      <w:pPr>
        <w:spacing w:before="100" w:beforeAutospacing="1" w:after="100" w:afterAutospacing="1" w:line="360" w:lineRule="auto"/>
        <w:rPr>
          <w:b/>
          <w:bCs/>
        </w:rPr>
      </w:pPr>
      <w:r>
        <w:rPr>
          <w:b/>
          <w:bCs/>
        </w:rPr>
        <w:t>Inversiones reconocidas</w:t>
      </w:r>
    </w:p>
    <w:p w14:paraId="06592FFC" w14:textId="77777777" w:rsidR="00045217" w:rsidRDefault="00045217" w:rsidP="002F1961">
      <w:pPr>
        <w:spacing w:before="100" w:beforeAutospacing="1" w:after="100" w:afterAutospacing="1" w:line="360" w:lineRule="auto"/>
      </w:pPr>
      <w:r>
        <w:t>Las inversiones corresponden a la Base Regulatoria de Activos (BRA) utilizada para la prestación del servicio y comprenden la infraestructura necesaria para transportar el GLP desde el punto de inyección hasta las instalaciones de los usuarios, así como otros activos indispensables para la operación y el aseguramiento de la calidad del servicio.</w:t>
      </w:r>
    </w:p>
    <w:p w14:paraId="0F864AED" w14:textId="77777777" w:rsidR="001F7954" w:rsidRDefault="00045217" w:rsidP="002F1961">
      <w:pPr>
        <w:spacing w:before="100" w:beforeAutospacing="1" w:after="100" w:afterAutospacing="1" w:line="360" w:lineRule="auto"/>
      </w:pPr>
      <w:r>
        <w:t>Dentro de la metodología se reconocen, entre otros, los siguientes grupos de activos:</w:t>
      </w:r>
      <w:r w:rsidR="0046293F">
        <w:t xml:space="preserve"> </w:t>
      </w:r>
    </w:p>
    <w:p w14:paraId="10AFE9D1" w14:textId="2DF50D70" w:rsidR="001F7954" w:rsidRDefault="00614FF9" w:rsidP="002F1961">
      <w:pPr>
        <w:spacing w:before="100" w:beforeAutospacing="1" w:after="100" w:afterAutospacing="1" w:line="360" w:lineRule="auto"/>
        <w:ind w:left="708"/>
      </w:pPr>
      <w:r w:rsidRPr="00614FF9">
        <w:rPr>
          <w:b/>
          <w:bCs/>
        </w:rPr>
        <w:t>Activos inherentes a la operación:</w:t>
      </w:r>
      <w:r w:rsidRPr="00614FF9">
        <w:t xml:space="preserve"> Se utilizan en la prestación del servicio (estaciones de puerta de ciudad, gasoductos, estaciones de regulación, accesorios, etc.)</w:t>
      </w:r>
      <w:r w:rsidR="001F7954">
        <w:t>.</w:t>
      </w:r>
    </w:p>
    <w:p w14:paraId="235F6936" w14:textId="77777777" w:rsidR="00554092" w:rsidRDefault="00554092" w:rsidP="002F1961">
      <w:pPr>
        <w:spacing w:before="100" w:beforeAutospacing="1" w:after="100" w:afterAutospacing="1" w:line="360" w:lineRule="auto"/>
        <w:ind w:left="708"/>
      </w:pPr>
    </w:p>
    <w:p w14:paraId="1468B53C" w14:textId="77777777" w:rsidR="001F7954" w:rsidRDefault="00614FF9" w:rsidP="002F1961">
      <w:pPr>
        <w:spacing w:before="100" w:beforeAutospacing="1" w:after="100" w:afterAutospacing="1" w:line="360" w:lineRule="auto"/>
        <w:ind w:left="708"/>
      </w:pPr>
      <w:r w:rsidRPr="00614FF9">
        <w:rPr>
          <w:b/>
          <w:bCs/>
        </w:rPr>
        <w:lastRenderedPageBreak/>
        <w:t>Activos asociados al control de la calidad:</w:t>
      </w:r>
      <w:r w:rsidRPr="00614FF9">
        <w:t xml:space="preserve"> Se utilizan para el control y monitoreo de la calidad del servicio</w:t>
      </w:r>
      <w:r w:rsidR="001F7954">
        <w:t>.</w:t>
      </w:r>
    </w:p>
    <w:p w14:paraId="2F0359AF" w14:textId="13CF57D1" w:rsidR="00D54430" w:rsidRDefault="00D54430" w:rsidP="002F1961">
      <w:pPr>
        <w:spacing w:before="100" w:beforeAutospacing="1" w:after="100" w:afterAutospacing="1" w:line="360" w:lineRule="auto"/>
        <w:ind w:left="708"/>
        <w:rPr>
          <w:lang w:val="es-CO"/>
        </w:rPr>
      </w:pPr>
      <w:r w:rsidRPr="00D54430">
        <w:rPr>
          <w:b/>
          <w:bCs/>
          <w:lang w:val="es-CO"/>
        </w:rPr>
        <w:t xml:space="preserve">Otros Activos: </w:t>
      </w:r>
      <w:r w:rsidRPr="00D54430">
        <w:rPr>
          <w:lang w:val="es-CO"/>
        </w:rPr>
        <w:t>Activos como maquinaria y equipo (herramientas, vehículos, etc.), muebles, equipos de cómputo y comunicación y sistemas de información.</w:t>
      </w:r>
    </w:p>
    <w:p w14:paraId="4F8BBA2D" w14:textId="60C7303B" w:rsidR="004C24D6" w:rsidRDefault="0034642F" w:rsidP="002F1961">
      <w:pPr>
        <w:spacing w:before="100" w:beforeAutospacing="1" w:after="100" w:afterAutospacing="1" w:line="360" w:lineRule="auto"/>
        <w:rPr>
          <w:lang w:val="es-CO"/>
        </w:rPr>
      </w:pPr>
      <w:r>
        <w:t xml:space="preserve">Las </w:t>
      </w:r>
      <w:r w:rsidR="001F7954" w:rsidRPr="001F7954">
        <w:t xml:space="preserve">inversiones </w:t>
      </w:r>
      <w:r>
        <w:t xml:space="preserve">se clasifican </w:t>
      </w:r>
      <w:r w:rsidR="001F7954" w:rsidRPr="001F7954">
        <w:t>de acuerdo con el momento en que fueron ejecutadas, diferenciando entre inversiones existentes, inversiones programadas y ejecutadas, inversiones no previstas y ejecutadas e inversiones nuevas, aplicando reglas específicas para mercados existentes y mercados nuevos.</w:t>
      </w:r>
      <w:r w:rsidR="004C24D6">
        <w:t xml:space="preserve"> </w:t>
      </w:r>
    </w:p>
    <w:p w14:paraId="195AD548" w14:textId="1042E691" w:rsidR="00137244" w:rsidRDefault="001708CA" w:rsidP="002F1961">
      <w:pPr>
        <w:keepNext/>
        <w:spacing w:before="100" w:beforeAutospacing="1" w:after="100" w:afterAutospacing="1" w:line="360" w:lineRule="auto"/>
        <w:jc w:val="center"/>
        <w:rPr>
          <w:bCs/>
          <w:lang w:val="es-ES"/>
        </w:rPr>
      </w:pPr>
      <w:bookmarkStart w:id="72" w:name="_Ref235086947"/>
      <w:bookmarkStart w:id="73" w:name="_Toc235118556"/>
      <w:r w:rsidRPr="00137244">
        <w:rPr>
          <w:lang w:val="es-ES"/>
        </w:rPr>
        <w:t xml:space="preserve">Figura </w:t>
      </w:r>
      <w:r w:rsidRPr="00137244">
        <w:rPr>
          <w:lang w:val="es-ES"/>
        </w:rPr>
        <w:fldChar w:fldCharType="begin"/>
      </w:r>
      <w:r w:rsidRPr="00137244">
        <w:rPr>
          <w:lang w:val="es-ES"/>
        </w:rPr>
        <w:instrText xml:space="preserve"> SEQ Figura \* ARABIC </w:instrText>
      </w:r>
      <w:r w:rsidRPr="00137244">
        <w:rPr>
          <w:lang w:val="es-ES"/>
        </w:rPr>
        <w:fldChar w:fldCharType="separate"/>
      </w:r>
      <w:r w:rsidR="00834745">
        <w:rPr>
          <w:noProof/>
          <w:lang w:val="es-ES"/>
        </w:rPr>
        <w:t>16</w:t>
      </w:r>
      <w:r w:rsidRPr="00137244">
        <w:rPr>
          <w:lang w:val="es-ES"/>
        </w:rPr>
        <w:fldChar w:fldCharType="end"/>
      </w:r>
      <w:bookmarkEnd w:id="72"/>
      <w:r w:rsidRPr="5FAE69B6">
        <w:rPr>
          <w:lang w:val="es-ES"/>
        </w:rPr>
        <w:t xml:space="preserve">. </w:t>
      </w:r>
      <w:r>
        <w:rPr>
          <w:bCs/>
          <w:lang w:val="es-ES"/>
        </w:rPr>
        <w:t xml:space="preserve">Clasificación de las inversiones </w:t>
      </w:r>
      <w:r w:rsidR="00395AC5">
        <w:rPr>
          <w:bCs/>
          <w:lang w:val="es-ES"/>
        </w:rPr>
        <w:t>reconocidas</w:t>
      </w:r>
      <w:bookmarkEnd w:id="73"/>
    </w:p>
    <w:p w14:paraId="0D50199A" w14:textId="77447C20" w:rsidR="006D7E9C" w:rsidRPr="00137244" w:rsidRDefault="00C36657" w:rsidP="002F1961">
      <w:pPr>
        <w:spacing w:before="100" w:beforeAutospacing="1" w:after="100" w:afterAutospacing="1" w:line="360" w:lineRule="auto"/>
        <w:jc w:val="center"/>
      </w:pPr>
      <w:r w:rsidRPr="00137244">
        <w:rPr>
          <w:noProof/>
        </w:rPr>
        <mc:AlternateContent>
          <mc:Choice Requires="wpg">
            <w:drawing>
              <wp:inline distT="0" distB="0" distL="0" distR="0" wp14:anchorId="6A5626BC" wp14:editId="7A0D9DEB">
                <wp:extent cx="4150843" cy="1970813"/>
                <wp:effectExtent l="0" t="0" r="2540" b="0"/>
                <wp:docPr id="1221093537" name="Grupo 53"/>
                <wp:cNvGraphicFramePr/>
                <a:graphic xmlns:a="http://schemas.openxmlformats.org/drawingml/2006/main">
                  <a:graphicData uri="http://schemas.microsoft.com/office/word/2010/wordprocessingGroup">
                    <wpg:wgp>
                      <wpg:cNvGrpSpPr/>
                      <wpg:grpSpPr>
                        <a:xfrm>
                          <a:off x="0" y="0"/>
                          <a:ext cx="4150843" cy="1970813"/>
                          <a:chOff x="0" y="0"/>
                          <a:chExt cx="4628544" cy="2230120"/>
                        </a:xfrm>
                      </wpg:grpSpPr>
                      <pic:pic xmlns:pic="http://schemas.openxmlformats.org/drawingml/2006/picture">
                        <pic:nvPicPr>
                          <pic:cNvPr id="30" name="Imagen 29">
                            <a:extLst>
                              <a:ext uri="{FF2B5EF4-FFF2-40B4-BE49-F238E27FC236}">
                                <a16:creationId xmlns:a16="http://schemas.microsoft.com/office/drawing/2014/main" id="{D91422A0-682B-80D3-12A1-852B07BC7ACB}"/>
                              </a:ext>
                            </a:extLst>
                          </pic:cNvPr>
                          <pic:cNvPicPr>
                            <a:picLocks noChangeAspect="1"/>
                          </pic:cNvPicPr>
                        </pic:nvPicPr>
                        <pic:blipFill>
                          <a:blip r:embed="rId55"/>
                          <a:stretch>
                            <a:fillRect/>
                          </a:stretch>
                        </pic:blipFill>
                        <pic:spPr>
                          <a:xfrm>
                            <a:off x="0" y="0"/>
                            <a:ext cx="3305810" cy="2230120"/>
                          </a:xfrm>
                          <a:prstGeom prst="rect">
                            <a:avLst/>
                          </a:prstGeom>
                        </pic:spPr>
                      </pic:pic>
                      <pic:pic xmlns:pic="http://schemas.openxmlformats.org/drawingml/2006/picture">
                        <pic:nvPicPr>
                          <pic:cNvPr id="5" name="Imagen 4">
                            <a:extLst>
                              <a:ext uri="{FF2B5EF4-FFF2-40B4-BE49-F238E27FC236}">
                                <a16:creationId xmlns:a16="http://schemas.microsoft.com/office/drawing/2014/main" id="{316564A3-E2F7-7F8D-BE64-EA01985DB44F}"/>
                              </a:ext>
                            </a:extLst>
                          </pic:cNvPr>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3118514" y="245659"/>
                            <a:ext cx="1510030" cy="1787525"/>
                          </a:xfrm>
                          <a:prstGeom prst="rect">
                            <a:avLst/>
                          </a:prstGeom>
                        </pic:spPr>
                      </pic:pic>
                    </wpg:wgp>
                  </a:graphicData>
                </a:graphic>
              </wp:inline>
            </w:drawing>
          </mc:Choice>
          <mc:Fallback>
            <w:pict>
              <v:group w14:anchorId="3D2E8780" id="Grupo 53" o:spid="_x0000_s1026" style="width:326.85pt;height:155.2pt;mso-position-horizontal-relative:char;mso-position-vertical-relative:line" coordsize="46285,22301"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">
                <v:shape id="Imagen 29" o:spid="_x0000_s1027" type="#_x0000_t75" style="position:absolute;width:33058;height:2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">
                  <v:imagedata r:id="rId59" o:title=""/>
                </v:shape>
                <v:shape id="Imagen 4" o:spid="_x0000_s1028" type="#_x0000_t75" style="position:absolute;left:31185;top:2456;width:15100;height:17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">
                  <v:imagedata r:id="rId60" o:title=""/>
                </v:shape>
                <w10:anchorlock/>
              </v:group>
            </w:pict>
          </mc:Fallback>
        </mc:AlternateContent>
      </w:r>
    </w:p>
    <w:p w14:paraId="42EE544A" w14:textId="5DBEED72" w:rsidR="006D7E9C" w:rsidRPr="00834745" w:rsidRDefault="00076CF7" w:rsidP="002F1961">
      <w:pPr>
        <w:spacing w:before="100" w:beforeAutospacing="1" w:after="100" w:afterAutospacing="1" w:line="360" w:lineRule="auto"/>
        <w:jc w:val="center"/>
        <w:rPr>
          <w:sz w:val="22"/>
          <w:szCs w:val="18"/>
        </w:rPr>
      </w:pPr>
      <w:r w:rsidRPr="00834745">
        <w:rPr>
          <w:sz w:val="22"/>
          <w:szCs w:val="18"/>
        </w:rPr>
        <w:t>Elaboración: CREG</w:t>
      </w:r>
    </w:p>
    <w:p w14:paraId="7727B09C" w14:textId="02C8CA14" w:rsidR="00707E36" w:rsidRDefault="00EC7016" w:rsidP="002F1961">
      <w:pPr>
        <w:spacing w:before="100" w:beforeAutospacing="1" w:after="100" w:afterAutospacing="1" w:line="360" w:lineRule="auto"/>
      </w:pPr>
      <w:r>
        <w:rPr>
          <w:lang w:val="es-ES"/>
        </w:rPr>
        <w:t xml:space="preserve">La </w:t>
      </w:r>
      <w:r w:rsidR="00834745">
        <w:rPr>
          <w:lang w:val="es-ES"/>
        </w:rPr>
        <w:fldChar w:fldCharType="begin"/>
      </w:r>
      <w:r w:rsidR="00834745">
        <w:rPr>
          <w:lang w:val="es-ES"/>
        </w:rPr>
        <w:instrText xml:space="preserve"> REF _Ref235086947 \h </w:instrText>
      </w:r>
      <w:r w:rsidR="00834745">
        <w:rPr>
          <w:lang w:val="es-ES"/>
        </w:rPr>
      </w:r>
      <w:r w:rsidR="00834745">
        <w:rPr>
          <w:lang w:val="es-ES"/>
        </w:rPr>
        <w:fldChar w:fldCharType="separate"/>
      </w:r>
      <w:r w:rsidR="00834745" w:rsidRPr="00137244">
        <w:rPr>
          <w:lang w:val="es-ES"/>
        </w:rPr>
        <w:t xml:space="preserve">Figura </w:t>
      </w:r>
      <w:r w:rsidR="00834745">
        <w:rPr>
          <w:noProof/>
          <w:lang w:val="es-ES"/>
        </w:rPr>
        <w:t>16</w:t>
      </w:r>
      <w:r w:rsidR="00834745">
        <w:rPr>
          <w:lang w:val="es-ES"/>
        </w:rPr>
        <w:fldChar w:fldCharType="end"/>
      </w:r>
      <w:r w:rsidRPr="11491998">
        <w:rPr>
          <w:lang w:val="es-ES"/>
        </w:rPr>
        <w:t xml:space="preserve"> resume la clasificación de las inversiones reconocidas por la metodología. Como se aprecia, el tratamiento regulatorio depende tanto del momento en que fueron ejecutadas las inversiones como del tipo de mercado al que pertenecen, diferenciando entre mercados existentes y mercados nuevos para efectos de su valoración y reconocimiento tarifario.</w:t>
      </w:r>
    </w:p>
    <w:p w14:paraId="198FBE3A" w14:textId="48AF4ACE" w:rsidR="00580A59" w:rsidRDefault="00580A59" w:rsidP="002F1961">
      <w:pPr>
        <w:spacing w:before="100" w:beforeAutospacing="1" w:after="100" w:afterAutospacing="1" w:line="360" w:lineRule="auto"/>
        <w:rPr>
          <w:lang w:val="es-CO"/>
        </w:rPr>
      </w:pPr>
      <w:r w:rsidRPr="001C4525">
        <w:t>En el caso de los Otros Activos (OA), la regulación incorpora un criterio de eficiencia para determinar el porcentaje máximo susceptible de reconocimiento tarifario</w:t>
      </w:r>
      <w:r w:rsidR="00C2190B">
        <w:t xml:space="preserve">, este se determina así: </w:t>
      </w:r>
    </w:p>
    <w:p w14:paraId="4C9E29EA" w14:textId="5D1C70D7" w:rsidR="006040D3" w:rsidRDefault="006040D3" w:rsidP="002F1961">
      <w:pPr>
        <w:keepNext/>
        <w:spacing w:before="100" w:beforeAutospacing="1" w:after="100" w:afterAutospacing="1" w:line="360" w:lineRule="auto"/>
        <w:jc w:val="center"/>
      </w:pPr>
      <w:bookmarkStart w:id="74" w:name="_Ref235087011"/>
      <w:bookmarkStart w:id="75" w:name="_Toc235118557"/>
      <w:r w:rsidRPr="00137244">
        <w:rPr>
          <w:lang w:val="es-ES"/>
        </w:rPr>
        <w:lastRenderedPageBreak/>
        <w:t xml:space="preserve">Figura </w:t>
      </w:r>
      <w:r w:rsidRPr="00137244">
        <w:rPr>
          <w:lang w:val="es-ES"/>
        </w:rPr>
        <w:fldChar w:fldCharType="begin"/>
      </w:r>
      <w:r w:rsidRPr="00137244">
        <w:rPr>
          <w:lang w:val="es-ES"/>
        </w:rPr>
        <w:instrText xml:space="preserve"> SEQ Figura \* ARABIC </w:instrText>
      </w:r>
      <w:r w:rsidRPr="00137244">
        <w:rPr>
          <w:lang w:val="es-ES"/>
        </w:rPr>
        <w:fldChar w:fldCharType="separate"/>
      </w:r>
      <w:r w:rsidR="0002193A">
        <w:rPr>
          <w:noProof/>
          <w:lang w:val="es-ES"/>
        </w:rPr>
        <w:t>17</w:t>
      </w:r>
      <w:r w:rsidRPr="00137244">
        <w:rPr>
          <w:lang w:val="es-ES"/>
        </w:rPr>
        <w:fldChar w:fldCharType="end"/>
      </w:r>
      <w:bookmarkEnd w:id="74"/>
      <w:r w:rsidRPr="5FAE69B6">
        <w:rPr>
          <w:lang w:val="es-ES"/>
        </w:rPr>
        <w:t xml:space="preserve">. </w:t>
      </w:r>
      <w:r w:rsidR="002132B5" w:rsidRPr="002132B5">
        <w:rPr>
          <w:bCs/>
          <w:lang w:val="es-ES"/>
        </w:rPr>
        <w:t>Criterio de eficiencia para el reconocimiento de Otros Activos</w:t>
      </w:r>
      <w:bookmarkEnd w:id="75"/>
    </w:p>
    <w:p w14:paraId="076C3AD3" w14:textId="75C0300D" w:rsidR="00395AC5" w:rsidRDefault="002E7EAB" w:rsidP="002F1961">
      <w:pPr>
        <w:spacing w:before="100" w:beforeAutospacing="1" w:after="100" w:afterAutospacing="1" w:line="360" w:lineRule="auto"/>
        <w:jc w:val="center"/>
        <w:rPr>
          <w:lang w:val="es-CO"/>
        </w:rPr>
      </w:pPr>
      <w:r w:rsidRPr="002E7EAB">
        <w:rPr>
          <w:noProof/>
        </w:rPr>
        <mc:AlternateContent>
          <mc:Choice Requires="wps">
            <w:drawing>
              <wp:inline distT="0" distB="0" distL="0" distR="0" wp14:anchorId="0D320D8B" wp14:editId="5ADDB8FD">
                <wp:extent cx="4428466" cy="508959"/>
                <wp:effectExtent l="0" t="0" r="0" b="0"/>
                <wp:docPr id="1846783244" name="CuadroTexto 4"/>
                <wp:cNvGraphicFramePr/>
                <a:graphic xmlns:a="http://schemas.openxmlformats.org/drawingml/2006/main">
                  <a:graphicData uri="http://schemas.microsoft.com/office/word/2010/wordprocessingShape">
                    <wps:wsp>
                      <wps:cNvSpPr txBox="1"/>
                      <wps:spPr>
                        <a:xfrm>
                          <a:off x="0" y="0"/>
                          <a:ext cx="4428466" cy="508959"/>
                        </a:xfrm>
                        <a:prstGeom prst="rect">
                          <a:avLst/>
                        </a:prstGeom>
                        <a:noFill/>
                      </wps:spPr>
                      <wps:txbx>
                        <w:txbxContent>
                          <w:p w14:paraId="2B56C5FC" w14:textId="7EE76444" w:rsidR="00C2190B" w:rsidRPr="002E7EAB" w:rsidRDefault="002E7EAB" w:rsidP="00076CF7">
                            <w:pPr>
                              <w:jc w:val="center"/>
                              <w:rPr>
                                <w:rFonts w:ascii="Cambria Math" w:hAnsi="Cambria Math" w:cstheme="minorBidi"/>
                                <w:color w:val="4E4D4D"/>
                                <w:kern w:val="24"/>
                                <w:sz w:val="20"/>
                              </w:rPr>
                            </w:pPr>
                            <m:oMathPara>
                              <m:oMath>
                                <m:r>
                                  <m:rPr>
                                    <m:sty m:val="p"/>
                                  </m:rPr>
                                  <w:rPr>
                                    <w:rFonts w:ascii="Cambria Math" w:hAnsi="Cambria Math" w:cstheme="minorBidi"/>
                                    <w:color w:val="4E4D4D"/>
                                    <w:kern w:val="24"/>
                                    <w:sz w:val="20"/>
                                  </w:rPr>
                                  <m:t>%O</m:t>
                                </m:r>
                                <m:sSub>
                                  <m:sSubPr>
                                    <m:ctrlPr>
                                      <w:rPr>
                                        <w:rFonts w:ascii="Cambria Math" w:eastAsiaTheme="minorEastAsia" w:hAnsi="Cambria Math" w:cstheme="minorBidi"/>
                                        <w:i/>
                                        <w:iCs/>
                                        <w:color w:val="4E4D4D"/>
                                        <w:kern w:val="24"/>
                                        <w:sz w:val="20"/>
                                      </w:rPr>
                                    </m:ctrlPr>
                                  </m:sSubPr>
                                  <m:e>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A</m:t>
                                        </m:r>
                                      </m:e>
                                      <m:sub>
                                        <m:r>
                                          <m:rPr>
                                            <m:sty m:val="p"/>
                                          </m:rPr>
                                          <w:rPr>
                                            <w:rFonts w:ascii="Cambria Math" w:hAnsi="Cambria Math" w:cstheme="minorBidi"/>
                                            <w:color w:val="4E4D4D"/>
                                            <w:kern w:val="24"/>
                                            <w:sz w:val="20"/>
                                          </w:rPr>
                                          <m:t>eficiente</m:t>
                                        </m:r>
                                      </m:sub>
                                    </m:sSub>
                                  </m:e>
                                  <m:sub>
                                    <m:r>
                                      <m:rPr>
                                        <m:sty m:val="p"/>
                                      </m:rPr>
                                      <w:rPr>
                                        <w:rFonts w:ascii="Cambria Math" w:hAnsi="Cambria Math" w:cstheme="minorBidi"/>
                                        <w:color w:val="4E4D4D"/>
                                        <w:kern w:val="24"/>
                                        <w:sz w:val="20"/>
                                      </w:rPr>
                                      <m:t>k</m:t>
                                    </m:r>
                                  </m:sub>
                                </m:sSub>
                                <m:r>
                                  <m:rPr>
                                    <m:sty m:val="p"/>
                                  </m:rPr>
                                  <w:rPr>
                                    <w:rFonts w:ascii="Cambria Math" w:hAnsi="Cambria Math" w:cstheme="minorBidi"/>
                                    <w:color w:val="4E4D4D"/>
                                    <w:kern w:val="24"/>
                                    <w:sz w:val="20"/>
                                  </w:rPr>
                                  <m:t>=Min</m:t>
                                </m:r>
                                <m:d>
                                  <m:dPr>
                                    <m:begChr m:val="{"/>
                                    <m:endChr m:val="}"/>
                                    <m:ctrlPr>
                                      <w:rPr>
                                        <w:rFonts w:ascii="Cambria Math" w:eastAsiaTheme="minorEastAsia" w:hAnsi="Cambria Math" w:cstheme="minorBidi"/>
                                        <w:i/>
                                        <w:iCs/>
                                        <w:color w:val="4E4D4D"/>
                                        <w:kern w:val="24"/>
                                        <w:sz w:val="20"/>
                                      </w:rPr>
                                    </m:ctrlPr>
                                  </m:dPr>
                                  <m:e>
                                    <m:r>
                                      <m:rPr>
                                        <m:sty m:val="p"/>
                                      </m:rPr>
                                      <w:rPr>
                                        <w:rFonts w:ascii="Cambria Math" w:hAnsi="Cambria Math" w:cstheme="minorBidi"/>
                                        <w:color w:val="4E4D4D"/>
                                        <w:kern w:val="24"/>
                                        <w:sz w:val="20"/>
                                      </w:rPr>
                                      <m:t>%O</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A</m:t>
                                        </m:r>
                                      </m:e>
                                      <m:sub>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r</m:t>
                                            </m:r>
                                          </m:e>
                                          <m:sub>
                                            <m:r>
                                              <m:rPr>
                                                <m:sty m:val="p"/>
                                              </m:rPr>
                                              <w:rPr>
                                                <w:rFonts w:ascii="Cambria Math" w:hAnsi="Cambria Math" w:cstheme="minorBidi"/>
                                                <w:color w:val="4E4D4D"/>
                                                <w:kern w:val="24"/>
                                                <w:sz w:val="20"/>
                                              </w:rPr>
                                              <m:t>k</m:t>
                                            </m:r>
                                          </m:sub>
                                        </m:sSub>
                                      </m:sub>
                                    </m:sSub>
                                    <m:r>
                                      <m:rPr>
                                        <m:sty m:val="p"/>
                                      </m:rPr>
                                      <w:rPr>
                                        <w:rFonts w:ascii="Cambria Math" w:hAnsi="Cambria Math" w:cstheme="minorBidi"/>
                                        <w:color w:val="4E4D4D"/>
                                        <w:kern w:val="24"/>
                                        <w:sz w:val="20"/>
                                      </w:rPr>
                                      <m:t>;</m:t>
                                    </m:r>
                                    <m:f>
                                      <m:fPr>
                                        <m:ctrlPr>
                                          <w:rPr>
                                            <w:rFonts w:ascii="Cambria Math" w:eastAsiaTheme="minorEastAsia" w:hAnsi="Cambria Math" w:cstheme="minorBidi"/>
                                            <w:i/>
                                            <w:iCs/>
                                            <w:color w:val="4E4D4D"/>
                                            <w:kern w:val="24"/>
                                            <w:sz w:val="20"/>
                                          </w:rPr>
                                        </m:ctrlPr>
                                      </m:fPr>
                                      <m:num>
                                        <m:r>
                                          <m:rPr>
                                            <m:sty m:val="p"/>
                                          </m:rPr>
                                          <w:rPr>
                                            <w:rFonts w:ascii="Cambria Math" w:hAnsi="Cambria Math" w:cstheme="minorBidi"/>
                                            <w:color w:val="4E4D4D"/>
                                            <w:kern w:val="24"/>
                                            <w:sz w:val="20"/>
                                          </w:rPr>
                                          <m:t>%O</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A</m:t>
                                            </m:r>
                                          </m:e>
                                          <m:sub>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r</m:t>
                                                </m:r>
                                              </m:e>
                                              <m:sub>
                                                <m:r>
                                                  <m:rPr>
                                                    <m:sty m:val="p"/>
                                                  </m:rPr>
                                                  <w:rPr>
                                                    <w:rFonts w:ascii="Cambria Math" w:hAnsi="Cambria Math" w:cstheme="minorBidi"/>
                                                    <w:color w:val="4E4D4D"/>
                                                    <w:kern w:val="24"/>
                                                    <w:sz w:val="20"/>
                                                  </w:rPr>
                                                  <m:t>k</m:t>
                                                </m:r>
                                              </m:sub>
                                            </m:sSub>
                                          </m:sub>
                                        </m:sSub>
                                        <m:r>
                                          <m:rPr>
                                            <m:sty m:val="p"/>
                                          </m:rPr>
                                          <w:rPr>
                                            <w:rFonts w:ascii="Cambria Math" w:hAnsi="Cambria Math" w:cstheme="minorBidi"/>
                                            <w:color w:val="4E4D4D"/>
                                            <w:kern w:val="24"/>
                                            <w:sz w:val="20"/>
                                          </w:rPr>
                                          <m:t>+%O</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A</m:t>
                                            </m:r>
                                          </m:e>
                                          <m:sub>
                                            <m:r>
                                              <m:rPr>
                                                <m:sty m:val="p"/>
                                              </m:rPr>
                                              <w:rPr>
                                                <w:rFonts w:ascii="Cambria Math" w:hAnsi="Cambria Math" w:cstheme="minorBidi"/>
                                                <w:color w:val="4E4D4D"/>
                                                <w:kern w:val="24"/>
                                                <w:sz w:val="20"/>
                                              </w:rPr>
                                              <m:t>re</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m</m:t>
                                                </m:r>
                                              </m:e>
                                              <m:sub>
                                                <m:r>
                                                  <m:rPr>
                                                    <m:sty m:val="p"/>
                                                  </m:rPr>
                                                  <w:rPr>
                                                    <w:rFonts w:ascii="Cambria Math" w:hAnsi="Cambria Math" w:cstheme="minorBidi"/>
                                                    <w:color w:val="4E4D4D"/>
                                                    <w:kern w:val="24"/>
                                                    <w:sz w:val="20"/>
                                                  </w:rPr>
                                                  <m:t>k</m:t>
                                                </m:r>
                                              </m:sub>
                                            </m:sSub>
                                          </m:sub>
                                        </m:sSub>
                                      </m:num>
                                      <m:den>
                                        <m:r>
                                          <m:rPr>
                                            <m:sty m:val="p"/>
                                          </m:rPr>
                                          <w:rPr>
                                            <w:rFonts w:ascii="Cambria Math" w:hAnsi="Cambria Math" w:cstheme="minorBidi"/>
                                            <w:color w:val="4E4D4D"/>
                                            <w:kern w:val="24"/>
                                            <w:sz w:val="20"/>
                                          </w:rPr>
                                          <m:t>2</m:t>
                                        </m:r>
                                      </m:den>
                                    </m:f>
                                    <m:r>
                                      <m:rPr>
                                        <m:sty m:val="p"/>
                                      </m:rPr>
                                      <w:rPr>
                                        <w:rFonts w:ascii="Cambria Math" w:hAnsi="Cambria Math" w:cstheme="minorBidi"/>
                                        <w:color w:val="4E4D4D"/>
                                        <w:kern w:val="24"/>
                                        <w:sz w:val="20"/>
                                      </w:rPr>
                                      <m:t>;%O</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A</m:t>
                                        </m:r>
                                      </m:e>
                                      <m:sub>
                                        <m:func>
                                          <m:funcPr>
                                            <m:ctrlPr>
                                              <w:rPr>
                                                <w:rFonts w:ascii="Cambria Math" w:eastAsiaTheme="minorEastAsia" w:hAnsi="Cambria Math" w:cstheme="minorBidi"/>
                                                <w:i/>
                                                <w:iCs/>
                                                <w:color w:val="4E4D4D"/>
                                                <w:kern w:val="24"/>
                                                <w:sz w:val="20"/>
                                              </w:rPr>
                                            </m:ctrlPr>
                                          </m:funcPr>
                                          <m:fName>
                                            <m:r>
                                              <m:rPr>
                                                <m:sty m:val="p"/>
                                              </m:rPr>
                                              <w:rPr>
                                                <w:rFonts w:ascii="Cambria Math" w:hAnsi="Cambria Math" w:cstheme="minorBidi"/>
                                                <w:color w:val="4E4D4D"/>
                                                <w:kern w:val="24"/>
                                                <w:sz w:val="20"/>
                                              </w:rPr>
                                              <m:t>max</m:t>
                                            </m:r>
                                          </m:fName>
                                          <m:e>
                                            <m:r>
                                              <m:rPr>
                                                <m:sty m:val="p"/>
                                              </m:rPr>
                                              <w:rPr>
                                                <w:rFonts w:ascii="Cambria Math" w:hAnsi="Cambria Math" w:cstheme="minorBidi"/>
                                                <w:color w:val="4E4D4D"/>
                                                <w:kern w:val="24"/>
                                                <w:sz w:val="20"/>
                                              </w:rPr>
                                              <m:t>rec k</m:t>
                                            </m:r>
                                          </m:e>
                                        </m:func>
                                      </m:sub>
                                    </m:sSub>
                                  </m:e>
                                </m:d>
                              </m:oMath>
                            </m:oMathPara>
                          </w:p>
                        </w:txbxContent>
                      </wps:txbx>
                      <wps:bodyPr wrap="square" lIns="0" tIns="0" rIns="0" bIns="0" rtlCol="0">
                        <a:noAutofit/>
                      </wps:bodyPr>
                    </wps:wsp>
                  </a:graphicData>
                </a:graphic>
              </wp:inline>
            </w:drawing>
          </mc:Choice>
          <mc:Fallback>
            <w:pict>
              <v:shapetype w14:anchorId="0D320D8B" id="_x0000_t202" coordsize="21600,21600" o:spt="202" path="m,l,21600r21600,l21600,xe">
                <v:stroke joinstyle="miter"/>
                <v:path gradientshapeok="t" o:connecttype="rect"/>
              </v:shapetype>
              <v:shape id="CuadroTexto 4" o:spid="_x0000_s1041" type="#_x0000_t202" style="width:348.7pt;height:4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" filled="f" stroked="f">
                <v:textbox inset="0,0,0,0">
                  <w:txbxContent>
                    <w:p w14:paraId="2B56C5FC" w14:textId="7EE76444" w:rsidR="00C2190B" w:rsidRPr="002E7EAB" w:rsidRDefault="002E7EAB" w:rsidP="00076CF7">
                      <w:pPr>
                        <w:jc w:val="center"/>
                        <w:rPr>
                          <w:rFonts w:ascii="Cambria Math" w:hAnsi="Cambria Math" w:cstheme="minorBidi"/>
                          <w:color w:val="4E4D4D"/>
                          <w:kern w:val="24"/>
                          <w:sz w:val="20"/>
                        </w:rPr>
                      </w:pPr>
                      <m:oMathPara>
                        <m:oMath>
                          <m:r>
                            <m:rPr>
                              <m:sty m:val="p"/>
                            </m:rPr>
                            <w:rPr>
                              <w:rFonts w:ascii="Cambria Math" w:hAnsi="Cambria Math" w:cstheme="minorBidi"/>
                              <w:color w:val="4E4D4D"/>
                              <w:kern w:val="24"/>
                              <w:sz w:val="20"/>
                            </w:rPr>
                            <m:t>%O</m:t>
                          </m:r>
                          <m:sSub>
                            <m:sSubPr>
                              <m:ctrlPr>
                                <w:rPr>
                                  <w:rFonts w:ascii="Cambria Math" w:eastAsiaTheme="minorEastAsia" w:hAnsi="Cambria Math" w:cstheme="minorBidi"/>
                                  <w:i/>
                                  <w:iCs/>
                                  <w:color w:val="4E4D4D"/>
                                  <w:kern w:val="24"/>
                                  <w:sz w:val="20"/>
                                </w:rPr>
                              </m:ctrlPr>
                            </m:sSubPr>
                            <m:e>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A</m:t>
                                  </m:r>
                                </m:e>
                                <m:sub>
                                  <m:r>
                                    <m:rPr>
                                      <m:sty m:val="p"/>
                                    </m:rPr>
                                    <w:rPr>
                                      <w:rFonts w:ascii="Cambria Math" w:hAnsi="Cambria Math" w:cstheme="minorBidi"/>
                                      <w:color w:val="4E4D4D"/>
                                      <w:kern w:val="24"/>
                                      <w:sz w:val="20"/>
                                    </w:rPr>
                                    <m:t>eficiente</m:t>
                                  </m:r>
                                </m:sub>
                              </m:sSub>
                            </m:e>
                            <m:sub>
                              <m:r>
                                <m:rPr>
                                  <m:sty m:val="p"/>
                                </m:rPr>
                                <w:rPr>
                                  <w:rFonts w:ascii="Cambria Math" w:hAnsi="Cambria Math" w:cstheme="minorBidi"/>
                                  <w:color w:val="4E4D4D"/>
                                  <w:kern w:val="24"/>
                                  <w:sz w:val="20"/>
                                </w:rPr>
                                <m:t>k</m:t>
                              </m:r>
                            </m:sub>
                          </m:sSub>
                          <m:r>
                            <m:rPr>
                              <m:sty m:val="p"/>
                            </m:rPr>
                            <w:rPr>
                              <w:rFonts w:ascii="Cambria Math" w:hAnsi="Cambria Math" w:cstheme="minorBidi"/>
                              <w:color w:val="4E4D4D"/>
                              <w:kern w:val="24"/>
                              <w:sz w:val="20"/>
                            </w:rPr>
                            <m:t>=Min</m:t>
                          </m:r>
                          <m:d>
                            <m:dPr>
                              <m:begChr m:val="{"/>
                              <m:endChr m:val="}"/>
                              <m:ctrlPr>
                                <w:rPr>
                                  <w:rFonts w:ascii="Cambria Math" w:eastAsiaTheme="minorEastAsia" w:hAnsi="Cambria Math" w:cstheme="minorBidi"/>
                                  <w:i/>
                                  <w:iCs/>
                                  <w:color w:val="4E4D4D"/>
                                  <w:kern w:val="24"/>
                                  <w:sz w:val="20"/>
                                </w:rPr>
                              </m:ctrlPr>
                            </m:dPr>
                            <m:e>
                              <m:r>
                                <m:rPr>
                                  <m:sty m:val="p"/>
                                </m:rPr>
                                <w:rPr>
                                  <w:rFonts w:ascii="Cambria Math" w:hAnsi="Cambria Math" w:cstheme="minorBidi"/>
                                  <w:color w:val="4E4D4D"/>
                                  <w:kern w:val="24"/>
                                  <w:sz w:val="20"/>
                                </w:rPr>
                                <m:t>%O</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A</m:t>
                                  </m:r>
                                </m:e>
                                <m:sub>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r</m:t>
                                      </m:r>
                                    </m:e>
                                    <m:sub>
                                      <m:r>
                                        <m:rPr>
                                          <m:sty m:val="p"/>
                                        </m:rPr>
                                        <w:rPr>
                                          <w:rFonts w:ascii="Cambria Math" w:hAnsi="Cambria Math" w:cstheme="minorBidi"/>
                                          <w:color w:val="4E4D4D"/>
                                          <w:kern w:val="24"/>
                                          <w:sz w:val="20"/>
                                        </w:rPr>
                                        <m:t>k</m:t>
                                      </m:r>
                                    </m:sub>
                                  </m:sSub>
                                </m:sub>
                              </m:sSub>
                              <m:r>
                                <m:rPr>
                                  <m:sty m:val="p"/>
                                </m:rPr>
                                <w:rPr>
                                  <w:rFonts w:ascii="Cambria Math" w:hAnsi="Cambria Math" w:cstheme="minorBidi"/>
                                  <w:color w:val="4E4D4D"/>
                                  <w:kern w:val="24"/>
                                  <w:sz w:val="20"/>
                                </w:rPr>
                                <m:t>;</m:t>
                              </m:r>
                              <m:f>
                                <m:fPr>
                                  <m:ctrlPr>
                                    <w:rPr>
                                      <w:rFonts w:ascii="Cambria Math" w:eastAsiaTheme="minorEastAsia" w:hAnsi="Cambria Math" w:cstheme="minorBidi"/>
                                      <w:i/>
                                      <w:iCs/>
                                      <w:color w:val="4E4D4D"/>
                                      <w:kern w:val="24"/>
                                      <w:sz w:val="20"/>
                                    </w:rPr>
                                  </m:ctrlPr>
                                </m:fPr>
                                <m:num>
                                  <m:r>
                                    <m:rPr>
                                      <m:sty m:val="p"/>
                                    </m:rPr>
                                    <w:rPr>
                                      <w:rFonts w:ascii="Cambria Math" w:hAnsi="Cambria Math" w:cstheme="minorBidi"/>
                                      <w:color w:val="4E4D4D"/>
                                      <w:kern w:val="24"/>
                                      <w:sz w:val="20"/>
                                    </w:rPr>
                                    <m:t>%O</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A</m:t>
                                      </m:r>
                                    </m:e>
                                    <m:sub>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r</m:t>
                                          </m:r>
                                        </m:e>
                                        <m:sub>
                                          <m:r>
                                            <m:rPr>
                                              <m:sty m:val="p"/>
                                            </m:rPr>
                                            <w:rPr>
                                              <w:rFonts w:ascii="Cambria Math" w:hAnsi="Cambria Math" w:cstheme="minorBidi"/>
                                              <w:color w:val="4E4D4D"/>
                                              <w:kern w:val="24"/>
                                              <w:sz w:val="20"/>
                                            </w:rPr>
                                            <m:t>k</m:t>
                                          </m:r>
                                        </m:sub>
                                      </m:sSub>
                                    </m:sub>
                                  </m:sSub>
                                  <m:r>
                                    <m:rPr>
                                      <m:sty m:val="p"/>
                                    </m:rPr>
                                    <w:rPr>
                                      <w:rFonts w:ascii="Cambria Math" w:hAnsi="Cambria Math" w:cstheme="minorBidi"/>
                                      <w:color w:val="4E4D4D"/>
                                      <w:kern w:val="24"/>
                                      <w:sz w:val="20"/>
                                    </w:rPr>
                                    <m:t>+%O</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A</m:t>
                                      </m:r>
                                    </m:e>
                                    <m:sub>
                                      <m:r>
                                        <m:rPr>
                                          <m:sty m:val="p"/>
                                        </m:rPr>
                                        <w:rPr>
                                          <w:rFonts w:ascii="Cambria Math" w:hAnsi="Cambria Math" w:cstheme="minorBidi"/>
                                          <w:color w:val="4E4D4D"/>
                                          <w:kern w:val="24"/>
                                          <w:sz w:val="20"/>
                                        </w:rPr>
                                        <m:t>re</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m</m:t>
                                          </m:r>
                                        </m:e>
                                        <m:sub>
                                          <m:r>
                                            <m:rPr>
                                              <m:sty m:val="p"/>
                                            </m:rPr>
                                            <w:rPr>
                                              <w:rFonts w:ascii="Cambria Math" w:hAnsi="Cambria Math" w:cstheme="minorBidi"/>
                                              <w:color w:val="4E4D4D"/>
                                              <w:kern w:val="24"/>
                                              <w:sz w:val="20"/>
                                            </w:rPr>
                                            <m:t>k</m:t>
                                          </m:r>
                                        </m:sub>
                                      </m:sSub>
                                    </m:sub>
                                  </m:sSub>
                                </m:num>
                                <m:den>
                                  <m:r>
                                    <m:rPr>
                                      <m:sty m:val="p"/>
                                    </m:rPr>
                                    <w:rPr>
                                      <w:rFonts w:ascii="Cambria Math" w:hAnsi="Cambria Math" w:cstheme="minorBidi"/>
                                      <w:color w:val="4E4D4D"/>
                                      <w:kern w:val="24"/>
                                      <w:sz w:val="20"/>
                                    </w:rPr>
                                    <m:t>2</m:t>
                                  </m:r>
                                </m:den>
                              </m:f>
                              <m:r>
                                <m:rPr>
                                  <m:sty m:val="p"/>
                                </m:rPr>
                                <w:rPr>
                                  <w:rFonts w:ascii="Cambria Math" w:hAnsi="Cambria Math" w:cstheme="minorBidi"/>
                                  <w:color w:val="4E4D4D"/>
                                  <w:kern w:val="24"/>
                                  <w:sz w:val="20"/>
                                </w:rPr>
                                <m:t>;%O</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A</m:t>
                                  </m:r>
                                </m:e>
                                <m:sub>
                                  <m:func>
                                    <m:funcPr>
                                      <m:ctrlPr>
                                        <w:rPr>
                                          <w:rFonts w:ascii="Cambria Math" w:eastAsiaTheme="minorEastAsia" w:hAnsi="Cambria Math" w:cstheme="minorBidi"/>
                                          <w:i/>
                                          <w:iCs/>
                                          <w:color w:val="4E4D4D"/>
                                          <w:kern w:val="24"/>
                                          <w:sz w:val="20"/>
                                        </w:rPr>
                                      </m:ctrlPr>
                                    </m:funcPr>
                                    <m:fName>
                                      <m:r>
                                        <m:rPr>
                                          <m:sty m:val="p"/>
                                        </m:rPr>
                                        <w:rPr>
                                          <w:rFonts w:ascii="Cambria Math" w:hAnsi="Cambria Math" w:cstheme="minorBidi"/>
                                          <w:color w:val="4E4D4D"/>
                                          <w:kern w:val="24"/>
                                          <w:sz w:val="20"/>
                                        </w:rPr>
                                        <m:t>max</m:t>
                                      </m:r>
                                    </m:fName>
                                    <m:e>
                                      <m:r>
                                        <m:rPr>
                                          <m:sty m:val="p"/>
                                        </m:rPr>
                                        <w:rPr>
                                          <w:rFonts w:ascii="Cambria Math" w:hAnsi="Cambria Math" w:cstheme="minorBidi"/>
                                          <w:color w:val="4E4D4D"/>
                                          <w:kern w:val="24"/>
                                          <w:sz w:val="20"/>
                                        </w:rPr>
                                        <m:t>rec k</m:t>
                                      </m:r>
                                    </m:e>
                                  </m:func>
                                </m:sub>
                              </m:sSub>
                            </m:e>
                          </m:d>
                        </m:oMath>
                      </m:oMathPara>
                    </w:p>
                  </w:txbxContent>
                </v:textbox>
                <w10:anchorlock/>
              </v:shape>
            </w:pict>
          </mc:Fallback>
        </mc:AlternateContent>
      </w:r>
    </w:p>
    <w:p w14:paraId="7F260818" w14:textId="6DA2E2E5" w:rsidR="00393AEE" w:rsidRPr="00393AEE" w:rsidRDefault="00393AEE" w:rsidP="002F1961">
      <w:pPr>
        <w:spacing w:before="100" w:beforeAutospacing="1" w:after="100" w:afterAutospacing="1" w:line="360" w:lineRule="auto"/>
        <w:jc w:val="center"/>
        <w:rPr>
          <w:sz w:val="22"/>
          <w:szCs w:val="18"/>
          <w:lang w:val="es-CO"/>
        </w:rPr>
      </w:pPr>
      <w:r w:rsidRPr="00393AEE">
        <w:rPr>
          <w:sz w:val="22"/>
          <w:szCs w:val="18"/>
          <w:lang w:val="es-CO"/>
        </w:rPr>
        <w:t>Elaboración: CREG</w:t>
      </w:r>
    </w:p>
    <w:p w14:paraId="1D5099BD" w14:textId="3493D43C" w:rsidR="00D02636" w:rsidRDefault="000E6119" w:rsidP="002F1961">
      <w:pPr>
        <w:spacing w:before="100" w:beforeAutospacing="1" w:after="100" w:afterAutospacing="1" w:line="360" w:lineRule="auto"/>
        <w:rPr>
          <w:lang w:val="es-CO"/>
        </w:rPr>
      </w:pPr>
      <w:r>
        <w:rPr>
          <w:lang w:val="es-CO"/>
        </w:rPr>
        <w:t xml:space="preserve">La </w:t>
      </w:r>
      <w:r w:rsidR="008D1F7D">
        <w:rPr>
          <w:lang w:val="es-CO"/>
        </w:rPr>
        <w:fldChar w:fldCharType="begin"/>
      </w:r>
      <w:r w:rsidR="008D1F7D">
        <w:rPr>
          <w:lang w:val="es-CO"/>
        </w:rPr>
        <w:instrText xml:space="preserve"> REF _Ref235087011 \h </w:instrText>
      </w:r>
      <w:r w:rsidR="008D1F7D">
        <w:rPr>
          <w:lang w:val="es-CO"/>
        </w:rPr>
      </w:r>
      <w:r w:rsidR="008D1F7D">
        <w:rPr>
          <w:lang w:val="es-CO"/>
        </w:rPr>
        <w:fldChar w:fldCharType="separate"/>
      </w:r>
      <w:r w:rsidR="008D1F7D" w:rsidRPr="00137244">
        <w:rPr>
          <w:lang w:val="es-ES"/>
        </w:rPr>
        <w:t xml:space="preserve">Figura </w:t>
      </w:r>
      <w:r w:rsidR="008D1F7D">
        <w:rPr>
          <w:noProof/>
          <w:lang w:val="es-ES"/>
        </w:rPr>
        <w:t>17</w:t>
      </w:r>
      <w:r w:rsidR="008D1F7D">
        <w:rPr>
          <w:lang w:val="es-CO"/>
        </w:rPr>
        <w:fldChar w:fldCharType="end"/>
      </w:r>
      <w:r w:rsidRPr="000E6119">
        <w:rPr>
          <w:lang w:val="es-CO"/>
        </w:rPr>
        <w:t xml:space="preserve"> </w:t>
      </w:r>
      <w:r w:rsidRPr="000E6119">
        <w:rPr>
          <w:lang w:val="es-CO"/>
        </w:rPr>
        <w:t>ilustra el criterio general utilizado para determinar el porcentaje de Otros Activos (OA) susceptible de reconocimiento tarifario. La metodología compara la información reportada por el distribuidor con diferentes valores de referencia, de manera que únicamente se remuneren aquellos activos que cumplen los criterios de eficiencia establecidos por la regulación.</w:t>
      </w:r>
    </w:p>
    <w:p w14:paraId="0D2E2DE1" w14:textId="7CC7F2E1" w:rsidR="00C2190B" w:rsidRDefault="00E76CE9" w:rsidP="002F1961">
      <w:pPr>
        <w:spacing w:before="100" w:beforeAutospacing="1" w:after="100" w:afterAutospacing="1" w:line="360" w:lineRule="auto"/>
        <w:rPr>
          <w:lang w:val="es-CO"/>
        </w:rPr>
      </w:pPr>
      <w:r w:rsidRPr="00E76CE9">
        <w:rPr>
          <w:lang w:val="es-CO"/>
        </w:rPr>
        <w:t xml:space="preserve">Para efectos del reconocimiento tarifario, la metodología compara el porcentaje de Otros Activos reportado por el distribuidor con diferentes valores de referencia, aplicando el criterio más restrictivo de acuerdo con el tipo de mercado. Los criterios utilizados para este reconocimiento se presentan en la </w:t>
      </w:r>
      <w:r w:rsidR="0002193A" w:rsidRPr="0002193A">
        <w:rPr>
          <w:lang w:val="es-CO"/>
        </w:rPr>
        <w:fldChar w:fldCharType="begin"/>
      </w:r>
      <w:r w:rsidR="0002193A" w:rsidRPr="0002193A">
        <w:rPr>
          <w:lang w:val="es-CO"/>
        </w:rPr>
        <w:instrText xml:space="preserve"> REF _Ref235087220 \h  \* MERGEFORMAT </w:instrText>
      </w:r>
      <w:r w:rsidR="0002193A" w:rsidRPr="0002193A">
        <w:rPr>
          <w:lang w:val="es-CO"/>
        </w:rPr>
      </w:r>
      <w:r w:rsidR="0002193A" w:rsidRPr="0002193A">
        <w:rPr>
          <w:lang w:val="es-CO"/>
        </w:rPr>
        <w:fldChar w:fldCharType="separate"/>
      </w:r>
      <w:r w:rsidR="0002193A" w:rsidRPr="0002193A">
        <w:rPr>
          <w:rFonts w:cs="Arial"/>
          <w:szCs w:val="24"/>
        </w:rPr>
        <w:t xml:space="preserve">Tabla </w:t>
      </w:r>
      <w:r w:rsidR="0002193A" w:rsidRPr="0002193A">
        <w:rPr>
          <w:rFonts w:cs="Arial"/>
          <w:noProof/>
          <w:szCs w:val="24"/>
        </w:rPr>
        <w:t>3</w:t>
      </w:r>
      <w:r w:rsidR="0002193A" w:rsidRPr="0002193A">
        <w:rPr>
          <w:lang w:val="es-CO"/>
        </w:rPr>
        <w:fldChar w:fldCharType="end"/>
      </w:r>
      <w:r w:rsidR="006835F4" w:rsidRPr="0002193A">
        <w:rPr>
          <w:lang w:val="es-CO"/>
        </w:rPr>
        <w:t>.</w:t>
      </w:r>
    </w:p>
    <w:p w14:paraId="6158A515" w14:textId="4B0A00EE" w:rsidR="001A168E" w:rsidRPr="00E12F0B" w:rsidRDefault="00482AEE" w:rsidP="002F1961">
      <w:pPr>
        <w:pStyle w:val="Descripcin"/>
        <w:keepNext/>
        <w:spacing w:before="100" w:beforeAutospacing="1" w:after="100" w:afterAutospacing="1" w:line="360" w:lineRule="auto"/>
        <w:jc w:val="center"/>
        <w:rPr>
          <w:rFonts w:cs="Arial"/>
          <w:b w:val="0"/>
          <w:bCs/>
          <w:szCs w:val="24"/>
        </w:rPr>
      </w:pPr>
      <w:bookmarkStart w:id="76" w:name="_Ref235087038"/>
      <w:bookmarkStart w:id="77" w:name="_Ref235087220"/>
      <w:bookmarkStart w:id="78" w:name="_Toc235128400"/>
      <w:r w:rsidRPr="00E12F0B">
        <w:rPr>
          <w:rFonts w:cs="Arial"/>
          <w:b w:val="0"/>
          <w:szCs w:val="24"/>
        </w:rPr>
        <w:t xml:space="preserve">Tabla </w:t>
      </w:r>
      <w:r w:rsidRPr="00E12F0B">
        <w:rPr>
          <w:rFonts w:cs="Arial"/>
          <w:b w:val="0"/>
          <w:szCs w:val="24"/>
        </w:rPr>
        <w:fldChar w:fldCharType="begin"/>
      </w:r>
      <w:r w:rsidRPr="008D1F7D">
        <w:rPr>
          <w:rFonts w:cs="Arial"/>
          <w:b w:val="0"/>
          <w:szCs w:val="24"/>
        </w:rPr>
        <w:instrText xml:space="preserve"> SEQ Tabla \* ARABIC </w:instrText>
      </w:r>
      <w:r w:rsidRPr="00E12F0B">
        <w:rPr>
          <w:rFonts w:cs="Arial"/>
          <w:b w:val="0"/>
          <w:szCs w:val="24"/>
        </w:rPr>
        <w:fldChar w:fldCharType="separate"/>
      </w:r>
      <w:r w:rsidR="005306CB" w:rsidRPr="008D1F7D">
        <w:rPr>
          <w:rFonts w:cs="Arial"/>
          <w:b w:val="0"/>
          <w:szCs w:val="24"/>
        </w:rPr>
        <w:t>3</w:t>
      </w:r>
      <w:r w:rsidRPr="00E12F0B">
        <w:rPr>
          <w:rFonts w:cs="Arial"/>
          <w:b w:val="0"/>
          <w:szCs w:val="24"/>
        </w:rPr>
        <w:fldChar w:fldCharType="end"/>
      </w:r>
      <w:bookmarkEnd w:id="77"/>
      <w:r w:rsidRPr="00E12F0B">
        <w:rPr>
          <w:rFonts w:cs="Arial"/>
          <w:b w:val="0"/>
          <w:szCs w:val="24"/>
        </w:rPr>
        <w:t xml:space="preserve">. </w:t>
      </w:r>
      <w:r w:rsidR="00C54892" w:rsidRPr="00E12F0B">
        <w:rPr>
          <w:rFonts w:cs="Arial"/>
          <w:b w:val="0"/>
          <w:szCs w:val="24"/>
        </w:rPr>
        <w:t>Criterios para el reconocimiento eficiente de los Otros Activos (OA)</w:t>
      </w:r>
      <w:bookmarkEnd w:id="76"/>
      <w:bookmarkEnd w:id="78"/>
    </w:p>
    <w:tbl>
      <w:tblPr>
        <w:tblStyle w:val="Tablanorma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632"/>
        <w:gridCol w:w="3383"/>
        <w:gridCol w:w="3381"/>
      </w:tblGrid>
      <w:tr w:rsidR="00C2190B" w:rsidRPr="00C2190B" w14:paraId="59A4292F" w14:textId="77777777" w:rsidTr="003A61CA">
        <w:trPr>
          <w:cnfStyle w:val="100000000000" w:firstRow="1" w:lastRow="0" w:firstColumn="0" w:lastColumn="0" w:oddVBand="0" w:evenVBand="0" w:oddHBand="0" w:evenHBand="0" w:firstRowFirstColumn="0" w:firstRowLastColumn="0" w:lastRowFirstColumn="0" w:lastRowLastColumn="0"/>
          <w:trHeight w:val="355"/>
          <w:tblHeader/>
        </w:trPr>
        <w:tc>
          <w:tcPr>
            <w:tcW w:w="1401" w:type="pct"/>
            <w:shd w:val="clear" w:color="auto" w:fill="D9D9D9" w:themeFill="background1" w:themeFillShade="D9"/>
            <w:hideMark/>
          </w:tcPr>
          <w:p w14:paraId="05DBD90C" w14:textId="77777777" w:rsidR="00C2190B" w:rsidRPr="00C2190B" w:rsidRDefault="00C2190B" w:rsidP="002F1961">
            <w:pPr>
              <w:spacing w:before="100" w:beforeAutospacing="1" w:after="100" w:afterAutospacing="1" w:line="360" w:lineRule="auto"/>
              <w:jc w:val="center"/>
              <w:rPr>
                <w:sz w:val="20"/>
                <w:lang w:val="es-CO"/>
              </w:rPr>
            </w:pPr>
            <w:r w:rsidRPr="00C2190B">
              <w:rPr>
                <w:sz w:val="20"/>
                <w:lang w:val="es-CO"/>
              </w:rPr>
              <w:t>Término</w:t>
            </w:r>
          </w:p>
        </w:tc>
        <w:tc>
          <w:tcPr>
            <w:tcW w:w="1800" w:type="pct"/>
            <w:shd w:val="clear" w:color="auto" w:fill="D9D9D9" w:themeFill="background1" w:themeFillShade="D9"/>
            <w:hideMark/>
          </w:tcPr>
          <w:p w14:paraId="5E2260F9" w14:textId="77777777" w:rsidR="00C2190B" w:rsidRPr="00C2190B" w:rsidRDefault="00C2190B" w:rsidP="002F1961">
            <w:pPr>
              <w:spacing w:before="100" w:beforeAutospacing="1" w:after="100" w:afterAutospacing="1" w:line="360" w:lineRule="auto"/>
              <w:jc w:val="center"/>
              <w:rPr>
                <w:sz w:val="20"/>
                <w:lang w:val="es-CO"/>
              </w:rPr>
            </w:pPr>
            <w:r w:rsidRPr="00C2190B">
              <w:rPr>
                <w:sz w:val="20"/>
                <w:lang w:val="es-CO"/>
              </w:rPr>
              <w:t>Mercados Existentes</w:t>
            </w:r>
          </w:p>
        </w:tc>
        <w:tc>
          <w:tcPr>
            <w:tcW w:w="1799" w:type="pct"/>
            <w:shd w:val="clear" w:color="auto" w:fill="D9D9D9" w:themeFill="background1" w:themeFillShade="D9"/>
            <w:hideMark/>
          </w:tcPr>
          <w:p w14:paraId="67EF1276" w14:textId="77777777" w:rsidR="00C2190B" w:rsidRPr="00C2190B" w:rsidRDefault="00C2190B" w:rsidP="002F1961">
            <w:pPr>
              <w:spacing w:before="100" w:beforeAutospacing="1" w:after="100" w:afterAutospacing="1" w:line="360" w:lineRule="auto"/>
              <w:jc w:val="center"/>
              <w:rPr>
                <w:sz w:val="20"/>
                <w:lang w:val="es-CO"/>
              </w:rPr>
            </w:pPr>
            <w:r w:rsidRPr="00C2190B">
              <w:rPr>
                <w:sz w:val="20"/>
                <w:lang w:val="es-CO"/>
              </w:rPr>
              <w:t>Mercados Nuevos</w:t>
            </w:r>
          </w:p>
        </w:tc>
      </w:tr>
      <w:tr w:rsidR="00C2190B" w:rsidRPr="00C2190B" w14:paraId="406ACA2B" w14:textId="77777777" w:rsidTr="003A61CA">
        <w:trPr>
          <w:cnfStyle w:val="000000100000" w:firstRow="0" w:lastRow="0" w:firstColumn="0" w:lastColumn="0" w:oddVBand="0" w:evenVBand="0" w:oddHBand="1" w:evenHBand="0" w:firstRowFirstColumn="0" w:firstRowLastColumn="0" w:lastRowFirstColumn="0" w:lastRowLastColumn="0"/>
          <w:trHeight w:val="584"/>
        </w:trPr>
        <w:tc>
          <w:tcPr>
            <w:tcW w:w="1401" w:type="pct"/>
            <w:hideMark/>
          </w:tcPr>
          <w:p w14:paraId="5B2AB03D" w14:textId="158C3342" w:rsidR="003A61CA" w:rsidRDefault="00C2190B" w:rsidP="003A61CA">
            <w:pPr>
              <w:spacing w:before="100" w:beforeAutospacing="1" w:after="100" w:afterAutospacing="1" w:line="360" w:lineRule="auto"/>
              <w:jc w:val="center"/>
              <w:rPr>
                <w:sz w:val="20"/>
                <w:lang w:val="es-CO"/>
              </w:rPr>
            </w:pPr>
            <m:oMathPara>
              <m:oMath>
                <m:r>
                  <m:rPr>
                    <m:sty m:val="p"/>
                  </m:rPr>
                  <w:rPr>
                    <w:rFonts w:ascii="Cambria Math" w:hAnsi="Cambria Math"/>
                    <w:sz w:val="20"/>
                    <w:lang w:val="es-CO"/>
                  </w:rPr>
                  <m:t>%O</m:t>
                </m:r>
                <m:sSub>
                  <m:sSubPr>
                    <m:ctrlPr>
                      <w:rPr>
                        <w:rFonts w:ascii="Cambria Math" w:hAnsi="Cambria Math"/>
                        <w:i/>
                        <w:iCs/>
                        <w:sz w:val="20"/>
                        <w:lang w:val="es-CO"/>
                      </w:rPr>
                    </m:ctrlPr>
                  </m:sSubPr>
                  <m:e>
                    <m:r>
                      <m:rPr>
                        <m:sty m:val="p"/>
                      </m:rPr>
                      <w:rPr>
                        <w:rFonts w:ascii="Cambria Math" w:hAnsi="Cambria Math"/>
                        <w:sz w:val="20"/>
                        <w:lang w:val="es-CO"/>
                      </w:rPr>
                      <m:t>A</m:t>
                    </m:r>
                  </m:e>
                  <m:sub>
                    <m:sSub>
                      <m:sSubPr>
                        <m:ctrlPr>
                          <w:rPr>
                            <w:rFonts w:ascii="Cambria Math" w:hAnsi="Cambria Math"/>
                            <w:i/>
                            <w:iCs/>
                            <w:sz w:val="20"/>
                            <w:lang w:val="es-CO"/>
                          </w:rPr>
                        </m:ctrlPr>
                      </m:sSubPr>
                      <m:e>
                        <m:r>
                          <m:rPr>
                            <m:sty m:val="p"/>
                          </m:rPr>
                          <w:rPr>
                            <w:rFonts w:ascii="Cambria Math" w:hAnsi="Cambria Math"/>
                            <w:sz w:val="20"/>
                            <w:lang w:val="es-CO"/>
                          </w:rPr>
                          <m:t>r</m:t>
                        </m:r>
                      </m:e>
                      <m:sub>
                        <m:r>
                          <m:rPr>
                            <m:sty m:val="p"/>
                          </m:rPr>
                          <w:rPr>
                            <w:rFonts w:ascii="Cambria Math" w:hAnsi="Cambria Math"/>
                            <w:sz w:val="20"/>
                            <w:lang w:val="es-CO"/>
                          </w:rPr>
                          <m:t>k</m:t>
                        </m:r>
                      </m:sub>
                    </m:sSub>
                  </m:sub>
                </m:sSub>
              </m:oMath>
            </m:oMathPara>
          </w:p>
          <w:p w14:paraId="09CCD4A2" w14:textId="60D4B4D8" w:rsidR="00C2190B" w:rsidRPr="00C2190B" w:rsidRDefault="00C2190B" w:rsidP="003A61CA">
            <w:pPr>
              <w:spacing w:before="100" w:beforeAutospacing="1" w:after="100" w:afterAutospacing="1" w:line="360" w:lineRule="auto"/>
              <w:jc w:val="center"/>
              <w:rPr>
                <w:sz w:val="20"/>
                <w:lang w:val="es-CO"/>
              </w:rPr>
            </w:pPr>
            <w:r w:rsidRPr="00C2190B">
              <w:rPr>
                <w:sz w:val="20"/>
                <w:lang w:val="es-CO"/>
              </w:rPr>
              <w:t>(reportado)</w:t>
            </w:r>
          </w:p>
        </w:tc>
        <w:tc>
          <w:tcPr>
            <w:tcW w:w="1800" w:type="pct"/>
            <w:hideMark/>
          </w:tcPr>
          <w:p w14:paraId="1205F530" w14:textId="77777777" w:rsidR="00C2190B" w:rsidRPr="00C2190B" w:rsidRDefault="00C2190B" w:rsidP="002F1961">
            <w:pPr>
              <w:spacing w:before="100" w:beforeAutospacing="1" w:after="100" w:afterAutospacing="1" w:line="360" w:lineRule="auto"/>
              <w:jc w:val="left"/>
              <w:rPr>
                <w:sz w:val="20"/>
                <w:lang w:val="es-CO"/>
              </w:rPr>
            </w:pPr>
            <w:r w:rsidRPr="00C2190B">
              <w:rPr>
                <w:sz w:val="20"/>
                <w:lang w:val="es-CO"/>
              </w:rPr>
              <w:t>Relación entre la suma de las cuentas de OA reportadas y la Base Regulatoria de Activos (BRA) a diciembre de 2016.</w:t>
            </w:r>
          </w:p>
        </w:tc>
        <w:tc>
          <w:tcPr>
            <w:tcW w:w="1799" w:type="pct"/>
            <w:hideMark/>
          </w:tcPr>
          <w:p w14:paraId="099BFDF8" w14:textId="77777777" w:rsidR="00C2190B" w:rsidRPr="00C2190B" w:rsidRDefault="00C2190B" w:rsidP="002F1961">
            <w:pPr>
              <w:spacing w:before="100" w:beforeAutospacing="1" w:after="100" w:afterAutospacing="1" w:line="360" w:lineRule="auto"/>
              <w:jc w:val="left"/>
              <w:rPr>
                <w:sz w:val="20"/>
                <w:lang w:val="es-CO"/>
              </w:rPr>
            </w:pPr>
            <w:r w:rsidRPr="00C2190B">
              <w:rPr>
                <w:sz w:val="20"/>
                <w:lang w:val="es-CO"/>
              </w:rPr>
              <w:t>Relación entre la suma de las cuentas de OA proyectadas y la suma de las inversiones proyectadas.</w:t>
            </w:r>
          </w:p>
        </w:tc>
      </w:tr>
      <w:tr w:rsidR="00C2190B" w:rsidRPr="00C2190B" w14:paraId="36CD8B9B" w14:textId="77777777" w:rsidTr="003A61CA">
        <w:trPr>
          <w:trHeight w:val="584"/>
        </w:trPr>
        <w:tc>
          <w:tcPr>
            <w:tcW w:w="1401" w:type="pct"/>
            <w:hideMark/>
          </w:tcPr>
          <w:p w14:paraId="1ECAA0D2" w14:textId="3E97250C" w:rsidR="003A61CA" w:rsidRDefault="00000000" w:rsidP="003A61CA">
            <w:pPr>
              <w:spacing w:before="100" w:beforeAutospacing="1" w:after="100" w:afterAutospacing="1" w:line="360" w:lineRule="auto"/>
              <w:jc w:val="center"/>
              <w:rPr>
                <w:sz w:val="20"/>
                <w:lang w:val="es-CO"/>
              </w:rPr>
            </w:pPr>
            <m:oMathPara>
              <m:oMath>
                <m:f>
                  <m:fPr>
                    <m:ctrlPr>
                      <w:rPr>
                        <w:rFonts w:ascii="Cambria Math" w:hAnsi="Cambria Math"/>
                        <w:i/>
                        <w:iCs/>
                        <w:sz w:val="20"/>
                        <w:lang w:val="es-CO"/>
                      </w:rPr>
                    </m:ctrlPr>
                  </m:fPr>
                  <m:num>
                    <m:r>
                      <m:rPr>
                        <m:sty m:val="p"/>
                      </m:rPr>
                      <w:rPr>
                        <w:rFonts w:ascii="Cambria Math" w:hAnsi="Cambria Math"/>
                        <w:sz w:val="20"/>
                        <w:lang w:val="es-CO"/>
                      </w:rPr>
                      <m:t>%O</m:t>
                    </m:r>
                    <m:sSub>
                      <m:sSubPr>
                        <m:ctrlPr>
                          <w:rPr>
                            <w:rFonts w:ascii="Cambria Math" w:hAnsi="Cambria Math"/>
                            <w:i/>
                            <w:iCs/>
                            <w:sz w:val="20"/>
                            <w:lang w:val="es-CO"/>
                          </w:rPr>
                        </m:ctrlPr>
                      </m:sSubPr>
                      <m:e>
                        <m:r>
                          <m:rPr>
                            <m:sty m:val="p"/>
                          </m:rPr>
                          <w:rPr>
                            <w:rFonts w:ascii="Cambria Math" w:hAnsi="Cambria Math"/>
                            <w:sz w:val="20"/>
                            <w:lang w:val="es-CO"/>
                          </w:rPr>
                          <m:t>A</m:t>
                        </m:r>
                      </m:e>
                      <m:sub>
                        <m:sSub>
                          <m:sSubPr>
                            <m:ctrlPr>
                              <w:rPr>
                                <w:rFonts w:ascii="Cambria Math" w:hAnsi="Cambria Math"/>
                                <w:i/>
                                <w:iCs/>
                                <w:sz w:val="20"/>
                                <w:lang w:val="es-CO"/>
                              </w:rPr>
                            </m:ctrlPr>
                          </m:sSubPr>
                          <m:e>
                            <m:r>
                              <m:rPr>
                                <m:sty m:val="p"/>
                              </m:rPr>
                              <w:rPr>
                                <w:rFonts w:ascii="Cambria Math" w:hAnsi="Cambria Math"/>
                                <w:sz w:val="20"/>
                                <w:lang w:val="es-CO"/>
                              </w:rPr>
                              <m:t>r</m:t>
                            </m:r>
                          </m:e>
                          <m:sub>
                            <m:r>
                              <m:rPr>
                                <m:sty m:val="p"/>
                              </m:rPr>
                              <w:rPr>
                                <w:rFonts w:ascii="Cambria Math" w:hAnsi="Cambria Math"/>
                                <w:sz w:val="20"/>
                                <w:lang w:val="es-CO"/>
                              </w:rPr>
                              <m:t>k</m:t>
                            </m:r>
                          </m:sub>
                        </m:sSub>
                      </m:sub>
                    </m:sSub>
                    <m:r>
                      <m:rPr>
                        <m:sty m:val="p"/>
                      </m:rPr>
                      <w:rPr>
                        <w:rFonts w:ascii="Cambria Math" w:hAnsi="Cambria Math"/>
                        <w:sz w:val="20"/>
                        <w:lang w:val="es-CO"/>
                      </w:rPr>
                      <m:t>+%O</m:t>
                    </m:r>
                    <m:sSub>
                      <m:sSubPr>
                        <m:ctrlPr>
                          <w:rPr>
                            <w:rFonts w:ascii="Cambria Math" w:hAnsi="Cambria Math"/>
                            <w:i/>
                            <w:iCs/>
                            <w:sz w:val="20"/>
                            <w:lang w:val="es-CO"/>
                          </w:rPr>
                        </m:ctrlPr>
                      </m:sSubPr>
                      <m:e>
                        <m:r>
                          <m:rPr>
                            <m:sty m:val="p"/>
                          </m:rPr>
                          <w:rPr>
                            <w:rFonts w:ascii="Cambria Math" w:hAnsi="Cambria Math"/>
                            <w:sz w:val="20"/>
                            <w:lang w:val="es-CO"/>
                          </w:rPr>
                          <m:t>A</m:t>
                        </m:r>
                      </m:e>
                      <m:sub>
                        <m:r>
                          <m:rPr>
                            <m:sty m:val="p"/>
                          </m:rPr>
                          <w:rPr>
                            <w:rFonts w:ascii="Cambria Math" w:hAnsi="Cambria Math"/>
                            <w:sz w:val="20"/>
                            <w:lang w:val="es-CO"/>
                          </w:rPr>
                          <m:t>re</m:t>
                        </m:r>
                        <m:sSub>
                          <m:sSubPr>
                            <m:ctrlPr>
                              <w:rPr>
                                <w:rFonts w:ascii="Cambria Math" w:hAnsi="Cambria Math"/>
                                <w:i/>
                                <w:iCs/>
                                <w:sz w:val="20"/>
                                <w:lang w:val="es-CO"/>
                              </w:rPr>
                            </m:ctrlPr>
                          </m:sSubPr>
                          <m:e>
                            <m:r>
                              <m:rPr>
                                <m:sty m:val="p"/>
                              </m:rPr>
                              <w:rPr>
                                <w:rFonts w:ascii="Cambria Math" w:hAnsi="Cambria Math"/>
                                <w:sz w:val="20"/>
                                <w:lang w:val="es-CO"/>
                              </w:rPr>
                              <m:t>m</m:t>
                            </m:r>
                          </m:e>
                          <m:sub>
                            <m:r>
                              <m:rPr>
                                <m:sty m:val="p"/>
                              </m:rPr>
                              <w:rPr>
                                <w:rFonts w:ascii="Cambria Math" w:hAnsi="Cambria Math"/>
                                <w:sz w:val="20"/>
                                <w:lang w:val="es-CO"/>
                              </w:rPr>
                              <m:t>k</m:t>
                            </m:r>
                          </m:sub>
                        </m:sSub>
                      </m:sub>
                    </m:sSub>
                  </m:num>
                  <m:den>
                    <m:r>
                      <m:rPr>
                        <m:sty m:val="p"/>
                      </m:rPr>
                      <w:rPr>
                        <w:rFonts w:ascii="Cambria Math" w:hAnsi="Cambria Math"/>
                        <w:sz w:val="20"/>
                        <w:lang w:val="es-CO"/>
                      </w:rPr>
                      <m:t>2</m:t>
                    </m:r>
                  </m:den>
                </m:f>
              </m:oMath>
            </m:oMathPara>
          </w:p>
          <w:p w14:paraId="5BDA9A80" w14:textId="0FB7F1F9" w:rsidR="00C2190B" w:rsidRPr="00C2190B" w:rsidRDefault="00C2190B" w:rsidP="003A61CA">
            <w:pPr>
              <w:spacing w:before="100" w:beforeAutospacing="1" w:after="100" w:afterAutospacing="1" w:line="360" w:lineRule="auto"/>
              <w:jc w:val="center"/>
              <w:rPr>
                <w:sz w:val="20"/>
                <w:lang w:val="es-CO"/>
              </w:rPr>
            </w:pPr>
            <w:r w:rsidRPr="00C2190B">
              <w:rPr>
                <w:sz w:val="20"/>
                <w:lang w:val="es-CO"/>
              </w:rPr>
              <w:t>(</w:t>
            </w:r>
            <w:proofErr w:type="spellStart"/>
            <w:r w:rsidRPr="00C2190B">
              <w:rPr>
                <w:sz w:val="20"/>
                <w:lang w:val="es-CO"/>
              </w:rPr>
              <w:t>semi-suma</w:t>
            </w:r>
            <w:proofErr w:type="spellEnd"/>
            <w:r w:rsidRPr="00C2190B">
              <w:rPr>
                <w:sz w:val="20"/>
                <w:lang w:val="es-CO"/>
              </w:rPr>
              <w:t>)</w:t>
            </w:r>
          </w:p>
        </w:tc>
        <w:tc>
          <w:tcPr>
            <w:tcW w:w="1800" w:type="pct"/>
            <w:hideMark/>
          </w:tcPr>
          <w:p w14:paraId="6C661A42" w14:textId="1DBC2FF8" w:rsidR="00C2190B" w:rsidRPr="00C2190B" w:rsidRDefault="00C2190B" w:rsidP="002F1961">
            <w:pPr>
              <w:spacing w:before="100" w:beforeAutospacing="1" w:after="100" w:afterAutospacing="1" w:line="360" w:lineRule="auto"/>
              <w:jc w:val="left"/>
              <w:rPr>
                <w:sz w:val="20"/>
                <w:lang w:val="es-CO"/>
              </w:rPr>
            </w:pPr>
            <w:r w:rsidRPr="00C2190B">
              <w:rPr>
                <w:sz w:val="20"/>
                <w:lang w:val="es-CO"/>
              </w:rPr>
              <w:t xml:space="preserve">Promedio entre el </w:t>
            </w:r>
            <m:oMath>
              <m:r>
                <m:rPr>
                  <m:sty m:val="p"/>
                </m:rPr>
                <w:rPr>
                  <w:rFonts w:ascii="Cambria Math" w:hAnsi="Cambria Math"/>
                  <w:sz w:val="20"/>
                  <w:lang w:val="es-CO"/>
                </w:rPr>
                <m:t>%O</m:t>
              </m:r>
              <m:sSub>
                <m:sSubPr>
                  <m:ctrlPr>
                    <w:rPr>
                      <w:rFonts w:ascii="Cambria Math" w:hAnsi="Cambria Math"/>
                      <w:i/>
                      <w:iCs/>
                      <w:sz w:val="20"/>
                      <w:lang w:val="es-CO"/>
                    </w:rPr>
                  </m:ctrlPr>
                </m:sSubPr>
                <m:e>
                  <m:r>
                    <m:rPr>
                      <m:sty m:val="p"/>
                    </m:rPr>
                    <w:rPr>
                      <w:rFonts w:ascii="Cambria Math" w:hAnsi="Cambria Math"/>
                      <w:sz w:val="20"/>
                      <w:lang w:val="es-CO"/>
                    </w:rPr>
                    <m:t>A</m:t>
                  </m:r>
                </m:e>
                <m:sub>
                  <m:sSub>
                    <m:sSubPr>
                      <m:ctrlPr>
                        <w:rPr>
                          <w:rFonts w:ascii="Cambria Math" w:hAnsi="Cambria Math"/>
                          <w:i/>
                          <w:iCs/>
                          <w:sz w:val="20"/>
                          <w:lang w:val="es-CO"/>
                        </w:rPr>
                      </m:ctrlPr>
                    </m:sSubPr>
                    <m:e>
                      <m:r>
                        <m:rPr>
                          <m:sty m:val="p"/>
                        </m:rPr>
                        <w:rPr>
                          <w:rFonts w:ascii="Cambria Math" w:hAnsi="Cambria Math"/>
                          <w:sz w:val="20"/>
                          <w:lang w:val="es-CO"/>
                        </w:rPr>
                        <m:t>r</m:t>
                      </m:r>
                    </m:e>
                    <m:sub>
                      <m:r>
                        <m:rPr>
                          <m:sty m:val="p"/>
                        </m:rPr>
                        <w:rPr>
                          <w:rFonts w:ascii="Cambria Math" w:hAnsi="Cambria Math"/>
                          <w:sz w:val="20"/>
                          <w:lang w:val="es-CO"/>
                        </w:rPr>
                        <m:t>k</m:t>
                      </m:r>
                    </m:sub>
                  </m:sSub>
                </m:sub>
              </m:sSub>
            </m:oMath>
            <w:r w:rsidRPr="00C2190B">
              <w:rPr>
                <w:sz w:val="20"/>
                <w:lang w:val="es-CO"/>
              </w:rPr>
              <w:t xml:space="preserve"> y el porcentaje de OA reconocidos en la metodología anterior (6%).</w:t>
            </w:r>
          </w:p>
        </w:tc>
        <w:tc>
          <w:tcPr>
            <w:tcW w:w="1799" w:type="pct"/>
            <w:hideMark/>
          </w:tcPr>
          <w:p w14:paraId="240A3630" w14:textId="77777777" w:rsidR="00C2190B" w:rsidRPr="00C2190B" w:rsidRDefault="00C2190B" w:rsidP="002F1961">
            <w:pPr>
              <w:spacing w:before="100" w:beforeAutospacing="1" w:after="100" w:afterAutospacing="1" w:line="360" w:lineRule="auto"/>
              <w:jc w:val="left"/>
              <w:rPr>
                <w:sz w:val="20"/>
                <w:lang w:val="es-CO"/>
              </w:rPr>
            </w:pPr>
            <w:r w:rsidRPr="00C2190B">
              <w:rPr>
                <w:sz w:val="20"/>
                <w:lang w:val="es-CO"/>
              </w:rPr>
              <w:t>No aplica.</w:t>
            </w:r>
          </w:p>
        </w:tc>
      </w:tr>
      <w:tr w:rsidR="00C2190B" w:rsidRPr="00C2190B" w14:paraId="50E9EC8A" w14:textId="77777777" w:rsidTr="003A61CA">
        <w:trPr>
          <w:cnfStyle w:val="000000100000" w:firstRow="0" w:lastRow="0" w:firstColumn="0" w:lastColumn="0" w:oddVBand="0" w:evenVBand="0" w:oddHBand="1" w:evenHBand="0" w:firstRowFirstColumn="0" w:firstRowLastColumn="0" w:lastRowFirstColumn="0" w:lastRowLastColumn="0"/>
          <w:trHeight w:val="584"/>
        </w:trPr>
        <w:tc>
          <w:tcPr>
            <w:tcW w:w="1401" w:type="pct"/>
            <w:hideMark/>
          </w:tcPr>
          <w:p w14:paraId="2F817C59" w14:textId="47750E6F" w:rsidR="003A61CA" w:rsidRDefault="00C2190B" w:rsidP="003A61CA">
            <w:pPr>
              <w:spacing w:before="100" w:beforeAutospacing="1" w:after="100" w:afterAutospacing="1" w:line="360" w:lineRule="auto"/>
              <w:jc w:val="center"/>
              <w:rPr>
                <w:sz w:val="20"/>
                <w:lang w:val="es-CO"/>
              </w:rPr>
            </w:pPr>
            <m:oMathPara>
              <m:oMath>
                <m:r>
                  <m:rPr>
                    <m:sty m:val="p"/>
                  </m:rPr>
                  <w:rPr>
                    <w:rFonts w:ascii="Cambria Math" w:hAnsi="Cambria Math"/>
                    <w:sz w:val="20"/>
                    <w:lang w:val="es-CO"/>
                  </w:rPr>
                  <m:t>%O</m:t>
                </m:r>
                <m:sSub>
                  <m:sSubPr>
                    <m:ctrlPr>
                      <w:rPr>
                        <w:rFonts w:ascii="Cambria Math" w:hAnsi="Cambria Math"/>
                        <w:i/>
                        <w:iCs/>
                        <w:sz w:val="20"/>
                        <w:lang w:val="es-CO"/>
                      </w:rPr>
                    </m:ctrlPr>
                  </m:sSubPr>
                  <m:e>
                    <m:r>
                      <m:rPr>
                        <m:sty m:val="p"/>
                      </m:rPr>
                      <w:rPr>
                        <w:rFonts w:ascii="Cambria Math" w:hAnsi="Cambria Math"/>
                        <w:sz w:val="20"/>
                        <w:lang w:val="es-CO"/>
                      </w:rPr>
                      <m:t>A</m:t>
                    </m:r>
                  </m:e>
                  <m:sub>
                    <m:func>
                      <m:funcPr>
                        <m:ctrlPr>
                          <w:rPr>
                            <w:rFonts w:ascii="Cambria Math" w:hAnsi="Cambria Math"/>
                            <w:i/>
                            <w:iCs/>
                            <w:sz w:val="20"/>
                            <w:lang w:val="es-CO"/>
                          </w:rPr>
                        </m:ctrlPr>
                      </m:funcPr>
                      <m:fName>
                        <m:r>
                          <m:rPr>
                            <m:sty m:val="p"/>
                          </m:rPr>
                          <w:rPr>
                            <w:rFonts w:ascii="Cambria Math" w:hAnsi="Cambria Math"/>
                            <w:sz w:val="20"/>
                            <w:lang w:val="es-CO"/>
                          </w:rPr>
                          <m:t>max</m:t>
                        </m:r>
                      </m:fName>
                      <m:e>
                        <m:r>
                          <m:rPr>
                            <m:sty m:val="p"/>
                          </m:rPr>
                          <w:rPr>
                            <w:rFonts w:ascii="Cambria Math" w:hAnsi="Cambria Math"/>
                            <w:sz w:val="20"/>
                            <w:lang w:val="es-CO"/>
                          </w:rPr>
                          <m:t>rec k</m:t>
                        </m:r>
                      </m:e>
                    </m:func>
                  </m:sub>
                </m:sSub>
              </m:oMath>
            </m:oMathPara>
          </w:p>
          <w:p w14:paraId="06718DAF" w14:textId="5E885714" w:rsidR="00C2190B" w:rsidRPr="00C2190B" w:rsidRDefault="00C2190B" w:rsidP="003A61CA">
            <w:pPr>
              <w:spacing w:before="100" w:beforeAutospacing="1" w:after="100" w:afterAutospacing="1" w:line="360" w:lineRule="auto"/>
              <w:jc w:val="center"/>
              <w:rPr>
                <w:sz w:val="20"/>
                <w:lang w:val="es-CO"/>
              </w:rPr>
            </w:pPr>
            <w:r w:rsidRPr="00C2190B">
              <w:rPr>
                <w:sz w:val="20"/>
                <w:lang w:val="es-CO"/>
              </w:rPr>
              <w:t>(techo)</w:t>
            </w:r>
          </w:p>
        </w:tc>
        <w:tc>
          <w:tcPr>
            <w:tcW w:w="1800" w:type="pct"/>
            <w:hideMark/>
          </w:tcPr>
          <w:p w14:paraId="4D5513EB" w14:textId="77777777" w:rsidR="00C2190B" w:rsidRPr="00C2190B" w:rsidRDefault="00C2190B" w:rsidP="002F1961">
            <w:pPr>
              <w:spacing w:before="100" w:beforeAutospacing="1" w:after="100" w:afterAutospacing="1" w:line="360" w:lineRule="auto"/>
              <w:jc w:val="left"/>
              <w:rPr>
                <w:sz w:val="20"/>
                <w:lang w:val="es-CO"/>
              </w:rPr>
            </w:pPr>
            <w:r w:rsidRPr="00C2190B">
              <w:rPr>
                <w:sz w:val="20"/>
                <w:lang w:val="es-CO"/>
              </w:rPr>
              <w:t xml:space="preserve">Porcentaje de OA máximo a reconocer según </w:t>
            </w:r>
            <w:proofErr w:type="spellStart"/>
            <w:proofErr w:type="gramStart"/>
            <w:r w:rsidRPr="00C2190B">
              <w:rPr>
                <w:sz w:val="20"/>
                <w:lang w:val="es-CO"/>
              </w:rPr>
              <w:t>clusters</w:t>
            </w:r>
            <w:proofErr w:type="spellEnd"/>
            <w:proofErr w:type="gramEnd"/>
            <w:r w:rsidRPr="00C2190B">
              <w:rPr>
                <w:sz w:val="20"/>
                <w:lang w:val="es-CO"/>
              </w:rPr>
              <w:t xml:space="preserve"> de municipios.</w:t>
            </w:r>
          </w:p>
        </w:tc>
        <w:tc>
          <w:tcPr>
            <w:tcW w:w="1799" w:type="pct"/>
            <w:hideMark/>
          </w:tcPr>
          <w:p w14:paraId="53E9F1B1" w14:textId="77777777" w:rsidR="00C2190B" w:rsidRPr="00C2190B" w:rsidRDefault="00C2190B" w:rsidP="002F1961">
            <w:pPr>
              <w:spacing w:before="100" w:beforeAutospacing="1" w:after="100" w:afterAutospacing="1" w:line="360" w:lineRule="auto"/>
              <w:jc w:val="left"/>
              <w:rPr>
                <w:sz w:val="20"/>
                <w:lang w:val="es-CO"/>
              </w:rPr>
            </w:pPr>
            <w:r w:rsidRPr="00C2190B">
              <w:rPr>
                <w:sz w:val="20"/>
                <w:lang w:val="es-CO"/>
              </w:rPr>
              <w:t xml:space="preserve">Porcentaje de OA máximo a reconocer según </w:t>
            </w:r>
            <w:proofErr w:type="spellStart"/>
            <w:proofErr w:type="gramStart"/>
            <w:r w:rsidRPr="00C2190B">
              <w:rPr>
                <w:sz w:val="20"/>
                <w:lang w:val="es-CO"/>
              </w:rPr>
              <w:t>clusters</w:t>
            </w:r>
            <w:proofErr w:type="spellEnd"/>
            <w:proofErr w:type="gramEnd"/>
            <w:r w:rsidRPr="00C2190B">
              <w:rPr>
                <w:sz w:val="20"/>
                <w:lang w:val="es-CO"/>
              </w:rPr>
              <w:t xml:space="preserve"> de municipios.</w:t>
            </w:r>
          </w:p>
        </w:tc>
      </w:tr>
    </w:tbl>
    <w:p w14:paraId="3FA0F6C7" w14:textId="10420FDD" w:rsidR="00D02636" w:rsidRPr="00B74A50" w:rsidRDefault="00E12F0B" w:rsidP="002F1961">
      <w:pPr>
        <w:spacing w:before="100" w:beforeAutospacing="1" w:after="100" w:afterAutospacing="1" w:line="360" w:lineRule="auto"/>
        <w:jc w:val="center"/>
        <w:rPr>
          <w:sz w:val="22"/>
          <w:szCs w:val="18"/>
          <w:lang w:val="es-CO"/>
        </w:rPr>
      </w:pPr>
      <w:r w:rsidRPr="00B74A50">
        <w:rPr>
          <w:sz w:val="22"/>
          <w:szCs w:val="18"/>
          <w:lang w:val="es-CO"/>
        </w:rPr>
        <w:t>Elaboración: CREG</w:t>
      </w:r>
    </w:p>
    <w:p w14:paraId="34D254FB" w14:textId="01094FCB" w:rsidR="003F2CC2" w:rsidRDefault="004A4A13" w:rsidP="002F1961">
      <w:pPr>
        <w:spacing w:before="100" w:beforeAutospacing="1" w:after="100" w:afterAutospacing="1" w:line="360" w:lineRule="auto"/>
        <w:rPr>
          <w:lang w:val="es-CO"/>
        </w:rPr>
      </w:pPr>
      <w:r w:rsidRPr="004A4A13">
        <w:rPr>
          <w:lang w:val="es-CO"/>
        </w:rPr>
        <w:lastRenderedPageBreak/>
        <w:t>Asimismo, cuando parte de la infraestructura ha sido financiada con recursos públicos, dichos recursos no hacen parte de la inversión remunerada mediante tarifa. Para tal efecto, la metodología excluye estas inversiones de la Base Regulatoria de Activos y, cuando un mercado incluye municipios con diferentes fuentes de financiación pública, establece submercados tarifarios con el fin de conservar el beneficio exclusivamente para los usuarios que financiaron dicha infraestructura.</w:t>
      </w:r>
    </w:p>
    <w:p w14:paraId="49A9CACC" w14:textId="51F92F48" w:rsidR="004E7ABE" w:rsidRDefault="003F2CC2" w:rsidP="002F1961">
      <w:pPr>
        <w:spacing w:before="100" w:beforeAutospacing="1" w:after="100" w:afterAutospacing="1" w:line="360" w:lineRule="auto"/>
        <w:jc w:val="center"/>
        <w:rPr>
          <w:lang w:val="es-ES"/>
        </w:rPr>
      </w:pPr>
      <w:bookmarkStart w:id="79" w:name="_Ref235087263"/>
      <w:bookmarkStart w:id="80" w:name="_Toc235118558"/>
      <w:r w:rsidRPr="00137244">
        <w:rPr>
          <w:lang w:val="es-ES"/>
        </w:rPr>
        <w:t xml:space="preserve">Figura </w:t>
      </w:r>
      <w:r w:rsidRPr="00137244">
        <w:rPr>
          <w:lang w:val="es-ES"/>
        </w:rPr>
        <w:fldChar w:fldCharType="begin"/>
      </w:r>
      <w:r w:rsidRPr="00137244">
        <w:rPr>
          <w:lang w:val="es-ES"/>
        </w:rPr>
        <w:instrText xml:space="preserve"> SEQ Figura \* ARABIC </w:instrText>
      </w:r>
      <w:r w:rsidRPr="00137244">
        <w:rPr>
          <w:lang w:val="es-ES"/>
        </w:rPr>
        <w:fldChar w:fldCharType="separate"/>
      </w:r>
      <w:r w:rsidR="0002193A">
        <w:rPr>
          <w:noProof/>
          <w:lang w:val="es-ES"/>
        </w:rPr>
        <w:t>18</w:t>
      </w:r>
      <w:r w:rsidRPr="00137244">
        <w:rPr>
          <w:lang w:val="es-ES"/>
        </w:rPr>
        <w:fldChar w:fldCharType="end"/>
      </w:r>
      <w:bookmarkEnd w:id="79"/>
      <w:r w:rsidRPr="5FAE69B6">
        <w:rPr>
          <w:lang w:val="es-ES"/>
        </w:rPr>
        <w:t xml:space="preserve">. </w:t>
      </w:r>
      <w:r w:rsidR="00D021A2" w:rsidRPr="00D021A2">
        <w:rPr>
          <w:bCs/>
          <w:lang w:val="es-ES"/>
        </w:rPr>
        <w:t>Tratamiento de los recursos públicos</w:t>
      </w:r>
      <w:bookmarkEnd w:id="80"/>
      <w:r w:rsidR="00D021A2" w:rsidRPr="00D021A2">
        <w:rPr>
          <w:bCs/>
          <w:lang w:val="es-ES"/>
        </w:rPr>
        <w:t xml:space="preserve"> </w:t>
      </w:r>
    </w:p>
    <w:p w14:paraId="1FA95174" w14:textId="10966C03" w:rsidR="00BB3750" w:rsidRDefault="00BB3750" w:rsidP="002F1961">
      <w:pPr>
        <w:spacing w:before="100" w:beforeAutospacing="1" w:after="100" w:afterAutospacing="1" w:line="360" w:lineRule="auto"/>
        <w:jc w:val="center"/>
        <w:rPr>
          <w:sz w:val="12"/>
          <w:szCs w:val="12"/>
          <w:lang w:val="es-CO"/>
        </w:rPr>
      </w:pPr>
      <w:r w:rsidRPr="00BB3750">
        <w:rPr>
          <w:noProof/>
          <w:sz w:val="12"/>
          <w:szCs w:val="12"/>
          <w:lang w:val="es-CO"/>
        </w:rPr>
        <w:drawing>
          <wp:inline distT="0" distB="0" distL="0" distR="0" wp14:anchorId="75BA7405" wp14:editId="1D5A572F">
            <wp:extent cx="3406249" cy="1864429"/>
            <wp:effectExtent l="0" t="0" r="3810" b="2540"/>
            <wp:docPr id="15294862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486295" name=""/>
                    <pic:cNvPicPr/>
                  </pic:nvPicPr>
                  <pic:blipFill>
                    <a:blip r:embed="rId61"/>
                    <a:stretch>
                      <a:fillRect/>
                    </a:stretch>
                  </pic:blipFill>
                  <pic:spPr>
                    <a:xfrm>
                      <a:off x="0" y="0"/>
                      <a:ext cx="3420262" cy="1872099"/>
                    </a:xfrm>
                    <a:prstGeom prst="rect">
                      <a:avLst/>
                    </a:prstGeom>
                  </pic:spPr>
                </pic:pic>
              </a:graphicData>
            </a:graphic>
          </wp:inline>
        </w:drawing>
      </w:r>
    </w:p>
    <w:p w14:paraId="3CFDCF42" w14:textId="4FE7DE63" w:rsidR="00AF68A5" w:rsidRPr="000A4573" w:rsidRDefault="002426C6" w:rsidP="002F1961">
      <w:pPr>
        <w:spacing w:before="100" w:beforeAutospacing="1" w:after="100" w:afterAutospacing="1" w:line="360" w:lineRule="auto"/>
        <w:jc w:val="center"/>
        <w:rPr>
          <w:i/>
          <w:sz w:val="22"/>
          <w:szCs w:val="18"/>
          <w:lang w:val="es-CO"/>
        </w:rPr>
      </w:pPr>
      <w:r w:rsidRPr="000A4573">
        <w:rPr>
          <w:i/>
          <w:sz w:val="22"/>
          <w:szCs w:val="18"/>
          <w:lang w:val="es-CO"/>
        </w:rPr>
        <w:t xml:space="preserve">Elaboración: </w:t>
      </w:r>
      <w:r w:rsidR="00331B09" w:rsidRPr="000A4573">
        <w:rPr>
          <w:i/>
          <w:sz w:val="22"/>
          <w:szCs w:val="18"/>
          <w:lang w:val="es-CO"/>
        </w:rPr>
        <w:t>CREG</w:t>
      </w:r>
    </w:p>
    <w:p w14:paraId="245012EC" w14:textId="5352774D" w:rsidR="00084174" w:rsidRDefault="003F3587" w:rsidP="002F1961">
      <w:pPr>
        <w:spacing w:before="100" w:beforeAutospacing="1" w:after="100" w:afterAutospacing="1" w:line="360" w:lineRule="auto"/>
        <w:rPr>
          <w:szCs w:val="24"/>
          <w:lang w:val="es-CO"/>
        </w:rPr>
      </w:pPr>
      <w:r w:rsidRPr="003F3587">
        <w:rPr>
          <w:szCs w:val="24"/>
          <w:lang w:val="es-CO"/>
        </w:rPr>
        <w:t xml:space="preserve">Como se observa en la </w:t>
      </w:r>
      <w:r w:rsidR="00423604">
        <w:rPr>
          <w:szCs w:val="24"/>
          <w:lang w:val="es-CO"/>
        </w:rPr>
        <w:fldChar w:fldCharType="begin"/>
      </w:r>
      <w:r w:rsidR="00423604">
        <w:rPr>
          <w:szCs w:val="24"/>
          <w:lang w:val="es-CO"/>
        </w:rPr>
        <w:instrText xml:space="preserve"> REF _Ref235087263 \h </w:instrText>
      </w:r>
      <w:r w:rsidR="00423604">
        <w:rPr>
          <w:szCs w:val="24"/>
          <w:lang w:val="es-CO"/>
        </w:rPr>
      </w:r>
      <w:r w:rsidR="00423604">
        <w:rPr>
          <w:szCs w:val="24"/>
          <w:lang w:val="es-CO"/>
        </w:rPr>
        <w:fldChar w:fldCharType="separate"/>
      </w:r>
      <w:r w:rsidR="00423604" w:rsidRPr="00137244">
        <w:rPr>
          <w:lang w:val="es-ES"/>
        </w:rPr>
        <w:t xml:space="preserve">Figura </w:t>
      </w:r>
      <w:r w:rsidR="00423604">
        <w:rPr>
          <w:noProof/>
          <w:lang w:val="es-ES"/>
        </w:rPr>
        <w:t>18</w:t>
      </w:r>
      <w:r w:rsidR="00423604">
        <w:rPr>
          <w:szCs w:val="24"/>
          <w:lang w:val="es-CO"/>
        </w:rPr>
        <w:fldChar w:fldCharType="end"/>
      </w:r>
      <w:r w:rsidR="00423604">
        <w:rPr>
          <w:szCs w:val="24"/>
          <w:lang w:val="es-CO"/>
        </w:rPr>
        <w:t>,</w:t>
      </w:r>
      <w:r w:rsidRPr="003F3587">
        <w:rPr>
          <w:szCs w:val="24"/>
          <w:lang w:val="es-CO"/>
        </w:rPr>
        <w:t xml:space="preserve"> cuando un mercado incorpora infraestructura financiada con recursos públicos provenientes de diferentes entidades o programas, la metodología prevé la conformación de submercados tarifarios. Este tratamiento permite conservar el beneficio económico únicamente para los usuarios que recibieron la financiación pública y evita que dichas inversiones sean remuneradas nuevamente mediante la tarifa.</w:t>
      </w:r>
    </w:p>
    <w:p w14:paraId="48CBD292" w14:textId="69D86D3C" w:rsidR="00CB7D28" w:rsidRPr="00DA7171" w:rsidRDefault="00DA7171">
      <w:pPr>
        <w:pStyle w:val="Prrafodelista"/>
        <w:numPr>
          <w:ilvl w:val="0"/>
          <w:numId w:val="28"/>
        </w:numPr>
        <w:spacing w:before="100" w:beforeAutospacing="1" w:after="100" w:afterAutospacing="1" w:line="360" w:lineRule="auto"/>
        <w:ind w:left="426"/>
        <w:jc w:val="left"/>
        <w:rPr>
          <w:b/>
          <w:bCs/>
          <w:szCs w:val="24"/>
          <w:lang w:val="es-CO"/>
        </w:rPr>
      </w:pPr>
      <w:r w:rsidRPr="00DA7171">
        <w:rPr>
          <w:b/>
          <w:bCs/>
          <w:szCs w:val="24"/>
          <w:lang w:val="es-CO"/>
        </w:rPr>
        <w:t>Gastos eficientes de Administración, Operación y Mantenimiento (AOM)</w:t>
      </w:r>
    </w:p>
    <w:p w14:paraId="752F18DE" w14:textId="77777777" w:rsidR="00DD2E25" w:rsidRPr="00DD2E25" w:rsidRDefault="00DD2E25" w:rsidP="002F1961">
      <w:pPr>
        <w:spacing w:before="100" w:beforeAutospacing="1" w:after="100" w:afterAutospacing="1" w:line="360" w:lineRule="auto"/>
        <w:jc w:val="left"/>
        <w:rPr>
          <w:szCs w:val="24"/>
          <w:lang w:val="es-CO"/>
        </w:rPr>
      </w:pPr>
      <w:r w:rsidRPr="00DD2E25">
        <w:rPr>
          <w:szCs w:val="24"/>
          <w:lang w:val="es-CO"/>
        </w:rPr>
        <w:t>Además de las inversiones, el cargo de distribución remunera los gastos eficientes de Administración, Operación y Mantenimiento (AOM), entendidos como aquellos costos necesarios para garantizar la operación continua, segura y eficiente de los sistemas de distribución.</w:t>
      </w:r>
    </w:p>
    <w:p w14:paraId="4C2E91C5" w14:textId="5C21E44D" w:rsidR="00F03AD8" w:rsidRDefault="00D732F4" w:rsidP="002F1961">
      <w:pPr>
        <w:spacing w:before="100" w:beforeAutospacing="1" w:after="100" w:afterAutospacing="1" w:line="360" w:lineRule="auto"/>
        <w:rPr>
          <w:szCs w:val="24"/>
          <w:lang w:val="es-CO"/>
        </w:rPr>
      </w:pPr>
      <w:r w:rsidRPr="00D732F4">
        <w:rPr>
          <w:szCs w:val="24"/>
          <w:lang w:val="es-CO"/>
        </w:rPr>
        <w:lastRenderedPageBreak/>
        <w:t>Para este componente, la</w:t>
      </w:r>
      <w:r w:rsidR="00C93F04" w:rsidRPr="00C93F04">
        <w:rPr>
          <w:szCs w:val="24"/>
          <w:lang w:val="es-CO"/>
        </w:rPr>
        <w:t xml:space="preserve"> regulación establece un tratamiento diferenciado para los mercados existentes y los mercados nuevos, definiendo procedimientos específicos para su asignación, proyección y reconocimiento. Adicionalmente, incorpora criterios de eficiencia que buscan garantizar que únicamente se remuneren aquellos gastos necesarios para la prestación del servicio, evitando trasladar a los usuarios costos que no respondan a una gestión eficiente de la actividad.</w:t>
      </w:r>
    </w:p>
    <w:p w14:paraId="40063374" w14:textId="3D653A6A" w:rsidR="003B09FE" w:rsidRDefault="003B09FE" w:rsidP="002F1961">
      <w:pPr>
        <w:keepNext/>
        <w:spacing w:before="100" w:beforeAutospacing="1" w:after="100" w:afterAutospacing="1" w:line="360" w:lineRule="auto"/>
        <w:jc w:val="center"/>
      </w:pPr>
      <w:bookmarkStart w:id="81" w:name="_Ref235087336"/>
      <w:bookmarkStart w:id="82" w:name="_Toc235118559"/>
      <w:r w:rsidRPr="00137244">
        <w:rPr>
          <w:lang w:val="es-ES"/>
        </w:rPr>
        <w:t xml:space="preserve">Figura </w:t>
      </w:r>
      <w:r w:rsidRPr="00137244">
        <w:rPr>
          <w:lang w:val="es-ES"/>
        </w:rPr>
        <w:fldChar w:fldCharType="begin"/>
      </w:r>
      <w:r w:rsidRPr="00137244">
        <w:rPr>
          <w:lang w:val="es-ES"/>
        </w:rPr>
        <w:instrText xml:space="preserve"> SEQ Figura \* ARABIC </w:instrText>
      </w:r>
      <w:r w:rsidRPr="00137244">
        <w:rPr>
          <w:lang w:val="es-ES"/>
        </w:rPr>
        <w:fldChar w:fldCharType="separate"/>
      </w:r>
      <w:r w:rsidR="007B086C">
        <w:rPr>
          <w:noProof/>
          <w:lang w:val="es-ES"/>
        </w:rPr>
        <w:t>19</w:t>
      </w:r>
      <w:r w:rsidRPr="00137244">
        <w:rPr>
          <w:lang w:val="es-ES"/>
        </w:rPr>
        <w:fldChar w:fldCharType="end"/>
      </w:r>
      <w:bookmarkEnd w:id="81"/>
      <w:r w:rsidRPr="5FAE69B6">
        <w:rPr>
          <w:lang w:val="es-ES"/>
        </w:rPr>
        <w:t xml:space="preserve">. </w:t>
      </w:r>
      <w:r w:rsidR="00181E41" w:rsidRPr="00181E41">
        <w:rPr>
          <w:bCs/>
          <w:lang w:val="es-ES"/>
        </w:rPr>
        <w:t>Criterio de eficiencia para el reconocimiento de los AOM de distribución</w:t>
      </w:r>
      <w:bookmarkEnd w:id="82"/>
    </w:p>
    <w:p w14:paraId="23194607" w14:textId="4DA2A375" w:rsidR="003B09FE" w:rsidRDefault="003B09FE" w:rsidP="002F1961">
      <w:pPr>
        <w:spacing w:before="100" w:beforeAutospacing="1" w:after="100" w:afterAutospacing="1" w:line="360" w:lineRule="auto"/>
        <w:jc w:val="center"/>
        <w:rPr>
          <w:szCs w:val="24"/>
          <w:lang w:val="es-CO"/>
        </w:rPr>
      </w:pPr>
      <w:r w:rsidRPr="003B09FE">
        <w:rPr>
          <w:noProof/>
          <w:szCs w:val="24"/>
        </w:rPr>
        <mc:AlternateContent>
          <mc:Choice Requires="wps">
            <w:drawing>
              <wp:inline distT="0" distB="0" distL="0" distR="0" wp14:anchorId="2176165E" wp14:editId="2D7BDBCB">
                <wp:extent cx="6420412" cy="884281"/>
                <wp:effectExtent l="0" t="0" r="0" b="0"/>
                <wp:docPr id="1634064802" name="CuadroTexto 4"/>
                <wp:cNvGraphicFramePr/>
                <a:graphic xmlns:a="http://schemas.openxmlformats.org/drawingml/2006/main">
                  <a:graphicData uri="http://schemas.microsoft.com/office/word/2010/wordprocessingShape">
                    <wps:wsp>
                      <wps:cNvSpPr txBox="1"/>
                      <wps:spPr>
                        <a:xfrm>
                          <a:off x="0" y="0"/>
                          <a:ext cx="6420412" cy="884281"/>
                        </a:xfrm>
                        <a:prstGeom prst="rect">
                          <a:avLst/>
                        </a:prstGeom>
                        <a:noFill/>
                      </wps:spPr>
                      <wps:txbx>
                        <w:txbxContent>
                          <w:p w14:paraId="353C504F" w14:textId="77777777" w:rsidR="003B09FE" w:rsidRPr="003B09FE" w:rsidRDefault="003B09FE" w:rsidP="003B09FE">
                            <w:pPr>
                              <w:jc w:val="center"/>
                              <w:rPr>
                                <w:rFonts w:ascii="Cambria Math" w:hAnsi="Cambria Math" w:cstheme="minorBidi"/>
                                <w:color w:val="4E4D4D"/>
                                <w:kern w:val="24"/>
                                <w:sz w:val="16"/>
                                <w:szCs w:val="16"/>
                              </w:rPr>
                            </w:pPr>
                            <m:oMathPara>
                              <m:oMathParaPr>
                                <m:jc m:val="centerGroup"/>
                              </m:oMathParaPr>
                              <m:oMath>
                                <m:r>
                                  <m:rPr>
                                    <m:sty m:val="p"/>
                                  </m:rPr>
                                  <w:rPr>
                                    <w:rFonts w:ascii="Cambria Math" w:hAnsi="Cambria Math" w:cstheme="minorBidi"/>
                                    <w:color w:val="4E4D4D"/>
                                    <w:kern w:val="24"/>
                                    <w:sz w:val="16"/>
                                    <w:szCs w:val="16"/>
                                  </w:rPr>
                                  <m:t>%AO</m:t>
                                </m:r>
                                <m:sSub>
                                  <m:sSubPr>
                                    <m:ctrlPr>
                                      <w:rPr>
                                        <w:rFonts w:ascii="Cambria Math" w:eastAsiaTheme="minorEastAsia" w:hAnsi="Cambria Math" w:cstheme="minorBidi"/>
                                        <w:i/>
                                        <w:iCs/>
                                        <w:color w:val="4E4D4D"/>
                                        <w:kern w:val="24"/>
                                        <w:sz w:val="16"/>
                                        <w:szCs w:val="16"/>
                                      </w:rPr>
                                    </m:ctrlPr>
                                  </m:sSubPr>
                                  <m:e>
                                    <m:r>
                                      <m:rPr>
                                        <m:sty m:val="p"/>
                                      </m:rPr>
                                      <w:rPr>
                                        <w:rFonts w:ascii="Cambria Math" w:hAnsi="Cambria Math" w:cstheme="minorBidi"/>
                                        <w:color w:val="4E4D4D"/>
                                        <w:kern w:val="24"/>
                                        <w:sz w:val="16"/>
                                        <w:szCs w:val="16"/>
                                      </w:rPr>
                                      <m:t>M</m:t>
                                    </m:r>
                                  </m:e>
                                  <m:sub>
                                    <m:r>
                                      <m:rPr>
                                        <m:sty m:val="p"/>
                                      </m:rPr>
                                      <w:rPr>
                                        <w:rFonts w:ascii="Cambria Math" w:hAnsi="Cambria Math" w:cstheme="minorBidi"/>
                                        <w:color w:val="4E4D4D"/>
                                        <w:kern w:val="24"/>
                                        <w:sz w:val="16"/>
                                        <w:szCs w:val="16"/>
                                      </w:rPr>
                                      <m:t>efic k</m:t>
                                    </m:r>
                                  </m:sub>
                                </m:sSub>
                                <m:r>
                                  <m:rPr>
                                    <m:sty m:val="p"/>
                                  </m:rPr>
                                  <w:rPr>
                                    <w:rFonts w:ascii="Cambria Math" w:hAnsi="Cambria Math" w:cstheme="minorBidi"/>
                                    <w:color w:val="4E4D4D"/>
                                    <w:kern w:val="24"/>
                                    <w:sz w:val="16"/>
                                    <w:szCs w:val="16"/>
                                  </w:rPr>
                                  <m:t>=Min</m:t>
                                </m:r>
                                <m:d>
                                  <m:dPr>
                                    <m:begChr m:val="{"/>
                                    <m:endChr m:val="}"/>
                                    <m:ctrlPr>
                                      <w:rPr>
                                        <w:rFonts w:ascii="Cambria Math" w:eastAsiaTheme="minorEastAsia" w:hAnsi="Cambria Math" w:cstheme="minorBidi"/>
                                        <w:i/>
                                        <w:iCs/>
                                        <w:color w:val="4E4D4D"/>
                                        <w:kern w:val="24"/>
                                        <w:sz w:val="16"/>
                                        <w:szCs w:val="16"/>
                                      </w:rPr>
                                    </m:ctrlPr>
                                  </m:dPr>
                                  <m:e>
                                    <m:f>
                                      <m:fPr>
                                        <m:ctrlPr>
                                          <w:rPr>
                                            <w:rFonts w:ascii="Cambria Math" w:eastAsiaTheme="minorEastAsia" w:hAnsi="Cambria Math" w:cstheme="minorBidi"/>
                                            <w:i/>
                                            <w:iCs/>
                                            <w:color w:val="4E4D4D"/>
                                            <w:kern w:val="24"/>
                                            <w:sz w:val="16"/>
                                            <w:szCs w:val="16"/>
                                          </w:rPr>
                                        </m:ctrlPr>
                                      </m:fPr>
                                      <m:num>
                                        <m:r>
                                          <m:rPr>
                                            <m:sty m:val="p"/>
                                          </m:rPr>
                                          <w:rPr>
                                            <w:rFonts w:ascii="Cambria Math" w:hAnsi="Cambria Math" w:cstheme="minorBidi"/>
                                            <w:color w:val="4E4D4D"/>
                                            <w:kern w:val="24"/>
                                            <w:sz w:val="16"/>
                                            <w:szCs w:val="16"/>
                                          </w:rPr>
                                          <m:t>AO</m:t>
                                        </m:r>
                                        <m:sSub>
                                          <m:sSubPr>
                                            <m:ctrlPr>
                                              <w:rPr>
                                                <w:rFonts w:ascii="Cambria Math" w:eastAsiaTheme="minorEastAsia" w:hAnsi="Cambria Math" w:cstheme="minorBidi"/>
                                                <w:i/>
                                                <w:iCs/>
                                                <w:color w:val="4E4D4D"/>
                                                <w:kern w:val="24"/>
                                                <w:sz w:val="16"/>
                                                <w:szCs w:val="16"/>
                                              </w:rPr>
                                            </m:ctrlPr>
                                          </m:sSubPr>
                                          <m:e>
                                            <m:r>
                                              <m:rPr>
                                                <m:sty m:val="p"/>
                                              </m:rPr>
                                              <w:rPr>
                                                <w:rFonts w:ascii="Cambria Math" w:hAnsi="Cambria Math" w:cstheme="minorBidi"/>
                                                <w:color w:val="4E4D4D"/>
                                                <w:kern w:val="24"/>
                                                <w:sz w:val="16"/>
                                                <w:szCs w:val="16"/>
                                              </w:rPr>
                                              <m:t>M</m:t>
                                            </m:r>
                                          </m:e>
                                          <m:sub>
                                            <m:sSub>
                                              <m:sSubPr>
                                                <m:ctrlPr>
                                                  <w:rPr>
                                                    <w:rFonts w:ascii="Cambria Math" w:eastAsiaTheme="minorEastAsia" w:hAnsi="Cambria Math" w:cstheme="minorBidi"/>
                                                    <w:i/>
                                                    <w:iCs/>
                                                    <w:color w:val="4E4D4D"/>
                                                    <w:kern w:val="24"/>
                                                    <w:sz w:val="16"/>
                                                    <w:szCs w:val="16"/>
                                                  </w:rPr>
                                                </m:ctrlPr>
                                              </m:sSubPr>
                                              <m:e>
                                                <m:r>
                                                  <m:rPr>
                                                    <m:sty m:val="p"/>
                                                  </m:rPr>
                                                  <w:rPr>
                                                    <w:rFonts w:ascii="Cambria Math" w:hAnsi="Cambria Math" w:cstheme="minorBidi"/>
                                                    <w:color w:val="4E4D4D"/>
                                                    <w:kern w:val="24"/>
                                                    <w:sz w:val="16"/>
                                                    <w:szCs w:val="16"/>
                                                  </w:rPr>
                                                  <m:t>r</m:t>
                                                </m:r>
                                              </m:e>
                                              <m:sub>
                                                <m:r>
                                                  <m:rPr>
                                                    <m:sty m:val="p"/>
                                                  </m:rPr>
                                                  <w:rPr>
                                                    <w:rFonts w:ascii="Cambria Math" w:hAnsi="Cambria Math" w:cstheme="minorBidi"/>
                                                    <w:color w:val="4E4D4D"/>
                                                    <w:kern w:val="24"/>
                                                    <w:sz w:val="16"/>
                                                    <w:szCs w:val="16"/>
                                                  </w:rPr>
                                                  <m:t>k</m:t>
                                                </m:r>
                                              </m:sub>
                                            </m:sSub>
                                          </m:sub>
                                        </m:sSub>
                                      </m:num>
                                      <m:den>
                                        <m:r>
                                          <m:rPr>
                                            <m:sty m:val="p"/>
                                          </m:rPr>
                                          <w:rPr>
                                            <w:rFonts w:ascii="Cambria Math" w:hAnsi="Cambria Math" w:cstheme="minorBidi"/>
                                            <w:color w:val="4E4D4D"/>
                                            <w:kern w:val="24"/>
                                            <w:sz w:val="16"/>
                                            <w:szCs w:val="16"/>
                                          </w:rPr>
                                          <m:t>BR</m:t>
                                        </m:r>
                                        <m:sSub>
                                          <m:sSubPr>
                                            <m:ctrlPr>
                                              <w:rPr>
                                                <w:rFonts w:ascii="Cambria Math" w:eastAsiaTheme="minorEastAsia" w:hAnsi="Cambria Math" w:cstheme="minorBidi"/>
                                                <w:i/>
                                                <w:iCs/>
                                                <w:color w:val="4E4D4D"/>
                                                <w:kern w:val="24"/>
                                                <w:sz w:val="16"/>
                                                <w:szCs w:val="16"/>
                                              </w:rPr>
                                            </m:ctrlPr>
                                          </m:sSubPr>
                                          <m:e>
                                            <m:r>
                                              <m:rPr>
                                                <m:sty m:val="p"/>
                                              </m:rPr>
                                              <w:rPr>
                                                <w:rFonts w:ascii="Cambria Math" w:hAnsi="Cambria Math" w:cstheme="minorBidi"/>
                                                <w:color w:val="4E4D4D"/>
                                                <w:kern w:val="24"/>
                                                <w:sz w:val="16"/>
                                                <w:szCs w:val="16"/>
                                              </w:rPr>
                                              <m:t>A</m:t>
                                            </m:r>
                                          </m:e>
                                          <m:sub>
                                            <m:r>
                                              <m:rPr>
                                                <m:sty m:val="p"/>
                                              </m:rPr>
                                              <w:rPr>
                                                <w:rFonts w:ascii="Cambria Math" w:hAnsi="Cambria Math" w:cstheme="minorBidi"/>
                                                <w:color w:val="4E4D4D"/>
                                                <w:kern w:val="24"/>
                                                <w:sz w:val="16"/>
                                                <w:szCs w:val="16"/>
                                              </w:rPr>
                                              <m:t>k</m:t>
                                            </m:r>
                                          </m:sub>
                                        </m:sSub>
                                      </m:den>
                                    </m:f>
                                    <m:r>
                                      <m:rPr>
                                        <m:sty m:val="p"/>
                                      </m:rPr>
                                      <w:rPr>
                                        <w:rFonts w:ascii="Cambria Math" w:hAnsi="Cambria Math" w:cstheme="minorBidi"/>
                                        <w:color w:val="4E4D4D"/>
                                        <w:kern w:val="24"/>
                                        <w:sz w:val="16"/>
                                        <w:szCs w:val="16"/>
                                      </w:rPr>
                                      <m:t>;</m:t>
                                    </m:r>
                                    <m:f>
                                      <m:fPr>
                                        <m:ctrlPr>
                                          <w:rPr>
                                            <w:rFonts w:ascii="Cambria Math" w:eastAsiaTheme="minorEastAsia" w:hAnsi="Cambria Math" w:cstheme="minorBidi"/>
                                            <w:i/>
                                            <w:iCs/>
                                            <w:color w:val="4E4D4D"/>
                                            <w:kern w:val="24"/>
                                            <w:sz w:val="16"/>
                                            <w:szCs w:val="16"/>
                                          </w:rPr>
                                        </m:ctrlPr>
                                      </m:fPr>
                                      <m:num>
                                        <m:f>
                                          <m:fPr>
                                            <m:ctrlPr>
                                              <w:rPr>
                                                <w:rFonts w:ascii="Cambria Math" w:eastAsiaTheme="minorEastAsia" w:hAnsi="Cambria Math" w:cstheme="minorBidi"/>
                                                <w:i/>
                                                <w:iCs/>
                                                <w:color w:val="4E4D4D"/>
                                                <w:kern w:val="24"/>
                                                <w:sz w:val="16"/>
                                                <w:szCs w:val="16"/>
                                              </w:rPr>
                                            </m:ctrlPr>
                                          </m:fPr>
                                          <m:num>
                                            <m:r>
                                              <w:rPr>
                                                <w:rFonts w:ascii="Cambria Math" w:hAnsi="Cambria Math" w:cstheme="minorBidi"/>
                                                <w:color w:val="4E4D4D"/>
                                                <w:kern w:val="24"/>
                                                <w:sz w:val="16"/>
                                                <w:szCs w:val="16"/>
                                              </w:rPr>
                                              <m:t>AO</m:t>
                                            </m:r>
                                            <m:sSub>
                                              <m:sSubPr>
                                                <m:ctrlPr>
                                                  <w:rPr>
                                                    <w:rFonts w:ascii="Cambria Math" w:eastAsiaTheme="minorEastAsia" w:hAnsi="Cambria Math" w:cstheme="minorBidi"/>
                                                    <w:i/>
                                                    <w:iCs/>
                                                    <w:color w:val="4E4D4D"/>
                                                    <w:kern w:val="24"/>
                                                    <w:sz w:val="16"/>
                                                    <w:szCs w:val="16"/>
                                                  </w:rPr>
                                                </m:ctrlPr>
                                              </m:sSubPr>
                                              <m:e>
                                                <m:r>
                                                  <w:rPr>
                                                    <w:rFonts w:ascii="Cambria Math" w:hAnsi="Cambria Math" w:cstheme="minorBidi"/>
                                                    <w:color w:val="4E4D4D"/>
                                                    <w:kern w:val="24"/>
                                                    <w:sz w:val="16"/>
                                                    <w:szCs w:val="16"/>
                                                  </w:rPr>
                                                  <m:t>M</m:t>
                                                </m:r>
                                              </m:e>
                                              <m:sub>
                                                <m:sSub>
                                                  <m:sSubPr>
                                                    <m:ctrlPr>
                                                      <w:rPr>
                                                        <w:rFonts w:ascii="Cambria Math" w:eastAsiaTheme="minorEastAsia" w:hAnsi="Cambria Math" w:cstheme="minorBidi"/>
                                                        <w:i/>
                                                        <w:iCs/>
                                                        <w:color w:val="4E4D4D"/>
                                                        <w:kern w:val="24"/>
                                                        <w:sz w:val="16"/>
                                                        <w:szCs w:val="16"/>
                                                      </w:rPr>
                                                    </m:ctrlPr>
                                                  </m:sSubPr>
                                                  <m:e>
                                                    <m:r>
                                                      <w:rPr>
                                                        <w:rFonts w:ascii="Cambria Math" w:hAnsi="Cambria Math" w:cstheme="minorBidi"/>
                                                        <w:color w:val="4E4D4D"/>
                                                        <w:kern w:val="24"/>
                                                        <w:sz w:val="16"/>
                                                        <w:szCs w:val="16"/>
                                                      </w:rPr>
                                                      <m:t>011</m:t>
                                                    </m:r>
                                                  </m:e>
                                                  <m:sub>
                                                    <m:r>
                                                      <w:rPr>
                                                        <w:rFonts w:ascii="Cambria Math" w:hAnsi="Cambria Math" w:cstheme="minorBidi"/>
                                                        <w:color w:val="4E4D4D"/>
                                                        <w:kern w:val="24"/>
                                                        <w:sz w:val="16"/>
                                                        <w:szCs w:val="16"/>
                                                      </w:rPr>
                                                      <m:t>k</m:t>
                                                    </m:r>
                                                  </m:sub>
                                                </m:sSub>
                                              </m:sub>
                                            </m:sSub>
                                          </m:num>
                                          <m:den>
                                            <m:r>
                                              <w:rPr>
                                                <w:rFonts w:ascii="Cambria Math" w:hAnsi="Cambria Math" w:cstheme="minorBidi"/>
                                                <w:color w:val="4E4D4D"/>
                                                <w:kern w:val="24"/>
                                                <w:sz w:val="16"/>
                                                <w:szCs w:val="16"/>
                                              </w:rPr>
                                              <m:t>BR</m:t>
                                            </m:r>
                                            <m:sSub>
                                              <m:sSubPr>
                                                <m:ctrlPr>
                                                  <w:rPr>
                                                    <w:rFonts w:ascii="Cambria Math" w:eastAsiaTheme="minorEastAsia" w:hAnsi="Cambria Math" w:cstheme="minorBidi"/>
                                                    <w:i/>
                                                    <w:iCs/>
                                                    <w:color w:val="4E4D4D"/>
                                                    <w:kern w:val="24"/>
                                                    <w:sz w:val="16"/>
                                                    <w:szCs w:val="16"/>
                                                  </w:rPr>
                                                </m:ctrlPr>
                                              </m:sSubPr>
                                              <m:e>
                                                <m:r>
                                                  <w:rPr>
                                                    <w:rFonts w:ascii="Cambria Math" w:hAnsi="Cambria Math" w:cstheme="minorBidi"/>
                                                    <w:color w:val="4E4D4D"/>
                                                    <w:kern w:val="24"/>
                                                    <w:sz w:val="16"/>
                                                    <w:szCs w:val="16"/>
                                                  </w:rPr>
                                                  <m:t>A</m:t>
                                                </m:r>
                                              </m:e>
                                              <m:sub>
                                                <m:sSub>
                                                  <m:sSubPr>
                                                    <m:ctrlPr>
                                                      <w:rPr>
                                                        <w:rFonts w:ascii="Cambria Math" w:eastAsiaTheme="minorEastAsia" w:hAnsi="Cambria Math" w:cstheme="minorBidi"/>
                                                        <w:i/>
                                                        <w:iCs/>
                                                        <w:color w:val="4E4D4D"/>
                                                        <w:kern w:val="24"/>
                                                        <w:sz w:val="16"/>
                                                        <w:szCs w:val="16"/>
                                                      </w:rPr>
                                                    </m:ctrlPr>
                                                  </m:sSubPr>
                                                  <m:e>
                                                    <m:r>
                                                      <w:rPr>
                                                        <w:rFonts w:ascii="Cambria Math" w:hAnsi="Cambria Math" w:cstheme="minorBidi"/>
                                                        <w:color w:val="4E4D4D"/>
                                                        <w:kern w:val="24"/>
                                                        <w:sz w:val="16"/>
                                                        <w:szCs w:val="16"/>
                                                      </w:rPr>
                                                      <m:t>011</m:t>
                                                    </m:r>
                                                  </m:e>
                                                  <m:sub>
                                                    <m:r>
                                                      <w:rPr>
                                                        <w:rFonts w:ascii="Cambria Math" w:hAnsi="Cambria Math" w:cstheme="minorBidi"/>
                                                        <w:color w:val="4E4D4D"/>
                                                        <w:kern w:val="24"/>
                                                        <w:sz w:val="16"/>
                                                        <w:szCs w:val="16"/>
                                                      </w:rPr>
                                                      <m:t>k</m:t>
                                                    </m:r>
                                                  </m:sub>
                                                </m:sSub>
                                              </m:sub>
                                            </m:sSub>
                                          </m:den>
                                        </m:f>
                                        <m:r>
                                          <m:rPr>
                                            <m:sty m:val="p"/>
                                          </m:rPr>
                                          <w:rPr>
                                            <w:rFonts w:ascii="Cambria Math" w:hAnsi="Cambria Math" w:cstheme="minorBidi"/>
                                            <w:color w:val="4E4D4D"/>
                                            <w:kern w:val="24"/>
                                            <w:sz w:val="16"/>
                                            <w:szCs w:val="16"/>
                                          </w:rPr>
                                          <m:t>+</m:t>
                                        </m:r>
                                        <m:f>
                                          <m:fPr>
                                            <m:ctrlPr>
                                              <w:rPr>
                                                <w:rFonts w:ascii="Cambria Math" w:eastAsiaTheme="minorEastAsia" w:hAnsi="Cambria Math" w:cstheme="minorBidi"/>
                                                <w:i/>
                                                <w:iCs/>
                                                <w:color w:val="4E4D4D"/>
                                                <w:kern w:val="24"/>
                                                <w:sz w:val="16"/>
                                                <w:szCs w:val="16"/>
                                              </w:rPr>
                                            </m:ctrlPr>
                                          </m:fPr>
                                          <m:num>
                                            <m:r>
                                              <m:rPr>
                                                <m:sty m:val="p"/>
                                              </m:rPr>
                                              <w:rPr>
                                                <w:rFonts w:ascii="Cambria Math" w:hAnsi="Cambria Math" w:cstheme="minorBidi"/>
                                                <w:color w:val="4E4D4D"/>
                                                <w:kern w:val="24"/>
                                                <w:sz w:val="16"/>
                                                <w:szCs w:val="16"/>
                                              </w:rPr>
                                              <m:t>AO</m:t>
                                            </m:r>
                                            <m:sSub>
                                              <m:sSubPr>
                                                <m:ctrlPr>
                                                  <w:rPr>
                                                    <w:rFonts w:ascii="Cambria Math" w:eastAsiaTheme="minorEastAsia" w:hAnsi="Cambria Math" w:cstheme="minorBidi"/>
                                                    <w:i/>
                                                    <w:iCs/>
                                                    <w:color w:val="4E4D4D"/>
                                                    <w:kern w:val="24"/>
                                                    <w:sz w:val="16"/>
                                                    <w:szCs w:val="16"/>
                                                  </w:rPr>
                                                </m:ctrlPr>
                                              </m:sSubPr>
                                              <m:e>
                                                <m:r>
                                                  <m:rPr>
                                                    <m:sty m:val="p"/>
                                                  </m:rPr>
                                                  <w:rPr>
                                                    <w:rFonts w:ascii="Cambria Math" w:hAnsi="Cambria Math" w:cstheme="minorBidi"/>
                                                    <w:color w:val="4E4D4D"/>
                                                    <w:kern w:val="24"/>
                                                    <w:sz w:val="16"/>
                                                    <w:szCs w:val="16"/>
                                                  </w:rPr>
                                                  <m:t>M</m:t>
                                                </m:r>
                                              </m:e>
                                              <m:sub>
                                                <m:sSub>
                                                  <m:sSubPr>
                                                    <m:ctrlPr>
                                                      <w:rPr>
                                                        <w:rFonts w:ascii="Cambria Math" w:eastAsiaTheme="minorEastAsia" w:hAnsi="Cambria Math" w:cstheme="minorBidi"/>
                                                        <w:i/>
                                                        <w:iCs/>
                                                        <w:color w:val="4E4D4D"/>
                                                        <w:kern w:val="24"/>
                                                        <w:sz w:val="16"/>
                                                        <w:szCs w:val="16"/>
                                                      </w:rPr>
                                                    </m:ctrlPr>
                                                  </m:sSubPr>
                                                  <m:e>
                                                    <m:r>
                                                      <m:rPr>
                                                        <m:sty m:val="p"/>
                                                      </m:rPr>
                                                      <w:rPr>
                                                        <w:rFonts w:ascii="Cambria Math" w:hAnsi="Cambria Math" w:cstheme="minorBidi"/>
                                                        <w:color w:val="4E4D4D"/>
                                                        <w:kern w:val="24"/>
                                                        <w:sz w:val="16"/>
                                                        <w:szCs w:val="16"/>
                                                      </w:rPr>
                                                      <m:t>r</m:t>
                                                    </m:r>
                                                  </m:e>
                                                  <m:sub>
                                                    <m:r>
                                                      <m:rPr>
                                                        <m:sty m:val="p"/>
                                                      </m:rPr>
                                                      <w:rPr>
                                                        <w:rFonts w:ascii="Cambria Math" w:hAnsi="Cambria Math" w:cstheme="minorBidi"/>
                                                        <w:color w:val="4E4D4D"/>
                                                        <w:kern w:val="24"/>
                                                        <w:sz w:val="16"/>
                                                        <w:szCs w:val="16"/>
                                                      </w:rPr>
                                                      <m:t>k</m:t>
                                                    </m:r>
                                                  </m:sub>
                                                </m:sSub>
                                              </m:sub>
                                            </m:sSub>
                                          </m:num>
                                          <m:den>
                                            <m:r>
                                              <m:rPr>
                                                <m:sty m:val="p"/>
                                              </m:rPr>
                                              <w:rPr>
                                                <w:rFonts w:ascii="Cambria Math" w:hAnsi="Cambria Math" w:cstheme="minorBidi"/>
                                                <w:color w:val="4E4D4D"/>
                                                <w:kern w:val="24"/>
                                                <w:sz w:val="16"/>
                                                <w:szCs w:val="16"/>
                                              </w:rPr>
                                              <m:t>BR</m:t>
                                            </m:r>
                                            <m:sSub>
                                              <m:sSubPr>
                                                <m:ctrlPr>
                                                  <w:rPr>
                                                    <w:rFonts w:ascii="Cambria Math" w:eastAsiaTheme="minorEastAsia" w:hAnsi="Cambria Math" w:cstheme="minorBidi"/>
                                                    <w:i/>
                                                    <w:iCs/>
                                                    <w:color w:val="4E4D4D"/>
                                                    <w:kern w:val="24"/>
                                                    <w:sz w:val="16"/>
                                                    <w:szCs w:val="16"/>
                                                  </w:rPr>
                                                </m:ctrlPr>
                                              </m:sSubPr>
                                              <m:e>
                                                <m:r>
                                                  <m:rPr>
                                                    <m:sty m:val="p"/>
                                                  </m:rPr>
                                                  <w:rPr>
                                                    <w:rFonts w:ascii="Cambria Math" w:hAnsi="Cambria Math" w:cstheme="minorBidi"/>
                                                    <w:color w:val="4E4D4D"/>
                                                    <w:kern w:val="24"/>
                                                    <w:sz w:val="16"/>
                                                    <w:szCs w:val="16"/>
                                                  </w:rPr>
                                                  <m:t>A</m:t>
                                                </m:r>
                                              </m:e>
                                              <m:sub>
                                                <m:r>
                                                  <m:rPr>
                                                    <m:sty m:val="p"/>
                                                  </m:rPr>
                                                  <w:rPr>
                                                    <w:rFonts w:ascii="Cambria Math" w:hAnsi="Cambria Math" w:cstheme="minorBidi"/>
                                                    <w:color w:val="4E4D4D"/>
                                                    <w:kern w:val="24"/>
                                                    <w:sz w:val="16"/>
                                                    <w:szCs w:val="16"/>
                                                  </w:rPr>
                                                  <m:t>k</m:t>
                                                </m:r>
                                              </m:sub>
                                            </m:sSub>
                                          </m:den>
                                        </m:f>
                                      </m:num>
                                      <m:den>
                                        <m:r>
                                          <m:rPr>
                                            <m:sty m:val="p"/>
                                          </m:rPr>
                                          <w:rPr>
                                            <w:rFonts w:ascii="Cambria Math" w:hAnsi="Cambria Math" w:cstheme="minorBidi"/>
                                            <w:color w:val="4E4D4D"/>
                                            <w:kern w:val="24"/>
                                            <w:sz w:val="16"/>
                                            <w:szCs w:val="16"/>
                                          </w:rPr>
                                          <m:t>2</m:t>
                                        </m:r>
                                      </m:den>
                                    </m:f>
                                    <m:r>
                                      <m:rPr>
                                        <m:sty m:val="p"/>
                                      </m:rPr>
                                      <w:rPr>
                                        <w:rFonts w:ascii="Cambria Math" w:hAnsi="Cambria Math" w:cstheme="minorBidi"/>
                                        <w:color w:val="4E4D4D"/>
                                        <w:kern w:val="24"/>
                                        <w:sz w:val="16"/>
                                        <w:szCs w:val="16"/>
                                      </w:rPr>
                                      <m:t>;%</m:t>
                                    </m:r>
                                    <m:sSub>
                                      <m:sSubPr>
                                        <m:ctrlPr>
                                          <w:rPr>
                                            <w:rFonts w:ascii="Cambria Math" w:eastAsiaTheme="minorEastAsia" w:hAnsi="Cambria Math" w:cstheme="minorBidi"/>
                                            <w:i/>
                                            <w:iCs/>
                                            <w:color w:val="4E4D4D"/>
                                            <w:kern w:val="24"/>
                                            <w:sz w:val="16"/>
                                            <w:szCs w:val="16"/>
                                          </w:rPr>
                                        </m:ctrlPr>
                                      </m:sSubPr>
                                      <m:e>
                                        <m:r>
                                          <m:rPr>
                                            <m:sty m:val="p"/>
                                          </m:rPr>
                                          <w:rPr>
                                            <w:rFonts w:ascii="Cambria Math" w:hAnsi="Cambria Math" w:cstheme="minorBidi"/>
                                            <w:color w:val="4E4D4D"/>
                                            <w:kern w:val="24"/>
                                            <w:sz w:val="16"/>
                                            <w:szCs w:val="16"/>
                                          </w:rPr>
                                          <m:t>AOM</m:t>
                                        </m:r>
                                      </m:e>
                                      <m:sub>
                                        <m:func>
                                          <m:funcPr>
                                            <m:ctrlPr>
                                              <w:rPr>
                                                <w:rFonts w:ascii="Cambria Math" w:eastAsiaTheme="minorEastAsia" w:hAnsi="Cambria Math" w:cstheme="minorBidi"/>
                                                <w:i/>
                                                <w:iCs/>
                                                <w:color w:val="4E4D4D"/>
                                                <w:kern w:val="24"/>
                                                <w:sz w:val="16"/>
                                                <w:szCs w:val="16"/>
                                              </w:rPr>
                                            </m:ctrlPr>
                                          </m:funcPr>
                                          <m:fName>
                                            <m:r>
                                              <m:rPr>
                                                <m:sty m:val="p"/>
                                              </m:rPr>
                                              <w:rPr>
                                                <w:rFonts w:ascii="Cambria Math" w:hAnsi="Cambria Math" w:cstheme="minorBidi"/>
                                                <w:color w:val="4E4D4D"/>
                                                <w:kern w:val="24"/>
                                                <w:sz w:val="16"/>
                                                <w:szCs w:val="16"/>
                                              </w:rPr>
                                              <m:t>max</m:t>
                                            </m:r>
                                          </m:fName>
                                          <m:e>
                                            <m:r>
                                              <m:rPr>
                                                <m:sty m:val="p"/>
                                              </m:rPr>
                                              <w:rPr>
                                                <w:rFonts w:ascii="Cambria Math" w:hAnsi="Cambria Math" w:cstheme="minorBidi"/>
                                                <w:color w:val="4E4D4D"/>
                                                <w:kern w:val="24"/>
                                                <w:sz w:val="16"/>
                                                <w:szCs w:val="16"/>
                                              </w:rPr>
                                              <m:t>rec k</m:t>
                                            </m:r>
                                          </m:e>
                                        </m:func>
                                      </m:sub>
                                    </m:sSub>
                                  </m:e>
                                </m:d>
                              </m:oMath>
                            </m:oMathPara>
                          </w:p>
                        </w:txbxContent>
                      </wps:txbx>
                      <wps:bodyPr wrap="none" lIns="0" tIns="0" rIns="0" bIns="0" rtlCol="0">
                        <a:spAutoFit/>
                      </wps:bodyPr>
                    </wps:wsp>
                  </a:graphicData>
                </a:graphic>
              </wp:inline>
            </w:drawing>
          </mc:Choice>
          <mc:Fallback>
            <w:pict>
              <v:shape w14:anchorId="2176165E" id="_x0000_s1042" type="#_x0000_t202" style="width:505.55pt;height:69.6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" filled="f" stroked="f">
                <v:textbox style="mso-fit-shape-to-text:t" inset="0,0,0,0">
                  <w:txbxContent>
                    <w:p w14:paraId="353C504F" w14:textId="77777777" w:rsidR="003B09FE" w:rsidRPr="003B09FE" w:rsidRDefault="003B09FE" w:rsidP="003B09FE">
                      <w:pPr>
                        <w:jc w:val="center"/>
                        <w:rPr>
                          <w:rFonts w:ascii="Cambria Math" w:hAnsi="Cambria Math" w:cstheme="minorBidi"/>
                          <w:color w:val="4E4D4D"/>
                          <w:kern w:val="24"/>
                          <w:sz w:val="16"/>
                          <w:szCs w:val="16"/>
                        </w:rPr>
                      </w:pPr>
                      <m:oMathPara>
                        <m:oMathParaPr>
                          <m:jc m:val="centerGroup"/>
                        </m:oMathParaPr>
                        <m:oMath>
                          <m:r>
                            <m:rPr>
                              <m:sty m:val="p"/>
                            </m:rPr>
                            <w:rPr>
                              <w:rFonts w:ascii="Cambria Math" w:hAnsi="Cambria Math" w:cstheme="minorBidi"/>
                              <w:color w:val="4E4D4D"/>
                              <w:kern w:val="24"/>
                              <w:sz w:val="16"/>
                              <w:szCs w:val="16"/>
                            </w:rPr>
                            <m:t>%AO</m:t>
                          </m:r>
                          <m:sSub>
                            <m:sSubPr>
                              <m:ctrlPr>
                                <w:rPr>
                                  <w:rFonts w:ascii="Cambria Math" w:eastAsiaTheme="minorEastAsia" w:hAnsi="Cambria Math" w:cstheme="minorBidi"/>
                                  <w:i/>
                                  <w:iCs/>
                                  <w:color w:val="4E4D4D"/>
                                  <w:kern w:val="24"/>
                                  <w:sz w:val="16"/>
                                  <w:szCs w:val="16"/>
                                </w:rPr>
                              </m:ctrlPr>
                            </m:sSubPr>
                            <m:e>
                              <m:r>
                                <m:rPr>
                                  <m:sty m:val="p"/>
                                </m:rPr>
                                <w:rPr>
                                  <w:rFonts w:ascii="Cambria Math" w:hAnsi="Cambria Math" w:cstheme="minorBidi"/>
                                  <w:color w:val="4E4D4D"/>
                                  <w:kern w:val="24"/>
                                  <w:sz w:val="16"/>
                                  <w:szCs w:val="16"/>
                                </w:rPr>
                                <m:t>M</m:t>
                              </m:r>
                            </m:e>
                            <m:sub>
                              <m:r>
                                <m:rPr>
                                  <m:sty m:val="p"/>
                                </m:rPr>
                                <w:rPr>
                                  <w:rFonts w:ascii="Cambria Math" w:hAnsi="Cambria Math" w:cstheme="minorBidi"/>
                                  <w:color w:val="4E4D4D"/>
                                  <w:kern w:val="24"/>
                                  <w:sz w:val="16"/>
                                  <w:szCs w:val="16"/>
                                </w:rPr>
                                <m:t>efic k</m:t>
                              </m:r>
                            </m:sub>
                          </m:sSub>
                          <m:r>
                            <m:rPr>
                              <m:sty m:val="p"/>
                            </m:rPr>
                            <w:rPr>
                              <w:rFonts w:ascii="Cambria Math" w:hAnsi="Cambria Math" w:cstheme="minorBidi"/>
                              <w:color w:val="4E4D4D"/>
                              <w:kern w:val="24"/>
                              <w:sz w:val="16"/>
                              <w:szCs w:val="16"/>
                            </w:rPr>
                            <m:t>=Min</m:t>
                          </m:r>
                          <m:d>
                            <m:dPr>
                              <m:begChr m:val="{"/>
                              <m:endChr m:val="}"/>
                              <m:ctrlPr>
                                <w:rPr>
                                  <w:rFonts w:ascii="Cambria Math" w:eastAsiaTheme="minorEastAsia" w:hAnsi="Cambria Math" w:cstheme="minorBidi"/>
                                  <w:i/>
                                  <w:iCs/>
                                  <w:color w:val="4E4D4D"/>
                                  <w:kern w:val="24"/>
                                  <w:sz w:val="16"/>
                                  <w:szCs w:val="16"/>
                                </w:rPr>
                              </m:ctrlPr>
                            </m:dPr>
                            <m:e>
                              <m:f>
                                <m:fPr>
                                  <m:ctrlPr>
                                    <w:rPr>
                                      <w:rFonts w:ascii="Cambria Math" w:eastAsiaTheme="minorEastAsia" w:hAnsi="Cambria Math" w:cstheme="minorBidi"/>
                                      <w:i/>
                                      <w:iCs/>
                                      <w:color w:val="4E4D4D"/>
                                      <w:kern w:val="24"/>
                                      <w:sz w:val="16"/>
                                      <w:szCs w:val="16"/>
                                    </w:rPr>
                                  </m:ctrlPr>
                                </m:fPr>
                                <m:num>
                                  <m:r>
                                    <m:rPr>
                                      <m:sty m:val="p"/>
                                    </m:rPr>
                                    <w:rPr>
                                      <w:rFonts w:ascii="Cambria Math" w:hAnsi="Cambria Math" w:cstheme="minorBidi"/>
                                      <w:color w:val="4E4D4D"/>
                                      <w:kern w:val="24"/>
                                      <w:sz w:val="16"/>
                                      <w:szCs w:val="16"/>
                                    </w:rPr>
                                    <m:t>AO</m:t>
                                  </m:r>
                                  <m:sSub>
                                    <m:sSubPr>
                                      <m:ctrlPr>
                                        <w:rPr>
                                          <w:rFonts w:ascii="Cambria Math" w:eastAsiaTheme="minorEastAsia" w:hAnsi="Cambria Math" w:cstheme="minorBidi"/>
                                          <w:i/>
                                          <w:iCs/>
                                          <w:color w:val="4E4D4D"/>
                                          <w:kern w:val="24"/>
                                          <w:sz w:val="16"/>
                                          <w:szCs w:val="16"/>
                                        </w:rPr>
                                      </m:ctrlPr>
                                    </m:sSubPr>
                                    <m:e>
                                      <m:r>
                                        <m:rPr>
                                          <m:sty m:val="p"/>
                                        </m:rPr>
                                        <w:rPr>
                                          <w:rFonts w:ascii="Cambria Math" w:hAnsi="Cambria Math" w:cstheme="minorBidi"/>
                                          <w:color w:val="4E4D4D"/>
                                          <w:kern w:val="24"/>
                                          <w:sz w:val="16"/>
                                          <w:szCs w:val="16"/>
                                        </w:rPr>
                                        <m:t>M</m:t>
                                      </m:r>
                                    </m:e>
                                    <m:sub>
                                      <m:sSub>
                                        <m:sSubPr>
                                          <m:ctrlPr>
                                            <w:rPr>
                                              <w:rFonts w:ascii="Cambria Math" w:eastAsiaTheme="minorEastAsia" w:hAnsi="Cambria Math" w:cstheme="minorBidi"/>
                                              <w:i/>
                                              <w:iCs/>
                                              <w:color w:val="4E4D4D"/>
                                              <w:kern w:val="24"/>
                                              <w:sz w:val="16"/>
                                              <w:szCs w:val="16"/>
                                            </w:rPr>
                                          </m:ctrlPr>
                                        </m:sSubPr>
                                        <m:e>
                                          <m:r>
                                            <m:rPr>
                                              <m:sty m:val="p"/>
                                            </m:rPr>
                                            <w:rPr>
                                              <w:rFonts w:ascii="Cambria Math" w:hAnsi="Cambria Math" w:cstheme="minorBidi"/>
                                              <w:color w:val="4E4D4D"/>
                                              <w:kern w:val="24"/>
                                              <w:sz w:val="16"/>
                                              <w:szCs w:val="16"/>
                                            </w:rPr>
                                            <m:t>r</m:t>
                                          </m:r>
                                        </m:e>
                                        <m:sub>
                                          <m:r>
                                            <m:rPr>
                                              <m:sty m:val="p"/>
                                            </m:rPr>
                                            <w:rPr>
                                              <w:rFonts w:ascii="Cambria Math" w:hAnsi="Cambria Math" w:cstheme="minorBidi"/>
                                              <w:color w:val="4E4D4D"/>
                                              <w:kern w:val="24"/>
                                              <w:sz w:val="16"/>
                                              <w:szCs w:val="16"/>
                                            </w:rPr>
                                            <m:t>k</m:t>
                                          </m:r>
                                        </m:sub>
                                      </m:sSub>
                                    </m:sub>
                                  </m:sSub>
                                </m:num>
                                <m:den>
                                  <m:r>
                                    <m:rPr>
                                      <m:sty m:val="p"/>
                                    </m:rPr>
                                    <w:rPr>
                                      <w:rFonts w:ascii="Cambria Math" w:hAnsi="Cambria Math" w:cstheme="minorBidi"/>
                                      <w:color w:val="4E4D4D"/>
                                      <w:kern w:val="24"/>
                                      <w:sz w:val="16"/>
                                      <w:szCs w:val="16"/>
                                    </w:rPr>
                                    <m:t>BR</m:t>
                                  </m:r>
                                  <m:sSub>
                                    <m:sSubPr>
                                      <m:ctrlPr>
                                        <w:rPr>
                                          <w:rFonts w:ascii="Cambria Math" w:eastAsiaTheme="minorEastAsia" w:hAnsi="Cambria Math" w:cstheme="minorBidi"/>
                                          <w:i/>
                                          <w:iCs/>
                                          <w:color w:val="4E4D4D"/>
                                          <w:kern w:val="24"/>
                                          <w:sz w:val="16"/>
                                          <w:szCs w:val="16"/>
                                        </w:rPr>
                                      </m:ctrlPr>
                                    </m:sSubPr>
                                    <m:e>
                                      <m:r>
                                        <m:rPr>
                                          <m:sty m:val="p"/>
                                        </m:rPr>
                                        <w:rPr>
                                          <w:rFonts w:ascii="Cambria Math" w:hAnsi="Cambria Math" w:cstheme="minorBidi"/>
                                          <w:color w:val="4E4D4D"/>
                                          <w:kern w:val="24"/>
                                          <w:sz w:val="16"/>
                                          <w:szCs w:val="16"/>
                                        </w:rPr>
                                        <m:t>A</m:t>
                                      </m:r>
                                    </m:e>
                                    <m:sub>
                                      <m:r>
                                        <m:rPr>
                                          <m:sty m:val="p"/>
                                        </m:rPr>
                                        <w:rPr>
                                          <w:rFonts w:ascii="Cambria Math" w:hAnsi="Cambria Math" w:cstheme="minorBidi"/>
                                          <w:color w:val="4E4D4D"/>
                                          <w:kern w:val="24"/>
                                          <w:sz w:val="16"/>
                                          <w:szCs w:val="16"/>
                                        </w:rPr>
                                        <m:t>k</m:t>
                                      </m:r>
                                    </m:sub>
                                  </m:sSub>
                                </m:den>
                              </m:f>
                              <m:r>
                                <m:rPr>
                                  <m:sty m:val="p"/>
                                </m:rPr>
                                <w:rPr>
                                  <w:rFonts w:ascii="Cambria Math" w:hAnsi="Cambria Math" w:cstheme="minorBidi"/>
                                  <w:color w:val="4E4D4D"/>
                                  <w:kern w:val="24"/>
                                  <w:sz w:val="16"/>
                                  <w:szCs w:val="16"/>
                                </w:rPr>
                                <m:t>;</m:t>
                              </m:r>
                              <m:f>
                                <m:fPr>
                                  <m:ctrlPr>
                                    <w:rPr>
                                      <w:rFonts w:ascii="Cambria Math" w:eastAsiaTheme="minorEastAsia" w:hAnsi="Cambria Math" w:cstheme="minorBidi"/>
                                      <w:i/>
                                      <w:iCs/>
                                      <w:color w:val="4E4D4D"/>
                                      <w:kern w:val="24"/>
                                      <w:sz w:val="16"/>
                                      <w:szCs w:val="16"/>
                                    </w:rPr>
                                  </m:ctrlPr>
                                </m:fPr>
                                <m:num>
                                  <m:f>
                                    <m:fPr>
                                      <m:ctrlPr>
                                        <w:rPr>
                                          <w:rFonts w:ascii="Cambria Math" w:eastAsiaTheme="minorEastAsia" w:hAnsi="Cambria Math" w:cstheme="minorBidi"/>
                                          <w:i/>
                                          <w:iCs/>
                                          <w:color w:val="4E4D4D"/>
                                          <w:kern w:val="24"/>
                                          <w:sz w:val="16"/>
                                          <w:szCs w:val="16"/>
                                        </w:rPr>
                                      </m:ctrlPr>
                                    </m:fPr>
                                    <m:num>
                                      <m:r>
                                        <w:rPr>
                                          <w:rFonts w:ascii="Cambria Math" w:hAnsi="Cambria Math" w:cstheme="minorBidi"/>
                                          <w:color w:val="4E4D4D"/>
                                          <w:kern w:val="24"/>
                                          <w:sz w:val="16"/>
                                          <w:szCs w:val="16"/>
                                        </w:rPr>
                                        <m:t>AO</m:t>
                                      </m:r>
                                      <m:sSub>
                                        <m:sSubPr>
                                          <m:ctrlPr>
                                            <w:rPr>
                                              <w:rFonts w:ascii="Cambria Math" w:eastAsiaTheme="minorEastAsia" w:hAnsi="Cambria Math" w:cstheme="minorBidi"/>
                                              <w:i/>
                                              <w:iCs/>
                                              <w:color w:val="4E4D4D"/>
                                              <w:kern w:val="24"/>
                                              <w:sz w:val="16"/>
                                              <w:szCs w:val="16"/>
                                            </w:rPr>
                                          </m:ctrlPr>
                                        </m:sSubPr>
                                        <m:e>
                                          <m:r>
                                            <w:rPr>
                                              <w:rFonts w:ascii="Cambria Math" w:hAnsi="Cambria Math" w:cstheme="minorBidi"/>
                                              <w:color w:val="4E4D4D"/>
                                              <w:kern w:val="24"/>
                                              <w:sz w:val="16"/>
                                              <w:szCs w:val="16"/>
                                            </w:rPr>
                                            <m:t>M</m:t>
                                          </m:r>
                                        </m:e>
                                        <m:sub>
                                          <m:sSub>
                                            <m:sSubPr>
                                              <m:ctrlPr>
                                                <w:rPr>
                                                  <w:rFonts w:ascii="Cambria Math" w:eastAsiaTheme="minorEastAsia" w:hAnsi="Cambria Math" w:cstheme="minorBidi"/>
                                                  <w:i/>
                                                  <w:iCs/>
                                                  <w:color w:val="4E4D4D"/>
                                                  <w:kern w:val="24"/>
                                                  <w:sz w:val="16"/>
                                                  <w:szCs w:val="16"/>
                                                </w:rPr>
                                              </m:ctrlPr>
                                            </m:sSubPr>
                                            <m:e>
                                              <m:r>
                                                <w:rPr>
                                                  <w:rFonts w:ascii="Cambria Math" w:hAnsi="Cambria Math" w:cstheme="minorBidi"/>
                                                  <w:color w:val="4E4D4D"/>
                                                  <w:kern w:val="24"/>
                                                  <w:sz w:val="16"/>
                                                  <w:szCs w:val="16"/>
                                                </w:rPr>
                                                <m:t>011</m:t>
                                              </m:r>
                                            </m:e>
                                            <m:sub>
                                              <m:r>
                                                <w:rPr>
                                                  <w:rFonts w:ascii="Cambria Math" w:hAnsi="Cambria Math" w:cstheme="minorBidi"/>
                                                  <w:color w:val="4E4D4D"/>
                                                  <w:kern w:val="24"/>
                                                  <w:sz w:val="16"/>
                                                  <w:szCs w:val="16"/>
                                                </w:rPr>
                                                <m:t>k</m:t>
                                              </m:r>
                                            </m:sub>
                                          </m:sSub>
                                        </m:sub>
                                      </m:sSub>
                                    </m:num>
                                    <m:den>
                                      <m:r>
                                        <w:rPr>
                                          <w:rFonts w:ascii="Cambria Math" w:hAnsi="Cambria Math" w:cstheme="minorBidi"/>
                                          <w:color w:val="4E4D4D"/>
                                          <w:kern w:val="24"/>
                                          <w:sz w:val="16"/>
                                          <w:szCs w:val="16"/>
                                        </w:rPr>
                                        <m:t>BR</m:t>
                                      </m:r>
                                      <m:sSub>
                                        <m:sSubPr>
                                          <m:ctrlPr>
                                            <w:rPr>
                                              <w:rFonts w:ascii="Cambria Math" w:eastAsiaTheme="minorEastAsia" w:hAnsi="Cambria Math" w:cstheme="minorBidi"/>
                                              <w:i/>
                                              <w:iCs/>
                                              <w:color w:val="4E4D4D"/>
                                              <w:kern w:val="24"/>
                                              <w:sz w:val="16"/>
                                              <w:szCs w:val="16"/>
                                            </w:rPr>
                                          </m:ctrlPr>
                                        </m:sSubPr>
                                        <m:e>
                                          <m:r>
                                            <w:rPr>
                                              <w:rFonts w:ascii="Cambria Math" w:hAnsi="Cambria Math" w:cstheme="minorBidi"/>
                                              <w:color w:val="4E4D4D"/>
                                              <w:kern w:val="24"/>
                                              <w:sz w:val="16"/>
                                              <w:szCs w:val="16"/>
                                            </w:rPr>
                                            <m:t>A</m:t>
                                          </m:r>
                                        </m:e>
                                        <m:sub>
                                          <m:sSub>
                                            <m:sSubPr>
                                              <m:ctrlPr>
                                                <w:rPr>
                                                  <w:rFonts w:ascii="Cambria Math" w:eastAsiaTheme="minorEastAsia" w:hAnsi="Cambria Math" w:cstheme="minorBidi"/>
                                                  <w:i/>
                                                  <w:iCs/>
                                                  <w:color w:val="4E4D4D"/>
                                                  <w:kern w:val="24"/>
                                                  <w:sz w:val="16"/>
                                                  <w:szCs w:val="16"/>
                                                </w:rPr>
                                              </m:ctrlPr>
                                            </m:sSubPr>
                                            <m:e>
                                              <m:r>
                                                <w:rPr>
                                                  <w:rFonts w:ascii="Cambria Math" w:hAnsi="Cambria Math" w:cstheme="minorBidi"/>
                                                  <w:color w:val="4E4D4D"/>
                                                  <w:kern w:val="24"/>
                                                  <w:sz w:val="16"/>
                                                  <w:szCs w:val="16"/>
                                                </w:rPr>
                                                <m:t>011</m:t>
                                              </m:r>
                                            </m:e>
                                            <m:sub>
                                              <m:r>
                                                <w:rPr>
                                                  <w:rFonts w:ascii="Cambria Math" w:hAnsi="Cambria Math" w:cstheme="minorBidi"/>
                                                  <w:color w:val="4E4D4D"/>
                                                  <w:kern w:val="24"/>
                                                  <w:sz w:val="16"/>
                                                  <w:szCs w:val="16"/>
                                                </w:rPr>
                                                <m:t>k</m:t>
                                              </m:r>
                                            </m:sub>
                                          </m:sSub>
                                        </m:sub>
                                      </m:sSub>
                                    </m:den>
                                  </m:f>
                                  <m:r>
                                    <m:rPr>
                                      <m:sty m:val="p"/>
                                    </m:rPr>
                                    <w:rPr>
                                      <w:rFonts w:ascii="Cambria Math" w:hAnsi="Cambria Math" w:cstheme="minorBidi"/>
                                      <w:color w:val="4E4D4D"/>
                                      <w:kern w:val="24"/>
                                      <w:sz w:val="16"/>
                                      <w:szCs w:val="16"/>
                                    </w:rPr>
                                    <m:t>+</m:t>
                                  </m:r>
                                  <m:f>
                                    <m:fPr>
                                      <m:ctrlPr>
                                        <w:rPr>
                                          <w:rFonts w:ascii="Cambria Math" w:eastAsiaTheme="minorEastAsia" w:hAnsi="Cambria Math" w:cstheme="minorBidi"/>
                                          <w:i/>
                                          <w:iCs/>
                                          <w:color w:val="4E4D4D"/>
                                          <w:kern w:val="24"/>
                                          <w:sz w:val="16"/>
                                          <w:szCs w:val="16"/>
                                        </w:rPr>
                                      </m:ctrlPr>
                                    </m:fPr>
                                    <m:num>
                                      <m:r>
                                        <m:rPr>
                                          <m:sty m:val="p"/>
                                        </m:rPr>
                                        <w:rPr>
                                          <w:rFonts w:ascii="Cambria Math" w:hAnsi="Cambria Math" w:cstheme="minorBidi"/>
                                          <w:color w:val="4E4D4D"/>
                                          <w:kern w:val="24"/>
                                          <w:sz w:val="16"/>
                                          <w:szCs w:val="16"/>
                                        </w:rPr>
                                        <m:t>AO</m:t>
                                      </m:r>
                                      <m:sSub>
                                        <m:sSubPr>
                                          <m:ctrlPr>
                                            <w:rPr>
                                              <w:rFonts w:ascii="Cambria Math" w:eastAsiaTheme="minorEastAsia" w:hAnsi="Cambria Math" w:cstheme="minorBidi"/>
                                              <w:i/>
                                              <w:iCs/>
                                              <w:color w:val="4E4D4D"/>
                                              <w:kern w:val="24"/>
                                              <w:sz w:val="16"/>
                                              <w:szCs w:val="16"/>
                                            </w:rPr>
                                          </m:ctrlPr>
                                        </m:sSubPr>
                                        <m:e>
                                          <m:r>
                                            <m:rPr>
                                              <m:sty m:val="p"/>
                                            </m:rPr>
                                            <w:rPr>
                                              <w:rFonts w:ascii="Cambria Math" w:hAnsi="Cambria Math" w:cstheme="minorBidi"/>
                                              <w:color w:val="4E4D4D"/>
                                              <w:kern w:val="24"/>
                                              <w:sz w:val="16"/>
                                              <w:szCs w:val="16"/>
                                            </w:rPr>
                                            <m:t>M</m:t>
                                          </m:r>
                                        </m:e>
                                        <m:sub>
                                          <m:sSub>
                                            <m:sSubPr>
                                              <m:ctrlPr>
                                                <w:rPr>
                                                  <w:rFonts w:ascii="Cambria Math" w:eastAsiaTheme="minorEastAsia" w:hAnsi="Cambria Math" w:cstheme="minorBidi"/>
                                                  <w:i/>
                                                  <w:iCs/>
                                                  <w:color w:val="4E4D4D"/>
                                                  <w:kern w:val="24"/>
                                                  <w:sz w:val="16"/>
                                                  <w:szCs w:val="16"/>
                                                </w:rPr>
                                              </m:ctrlPr>
                                            </m:sSubPr>
                                            <m:e>
                                              <m:r>
                                                <m:rPr>
                                                  <m:sty m:val="p"/>
                                                </m:rPr>
                                                <w:rPr>
                                                  <w:rFonts w:ascii="Cambria Math" w:hAnsi="Cambria Math" w:cstheme="minorBidi"/>
                                                  <w:color w:val="4E4D4D"/>
                                                  <w:kern w:val="24"/>
                                                  <w:sz w:val="16"/>
                                                  <w:szCs w:val="16"/>
                                                </w:rPr>
                                                <m:t>r</m:t>
                                              </m:r>
                                            </m:e>
                                            <m:sub>
                                              <m:r>
                                                <m:rPr>
                                                  <m:sty m:val="p"/>
                                                </m:rPr>
                                                <w:rPr>
                                                  <w:rFonts w:ascii="Cambria Math" w:hAnsi="Cambria Math" w:cstheme="minorBidi"/>
                                                  <w:color w:val="4E4D4D"/>
                                                  <w:kern w:val="24"/>
                                                  <w:sz w:val="16"/>
                                                  <w:szCs w:val="16"/>
                                                </w:rPr>
                                                <m:t>k</m:t>
                                              </m:r>
                                            </m:sub>
                                          </m:sSub>
                                        </m:sub>
                                      </m:sSub>
                                    </m:num>
                                    <m:den>
                                      <m:r>
                                        <m:rPr>
                                          <m:sty m:val="p"/>
                                        </m:rPr>
                                        <w:rPr>
                                          <w:rFonts w:ascii="Cambria Math" w:hAnsi="Cambria Math" w:cstheme="minorBidi"/>
                                          <w:color w:val="4E4D4D"/>
                                          <w:kern w:val="24"/>
                                          <w:sz w:val="16"/>
                                          <w:szCs w:val="16"/>
                                        </w:rPr>
                                        <m:t>BR</m:t>
                                      </m:r>
                                      <m:sSub>
                                        <m:sSubPr>
                                          <m:ctrlPr>
                                            <w:rPr>
                                              <w:rFonts w:ascii="Cambria Math" w:eastAsiaTheme="minorEastAsia" w:hAnsi="Cambria Math" w:cstheme="minorBidi"/>
                                              <w:i/>
                                              <w:iCs/>
                                              <w:color w:val="4E4D4D"/>
                                              <w:kern w:val="24"/>
                                              <w:sz w:val="16"/>
                                              <w:szCs w:val="16"/>
                                            </w:rPr>
                                          </m:ctrlPr>
                                        </m:sSubPr>
                                        <m:e>
                                          <m:r>
                                            <m:rPr>
                                              <m:sty m:val="p"/>
                                            </m:rPr>
                                            <w:rPr>
                                              <w:rFonts w:ascii="Cambria Math" w:hAnsi="Cambria Math" w:cstheme="minorBidi"/>
                                              <w:color w:val="4E4D4D"/>
                                              <w:kern w:val="24"/>
                                              <w:sz w:val="16"/>
                                              <w:szCs w:val="16"/>
                                            </w:rPr>
                                            <m:t>A</m:t>
                                          </m:r>
                                        </m:e>
                                        <m:sub>
                                          <m:r>
                                            <m:rPr>
                                              <m:sty m:val="p"/>
                                            </m:rPr>
                                            <w:rPr>
                                              <w:rFonts w:ascii="Cambria Math" w:hAnsi="Cambria Math" w:cstheme="minorBidi"/>
                                              <w:color w:val="4E4D4D"/>
                                              <w:kern w:val="24"/>
                                              <w:sz w:val="16"/>
                                              <w:szCs w:val="16"/>
                                            </w:rPr>
                                            <m:t>k</m:t>
                                          </m:r>
                                        </m:sub>
                                      </m:sSub>
                                    </m:den>
                                  </m:f>
                                </m:num>
                                <m:den>
                                  <m:r>
                                    <m:rPr>
                                      <m:sty m:val="p"/>
                                    </m:rPr>
                                    <w:rPr>
                                      <w:rFonts w:ascii="Cambria Math" w:hAnsi="Cambria Math" w:cstheme="minorBidi"/>
                                      <w:color w:val="4E4D4D"/>
                                      <w:kern w:val="24"/>
                                      <w:sz w:val="16"/>
                                      <w:szCs w:val="16"/>
                                    </w:rPr>
                                    <m:t>2</m:t>
                                  </m:r>
                                </m:den>
                              </m:f>
                              <m:r>
                                <m:rPr>
                                  <m:sty m:val="p"/>
                                </m:rPr>
                                <w:rPr>
                                  <w:rFonts w:ascii="Cambria Math" w:hAnsi="Cambria Math" w:cstheme="minorBidi"/>
                                  <w:color w:val="4E4D4D"/>
                                  <w:kern w:val="24"/>
                                  <w:sz w:val="16"/>
                                  <w:szCs w:val="16"/>
                                </w:rPr>
                                <m:t>;%</m:t>
                              </m:r>
                              <m:sSub>
                                <m:sSubPr>
                                  <m:ctrlPr>
                                    <w:rPr>
                                      <w:rFonts w:ascii="Cambria Math" w:eastAsiaTheme="minorEastAsia" w:hAnsi="Cambria Math" w:cstheme="minorBidi"/>
                                      <w:i/>
                                      <w:iCs/>
                                      <w:color w:val="4E4D4D"/>
                                      <w:kern w:val="24"/>
                                      <w:sz w:val="16"/>
                                      <w:szCs w:val="16"/>
                                    </w:rPr>
                                  </m:ctrlPr>
                                </m:sSubPr>
                                <m:e>
                                  <m:r>
                                    <m:rPr>
                                      <m:sty m:val="p"/>
                                    </m:rPr>
                                    <w:rPr>
                                      <w:rFonts w:ascii="Cambria Math" w:hAnsi="Cambria Math" w:cstheme="minorBidi"/>
                                      <w:color w:val="4E4D4D"/>
                                      <w:kern w:val="24"/>
                                      <w:sz w:val="16"/>
                                      <w:szCs w:val="16"/>
                                    </w:rPr>
                                    <m:t>AOM</m:t>
                                  </m:r>
                                </m:e>
                                <m:sub>
                                  <m:func>
                                    <m:funcPr>
                                      <m:ctrlPr>
                                        <w:rPr>
                                          <w:rFonts w:ascii="Cambria Math" w:eastAsiaTheme="minorEastAsia" w:hAnsi="Cambria Math" w:cstheme="minorBidi"/>
                                          <w:i/>
                                          <w:iCs/>
                                          <w:color w:val="4E4D4D"/>
                                          <w:kern w:val="24"/>
                                          <w:sz w:val="16"/>
                                          <w:szCs w:val="16"/>
                                        </w:rPr>
                                      </m:ctrlPr>
                                    </m:funcPr>
                                    <m:fName>
                                      <m:r>
                                        <m:rPr>
                                          <m:sty m:val="p"/>
                                        </m:rPr>
                                        <w:rPr>
                                          <w:rFonts w:ascii="Cambria Math" w:hAnsi="Cambria Math" w:cstheme="minorBidi"/>
                                          <w:color w:val="4E4D4D"/>
                                          <w:kern w:val="24"/>
                                          <w:sz w:val="16"/>
                                          <w:szCs w:val="16"/>
                                        </w:rPr>
                                        <m:t>max</m:t>
                                      </m:r>
                                    </m:fName>
                                    <m:e>
                                      <m:r>
                                        <m:rPr>
                                          <m:sty m:val="p"/>
                                        </m:rPr>
                                        <w:rPr>
                                          <w:rFonts w:ascii="Cambria Math" w:hAnsi="Cambria Math" w:cstheme="minorBidi"/>
                                          <w:color w:val="4E4D4D"/>
                                          <w:kern w:val="24"/>
                                          <w:sz w:val="16"/>
                                          <w:szCs w:val="16"/>
                                        </w:rPr>
                                        <m:t>rec k</m:t>
                                      </m:r>
                                    </m:e>
                                  </m:func>
                                </m:sub>
                              </m:sSub>
                            </m:e>
                          </m:d>
                        </m:oMath>
                      </m:oMathPara>
                    </w:p>
                  </w:txbxContent>
                </v:textbox>
                <w10:anchorlock/>
              </v:shape>
            </w:pict>
          </mc:Fallback>
        </mc:AlternateContent>
      </w:r>
    </w:p>
    <w:p w14:paraId="61D2799A" w14:textId="4BF2F07E" w:rsidR="00865BB2" w:rsidRPr="00865BB2" w:rsidRDefault="00865BB2" w:rsidP="002F1961">
      <w:pPr>
        <w:spacing w:before="100" w:beforeAutospacing="1" w:after="100" w:afterAutospacing="1" w:line="360" w:lineRule="auto"/>
        <w:jc w:val="center"/>
        <w:rPr>
          <w:sz w:val="22"/>
          <w:szCs w:val="22"/>
          <w:lang w:val="es-CO"/>
        </w:rPr>
      </w:pPr>
      <w:r w:rsidRPr="00865BB2">
        <w:rPr>
          <w:sz w:val="22"/>
          <w:szCs w:val="22"/>
          <w:lang w:val="es-CO"/>
        </w:rPr>
        <w:t>Elaboración: CREG</w:t>
      </w:r>
    </w:p>
    <w:p w14:paraId="4447224D" w14:textId="5CBE0957" w:rsidR="003B09FE" w:rsidRDefault="00B92A05" w:rsidP="002F1961">
      <w:pPr>
        <w:spacing w:before="100" w:beforeAutospacing="1" w:after="100" w:afterAutospacing="1" w:line="360" w:lineRule="auto"/>
        <w:jc w:val="left"/>
        <w:rPr>
          <w:szCs w:val="24"/>
          <w:lang w:val="es-CO"/>
        </w:rPr>
      </w:pPr>
      <w:r>
        <w:rPr>
          <w:szCs w:val="24"/>
          <w:lang w:val="es-CO"/>
        </w:rPr>
        <w:t xml:space="preserve">La </w:t>
      </w:r>
      <w:r w:rsidR="00835134">
        <w:rPr>
          <w:szCs w:val="24"/>
          <w:lang w:val="es-CO"/>
        </w:rPr>
        <w:fldChar w:fldCharType="begin"/>
      </w:r>
      <w:r w:rsidR="00835134">
        <w:rPr>
          <w:szCs w:val="24"/>
          <w:lang w:val="es-CO"/>
        </w:rPr>
        <w:instrText xml:space="preserve"> REF _Ref235087336 \h </w:instrText>
      </w:r>
      <w:r w:rsidR="00835134">
        <w:rPr>
          <w:szCs w:val="24"/>
          <w:lang w:val="es-CO"/>
        </w:rPr>
      </w:r>
      <w:r w:rsidR="00835134">
        <w:rPr>
          <w:szCs w:val="24"/>
          <w:lang w:val="es-CO"/>
        </w:rPr>
        <w:fldChar w:fldCharType="separate"/>
      </w:r>
      <w:r w:rsidR="007B086C" w:rsidRPr="00137244">
        <w:rPr>
          <w:lang w:val="es-ES"/>
        </w:rPr>
        <w:t xml:space="preserve">Figura </w:t>
      </w:r>
      <w:r w:rsidR="007B086C">
        <w:rPr>
          <w:noProof/>
          <w:lang w:val="es-ES"/>
        </w:rPr>
        <w:t>19</w:t>
      </w:r>
      <w:r w:rsidR="00835134">
        <w:rPr>
          <w:szCs w:val="24"/>
          <w:lang w:val="es-CO"/>
        </w:rPr>
        <w:fldChar w:fldCharType="end"/>
      </w:r>
      <w:r w:rsidRPr="00B92A05">
        <w:rPr>
          <w:szCs w:val="24"/>
          <w:lang w:val="es-CO"/>
        </w:rPr>
        <w:t xml:space="preserve"> presenta el esquema general utilizado para determinar el porcentaje de gastos de Administración, Operación y Mantenimiento (AOM) reconocido en la tarifa. Para ello, la metodología incorpora criterios de eficiencia diferenciados para mercados existentes y mercados nuevos, garantizando que únicamente se remuneren los costos necesarios para la prestación eficiente del servicio.</w:t>
      </w:r>
    </w:p>
    <w:p w14:paraId="45D8D5B9" w14:textId="6B3240A8" w:rsidR="00017F8D" w:rsidRDefault="00017F8D" w:rsidP="002F1961">
      <w:pPr>
        <w:spacing w:before="100" w:beforeAutospacing="1" w:after="100" w:afterAutospacing="1" w:line="360" w:lineRule="auto"/>
        <w:rPr>
          <w:szCs w:val="24"/>
          <w:lang w:val="es-CO"/>
        </w:rPr>
      </w:pPr>
      <w:r w:rsidRPr="00017F8D">
        <w:rPr>
          <w:szCs w:val="24"/>
          <w:lang w:val="es-CO"/>
        </w:rPr>
        <w:t xml:space="preserve">Para determinar el porcentaje de AOM susceptible de reconocimiento tarifario, la regulación establece criterios diferenciados para mercados existentes y mercados nuevos. </w:t>
      </w:r>
      <w:r w:rsidRPr="00A42EDE">
        <w:rPr>
          <w:szCs w:val="24"/>
          <w:lang w:val="es-CO"/>
        </w:rPr>
        <w:t xml:space="preserve">En la </w:t>
      </w:r>
      <w:r w:rsidR="00A42EDE" w:rsidRPr="00A42EDE">
        <w:rPr>
          <w:szCs w:val="24"/>
          <w:lang w:val="es-CO"/>
        </w:rPr>
        <w:fldChar w:fldCharType="begin"/>
      </w:r>
      <w:r w:rsidR="00A42EDE" w:rsidRPr="00A42EDE">
        <w:rPr>
          <w:szCs w:val="24"/>
          <w:lang w:val="es-CO"/>
        </w:rPr>
        <w:instrText xml:space="preserve"> REF _Ref235087849 \h  \* MERGEFORMAT </w:instrText>
      </w:r>
      <w:r w:rsidR="00A42EDE" w:rsidRPr="00A42EDE">
        <w:rPr>
          <w:szCs w:val="24"/>
          <w:lang w:val="es-CO"/>
        </w:rPr>
      </w:r>
      <w:r w:rsidR="00A42EDE" w:rsidRPr="00A42EDE">
        <w:rPr>
          <w:szCs w:val="24"/>
          <w:lang w:val="es-CO"/>
        </w:rPr>
        <w:fldChar w:fldCharType="separate"/>
      </w:r>
      <w:r w:rsidR="00A42EDE" w:rsidRPr="00A42EDE">
        <w:rPr>
          <w:rFonts w:cs="Arial"/>
          <w:szCs w:val="24"/>
        </w:rPr>
        <w:t xml:space="preserve">Tabla </w:t>
      </w:r>
      <w:r w:rsidR="00A42EDE" w:rsidRPr="00A42EDE">
        <w:rPr>
          <w:rFonts w:cs="Arial"/>
          <w:noProof/>
          <w:szCs w:val="24"/>
        </w:rPr>
        <w:t>4</w:t>
      </w:r>
      <w:r w:rsidR="00A42EDE" w:rsidRPr="00A42EDE">
        <w:rPr>
          <w:szCs w:val="24"/>
          <w:lang w:val="es-CO"/>
        </w:rPr>
        <w:fldChar w:fldCharType="end"/>
      </w:r>
      <w:r w:rsidRPr="00017F8D">
        <w:rPr>
          <w:szCs w:val="24"/>
          <w:lang w:val="es-CO"/>
        </w:rPr>
        <w:t xml:space="preserve"> </w:t>
      </w:r>
      <w:r w:rsidRPr="00017F8D">
        <w:rPr>
          <w:szCs w:val="24"/>
          <w:lang w:val="es-CO"/>
        </w:rPr>
        <w:t>se presentan las variables consideradas para la aplicación del criterio de eficiencia</w:t>
      </w:r>
      <w:r w:rsidR="00A11201">
        <w:rPr>
          <w:szCs w:val="24"/>
          <w:lang w:val="es-CO"/>
        </w:rPr>
        <w:t>.</w:t>
      </w:r>
    </w:p>
    <w:p w14:paraId="3D112A27" w14:textId="49E6DA65" w:rsidR="00D57ACF" w:rsidRPr="00656615" w:rsidRDefault="00A11201" w:rsidP="002F1961">
      <w:pPr>
        <w:pStyle w:val="Descripcin"/>
        <w:keepNext/>
        <w:spacing w:before="100" w:beforeAutospacing="1" w:after="100" w:afterAutospacing="1" w:line="360" w:lineRule="auto"/>
        <w:jc w:val="center"/>
        <w:rPr>
          <w:rFonts w:cs="Arial"/>
          <w:b w:val="0"/>
          <w:bCs/>
          <w:szCs w:val="24"/>
        </w:rPr>
      </w:pPr>
      <w:bookmarkStart w:id="83" w:name="_Ref235087849"/>
      <w:bookmarkStart w:id="84" w:name="_Toc235128401"/>
      <w:r w:rsidRPr="00656615">
        <w:rPr>
          <w:rFonts w:cs="Arial"/>
          <w:b w:val="0"/>
          <w:szCs w:val="24"/>
        </w:rPr>
        <w:t xml:space="preserve">Tabla </w:t>
      </w:r>
      <w:r w:rsidRPr="00656615">
        <w:rPr>
          <w:rFonts w:cs="Arial"/>
          <w:b w:val="0"/>
          <w:szCs w:val="24"/>
        </w:rPr>
        <w:fldChar w:fldCharType="begin"/>
      </w:r>
      <w:r w:rsidRPr="00A42EDE">
        <w:rPr>
          <w:rFonts w:cs="Arial"/>
          <w:b w:val="0"/>
          <w:szCs w:val="24"/>
        </w:rPr>
        <w:instrText xml:space="preserve"> SEQ Tabla \* ARABIC </w:instrText>
      </w:r>
      <w:r w:rsidRPr="00656615">
        <w:rPr>
          <w:rFonts w:cs="Arial"/>
          <w:b w:val="0"/>
          <w:szCs w:val="24"/>
        </w:rPr>
        <w:fldChar w:fldCharType="separate"/>
      </w:r>
      <w:r w:rsidR="005306CB" w:rsidRPr="00A42EDE">
        <w:rPr>
          <w:rFonts w:cs="Arial"/>
          <w:b w:val="0"/>
          <w:szCs w:val="24"/>
        </w:rPr>
        <w:t>4</w:t>
      </w:r>
      <w:r w:rsidRPr="00656615">
        <w:rPr>
          <w:rFonts w:cs="Arial"/>
          <w:b w:val="0"/>
          <w:szCs w:val="24"/>
        </w:rPr>
        <w:fldChar w:fldCharType="end"/>
      </w:r>
      <w:bookmarkEnd w:id="83"/>
      <w:r w:rsidR="00D57ACF" w:rsidRPr="00656615">
        <w:rPr>
          <w:rFonts w:cs="Arial"/>
          <w:b w:val="0"/>
          <w:bCs/>
          <w:szCs w:val="24"/>
        </w:rPr>
        <w:t xml:space="preserve">. </w:t>
      </w:r>
      <w:r w:rsidR="0040781E" w:rsidRPr="00656615">
        <w:rPr>
          <w:rFonts w:cs="Arial"/>
          <w:b w:val="0"/>
          <w:bCs/>
          <w:szCs w:val="24"/>
        </w:rPr>
        <w:t xml:space="preserve">Variables </w:t>
      </w:r>
      <w:r w:rsidR="00656615" w:rsidRPr="00656615">
        <w:rPr>
          <w:rFonts w:cs="Arial"/>
          <w:b w:val="0"/>
          <w:bCs/>
          <w:szCs w:val="24"/>
        </w:rPr>
        <w:t>consideradas para la aplicación del criterio de eficiencia</w:t>
      </w:r>
      <w:bookmarkEnd w:id="84"/>
    </w:p>
    <w:tbl>
      <w:tblPr>
        <w:tblStyle w:val="Tabla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738"/>
        <w:gridCol w:w="3631"/>
        <w:gridCol w:w="4027"/>
      </w:tblGrid>
      <w:tr w:rsidR="00A5636B" w:rsidRPr="00A5636B" w14:paraId="5E23FBC6" w14:textId="77777777" w:rsidTr="002224AD">
        <w:trPr>
          <w:cnfStyle w:val="100000000000" w:firstRow="1" w:lastRow="0" w:firstColumn="0" w:lastColumn="0" w:oddVBand="0" w:evenVBand="0" w:oddHBand="0" w:evenHBand="0" w:firstRowFirstColumn="0" w:firstRowLastColumn="0" w:lastRowFirstColumn="0" w:lastRowLastColumn="0"/>
          <w:trHeight w:val="303"/>
          <w:tblHeader/>
        </w:trPr>
        <w:tc>
          <w:tcPr>
            <w:tcW w:w="0" w:type="auto"/>
            <w:shd w:val="clear" w:color="auto" w:fill="D9D9D9" w:themeFill="background1" w:themeFillShade="D9"/>
            <w:hideMark/>
          </w:tcPr>
          <w:p w14:paraId="42847C5A" w14:textId="77777777" w:rsidR="00A5636B" w:rsidRPr="00A5636B" w:rsidRDefault="00A5636B" w:rsidP="002F1961">
            <w:pPr>
              <w:spacing w:before="100" w:beforeAutospacing="1" w:after="100" w:afterAutospacing="1" w:line="360" w:lineRule="auto"/>
              <w:jc w:val="center"/>
              <w:rPr>
                <w:sz w:val="20"/>
                <w:lang w:val="es-CO"/>
              </w:rPr>
            </w:pPr>
            <w:r w:rsidRPr="00A5636B">
              <w:rPr>
                <w:sz w:val="20"/>
                <w:lang w:val="es-CO"/>
              </w:rPr>
              <w:t>Término</w:t>
            </w:r>
          </w:p>
        </w:tc>
        <w:tc>
          <w:tcPr>
            <w:tcW w:w="0" w:type="auto"/>
            <w:shd w:val="clear" w:color="auto" w:fill="D9D9D9" w:themeFill="background1" w:themeFillShade="D9"/>
            <w:hideMark/>
          </w:tcPr>
          <w:p w14:paraId="6FA35605" w14:textId="77777777" w:rsidR="00A5636B" w:rsidRPr="00A5636B" w:rsidRDefault="00A5636B" w:rsidP="002F1961">
            <w:pPr>
              <w:spacing w:before="100" w:beforeAutospacing="1" w:after="100" w:afterAutospacing="1" w:line="360" w:lineRule="auto"/>
              <w:jc w:val="center"/>
              <w:rPr>
                <w:sz w:val="20"/>
                <w:lang w:val="es-CO"/>
              </w:rPr>
            </w:pPr>
            <w:r w:rsidRPr="00A5636B">
              <w:rPr>
                <w:sz w:val="20"/>
                <w:lang w:val="es-CO"/>
              </w:rPr>
              <w:t>Mercados Existentes</w:t>
            </w:r>
          </w:p>
        </w:tc>
        <w:tc>
          <w:tcPr>
            <w:tcW w:w="0" w:type="auto"/>
            <w:shd w:val="clear" w:color="auto" w:fill="D9D9D9" w:themeFill="background1" w:themeFillShade="D9"/>
            <w:hideMark/>
          </w:tcPr>
          <w:p w14:paraId="6827E909" w14:textId="77777777" w:rsidR="00A5636B" w:rsidRPr="00A5636B" w:rsidRDefault="00A5636B" w:rsidP="002F1961">
            <w:pPr>
              <w:spacing w:before="100" w:beforeAutospacing="1" w:after="100" w:afterAutospacing="1" w:line="360" w:lineRule="auto"/>
              <w:jc w:val="center"/>
              <w:rPr>
                <w:sz w:val="20"/>
                <w:lang w:val="es-CO"/>
              </w:rPr>
            </w:pPr>
            <w:r w:rsidRPr="00A5636B">
              <w:rPr>
                <w:sz w:val="20"/>
                <w:lang w:val="es-CO"/>
              </w:rPr>
              <w:t>Mercados Nuevos</w:t>
            </w:r>
          </w:p>
        </w:tc>
      </w:tr>
      <w:tr w:rsidR="00A5636B" w:rsidRPr="00A5636B" w14:paraId="6C1B7532" w14:textId="77777777" w:rsidTr="002224AD">
        <w:trPr>
          <w:cnfStyle w:val="000000100000" w:firstRow="0" w:lastRow="0" w:firstColumn="0" w:lastColumn="0" w:oddVBand="0" w:evenVBand="0" w:oddHBand="1" w:evenHBand="0" w:firstRowFirstColumn="0" w:firstRowLastColumn="0" w:lastRowFirstColumn="0" w:lastRowLastColumn="0"/>
          <w:trHeight w:val="584"/>
        </w:trPr>
        <w:tc>
          <w:tcPr>
            <w:tcW w:w="0" w:type="auto"/>
            <w:hideMark/>
          </w:tcPr>
          <w:p w14:paraId="6E3D9737" w14:textId="4BDF03C1" w:rsidR="002224AD" w:rsidRDefault="00000000" w:rsidP="002224AD">
            <w:pPr>
              <w:spacing w:before="100" w:beforeAutospacing="1" w:after="100" w:afterAutospacing="1" w:line="360" w:lineRule="auto"/>
              <w:jc w:val="center"/>
              <w:rPr>
                <w:sz w:val="20"/>
                <w:lang w:val="es-CO"/>
              </w:rPr>
            </w:pPr>
            <m:oMathPara>
              <m:oMath>
                <m:f>
                  <m:fPr>
                    <m:ctrlPr>
                      <w:rPr>
                        <w:rFonts w:ascii="Cambria Math" w:hAnsi="Cambria Math"/>
                        <w:i/>
                        <w:iCs/>
                        <w:sz w:val="20"/>
                        <w:lang w:val="es-CO"/>
                      </w:rPr>
                    </m:ctrlPr>
                  </m:fPr>
                  <m:num>
                    <m:r>
                      <m:rPr>
                        <m:sty m:val="p"/>
                      </m:rPr>
                      <w:rPr>
                        <w:rFonts w:ascii="Cambria Math" w:hAnsi="Cambria Math"/>
                        <w:sz w:val="20"/>
                        <w:lang w:val="es-CO"/>
                      </w:rPr>
                      <m:t>AO</m:t>
                    </m:r>
                    <m:sSub>
                      <m:sSubPr>
                        <m:ctrlPr>
                          <w:rPr>
                            <w:rFonts w:ascii="Cambria Math" w:hAnsi="Cambria Math"/>
                            <w:i/>
                            <w:iCs/>
                            <w:sz w:val="20"/>
                            <w:lang w:val="es-CO"/>
                          </w:rPr>
                        </m:ctrlPr>
                      </m:sSubPr>
                      <m:e>
                        <m:r>
                          <m:rPr>
                            <m:sty m:val="p"/>
                          </m:rPr>
                          <w:rPr>
                            <w:rFonts w:ascii="Cambria Math" w:hAnsi="Cambria Math"/>
                            <w:sz w:val="20"/>
                            <w:lang w:val="es-CO"/>
                          </w:rPr>
                          <m:t>M</m:t>
                        </m:r>
                      </m:e>
                      <m:sub>
                        <m:sSub>
                          <m:sSubPr>
                            <m:ctrlPr>
                              <w:rPr>
                                <w:rFonts w:ascii="Cambria Math" w:hAnsi="Cambria Math"/>
                                <w:i/>
                                <w:iCs/>
                                <w:sz w:val="20"/>
                                <w:lang w:val="es-CO"/>
                              </w:rPr>
                            </m:ctrlPr>
                          </m:sSubPr>
                          <m:e>
                            <m:r>
                              <m:rPr>
                                <m:sty m:val="p"/>
                              </m:rPr>
                              <w:rPr>
                                <w:rFonts w:ascii="Cambria Math" w:hAnsi="Cambria Math"/>
                                <w:sz w:val="20"/>
                                <w:lang w:val="es-CO"/>
                              </w:rPr>
                              <m:t>r</m:t>
                            </m:r>
                          </m:e>
                          <m:sub>
                            <m:r>
                              <m:rPr>
                                <m:sty m:val="p"/>
                              </m:rPr>
                              <w:rPr>
                                <w:rFonts w:ascii="Cambria Math" w:hAnsi="Cambria Math"/>
                                <w:sz w:val="20"/>
                                <w:lang w:val="es-CO"/>
                              </w:rPr>
                              <m:t>k</m:t>
                            </m:r>
                          </m:sub>
                        </m:sSub>
                      </m:sub>
                    </m:sSub>
                  </m:num>
                  <m:den>
                    <m:r>
                      <m:rPr>
                        <m:sty m:val="p"/>
                      </m:rPr>
                      <w:rPr>
                        <w:rFonts w:ascii="Cambria Math" w:hAnsi="Cambria Math"/>
                        <w:sz w:val="20"/>
                        <w:lang w:val="es-CO"/>
                      </w:rPr>
                      <m:t>BR</m:t>
                    </m:r>
                    <m:sSub>
                      <m:sSubPr>
                        <m:ctrlPr>
                          <w:rPr>
                            <w:rFonts w:ascii="Cambria Math" w:hAnsi="Cambria Math"/>
                            <w:i/>
                            <w:iCs/>
                            <w:sz w:val="20"/>
                            <w:lang w:val="es-CO"/>
                          </w:rPr>
                        </m:ctrlPr>
                      </m:sSubPr>
                      <m:e>
                        <m:r>
                          <m:rPr>
                            <m:sty m:val="p"/>
                          </m:rPr>
                          <w:rPr>
                            <w:rFonts w:ascii="Cambria Math" w:hAnsi="Cambria Math"/>
                            <w:sz w:val="20"/>
                            <w:lang w:val="es-CO"/>
                          </w:rPr>
                          <m:t>A</m:t>
                        </m:r>
                      </m:e>
                      <m:sub>
                        <m:r>
                          <m:rPr>
                            <m:sty m:val="p"/>
                          </m:rPr>
                          <w:rPr>
                            <w:rFonts w:ascii="Cambria Math" w:hAnsi="Cambria Math"/>
                            <w:sz w:val="20"/>
                            <w:lang w:val="es-CO"/>
                          </w:rPr>
                          <m:t>k</m:t>
                        </m:r>
                      </m:sub>
                    </m:sSub>
                  </m:den>
                </m:f>
              </m:oMath>
            </m:oMathPara>
          </w:p>
          <w:p w14:paraId="257EBE49" w14:textId="4663659A" w:rsidR="00A5636B" w:rsidRPr="00A5636B" w:rsidRDefault="00A5636B" w:rsidP="002224AD">
            <w:pPr>
              <w:spacing w:before="100" w:beforeAutospacing="1" w:after="100" w:afterAutospacing="1" w:line="360" w:lineRule="auto"/>
              <w:jc w:val="center"/>
              <w:rPr>
                <w:sz w:val="20"/>
                <w:lang w:val="es-CO"/>
              </w:rPr>
            </w:pPr>
            <w:r w:rsidRPr="00A5636B">
              <w:rPr>
                <w:sz w:val="20"/>
                <w:lang w:val="es-CO"/>
              </w:rPr>
              <w:t>(reportado)</w:t>
            </w:r>
          </w:p>
        </w:tc>
        <w:tc>
          <w:tcPr>
            <w:tcW w:w="0" w:type="auto"/>
            <w:hideMark/>
          </w:tcPr>
          <w:p w14:paraId="0A56CAD1" w14:textId="77777777" w:rsidR="00A5636B" w:rsidRPr="00A5636B" w:rsidRDefault="00A5636B" w:rsidP="002F1961">
            <w:pPr>
              <w:spacing w:before="100" w:beforeAutospacing="1" w:after="100" w:afterAutospacing="1" w:line="360" w:lineRule="auto"/>
              <w:jc w:val="left"/>
              <w:rPr>
                <w:sz w:val="20"/>
                <w:lang w:val="es-CO"/>
              </w:rPr>
            </w:pPr>
            <w:r w:rsidRPr="00A5636B">
              <w:rPr>
                <w:sz w:val="20"/>
                <w:lang w:val="es-CO"/>
              </w:rPr>
              <w:t>Relación entre los AOM reportados y asignados al mercado y la Base Regulatoria de Activos a diciembre de 2016.</w:t>
            </w:r>
          </w:p>
        </w:tc>
        <w:tc>
          <w:tcPr>
            <w:tcW w:w="0" w:type="auto"/>
            <w:hideMark/>
          </w:tcPr>
          <w:p w14:paraId="3EAF74AA" w14:textId="77777777" w:rsidR="00A5636B" w:rsidRPr="00A5636B" w:rsidRDefault="00A5636B" w:rsidP="002F1961">
            <w:pPr>
              <w:spacing w:before="100" w:beforeAutospacing="1" w:after="100" w:afterAutospacing="1" w:line="360" w:lineRule="auto"/>
              <w:jc w:val="left"/>
              <w:rPr>
                <w:sz w:val="20"/>
                <w:lang w:val="es-CO"/>
              </w:rPr>
            </w:pPr>
            <w:r w:rsidRPr="00A5636B">
              <w:rPr>
                <w:sz w:val="20"/>
                <w:lang w:val="es-CO"/>
              </w:rPr>
              <w:t>Relación entre el promedio de los AOM proyectados para los primeros cinco (5) años y la suma de las inversiones proyectadas.</w:t>
            </w:r>
          </w:p>
        </w:tc>
      </w:tr>
      <w:tr w:rsidR="00A5636B" w:rsidRPr="00A5636B" w14:paraId="0FF44988" w14:textId="77777777" w:rsidTr="002224AD">
        <w:trPr>
          <w:trHeight w:val="584"/>
        </w:trPr>
        <w:tc>
          <w:tcPr>
            <w:tcW w:w="0" w:type="auto"/>
            <w:hideMark/>
          </w:tcPr>
          <w:p w14:paraId="746BFE64" w14:textId="604DC03F" w:rsidR="00A5636B" w:rsidRPr="00A5636B" w:rsidRDefault="00000000" w:rsidP="002224AD">
            <w:pPr>
              <w:spacing w:before="100" w:beforeAutospacing="1" w:after="100" w:afterAutospacing="1" w:line="360" w:lineRule="auto"/>
              <w:jc w:val="center"/>
              <w:rPr>
                <w:sz w:val="20"/>
                <w:lang w:val="es-CO"/>
              </w:rPr>
            </w:pPr>
            <m:oMath>
              <m:f>
                <m:fPr>
                  <m:ctrlPr>
                    <w:rPr>
                      <w:rFonts w:ascii="Cambria Math" w:hAnsi="Cambria Math"/>
                      <w:i/>
                      <w:iCs/>
                      <w:sz w:val="20"/>
                      <w:lang w:val="es-CO"/>
                    </w:rPr>
                  </m:ctrlPr>
                </m:fPr>
                <m:num>
                  <m:f>
                    <m:fPr>
                      <m:ctrlPr>
                        <w:rPr>
                          <w:rFonts w:ascii="Cambria Math" w:hAnsi="Cambria Math"/>
                          <w:i/>
                          <w:iCs/>
                          <w:sz w:val="20"/>
                          <w:lang w:val="es-CO"/>
                        </w:rPr>
                      </m:ctrlPr>
                    </m:fPr>
                    <m:num>
                      <m:r>
                        <w:rPr>
                          <w:rFonts w:ascii="Cambria Math" w:hAnsi="Cambria Math"/>
                          <w:sz w:val="20"/>
                          <w:lang w:val="es-CO"/>
                        </w:rPr>
                        <m:t>AO</m:t>
                      </m:r>
                      <m:sSub>
                        <m:sSubPr>
                          <m:ctrlPr>
                            <w:rPr>
                              <w:rFonts w:ascii="Cambria Math" w:hAnsi="Cambria Math"/>
                              <w:i/>
                              <w:iCs/>
                              <w:sz w:val="20"/>
                              <w:lang w:val="es-CO"/>
                            </w:rPr>
                          </m:ctrlPr>
                        </m:sSubPr>
                        <m:e>
                          <m:r>
                            <w:rPr>
                              <w:rFonts w:ascii="Cambria Math" w:hAnsi="Cambria Math"/>
                              <w:sz w:val="20"/>
                              <w:lang w:val="es-CO"/>
                            </w:rPr>
                            <m:t>M</m:t>
                          </m:r>
                        </m:e>
                        <m:sub>
                          <m:sSub>
                            <m:sSubPr>
                              <m:ctrlPr>
                                <w:rPr>
                                  <w:rFonts w:ascii="Cambria Math" w:hAnsi="Cambria Math"/>
                                  <w:i/>
                                  <w:iCs/>
                                  <w:sz w:val="20"/>
                                  <w:lang w:val="es-CO"/>
                                </w:rPr>
                              </m:ctrlPr>
                            </m:sSubPr>
                            <m:e>
                              <m:r>
                                <w:rPr>
                                  <w:rFonts w:ascii="Cambria Math" w:hAnsi="Cambria Math"/>
                                  <w:sz w:val="20"/>
                                  <w:lang w:val="es-CO"/>
                                </w:rPr>
                                <m:t>011</m:t>
                              </m:r>
                            </m:e>
                            <m:sub>
                              <m:r>
                                <w:rPr>
                                  <w:rFonts w:ascii="Cambria Math" w:hAnsi="Cambria Math"/>
                                  <w:sz w:val="20"/>
                                  <w:lang w:val="es-CO"/>
                                </w:rPr>
                                <m:t>k</m:t>
                              </m:r>
                            </m:sub>
                          </m:sSub>
                        </m:sub>
                      </m:sSub>
                    </m:num>
                    <m:den>
                      <m:r>
                        <w:rPr>
                          <w:rFonts w:ascii="Cambria Math" w:hAnsi="Cambria Math"/>
                          <w:sz w:val="20"/>
                          <w:lang w:val="es-CO"/>
                        </w:rPr>
                        <m:t>BR</m:t>
                      </m:r>
                      <m:sSub>
                        <m:sSubPr>
                          <m:ctrlPr>
                            <w:rPr>
                              <w:rFonts w:ascii="Cambria Math" w:hAnsi="Cambria Math"/>
                              <w:i/>
                              <w:iCs/>
                              <w:sz w:val="20"/>
                              <w:lang w:val="es-CO"/>
                            </w:rPr>
                          </m:ctrlPr>
                        </m:sSubPr>
                        <m:e>
                          <m:r>
                            <w:rPr>
                              <w:rFonts w:ascii="Cambria Math" w:hAnsi="Cambria Math"/>
                              <w:sz w:val="20"/>
                              <w:lang w:val="es-CO"/>
                            </w:rPr>
                            <m:t>A</m:t>
                          </m:r>
                        </m:e>
                        <m:sub>
                          <m:sSub>
                            <m:sSubPr>
                              <m:ctrlPr>
                                <w:rPr>
                                  <w:rFonts w:ascii="Cambria Math" w:hAnsi="Cambria Math"/>
                                  <w:i/>
                                  <w:iCs/>
                                  <w:sz w:val="20"/>
                                  <w:lang w:val="es-CO"/>
                                </w:rPr>
                              </m:ctrlPr>
                            </m:sSubPr>
                            <m:e>
                              <m:r>
                                <w:rPr>
                                  <w:rFonts w:ascii="Cambria Math" w:hAnsi="Cambria Math"/>
                                  <w:sz w:val="20"/>
                                  <w:lang w:val="es-CO"/>
                                </w:rPr>
                                <m:t>011</m:t>
                              </m:r>
                            </m:e>
                            <m:sub>
                              <m:r>
                                <w:rPr>
                                  <w:rFonts w:ascii="Cambria Math" w:hAnsi="Cambria Math"/>
                                  <w:sz w:val="20"/>
                                  <w:lang w:val="es-CO"/>
                                </w:rPr>
                                <m:t>k</m:t>
                              </m:r>
                            </m:sub>
                          </m:sSub>
                        </m:sub>
                      </m:sSub>
                    </m:den>
                  </m:f>
                  <m:r>
                    <m:rPr>
                      <m:sty m:val="p"/>
                    </m:rPr>
                    <w:rPr>
                      <w:rFonts w:ascii="Cambria Math" w:hAnsi="Cambria Math"/>
                      <w:sz w:val="20"/>
                      <w:lang w:val="es-CO"/>
                    </w:rPr>
                    <m:t>+</m:t>
                  </m:r>
                  <m:f>
                    <m:fPr>
                      <m:ctrlPr>
                        <w:rPr>
                          <w:rFonts w:ascii="Cambria Math" w:hAnsi="Cambria Math"/>
                          <w:i/>
                          <w:iCs/>
                          <w:sz w:val="20"/>
                          <w:lang w:val="es-CO"/>
                        </w:rPr>
                      </m:ctrlPr>
                    </m:fPr>
                    <m:num>
                      <m:r>
                        <m:rPr>
                          <m:sty m:val="p"/>
                        </m:rPr>
                        <w:rPr>
                          <w:rFonts w:ascii="Cambria Math" w:hAnsi="Cambria Math"/>
                          <w:sz w:val="20"/>
                          <w:lang w:val="es-CO"/>
                        </w:rPr>
                        <m:t>AO</m:t>
                      </m:r>
                      <m:sSub>
                        <m:sSubPr>
                          <m:ctrlPr>
                            <w:rPr>
                              <w:rFonts w:ascii="Cambria Math" w:hAnsi="Cambria Math"/>
                              <w:i/>
                              <w:iCs/>
                              <w:sz w:val="20"/>
                              <w:lang w:val="es-CO"/>
                            </w:rPr>
                          </m:ctrlPr>
                        </m:sSubPr>
                        <m:e>
                          <m:r>
                            <m:rPr>
                              <m:sty m:val="p"/>
                            </m:rPr>
                            <w:rPr>
                              <w:rFonts w:ascii="Cambria Math" w:hAnsi="Cambria Math"/>
                              <w:sz w:val="20"/>
                              <w:lang w:val="es-CO"/>
                            </w:rPr>
                            <m:t>M</m:t>
                          </m:r>
                        </m:e>
                        <m:sub>
                          <m:sSub>
                            <m:sSubPr>
                              <m:ctrlPr>
                                <w:rPr>
                                  <w:rFonts w:ascii="Cambria Math" w:hAnsi="Cambria Math"/>
                                  <w:i/>
                                  <w:iCs/>
                                  <w:sz w:val="20"/>
                                  <w:lang w:val="es-CO"/>
                                </w:rPr>
                              </m:ctrlPr>
                            </m:sSubPr>
                            <m:e>
                              <m:r>
                                <m:rPr>
                                  <m:sty m:val="p"/>
                                </m:rPr>
                                <w:rPr>
                                  <w:rFonts w:ascii="Cambria Math" w:hAnsi="Cambria Math"/>
                                  <w:sz w:val="20"/>
                                  <w:lang w:val="es-CO"/>
                                </w:rPr>
                                <m:t>r</m:t>
                              </m:r>
                            </m:e>
                            <m:sub>
                              <m:r>
                                <m:rPr>
                                  <m:sty m:val="p"/>
                                </m:rPr>
                                <w:rPr>
                                  <w:rFonts w:ascii="Cambria Math" w:hAnsi="Cambria Math"/>
                                  <w:sz w:val="20"/>
                                  <w:lang w:val="es-CO"/>
                                </w:rPr>
                                <m:t>k</m:t>
                              </m:r>
                            </m:sub>
                          </m:sSub>
                        </m:sub>
                      </m:sSub>
                    </m:num>
                    <m:den>
                      <m:r>
                        <m:rPr>
                          <m:sty m:val="p"/>
                        </m:rPr>
                        <w:rPr>
                          <w:rFonts w:ascii="Cambria Math" w:hAnsi="Cambria Math"/>
                          <w:sz w:val="20"/>
                          <w:lang w:val="es-CO"/>
                        </w:rPr>
                        <m:t>BR</m:t>
                      </m:r>
                      <m:sSub>
                        <m:sSubPr>
                          <m:ctrlPr>
                            <w:rPr>
                              <w:rFonts w:ascii="Cambria Math" w:hAnsi="Cambria Math"/>
                              <w:i/>
                              <w:iCs/>
                              <w:sz w:val="20"/>
                              <w:lang w:val="es-CO"/>
                            </w:rPr>
                          </m:ctrlPr>
                        </m:sSubPr>
                        <m:e>
                          <m:r>
                            <m:rPr>
                              <m:sty m:val="p"/>
                            </m:rPr>
                            <w:rPr>
                              <w:rFonts w:ascii="Cambria Math" w:hAnsi="Cambria Math"/>
                              <w:sz w:val="20"/>
                              <w:lang w:val="es-CO"/>
                            </w:rPr>
                            <m:t>A</m:t>
                          </m:r>
                        </m:e>
                        <m:sub>
                          <m:r>
                            <m:rPr>
                              <m:sty m:val="p"/>
                            </m:rPr>
                            <w:rPr>
                              <w:rFonts w:ascii="Cambria Math" w:hAnsi="Cambria Math"/>
                              <w:sz w:val="20"/>
                              <w:lang w:val="es-CO"/>
                            </w:rPr>
                            <m:t>k</m:t>
                          </m:r>
                        </m:sub>
                      </m:sSub>
                    </m:den>
                  </m:f>
                </m:num>
                <m:den>
                  <m:r>
                    <m:rPr>
                      <m:sty m:val="p"/>
                    </m:rPr>
                    <w:rPr>
                      <w:rFonts w:ascii="Cambria Math" w:hAnsi="Cambria Math"/>
                      <w:sz w:val="20"/>
                      <w:lang w:val="es-CO"/>
                    </w:rPr>
                    <m:t>2</m:t>
                  </m:r>
                </m:den>
              </m:f>
            </m:oMath>
            <w:r w:rsidR="00A5636B" w:rsidRPr="00A5636B">
              <w:rPr>
                <w:sz w:val="20"/>
                <w:lang w:val="es-CO"/>
              </w:rPr>
              <w:t xml:space="preserve"> (semi-suma)</w:t>
            </w:r>
          </w:p>
        </w:tc>
        <w:tc>
          <w:tcPr>
            <w:tcW w:w="0" w:type="auto"/>
            <w:hideMark/>
          </w:tcPr>
          <w:p w14:paraId="6E0B2CA6" w14:textId="77777777" w:rsidR="00A5636B" w:rsidRPr="00A5636B" w:rsidRDefault="00A5636B" w:rsidP="002F1961">
            <w:pPr>
              <w:spacing w:before="100" w:beforeAutospacing="1" w:after="100" w:afterAutospacing="1" w:line="360" w:lineRule="auto"/>
              <w:jc w:val="left"/>
              <w:rPr>
                <w:sz w:val="20"/>
                <w:lang w:val="es-CO"/>
              </w:rPr>
            </w:pPr>
            <w:r w:rsidRPr="00A5636B">
              <w:rPr>
                <w:sz w:val="20"/>
                <w:lang w:val="es-CO"/>
              </w:rPr>
              <w:t>Promedio entre la relación de AOM/BRA reconocida en el cargo anterior y el reportado.</w:t>
            </w:r>
          </w:p>
        </w:tc>
        <w:tc>
          <w:tcPr>
            <w:tcW w:w="0" w:type="auto"/>
            <w:hideMark/>
          </w:tcPr>
          <w:p w14:paraId="3DBCD2EB" w14:textId="77777777" w:rsidR="00A5636B" w:rsidRPr="00A5636B" w:rsidRDefault="00A5636B" w:rsidP="002F1961">
            <w:pPr>
              <w:spacing w:before="100" w:beforeAutospacing="1" w:after="100" w:afterAutospacing="1" w:line="360" w:lineRule="auto"/>
              <w:jc w:val="left"/>
              <w:rPr>
                <w:sz w:val="20"/>
                <w:lang w:val="es-CO"/>
              </w:rPr>
            </w:pPr>
            <w:r w:rsidRPr="00A5636B">
              <w:rPr>
                <w:sz w:val="20"/>
                <w:lang w:val="es-CO"/>
              </w:rPr>
              <w:t>No aplica.</w:t>
            </w:r>
          </w:p>
        </w:tc>
      </w:tr>
      <w:tr w:rsidR="00A5636B" w:rsidRPr="00A5636B" w14:paraId="6CFEF4B3" w14:textId="77777777" w:rsidTr="002224AD">
        <w:trPr>
          <w:cnfStyle w:val="000000100000" w:firstRow="0" w:lastRow="0" w:firstColumn="0" w:lastColumn="0" w:oddVBand="0" w:evenVBand="0" w:oddHBand="1" w:evenHBand="0" w:firstRowFirstColumn="0" w:firstRowLastColumn="0" w:lastRowFirstColumn="0" w:lastRowLastColumn="0"/>
          <w:trHeight w:val="584"/>
        </w:trPr>
        <w:tc>
          <w:tcPr>
            <w:tcW w:w="0" w:type="auto"/>
            <w:hideMark/>
          </w:tcPr>
          <w:p w14:paraId="29B596D0" w14:textId="5570AA35" w:rsidR="00A5636B" w:rsidRPr="00A5636B" w:rsidRDefault="00A5636B" w:rsidP="002224AD">
            <w:pPr>
              <w:spacing w:before="100" w:beforeAutospacing="1" w:after="100" w:afterAutospacing="1" w:line="360" w:lineRule="auto"/>
              <w:jc w:val="center"/>
              <w:rPr>
                <w:sz w:val="20"/>
                <w:lang w:val="es-CO"/>
              </w:rPr>
            </w:pPr>
            <m:oMath>
              <m:r>
                <m:rPr>
                  <m:sty m:val="p"/>
                </m:rPr>
                <w:rPr>
                  <w:rFonts w:ascii="Cambria Math" w:hAnsi="Cambria Math"/>
                  <w:sz w:val="20"/>
                  <w:lang w:val="es-CO"/>
                </w:rPr>
                <m:t>%</m:t>
              </m:r>
              <m:sSub>
                <m:sSubPr>
                  <m:ctrlPr>
                    <w:rPr>
                      <w:rFonts w:ascii="Cambria Math" w:hAnsi="Cambria Math"/>
                      <w:i/>
                      <w:iCs/>
                      <w:sz w:val="20"/>
                      <w:lang w:val="es-CO"/>
                    </w:rPr>
                  </m:ctrlPr>
                </m:sSubPr>
                <m:e>
                  <m:r>
                    <m:rPr>
                      <m:sty m:val="p"/>
                    </m:rPr>
                    <w:rPr>
                      <w:rFonts w:ascii="Cambria Math" w:hAnsi="Cambria Math"/>
                      <w:sz w:val="20"/>
                      <w:lang w:val="es-CO"/>
                    </w:rPr>
                    <m:t>AOM</m:t>
                  </m:r>
                </m:e>
                <m:sub>
                  <m:func>
                    <m:funcPr>
                      <m:ctrlPr>
                        <w:rPr>
                          <w:rFonts w:ascii="Cambria Math" w:hAnsi="Cambria Math"/>
                          <w:i/>
                          <w:iCs/>
                          <w:sz w:val="20"/>
                          <w:lang w:val="es-CO"/>
                        </w:rPr>
                      </m:ctrlPr>
                    </m:funcPr>
                    <m:fName>
                      <m:r>
                        <m:rPr>
                          <m:sty m:val="p"/>
                        </m:rPr>
                        <w:rPr>
                          <w:rFonts w:ascii="Cambria Math" w:hAnsi="Cambria Math"/>
                          <w:sz w:val="20"/>
                          <w:lang w:val="es-CO"/>
                        </w:rPr>
                        <m:t>max</m:t>
                      </m:r>
                    </m:fName>
                    <m:e>
                      <m:r>
                        <m:rPr>
                          <m:sty m:val="p"/>
                        </m:rPr>
                        <w:rPr>
                          <w:rFonts w:ascii="Cambria Math" w:hAnsi="Cambria Math"/>
                          <w:sz w:val="20"/>
                          <w:lang w:val="es-CO"/>
                        </w:rPr>
                        <m:t>rec k</m:t>
                      </m:r>
                    </m:e>
                  </m:func>
                </m:sub>
              </m:sSub>
            </m:oMath>
            <w:r w:rsidRPr="00A5636B">
              <w:rPr>
                <w:sz w:val="20"/>
                <w:lang w:val="es-CO"/>
              </w:rPr>
              <w:t xml:space="preserve"> (techo)</w:t>
            </w:r>
          </w:p>
        </w:tc>
        <w:tc>
          <w:tcPr>
            <w:tcW w:w="0" w:type="auto"/>
            <w:hideMark/>
          </w:tcPr>
          <w:p w14:paraId="36676A14" w14:textId="77777777" w:rsidR="00A5636B" w:rsidRPr="00A5636B" w:rsidRDefault="00A5636B" w:rsidP="002F1961">
            <w:pPr>
              <w:spacing w:before="100" w:beforeAutospacing="1" w:after="100" w:afterAutospacing="1" w:line="360" w:lineRule="auto"/>
              <w:jc w:val="left"/>
              <w:rPr>
                <w:sz w:val="20"/>
                <w:lang w:val="es-CO"/>
              </w:rPr>
            </w:pPr>
            <w:r w:rsidRPr="00A5636B">
              <w:rPr>
                <w:sz w:val="20"/>
                <w:lang w:val="es-CO"/>
              </w:rPr>
              <w:t xml:space="preserve">Porcentaje de AOM máximo a reconocer según </w:t>
            </w:r>
            <w:proofErr w:type="spellStart"/>
            <w:proofErr w:type="gramStart"/>
            <w:r w:rsidRPr="00A5636B">
              <w:rPr>
                <w:sz w:val="20"/>
                <w:lang w:val="es-CO"/>
              </w:rPr>
              <w:t>clusters</w:t>
            </w:r>
            <w:proofErr w:type="spellEnd"/>
            <w:proofErr w:type="gramEnd"/>
            <w:r w:rsidRPr="00A5636B">
              <w:rPr>
                <w:sz w:val="20"/>
                <w:lang w:val="es-CO"/>
              </w:rPr>
              <w:t xml:space="preserve"> de municipios.</w:t>
            </w:r>
          </w:p>
        </w:tc>
        <w:tc>
          <w:tcPr>
            <w:tcW w:w="0" w:type="auto"/>
            <w:hideMark/>
          </w:tcPr>
          <w:p w14:paraId="385D43CE" w14:textId="77777777" w:rsidR="00A5636B" w:rsidRPr="00A5636B" w:rsidRDefault="00A5636B" w:rsidP="002F1961">
            <w:pPr>
              <w:spacing w:before="100" w:beforeAutospacing="1" w:after="100" w:afterAutospacing="1" w:line="360" w:lineRule="auto"/>
              <w:jc w:val="left"/>
              <w:rPr>
                <w:sz w:val="20"/>
                <w:lang w:val="es-CO"/>
              </w:rPr>
            </w:pPr>
            <w:r w:rsidRPr="00A5636B">
              <w:rPr>
                <w:sz w:val="20"/>
                <w:lang w:val="es-CO"/>
              </w:rPr>
              <w:t xml:space="preserve">Porcentaje de AOM máximo a reconocer según </w:t>
            </w:r>
            <w:proofErr w:type="spellStart"/>
            <w:proofErr w:type="gramStart"/>
            <w:r w:rsidRPr="00A5636B">
              <w:rPr>
                <w:sz w:val="20"/>
                <w:lang w:val="es-CO"/>
              </w:rPr>
              <w:t>clusters</w:t>
            </w:r>
            <w:proofErr w:type="spellEnd"/>
            <w:proofErr w:type="gramEnd"/>
            <w:r w:rsidRPr="00A5636B">
              <w:rPr>
                <w:sz w:val="20"/>
                <w:lang w:val="es-CO"/>
              </w:rPr>
              <w:t xml:space="preserve"> de municipios.</w:t>
            </w:r>
          </w:p>
        </w:tc>
      </w:tr>
    </w:tbl>
    <w:p w14:paraId="0FFB42BF" w14:textId="018C82DB" w:rsidR="003B09FE" w:rsidRPr="002224AD" w:rsidRDefault="00AE7A9A" w:rsidP="002F1961">
      <w:pPr>
        <w:spacing w:before="100" w:beforeAutospacing="1" w:after="100" w:afterAutospacing="1" w:line="360" w:lineRule="auto"/>
        <w:jc w:val="center"/>
        <w:rPr>
          <w:sz w:val="22"/>
          <w:szCs w:val="22"/>
          <w:lang w:val="es-CO"/>
        </w:rPr>
      </w:pPr>
      <w:r w:rsidRPr="002224AD">
        <w:rPr>
          <w:sz w:val="22"/>
          <w:szCs w:val="22"/>
          <w:lang w:val="es-CO"/>
        </w:rPr>
        <w:t>Elaboración: CREG</w:t>
      </w:r>
    </w:p>
    <w:p w14:paraId="0B19AC22" w14:textId="7764199A" w:rsidR="00BD69F8" w:rsidRDefault="000A61C6">
      <w:pPr>
        <w:pStyle w:val="Prrafodelista"/>
        <w:numPr>
          <w:ilvl w:val="0"/>
          <w:numId w:val="28"/>
        </w:numPr>
        <w:spacing w:before="100" w:beforeAutospacing="1" w:after="100" w:afterAutospacing="1" w:line="360" w:lineRule="auto"/>
        <w:jc w:val="left"/>
        <w:rPr>
          <w:b/>
          <w:bCs/>
          <w:szCs w:val="24"/>
          <w:lang w:val="es-CO"/>
        </w:rPr>
      </w:pPr>
      <w:r w:rsidRPr="000A61C6">
        <w:rPr>
          <w:b/>
          <w:bCs/>
          <w:szCs w:val="24"/>
          <w:lang w:val="es-CO"/>
        </w:rPr>
        <w:t>Demanda</w:t>
      </w:r>
      <w:r w:rsidR="00D52783">
        <w:rPr>
          <w:b/>
          <w:bCs/>
          <w:szCs w:val="24"/>
          <w:lang w:val="es-CO"/>
        </w:rPr>
        <w:t xml:space="preserve"> reconocida</w:t>
      </w:r>
    </w:p>
    <w:p w14:paraId="65E63903" w14:textId="1C752BBD" w:rsidR="007A5025" w:rsidRPr="007A5025" w:rsidRDefault="007A5025" w:rsidP="002F1961">
      <w:pPr>
        <w:spacing w:before="100" w:beforeAutospacing="1" w:after="100" w:afterAutospacing="1" w:line="360" w:lineRule="auto"/>
        <w:rPr>
          <w:szCs w:val="24"/>
          <w:lang w:val="es-CO"/>
        </w:rPr>
      </w:pPr>
      <w:r>
        <w:rPr>
          <w:szCs w:val="24"/>
          <w:lang w:val="es-CO"/>
        </w:rPr>
        <w:t>La</w:t>
      </w:r>
      <w:r w:rsidRPr="007A5025">
        <w:rPr>
          <w:szCs w:val="24"/>
          <w:lang w:val="es-CO"/>
        </w:rPr>
        <w:t xml:space="preserve"> demanda constituye la base sobre la que se distribuyen los costos eficientes de inversión y de Administración, Operación y Mantenimiento (AOM) entre los usuarios del mercado relevante de distribución.</w:t>
      </w:r>
    </w:p>
    <w:p w14:paraId="6ABFE6A3" w14:textId="77777777" w:rsidR="007A5025" w:rsidRPr="007A5025" w:rsidRDefault="007A5025" w:rsidP="002F1961">
      <w:pPr>
        <w:spacing w:before="100" w:beforeAutospacing="1" w:after="100" w:afterAutospacing="1" w:line="360" w:lineRule="auto"/>
        <w:rPr>
          <w:szCs w:val="24"/>
          <w:lang w:val="es-CO"/>
        </w:rPr>
      </w:pPr>
      <w:r w:rsidRPr="007A5025">
        <w:rPr>
          <w:szCs w:val="24"/>
          <w:lang w:val="es-CO"/>
        </w:rPr>
        <w:t>La metodología establecida en la Resolución CREG 202 de 2013 define criterios específicos para determinar la demanda a reconocer, diferenciando el tratamiento aplicable a los mercados existentes y a los mercados nuevos. En ambos casos, la demanda corresponde a los volúmenes de consumo asociados a los usuarios regulados del mercado; sin embargo, para su determinación se consideran las características propias de cada tipo de mercado y las proyecciones de crecimiento de la demanda durante el período tarifario.</w:t>
      </w:r>
    </w:p>
    <w:p w14:paraId="1B38023F" w14:textId="2A297650" w:rsidR="007A5025" w:rsidRPr="007A5025" w:rsidRDefault="007A5025" w:rsidP="002F1961">
      <w:pPr>
        <w:spacing w:before="100" w:beforeAutospacing="1" w:after="100" w:afterAutospacing="1" w:line="360" w:lineRule="auto"/>
        <w:rPr>
          <w:szCs w:val="24"/>
          <w:lang w:val="es-CO"/>
        </w:rPr>
      </w:pPr>
      <w:r w:rsidRPr="007A5025">
        <w:rPr>
          <w:szCs w:val="24"/>
          <w:lang w:val="es-CO"/>
        </w:rPr>
        <w:t>La regulación clasifica la demanda de acuerdo con el tipo de usuario</w:t>
      </w:r>
      <w:r>
        <w:rPr>
          <w:szCs w:val="24"/>
          <w:lang w:val="es-CO"/>
        </w:rPr>
        <w:t xml:space="preserve">: </w:t>
      </w:r>
      <w:r w:rsidRPr="007A5025">
        <w:rPr>
          <w:szCs w:val="24"/>
          <w:lang w:val="es-CO"/>
        </w:rPr>
        <w:t>residencial, comercial, industrial, GNCV y demás usuarios</w:t>
      </w:r>
      <w:r w:rsidR="00581778">
        <w:rPr>
          <w:szCs w:val="24"/>
          <w:lang w:val="es-CO"/>
        </w:rPr>
        <w:t>.</w:t>
      </w:r>
    </w:p>
    <w:p w14:paraId="6657EE93" w14:textId="42FB86E8" w:rsidR="007A5025" w:rsidRDefault="007A5025" w:rsidP="002F1961">
      <w:pPr>
        <w:spacing w:before="100" w:beforeAutospacing="1" w:after="100" w:afterAutospacing="1" w:line="360" w:lineRule="auto"/>
        <w:rPr>
          <w:szCs w:val="24"/>
          <w:lang w:val="es-CO"/>
        </w:rPr>
      </w:pPr>
      <w:r w:rsidRPr="007A5025">
        <w:rPr>
          <w:szCs w:val="24"/>
          <w:lang w:val="es-CO"/>
        </w:rPr>
        <w:t xml:space="preserve">Adicionalmente, para los mercados existentes, la metodología incorpora el Factor de Uso Eficiente de Redes (FUE), mecanismo mediante el cual se evalúa el grado de utilización de la infraestructura respecto de su capacidad eficiente. </w:t>
      </w:r>
    </w:p>
    <w:p w14:paraId="6CBC0D44" w14:textId="56685FEF" w:rsidR="008271B6" w:rsidRDefault="007A5025" w:rsidP="002F1961">
      <w:pPr>
        <w:spacing w:before="100" w:beforeAutospacing="1" w:after="100" w:afterAutospacing="1" w:line="360" w:lineRule="auto"/>
        <w:rPr>
          <w:szCs w:val="24"/>
          <w:lang w:val="es-CO"/>
        </w:rPr>
      </w:pPr>
      <w:r w:rsidRPr="007A5025">
        <w:rPr>
          <w:szCs w:val="24"/>
          <w:lang w:val="es-CO"/>
        </w:rPr>
        <w:t xml:space="preserve">En consecuencia, la demanda reconocida constituye uno de los principales determinantes del cargo de distribución, ya que permite distribuir los costos eficientes de </w:t>
      </w:r>
      <w:r w:rsidRPr="007A5025">
        <w:rPr>
          <w:szCs w:val="24"/>
          <w:lang w:val="es-CO"/>
        </w:rPr>
        <w:lastRenderedPageBreak/>
        <w:t>la actividad entre el volumen de gas efectivamente considerado por la metodología tarifaria.</w:t>
      </w:r>
    </w:p>
    <w:p w14:paraId="4013A81E" w14:textId="41B419C1" w:rsidR="00036774" w:rsidRDefault="00036774" w:rsidP="002F1961">
      <w:pPr>
        <w:keepNext/>
        <w:spacing w:before="100" w:beforeAutospacing="1" w:after="100" w:afterAutospacing="1" w:line="360" w:lineRule="auto"/>
        <w:jc w:val="center"/>
        <w:rPr>
          <w:szCs w:val="24"/>
          <w:lang w:val="es-CO"/>
        </w:rPr>
      </w:pPr>
      <w:bookmarkStart w:id="85" w:name="_Ref235087942"/>
      <w:bookmarkStart w:id="86" w:name="_Toc235118560"/>
      <w:r w:rsidRPr="00137244">
        <w:rPr>
          <w:lang w:val="es-ES"/>
        </w:rPr>
        <w:t xml:space="preserve">Figura </w:t>
      </w:r>
      <w:r w:rsidRPr="00137244">
        <w:rPr>
          <w:lang w:val="es-ES"/>
        </w:rPr>
        <w:fldChar w:fldCharType="begin"/>
      </w:r>
      <w:r w:rsidRPr="00137244">
        <w:rPr>
          <w:lang w:val="es-ES"/>
        </w:rPr>
        <w:instrText xml:space="preserve"> SEQ Figura \* ARABIC </w:instrText>
      </w:r>
      <w:r w:rsidRPr="00137244">
        <w:rPr>
          <w:lang w:val="es-ES"/>
        </w:rPr>
        <w:fldChar w:fldCharType="separate"/>
      </w:r>
      <w:r w:rsidR="009B5C9B">
        <w:rPr>
          <w:noProof/>
          <w:lang w:val="es-ES"/>
        </w:rPr>
        <w:t>20</w:t>
      </w:r>
      <w:r w:rsidRPr="00137244">
        <w:rPr>
          <w:lang w:val="es-ES"/>
        </w:rPr>
        <w:fldChar w:fldCharType="end"/>
      </w:r>
      <w:r w:rsidRPr="5FAE69B6">
        <w:rPr>
          <w:lang w:val="es-ES"/>
        </w:rPr>
        <w:t xml:space="preserve">. </w:t>
      </w:r>
      <w:r w:rsidR="00A92AFF" w:rsidRPr="00A92AFF">
        <w:rPr>
          <w:bCs/>
          <w:lang w:val="es-ES"/>
        </w:rPr>
        <w:t>Determinación de la demanda reconocida</w:t>
      </w:r>
      <w:bookmarkEnd w:id="85"/>
      <w:bookmarkEnd w:id="86"/>
    </w:p>
    <w:p w14:paraId="0430CD1F" w14:textId="6CD5BA99" w:rsidR="006C114E" w:rsidRDefault="0066431A" w:rsidP="002F1961">
      <w:pPr>
        <w:spacing w:before="100" w:beforeAutospacing="1" w:after="100" w:afterAutospacing="1" w:line="360" w:lineRule="auto"/>
        <w:jc w:val="center"/>
        <w:rPr>
          <w:b/>
          <w:bCs/>
          <w:szCs w:val="24"/>
          <w:lang w:val="es-CO"/>
        </w:rPr>
      </w:pPr>
      <w:r>
        <w:rPr>
          <w:noProof/>
          <w:sz w:val="20"/>
          <w:lang w:val="es-CO"/>
        </w:rPr>
        <mc:AlternateContent>
          <mc:Choice Requires="wpg">
            <w:drawing>
              <wp:inline distT="0" distB="0" distL="0" distR="0" wp14:anchorId="49021B02" wp14:editId="3D6B94B4">
                <wp:extent cx="3824682" cy="3164775"/>
                <wp:effectExtent l="0" t="0" r="23495" b="17145"/>
                <wp:docPr id="2128638231" name="Grupo 50"/>
                <wp:cNvGraphicFramePr/>
                <a:graphic xmlns:a="http://schemas.openxmlformats.org/drawingml/2006/main">
                  <a:graphicData uri="http://schemas.microsoft.com/office/word/2010/wordprocessingGroup">
                    <wpg:wgp>
                      <wpg:cNvGrpSpPr/>
                      <wpg:grpSpPr>
                        <a:xfrm>
                          <a:off x="0" y="0"/>
                          <a:ext cx="3824682" cy="3164775"/>
                          <a:chOff x="0" y="0"/>
                          <a:chExt cx="3824682" cy="3164775"/>
                        </a:xfrm>
                      </wpg:grpSpPr>
                      <wpg:grpSp>
                        <wpg:cNvPr id="2043972155" name="Grupo 35"/>
                        <wpg:cNvGrpSpPr/>
                        <wpg:grpSpPr>
                          <a:xfrm>
                            <a:off x="17813" y="0"/>
                            <a:ext cx="3806869" cy="421562"/>
                            <a:chOff x="0" y="0"/>
                            <a:chExt cx="3441808" cy="603849"/>
                          </a:xfrm>
                        </wpg:grpSpPr>
                        <wps:wsp>
                          <wps:cNvPr id="623198072" name="Rectángulo: esquinas redondeadas 31"/>
                          <wps:cNvSpPr/>
                          <wps:spPr>
                            <a:xfrm>
                              <a:off x="17253" y="0"/>
                              <a:ext cx="3424555" cy="603849"/>
                            </a:xfrm>
                            <a:prstGeom prst="roundRect">
                              <a:avLst/>
                            </a:prstGeom>
                            <a:solidFill>
                              <a:srgbClr val="E4EDF8"/>
                            </a:solidFill>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8614069" name="Rectángulo: esquinas redondeadas 32"/>
                          <wps:cNvSpPr/>
                          <wps:spPr>
                            <a:xfrm>
                              <a:off x="112144" y="224286"/>
                              <a:ext cx="802256" cy="288925"/>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5EFBD50E" w14:textId="53CE06D4" w:rsidR="00716CF1" w:rsidRPr="00F87F59" w:rsidRDefault="00716CF1" w:rsidP="00716CF1">
                                <w:pPr>
                                  <w:jc w:val="center"/>
                                  <w:rPr>
                                    <w:sz w:val="10"/>
                                    <w:szCs w:val="10"/>
                                    <w:lang w:val="es-CO"/>
                                  </w:rPr>
                                </w:pPr>
                                <w:r w:rsidRPr="00F87F59">
                                  <w:rPr>
                                    <w:sz w:val="10"/>
                                    <w:szCs w:val="10"/>
                                    <w:lang w:val="es-CO"/>
                                  </w:rPr>
                                  <w:t>Residencial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1501411" name="Rectángulo: esquinas redondeadas 32"/>
                          <wps:cNvSpPr/>
                          <wps:spPr>
                            <a:xfrm>
                              <a:off x="957533" y="224286"/>
                              <a:ext cx="706755" cy="288925"/>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21E8D9F8" w14:textId="4E435686" w:rsidR="00716CF1" w:rsidRPr="00F87F59" w:rsidRDefault="00716CF1" w:rsidP="00716CF1">
                                <w:pPr>
                                  <w:jc w:val="center"/>
                                  <w:rPr>
                                    <w:sz w:val="10"/>
                                    <w:szCs w:val="10"/>
                                    <w:lang w:val="es-CO"/>
                                  </w:rPr>
                                </w:pPr>
                                <w:r w:rsidRPr="00F87F59">
                                  <w:rPr>
                                    <w:sz w:val="10"/>
                                    <w:szCs w:val="10"/>
                                    <w:lang w:val="es-CO"/>
                                  </w:rPr>
                                  <w:t xml:space="preserve">Comercial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7744944" name="Rectángulo: esquinas redondeadas 32"/>
                          <wps:cNvSpPr/>
                          <wps:spPr>
                            <a:xfrm>
                              <a:off x="1699404" y="224286"/>
                              <a:ext cx="786130" cy="289560"/>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085B3BBC" w14:textId="6679AB48" w:rsidR="00716CF1" w:rsidRPr="00F87F59" w:rsidRDefault="00716CF1" w:rsidP="00716CF1">
                                <w:pPr>
                                  <w:jc w:val="center"/>
                                  <w:rPr>
                                    <w:sz w:val="10"/>
                                    <w:szCs w:val="10"/>
                                    <w:lang w:val="es-CO"/>
                                  </w:rPr>
                                </w:pPr>
                                <w:r w:rsidRPr="00F87F59">
                                  <w:rPr>
                                    <w:sz w:val="10"/>
                                    <w:szCs w:val="10"/>
                                    <w:lang w:val="es-CO"/>
                                  </w:rPr>
                                  <w:t xml:space="preserve">Industrial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0348170" name="Rectángulo: esquinas redondeadas 32"/>
                          <wps:cNvSpPr/>
                          <wps:spPr>
                            <a:xfrm>
                              <a:off x="2527540" y="215660"/>
                              <a:ext cx="828040" cy="301925"/>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64ACDB32" w14:textId="06F01E19" w:rsidR="00716CF1" w:rsidRPr="00F87F59" w:rsidRDefault="00716CF1" w:rsidP="00716CF1">
                                <w:pPr>
                                  <w:jc w:val="center"/>
                                  <w:rPr>
                                    <w:sz w:val="10"/>
                                    <w:szCs w:val="10"/>
                                    <w:lang w:val="es-CO"/>
                                  </w:rPr>
                                </w:pPr>
                                <w:r w:rsidRPr="00F87F59">
                                  <w:rPr>
                                    <w:sz w:val="10"/>
                                    <w:szCs w:val="10"/>
                                    <w:lang w:val="es-CO"/>
                                  </w:rPr>
                                  <w:t xml:space="preserve">GNCV/Otros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1628823" name="Rectángulo: esquinas redondeadas 33"/>
                          <wps:cNvSpPr/>
                          <wps:spPr>
                            <a:xfrm>
                              <a:off x="0" y="0"/>
                              <a:ext cx="3382950" cy="272769"/>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E80189" w14:textId="48E7D05F" w:rsidR="00AC74E9" w:rsidRPr="00F87F59" w:rsidRDefault="006C2590" w:rsidP="006C2590">
                                <w:pPr>
                                  <w:jc w:val="center"/>
                                  <w:rPr>
                                    <w:b/>
                                    <w:bCs/>
                                    <w:color w:val="1F3864" w:themeColor="accent5" w:themeShade="80"/>
                                    <w:sz w:val="10"/>
                                    <w:szCs w:val="10"/>
                                    <w:lang w:val="es-CO"/>
                                  </w:rPr>
                                </w:pPr>
                                <w:r w:rsidRPr="00F87F59">
                                  <w:rPr>
                                    <w:b/>
                                    <w:bCs/>
                                    <w:color w:val="1F3864" w:themeColor="accent5" w:themeShade="80"/>
                                    <w:sz w:val="10"/>
                                    <w:szCs w:val="10"/>
                                    <w:lang w:val="es-CO"/>
                                  </w:rPr>
                                  <w:t>USUARIOS DEL MERCADO RELEVANTE DE DISTRIBUCIÓN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01943722" name="Grupo 36"/>
                        <wpg:cNvGrpSpPr/>
                        <wpg:grpSpPr>
                          <a:xfrm>
                            <a:off x="17813" y="492826"/>
                            <a:ext cx="3806750" cy="712519"/>
                            <a:chOff x="0" y="0"/>
                            <a:chExt cx="3441940" cy="1020937"/>
                          </a:xfrm>
                        </wpg:grpSpPr>
                        <wps:wsp>
                          <wps:cNvPr id="1756291253" name="Rectángulo: esquinas redondeadas 31"/>
                          <wps:cNvSpPr/>
                          <wps:spPr>
                            <a:xfrm>
                              <a:off x="0" y="0"/>
                              <a:ext cx="3424555" cy="1020937"/>
                            </a:xfrm>
                            <a:prstGeom prst="roundRect">
                              <a:avLst/>
                            </a:prstGeom>
                            <a:solidFill>
                              <a:srgbClr val="E4EDF8"/>
                            </a:solidFill>
                            <a:ln>
                              <a:solidFill>
                                <a:schemeClr val="bg2">
                                  <a:lumMod val="90000"/>
                                </a:schemeClr>
                              </a:solidFill>
                            </a:ln>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9540438" name="Rectángulo: esquinas redondeadas 32"/>
                          <wps:cNvSpPr/>
                          <wps:spPr>
                            <a:xfrm>
                              <a:off x="60322" y="326945"/>
                              <a:ext cx="1638935" cy="625930"/>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49777937" w14:textId="77505F73" w:rsidR="00DF6F15" w:rsidRPr="00F87F59" w:rsidRDefault="00DF6F15" w:rsidP="00A616EA">
                                <w:pPr>
                                  <w:jc w:val="center"/>
                                  <w:rPr>
                                    <w:sz w:val="10"/>
                                    <w:szCs w:val="10"/>
                                    <w:lang w:val="es-CO"/>
                                  </w:rPr>
                                </w:pPr>
                                <w:r w:rsidRPr="00F87F59">
                                  <w:rPr>
                                    <w:sz w:val="10"/>
                                    <w:szCs w:val="10"/>
                                    <w:lang w:val="es-CO"/>
                                  </w:rPr>
                                  <w:t>MERCADOS EXISTENTES</w:t>
                                </w:r>
                              </w:p>
                              <w:p w14:paraId="62D1F0F6" w14:textId="216421AB" w:rsidR="00DF6F15" w:rsidRPr="00F87F59" w:rsidRDefault="00DF6F15">
                                <w:pPr>
                                  <w:pStyle w:val="Prrafodelista"/>
                                  <w:numPr>
                                    <w:ilvl w:val="0"/>
                                    <w:numId w:val="34"/>
                                  </w:numPr>
                                  <w:rPr>
                                    <w:sz w:val="10"/>
                                    <w:szCs w:val="10"/>
                                    <w:lang w:val="es-CO"/>
                                  </w:rPr>
                                </w:pPr>
                                <w:r w:rsidRPr="00F87F59">
                                  <w:rPr>
                                    <w:sz w:val="10"/>
                                    <w:szCs w:val="10"/>
                                    <w:lang w:val="es-CO"/>
                                  </w:rPr>
                                  <w:t xml:space="preserve">Demanda Histórica </w:t>
                                </w:r>
                              </w:p>
                              <w:p w14:paraId="513A1E93" w14:textId="493F1BD1" w:rsidR="00DF6F15" w:rsidRPr="00F87F59" w:rsidRDefault="00DF6F15">
                                <w:pPr>
                                  <w:pStyle w:val="Prrafodelista"/>
                                  <w:numPr>
                                    <w:ilvl w:val="0"/>
                                    <w:numId w:val="34"/>
                                  </w:numPr>
                                  <w:rPr>
                                    <w:sz w:val="10"/>
                                    <w:szCs w:val="10"/>
                                    <w:lang w:val="es-CO"/>
                                  </w:rPr>
                                </w:pPr>
                                <w:r w:rsidRPr="00F87F59">
                                  <w:rPr>
                                    <w:sz w:val="10"/>
                                    <w:szCs w:val="10"/>
                                    <w:lang w:val="es-CO"/>
                                  </w:rPr>
                                  <w:t>Ajuste mediante el factor de Uso Eficiente de Redes (FUE)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1552291" name="Rectángulo: esquinas redondeadas 32"/>
                          <wps:cNvSpPr/>
                          <wps:spPr>
                            <a:xfrm>
                              <a:off x="1750647" y="327671"/>
                              <a:ext cx="1594485" cy="616213"/>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244D52C3" w14:textId="6C03CF4A" w:rsidR="00A47972" w:rsidRDefault="0049583D" w:rsidP="00F87F59">
                                <w:pPr>
                                  <w:jc w:val="center"/>
                                  <w:rPr>
                                    <w:sz w:val="10"/>
                                    <w:szCs w:val="10"/>
                                    <w:lang w:val="es-CO"/>
                                  </w:rPr>
                                </w:pPr>
                                <w:r w:rsidRPr="00F87F59">
                                  <w:rPr>
                                    <w:sz w:val="10"/>
                                    <w:szCs w:val="10"/>
                                    <w:lang w:val="es-CO"/>
                                  </w:rPr>
                                  <w:t>MERCADOS NUEVOS</w:t>
                                </w:r>
                              </w:p>
                              <w:p w14:paraId="3B7EA2E5" w14:textId="77777777" w:rsidR="00F87F59" w:rsidRPr="00F87F59" w:rsidRDefault="00F87F59" w:rsidP="00F87F59">
                                <w:pPr>
                                  <w:jc w:val="center"/>
                                  <w:rPr>
                                    <w:sz w:val="10"/>
                                    <w:szCs w:val="10"/>
                                    <w:lang w:val="es-CO"/>
                                  </w:rPr>
                                </w:pPr>
                              </w:p>
                              <w:p w14:paraId="3F31E012" w14:textId="19802D18" w:rsidR="00814256" w:rsidRPr="00F87F59" w:rsidRDefault="00A47972">
                                <w:pPr>
                                  <w:pStyle w:val="Prrafodelista"/>
                                  <w:numPr>
                                    <w:ilvl w:val="0"/>
                                    <w:numId w:val="37"/>
                                  </w:numPr>
                                  <w:rPr>
                                    <w:sz w:val="10"/>
                                    <w:szCs w:val="10"/>
                                    <w:lang w:val="es-CO"/>
                                  </w:rPr>
                                </w:pPr>
                                <w:r w:rsidRPr="00F87F59">
                                  <w:rPr>
                                    <w:sz w:val="10"/>
                                    <w:szCs w:val="10"/>
                                    <w:lang w:val="es-CO"/>
                                  </w:rPr>
                                  <w:t>Demanda proyectada</w:t>
                                </w:r>
                              </w:p>
                              <w:p w14:paraId="1FF94615" w14:textId="6E500D33" w:rsidR="00A616EA" w:rsidRPr="00F87F59" w:rsidRDefault="00814256">
                                <w:pPr>
                                  <w:pStyle w:val="Prrafodelista"/>
                                  <w:numPr>
                                    <w:ilvl w:val="0"/>
                                    <w:numId w:val="37"/>
                                  </w:numPr>
                                  <w:rPr>
                                    <w:sz w:val="10"/>
                                    <w:szCs w:val="10"/>
                                    <w:lang w:val="es-CO"/>
                                  </w:rPr>
                                </w:pPr>
                                <w:r w:rsidRPr="00F87F59">
                                  <w:rPr>
                                    <w:sz w:val="10"/>
                                    <w:szCs w:val="10"/>
                                    <w:lang w:val="es-CO"/>
                                  </w:rPr>
                                  <w:t>Proyecciones para el horizonte tarifario</w:t>
                                </w:r>
                                <w:r w:rsidR="00A616EA" w:rsidRPr="00F87F59">
                                  <w:rPr>
                                    <w:sz w:val="10"/>
                                    <w:szCs w:val="10"/>
                                    <w:lang w:val="es-CO"/>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9486725" name="Rectángulo: esquinas redondeadas 33"/>
                          <wps:cNvSpPr/>
                          <wps:spPr>
                            <a:xfrm>
                              <a:off x="0" y="0"/>
                              <a:ext cx="3441940" cy="272415"/>
                            </a:xfrm>
                            <a:prstGeom prst="roundRect">
                              <a:avLst/>
                            </a:prstGeom>
                            <a:solidFill>
                              <a:srgbClr val="00206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C3A1143" w14:textId="77777777" w:rsidR="00A616EA" w:rsidRPr="00F87F59" w:rsidRDefault="00A616EA" w:rsidP="007C204C">
                                <w:pPr>
                                  <w:shd w:val="clear" w:color="auto" w:fill="D0CECE" w:themeFill="background2" w:themeFillShade="E6"/>
                                  <w:jc w:val="center"/>
                                  <w:rPr>
                                    <w:b/>
                                    <w:bCs/>
                                    <w:sz w:val="10"/>
                                    <w:szCs w:val="10"/>
                                    <w:lang w:val="es-CO"/>
                                  </w:rPr>
                                </w:pPr>
                                <w:r w:rsidRPr="00F87F59">
                                  <w:rPr>
                                    <w:b/>
                                    <w:bCs/>
                                    <w:sz w:val="10"/>
                                    <w:szCs w:val="10"/>
                                    <w:lang w:val="es-CO"/>
                                  </w:rPr>
                                  <w:t>USUARIOS DEL MERCADO RELEVANTE DE DISTRIBUCIÓN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29345217" name="Grupo 35"/>
                        <wpg:cNvGrpSpPr/>
                        <wpg:grpSpPr>
                          <a:xfrm>
                            <a:off x="5938" y="1282535"/>
                            <a:ext cx="3806190" cy="493395"/>
                            <a:chOff x="0" y="0"/>
                            <a:chExt cx="3441808" cy="603849"/>
                          </a:xfrm>
                        </wpg:grpSpPr>
                        <wps:wsp>
                          <wps:cNvPr id="1700116323" name="Rectángulo: esquinas redondeadas 31"/>
                          <wps:cNvSpPr/>
                          <wps:spPr>
                            <a:xfrm>
                              <a:off x="17253" y="0"/>
                              <a:ext cx="3424555" cy="603849"/>
                            </a:xfrm>
                            <a:prstGeom prst="roundRect">
                              <a:avLst/>
                            </a:prstGeom>
                            <a:solidFill>
                              <a:srgbClr val="E4EDF8"/>
                            </a:solidFill>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1740969" name="Rectángulo: esquinas redondeadas 32"/>
                          <wps:cNvSpPr/>
                          <wps:spPr>
                            <a:xfrm>
                              <a:off x="112136" y="198829"/>
                              <a:ext cx="3244825" cy="313716"/>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107A9344" w14:textId="305AB10E" w:rsidR="002570F7" w:rsidRPr="00F87F59" w:rsidRDefault="006B4FB8" w:rsidP="002570F7">
                                <w:pPr>
                                  <w:jc w:val="center"/>
                                  <w:rPr>
                                    <w:sz w:val="10"/>
                                    <w:szCs w:val="10"/>
                                    <w:lang w:val="es-CO"/>
                                  </w:rPr>
                                </w:pPr>
                                <w:r w:rsidRPr="00F87F59">
                                  <w:rPr>
                                    <w:sz w:val="10"/>
                                    <w:szCs w:val="10"/>
                                    <w:lang w:val="es-CO"/>
                                  </w:rPr>
                                  <w:t xml:space="preserve">Volumen de la demanda que la metodología </w:t>
                                </w:r>
                                <w:r w:rsidR="00FF0496" w:rsidRPr="00F87F59">
                                  <w:rPr>
                                    <w:sz w:val="10"/>
                                    <w:szCs w:val="10"/>
                                    <w:lang w:val="es-CO"/>
                                  </w:rPr>
                                  <w:t>reconoce</w:t>
                                </w:r>
                                <w:r w:rsidRPr="00F87F59">
                                  <w:rPr>
                                    <w:sz w:val="10"/>
                                    <w:szCs w:val="10"/>
                                    <w:lang w:val="es-CO"/>
                                  </w:rPr>
                                  <w:t xml:space="preserve"> </w:t>
                                </w:r>
                                <w:r w:rsidR="00FF0496" w:rsidRPr="00F87F59">
                                  <w:rPr>
                                    <w:sz w:val="10"/>
                                    <w:szCs w:val="10"/>
                                    <w:lang w:val="es-CO"/>
                                  </w:rPr>
                                  <w:t>para distribuir los costos eficientes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8292169" name="Rectángulo: esquinas redondeadas 33"/>
                          <wps:cNvSpPr/>
                          <wps:spPr>
                            <a:xfrm>
                              <a:off x="0" y="0"/>
                              <a:ext cx="3382950" cy="272769"/>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B8E18A" w14:textId="7AB7A251" w:rsidR="002570F7" w:rsidRPr="00F87F59" w:rsidRDefault="000B27B8" w:rsidP="002570F7">
                                <w:pPr>
                                  <w:jc w:val="center"/>
                                  <w:rPr>
                                    <w:b/>
                                    <w:bCs/>
                                    <w:color w:val="1F3864" w:themeColor="accent5" w:themeShade="80"/>
                                    <w:sz w:val="10"/>
                                    <w:szCs w:val="10"/>
                                    <w:lang w:val="es-CO"/>
                                  </w:rPr>
                                </w:pPr>
                                <w:r w:rsidRPr="00F87F59">
                                  <w:rPr>
                                    <w:b/>
                                    <w:bCs/>
                                    <w:color w:val="1F3864" w:themeColor="accent5" w:themeShade="80"/>
                                    <w:sz w:val="10"/>
                                    <w:szCs w:val="10"/>
                                    <w:lang w:val="es-CO"/>
                                  </w:rPr>
                                  <w:t>Demanda reconocida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57384994" name="Grupo 35"/>
                        <wpg:cNvGrpSpPr/>
                        <wpg:grpSpPr>
                          <a:xfrm>
                            <a:off x="5938" y="1852550"/>
                            <a:ext cx="3806190" cy="493395"/>
                            <a:chOff x="0" y="0"/>
                            <a:chExt cx="3441808" cy="603849"/>
                          </a:xfrm>
                        </wpg:grpSpPr>
                        <wps:wsp>
                          <wps:cNvPr id="70857960" name="Rectángulo: esquinas redondeadas 31"/>
                          <wps:cNvSpPr/>
                          <wps:spPr>
                            <a:xfrm>
                              <a:off x="17253" y="0"/>
                              <a:ext cx="3424555" cy="603849"/>
                            </a:xfrm>
                            <a:prstGeom prst="roundRect">
                              <a:avLst/>
                            </a:prstGeom>
                            <a:solidFill>
                              <a:srgbClr val="E4EDF8"/>
                            </a:solidFill>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9527104" name="Rectángulo: esquinas redondeadas 32"/>
                          <wps:cNvSpPr/>
                          <wps:spPr>
                            <a:xfrm>
                              <a:off x="112136" y="198829"/>
                              <a:ext cx="3244825" cy="313716"/>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1989DACB" w14:textId="2E3D453D" w:rsidR="00C11B03" w:rsidRPr="00F87F59" w:rsidRDefault="00375A80" w:rsidP="00C11B03">
                                <w:pPr>
                                  <w:jc w:val="center"/>
                                  <w:rPr>
                                    <w:sz w:val="10"/>
                                    <w:szCs w:val="10"/>
                                    <w:lang w:val="es-CO"/>
                                  </w:rPr>
                                </w:pPr>
                                <w:r w:rsidRPr="00F87F59">
                                  <w:rPr>
                                    <w:sz w:val="10"/>
                                    <w:szCs w:val="10"/>
                                    <w:lang w:val="es-CO"/>
                                  </w:rPr>
                                  <w:t>Asignación de los costos eficientes (BRA</w:t>
                                </w:r>
                                <w:r w:rsidR="00913122" w:rsidRPr="00F87F59">
                                  <w:rPr>
                                    <w:sz w:val="10"/>
                                    <w:szCs w:val="10"/>
                                    <w:lang w:val="es-CO"/>
                                  </w:rPr>
                                  <w:t xml:space="preserve"> y AOM con base en la demanda reconocida)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3814391" name="Rectángulo: esquinas redondeadas 33"/>
                          <wps:cNvSpPr/>
                          <wps:spPr>
                            <a:xfrm>
                              <a:off x="0" y="0"/>
                              <a:ext cx="3382950" cy="272769"/>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89B61EE" w14:textId="224A4EA3" w:rsidR="00C11B03" w:rsidRPr="00F87F59" w:rsidRDefault="00375A80" w:rsidP="00C11B03">
                                <w:pPr>
                                  <w:jc w:val="center"/>
                                  <w:rPr>
                                    <w:b/>
                                    <w:bCs/>
                                    <w:color w:val="1F3864" w:themeColor="accent5" w:themeShade="80"/>
                                    <w:sz w:val="10"/>
                                    <w:szCs w:val="10"/>
                                    <w:lang w:val="es-CO"/>
                                  </w:rPr>
                                </w:pPr>
                                <w:r w:rsidRPr="00F87F59">
                                  <w:rPr>
                                    <w:b/>
                                    <w:bCs/>
                                    <w:color w:val="1F3864" w:themeColor="accent5" w:themeShade="80"/>
                                    <w:sz w:val="10"/>
                                    <w:szCs w:val="10"/>
                                    <w:lang w:val="es-CO"/>
                                  </w:rPr>
                                  <w:t>Distribución de Inversiones y AOM entre os usuarios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97408862" name="Conector recto de flecha 40"/>
                        <wps:cNvCnPr/>
                        <wps:spPr>
                          <a:xfrm>
                            <a:off x="1891888" y="427511"/>
                            <a:ext cx="10273" cy="722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57294603" name="Conector recto de flecha 41"/>
                        <wps:cNvCnPr/>
                        <wps:spPr>
                          <a:xfrm>
                            <a:off x="1928751" y="1218458"/>
                            <a:ext cx="0" cy="596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35071113" name="Conector recto de flecha 42"/>
                        <wps:cNvCnPr/>
                        <wps:spPr>
                          <a:xfrm>
                            <a:off x="1928751" y="1775361"/>
                            <a:ext cx="0" cy="723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37158443" name="Conector recto de flecha 42"/>
                        <wps:cNvCnPr/>
                        <wps:spPr>
                          <a:xfrm>
                            <a:off x="1928751" y="2357252"/>
                            <a:ext cx="0" cy="717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cNvPr id="675981838" name="Grupo 49"/>
                        <wpg:cNvGrpSpPr/>
                        <wpg:grpSpPr>
                          <a:xfrm>
                            <a:off x="0" y="2428504"/>
                            <a:ext cx="3806190" cy="736271"/>
                            <a:chOff x="0" y="0"/>
                            <a:chExt cx="3806190" cy="736271"/>
                          </a:xfrm>
                        </wpg:grpSpPr>
                        <wpg:grpSp>
                          <wpg:cNvPr id="409069216" name="Grupo 35"/>
                          <wpg:cNvGrpSpPr/>
                          <wpg:grpSpPr>
                            <a:xfrm>
                              <a:off x="0" y="0"/>
                              <a:ext cx="3806190" cy="736271"/>
                              <a:chOff x="0" y="0"/>
                              <a:chExt cx="3441808" cy="563276"/>
                            </a:xfrm>
                          </wpg:grpSpPr>
                          <wps:wsp>
                            <wps:cNvPr id="215001293" name="Rectángulo: esquinas redondeadas 31"/>
                            <wps:cNvSpPr/>
                            <wps:spPr>
                              <a:xfrm>
                                <a:off x="17253" y="1"/>
                                <a:ext cx="3424555" cy="563275"/>
                              </a:xfrm>
                              <a:prstGeom prst="roundRect">
                                <a:avLst/>
                              </a:prstGeom>
                              <a:solidFill>
                                <a:srgbClr val="E4EDF8"/>
                              </a:solidFill>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688703" name="Rectángulo: esquinas redondeadas 32"/>
                            <wps:cNvSpPr/>
                            <wps:spPr>
                              <a:xfrm>
                                <a:off x="103460" y="130483"/>
                                <a:ext cx="756524" cy="387070"/>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1E9F19B5" w14:textId="43BD4011" w:rsidR="00C52756" w:rsidRPr="00F87F59" w:rsidRDefault="002F022D" w:rsidP="0067129B">
                                  <w:pPr>
                                    <w:jc w:val="center"/>
                                    <w:rPr>
                                      <w:sz w:val="10"/>
                                      <w:szCs w:val="10"/>
                                      <w:lang w:val="es-CO"/>
                                    </w:rPr>
                                  </w:pPr>
                                  <w:r w:rsidRPr="00F87F59">
                                    <w:rPr>
                                      <w:sz w:val="10"/>
                                      <w:szCs w:val="10"/>
                                      <w:lang w:val="es-CO"/>
                                    </w:rPr>
                                    <w:t>Inversiones reconocidas</w:t>
                                  </w:r>
                                  <w:r w:rsidR="006A4812" w:rsidRPr="00F87F59">
                                    <w:rPr>
                                      <w:sz w:val="10"/>
                                      <w:szCs w:val="10"/>
                                      <w:lang w:val="es-CO"/>
                                    </w:rPr>
                                    <w:t xml:space="preserve"> (BRA)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8472173" name="Rectángulo: esquinas redondeadas 32"/>
                            <wps:cNvSpPr/>
                            <wps:spPr>
                              <a:xfrm>
                                <a:off x="1023824" y="135040"/>
                                <a:ext cx="738573" cy="382241"/>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58A9E9A7" w14:textId="4DF250FE" w:rsidR="00C52756" w:rsidRPr="00F87F59" w:rsidRDefault="00E8739C" w:rsidP="0067129B">
                                  <w:pPr>
                                    <w:jc w:val="center"/>
                                    <w:rPr>
                                      <w:sz w:val="10"/>
                                      <w:szCs w:val="10"/>
                                      <w:lang w:val="es-CO"/>
                                    </w:rPr>
                                  </w:pPr>
                                  <w:r w:rsidRPr="00F87F59">
                                    <w:rPr>
                                      <w:sz w:val="10"/>
                                      <w:szCs w:val="10"/>
                                      <w:lang w:val="es-CO"/>
                                    </w:rPr>
                                    <w:t>AOM reconocidos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8594905" name="Rectángulo: esquinas redondeadas 32"/>
                            <wps:cNvSpPr/>
                            <wps:spPr>
                              <a:xfrm>
                                <a:off x="1874826" y="134856"/>
                                <a:ext cx="725578" cy="382424"/>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7DEE4E1E" w14:textId="4BEF3BDA" w:rsidR="00C52756" w:rsidRPr="00F87F59" w:rsidRDefault="001A48DC" w:rsidP="00C52756">
                                  <w:pPr>
                                    <w:jc w:val="center"/>
                                    <w:rPr>
                                      <w:sz w:val="10"/>
                                      <w:szCs w:val="10"/>
                                      <w:lang w:val="es-CO"/>
                                    </w:rPr>
                                  </w:pPr>
                                  <w:r w:rsidRPr="00F87F59">
                                    <w:rPr>
                                      <w:sz w:val="10"/>
                                      <w:szCs w:val="10"/>
                                      <w:lang w:val="es-CO"/>
                                    </w:rPr>
                                    <w:t xml:space="preserve">Demanda Reconocida </w:t>
                                  </w:r>
                                  <w:r w:rsidR="006A4812" w:rsidRPr="00F87F59">
                                    <w:rPr>
                                      <w:sz w:val="10"/>
                                      <w:szCs w:val="10"/>
                                      <w:lang w:val="es-CO"/>
                                    </w:rPr>
                                    <w:t>(</w:t>
                                  </w:r>
                                  <w:r w:rsidR="00447D2B" w:rsidRPr="00F87F59">
                                    <w:rPr>
                                      <w:sz w:val="10"/>
                                      <w:szCs w:val="10"/>
                                      <w:lang w:val="es-CO"/>
                                    </w:rPr>
                                    <w:t>m</w:t>
                                  </w:r>
                                  <w:r w:rsidR="00E67BFD" w:rsidRPr="00F87F59">
                                    <w:rPr>
                                      <w:sz w:val="10"/>
                                      <w:szCs w:val="10"/>
                                      <w:lang w:val="es-CO"/>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8274262" name="Rectángulo: esquinas redondeadas 32"/>
                            <wps:cNvSpPr/>
                            <wps:spPr>
                              <a:xfrm>
                                <a:off x="2789748" y="130306"/>
                                <a:ext cx="593136" cy="376422"/>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0A4A9FF5" w14:textId="05C02BE8" w:rsidR="00C52756" w:rsidRPr="00F87F59" w:rsidRDefault="0051172E" w:rsidP="00C52756">
                                  <w:pPr>
                                    <w:jc w:val="center"/>
                                    <w:rPr>
                                      <w:sz w:val="10"/>
                                      <w:szCs w:val="10"/>
                                      <w:lang w:val="es-CO"/>
                                    </w:rPr>
                                  </w:pPr>
                                  <w:r w:rsidRPr="00F87F59">
                                    <w:rPr>
                                      <w:sz w:val="10"/>
                                      <w:szCs w:val="10"/>
                                      <w:lang w:val="es-CO"/>
                                    </w:rPr>
                                    <w:t>Cargo de distribución ($/m3)</w:t>
                                  </w:r>
                                  <w:r w:rsidR="00C52756" w:rsidRPr="00F87F59">
                                    <w:rPr>
                                      <w:sz w:val="10"/>
                                      <w:szCs w:val="10"/>
                                      <w:lang w:val="es-CO"/>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6906494" name="Rectángulo: esquinas redondeadas 33"/>
                            <wps:cNvSpPr/>
                            <wps:spPr>
                              <a:xfrm>
                                <a:off x="0" y="0"/>
                                <a:ext cx="3382950" cy="147605"/>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9252D6" w14:textId="40D97747" w:rsidR="00C52756" w:rsidRPr="00F87F59" w:rsidRDefault="00C303C0" w:rsidP="00C52756">
                                  <w:pPr>
                                    <w:jc w:val="center"/>
                                    <w:rPr>
                                      <w:b/>
                                      <w:bCs/>
                                      <w:color w:val="1F3864" w:themeColor="accent5" w:themeShade="80"/>
                                      <w:sz w:val="10"/>
                                      <w:szCs w:val="10"/>
                                      <w:lang w:val="es-CO"/>
                                    </w:rPr>
                                  </w:pPr>
                                  <w:r w:rsidRPr="00F87F59">
                                    <w:rPr>
                                      <w:b/>
                                      <w:bCs/>
                                      <w:color w:val="1F3864" w:themeColor="accent5" w:themeShade="80"/>
                                      <w:sz w:val="10"/>
                                      <w:szCs w:val="10"/>
                                      <w:lang w:val="es-CO"/>
                                    </w:rPr>
                                    <w:t>C</w:t>
                                  </w:r>
                                  <w:r w:rsidR="00801CDD" w:rsidRPr="00F87F59">
                                    <w:rPr>
                                      <w:b/>
                                      <w:bCs/>
                                      <w:color w:val="1F3864" w:themeColor="accent5" w:themeShade="80"/>
                                      <w:sz w:val="10"/>
                                      <w:szCs w:val="10"/>
                                      <w:lang w:val="es-CO"/>
                                    </w:rPr>
                                    <w:t>álculo del cargo de distribución (D)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35248280" name="Signo más 44"/>
                          <wps:cNvSpPr/>
                          <wps:spPr>
                            <a:xfrm>
                              <a:off x="950026" y="362197"/>
                              <a:ext cx="169537" cy="184927"/>
                            </a:xfrm>
                            <a:prstGeom prst="mathPlus">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8640730" name="Conector recto 45"/>
                          <wps:cNvCnPr/>
                          <wps:spPr>
                            <a:xfrm flipH="1">
                              <a:off x="1989117" y="178130"/>
                              <a:ext cx="27940" cy="478155"/>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298505949" name="Es igual a 46"/>
                          <wps:cNvSpPr/>
                          <wps:spPr>
                            <a:xfrm>
                              <a:off x="2891641" y="368135"/>
                              <a:ext cx="152867" cy="178944"/>
                            </a:xfrm>
                            <a:prstGeom prst="mathEqual">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49021B02" id="Grupo 50" o:spid="_x0000_s1043" style="width:301.15pt;height:249.2pt;mso-position-horizontal-relative:char;mso-position-vertical-relative:line" coordsize="38246,31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">
                <v:group id="Grupo 35" o:spid="_x0000_s1044" style="position:absolute;left:178;width:38068;height:4215" coordsize="34418,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">
                  <v:roundrect id="Rectángulo: esquinas redondeadas 31" o:spid="_x0000_s1045" style="position:absolute;left:172;width:34246;height:60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" fillcolor="#e4edf8" strokecolor="#5b9bd5 [3204]" strokeweight=".5pt">
                    <v:stroke joinstyle="miter"/>
                  </v:roundrect>
                  <v:roundrect id="Rectángulo: esquinas redondeadas 32" o:spid="_x0000_s1046" style="position:absolute;left:1121;top:2242;width:8023;height:28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" fillcolor="white [3201]" strokecolor="#a5a5a5 [3206]" strokeweight="1pt">
                    <v:stroke joinstyle="miter"/>
                    <v:textbox>
                      <w:txbxContent>
                        <w:p w14:paraId="5EFBD50E" w14:textId="53CE06D4" w:rsidR="00716CF1" w:rsidRPr="00F87F59" w:rsidRDefault="00716CF1" w:rsidP="00716CF1">
                          <w:pPr>
                            <w:jc w:val="center"/>
                            <w:rPr>
                              <w:sz w:val="10"/>
                              <w:szCs w:val="10"/>
                              <w:lang w:val="es-CO"/>
                            </w:rPr>
                          </w:pPr>
                          <w:r w:rsidRPr="00F87F59">
                            <w:rPr>
                              <w:sz w:val="10"/>
                              <w:szCs w:val="10"/>
                              <w:lang w:val="es-CO"/>
                            </w:rPr>
                            <w:t>Residencial</w:t>
                          </w:r>
                        </w:p>
                      </w:txbxContent>
                    </v:textbox>
                  </v:roundrect>
                  <v:roundrect id="Rectángulo: esquinas redondeadas 32" o:spid="_x0000_s1047" style="position:absolute;left:9575;top:2242;width:7067;height:28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" fillcolor="white [3201]" strokecolor="#a5a5a5 [3206]" strokeweight="1pt">
                    <v:stroke joinstyle="miter"/>
                    <v:textbox>
                      <w:txbxContent>
                        <w:p w14:paraId="21E8D9F8" w14:textId="4E435686" w:rsidR="00716CF1" w:rsidRPr="00F87F59" w:rsidRDefault="00716CF1" w:rsidP="00716CF1">
                          <w:pPr>
                            <w:jc w:val="center"/>
                            <w:rPr>
                              <w:sz w:val="10"/>
                              <w:szCs w:val="10"/>
                              <w:lang w:val="es-CO"/>
                            </w:rPr>
                          </w:pPr>
                          <w:r w:rsidRPr="00F87F59">
                            <w:rPr>
                              <w:sz w:val="10"/>
                              <w:szCs w:val="10"/>
                              <w:lang w:val="es-CO"/>
                            </w:rPr>
                            <w:t xml:space="preserve">Comercial </w:t>
                          </w:r>
                        </w:p>
                      </w:txbxContent>
                    </v:textbox>
                  </v:roundrect>
                  <v:roundrect id="Rectángulo: esquinas redondeadas 32" o:spid="_x0000_s1048" style="position:absolute;left:16994;top:2242;width:7861;height:28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" fillcolor="white [3201]" strokecolor="#a5a5a5 [3206]" strokeweight="1pt">
                    <v:stroke joinstyle="miter"/>
                    <v:textbox>
                      <w:txbxContent>
                        <w:p w14:paraId="085B3BBC" w14:textId="6679AB48" w:rsidR="00716CF1" w:rsidRPr="00F87F59" w:rsidRDefault="00716CF1" w:rsidP="00716CF1">
                          <w:pPr>
                            <w:jc w:val="center"/>
                            <w:rPr>
                              <w:sz w:val="10"/>
                              <w:szCs w:val="10"/>
                              <w:lang w:val="es-CO"/>
                            </w:rPr>
                          </w:pPr>
                          <w:r w:rsidRPr="00F87F59">
                            <w:rPr>
                              <w:sz w:val="10"/>
                              <w:szCs w:val="10"/>
                              <w:lang w:val="es-CO"/>
                            </w:rPr>
                            <w:t xml:space="preserve">Industrial </w:t>
                          </w:r>
                        </w:p>
                      </w:txbxContent>
                    </v:textbox>
                  </v:roundrect>
                  <v:roundrect id="Rectángulo: esquinas redondeadas 32" o:spid="_x0000_s1049" style="position:absolute;left:25275;top:2156;width:8280;height:30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" fillcolor="white [3201]" strokecolor="#a5a5a5 [3206]" strokeweight="1pt">
                    <v:stroke joinstyle="miter"/>
                    <v:textbox>
                      <w:txbxContent>
                        <w:p w14:paraId="64ACDB32" w14:textId="06F01E19" w:rsidR="00716CF1" w:rsidRPr="00F87F59" w:rsidRDefault="00716CF1" w:rsidP="00716CF1">
                          <w:pPr>
                            <w:jc w:val="center"/>
                            <w:rPr>
                              <w:sz w:val="10"/>
                              <w:szCs w:val="10"/>
                              <w:lang w:val="es-CO"/>
                            </w:rPr>
                          </w:pPr>
                          <w:r w:rsidRPr="00F87F59">
                            <w:rPr>
                              <w:sz w:val="10"/>
                              <w:szCs w:val="10"/>
                              <w:lang w:val="es-CO"/>
                            </w:rPr>
                            <w:t xml:space="preserve">GNCV/Otros </w:t>
                          </w:r>
                        </w:p>
                      </w:txbxContent>
                    </v:textbox>
                  </v:roundrect>
                  <v:roundrect id="Rectángulo: esquinas redondeadas 33" o:spid="_x0000_s1050" style="position:absolute;width:33829;height:27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" filled="f" stroked="f" strokeweight="1pt">
                    <v:stroke joinstyle="miter"/>
                    <v:textbox>
                      <w:txbxContent>
                        <w:p w14:paraId="66E80189" w14:textId="48E7D05F" w:rsidR="00AC74E9" w:rsidRPr="00F87F59" w:rsidRDefault="006C2590" w:rsidP="006C2590">
                          <w:pPr>
                            <w:jc w:val="center"/>
                            <w:rPr>
                              <w:b/>
                              <w:bCs/>
                              <w:color w:val="1F3864" w:themeColor="accent5" w:themeShade="80"/>
                              <w:sz w:val="10"/>
                              <w:szCs w:val="10"/>
                              <w:lang w:val="es-CO"/>
                            </w:rPr>
                          </w:pPr>
                          <w:r w:rsidRPr="00F87F59">
                            <w:rPr>
                              <w:b/>
                              <w:bCs/>
                              <w:color w:val="1F3864" w:themeColor="accent5" w:themeShade="80"/>
                              <w:sz w:val="10"/>
                              <w:szCs w:val="10"/>
                              <w:lang w:val="es-CO"/>
                            </w:rPr>
                            <w:t>USUARIOS DEL MERCADO RELEVANTE DE DISTRIBUCIÓN</w:t>
                          </w:r>
                        </w:p>
                      </w:txbxContent>
                    </v:textbox>
                  </v:roundrect>
                </v:group>
                <v:group id="Grupo 36" o:spid="_x0000_s1051" style="position:absolute;left:178;top:4928;width:38067;height:7125" coordsize="34419,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">
                  <v:roundrect id="Rectángulo: esquinas redondeadas 31" o:spid="_x0000_s1052" style="position:absolute;width:34245;height:102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" fillcolor="#e4edf8" strokecolor="#cfcdcd [2894]" strokeweight=".5pt">
                    <v:stroke joinstyle="miter"/>
                  </v:roundrect>
                  <v:roundrect id="Rectángulo: esquinas redondeadas 32" o:spid="_x0000_s1053" style="position:absolute;left:603;top:3269;width:16389;height:62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" fillcolor="white [3201]" strokecolor="#a5a5a5 [3206]" strokeweight="1pt">
                    <v:stroke joinstyle="miter"/>
                    <v:textbox>
                      <w:txbxContent>
                        <w:p w14:paraId="49777937" w14:textId="77505F73" w:rsidR="00DF6F15" w:rsidRPr="00F87F59" w:rsidRDefault="00DF6F15" w:rsidP="00A616EA">
                          <w:pPr>
                            <w:jc w:val="center"/>
                            <w:rPr>
                              <w:sz w:val="10"/>
                              <w:szCs w:val="10"/>
                              <w:lang w:val="es-CO"/>
                            </w:rPr>
                          </w:pPr>
                          <w:r w:rsidRPr="00F87F59">
                            <w:rPr>
                              <w:sz w:val="10"/>
                              <w:szCs w:val="10"/>
                              <w:lang w:val="es-CO"/>
                            </w:rPr>
                            <w:t>MERCADOS EXISTENTES</w:t>
                          </w:r>
                        </w:p>
                        <w:p w14:paraId="62D1F0F6" w14:textId="216421AB" w:rsidR="00DF6F15" w:rsidRPr="00F87F59" w:rsidRDefault="00DF6F15">
                          <w:pPr>
                            <w:pStyle w:val="Prrafodelista"/>
                            <w:numPr>
                              <w:ilvl w:val="0"/>
                              <w:numId w:val="34"/>
                            </w:numPr>
                            <w:rPr>
                              <w:sz w:val="10"/>
                              <w:szCs w:val="10"/>
                              <w:lang w:val="es-CO"/>
                            </w:rPr>
                          </w:pPr>
                          <w:r w:rsidRPr="00F87F59">
                            <w:rPr>
                              <w:sz w:val="10"/>
                              <w:szCs w:val="10"/>
                              <w:lang w:val="es-CO"/>
                            </w:rPr>
                            <w:t xml:space="preserve">Demanda Histórica </w:t>
                          </w:r>
                        </w:p>
                        <w:p w14:paraId="513A1E93" w14:textId="493F1BD1" w:rsidR="00DF6F15" w:rsidRPr="00F87F59" w:rsidRDefault="00DF6F15">
                          <w:pPr>
                            <w:pStyle w:val="Prrafodelista"/>
                            <w:numPr>
                              <w:ilvl w:val="0"/>
                              <w:numId w:val="34"/>
                            </w:numPr>
                            <w:rPr>
                              <w:sz w:val="10"/>
                              <w:szCs w:val="10"/>
                              <w:lang w:val="es-CO"/>
                            </w:rPr>
                          </w:pPr>
                          <w:r w:rsidRPr="00F87F59">
                            <w:rPr>
                              <w:sz w:val="10"/>
                              <w:szCs w:val="10"/>
                              <w:lang w:val="es-CO"/>
                            </w:rPr>
                            <w:t>Ajuste mediante el factor de Uso Eficiente de Redes (FUE)</w:t>
                          </w:r>
                        </w:p>
                      </w:txbxContent>
                    </v:textbox>
                  </v:roundrect>
                  <v:roundrect id="Rectángulo: esquinas redondeadas 32" o:spid="_x0000_s1054" style="position:absolute;left:17506;top:3276;width:15945;height:61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" fillcolor="white [3201]" strokecolor="#a5a5a5 [3206]" strokeweight="1pt">
                    <v:stroke joinstyle="miter"/>
                    <v:textbox>
                      <w:txbxContent>
                        <w:p w14:paraId="244D52C3" w14:textId="6C03CF4A" w:rsidR="00A47972" w:rsidRDefault="0049583D" w:rsidP="00F87F59">
                          <w:pPr>
                            <w:jc w:val="center"/>
                            <w:rPr>
                              <w:sz w:val="10"/>
                              <w:szCs w:val="10"/>
                              <w:lang w:val="es-CO"/>
                            </w:rPr>
                          </w:pPr>
                          <w:r w:rsidRPr="00F87F59">
                            <w:rPr>
                              <w:sz w:val="10"/>
                              <w:szCs w:val="10"/>
                              <w:lang w:val="es-CO"/>
                            </w:rPr>
                            <w:t>MERCADOS NUEVOS</w:t>
                          </w:r>
                        </w:p>
                        <w:p w14:paraId="3B7EA2E5" w14:textId="77777777" w:rsidR="00F87F59" w:rsidRPr="00F87F59" w:rsidRDefault="00F87F59" w:rsidP="00F87F59">
                          <w:pPr>
                            <w:jc w:val="center"/>
                            <w:rPr>
                              <w:sz w:val="10"/>
                              <w:szCs w:val="10"/>
                              <w:lang w:val="es-CO"/>
                            </w:rPr>
                          </w:pPr>
                        </w:p>
                        <w:p w14:paraId="3F31E012" w14:textId="19802D18" w:rsidR="00814256" w:rsidRPr="00F87F59" w:rsidRDefault="00A47972">
                          <w:pPr>
                            <w:pStyle w:val="Prrafodelista"/>
                            <w:numPr>
                              <w:ilvl w:val="0"/>
                              <w:numId w:val="37"/>
                            </w:numPr>
                            <w:rPr>
                              <w:sz w:val="10"/>
                              <w:szCs w:val="10"/>
                              <w:lang w:val="es-CO"/>
                            </w:rPr>
                          </w:pPr>
                          <w:r w:rsidRPr="00F87F59">
                            <w:rPr>
                              <w:sz w:val="10"/>
                              <w:szCs w:val="10"/>
                              <w:lang w:val="es-CO"/>
                            </w:rPr>
                            <w:t>Demanda proyectada</w:t>
                          </w:r>
                        </w:p>
                        <w:p w14:paraId="1FF94615" w14:textId="6E500D33" w:rsidR="00A616EA" w:rsidRPr="00F87F59" w:rsidRDefault="00814256">
                          <w:pPr>
                            <w:pStyle w:val="Prrafodelista"/>
                            <w:numPr>
                              <w:ilvl w:val="0"/>
                              <w:numId w:val="37"/>
                            </w:numPr>
                            <w:rPr>
                              <w:sz w:val="10"/>
                              <w:szCs w:val="10"/>
                              <w:lang w:val="es-CO"/>
                            </w:rPr>
                          </w:pPr>
                          <w:r w:rsidRPr="00F87F59">
                            <w:rPr>
                              <w:sz w:val="10"/>
                              <w:szCs w:val="10"/>
                              <w:lang w:val="es-CO"/>
                            </w:rPr>
                            <w:t>Proyecciones para el horizonte tarifario</w:t>
                          </w:r>
                          <w:r w:rsidR="00A616EA" w:rsidRPr="00F87F59">
                            <w:rPr>
                              <w:sz w:val="10"/>
                              <w:szCs w:val="10"/>
                              <w:lang w:val="es-CO"/>
                            </w:rPr>
                            <w:t xml:space="preserve"> </w:t>
                          </w:r>
                        </w:p>
                      </w:txbxContent>
                    </v:textbox>
                  </v:roundrect>
                  <v:roundrect id="Rectángulo: esquinas redondeadas 33" o:spid="_x0000_s1055" style="position:absolute;width:34419;height:27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" fillcolor="#002060" stroked="f" strokeweight="1pt">
                    <v:stroke joinstyle="miter"/>
                    <v:textbox>
                      <w:txbxContent>
                        <w:p w14:paraId="2C3A1143" w14:textId="77777777" w:rsidR="00A616EA" w:rsidRPr="00F87F59" w:rsidRDefault="00A616EA" w:rsidP="007C204C">
                          <w:pPr>
                            <w:shd w:val="clear" w:color="auto" w:fill="D0CECE" w:themeFill="background2" w:themeFillShade="E6"/>
                            <w:jc w:val="center"/>
                            <w:rPr>
                              <w:b/>
                              <w:bCs/>
                              <w:sz w:val="10"/>
                              <w:szCs w:val="10"/>
                              <w:lang w:val="es-CO"/>
                            </w:rPr>
                          </w:pPr>
                          <w:r w:rsidRPr="00F87F59">
                            <w:rPr>
                              <w:b/>
                              <w:bCs/>
                              <w:sz w:val="10"/>
                              <w:szCs w:val="10"/>
                              <w:lang w:val="es-CO"/>
                            </w:rPr>
                            <w:t>USUARIOS DEL MERCADO RELEVANTE DE DISTRIBUCIÓN</w:t>
                          </w:r>
                        </w:p>
                      </w:txbxContent>
                    </v:textbox>
                  </v:roundrect>
                </v:group>
                <v:group id="Grupo 35" o:spid="_x0000_s1056" style="position:absolute;left:59;top:12825;width:38062;height:4934" coordsize="34418,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">
                  <v:roundrect id="Rectángulo: esquinas redondeadas 31" o:spid="_x0000_s1057" style="position:absolute;left:172;width:34246;height:60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" fillcolor="#e4edf8" strokecolor="#5b9bd5 [3204]" strokeweight=".5pt">
                    <v:stroke joinstyle="miter"/>
                  </v:roundrect>
                  <v:roundrect id="Rectángulo: esquinas redondeadas 32" o:spid="_x0000_s1058" style="position:absolute;left:1121;top:1988;width:32448;height:31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" fillcolor="white [3201]" strokecolor="#a5a5a5 [3206]" strokeweight="1pt">
                    <v:stroke joinstyle="miter"/>
                    <v:textbox>
                      <w:txbxContent>
                        <w:p w14:paraId="107A9344" w14:textId="305AB10E" w:rsidR="002570F7" w:rsidRPr="00F87F59" w:rsidRDefault="006B4FB8" w:rsidP="002570F7">
                          <w:pPr>
                            <w:jc w:val="center"/>
                            <w:rPr>
                              <w:sz w:val="10"/>
                              <w:szCs w:val="10"/>
                              <w:lang w:val="es-CO"/>
                            </w:rPr>
                          </w:pPr>
                          <w:r w:rsidRPr="00F87F59">
                            <w:rPr>
                              <w:sz w:val="10"/>
                              <w:szCs w:val="10"/>
                              <w:lang w:val="es-CO"/>
                            </w:rPr>
                            <w:t xml:space="preserve">Volumen de la demanda que la metodología </w:t>
                          </w:r>
                          <w:r w:rsidR="00FF0496" w:rsidRPr="00F87F59">
                            <w:rPr>
                              <w:sz w:val="10"/>
                              <w:szCs w:val="10"/>
                              <w:lang w:val="es-CO"/>
                            </w:rPr>
                            <w:t>reconoce</w:t>
                          </w:r>
                          <w:r w:rsidRPr="00F87F59">
                            <w:rPr>
                              <w:sz w:val="10"/>
                              <w:szCs w:val="10"/>
                              <w:lang w:val="es-CO"/>
                            </w:rPr>
                            <w:t xml:space="preserve"> </w:t>
                          </w:r>
                          <w:r w:rsidR="00FF0496" w:rsidRPr="00F87F59">
                            <w:rPr>
                              <w:sz w:val="10"/>
                              <w:szCs w:val="10"/>
                              <w:lang w:val="es-CO"/>
                            </w:rPr>
                            <w:t>para distribuir los costos eficientes</w:t>
                          </w:r>
                        </w:p>
                      </w:txbxContent>
                    </v:textbox>
                  </v:roundrect>
                  <v:roundrect id="Rectángulo: esquinas redondeadas 33" o:spid="_x0000_s1059" style="position:absolute;width:33829;height:27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" filled="f" stroked="f" strokeweight="1pt">
                    <v:stroke joinstyle="miter"/>
                    <v:textbox>
                      <w:txbxContent>
                        <w:p w14:paraId="0DB8E18A" w14:textId="7AB7A251" w:rsidR="002570F7" w:rsidRPr="00F87F59" w:rsidRDefault="000B27B8" w:rsidP="002570F7">
                          <w:pPr>
                            <w:jc w:val="center"/>
                            <w:rPr>
                              <w:b/>
                              <w:bCs/>
                              <w:color w:val="1F3864" w:themeColor="accent5" w:themeShade="80"/>
                              <w:sz w:val="10"/>
                              <w:szCs w:val="10"/>
                              <w:lang w:val="es-CO"/>
                            </w:rPr>
                          </w:pPr>
                          <w:r w:rsidRPr="00F87F59">
                            <w:rPr>
                              <w:b/>
                              <w:bCs/>
                              <w:color w:val="1F3864" w:themeColor="accent5" w:themeShade="80"/>
                              <w:sz w:val="10"/>
                              <w:szCs w:val="10"/>
                              <w:lang w:val="es-CO"/>
                            </w:rPr>
                            <w:t>Demanda reconocida</w:t>
                          </w:r>
                        </w:p>
                      </w:txbxContent>
                    </v:textbox>
                  </v:roundrect>
                </v:group>
                <v:group id="Grupo 35" o:spid="_x0000_s1060" style="position:absolute;left:59;top:18525;width:38062;height:4934" coordsize="34418,6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">
                  <v:roundrect id="Rectángulo: esquinas redondeadas 31" o:spid="_x0000_s1061" style="position:absolute;left:172;width:34246;height:60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" fillcolor="#e4edf8" strokecolor="#5b9bd5 [3204]" strokeweight=".5pt">
                    <v:stroke joinstyle="miter"/>
                  </v:roundrect>
                  <v:roundrect id="Rectángulo: esquinas redondeadas 32" o:spid="_x0000_s1062" style="position:absolute;left:1121;top:1988;width:32448;height:31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" fillcolor="white [3201]" strokecolor="#a5a5a5 [3206]" strokeweight="1pt">
                    <v:stroke joinstyle="miter"/>
                    <v:textbox>
                      <w:txbxContent>
                        <w:p w14:paraId="1989DACB" w14:textId="2E3D453D" w:rsidR="00C11B03" w:rsidRPr="00F87F59" w:rsidRDefault="00375A80" w:rsidP="00C11B03">
                          <w:pPr>
                            <w:jc w:val="center"/>
                            <w:rPr>
                              <w:sz w:val="10"/>
                              <w:szCs w:val="10"/>
                              <w:lang w:val="es-CO"/>
                            </w:rPr>
                          </w:pPr>
                          <w:r w:rsidRPr="00F87F59">
                            <w:rPr>
                              <w:sz w:val="10"/>
                              <w:szCs w:val="10"/>
                              <w:lang w:val="es-CO"/>
                            </w:rPr>
                            <w:t>Asignación de los costos eficientes (BRA</w:t>
                          </w:r>
                          <w:r w:rsidR="00913122" w:rsidRPr="00F87F59">
                            <w:rPr>
                              <w:sz w:val="10"/>
                              <w:szCs w:val="10"/>
                              <w:lang w:val="es-CO"/>
                            </w:rPr>
                            <w:t xml:space="preserve"> y AOM con base en la demanda reconocida)</w:t>
                          </w:r>
                        </w:p>
                      </w:txbxContent>
                    </v:textbox>
                  </v:roundrect>
                  <v:roundrect id="Rectángulo: esquinas redondeadas 33" o:spid="_x0000_s1063" style="position:absolute;width:33829;height:27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" filled="f" stroked="f" strokeweight="1pt">
                    <v:stroke joinstyle="miter"/>
                    <v:textbox>
                      <w:txbxContent>
                        <w:p w14:paraId="589B61EE" w14:textId="224A4EA3" w:rsidR="00C11B03" w:rsidRPr="00F87F59" w:rsidRDefault="00375A80" w:rsidP="00C11B03">
                          <w:pPr>
                            <w:jc w:val="center"/>
                            <w:rPr>
                              <w:b/>
                              <w:bCs/>
                              <w:color w:val="1F3864" w:themeColor="accent5" w:themeShade="80"/>
                              <w:sz w:val="10"/>
                              <w:szCs w:val="10"/>
                              <w:lang w:val="es-CO"/>
                            </w:rPr>
                          </w:pPr>
                          <w:r w:rsidRPr="00F87F59">
                            <w:rPr>
                              <w:b/>
                              <w:bCs/>
                              <w:color w:val="1F3864" w:themeColor="accent5" w:themeShade="80"/>
                              <w:sz w:val="10"/>
                              <w:szCs w:val="10"/>
                              <w:lang w:val="es-CO"/>
                            </w:rPr>
                            <w:t>Distribución de Inversiones y AOM entre os usuarios</w:t>
                          </w:r>
                        </w:p>
                      </w:txbxContent>
                    </v:textbox>
                  </v:roundrect>
                </v:group>
                <v:shape id="Conector recto de flecha 40" o:spid="_x0000_s1064" type="#_x0000_t32" style="position:absolute;left:18918;top:4275;width:103;height:7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" strokecolor="#5b9bd5 [3204]" strokeweight=".5pt">
                  <v:stroke endarrow="block" joinstyle="miter"/>
                </v:shape>
                <v:shape id="Conector recto de flecha 41" o:spid="_x0000_s1065" type="#_x0000_t32" style="position:absolute;left:19287;top:12184;width:0;height: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" strokecolor="#5b9bd5 [3204]" strokeweight=".5pt">
                  <v:stroke endarrow="block" joinstyle="miter"/>
                </v:shape>
                <v:shape id="Conector recto de flecha 42" o:spid="_x0000_s1066" type="#_x0000_t32" style="position:absolute;left:19287;top:17753;width:0;height:7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" strokecolor="#5b9bd5 [3204]" strokeweight=".5pt">
                  <v:stroke endarrow="block" joinstyle="miter"/>
                </v:shape>
                <v:shape id="Conector recto de flecha 42" o:spid="_x0000_s1067" type="#_x0000_t32" style="position:absolute;left:19287;top:23572;width:0;height:7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" strokecolor="#5b9bd5 [3204]" strokeweight=".5pt">
                  <v:stroke endarrow="block" joinstyle="miter"/>
                </v:shape>
                <v:group id="Grupo 49" o:spid="_x0000_s1068" style="position:absolute;top:24285;width:38061;height:7362" coordsize="38061,7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">
                  <v:group id="Grupo 35" o:spid="_x0000_s1069" style="position:absolute;width:38061;height:7362" coordsize="34418,5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">
                    <v:roundrect id="Rectángulo: esquinas redondeadas 31" o:spid="_x0000_s1070" style="position:absolute;left:172;width:34246;height:56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" fillcolor="#e4edf8" strokecolor="#5b9bd5 [3204]" strokeweight=".5pt">
                      <v:stroke joinstyle="miter"/>
                    </v:roundrect>
                    <v:roundrect id="Rectángulo: esquinas redondeadas 32" o:spid="_x0000_s1071" style="position:absolute;left:1034;top:1304;width:7565;height:38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" fillcolor="white [3201]" strokecolor="#a5a5a5 [3206]" strokeweight="1pt">
                      <v:stroke joinstyle="miter"/>
                      <v:textbox>
                        <w:txbxContent>
                          <w:p w14:paraId="1E9F19B5" w14:textId="43BD4011" w:rsidR="00C52756" w:rsidRPr="00F87F59" w:rsidRDefault="002F022D" w:rsidP="0067129B">
                            <w:pPr>
                              <w:jc w:val="center"/>
                              <w:rPr>
                                <w:sz w:val="10"/>
                                <w:szCs w:val="10"/>
                                <w:lang w:val="es-CO"/>
                              </w:rPr>
                            </w:pPr>
                            <w:r w:rsidRPr="00F87F59">
                              <w:rPr>
                                <w:sz w:val="10"/>
                                <w:szCs w:val="10"/>
                                <w:lang w:val="es-CO"/>
                              </w:rPr>
                              <w:t>Inversiones reconocidas</w:t>
                            </w:r>
                            <w:r w:rsidR="006A4812" w:rsidRPr="00F87F59">
                              <w:rPr>
                                <w:sz w:val="10"/>
                                <w:szCs w:val="10"/>
                                <w:lang w:val="es-CO"/>
                              </w:rPr>
                              <w:t xml:space="preserve"> (BRA)</w:t>
                            </w:r>
                          </w:p>
                        </w:txbxContent>
                      </v:textbox>
                    </v:roundrect>
                    <v:roundrect id="Rectángulo: esquinas redondeadas 32" o:spid="_x0000_s1072" style="position:absolute;left:10238;top:1350;width:7385;height:38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" fillcolor="white [3201]" strokecolor="#a5a5a5 [3206]" strokeweight="1pt">
                      <v:stroke joinstyle="miter"/>
                      <v:textbox>
                        <w:txbxContent>
                          <w:p w14:paraId="58A9E9A7" w14:textId="4DF250FE" w:rsidR="00C52756" w:rsidRPr="00F87F59" w:rsidRDefault="00E8739C" w:rsidP="0067129B">
                            <w:pPr>
                              <w:jc w:val="center"/>
                              <w:rPr>
                                <w:sz w:val="10"/>
                                <w:szCs w:val="10"/>
                                <w:lang w:val="es-CO"/>
                              </w:rPr>
                            </w:pPr>
                            <w:r w:rsidRPr="00F87F59">
                              <w:rPr>
                                <w:sz w:val="10"/>
                                <w:szCs w:val="10"/>
                                <w:lang w:val="es-CO"/>
                              </w:rPr>
                              <w:t>AOM reconocidos</w:t>
                            </w:r>
                          </w:p>
                        </w:txbxContent>
                      </v:textbox>
                    </v:roundrect>
                    <v:roundrect id="Rectángulo: esquinas redondeadas 32" o:spid="_x0000_s1073" style="position:absolute;left:18748;top:1348;width:7256;height:38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" fillcolor="white [3201]" strokecolor="#a5a5a5 [3206]" strokeweight="1pt">
                      <v:stroke joinstyle="miter"/>
                      <v:textbox>
                        <w:txbxContent>
                          <w:p w14:paraId="7DEE4E1E" w14:textId="4BEF3BDA" w:rsidR="00C52756" w:rsidRPr="00F87F59" w:rsidRDefault="001A48DC" w:rsidP="00C52756">
                            <w:pPr>
                              <w:jc w:val="center"/>
                              <w:rPr>
                                <w:sz w:val="10"/>
                                <w:szCs w:val="10"/>
                                <w:lang w:val="es-CO"/>
                              </w:rPr>
                            </w:pPr>
                            <w:r w:rsidRPr="00F87F59">
                              <w:rPr>
                                <w:sz w:val="10"/>
                                <w:szCs w:val="10"/>
                                <w:lang w:val="es-CO"/>
                              </w:rPr>
                              <w:t xml:space="preserve">Demanda Reconocida </w:t>
                            </w:r>
                            <w:r w:rsidR="006A4812" w:rsidRPr="00F87F59">
                              <w:rPr>
                                <w:sz w:val="10"/>
                                <w:szCs w:val="10"/>
                                <w:lang w:val="es-CO"/>
                              </w:rPr>
                              <w:t>(</w:t>
                            </w:r>
                            <w:r w:rsidR="00447D2B" w:rsidRPr="00F87F59">
                              <w:rPr>
                                <w:sz w:val="10"/>
                                <w:szCs w:val="10"/>
                                <w:lang w:val="es-CO"/>
                              </w:rPr>
                              <w:t>m</w:t>
                            </w:r>
                            <w:r w:rsidR="00E67BFD" w:rsidRPr="00F87F59">
                              <w:rPr>
                                <w:sz w:val="10"/>
                                <w:szCs w:val="10"/>
                                <w:lang w:val="es-CO"/>
                              </w:rPr>
                              <w:t>3)</w:t>
                            </w:r>
                          </w:p>
                        </w:txbxContent>
                      </v:textbox>
                    </v:roundrect>
                    <v:roundrect id="Rectángulo: esquinas redondeadas 32" o:spid="_x0000_s1074" style="position:absolute;left:27897;top:1303;width:5931;height:37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" fillcolor="white [3201]" strokecolor="#a5a5a5 [3206]" strokeweight="1pt">
                      <v:stroke joinstyle="miter"/>
                      <v:textbox>
                        <w:txbxContent>
                          <w:p w14:paraId="0A4A9FF5" w14:textId="05C02BE8" w:rsidR="00C52756" w:rsidRPr="00F87F59" w:rsidRDefault="0051172E" w:rsidP="00C52756">
                            <w:pPr>
                              <w:jc w:val="center"/>
                              <w:rPr>
                                <w:sz w:val="10"/>
                                <w:szCs w:val="10"/>
                                <w:lang w:val="es-CO"/>
                              </w:rPr>
                            </w:pPr>
                            <w:r w:rsidRPr="00F87F59">
                              <w:rPr>
                                <w:sz w:val="10"/>
                                <w:szCs w:val="10"/>
                                <w:lang w:val="es-CO"/>
                              </w:rPr>
                              <w:t>Cargo de distribución ($/m3)</w:t>
                            </w:r>
                            <w:r w:rsidR="00C52756" w:rsidRPr="00F87F59">
                              <w:rPr>
                                <w:sz w:val="10"/>
                                <w:szCs w:val="10"/>
                                <w:lang w:val="es-CO"/>
                              </w:rPr>
                              <w:t xml:space="preserve"> </w:t>
                            </w:r>
                          </w:p>
                        </w:txbxContent>
                      </v:textbox>
                    </v:roundrect>
                    <v:roundrect id="Rectángulo: esquinas redondeadas 33" o:spid="_x0000_s1075" style="position:absolute;width:33829;height:1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" filled="f" stroked="f" strokeweight="1pt">
                      <v:stroke joinstyle="miter"/>
                      <v:textbox>
                        <w:txbxContent>
                          <w:p w14:paraId="1C9252D6" w14:textId="40D97747" w:rsidR="00C52756" w:rsidRPr="00F87F59" w:rsidRDefault="00C303C0" w:rsidP="00C52756">
                            <w:pPr>
                              <w:jc w:val="center"/>
                              <w:rPr>
                                <w:b/>
                                <w:bCs/>
                                <w:color w:val="1F3864" w:themeColor="accent5" w:themeShade="80"/>
                                <w:sz w:val="10"/>
                                <w:szCs w:val="10"/>
                                <w:lang w:val="es-CO"/>
                              </w:rPr>
                            </w:pPr>
                            <w:r w:rsidRPr="00F87F59">
                              <w:rPr>
                                <w:b/>
                                <w:bCs/>
                                <w:color w:val="1F3864" w:themeColor="accent5" w:themeShade="80"/>
                                <w:sz w:val="10"/>
                                <w:szCs w:val="10"/>
                                <w:lang w:val="es-CO"/>
                              </w:rPr>
                              <w:t>C</w:t>
                            </w:r>
                            <w:r w:rsidR="00801CDD" w:rsidRPr="00F87F59">
                              <w:rPr>
                                <w:b/>
                                <w:bCs/>
                                <w:color w:val="1F3864" w:themeColor="accent5" w:themeShade="80"/>
                                <w:sz w:val="10"/>
                                <w:szCs w:val="10"/>
                                <w:lang w:val="es-CO"/>
                              </w:rPr>
                              <w:t>álculo del cargo de distribución (D)</w:t>
                            </w:r>
                          </w:p>
                        </w:txbxContent>
                      </v:textbox>
                    </v:roundrect>
                  </v:group>
                  <v:shape id="Signo más 44" o:spid="_x0000_s1076" style="position:absolute;left:9500;top:3621;width:1695;height:1850;visibility:visible;mso-wrap-style:square;v-text-anchor:middle" coordsize="169537,18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" path="m22472,72526r42359,l64831,24512r39875,l104706,72526r42359,l147065,112401r-42359,l104706,160415r-39875,l64831,112401r-42359,l22472,72526xe" fillcolor="#5b9bd5 [3204]" strokecolor="#091723 [484]" strokeweight="1pt">
                    <v:stroke joinstyle="miter"/>
                    <v:path arrowok="t" o:connecttype="custom" o:connectlocs="22472,72526;64831,72526;64831,24512;104706,24512;104706,72526;147065,72526;147065,112401;104706,112401;104706,160415;64831,160415;64831,112401;22472,112401;22472,72526" o:connectangles="0,0,0,0,0,0,0,0,0,0,0,0,0"/>
                  </v:shape>
                  <v:line id="Conector recto 45" o:spid="_x0000_s1077" style="position:absolute;flip:x;visibility:visible;mso-wrap-style:square" from="19891,1781" to="20170,6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" strokecolor="#5b9bd5 [3204]">
                    <v:stroke joinstyle="miter"/>
                  </v:line>
                  <v:shape id="Es igual a 46" o:spid="_x0000_s1078" style="position:absolute;left:28916;top:3681;width:1529;height:1789;visibility:visible;mso-wrap-style:square;v-text-anchor:middle" coordsize="152867,178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" path="m20263,36862r112341,l132604,78950r-112341,l20263,36862xm20263,99994r112341,l132604,142082r-112341,l20263,99994xe" fillcolor="#5b9bd5 [3204]" strokecolor="#091723 [484]" strokeweight="1pt">
                    <v:stroke joinstyle="miter"/>
                    <v:path arrowok="t" o:connecttype="custom" o:connectlocs="20263,36862;132604,36862;132604,78950;20263,78950;20263,36862;20263,99994;132604,99994;132604,142082;20263,142082;20263,99994" o:connectangles="0,0,0,0,0,0,0,0,0,0"/>
                  </v:shape>
                </v:group>
                <w10:anchorlock/>
              </v:group>
            </w:pict>
          </mc:Fallback>
        </mc:AlternateContent>
      </w:r>
    </w:p>
    <w:p w14:paraId="51C79A1E" w14:textId="1F17973E" w:rsidR="005C7B5D" w:rsidRPr="009B5C9B" w:rsidRDefault="00AE7A9A" w:rsidP="002F1961">
      <w:pPr>
        <w:spacing w:before="100" w:beforeAutospacing="1" w:after="100" w:afterAutospacing="1" w:line="360" w:lineRule="auto"/>
        <w:jc w:val="center"/>
        <w:rPr>
          <w:sz w:val="22"/>
          <w:szCs w:val="22"/>
          <w:lang w:val="es-CO"/>
        </w:rPr>
      </w:pPr>
      <w:r w:rsidRPr="009B5C9B">
        <w:rPr>
          <w:sz w:val="22"/>
          <w:szCs w:val="22"/>
          <w:lang w:val="es-CO"/>
        </w:rPr>
        <w:t>Elaboración: CREG</w:t>
      </w:r>
    </w:p>
    <w:p w14:paraId="7B661A7D" w14:textId="0332AED5" w:rsidR="001548A0" w:rsidRPr="00A92AFF" w:rsidRDefault="00A92AFF" w:rsidP="002F1961">
      <w:pPr>
        <w:spacing w:before="100" w:beforeAutospacing="1" w:after="100" w:afterAutospacing="1" w:line="360" w:lineRule="auto"/>
        <w:rPr>
          <w:szCs w:val="24"/>
          <w:lang w:val="es-CO"/>
        </w:rPr>
      </w:pPr>
      <w:r>
        <w:rPr>
          <w:szCs w:val="24"/>
          <w:lang w:val="es-CO"/>
        </w:rPr>
        <w:t xml:space="preserve">La </w:t>
      </w:r>
      <w:r w:rsidR="007C0B43">
        <w:rPr>
          <w:szCs w:val="24"/>
          <w:lang w:val="es-CO"/>
        </w:rPr>
        <w:fldChar w:fldCharType="begin"/>
      </w:r>
      <w:r w:rsidR="007C0B43">
        <w:rPr>
          <w:szCs w:val="24"/>
          <w:lang w:val="es-CO"/>
        </w:rPr>
        <w:instrText xml:space="preserve"> REF _Ref235087942 \h </w:instrText>
      </w:r>
      <w:r w:rsidR="007C0B43">
        <w:rPr>
          <w:szCs w:val="24"/>
          <w:lang w:val="es-CO"/>
        </w:rPr>
      </w:r>
      <w:r w:rsidR="007C0B43">
        <w:rPr>
          <w:szCs w:val="24"/>
          <w:lang w:val="es-CO"/>
        </w:rPr>
        <w:fldChar w:fldCharType="separate"/>
      </w:r>
      <w:r w:rsidR="007C0B43" w:rsidRPr="00137244">
        <w:rPr>
          <w:lang w:val="es-ES"/>
        </w:rPr>
        <w:t xml:space="preserve">Figura </w:t>
      </w:r>
      <w:r w:rsidR="007C0B43">
        <w:rPr>
          <w:noProof/>
          <w:lang w:val="es-ES"/>
        </w:rPr>
        <w:t>20</w:t>
      </w:r>
      <w:r w:rsidR="007C0B43" w:rsidRPr="5FAE69B6">
        <w:rPr>
          <w:lang w:val="es-ES"/>
        </w:rPr>
        <w:t xml:space="preserve">. </w:t>
      </w:r>
      <w:r w:rsidR="007C0B43" w:rsidRPr="00A92AFF">
        <w:rPr>
          <w:bCs/>
          <w:lang w:val="es-ES"/>
        </w:rPr>
        <w:t>Determinación de la demanda reconocida</w:t>
      </w:r>
      <w:r w:rsidR="007C0B43">
        <w:rPr>
          <w:szCs w:val="24"/>
          <w:lang w:val="es-CO"/>
        </w:rPr>
        <w:fldChar w:fldCharType="end"/>
      </w:r>
      <w:r w:rsidRPr="00A92AFF">
        <w:rPr>
          <w:szCs w:val="24"/>
          <w:lang w:val="es-CO"/>
        </w:rPr>
        <w:t>resume el procedimiento general utilizado para determinar la demanda reconocida dentro de la metodología. Como se aprecia, la regulación considera el tipo de usuario, las características del mercado y, en el caso de los mercados existentes, incorpora el Factor de Uso Eficiente de Redes (FUE), con el fin de distribuir adecuadamente los costos eficientes entre los usuarios del sistema.</w:t>
      </w:r>
    </w:p>
    <w:p w14:paraId="773332CE" w14:textId="3BE1E20B" w:rsidR="00C11B03" w:rsidRPr="008D67E2" w:rsidRDefault="008D67E2">
      <w:pPr>
        <w:pStyle w:val="Prrafodelista"/>
        <w:numPr>
          <w:ilvl w:val="0"/>
          <w:numId w:val="28"/>
        </w:numPr>
        <w:spacing w:before="100" w:beforeAutospacing="1" w:after="100" w:afterAutospacing="1" w:line="360" w:lineRule="auto"/>
        <w:jc w:val="left"/>
        <w:rPr>
          <w:b/>
          <w:bCs/>
          <w:szCs w:val="24"/>
          <w:lang w:val="es-CO"/>
        </w:rPr>
      </w:pPr>
      <w:r w:rsidRPr="008D67E2">
        <w:rPr>
          <w:b/>
          <w:bCs/>
          <w:szCs w:val="24"/>
          <w:lang w:val="es-CO"/>
        </w:rPr>
        <w:t>Otros componentes de la metodología</w:t>
      </w:r>
    </w:p>
    <w:p w14:paraId="02014EDF" w14:textId="60D8BD96" w:rsidR="009362D8" w:rsidRPr="009362D8" w:rsidRDefault="009362D8" w:rsidP="002F1961">
      <w:pPr>
        <w:spacing w:before="100" w:beforeAutospacing="1" w:after="100" w:afterAutospacing="1" w:line="360" w:lineRule="auto"/>
        <w:rPr>
          <w:szCs w:val="24"/>
          <w:lang w:val="es-CO"/>
        </w:rPr>
      </w:pPr>
      <w:r>
        <w:rPr>
          <w:szCs w:val="24"/>
          <w:lang w:val="es-CO"/>
        </w:rPr>
        <w:t>L</w:t>
      </w:r>
      <w:r w:rsidRPr="009362D8">
        <w:rPr>
          <w:szCs w:val="24"/>
          <w:lang w:val="es-CO"/>
        </w:rPr>
        <w:t>a metodología incorpora otros elementos que permiten reflejar adecuadamente los costos de prestación del servicio y mantener la sostenibilidad de la infraestructura durante el período tarifario.</w:t>
      </w:r>
    </w:p>
    <w:p w14:paraId="189CACB6" w14:textId="1B28604D" w:rsidR="00BF4327" w:rsidRDefault="00CB08E2" w:rsidP="002F1961">
      <w:pPr>
        <w:spacing w:before="100" w:beforeAutospacing="1" w:after="100" w:afterAutospacing="1" w:line="360" w:lineRule="auto"/>
        <w:rPr>
          <w:lang w:val="es-CO"/>
        </w:rPr>
      </w:pPr>
      <w:r w:rsidRPr="27A7BAAA">
        <w:rPr>
          <w:lang w:val="es-CO"/>
        </w:rPr>
        <w:lastRenderedPageBreak/>
        <w:t xml:space="preserve">Entre estos mecanismos se encuentran la </w:t>
      </w:r>
      <w:r w:rsidR="004557BC">
        <w:rPr>
          <w:lang w:val="es-CO"/>
        </w:rPr>
        <w:t>vida útil regulatoria</w:t>
      </w:r>
      <w:r w:rsidR="007672CB">
        <w:rPr>
          <w:lang w:val="es-CO"/>
        </w:rPr>
        <w:t>, la recuperación de las inversiones</w:t>
      </w:r>
      <w:r w:rsidR="00110E53">
        <w:rPr>
          <w:lang w:val="es-CO"/>
        </w:rPr>
        <w:t xml:space="preserve">, </w:t>
      </w:r>
      <w:r w:rsidRPr="27A7BAAA">
        <w:rPr>
          <w:lang w:val="es-CO"/>
        </w:rPr>
        <w:t>tasa de retorno (WACC), los deltas tarifarios, la canasta tarifaria y los mecanismos de actualización del cargo de distribución.</w:t>
      </w:r>
    </w:p>
    <w:p w14:paraId="77A3AAF3" w14:textId="25AE11C5" w:rsidR="00EF60B6" w:rsidRDefault="00EF60B6" w:rsidP="002F1961">
      <w:pPr>
        <w:spacing w:before="100" w:beforeAutospacing="1" w:after="100" w:afterAutospacing="1" w:line="360" w:lineRule="auto"/>
        <w:rPr>
          <w:b/>
          <w:bCs/>
          <w:szCs w:val="24"/>
          <w:lang w:val="es-CO"/>
        </w:rPr>
      </w:pPr>
      <w:r w:rsidRPr="00EF60B6">
        <w:rPr>
          <w:b/>
          <w:bCs/>
          <w:szCs w:val="24"/>
          <w:lang w:val="es-CO"/>
        </w:rPr>
        <w:t>Vida útil regulatoria y recuperación de las inversiones</w:t>
      </w:r>
    </w:p>
    <w:p w14:paraId="3ADDD158" w14:textId="77777777" w:rsidR="00022B17" w:rsidRPr="00022B17" w:rsidRDefault="00022B17" w:rsidP="002F1961">
      <w:pPr>
        <w:spacing w:before="100" w:beforeAutospacing="1" w:after="100" w:afterAutospacing="1" w:line="360" w:lineRule="auto"/>
        <w:rPr>
          <w:szCs w:val="24"/>
          <w:lang w:val="es-CO"/>
        </w:rPr>
      </w:pPr>
      <w:r w:rsidRPr="00022B17">
        <w:rPr>
          <w:szCs w:val="24"/>
          <w:lang w:val="es-CO"/>
        </w:rPr>
        <w:t>Una vez determinada la Base Regulatoria de Activos (BRA), la metodología establece el mecanismo mediante el cual las inversiones eficientes son recuperadas a través del cargo de distribución. Para ello, utiliza el Costo Anual Equivalente (CAE), el cual constituye el mecanismo de remuneración de las inversiones durante el horizonte regulatorio.</w:t>
      </w:r>
    </w:p>
    <w:p w14:paraId="38765704" w14:textId="77777777" w:rsidR="00022B17" w:rsidRPr="00022B17" w:rsidRDefault="00022B17" w:rsidP="002F1961">
      <w:pPr>
        <w:spacing w:before="100" w:beforeAutospacing="1" w:after="100" w:afterAutospacing="1" w:line="360" w:lineRule="auto"/>
        <w:rPr>
          <w:lang w:val="es-CO"/>
        </w:rPr>
      </w:pPr>
      <w:r w:rsidRPr="07F0F678">
        <w:rPr>
          <w:lang w:val="es-CO"/>
        </w:rPr>
        <w:t>La Resolución CREG 202 de 2013 establece una vida útil normativa de veinte (20) años para los activos reconocidos, correspondiente a la variable u utilizada en las expresiones de cálculo del CAE. Esta vida útil constituye un parámetro regulatorio uniforme para todos los distribuidores y es independiente de la vida útil contable o de las políticas de depreciación aplicadas por cada empresa.</w:t>
      </w:r>
    </w:p>
    <w:p w14:paraId="0672101E" w14:textId="77777777" w:rsidR="00022B17" w:rsidRPr="00022B17" w:rsidRDefault="00022B17" w:rsidP="002F1961">
      <w:pPr>
        <w:spacing w:before="100" w:beforeAutospacing="1" w:after="100" w:afterAutospacing="1" w:line="360" w:lineRule="auto"/>
        <w:rPr>
          <w:szCs w:val="24"/>
          <w:lang w:val="es-CO"/>
        </w:rPr>
      </w:pPr>
      <w:r w:rsidRPr="00022B17">
        <w:rPr>
          <w:szCs w:val="24"/>
          <w:lang w:val="es-CO"/>
        </w:rPr>
        <w:t>La utilización de una vida útil regulatoria homogénea garantiza que la recuperación de las inversiones responda a criterios de eficiencia y comparabilidad entre mercados, evitando que diferencias en las políticas contables de los distribuidores afecten la determinación de los cargos de distribución.</w:t>
      </w:r>
    </w:p>
    <w:p w14:paraId="32617758" w14:textId="77777777" w:rsidR="00022B17" w:rsidRPr="00022B17" w:rsidRDefault="00022B17" w:rsidP="002F1961">
      <w:pPr>
        <w:spacing w:before="100" w:beforeAutospacing="1" w:after="100" w:afterAutospacing="1" w:line="360" w:lineRule="auto"/>
        <w:rPr>
          <w:szCs w:val="24"/>
          <w:lang w:val="es-CO"/>
        </w:rPr>
      </w:pPr>
      <w:r w:rsidRPr="00022B17">
        <w:rPr>
          <w:szCs w:val="24"/>
          <w:lang w:val="es-CO"/>
        </w:rPr>
        <w:t>En este sentido, la metodología no reconoce una depreciación regulatoria como un componente independiente de la tarifa. La recuperación del valor de los activos se encuentra incorporada dentro del Costo Anual Equivalente (CAE), el cual integra tanto la recuperación del capital invertido durante la vida útil normativa como la rentabilidad reconocida mediante la tasa de retorno regulatoria.</w:t>
      </w:r>
    </w:p>
    <w:p w14:paraId="5D7B81AF" w14:textId="1947F9B1" w:rsidR="00EF60B6" w:rsidRPr="00EF60B6" w:rsidRDefault="00022B17" w:rsidP="002F1961">
      <w:pPr>
        <w:spacing w:before="100" w:beforeAutospacing="1" w:after="100" w:afterAutospacing="1" w:line="360" w:lineRule="auto"/>
        <w:rPr>
          <w:szCs w:val="24"/>
          <w:lang w:val="es-CO"/>
        </w:rPr>
      </w:pPr>
      <w:r w:rsidRPr="00022B17">
        <w:rPr>
          <w:szCs w:val="24"/>
          <w:lang w:val="es-CO"/>
        </w:rPr>
        <w:t>Asimismo, una vez agotada la vida útil regulatoria de los activos, la metodología contempla el reconocimiento de inversiones de reposición, siempre que estas correspondan a inversiones eficientes, cumplan las condiciones establecidas en la regulación y entren efectivamente en operación.</w:t>
      </w:r>
    </w:p>
    <w:p w14:paraId="39255F53" w14:textId="05572046" w:rsidR="00BF4327" w:rsidRDefault="00BF4327" w:rsidP="002F1961">
      <w:pPr>
        <w:spacing w:before="100" w:beforeAutospacing="1" w:after="100" w:afterAutospacing="1" w:line="360" w:lineRule="auto"/>
        <w:rPr>
          <w:b/>
          <w:bCs/>
          <w:szCs w:val="24"/>
          <w:lang w:val="es-CO"/>
        </w:rPr>
      </w:pPr>
      <w:r w:rsidRPr="00AC4843">
        <w:rPr>
          <w:b/>
          <w:bCs/>
          <w:szCs w:val="24"/>
          <w:lang w:val="es-CO"/>
        </w:rPr>
        <w:lastRenderedPageBreak/>
        <w:t xml:space="preserve">Tasa </w:t>
      </w:r>
      <w:r w:rsidR="00AC4843" w:rsidRPr="00AC4843">
        <w:rPr>
          <w:b/>
          <w:bCs/>
          <w:szCs w:val="24"/>
          <w:lang w:val="es-CO"/>
        </w:rPr>
        <w:t xml:space="preserve">de retorno </w:t>
      </w:r>
      <w:r w:rsidRPr="00AC4843">
        <w:rPr>
          <w:b/>
          <w:bCs/>
          <w:szCs w:val="24"/>
          <w:lang w:val="es-CO"/>
        </w:rPr>
        <w:t>WACC</w:t>
      </w:r>
    </w:p>
    <w:p w14:paraId="0C2B96D6" w14:textId="77777777" w:rsidR="00EA3F5D" w:rsidRDefault="00AC4843" w:rsidP="002F1961">
      <w:pPr>
        <w:spacing w:before="100" w:beforeAutospacing="1" w:after="100" w:afterAutospacing="1" w:line="360" w:lineRule="auto"/>
        <w:rPr>
          <w:szCs w:val="24"/>
          <w:lang w:val="es-CO"/>
        </w:rPr>
      </w:pPr>
      <w:r w:rsidRPr="00AC4843">
        <w:rPr>
          <w:szCs w:val="24"/>
          <w:lang w:val="es-CO"/>
        </w:rPr>
        <w:t>La tasa de retorno WACC</w:t>
      </w:r>
      <w:r>
        <w:rPr>
          <w:szCs w:val="24"/>
          <w:lang w:val="es-CO"/>
        </w:rPr>
        <w:t>,</w:t>
      </w:r>
      <w:r w:rsidRPr="00AC4843">
        <w:rPr>
          <w:szCs w:val="24"/>
          <w:lang w:val="es-CO"/>
        </w:rPr>
        <w:t xml:space="preserve"> representa la rentabilidad reconocida al distribuidor por las inversiones eficientes destinadas a la prestación del servicio. </w:t>
      </w:r>
    </w:p>
    <w:p w14:paraId="18D29CE7" w14:textId="3BEE5E17" w:rsidR="00AC4843" w:rsidRDefault="00EA3F5D" w:rsidP="002F1961">
      <w:pPr>
        <w:spacing w:before="100" w:beforeAutospacing="1" w:after="100" w:afterAutospacing="1" w:line="360" w:lineRule="auto"/>
        <w:rPr>
          <w:szCs w:val="24"/>
          <w:lang w:val="es-CO"/>
        </w:rPr>
      </w:pPr>
      <w:r w:rsidRPr="00EA3F5D">
        <w:rPr>
          <w:szCs w:val="24"/>
          <w:lang w:val="es-CO"/>
        </w:rPr>
        <w:t>La metodología para su determinación fue establecida mediante la Resolución CREG 095 de 2015 y la tasa vigente corresponde al 12,65 %, definida mediante la Resolución CREG 102 002 de 2022.</w:t>
      </w:r>
    </w:p>
    <w:p w14:paraId="4898DC62" w14:textId="735F27CD" w:rsidR="00AC4843" w:rsidRDefault="00D13EBC" w:rsidP="002F1961">
      <w:pPr>
        <w:spacing w:before="100" w:beforeAutospacing="1" w:after="100" w:afterAutospacing="1" w:line="360" w:lineRule="auto"/>
        <w:rPr>
          <w:szCs w:val="24"/>
          <w:lang w:val="es-CO"/>
        </w:rPr>
      </w:pPr>
      <w:r w:rsidRPr="00D13EBC">
        <w:rPr>
          <w:szCs w:val="24"/>
          <w:lang w:val="es-CO"/>
        </w:rPr>
        <w:t xml:space="preserve">La aplicación de la tasa de retorno difiere según se trate de mercados existentes o mercados nuevos, dado que cumple funciones distintas dentro de la metodología de remuneración. </w:t>
      </w:r>
      <w:r w:rsidRPr="001F014D">
        <w:rPr>
          <w:szCs w:val="24"/>
          <w:lang w:val="es-CO"/>
        </w:rPr>
        <w:t xml:space="preserve">La </w:t>
      </w:r>
      <w:r w:rsidR="001F014D" w:rsidRPr="001F014D">
        <w:rPr>
          <w:szCs w:val="24"/>
          <w:lang w:val="es-CO"/>
        </w:rPr>
        <w:fldChar w:fldCharType="begin"/>
      </w:r>
      <w:r w:rsidR="001F014D" w:rsidRPr="001F014D">
        <w:rPr>
          <w:szCs w:val="24"/>
          <w:lang w:val="es-CO"/>
        </w:rPr>
        <w:instrText xml:space="preserve"> REF _Ref235088040 \h </w:instrText>
      </w:r>
      <w:r w:rsidR="001F014D">
        <w:rPr>
          <w:szCs w:val="24"/>
          <w:lang w:val="es-CO"/>
        </w:rPr>
        <w:instrText xml:space="preserve"> \* MERGEFORMAT </w:instrText>
      </w:r>
      <w:r w:rsidR="001F014D" w:rsidRPr="001F014D">
        <w:rPr>
          <w:szCs w:val="24"/>
          <w:lang w:val="es-CO"/>
        </w:rPr>
      </w:r>
      <w:r w:rsidR="001F014D" w:rsidRPr="001F014D">
        <w:rPr>
          <w:szCs w:val="24"/>
          <w:lang w:val="es-CO"/>
        </w:rPr>
        <w:fldChar w:fldCharType="separate"/>
      </w:r>
      <w:r w:rsidR="001F014D" w:rsidRPr="001F014D">
        <w:rPr>
          <w:rFonts w:cs="Arial"/>
          <w:szCs w:val="24"/>
        </w:rPr>
        <w:t xml:space="preserve">Tabla </w:t>
      </w:r>
      <w:r w:rsidR="001F014D" w:rsidRPr="001F014D">
        <w:rPr>
          <w:rFonts w:cs="Arial"/>
          <w:noProof/>
          <w:szCs w:val="24"/>
        </w:rPr>
        <w:t>5</w:t>
      </w:r>
      <w:r w:rsidR="001F014D" w:rsidRPr="001F014D">
        <w:rPr>
          <w:szCs w:val="24"/>
          <w:lang w:val="es-CO"/>
        </w:rPr>
        <w:fldChar w:fldCharType="end"/>
      </w:r>
      <w:r w:rsidRPr="00D13EBC">
        <w:rPr>
          <w:szCs w:val="24"/>
          <w:lang w:val="es-CO"/>
        </w:rPr>
        <w:t xml:space="preserve"> resume su aplicación para cada tipo de mercado</w:t>
      </w:r>
      <w:r w:rsidR="00FA21F9">
        <w:rPr>
          <w:szCs w:val="24"/>
          <w:lang w:val="es-CO"/>
        </w:rPr>
        <w:t>.</w:t>
      </w:r>
    </w:p>
    <w:p w14:paraId="24385598" w14:textId="7387AFA1" w:rsidR="00656615" w:rsidRPr="00656615" w:rsidRDefault="00FA21F9" w:rsidP="002F1961">
      <w:pPr>
        <w:pStyle w:val="Descripcin"/>
        <w:keepNext/>
        <w:spacing w:before="100" w:beforeAutospacing="1" w:after="100" w:afterAutospacing="1" w:line="360" w:lineRule="auto"/>
        <w:jc w:val="center"/>
        <w:rPr>
          <w:rFonts w:cs="Arial"/>
          <w:b w:val="0"/>
          <w:bCs/>
          <w:szCs w:val="24"/>
        </w:rPr>
      </w:pPr>
      <w:bookmarkStart w:id="87" w:name="_Ref235088034"/>
      <w:bookmarkStart w:id="88" w:name="_Ref235088040"/>
      <w:bookmarkStart w:id="89" w:name="_Toc235128402"/>
      <w:r w:rsidRPr="00656615">
        <w:rPr>
          <w:rFonts w:cs="Arial"/>
          <w:b w:val="0"/>
          <w:szCs w:val="24"/>
        </w:rPr>
        <w:t xml:space="preserve">Tabla </w:t>
      </w:r>
      <w:r w:rsidRPr="00656615">
        <w:rPr>
          <w:rFonts w:cs="Arial"/>
          <w:b w:val="0"/>
          <w:szCs w:val="24"/>
        </w:rPr>
        <w:fldChar w:fldCharType="begin"/>
      </w:r>
      <w:r w:rsidRPr="001F014D">
        <w:rPr>
          <w:rFonts w:cs="Arial"/>
          <w:b w:val="0"/>
          <w:szCs w:val="24"/>
        </w:rPr>
        <w:instrText xml:space="preserve"> SEQ Tabla \* ARABIC </w:instrText>
      </w:r>
      <w:r w:rsidRPr="00656615">
        <w:rPr>
          <w:rFonts w:cs="Arial"/>
          <w:b w:val="0"/>
          <w:szCs w:val="24"/>
        </w:rPr>
        <w:fldChar w:fldCharType="separate"/>
      </w:r>
      <w:r w:rsidR="005306CB" w:rsidRPr="001F014D">
        <w:rPr>
          <w:rFonts w:cs="Arial"/>
          <w:b w:val="0"/>
          <w:szCs w:val="24"/>
        </w:rPr>
        <w:t>5</w:t>
      </w:r>
      <w:r w:rsidRPr="00656615">
        <w:rPr>
          <w:rFonts w:cs="Arial"/>
          <w:b w:val="0"/>
          <w:szCs w:val="24"/>
        </w:rPr>
        <w:fldChar w:fldCharType="end"/>
      </w:r>
      <w:bookmarkEnd w:id="88"/>
      <w:r w:rsidR="00656615" w:rsidRPr="00656615">
        <w:rPr>
          <w:rFonts w:cs="Arial"/>
          <w:b w:val="0"/>
          <w:bCs/>
          <w:szCs w:val="24"/>
        </w:rPr>
        <w:t xml:space="preserve">. </w:t>
      </w:r>
      <w:r w:rsidR="00656615">
        <w:rPr>
          <w:rFonts w:cs="Arial"/>
          <w:b w:val="0"/>
          <w:bCs/>
          <w:szCs w:val="24"/>
        </w:rPr>
        <w:t>Aplicación de la tasa de retorno (WACC) en la metodología de distribución</w:t>
      </w:r>
      <w:bookmarkEnd w:id="87"/>
      <w:bookmarkEnd w:id="89"/>
    </w:p>
    <w:tbl>
      <w:tblPr>
        <w:tblStyle w:val="Tablaconcuadrculaclar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698"/>
        <w:gridCol w:w="4698"/>
      </w:tblGrid>
      <w:tr w:rsidR="003F256D" w:rsidRPr="003F256D" w14:paraId="69A72D01" w14:textId="77777777" w:rsidTr="00510CC9">
        <w:trPr>
          <w:trHeight w:val="444"/>
        </w:trPr>
        <w:tc>
          <w:tcPr>
            <w:tcW w:w="2500" w:type="pct"/>
            <w:shd w:val="clear" w:color="auto" w:fill="D9D9D9" w:themeFill="background1" w:themeFillShade="D9"/>
            <w:hideMark/>
          </w:tcPr>
          <w:p w14:paraId="3921F796" w14:textId="77777777" w:rsidR="003F256D" w:rsidRPr="003F256D" w:rsidRDefault="003F256D" w:rsidP="002F1961">
            <w:pPr>
              <w:spacing w:before="100" w:beforeAutospacing="1" w:after="100" w:afterAutospacing="1" w:line="360" w:lineRule="auto"/>
              <w:jc w:val="center"/>
              <w:rPr>
                <w:sz w:val="20"/>
                <w:lang w:val="es-CO"/>
              </w:rPr>
            </w:pPr>
            <w:r w:rsidRPr="003F256D">
              <w:rPr>
                <w:b/>
                <w:bCs/>
                <w:sz w:val="20"/>
                <w:lang w:val="es-CO"/>
              </w:rPr>
              <w:t>Mercados Existentes</w:t>
            </w:r>
          </w:p>
        </w:tc>
        <w:tc>
          <w:tcPr>
            <w:tcW w:w="2500" w:type="pct"/>
            <w:shd w:val="clear" w:color="auto" w:fill="D9D9D9" w:themeFill="background1" w:themeFillShade="D9"/>
            <w:hideMark/>
          </w:tcPr>
          <w:p w14:paraId="6723F627" w14:textId="77777777" w:rsidR="003F256D" w:rsidRPr="003F256D" w:rsidRDefault="003F256D" w:rsidP="002F1961">
            <w:pPr>
              <w:spacing w:before="100" w:beforeAutospacing="1" w:after="100" w:afterAutospacing="1" w:line="360" w:lineRule="auto"/>
              <w:jc w:val="center"/>
              <w:rPr>
                <w:sz w:val="20"/>
                <w:lang w:val="es-CO"/>
              </w:rPr>
            </w:pPr>
            <w:r w:rsidRPr="003F256D">
              <w:rPr>
                <w:b/>
                <w:bCs/>
                <w:sz w:val="20"/>
                <w:lang w:val="es-CO"/>
              </w:rPr>
              <w:t>Mercados Nuevos</w:t>
            </w:r>
          </w:p>
        </w:tc>
      </w:tr>
      <w:tr w:rsidR="003F256D" w:rsidRPr="003F256D" w14:paraId="30F55A1C" w14:textId="77777777" w:rsidTr="00510CC9">
        <w:trPr>
          <w:trHeight w:val="584"/>
        </w:trPr>
        <w:tc>
          <w:tcPr>
            <w:tcW w:w="2500" w:type="pct"/>
            <w:hideMark/>
          </w:tcPr>
          <w:p w14:paraId="4D765C59" w14:textId="77777777" w:rsidR="003F256D" w:rsidRPr="003F256D" w:rsidRDefault="003F256D" w:rsidP="002F1961">
            <w:pPr>
              <w:spacing w:before="100" w:beforeAutospacing="1" w:after="100" w:afterAutospacing="1" w:line="360" w:lineRule="auto"/>
              <w:rPr>
                <w:sz w:val="20"/>
                <w:lang w:val="es-CO"/>
              </w:rPr>
            </w:pPr>
            <w:r w:rsidRPr="003F256D">
              <w:rPr>
                <w:sz w:val="20"/>
                <w:lang w:val="es-CO"/>
              </w:rPr>
              <w:t>Se utiliza para calcular el Costo Anual Equivalente (CAE) de las inversiones.</w:t>
            </w:r>
          </w:p>
        </w:tc>
        <w:tc>
          <w:tcPr>
            <w:tcW w:w="2500" w:type="pct"/>
            <w:hideMark/>
          </w:tcPr>
          <w:p w14:paraId="50C1AC21" w14:textId="77777777" w:rsidR="003F256D" w:rsidRPr="003F256D" w:rsidRDefault="003F256D" w:rsidP="002F1961">
            <w:pPr>
              <w:spacing w:before="100" w:beforeAutospacing="1" w:after="100" w:afterAutospacing="1" w:line="360" w:lineRule="auto"/>
              <w:rPr>
                <w:sz w:val="20"/>
                <w:lang w:val="es-CO"/>
              </w:rPr>
            </w:pPr>
            <w:r w:rsidRPr="003F256D">
              <w:rPr>
                <w:sz w:val="20"/>
                <w:lang w:val="es-CO"/>
              </w:rPr>
              <w:t>Se utiliza para calcular los valores presentes de las proyecciones de inversiones, AOM y demanda.</w:t>
            </w:r>
          </w:p>
        </w:tc>
      </w:tr>
    </w:tbl>
    <w:p w14:paraId="43E2E514" w14:textId="24720A95" w:rsidR="003F256D" w:rsidRPr="001F014D" w:rsidRDefault="00BB3750" w:rsidP="002F1961">
      <w:pPr>
        <w:spacing w:before="100" w:beforeAutospacing="1" w:after="100" w:afterAutospacing="1" w:line="360" w:lineRule="auto"/>
        <w:jc w:val="center"/>
        <w:rPr>
          <w:sz w:val="22"/>
          <w:szCs w:val="22"/>
          <w:lang w:val="es-CO"/>
        </w:rPr>
      </w:pPr>
      <w:r w:rsidRPr="001F014D">
        <w:rPr>
          <w:sz w:val="22"/>
          <w:szCs w:val="22"/>
          <w:lang w:val="es-CO"/>
        </w:rPr>
        <w:t>Elaboración: CREG</w:t>
      </w:r>
    </w:p>
    <w:p w14:paraId="58E122B5" w14:textId="72D2B939" w:rsidR="005E04A7" w:rsidRPr="005E04A7" w:rsidRDefault="005E04A7" w:rsidP="002F1961">
      <w:pPr>
        <w:spacing w:before="100" w:beforeAutospacing="1" w:after="100" w:afterAutospacing="1" w:line="360" w:lineRule="auto"/>
        <w:rPr>
          <w:b/>
          <w:bCs/>
          <w:szCs w:val="24"/>
          <w:lang w:val="es-CO"/>
        </w:rPr>
      </w:pPr>
      <w:r w:rsidRPr="005E04A7">
        <w:rPr>
          <w:b/>
          <w:bCs/>
          <w:szCs w:val="24"/>
          <w:lang w:val="es-CO"/>
        </w:rPr>
        <w:t>Deltas del cargo de distribución</w:t>
      </w:r>
    </w:p>
    <w:p w14:paraId="7160D242" w14:textId="51F5CA3C" w:rsidR="00264B1D" w:rsidRPr="00264B1D" w:rsidRDefault="00C2747B" w:rsidP="002F1961">
      <w:pPr>
        <w:spacing w:before="100" w:beforeAutospacing="1" w:after="100" w:afterAutospacing="1" w:line="360" w:lineRule="auto"/>
        <w:rPr>
          <w:szCs w:val="24"/>
          <w:lang w:val="es-CO"/>
        </w:rPr>
      </w:pPr>
      <w:r w:rsidRPr="00C2747B">
        <w:rPr>
          <w:szCs w:val="24"/>
          <w:lang w:val="es-CO"/>
        </w:rPr>
        <w:t>La metodología contempla componentes adicionales del cargo de distribución, denominados deltas tarifarios, mediante los cuales pueden incorporarse ajustes asociados a inversiones que resulten necesarias durante el período tarifario y que no se encuentren incluidas en el cargo inicialmente aprobado.</w:t>
      </w:r>
      <w:r w:rsidR="00264B1D" w:rsidRPr="00264B1D">
        <w:rPr>
          <w:szCs w:val="24"/>
          <w:lang w:val="es-CO"/>
        </w:rPr>
        <w:t>:</w:t>
      </w:r>
    </w:p>
    <w:p w14:paraId="666C8C8A" w14:textId="319981EC" w:rsidR="00A36E67" w:rsidRDefault="00A36E67" w:rsidP="002F1961">
      <w:pPr>
        <w:spacing w:before="100" w:beforeAutospacing="1" w:after="100" w:afterAutospacing="1" w:line="360" w:lineRule="auto"/>
        <w:rPr>
          <w:szCs w:val="24"/>
          <w:lang w:val="es-CO"/>
        </w:rPr>
      </w:pPr>
      <w:r w:rsidRPr="00A36E67">
        <w:rPr>
          <w:szCs w:val="24"/>
          <w:lang w:val="es-CO"/>
        </w:rPr>
        <w:t>Estos mecanismos permiten reconocer inversiones destinadas a garantizar la reposición de activos, así como aquellas orientadas a preservar la confiabilidad, seguridad y continuidad de la prestación del servicio, siempre que cumplan las condiciones y requisitos establecidos en la regulación</w:t>
      </w:r>
    </w:p>
    <w:p w14:paraId="74F08007" w14:textId="443EA188" w:rsidR="00942836" w:rsidRDefault="00942836" w:rsidP="002F1961">
      <w:pPr>
        <w:spacing w:before="100" w:beforeAutospacing="1" w:after="100" w:afterAutospacing="1" w:line="360" w:lineRule="auto"/>
        <w:rPr>
          <w:szCs w:val="24"/>
          <w:lang w:val="es-CO"/>
        </w:rPr>
      </w:pPr>
      <w:r w:rsidRPr="00942836">
        <w:rPr>
          <w:szCs w:val="24"/>
          <w:lang w:val="es-CO"/>
        </w:rPr>
        <w:t>Entre estos componentes se encuentran:</w:t>
      </w:r>
    </w:p>
    <w:p w14:paraId="0223DC50" w14:textId="77777777" w:rsidR="00264B1D" w:rsidRPr="006B11CF" w:rsidRDefault="00264B1D">
      <w:pPr>
        <w:pStyle w:val="Prrafodelista"/>
        <w:numPr>
          <w:ilvl w:val="0"/>
          <w:numId w:val="28"/>
        </w:numPr>
        <w:spacing w:before="100" w:beforeAutospacing="1" w:after="100" w:afterAutospacing="1" w:line="360" w:lineRule="auto"/>
        <w:rPr>
          <w:szCs w:val="24"/>
          <w:lang w:val="es-CO"/>
        </w:rPr>
      </w:pPr>
      <w:r w:rsidRPr="006B11CF">
        <w:rPr>
          <w:szCs w:val="24"/>
          <w:lang w:val="es-CO"/>
        </w:rPr>
        <w:lastRenderedPageBreak/>
        <w:t>Reposición de activos.</w:t>
      </w:r>
    </w:p>
    <w:p w14:paraId="156D70EB" w14:textId="34C79951" w:rsidR="005E04A7" w:rsidRDefault="00264B1D">
      <w:pPr>
        <w:pStyle w:val="Prrafodelista"/>
        <w:numPr>
          <w:ilvl w:val="0"/>
          <w:numId w:val="28"/>
        </w:numPr>
        <w:spacing w:before="100" w:beforeAutospacing="1" w:after="100" w:afterAutospacing="1" w:line="360" w:lineRule="auto"/>
        <w:rPr>
          <w:szCs w:val="24"/>
          <w:lang w:val="es-CO"/>
        </w:rPr>
      </w:pPr>
      <w:r w:rsidRPr="006B11CF">
        <w:rPr>
          <w:szCs w:val="24"/>
          <w:lang w:val="es-CO"/>
        </w:rPr>
        <w:t>Confiabilidad y seguridad de la infraestructura.</w:t>
      </w:r>
    </w:p>
    <w:p w14:paraId="0EEEF14B" w14:textId="425A915A" w:rsidR="0055085C" w:rsidRDefault="0055085C" w:rsidP="002F1961">
      <w:pPr>
        <w:keepNext/>
        <w:spacing w:before="100" w:beforeAutospacing="1" w:after="100" w:afterAutospacing="1" w:line="360" w:lineRule="auto"/>
        <w:jc w:val="center"/>
        <w:rPr>
          <w:szCs w:val="24"/>
          <w:lang w:val="es-CO"/>
        </w:rPr>
      </w:pPr>
      <w:bookmarkStart w:id="90" w:name="_Ref235088174"/>
      <w:bookmarkStart w:id="91" w:name="_Toc235118561"/>
      <w:r w:rsidRPr="00656615">
        <w:rPr>
          <w:lang w:val="es-ES"/>
        </w:rPr>
        <w:t xml:space="preserve">Figura </w:t>
      </w:r>
      <w:r w:rsidRPr="00656615">
        <w:rPr>
          <w:lang w:val="es-ES"/>
        </w:rPr>
        <w:fldChar w:fldCharType="begin"/>
      </w:r>
      <w:r w:rsidRPr="00656615">
        <w:rPr>
          <w:lang w:val="es-ES"/>
        </w:rPr>
        <w:instrText xml:space="preserve"> SEQ Figura \* ARABIC </w:instrText>
      </w:r>
      <w:r w:rsidRPr="00656615">
        <w:rPr>
          <w:lang w:val="es-ES"/>
        </w:rPr>
        <w:fldChar w:fldCharType="separate"/>
      </w:r>
      <w:r w:rsidR="00D4379D">
        <w:rPr>
          <w:noProof/>
          <w:lang w:val="es-ES"/>
        </w:rPr>
        <w:t>21</w:t>
      </w:r>
      <w:r w:rsidRPr="00656615">
        <w:rPr>
          <w:lang w:val="es-ES"/>
        </w:rPr>
        <w:fldChar w:fldCharType="end"/>
      </w:r>
      <w:bookmarkEnd w:id="90"/>
      <w:r w:rsidRPr="5FAE69B6">
        <w:rPr>
          <w:lang w:val="es-ES"/>
        </w:rPr>
        <w:t xml:space="preserve">. </w:t>
      </w:r>
      <w:r w:rsidR="00DD1194" w:rsidRPr="00DD1194">
        <w:rPr>
          <w:bCs/>
          <w:lang w:val="es-ES"/>
        </w:rPr>
        <w:t>Componentes adicionales del cargo de distribución (Deltas)</w:t>
      </w:r>
      <w:bookmarkEnd w:id="91"/>
    </w:p>
    <w:p w14:paraId="7FAB806A" w14:textId="77777777" w:rsidR="0055085C" w:rsidRDefault="0055085C" w:rsidP="00D4379D">
      <w:pPr>
        <w:spacing w:before="100" w:beforeAutospacing="1" w:after="100" w:afterAutospacing="1" w:line="360" w:lineRule="auto"/>
        <w:jc w:val="center"/>
        <w:rPr>
          <w:szCs w:val="24"/>
          <w:lang w:val="es-CO"/>
        </w:rPr>
      </w:pPr>
      <w:r w:rsidRPr="00B12EF5">
        <w:rPr>
          <w:noProof/>
          <w:szCs w:val="24"/>
        </w:rPr>
        <mc:AlternateContent>
          <mc:Choice Requires="wps">
            <w:drawing>
              <wp:inline distT="0" distB="0" distL="0" distR="0" wp14:anchorId="1B39BC58" wp14:editId="16BBE3A0">
                <wp:extent cx="4510585" cy="787716"/>
                <wp:effectExtent l="0" t="0" r="0" b="0"/>
                <wp:docPr id="6" name="20 CuadroTexto">
                  <a:extLst xmlns:a="http://schemas.openxmlformats.org/drawingml/2006/main">
                    <a:ext uri="{FF2B5EF4-FFF2-40B4-BE49-F238E27FC236}">
                      <a16:creationId xmlns:a16="http://schemas.microsoft.com/office/drawing/2014/main" id="{065951E2-4D2B-09E3-C7A9-7E5D31E41A0E}"/>
                    </a:ext>
                  </a:extLst>
                </wp:docPr>
                <wp:cNvGraphicFramePr/>
                <a:graphic xmlns:a="http://schemas.openxmlformats.org/drawingml/2006/main">
                  <a:graphicData uri="http://schemas.microsoft.com/office/word/2010/wordprocessingShape">
                    <wps:wsp>
                      <wps:cNvSpPr txBox="1"/>
                      <wps:spPr>
                        <a:xfrm>
                          <a:off x="0" y="0"/>
                          <a:ext cx="4510585" cy="787716"/>
                        </a:xfrm>
                        <a:prstGeom prst="rect">
                          <a:avLst/>
                        </a:prstGeom>
                        <a:noFill/>
                      </wps:spPr>
                      <wps:txbx>
                        <w:txbxContent>
                          <w:p w14:paraId="65732F6A" w14:textId="77777777" w:rsidR="0055085C" w:rsidRPr="00B12EF5" w:rsidRDefault="0055085C" w:rsidP="00D4379D">
                            <w:pPr>
                              <w:jc w:val="center"/>
                              <w:rPr>
                                <w:rFonts w:ascii="Cambria Math" w:hAnsi="Cambria Math" w:cstheme="minorBidi"/>
                                <w:color w:val="4E4D4D"/>
                                <w:kern w:val="24"/>
                                <w:szCs w:val="24"/>
                              </w:rPr>
                            </w:pPr>
                            <m:oMathPara>
                              <m:oMathParaPr>
                                <m:jc m:val="centerGroup"/>
                              </m:oMathParaPr>
                              <m:oMath>
                                <m:r>
                                  <m:rPr>
                                    <m:sty m:val="p"/>
                                  </m:rPr>
                                  <w:rPr>
                                    <w:rFonts w:ascii="Cambria Math" w:hAnsi="Cambria Math" w:cstheme="minorBidi"/>
                                    <w:color w:val="4E4D4D"/>
                                    <w:kern w:val="24"/>
                                    <w:szCs w:val="24"/>
                                  </w:rPr>
                                  <m:t>D=</m:t>
                                </m:r>
                                <m:f>
                                  <m:fPr>
                                    <m:ctrlPr>
                                      <w:rPr>
                                        <w:rFonts w:ascii="Cambria Math" w:eastAsiaTheme="minorEastAsia" w:hAnsi="Cambria Math" w:cstheme="minorBidi"/>
                                        <w:i/>
                                        <w:iCs/>
                                        <w:color w:val="4E4D4D"/>
                                        <w:kern w:val="24"/>
                                        <w:szCs w:val="24"/>
                                      </w:rPr>
                                    </m:ctrlPr>
                                  </m:fPr>
                                  <m:num>
                                    <m:r>
                                      <m:rPr>
                                        <m:sty m:val="p"/>
                                      </m:rPr>
                                      <w:rPr>
                                        <w:rFonts w:ascii="Cambria Math" w:hAnsi="Cambria Math" w:cstheme="minorBidi"/>
                                        <w:color w:val="4E4D4D"/>
                                        <w:kern w:val="24"/>
                                        <w:szCs w:val="24"/>
                                      </w:rPr>
                                      <m:t>Inversiones+AOM</m:t>
                                    </m:r>
                                  </m:num>
                                  <m:den>
                                    <m:r>
                                      <m:rPr>
                                        <m:sty m:val="p"/>
                                      </m:rPr>
                                      <w:rPr>
                                        <w:rFonts w:ascii="Cambria Math" w:hAnsi="Cambria Math" w:cstheme="minorBidi"/>
                                        <w:color w:val="4E4D4D"/>
                                        <w:kern w:val="24"/>
                                        <w:szCs w:val="24"/>
                                      </w:rPr>
                                      <m:t>Demanda</m:t>
                                    </m:r>
                                  </m:den>
                                </m:f>
                                <m:r>
                                  <m:rPr>
                                    <m:sty m:val="p"/>
                                  </m:rPr>
                                  <w:rPr>
                                    <w:rFonts w:ascii="Cambria Math" w:hAnsi="Cambria Math" w:cstheme="minorBidi"/>
                                    <w:color w:val="4E4D4D"/>
                                    <w:kern w:val="24"/>
                                    <w:szCs w:val="24"/>
                                  </w:rPr>
                                  <m:t>+</m:t>
                                </m:r>
                                <m:sSub>
                                  <m:sSubPr>
                                    <m:ctrlPr>
                                      <w:rPr>
                                        <w:rFonts w:ascii="Cambria Math" w:eastAsiaTheme="minorEastAsia" w:hAnsi="Cambria Math" w:cstheme="minorBidi"/>
                                        <w:i/>
                                        <w:iCs/>
                                        <w:color w:val="4E4D4D"/>
                                        <w:kern w:val="24"/>
                                        <w:szCs w:val="24"/>
                                      </w:rPr>
                                    </m:ctrlPr>
                                  </m:sSubPr>
                                  <m:e>
                                    <m:r>
                                      <m:rPr>
                                        <m:sty m:val="p"/>
                                      </m:rPr>
                                      <w:rPr>
                                        <w:rFonts w:ascii="Cambria Math" w:hAnsi="Cambria Math" w:cstheme="minorBidi"/>
                                        <w:color w:val="4E4D4D"/>
                                        <w:kern w:val="24"/>
                                        <w:szCs w:val="24"/>
                                      </w:rPr>
                                      <m:t>Δ</m:t>
                                    </m:r>
                                  </m:e>
                                  <m:sub>
                                    <m:r>
                                      <m:rPr>
                                        <m:sty m:val="p"/>
                                      </m:rPr>
                                      <w:rPr>
                                        <w:rFonts w:ascii="Cambria Math" w:hAnsi="Cambria Math" w:cstheme="minorBidi"/>
                                        <w:color w:val="4E4D4D"/>
                                        <w:kern w:val="24"/>
                                        <w:szCs w:val="24"/>
                                      </w:rPr>
                                      <m:t>Re</m:t>
                                    </m:r>
                                    <m:sSub>
                                      <m:sSubPr>
                                        <m:ctrlPr>
                                          <w:rPr>
                                            <w:rFonts w:ascii="Cambria Math" w:eastAsiaTheme="minorEastAsia" w:hAnsi="Cambria Math" w:cstheme="minorBidi"/>
                                            <w:i/>
                                            <w:iCs/>
                                            <w:color w:val="4E4D4D"/>
                                            <w:kern w:val="24"/>
                                            <w:szCs w:val="24"/>
                                          </w:rPr>
                                        </m:ctrlPr>
                                      </m:sSubPr>
                                      <m:e>
                                        <m:r>
                                          <m:rPr>
                                            <m:sty m:val="p"/>
                                          </m:rPr>
                                          <w:rPr>
                                            <w:rFonts w:ascii="Cambria Math" w:hAnsi="Cambria Math" w:cstheme="minorBidi"/>
                                            <w:color w:val="4E4D4D"/>
                                            <w:kern w:val="24"/>
                                            <w:szCs w:val="24"/>
                                          </w:rPr>
                                          <m:t>p</m:t>
                                        </m:r>
                                      </m:e>
                                      <m:sub>
                                        <m:r>
                                          <m:rPr>
                                            <m:sty m:val="p"/>
                                          </m:rPr>
                                          <w:rPr>
                                            <w:rFonts w:ascii="Cambria Math" w:hAnsi="Cambria Math" w:cstheme="minorBidi"/>
                                            <w:color w:val="4E4D4D"/>
                                            <w:kern w:val="24"/>
                                            <w:szCs w:val="24"/>
                                          </w:rPr>
                                          <m:t>t</m:t>
                                        </m:r>
                                      </m:sub>
                                    </m:sSub>
                                  </m:sub>
                                </m:sSub>
                                <m:r>
                                  <m:rPr>
                                    <m:sty m:val="p"/>
                                  </m:rPr>
                                  <w:rPr>
                                    <w:rFonts w:ascii="Cambria Math" w:hAnsi="Cambria Math" w:cstheme="minorBidi"/>
                                    <w:color w:val="4E4D4D"/>
                                    <w:kern w:val="24"/>
                                    <w:szCs w:val="24"/>
                                  </w:rPr>
                                  <m:t>+</m:t>
                                </m:r>
                                <m:sSub>
                                  <m:sSubPr>
                                    <m:ctrlPr>
                                      <w:rPr>
                                        <w:rFonts w:ascii="Cambria Math" w:eastAsiaTheme="minorEastAsia" w:hAnsi="Cambria Math" w:cstheme="minorBidi"/>
                                        <w:i/>
                                        <w:iCs/>
                                        <w:color w:val="4E4D4D"/>
                                        <w:kern w:val="24"/>
                                        <w:szCs w:val="24"/>
                                      </w:rPr>
                                    </m:ctrlPr>
                                  </m:sSubPr>
                                  <m:e>
                                    <m:r>
                                      <m:rPr>
                                        <m:sty m:val="p"/>
                                      </m:rPr>
                                      <w:rPr>
                                        <w:rFonts w:ascii="Cambria Math" w:hAnsi="Cambria Math" w:cstheme="minorBidi"/>
                                        <w:color w:val="4E4D4D"/>
                                        <w:kern w:val="24"/>
                                        <w:szCs w:val="24"/>
                                      </w:rPr>
                                      <m:t>Δ</m:t>
                                    </m:r>
                                  </m:e>
                                  <m:sub>
                                    <m:r>
                                      <m:rPr>
                                        <m:sty m:val="p"/>
                                      </m:rPr>
                                      <w:rPr>
                                        <w:rFonts w:ascii="Cambria Math" w:hAnsi="Cambria Math" w:cstheme="minorBidi"/>
                                        <w:color w:val="4E4D4D"/>
                                        <w:kern w:val="24"/>
                                        <w:szCs w:val="24"/>
                                      </w:rPr>
                                      <m:t>Co</m:t>
                                    </m:r>
                                    <m:sSub>
                                      <m:sSubPr>
                                        <m:ctrlPr>
                                          <w:rPr>
                                            <w:rFonts w:ascii="Cambria Math" w:eastAsiaTheme="minorEastAsia" w:hAnsi="Cambria Math" w:cstheme="minorBidi"/>
                                            <w:i/>
                                            <w:iCs/>
                                            <w:color w:val="4E4D4D"/>
                                            <w:kern w:val="24"/>
                                            <w:szCs w:val="24"/>
                                          </w:rPr>
                                        </m:ctrlPr>
                                      </m:sSubPr>
                                      <m:e>
                                        <m:r>
                                          <m:rPr>
                                            <m:sty m:val="p"/>
                                          </m:rPr>
                                          <w:rPr>
                                            <w:rFonts w:ascii="Cambria Math" w:hAnsi="Cambria Math" w:cstheme="minorBidi"/>
                                            <w:color w:val="4E4D4D"/>
                                            <w:kern w:val="24"/>
                                            <w:szCs w:val="24"/>
                                          </w:rPr>
                                          <m:t>n</m:t>
                                        </m:r>
                                      </m:e>
                                      <m:sub>
                                        <m:r>
                                          <m:rPr>
                                            <m:sty m:val="p"/>
                                          </m:rPr>
                                          <w:rPr>
                                            <w:rFonts w:ascii="Cambria Math" w:hAnsi="Cambria Math" w:cstheme="minorBidi"/>
                                            <w:color w:val="4E4D4D"/>
                                            <w:kern w:val="24"/>
                                            <w:szCs w:val="24"/>
                                          </w:rPr>
                                          <m:t>k</m:t>
                                        </m:r>
                                      </m:sub>
                                    </m:sSub>
                                  </m:sub>
                                </m:sSub>
                              </m:oMath>
                            </m:oMathPara>
                          </w:p>
                        </w:txbxContent>
                      </wps:txbx>
                      <wps:bodyPr wrap="square" rtlCol="0">
                        <a:spAutoFit/>
                      </wps:bodyPr>
                    </wps:wsp>
                  </a:graphicData>
                </a:graphic>
              </wp:inline>
            </w:drawing>
          </mc:Choice>
          <mc:Fallback>
            <w:pict>
              <v:shape w14:anchorId="1B39BC58" id="20 CuadroTexto" o:spid="_x0000_s1079" type="#_x0000_t202" style="width:355.15pt;height: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" filled="f" stroked="f">
                <v:textbox style="mso-fit-shape-to-text:t">
                  <w:txbxContent>
                    <w:p w14:paraId="65732F6A" w14:textId="77777777" w:rsidR="0055085C" w:rsidRPr="00B12EF5" w:rsidRDefault="0055085C" w:rsidP="00D4379D">
                      <w:pPr>
                        <w:jc w:val="center"/>
                        <w:rPr>
                          <w:rFonts w:ascii="Cambria Math" w:hAnsi="Cambria Math" w:cstheme="minorBidi"/>
                          <w:color w:val="4E4D4D"/>
                          <w:kern w:val="24"/>
                          <w:szCs w:val="24"/>
                        </w:rPr>
                      </w:pPr>
                      <m:oMathPara>
                        <m:oMathParaPr>
                          <m:jc m:val="centerGroup"/>
                        </m:oMathParaPr>
                        <m:oMath>
                          <m:r>
                            <m:rPr>
                              <m:sty m:val="p"/>
                            </m:rPr>
                            <w:rPr>
                              <w:rFonts w:ascii="Cambria Math" w:hAnsi="Cambria Math" w:cstheme="minorBidi"/>
                              <w:color w:val="4E4D4D"/>
                              <w:kern w:val="24"/>
                              <w:szCs w:val="24"/>
                            </w:rPr>
                            <m:t>D=</m:t>
                          </m:r>
                          <m:f>
                            <m:fPr>
                              <m:ctrlPr>
                                <w:rPr>
                                  <w:rFonts w:ascii="Cambria Math" w:eastAsiaTheme="minorEastAsia" w:hAnsi="Cambria Math" w:cstheme="minorBidi"/>
                                  <w:i/>
                                  <w:iCs/>
                                  <w:color w:val="4E4D4D"/>
                                  <w:kern w:val="24"/>
                                  <w:szCs w:val="24"/>
                                </w:rPr>
                              </m:ctrlPr>
                            </m:fPr>
                            <m:num>
                              <m:r>
                                <m:rPr>
                                  <m:sty m:val="p"/>
                                </m:rPr>
                                <w:rPr>
                                  <w:rFonts w:ascii="Cambria Math" w:hAnsi="Cambria Math" w:cstheme="minorBidi"/>
                                  <w:color w:val="4E4D4D"/>
                                  <w:kern w:val="24"/>
                                  <w:szCs w:val="24"/>
                                </w:rPr>
                                <m:t>Inversiones+AOM</m:t>
                              </m:r>
                            </m:num>
                            <m:den>
                              <m:r>
                                <m:rPr>
                                  <m:sty m:val="p"/>
                                </m:rPr>
                                <w:rPr>
                                  <w:rFonts w:ascii="Cambria Math" w:hAnsi="Cambria Math" w:cstheme="minorBidi"/>
                                  <w:color w:val="4E4D4D"/>
                                  <w:kern w:val="24"/>
                                  <w:szCs w:val="24"/>
                                </w:rPr>
                                <m:t>Demanda</m:t>
                              </m:r>
                            </m:den>
                          </m:f>
                          <m:r>
                            <m:rPr>
                              <m:sty m:val="p"/>
                            </m:rPr>
                            <w:rPr>
                              <w:rFonts w:ascii="Cambria Math" w:hAnsi="Cambria Math" w:cstheme="minorBidi"/>
                              <w:color w:val="4E4D4D"/>
                              <w:kern w:val="24"/>
                              <w:szCs w:val="24"/>
                            </w:rPr>
                            <m:t>+</m:t>
                          </m:r>
                          <m:sSub>
                            <m:sSubPr>
                              <m:ctrlPr>
                                <w:rPr>
                                  <w:rFonts w:ascii="Cambria Math" w:eastAsiaTheme="minorEastAsia" w:hAnsi="Cambria Math" w:cstheme="minorBidi"/>
                                  <w:i/>
                                  <w:iCs/>
                                  <w:color w:val="4E4D4D"/>
                                  <w:kern w:val="24"/>
                                  <w:szCs w:val="24"/>
                                </w:rPr>
                              </m:ctrlPr>
                            </m:sSubPr>
                            <m:e>
                              <m:r>
                                <m:rPr>
                                  <m:sty m:val="p"/>
                                </m:rPr>
                                <w:rPr>
                                  <w:rFonts w:ascii="Cambria Math" w:hAnsi="Cambria Math" w:cstheme="minorBidi"/>
                                  <w:color w:val="4E4D4D"/>
                                  <w:kern w:val="24"/>
                                  <w:szCs w:val="24"/>
                                </w:rPr>
                                <m:t>Δ</m:t>
                              </m:r>
                            </m:e>
                            <m:sub>
                              <m:r>
                                <m:rPr>
                                  <m:sty m:val="p"/>
                                </m:rPr>
                                <w:rPr>
                                  <w:rFonts w:ascii="Cambria Math" w:hAnsi="Cambria Math" w:cstheme="minorBidi"/>
                                  <w:color w:val="4E4D4D"/>
                                  <w:kern w:val="24"/>
                                  <w:szCs w:val="24"/>
                                </w:rPr>
                                <m:t>Re</m:t>
                              </m:r>
                              <m:sSub>
                                <m:sSubPr>
                                  <m:ctrlPr>
                                    <w:rPr>
                                      <w:rFonts w:ascii="Cambria Math" w:eastAsiaTheme="minorEastAsia" w:hAnsi="Cambria Math" w:cstheme="minorBidi"/>
                                      <w:i/>
                                      <w:iCs/>
                                      <w:color w:val="4E4D4D"/>
                                      <w:kern w:val="24"/>
                                      <w:szCs w:val="24"/>
                                    </w:rPr>
                                  </m:ctrlPr>
                                </m:sSubPr>
                                <m:e>
                                  <m:r>
                                    <m:rPr>
                                      <m:sty m:val="p"/>
                                    </m:rPr>
                                    <w:rPr>
                                      <w:rFonts w:ascii="Cambria Math" w:hAnsi="Cambria Math" w:cstheme="minorBidi"/>
                                      <w:color w:val="4E4D4D"/>
                                      <w:kern w:val="24"/>
                                      <w:szCs w:val="24"/>
                                    </w:rPr>
                                    <m:t>p</m:t>
                                  </m:r>
                                </m:e>
                                <m:sub>
                                  <m:r>
                                    <m:rPr>
                                      <m:sty m:val="p"/>
                                    </m:rPr>
                                    <w:rPr>
                                      <w:rFonts w:ascii="Cambria Math" w:hAnsi="Cambria Math" w:cstheme="minorBidi"/>
                                      <w:color w:val="4E4D4D"/>
                                      <w:kern w:val="24"/>
                                      <w:szCs w:val="24"/>
                                    </w:rPr>
                                    <m:t>t</m:t>
                                  </m:r>
                                </m:sub>
                              </m:sSub>
                            </m:sub>
                          </m:sSub>
                          <m:r>
                            <m:rPr>
                              <m:sty m:val="p"/>
                            </m:rPr>
                            <w:rPr>
                              <w:rFonts w:ascii="Cambria Math" w:hAnsi="Cambria Math" w:cstheme="minorBidi"/>
                              <w:color w:val="4E4D4D"/>
                              <w:kern w:val="24"/>
                              <w:szCs w:val="24"/>
                            </w:rPr>
                            <m:t>+</m:t>
                          </m:r>
                          <m:sSub>
                            <m:sSubPr>
                              <m:ctrlPr>
                                <w:rPr>
                                  <w:rFonts w:ascii="Cambria Math" w:eastAsiaTheme="minorEastAsia" w:hAnsi="Cambria Math" w:cstheme="minorBidi"/>
                                  <w:i/>
                                  <w:iCs/>
                                  <w:color w:val="4E4D4D"/>
                                  <w:kern w:val="24"/>
                                  <w:szCs w:val="24"/>
                                </w:rPr>
                              </m:ctrlPr>
                            </m:sSubPr>
                            <m:e>
                              <m:r>
                                <m:rPr>
                                  <m:sty m:val="p"/>
                                </m:rPr>
                                <w:rPr>
                                  <w:rFonts w:ascii="Cambria Math" w:hAnsi="Cambria Math" w:cstheme="minorBidi"/>
                                  <w:color w:val="4E4D4D"/>
                                  <w:kern w:val="24"/>
                                  <w:szCs w:val="24"/>
                                </w:rPr>
                                <m:t>Δ</m:t>
                              </m:r>
                            </m:e>
                            <m:sub>
                              <m:r>
                                <m:rPr>
                                  <m:sty m:val="p"/>
                                </m:rPr>
                                <w:rPr>
                                  <w:rFonts w:ascii="Cambria Math" w:hAnsi="Cambria Math" w:cstheme="minorBidi"/>
                                  <w:color w:val="4E4D4D"/>
                                  <w:kern w:val="24"/>
                                  <w:szCs w:val="24"/>
                                </w:rPr>
                                <m:t>Co</m:t>
                              </m:r>
                              <m:sSub>
                                <m:sSubPr>
                                  <m:ctrlPr>
                                    <w:rPr>
                                      <w:rFonts w:ascii="Cambria Math" w:eastAsiaTheme="minorEastAsia" w:hAnsi="Cambria Math" w:cstheme="minorBidi"/>
                                      <w:i/>
                                      <w:iCs/>
                                      <w:color w:val="4E4D4D"/>
                                      <w:kern w:val="24"/>
                                      <w:szCs w:val="24"/>
                                    </w:rPr>
                                  </m:ctrlPr>
                                </m:sSubPr>
                                <m:e>
                                  <m:r>
                                    <m:rPr>
                                      <m:sty m:val="p"/>
                                    </m:rPr>
                                    <w:rPr>
                                      <w:rFonts w:ascii="Cambria Math" w:hAnsi="Cambria Math" w:cstheme="minorBidi"/>
                                      <w:color w:val="4E4D4D"/>
                                      <w:kern w:val="24"/>
                                      <w:szCs w:val="24"/>
                                    </w:rPr>
                                    <m:t>n</m:t>
                                  </m:r>
                                </m:e>
                                <m:sub>
                                  <m:r>
                                    <m:rPr>
                                      <m:sty m:val="p"/>
                                    </m:rPr>
                                    <w:rPr>
                                      <w:rFonts w:ascii="Cambria Math" w:hAnsi="Cambria Math" w:cstheme="minorBidi"/>
                                      <w:color w:val="4E4D4D"/>
                                      <w:kern w:val="24"/>
                                      <w:szCs w:val="24"/>
                                    </w:rPr>
                                    <m:t>k</m:t>
                                  </m:r>
                                </m:sub>
                              </m:sSub>
                            </m:sub>
                          </m:sSub>
                        </m:oMath>
                      </m:oMathPara>
                    </w:p>
                  </w:txbxContent>
                </v:textbox>
                <w10:anchorlock/>
              </v:shape>
            </w:pict>
          </mc:Fallback>
        </mc:AlternateContent>
      </w:r>
    </w:p>
    <w:p w14:paraId="55F07D3D" w14:textId="061F90CB" w:rsidR="00D4379D" w:rsidRPr="00D4379D" w:rsidRDefault="00D4379D" w:rsidP="00D4379D">
      <w:pPr>
        <w:spacing w:before="100" w:beforeAutospacing="1" w:after="100" w:afterAutospacing="1" w:line="360" w:lineRule="auto"/>
        <w:jc w:val="center"/>
        <w:rPr>
          <w:sz w:val="22"/>
          <w:szCs w:val="22"/>
          <w:lang w:val="es-CO"/>
        </w:rPr>
      </w:pPr>
      <w:r w:rsidRPr="00D4379D">
        <w:rPr>
          <w:sz w:val="22"/>
          <w:szCs w:val="22"/>
          <w:lang w:val="es-CO"/>
        </w:rPr>
        <w:t>Elaboración: CREG</w:t>
      </w:r>
    </w:p>
    <w:p w14:paraId="069E7703" w14:textId="0D37CF37" w:rsidR="00254299" w:rsidRPr="00BC6CBB" w:rsidRDefault="00BC6CBB" w:rsidP="002F1961">
      <w:pPr>
        <w:spacing w:before="100" w:beforeAutospacing="1" w:after="100" w:afterAutospacing="1" w:line="360" w:lineRule="auto"/>
        <w:rPr>
          <w:szCs w:val="24"/>
          <w:lang w:val="es-CO"/>
        </w:rPr>
      </w:pPr>
      <w:r>
        <w:rPr>
          <w:szCs w:val="24"/>
          <w:lang w:val="es-CO"/>
        </w:rPr>
        <w:t>La</w:t>
      </w:r>
      <w:r w:rsidRPr="00BC6CBB">
        <w:rPr>
          <w:szCs w:val="24"/>
          <w:lang w:val="es-CO"/>
        </w:rPr>
        <w:t xml:space="preserve"> </w:t>
      </w:r>
      <w:r w:rsidR="00D4379D">
        <w:rPr>
          <w:szCs w:val="24"/>
          <w:lang w:val="es-CO"/>
        </w:rPr>
        <w:fldChar w:fldCharType="begin"/>
      </w:r>
      <w:r w:rsidR="00D4379D">
        <w:rPr>
          <w:szCs w:val="24"/>
          <w:lang w:val="es-CO"/>
        </w:rPr>
        <w:instrText xml:space="preserve"> REF _Ref235088174 \h </w:instrText>
      </w:r>
      <w:r w:rsidR="00D4379D">
        <w:rPr>
          <w:szCs w:val="24"/>
          <w:lang w:val="es-CO"/>
        </w:rPr>
      </w:r>
      <w:r w:rsidR="00D4379D">
        <w:rPr>
          <w:szCs w:val="24"/>
          <w:lang w:val="es-CO"/>
        </w:rPr>
        <w:fldChar w:fldCharType="separate"/>
      </w:r>
      <w:r w:rsidR="00D4379D" w:rsidRPr="00656615">
        <w:rPr>
          <w:lang w:val="es-ES"/>
        </w:rPr>
        <w:t xml:space="preserve">Figura </w:t>
      </w:r>
      <w:r w:rsidR="00D4379D">
        <w:rPr>
          <w:noProof/>
          <w:lang w:val="es-ES"/>
        </w:rPr>
        <w:t>21</w:t>
      </w:r>
      <w:r w:rsidR="00D4379D">
        <w:rPr>
          <w:szCs w:val="24"/>
          <w:lang w:val="es-CO"/>
        </w:rPr>
        <w:fldChar w:fldCharType="end"/>
      </w:r>
      <w:r w:rsidRPr="00BC6CBB">
        <w:rPr>
          <w:szCs w:val="24"/>
          <w:lang w:val="es-CO"/>
        </w:rPr>
        <w:t xml:space="preserve"> muestra los componentes adicionales que pueden incorporarse al cargo de distribución mediante los denominados deltas tarifarios. Estos mecanismos permiten reconocer inversiones asociadas a la reposición de activos y a proyectos orientados a fortalecer la confiabilidad y seguridad de la infraestructura de distribución.</w:t>
      </w:r>
    </w:p>
    <w:p w14:paraId="78CE6325" w14:textId="343C5CB9" w:rsidR="00F3651E" w:rsidRPr="00F3651E" w:rsidRDefault="00F3651E" w:rsidP="002F1961">
      <w:pPr>
        <w:spacing w:before="100" w:beforeAutospacing="1" w:after="100" w:afterAutospacing="1" w:line="360" w:lineRule="auto"/>
        <w:rPr>
          <w:b/>
          <w:bCs/>
          <w:szCs w:val="24"/>
          <w:lang w:val="es-CO"/>
        </w:rPr>
      </w:pPr>
      <w:r w:rsidRPr="00F3651E">
        <w:rPr>
          <w:b/>
          <w:bCs/>
          <w:szCs w:val="24"/>
          <w:lang w:val="es-CO"/>
        </w:rPr>
        <w:t>Canasta tarifaria</w:t>
      </w:r>
    </w:p>
    <w:p w14:paraId="10C6DA2E" w14:textId="65623C2D" w:rsidR="00FD40FE" w:rsidRDefault="00254299" w:rsidP="002F1961">
      <w:pPr>
        <w:spacing w:before="100" w:beforeAutospacing="1" w:after="100" w:afterAutospacing="1" w:line="360" w:lineRule="auto"/>
        <w:rPr>
          <w:szCs w:val="24"/>
          <w:lang w:val="es-CO"/>
        </w:rPr>
      </w:pPr>
      <w:r w:rsidRPr="00254299">
        <w:rPr>
          <w:szCs w:val="24"/>
          <w:lang w:val="es-CO"/>
        </w:rPr>
        <w:t>La metodología permite establecer cargos diferenciados para usuarios diferentes al residencial mediante una canasta tarifaria que debe preservar la igualdad de ingresos del distribuidor respecto del cargo aprobado.</w:t>
      </w:r>
    </w:p>
    <w:p w14:paraId="61BBEB1E" w14:textId="77777777" w:rsidR="00FD40FE" w:rsidRPr="00FD40FE" w:rsidRDefault="00FD40FE" w:rsidP="002F1961">
      <w:pPr>
        <w:spacing w:before="100" w:beforeAutospacing="1" w:after="100" w:afterAutospacing="1" w:line="360" w:lineRule="auto"/>
        <w:rPr>
          <w:b/>
          <w:bCs/>
          <w:szCs w:val="24"/>
          <w:lang w:val="es-CO"/>
        </w:rPr>
      </w:pPr>
      <w:r w:rsidRPr="00FD40FE">
        <w:rPr>
          <w:b/>
          <w:bCs/>
          <w:szCs w:val="24"/>
          <w:lang w:val="es-CO"/>
        </w:rPr>
        <w:t>Actualización del cargo de distribución</w:t>
      </w:r>
    </w:p>
    <w:p w14:paraId="56170B36" w14:textId="77777777" w:rsidR="00FD40FE" w:rsidRPr="00FD40FE" w:rsidRDefault="00FD40FE" w:rsidP="002F1961">
      <w:pPr>
        <w:spacing w:before="100" w:beforeAutospacing="1" w:after="100" w:afterAutospacing="1" w:line="360" w:lineRule="auto"/>
        <w:rPr>
          <w:szCs w:val="24"/>
          <w:lang w:val="es-CO"/>
        </w:rPr>
      </w:pPr>
      <w:r w:rsidRPr="00FD40FE">
        <w:rPr>
          <w:szCs w:val="24"/>
          <w:lang w:val="es-CO"/>
        </w:rPr>
        <w:t>Una vez aprobado el cargo de distribución, la metodología establece mecanismos para su actualización periódica con el fin de reflejar las variaciones en los índices económicos utilizados para valorar los componentes del cargo.</w:t>
      </w:r>
    </w:p>
    <w:p w14:paraId="4D160B35" w14:textId="77777777" w:rsidR="00FD40FE" w:rsidRPr="00FD40FE" w:rsidRDefault="00FD40FE" w:rsidP="002F1961">
      <w:pPr>
        <w:spacing w:before="100" w:beforeAutospacing="1" w:after="100" w:afterAutospacing="1" w:line="360" w:lineRule="auto"/>
        <w:rPr>
          <w:szCs w:val="24"/>
          <w:lang w:val="es-CO"/>
        </w:rPr>
      </w:pPr>
    </w:p>
    <w:p w14:paraId="7AB8A666" w14:textId="0B53ADBB" w:rsidR="00FD40FE" w:rsidRDefault="00FD40FE" w:rsidP="002F1961">
      <w:pPr>
        <w:spacing w:before="100" w:beforeAutospacing="1" w:after="100" w:afterAutospacing="1" w:line="360" w:lineRule="auto"/>
        <w:rPr>
          <w:szCs w:val="24"/>
          <w:lang w:val="es-CO"/>
        </w:rPr>
      </w:pPr>
      <w:r w:rsidRPr="00FD40FE">
        <w:rPr>
          <w:szCs w:val="24"/>
          <w:lang w:val="es-CO"/>
        </w:rPr>
        <w:t>En particular, el componente asociado a las inversiones se actualiza mediante el Índice de Precios al Productor (IPP), mientras que el componente correspondiente a los gastos de Administración, Operación y Mantenimiento (AOM) se actualiza con el Índice de Precios al Consumidor (IPC), garantizando que el cargo conserve su valor real durante el período tarifario.</w:t>
      </w:r>
    </w:p>
    <w:p w14:paraId="500D44E9" w14:textId="07810ED0" w:rsidR="00801021" w:rsidRDefault="00801021" w:rsidP="002F1961">
      <w:pPr>
        <w:keepNext/>
        <w:spacing w:before="100" w:beforeAutospacing="1" w:after="100" w:afterAutospacing="1" w:line="360" w:lineRule="auto"/>
        <w:jc w:val="center"/>
        <w:rPr>
          <w:szCs w:val="24"/>
          <w:lang w:val="es-CO"/>
        </w:rPr>
      </w:pPr>
      <w:bookmarkStart w:id="92" w:name="_Ref235109346"/>
      <w:bookmarkStart w:id="93" w:name="_Toc235118562"/>
      <w:r w:rsidRPr="00656615">
        <w:rPr>
          <w:lang w:val="es-ES"/>
        </w:rPr>
        <w:lastRenderedPageBreak/>
        <w:t xml:space="preserve">Figura </w:t>
      </w:r>
      <w:r w:rsidRPr="00656615">
        <w:rPr>
          <w:lang w:val="es-ES"/>
        </w:rPr>
        <w:fldChar w:fldCharType="begin"/>
      </w:r>
      <w:r w:rsidRPr="00656615">
        <w:rPr>
          <w:lang w:val="es-ES"/>
        </w:rPr>
        <w:instrText xml:space="preserve"> SEQ Figura \* ARABIC </w:instrText>
      </w:r>
      <w:r w:rsidRPr="00656615">
        <w:rPr>
          <w:lang w:val="es-ES"/>
        </w:rPr>
        <w:fldChar w:fldCharType="separate"/>
      </w:r>
      <w:r w:rsidR="00A00EDB">
        <w:rPr>
          <w:noProof/>
          <w:lang w:val="es-ES"/>
        </w:rPr>
        <w:t>22</w:t>
      </w:r>
      <w:r w:rsidRPr="00656615">
        <w:rPr>
          <w:lang w:val="es-ES"/>
        </w:rPr>
        <w:fldChar w:fldCharType="end"/>
      </w:r>
      <w:bookmarkEnd w:id="92"/>
      <w:r w:rsidRPr="5FAE69B6">
        <w:rPr>
          <w:lang w:val="es-ES"/>
        </w:rPr>
        <w:t xml:space="preserve">. </w:t>
      </w:r>
      <w:r w:rsidRPr="00801021">
        <w:rPr>
          <w:bCs/>
          <w:lang w:val="es-ES"/>
        </w:rPr>
        <w:t>Actualización periódica del cargo de distribución</w:t>
      </w:r>
      <w:bookmarkEnd w:id="93"/>
    </w:p>
    <w:p w14:paraId="03B63046" w14:textId="0BC40E86" w:rsidR="00FD40FE" w:rsidRDefault="004F0408" w:rsidP="003670DC">
      <w:pPr>
        <w:spacing w:before="100" w:beforeAutospacing="1" w:after="100" w:afterAutospacing="1" w:line="360" w:lineRule="auto"/>
        <w:jc w:val="center"/>
        <w:rPr>
          <w:szCs w:val="24"/>
          <w:lang w:val="es-CO"/>
        </w:rPr>
      </w:pPr>
      <w:r w:rsidRPr="004F0408">
        <w:rPr>
          <w:noProof/>
          <w:szCs w:val="24"/>
        </w:rPr>
        <mc:AlternateContent>
          <mc:Choice Requires="wps">
            <w:drawing>
              <wp:inline distT="0" distB="0" distL="0" distR="0" wp14:anchorId="1D6A9970" wp14:editId="0655E5E6">
                <wp:extent cx="4039737" cy="627797"/>
                <wp:effectExtent l="0" t="0" r="0" b="0"/>
                <wp:docPr id="2" name="6 Rectángulo">
                  <a:extLst xmlns:a="http://schemas.openxmlformats.org/drawingml/2006/main">
                    <a:ext uri="{FF2B5EF4-FFF2-40B4-BE49-F238E27FC236}">
                      <a16:creationId xmlns:a16="http://schemas.microsoft.com/office/drawing/2014/main" id="{B9EFD942-0038-9710-AED1-0F173D4EDDD5}"/>
                    </a:ext>
                  </a:extLst>
                </wp:docPr>
                <wp:cNvGraphicFramePr/>
                <a:graphic xmlns:a="http://schemas.openxmlformats.org/drawingml/2006/main">
                  <a:graphicData uri="http://schemas.microsoft.com/office/word/2010/wordprocessingShape">
                    <wps:wsp>
                      <wps:cNvSpPr/>
                      <wps:spPr>
                        <a:xfrm>
                          <a:off x="0" y="0"/>
                          <a:ext cx="4039737" cy="627797"/>
                        </a:xfrm>
                        <a:prstGeom prst="rect">
                          <a:avLst/>
                        </a:prstGeom>
                      </wps:spPr>
                      <wps:txbx>
                        <w:txbxContent>
                          <w:p w14:paraId="21E0015A" w14:textId="77777777" w:rsidR="004F0408" w:rsidRPr="004F0408" w:rsidRDefault="004F0408" w:rsidP="004F0408">
                            <w:pPr>
                              <w:spacing w:before="240" w:after="240"/>
                              <w:ind w:left="706"/>
                              <w:jc w:val="center"/>
                              <w:rPr>
                                <w:rFonts w:ascii="Cambria Math" w:hAnsi="Cambria Math" w:cstheme="minorBidi"/>
                                <w:i/>
                                <w:iCs/>
                                <w:color w:val="000000"/>
                                <w:kern w:val="24"/>
                                <w:szCs w:val="24"/>
                              </w:rPr>
                            </w:pPr>
                            <m:oMathPara>
                              <m:oMathParaPr>
                                <m:jc m:val="centerGroup"/>
                              </m:oMathParaPr>
                              <m:oMath>
                                <m:r>
                                  <w:rPr>
                                    <w:rFonts w:ascii="Cambria Math" w:hAnsi="Cambria Math" w:cstheme="minorBidi"/>
                                    <w:color w:val="000000"/>
                                    <w:kern w:val="24"/>
                                    <w:szCs w:val="24"/>
                                  </w:rPr>
                                  <m:t>D=</m:t>
                                </m:r>
                                <m:d>
                                  <m:dPr>
                                    <m:ctrlPr>
                                      <w:rPr>
                                        <w:rFonts w:ascii="Cambria Math" w:hAnsi="Cambria Math" w:cstheme="minorBidi"/>
                                        <w:i/>
                                        <w:iCs/>
                                        <w:color w:val="000000"/>
                                        <w:kern w:val="24"/>
                                        <w:szCs w:val="24"/>
                                      </w:rPr>
                                    </m:ctrlPr>
                                  </m:dPr>
                                  <m:e>
                                    <m:sSub>
                                      <m:sSubPr>
                                        <m:ctrlPr>
                                          <w:rPr>
                                            <w:rFonts w:ascii="Cambria Math" w:hAnsi="Cambria Math" w:cstheme="minorBidi"/>
                                            <w:i/>
                                            <w:iCs/>
                                            <w:color w:val="000000"/>
                                            <w:kern w:val="24"/>
                                            <w:szCs w:val="24"/>
                                          </w:rPr>
                                        </m:ctrlPr>
                                      </m:sSubPr>
                                      <m:e>
                                        <m:r>
                                          <m:rPr>
                                            <m:sty m:val="p"/>
                                          </m:rPr>
                                          <w:rPr>
                                            <w:rFonts w:ascii="Cambria Math" w:hAnsi="Cambria Math" w:cstheme="minorBidi"/>
                                            <w:color w:val="000000"/>
                                            <w:kern w:val="24"/>
                                            <w:szCs w:val="24"/>
                                          </w:rPr>
                                          <m:t>D</m:t>
                                        </m:r>
                                      </m:e>
                                      <m:sub>
                                        <m:r>
                                          <m:rPr>
                                            <m:sty m:val="p"/>
                                          </m:rPr>
                                          <w:rPr>
                                            <w:rFonts w:ascii="Cambria Math" w:hAnsi="Cambria Math" w:cstheme="minorBidi"/>
                                            <w:color w:val="000000"/>
                                            <w:kern w:val="24"/>
                                            <w:szCs w:val="24"/>
                                          </w:rPr>
                                          <m:t>inv</m:t>
                                        </m:r>
                                      </m:sub>
                                    </m:sSub>
                                    <m:r>
                                      <w:rPr>
                                        <w:rFonts w:ascii="Cambria Math" w:cstheme="minorBidi"/>
                                        <w:color w:val="000000"/>
                                        <w:kern w:val="24"/>
                                        <w:szCs w:val="24"/>
                                      </w:rPr>
                                      <m:t>×</m:t>
                                    </m:r>
                                    <m:f>
                                      <m:fPr>
                                        <m:ctrlPr>
                                          <w:rPr>
                                            <w:rFonts w:ascii="Cambria Math" w:hAnsi="Cambria Math" w:cstheme="minorBidi"/>
                                            <w:i/>
                                            <w:iCs/>
                                            <w:color w:val="000000"/>
                                            <w:kern w:val="24"/>
                                            <w:szCs w:val="24"/>
                                          </w:rPr>
                                        </m:ctrlPr>
                                      </m:fPr>
                                      <m:num>
                                        <m:sSub>
                                          <m:sSubPr>
                                            <m:ctrlPr>
                                              <w:rPr>
                                                <w:rFonts w:ascii="Cambria Math" w:hAnsi="Cambria Math" w:cstheme="minorBidi"/>
                                                <w:i/>
                                                <w:iCs/>
                                                <w:color w:val="000000"/>
                                                <w:kern w:val="24"/>
                                                <w:szCs w:val="24"/>
                                              </w:rPr>
                                            </m:ctrlPr>
                                          </m:sSubPr>
                                          <m:e>
                                            <m:r>
                                              <w:rPr>
                                                <w:rFonts w:ascii="Cambria Math" w:hAnsi="Cambria Math" w:cstheme="minorBidi"/>
                                                <w:color w:val="000000"/>
                                                <w:kern w:val="24"/>
                                                <w:szCs w:val="24"/>
                                              </w:rPr>
                                              <m:t>IPP</m:t>
                                            </m:r>
                                          </m:e>
                                          <m:sub>
                                            <m:r>
                                              <w:rPr>
                                                <w:rFonts w:ascii="Cambria Math" w:hAnsi="Cambria Math" w:cstheme="minorBidi"/>
                                                <w:color w:val="000000"/>
                                                <w:kern w:val="24"/>
                                                <w:szCs w:val="24"/>
                                              </w:rPr>
                                              <m:t>m-1</m:t>
                                            </m:r>
                                          </m:sub>
                                        </m:sSub>
                                      </m:num>
                                      <m:den>
                                        <m:sSub>
                                          <m:sSubPr>
                                            <m:ctrlPr>
                                              <w:rPr>
                                                <w:rFonts w:ascii="Cambria Math" w:hAnsi="Cambria Math" w:cstheme="minorBidi"/>
                                                <w:i/>
                                                <w:iCs/>
                                                <w:color w:val="000000"/>
                                                <w:kern w:val="24"/>
                                                <w:szCs w:val="24"/>
                                              </w:rPr>
                                            </m:ctrlPr>
                                          </m:sSubPr>
                                          <m:e>
                                            <m:r>
                                              <w:rPr>
                                                <w:rFonts w:ascii="Cambria Math" w:hAnsi="Cambria Math" w:cstheme="minorBidi"/>
                                                <w:color w:val="000000"/>
                                                <w:kern w:val="24"/>
                                                <w:szCs w:val="24"/>
                                              </w:rPr>
                                              <m:t>IPP</m:t>
                                            </m:r>
                                          </m:e>
                                          <m:sub>
                                            <m:r>
                                              <w:rPr>
                                                <w:rFonts w:ascii="Cambria Math" w:hAnsi="Cambria Math" w:cstheme="minorBidi"/>
                                                <w:color w:val="000000"/>
                                                <w:kern w:val="24"/>
                                                <w:szCs w:val="24"/>
                                              </w:rPr>
                                              <m:t>0</m:t>
                                            </m:r>
                                          </m:sub>
                                        </m:sSub>
                                      </m:den>
                                    </m:f>
                                  </m:e>
                                </m:d>
                                <m:r>
                                  <w:rPr>
                                    <w:rFonts w:ascii="Cambria Math" w:hAnsi="Cambria Math" w:cstheme="minorBidi"/>
                                    <w:color w:val="000000"/>
                                    <w:kern w:val="24"/>
                                    <w:szCs w:val="24"/>
                                  </w:rPr>
                                  <m:t>+</m:t>
                                </m:r>
                                <m:d>
                                  <m:dPr>
                                    <m:ctrlPr>
                                      <w:rPr>
                                        <w:rFonts w:ascii="Cambria Math" w:hAnsi="Cambria Math" w:cstheme="minorBidi"/>
                                        <w:i/>
                                        <w:iCs/>
                                        <w:color w:val="000000"/>
                                        <w:kern w:val="24"/>
                                        <w:szCs w:val="24"/>
                                      </w:rPr>
                                    </m:ctrlPr>
                                  </m:dPr>
                                  <m:e>
                                    <m:sSub>
                                      <m:sSubPr>
                                        <m:ctrlPr>
                                          <w:rPr>
                                            <w:rFonts w:ascii="Cambria Math" w:hAnsi="Cambria Math" w:cstheme="minorBidi"/>
                                            <w:i/>
                                            <w:iCs/>
                                            <w:color w:val="000000"/>
                                            <w:kern w:val="24"/>
                                            <w:szCs w:val="24"/>
                                          </w:rPr>
                                        </m:ctrlPr>
                                      </m:sSubPr>
                                      <m:e>
                                        <m:r>
                                          <m:rPr>
                                            <m:sty m:val="p"/>
                                          </m:rPr>
                                          <w:rPr>
                                            <w:rFonts w:ascii="Cambria Math" w:hAnsi="Cambria Math" w:cstheme="minorBidi"/>
                                            <w:color w:val="000000"/>
                                            <w:kern w:val="24"/>
                                            <w:szCs w:val="24"/>
                                          </w:rPr>
                                          <m:t>D</m:t>
                                        </m:r>
                                      </m:e>
                                      <m:sub>
                                        <m:r>
                                          <m:rPr>
                                            <m:sty m:val="p"/>
                                          </m:rPr>
                                          <w:rPr>
                                            <w:rFonts w:ascii="Cambria Math" w:hAnsi="Cambria Math" w:cstheme="minorBidi"/>
                                            <w:color w:val="000000"/>
                                            <w:kern w:val="24"/>
                                            <w:szCs w:val="24"/>
                                          </w:rPr>
                                          <m:t>AOM</m:t>
                                        </m:r>
                                      </m:sub>
                                    </m:sSub>
                                    <m:r>
                                      <w:rPr>
                                        <w:rFonts w:ascii="Cambria Math" w:cstheme="minorBidi"/>
                                        <w:color w:val="000000"/>
                                        <w:kern w:val="24"/>
                                        <w:szCs w:val="24"/>
                                      </w:rPr>
                                      <m:t>×</m:t>
                                    </m:r>
                                    <m:f>
                                      <m:fPr>
                                        <m:ctrlPr>
                                          <w:rPr>
                                            <w:rFonts w:ascii="Cambria Math" w:hAnsi="Cambria Math" w:cstheme="minorBidi"/>
                                            <w:i/>
                                            <w:iCs/>
                                            <w:color w:val="000000"/>
                                            <w:kern w:val="24"/>
                                            <w:szCs w:val="24"/>
                                          </w:rPr>
                                        </m:ctrlPr>
                                      </m:fPr>
                                      <m:num>
                                        <m:sSub>
                                          <m:sSubPr>
                                            <m:ctrlPr>
                                              <w:rPr>
                                                <w:rFonts w:ascii="Cambria Math" w:hAnsi="Cambria Math" w:cstheme="minorBidi"/>
                                                <w:i/>
                                                <w:iCs/>
                                                <w:color w:val="000000"/>
                                                <w:kern w:val="24"/>
                                                <w:szCs w:val="24"/>
                                              </w:rPr>
                                            </m:ctrlPr>
                                          </m:sSubPr>
                                          <m:e>
                                            <m:r>
                                              <w:rPr>
                                                <w:rFonts w:ascii="Cambria Math" w:hAnsi="Cambria Math" w:cstheme="minorBidi"/>
                                                <w:color w:val="000000"/>
                                                <w:kern w:val="24"/>
                                                <w:szCs w:val="24"/>
                                              </w:rPr>
                                              <m:t>IPC</m:t>
                                            </m:r>
                                          </m:e>
                                          <m:sub>
                                            <m:r>
                                              <w:rPr>
                                                <w:rFonts w:ascii="Cambria Math" w:hAnsi="Cambria Math" w:cstheme="minorBidi"/>
                                                <w:color w:val="000000"/>
                                                <w:kern w:val="24"/>
                                                <w:szCs w:val="24"/>
                                              </w:rPr>
                                              <m:t>m-1</m:t>
                                            </m:r>
                                          </m:sub>
                                        </m:sSub>
                                      </m:num>
                                      <m:den>
                                        <m:sSub>
                                          <m:sSubPr>
                                            <m:ctrlPr>
                                              <w:rPr>
                                                <w:rFonts w:ascii="Cambria Math" w:hAnsi="Cambria Math" w:cstheme="minorBidi"/>
                                                <w:i/>
                                                <w:iCs/>
                                                <w:color w:val="000000"/>
                                                <w:kern w:val="24"/>
                                                <w:szCs w:val="24"/>
                                              </w:rPr>
                                            </m:ctrlPr>
                                          </m:sSubPr>
                                          <m:e>
                                            <m:r>
                                              <w:rPr>
                                                <w:rFonts w:ascii="Cambria Math" w:hAnsi="Cambria Math" w:cstheme="minorBidi"/>
                                                <w:color w:val="000000"/>
                                                <w:kern w:val="24"/>
                                                <w:szCs w:val="24"/>
                                              </w:rPr>
                                              <m:t>IPC</m:t>
                                            </m:r>
                                          </m:e>
                                          <m:sub>
                                            <m:r>
                                              <w:rPr>
                                                <w:rFonts w:ascii="Cambria Math" w:hAnsi="Cambria Math" w:cstheme="minorBidi"/>
                                                <w:color w:val="000000"/>
                                                <w:kern w:val="24"/>
                                                <w:szCs w:val="24"/>
                                              </w:rPr>
                                              <m:t>0</m:t>
                                            </m:r>
                                          </m:sub>
                                        </m:sSub>
                                      </m:den>
                                    </m:f>
                                  </m:e>
                                </m:d>
                              </m:oMath>
                            </m:oMathPara>
                          </w:p>
                        </w:txbxContent>
                      </wps:txbx>
                      <wps:bodyPr wrap="square">
                        <a:noAutofit/>
                      </wps:bodyPr>
                    </wps:wsp>
                  </a:graphicData>
                </a:graphic>
              </wp:inline>
            </w:drawing>
          </mc:Choice>
          <mc:Fallback>
            <w:pict>
              <v:rect w14:anchorId="1D6A9970" id="6 Rectángulo" o:spid="_x0000_s1080" style="width:318.1pt;height:4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" filled="f" stroked="f">
                <v:textbox>
                  <w:txbxContent>
                    <w:p w14:paraId="21E0015A" w14:textId="77777777" w:rsidR="004F0408" w:rsidRPr="004F0408" w:rsidRDefault="004F0408" w:rsidP="004F0408">
                      <w:pPr>
                        <w:spacing w:before="240" w:after="240"/>
                        <w:ind w:left="706"/>
                        <w:jc w:val="center"/>
                        <w:rPr>
                          <w:rFonts w:ascii="Cambria Math" w:hAnsi="Cambria Math" w:cstheme="minorBidi"/>
                          <w:i/>
                          <w:iCs/>
                          <w:color w:val="000000"/>
                          <w:kern w:val="24"/>
                          <w:szCs w:val="24"/>
                        </w:rPr>
                      </w:pPr>
                      <m:oMathPara>
                        <m:oMathParaPr>
                          <m:jc m:val="centerGroup"/>
                        </m:oMathParaPr>
                        <m:oMath>
                          <m:r>
                            <w:rPr>
                              <w:rFonts w:ascii="Cambria Math" w:hAnsi="Cambria Math" w:cstheme="minorBidi"/>
                              <w:color w:val="000000"/>
                              <w:kern w:val="24"/>
                              <w:szCs w:val="24"/>
                            </w:rPr>
                            <m:t>D=</m:t>
                          </m:r>
                          <m:d>
                            <m:dPr>
                              <m:ctrlPr>
                                <w:rPr>
                                  <w:rFonts w:ascii="Cambria Math" w:hAnsi="Cambria Math" w:cstheme="minorBidi"/>
                                  <w:i/>
                                  <w:iCs/>
                                  <w:color w:val="000000"/>
                                  <w:kern w:val="24"/>
                                  <w:szCs w:val="24"/>
                                </w:rPr>
                              </m:ctrlPr>
                            </m:dPr>
                            <m:e>
                              <m:sSub>
                                <m:sSubPr>
                                  <m:ctrlPr>
                                    <w:rPr>
                                      <w:rFonts w:ascii="Cambria Math" w:hAnsi="Cambria Math" w:cstheme="minorBidi"/>
                                      <w:i/>
                                      <w:iCs/>
                                      <w:color w:val="000000"/>
                                      <w:kern w:val="24"/>
                                      <w:szCs w:val="24"/>
                                    </w:rPr>
                                  </m:ctrlPr>
                                </m:sSubPr>
                                <m:e>
                                  <m:r>
                                    <m:rPr>
                                      <m:sty m:val="p"/>
                                    </m:rPr>
                                    <w:rPr>
                                      <w:rFonts w:ascii="Cambria Math" w:hAnsi="Cambria Math" w:cstheme="minorBidi"/>
                                      <w:color w:val="000000"/>
                                      <w:kern w:val="24"/>
                                      <w:szCs w:val="24"/>
                                    </w:rPr>
                                    <m:t>D</m:t>
                                  </m:r>
                                </m:e>
                                <m:sub>
                                  <m:r>
                                    <m:rPr>
                                      <m:sty m:val="p"/>
                                    </m:rPr>
                                    <w:rPr>
                                      <w:rFonts w:ascii="Cambria Math" w:hAnsi="Cambria Math" w:cstheme="minorBidi"/>
                                      <w:color w:val="000000"/>
                                      <w:kern w:val="24"/>
                                      <w:szCs w:val="24"/>
                                    </w:rPr>
                                    <m:t>inv</m:t>
                                  </m:r>
                                </m:sub>
                              </m:sSub>
                              <m:r>
                                <w:rPr>
                                  <w:rFonts w:ascii="Cambria Math" w:cstheme="minorBidi"/>
                                  <w:color w:val="000000"/>
                                  <w:kern w:val="24"/>
                                  <w:szCs w:val="24"/>
                                </w:rPr>
                                <m:t>×</m:t>
                              </m:r>
                              <m:f>
                                <m:fPr>
                                  <m:ctrlPr>
                                    <w:rPr>
                                      <w:rFonts w:ascii="Cambria Math" w:hAnsi="Cambria Math" w:cstheme="minorBidi"/>
                                      <w:i/>
                                      <w:iCs/>
                                      <w:color w:val="000000"/>
                                      <w:kern w:val="24"/>
                                      <w:szCs w:val="24"/>
                                    </w:rPr>
                                  </m:ctrlPr>
                                </m:fPr>
                                <m:num>
                                  <m:sSub>
                                    <m:sSubPr>
                                      <m:ctrlPr>
                                        <w:rPr>
                                          <w:rFonts w:ascii="Cambria Math" w:hAnsi="Cambria Math" w:cstheme="minorBidi"/>
                                          <w:i/>
                                          <w:iCs/>
                                          <w:color w:val="000000"/>
                                          <w:kern w:val="24"/>
                                          <w:szCs w:val="24"/>
                                        </w:rPr>
                                      </m:ctrlPr>
                                    </m:sSubPr>
                                    <m:e>
                                      <m:r>
                                        <w:rPr>
                                          <w:rFonts w:ascii="Cambria Math" w:hAnsi="Cambria Math" w:cstheme="minorBidi"/>
                                          <w:color w:val="000000"/>
                                          <w:kern w:val="24"/>
                                          <w:szCs w:val="24"/>
                                        </w:rPr>
                                        <m:t>IPP</m:t>
                                      </m:r>
                                    </m:e>
                                    <m:sub>
                                      <m:r>
                                        <w:rPr>
                                          <w:rFonts w:ascii="Cambria Math" w:hAnsi="Cambria Math" w:cstheme="minorBidi"/>
                                          <w:color w:val="000000"/>
                                          <w:kern w:val="24"/>
                                          <w:szCs w:val="24"/>
                                        </w:rPr>
                                        <m:t>m-1</m:t>
                                      </m:r>
                                    </m:sub>
                                  </m:sSub>
                                </m:num>
                                <m:den>
                                  <m:sSub>
                                    <m:sSubPr>
                                      <m:ctrlPr>
                                        <w:rPr>
                                          <w:rFonts w:ascii="Cambria Math" w:hAnsi="Cambria Math" w:cstheme="minorBidi"/>
                                          <w:i/>
                                          <w:iCs/>
                                          <w:color w:val="000000"/>
                                          <w:kern w:val="24"/>
                                          <w:szCs w:val="24"/>
                                        </w:rPr>
                                      </m:ctrlPr>
                                    </m:sSubPr>
                                    <m:e>
                                      <m:r>
                                        <w:rPr>
                                          <w:rFonts w:ascii="Cambria Math" w:hAnsi="Cambria Math" w:cstheme="minorBidi"/>
                                          <w:color w:val="000000"/>
                                          <w:kern w:val="24"/>
                                          <w:szCs w:val="24"/>
                                        </w:rPr>
                                        <m:t>IPP</m:t>
                                      </m:r>
                                    </m:e>
                                    <m:sub>
                                      <m:r>
                                        <w:rPr>
                                          <w:rFonts w:ascii="Cambria Math" w:hAnsi="Cambria Math" w:cstheme="minorBidi"/>
                                          <w:color w:val="000000"/>
                                          <w:kern w:val="24"/>
                                          <w:szCs w:val="24"/>
                                        </w:rPr>
                                        <m:t>0</m:t>
                                      </m:r>
                                    </m:sub>
                                  </m:sSub>
                                </m:den>
                              </m:f>
                            </m:e>
                          </m:d>
                          <m:r>
                            <w:rPr>
                              <w:rFonts w:ascii="Cambria Math" w:hAnsi="Cambria Math" w:cstheme="minorBidi"/>
                              <w:color w:val="000000"/>
                              <w:kern w:val="24"/>
                              <w:szCs w:val="24"/>
                            </w:rPr>
                            <m:t>+</m:t>
                          </m:r>
                          <m:d>
                            <m:dPr>
                              <m:ctrlPr>
                                <w:rPr>
                                  <w:rFonts w:ascii="Cambria Math" w:hAnsi="Cambria Math" w:cstheme="minorBidi"/>
                                  <w:i/>
                                  <w:iCs/>
                                  <w:color w:val="000000"/>
                                  <w:kern w:val="24"/>
                                  <w:szCs w:val="24"/>
                                </w:rPr>
                              </m:ctrlPr>
                            </m:dPr>
                            <m:e>
                              <m:sSub>
                                <m:sSubPr>
                                  <m:ctrlPr>
                                    <w:rPr>
                                      <w:rFonts w:ascii="Cambria Math" w:hAnsi="Cambria Math" w:cstheme="minorBidi"/>
                                      <w:i/>
                                      <w:iCs/>
                                      <w:color w:val="000000"/>
                                      <w:kern w:val="24"/>
                                      <w:szCs w:val="24"/>
                                    </w:rPr>
                                  </m:ctrlPr>
                                </m:sSubPr>
                                <m:e>
                                  <m:r>
                                    <m:rPr>
                                      <m:sty m:val="p"/>
                                    </m:rPr>
                                    <w:rPr>
                                      <w:rFonts w:ascii="Cambria Math" w:hAnsi="Cambria Math" w:cstheme="minorBidi"/>
                                      <w:color w:val="000000"/>
                                      <w:kern w:val="24"/>
                                      <w:szCs w:val="24"/>
                                    </w:rPr>
                                    <m:t>D</m:t>
                                  </m:r>
                                </m:e>
                                <m:sub>
                                  <m:r>
                                    <m:rPr>
                                      <m:sty m:val="p"/>
                                    </m:rPr>
                                    <w:rPr>
                                      <w:rFonts w:ascii="Cambria Math" w:hAnsi="Cambria Math" w:cstheme="minorBidi"/>
                                      <w:color w:val="000000"/>
                                      <w:kern w:val="24"/>
                                      <w:szCs w:val="24"/>
                                    </w:rPr>
                                    <m:t>AOM</m:t>
                                  </m:r>
                                </m:sub>
                              </m:sSub>
                              <m:r>
                                <w:rPr>
                                  <w:rFonts w:ascii="Cambria Math" w:cstheme="minorBidi"/>
                                  <w:color w:val="000000"/>
                                  <w:kern w:val="24"/>
                                  <w:szCs w:val="24"/>
                                </w:rPr>
                                <m:t>×</m:t>
                              </m:r>
                              <m:f>
                                <m:fPr>
                                  <m:ctrlPr>
                                    <w:rPr>
                                      <w:rFonts w:ascii="Cambria Math" w:hAnsi="Cambria Math" w:cstheme="minorBidi"/>
                                      <w:i/>
                                      <w:iCs/>
                                      <w:color w:val="000000"/>
                                      <w:kern w:val="24"/>
                                      <w:szCs w:val="24"/>
                                    </w:rPr>
                                  </m:ctrlPr>
                                </m:fPr>
                                <m:num>
                                  <m:sSub>
                                    <m:sSubPr>
                                      <m:ctrlPr>
                                        <w:rPr>
                                          <w:rFonts w:ascii="Cambria Math" w:hAnsi="Cambria Math" w:cstheme="minorBidi"/>
                                          <w:i/>
                                          <w:iCs/>
                                          <w:color w:val="000000"/>
                                          <w:kern w:val="24"/>
                                          <w:szCs w:val="24"/>
                                        </w:rPr>
                                      </m:ctrlPr>
                                    </m:sSubPr>
                                    <m:e>
                                      <m:r>
                                        <w:rPr>
                                          <w:rFonts w:ascii="Cambria Math" w:hAnsi="Cambria Math" w:cstheme="minorBidi"/>
                                          <w:color w:val="000000"/>
                                          <w:kern w:val="24"/>
                                          <w:szCs w:val="24"/>
                                        </w:rPr>
                                        <m:t>IPC</m:t>
                                      </m:r>
                                    </m:e>
                                    <m:sub>
                                      <m:r>
                                        <w:rPr>
                                          <w:rFonts w:ascii="Cambria Math" w:hAnsi="Cambria Math" w:cstheme="minorBidi"/>
                                          <w:color w:val="000000"/>
                                          <w:kern w:val="24"/>
                                          <w:szCs w:val="24"/>
                                        </w:rPr>
                                        <m:t>m-1</m:t>
                                      </m:r>
                                    </m:sub>
                                  </m:sSub>
                                </m:num>
                                <m:den>
                                  <m:sSub>
                                    <m:sSubPr>
                                      <m:ctrlPr>
                                        <w:rPr>
                                          <w:rFonts w:ascii="Cambria Math" w:hAnsi="Cambria Math" w:cstheme="minorBidi"/>
                                          <w:i/>
                                          <w:iCs/>
                                          <w:color w:val="000000"/>
                                          <w:kern w:val="24"/>
                                          <w:szCs w:val="24"/>
                                        </w:rPr>
                                      </m:ctrlPr>
                                    </m:sSubPr>
                                    <m:e>
                                      <m:r>
                                        <w:rPr>
                                          <w:rFonts w:ascii="Cambria Math" w:hAnsi="Cambria Math" w:cstheme="minorBidi"/>
                                          <w:color w:val="000000"/>
                                          <w:kern w:val="24"/>
                                          <w:szCs w:val="24"/>
                                        </w:rPr>
                                        <m:t>IPC</m:t>
                                      </m:r>
                                    </m:e>
                                    <m:sub>
                                      <m:r>
                                        <w:rPr>
                                          <w:rFonts w:ascii="Cambria Math" w:hAnsi="Cambria Math" w:cstheme="minorBidi"/>
                                          <w:color w:val="000000"/>
                                          <w:kern w:val="24"/>
                                          <w:szCs w:val="24"/>
                                        </w:rPr>
                                        <m:t>0</m:t>
                                      </m:r>
                                    </m:sub>
                                  </m:sSub>
                                </m:den>
                              </m:f>
                            </m:e>
                          </m:d>
                        </m:oMath>
                      </m:oMathPara>
                    </w:p>
                  </w:txbxContent>
                </v:textbox>
                <w10:anchorlock/>
              </v:rect>
            </w:pict>
          </mc:Fallback>
        </mc:AlternateContent>
      </w:r>
    </w:p>
    <w:p w14:paraId="567B305D" w14:textId="737C6865" w:rsidR="004F0408" w:rsidRPr="00A00EDB" w:rsidRDefault="003670DC" w:rsidP="003670DC">
      <w:pPr>
        <w:spacing w:before="100" w:beforeAutospacing="1" w:after="100" w:afterAutospacing="1" w:line="360" w:lineRule="auto"/>
        <w:jc w:val="center"/>
        <w:rPr>
          <w:sz w:val="22"/>
          <w:szCs w:val="22"/>
          <w:lang w:val="es-CO"/>
        </w:rPr>
      </w:pPr>
      <w:r w:rsidRPr="00A00EDB">
        <w:rPr>
          <w:sz w:val="22"/>
          <w:szCs w:val="22"/>
          <w:lang w:val="es-CO"/>
        </w:rPr>
        <w:t>E</w:t>
      </w:r>
      <w:r w:rsidR="00A00EDB" w:rsidRPr="00A00EDB">
        <w:rPr>
          <w:sz w:val="22"/>
          <w:szCs w:val="22"/>
          <w:lang w:val="es-CO"/>
        </w:rPr>
        <w:t>laboración: CREG</w:t>
      </w:r>
    </w:p>
    <w:p w14:paraId="22B01E60" w14:textId="3A8179B7" w:rsidR="001F7A74" w:rsidRDefault="00F66DF3" w:rsidP="002F1961">
      <w:pPr>
        <w:spacing w:before="100" w:beforeAutospacing="1" w:after="100" w:afterAutospacing="1" w:line="360" w:lineRule="auto"/>
        <w:rPr>
          <w:szCs w:val="24"/>
          <w:lang w:val="es-CO"/>
        </w:rPr>
      </w:pPr>
      <w:r w:rsidRPr="00F66DF3">
        <w:rPr>
          <w:szCs w:val="24"/>
          <w:lang w:val="es-CO"/>
        </w:rPr>
        <w:t xml:space="preserve">Como se observa en la </w:t>
      </w:r>
      <w:r w:rsidR="00A00EDB">
        <w:rPr>
          <w:szCs w:val="24"/>
          <w:lang w:val="es-CO"/>
        </w:rPr>
        <w:fldChar w:fldCharType="begin"/>
      </w:r>
      <w:r w:rsidR="00A00EDB">
        <w:rPr>
          <w:szCs w:val="24"/>
          <w:lang w:val="es-CO"/>
        </w:rPr>
        <w:instrText xml:space="preserve"> REF _Ref235109346 \h </w:instrText>
      </w:r>
      <w:r w:rsidR="00A00EDB">
        <w:rPr>
          <w:szCs w:val="24"/>
          <w:lang w:val="es-CO"/>
        </w:rPr>
      </w:r>
      <w:r w:rsidR="00A00EDB">
        <w:rPr>
          <w:szCs w:val="24"/>
          <w:lang w:val="es-CO"/>
        </w:rPr>
        <w:fldChar w:fldCharType="separate"/>
      </w:r>
      <w:r w:rsidR="00A00EDB" w:rsidRPr="00656615">
        <w:rPr>
          <w:lang w:val="es-ES"/>
        </w:rPr>
        <w:t xml:space="preserve">Figura </w:t>
      </w:r>
      <w:r w:rsidR="00A00EDB">
        <w:rPr>
          <w:noProof/>
          <w:lang w:val="es-ES"/>
        </w:rPr>
        <w:t>22</w:t>
      </w:r>
      <w:r w:rsidR="00A00EDB">
        <w:rPr>
          <w:szCs w:val="24"/>
          <w:lang w:val="es-CO"/>
        </w:rPr>
        <w:fldChar w:fldCharType="end"/>
      </w:r>
      <w:r w:rsidR="00A00EDB">
        <w:rPr>
          <w:szCs w:val="24"/>
          <w:lang w:val="es-CO"/>
        </w:rPr>
        <w:t>,</w:t>
      </w:r>
      <w:r w:rsidRPr="00F66DF3">
        <w:rPr>
          <w:szCs w:val="24"/>
          <w:lang w:val="es-CO"/>
        </w:rPr>
        <w:t xml:space="preserve"> la actualización periódica del cargo de distribución se realiza aplicando índices económicos diferenciados para cada componente del cargo, preservando así el valor real de las inversiones y de los gastos de Administración, Operación y Mantenimiento (AOM) durante el período tarifario.</w:t>
      </w:r>
    </w:p>
    <w:p w14:paraId="159F3D1C" w14:textId="6BD4E359" w:rsidR="001F7A74" w:rsidRDefault="001F7A74">
      <w:pPr>
        <w:pStyle w:val="Prrafodelista"/>
        <w:numPr>
          <w:ilvl w:val="0"/>
          <w:numId w:val="18"/>
        </w:numPr>
        <w:spacing w:before="100" w:beforeAutospacing="1" w:after="100" w:afterAutospacing="1" w:line="360" w:lineRule="auto"/>
        <w:rPr>
          <w:b/>
          <w:bCs/>
        </w:rPr>
      </w:pPr>
      <w:r>
        <w:rPr>
          <w:b/>
          <w:bCs/>
        </w:rPr>
        <w:t>Remuneración de la actividad de Comercial</w:t>
      </w:r>
      <w:r w:rsidR="00E10AF1">
        <w:rPr>
          <w:b/>
          <w:bCs/>
        </w:rPr>
        <w:t>iz</w:t>
      </w:r>
      <w:r>
        <w:rPr>
          <w:b/>
          <w:bCs/>
        </w:rPr>
        <w:t>ación</w:t>
      </w:r>
    </w:p>
    <w:p w14:paraId="6CDDFF17" w14:textId="3CB39E36" w:rsidR="001D78D2" w:rsidRPr="001D78D2" w:rsidRDefault="004B5772" w:rsidP="002F1961">
      <w:pPr>
        <w:spacing w:before="100" w:beforeAutospacing="1" w:after="100" w:afterAutospacing="1" w:line="360" w:lineRule="auto"/>
        <w:rPr>
          <w:szCs w:val="24"/>
          <w:lang w:val="es-CO"/>
        </w:rPr>
      </w:pPr>
      <w:r w:rsidRPr="004B5772">
        <w:rPr>
          <w:szCs w:val="24"/>
          <w:lang w:val="es-CO"/>
        </w:rPr>
        <w:t>La actividad de comercialización minorista comprende el conjunto de actividades necesarias para suministrar el servicio de GLP por redes de tubería a los usuarios finales, incluyendo la compra y venta del combustible, la intermediación de los servicios de transporte y distribución, la medición de los consumos, la facturación, el recaudo, la atención comercial y las demás actividades asociadas con la relación comercial entre el prestador</w:t>
      </w:r>
      <w:r w:rsidR="001D78D2" w:rsidRPr="001D78D2">
        <w:rPr>
          <w:szCs w:val="24"/>
          <w:lang w:val="es-CO"/>
        </w:rPr>
        <w:t>.</w:t>
      </w:r>
    </w:p>
    <w:p w14:paraId="1B900C45" w14:textId="7B5089A2" w:rsidR="001D78D2" w:rsidRPr="001D78D2" w:rsidRDefault="005C1DB2" w:rsidP="002F1961">
      <w:pPr>
        <w:spacing w:before="100" w:beforeAutospacing="1" w:after="100" w:afterAutospacing="1" w:line="360" w:lineRule="auto"/>
        <w:rPr>
          <w:szCs w:val="24"/>
          <w:lang w:val="es-CO"/>
        </w:rPr>
      </w:pPr>
      <w:r w:rsidRPr="005C1DB2">
        <w:rPr>
          <w:szCs w:val="24"/>
          <w:lang w:val="es-CO"/>
        </w:rPr>
        <w:t>A diferencia de la actividad de distribución, la comercialización constituye principalmente un negocio de intermediación económica, razón por la cual su metodología de remuneración reconoce los costos</w:t>
      </w:r>
      <w:r w:rsidR="0082709A">
        <w:rPr>
          <w:szCs w:val="24"/>
          <w:lang w:val="es-CO"/>
        </w:rPr>
        <w:t xml:space="preserve"> eficientes</w:t>
      </w:r>
      <w:r w:rsidRPr="005C1DB2">
        <w:rPr>
          <w:szCs w:val="24"/>
          <w:lang w:val="es-CO"/>
        </w:rPr>
        <w:t xml:space="preserve"> asociados a la gestión comercial y a la administración del servicio, más que inversiones intensivas en infraestructura.</w:t>
      </w:r>
    </w:p>
    <w:p w14:paraId="108EF892" w14:textId="11D16975" w:rsidR="001F7A74" w:rsidRDefault="00845FEC" w:rsidP="002F1961">
      <w:pPr>
        <w:spacing w:before="100" w:beforeAutospacing="1" w:after="100" w:afterAutospacing="1" w:line="360" w:lineRule="auto"/>
        <w:rPr>
          <w:szCs w:val="24"/>
          <w:lang w:val="es-CO"/>
        </w:rPr>
      </w:pPr>
      <w:r w:rsidRPr="00845FEC">
        <w:rPr>
          <w:szCs w:val="24"/>
          <w:lang w:val="es-CO"/>
        </w:rPr>
        <w:t>La remuneración de la actividad de comercialización se encuentra regulada por</w:t>
      </w:r>
      <w:r w:rsidR="00D475A5">
        <w:rPr>
          <w:szCs w:val="24"/>
          <w:lang w:val="es-CO"/>
        </w:rPr>
        <w:t xml:space="preserve"> </w:t>
      </w:r>
      <w:r w:rsidR="004B5772" w:rsidRPr="004B5772">
        <w:rPr>
          <w:szCs w:val="24"/>
          <w:lang w:val="es-CO"/>
        </w:rPr>
        <w:t>la Resolución CREG 102 003 de 2022, la cual define el costo de comercialización mediante un componente fijo y un componente variable.</w:t>
      </w:r>
    </w:p>
    <w:p w14:paraId="44B83E5B" w14:textId="77777777" w:rsidR="00A765C7" w:rsidRDefault="00A765C7" w:rsidP="002F1961">
      <w:pPr>
        <w:spacing w:before="100" w:beforeAutospacing="1" w:after="100" w:afterAutospacing="1" w:line="360" w:lineRule="auto"/>
        <w:rPr>
          <w:szCs w:val="24"/>
          <w:lang w:val="es-CO"/>
        </w:rPr>
      </w:pPr>
    </w:p>
    <w:p w14:paraId="1C54DDDF" w14:textId="77777777" w:rsidR="00A765C7" w:rsidRDefault="00A765C7" w:rsidP="002F1961">
      <w:pPr>
        <w:spacing w:before="100" w:beforeAutospacing="1" w:after="100" w:afterAutospacing="1" w:line="360" w:lineRule="auto"/>
        <w:rPr>
          <w:szCs w:val="24"/>
          <w:lang w:val="es-CO"/>
        </w:rPr>
      </w:pPr>
    </w:p>
    <w:p w14:paraId="45A51A57" w14:textId="41D0B341" w:rsidR="0008697B" w:rsidRPr="0000603F" w:rsidRDefault="0008697B" w:rsidP="002F1961">
      <w:pPr>
        <w:spacing w:before="100" w:beforeAutospacing="1" w:after="100" w:afterAutospacing="1" w:line="360" w:lineRule="auto"/>
        <w:rPr>
          <w:b/>
          <w:bCs/>
          <w:szCs w:val="24"/>
          <w:lang w:val="es-CO"/>
        </w:rPr>
      </w:pPr>
      <w:r w:rsidRPr="0000603F">
        <w:rPr>
          <w:b/>
          <w:bCs/>
          <w:szCs w:val="24"/>
          <w:lang w:val="es-CO"/>
        </w:rPr>
        <w:lastRenderedPageBreak/>
        <w:t>Mercado Relevante</w:t>
      </w:r>
      <w:r w:rsidR="0000603F">
        <w:rPr>
          <w:b/>
          <w:bCs/>
          <w:szCs w:val="24"/>
          <w:lang w:val="es-CO"/>
        </w:rPr>
        <w:t xml:space="preserve"> </w:t>
      </w:r>
      <w:r w:rsidR="0082709A">
        <w:rPr>
          <w:b/>
          <w:bCs/>
          <w:szCs w:val="24"/>
          <w:lang w:val="es-CO"/>
        </w:rPr>
        <w:t>de</w:t>
      </w:r>
      <w:r w:rsidR="0000603F">
        <w:rPr>
          <w:b/>
          <w:bCs/>
          <w:szCs w:val="24"/>
          <w:lang w:val="es-CO"/>
        </w:rPr>
        <w:t xml:space="preserve"> Comercialización</w:t>
      </w:r>
    </w:p>
    <w:p w14:paraId="2B98ABE0" w14:textId="468EF81B" w:rsidR="0008697B" w:rsidRDefault="00873775" w:rsidP="002F1961">
      <w:pPr>
        <w:spacing w:before="100" w:beforeAutospacing="1" w:after="100" w:afterAutospacing="1" w:line="360" w:lineRule="auto"/>
        <w:rPr>
          <w:szCs w:val="24"/>
          <w:lang w:val="es-CO"/>
        </w:rPr>
      </w:pPr>
      <w:r w:rsidRPr="00873775">
        <w:rPr>
          <w:szCs w:val="24"/>
          <w:lang w:val="es-CO"/>
        </w:rPr>
        <w:t>Como unidad de aplicación, el esquema de remuneración de la actividad de comercialización utiliza</w:t>
      </w:r>
      <w:r w:rsidR="0000603F" w:rsidRPr="0000603F">
        <w:rPr>
          <w:szCs w:val="24"/>
          <w:lang w:val="es-CO"/>
        </w:rPr>
        <w:t xml:space="preserve"> el Mercado Relevante de Comercialización, entendido como el municipio o conjunto de municipios para el cual la Comisión aprueba un cargo de comercialización. De conformidad con la Resolución CREG 102 003 de 2022, dicho mercado debe corresponder al mismo Mercado Relevante de Distribución aprobado para el período tarifario. En consecuencia, la conformación de los mercados de comercialización sigue los mismos criterios descritos en el numeral 1.2.4 </w:t>
      </w:r>
      <w:r w:rsidR="00CC2E55">
        <w:rPr>
          <w:szCs w:val="24"/>
          <w:lang w:val="es-CO"/>
        </w:rPr>
        <w:t>“</w:t>
      </w:r>
      <w:r w:rsidR="0000603F" w:rsidRPr="0000603F">
        <w:rPr>
          <w:szCs w:val="24"/>
          <w:lang w:val="es-CO"/>
        </w:rPr>
        <w:t>Asignación de mercados</w:t>
      </w:r>
      <w:r w:rsidR="00CC2E55">
        <w:rPr>
          <w:szCs w:val="24"/>
          <w:lang w:val="es-CO"/>
        </w:rPr>
        <w:t>”</w:t>
      </w:r>
      <w:r w:rsidR="0000603F" w:rsidRPr="0000603F">
        <w:rPr>
          <w:szCs w:val="24"/>
          <w:lang w:val="es-CO"/>
        </w:rPr>
        <w:t>, garantizando que ambas actividades se remuneren sobre una misma delimitación geográfica y una misma base de usuarios.</w:t>
      </w:r>
    </w:p>
    <w:p w14:paraId="2C8E464F" w14:textId="4153188E" w:rsidR="001F7A74" w:rsidRDefault="00130B1A" w:rsidP="002F1961">
      <w:pPr>
        <w:spacing w:before="100" w:beforeAutospacing="1" w:after="100" w:afterAutospacing="1" w:line="360" w:lineRule="auto"/>
        <w:rPr>
          <w:b/>
          <w:bCs/>
          <w:szCs w:val="24"/>
          <w:lang w:val="es-CO"/>
        </w:rPr>
      </w:pPr>
      <w:r w:rsidRPr="00130B1A">
        <w:rPr>
          <w:b/>
          <w:bCs/>
          <w:szCs w:val="24"/>
          <w:lang w:val="es-CO"/>
        </w:rPr>
        <w:t>Estructura del cargo de comercialización</w:t>
      </w:r>
    </w:p>
    <w:p w14:paraId="2FBC5587" w14:textId="0769B57D" w:rsidR="00CC2E55" w:rsidRPr="00CC2E55" w:rsidRDefault="00CE1D3B" w:rsidP="002F1961">
      <w:pPr>
        <w:spacing w:before="100" w:beforeAutospacing="1" w:after="100" w:afterAutospacing="1" w:line="360" w:lineRule="auto"/>
        <w:rPr>
          <w:szCs w:val="24"/>
          <w:lang w:val="es-CO"/>
        </w:rPr>
      </w:pPr>
      <w:r w:rsidRPr="00CE1D3B">
        <w:rPr>
          <w:szCs w:val="24"/>
          <w:lang w:val="es-CO"/>
        </w:rPr>
        <w:t>El costo de comercialización se determina mediante dos componentes</w:t>
      </w:r>
      <w:r w:rsidR="00CC2E55" w:rsidRPr="00CC2E55">
        <w:rPr>
          <w:szCs w:val="24"/>
          <w:lang w:val="es-CO"/>
        </w:rPr>
        <w:t>:</w:t>
      </w:r>
    </w:p>
    <w:p w14:paraId="4E778009" w14:textId="7F8F3358" w:rsidR="00CC2E55" w:rsidRPr="00CC2E55" w:rsidRDefault="00CC2E55">
      <w:pPr>
        <w:pStyle w:val="Prrafodelista"/>
        <w:numPr>
          <w:ilvl w:val="0"/>
          <w:numId w:val="18"/>
        </w:numPr>
        <w:spacing w:before="100" w:beforeAutospacing="1" w:after="100" w:afterAutospacing="1" w:line="360" w:lineRule="auto"/>
        <w:rPr>
          <w:szCs w:val="24"/>
          <w:lang w:val="es-CO"/>
        </w:rPr>
      </w:pPr>
      <w:r>
        <w:rPr>
          <w:szCs w:val="24"/>
          <w:lang w:val="es-CO"/>
        </w:rPr>
        <w:t>U</w:t>
      </w:r>
      <w:r w:rsidRPr="00CC2E55">
        <w:rPr>
          <w:szCs w:val="24"/>
          <w:lang w:val="es-CO"/>
        </w:rPr>
        <w:t>n componente fijo, expresado en pesos por factura ($/factura); y</w:t>
      </w:r>
    </w:p>
    <w:p w14:paraId="5977A638" w14:textId="7BA096BC" w:rsidR="00CC2E55" w:rsidRPr="00CC2E55" w:rsidRDefault="00CC2E55">
      <w:pPr>
        <w:pStyle w:val="Prrafodelista"/>
        <w:numPr>
          <w:ilvl w:val="0"/>
          <w:numId w:val="18"/>
        </w:numPr>
        <w:spacing w:before="100" w:beforeAutospacing="1" w:after="100" w:afterAutospacing="1" w:line="360" w:lineRule="auto"/>
        <w:rPr>
          <w:szCs w:val="24"/>
          <w:lang w:val="es-CO"/>
        </w:rPr>
      </w:pPr>
      <w:r>
        <w:rPr>
          <w:szCs w:val="24"/>
          <w:lang w:val="es-CO"/>
        </w:rPr>
        <w:t>U</w:t>
      </w:r>
      <w:r w:rsidRPr="00CC2E55">
        <w:rPr>
          <w:szCs w:val="24"/>
          <w:lang w:val="es-CO"/>
        </w:rPr>
        <w:t>n componente variable, expresado en pesos por metro cúbico ($/m³).</w:t>
      </w:r>
    </w:p>
    <w:p w14:paraId="44E22465" w14:textId="08165A23" w:rsidR="00CC2E55" w:rsidRDefault="00CC2E55" w:rsidP="002F1961">
      <w:pPr>
        <w:spacing w:before="100" w:beforeAutospacing="1" w:after="100" w:afterAutospacing="1" w:line="360" w:lineRule="auto"/>
        <w:rPr>
          <w:szCs w:val="24"/>
          <w:lang w:val="es-CO"/>
        </w:rPr>
      </w:pPr>
      <w:r w:rsidRPr="00CC2E55">
        <w:rPr>
          <w:szCs w:val="24"/>
          <w:lang w:val="es-CO"/>
        </w:rPr>
        <w:t>El componente fijo remunera aquellos costos que se generan independientemente del nivel de consumo de los usuarios, mientras que el componente variable remunera los costos directamente relacionados con el volumen comercializado.</w:t>
      </w:r>
    </w:p>
    <w:p w14:paraId="4B6A03AA" w14:textId="2325C9F5" w:rsidR="00C9054A" w:rsidRDefault="00046F13" w:rsidP="002F1961">
      <w:pPr>
        <w:spacing w:before="100" w:beforeAutospacing="1" w:after="100" w:afterAutospacing="1" w:line="360" w:lineRule="auto"/>
        <w:rPr>
          <w:szCs w:val="24"/>
          <w:lang w:val="es-CO"/>
        </w:rPr>
      </w:pPr>
      <w:r w:rsidRPr="00046F13">
        <w:rPr>
          <w:szCs w:val="24"/>
        </w:rPr>
        <w:t>El costo de comercialización se determina mediante un componente fijo y un componente variable, cuya estructura general se presenta en la</w:t>
      </w:r>
      <w:r w:rsidR="00A80B42">
        <w:rPr>
          <w:szCs w:val="24"/>
        </w:rPr>
        <w:t xml:space="preserve"> </w:t>
      </w:r>
      <w:r w:rsidR="00A80B42">
        <w:rPr>
          <w:szCs w:val="24"/>
        </w:rPr>
        <w:fldChar w:fldCharType="begin"/>
      </w:r>
      <w:r w:rsidR="00A80B42">
        <w:rPr>
          <w:szCs w:val="24"/>
        </w:rPr>
        <w:instrText xml:space="preserve"> REF _Ref235109425 \h </w:instrText>
      </w:r>
      <w:r w:rsidR="00A80B42">
        <w:rPr>
          <w:szCs w:val="24"/>
        </w:rPr>
      </w:r>
      <w:r w:rsidR="00A80B42">
        <w:rPr>
          <w:szCs w:val="24"/>
        </w:rPr>
        <w:fldChar w:fldCharType="separate"/>
      </w:r>
      <w:r w:rsidR="00A80B42" w:rsidRPr="00656615">
        <w:rPr>
          <w:lang w:val="es-ES"/>
        </w:rPr>
        <w:t xml:space="preserve">Figura </w:t>
      </w:r>
      <w:r w:rsidR="00A80B42">
        <w:rPr>
          <w:noProof/>
          <w:lang w:val="es-ES"/>
        </w:rPr>
        <w:t>23</w:t>
      </w:r>
      <w:r w:rsidR="00A80B42">
        <w:rPr>
          <w:szCs w:val="24"/>
        </w:rPr>
        <w:fldChar w:fldCharType="end"/>
      </w:r>
      <w:r w:rsidR="00A80B42">
        <w:rPr>
          <w:szCs w:val="24"/>
        </w:rPr>
        <w:t>.</w:t>
      </w:r>
    </w:p>
    <w:p w14:paraId="1746E764" w14:textId="33FFAC48" w:rsidR="009F5E2C" w:rsidRDefault="009F5E2C" w:rsidP="002F1961">
      <w:pPr>
        <w:spacing w:before="100" w:beforeAutospacing="1" w:after="100" w:afterAutospacing="1" w:line="360" w:lineRule="auto"/>
        <w:jc w:val="center"/>
        <w:rPr>
          <w:szCs w:val="24"/>
          <w:lang w:val="es-CO"/>
        </w:rPr>
      </w:pPr>
      <w:bookmarkStart w:id="94" w:name="_Ref235109425"/>
      <w:bookmarkStart w:id="95" w:name="_Toc235118563"/>
      <w:r w:rsidRPr="00656615">
        <w:rPr>
          <w:lang w:val="es-ES"/>
        </w:rPr>
        <w:t xml:space="preserve">Figura </w:t>
      </w:r>
      <w:r w:rsidRPr="00656615">
        <w:rPr>
          <w:lang w:val="es-ES"/>
        </w:rPr>
        <w:fldChar w:fldCharType="begin"/>
      </w:r>
      <w:r w:rsidRPr="00656615">
        <w:rPr>
          <w:lang w:val="es-ES"/>
        </w:rPr>
        <w:instrText xml:space="preserve"> SEQ Figura \* ARABIC </w:instrText>
      </w:r>
      <w:r w:rsidRPr="00656615">
        <w:rPr>
          <w:lang w:val="es-ES"/>
        </w:rPr>
        <w:fldChar w:fldCharType="separate"/>
      </w:r>
      <w:r w:rsidR="00C4008A">
        <w:rPr>
          <w:noProof/>
          <w:lang w:val="es-ES"/>
        </w:rPr>
        <w:t>23</w:t>
      </w:r>
      <w:r w:rsidRPr="00656615">
        <w:rPr>
          <w:lang w:val="es-ES"/>
        </w:rPr>
        <w:fldChar w:fldCharType="end"/>
      </w:r>
      <w:bookmarkEnd w:id="94"/>
      <w:r w:rsidRPr="5FAE69B6">
        <w:rPr>
          <w:lang w:val="es-ES"/>
        </w:rPr>
        <w:t xml:space="preserve">. </w:t>
      </w:r>
      <w:r w:rsidR="00BF2C1A">
        <w:rPr>
          <w:bCs/>
          <w:lang w:val="es-ES"/>
        </w:rPr>
        <w:t>Estructura general del cargo de comercialización</w:t>
      </w:r>
      <w:bookmarkEnd w:id="95"/>
    </w:p>
    <w:p w14:paraId="73F463F5" w14:textId="554A8A15" w:rsidR="009F5E2C" w:rsidRDefault="00A0417E" w:rsidP="002F1961">
      <w:pPr>
        <w:spacing w:before="100" w:beforeAutospacing="1" w:after="100" w:afterAutospacing="1" w:line="360" w:lineRule="auto"/>
        <w:jc w:val="center"/>
        <w:rPr>
          <w:szCs w:val="24"/>
          <w:lang w:val="es-CO"/>
        </w:rPr>
      </w:pPr>
      <w:r>
        <w:rPr>
          <w:noProof/>
          <w:szCs w:val="24"/>
          <w:lang w:val="es-CO"/>
        </w:rPr>
        <mc:AlternateContent>
          <mc:Choice Requires="wpg">
            <w:drawing>
              <wp:inline distT="0" distB="0" distL="0" distR="0" wp14:anchorId="27A02105" wp14:editId="6BC8B302">
                <wp:extent cx="4912176" cy="723331"/>
                <wp:effectExtent l="0" t="0" r="0" b="0"/>
                <wp:docPr id="1894086230" name="Grupo 56"/>
                <wp:cNvGraphicFramePr/>
                <a:graphic xmlns:a="http://schemas.openxmlformats.org/drawingml/2006/main">
                  <a:graphicData uri="http://schemas.microsoft.com/office/word/2010/wordprocessingGroup">
                    <wpg:wgp>
                      <wpg:cNvGrpSpPr/>
                      <wpg:grpSpPr>
                        <a:xfrm>
                          <a:off x="0" y="0"/>
                          <a:ext cx="4912176" cy="723331"/>
                          <a:chOff x="0" y="0"/>
                          <a:chExt cx="4912176" cy="723331"/>
                        </a:xfrm>
                      </wpg:grpSpPr>
                      <wps:wsp>
                        <wps:cNvPr id="964915770" name="CuadroTexto 1"/>
                        <wps:cNvSpPr txBox="1"/>
                        <wps:spPr>
                          <a:xfrm>
                            <a:off x="1255479" y="0"/>
                            <a:ext cx="1569085" cy="377825"/>
                          </a:xfrm>
                          <a:prstGeom prst="rect">
                            <a:avLst/>
                          </a:prstGeom>
                          <a:noFill/>
                          <a:ln>
                            <a:noFill/>
                          </a:ln>
                        </wps:spPr>
                        <wps:txbx>
                          <w:txbxContent>
                            <w:p w14:paraId="484048F6" w14:textId="77777777" w:rsidR="00EF3206" w:rsidRPr="0080441F" w:rsidRDefault="00EF3206" w:rsidP="00EF3206">
                              <w:pPr>
                                <w:rPr>
                                  <w:rFonts w:ascii="Cambria Math" w:hAnsi="Cambria Math" w:cstheme="minorBidi"/>
                                  <w:color w:val="4F4E4E"/>
                                  <w:kern w:val="24"/>
                                  <w:sz w:val="20"/>
                                </w:rPr>
                              </w:pPr>
                              <m:oMathPara>
                                <m:oMathParaPr>
                                  <m:jc m:val="centerGroup"/>
                                </m:oMathParaPr>
                                <m:oMath>
                                  <m:r>
                                    <m:rPr>
                                      <m:sty m:val="p"/>
                                    </m:rPr>
                                    <w:rPr>
                                      <w:rFonts w:ascii="Cambria Math" w:hAnsi="Cambria Math" w:cstheme="minorBidi"/>
                                      <w:color w:val="4F4E4E"/>
                                      <w:kern w:val="24"/>
                                      <w:sz w:val="20"/>
                                    </w:rPr>
                                    <m:t>Cf=</m:t>
                                  </m:r>
                                  <m:f>
                                    <m:fPr>
                                      <m:ctrlPr>
                                        <w:rPr>
                                          <w:rFonts w:ascii="Cambria Math" w:eastAsiaTheme="minorEastAsia" w:hAnsi="Cambria Math" w:cstheme="minorBidi"/>
                                          <w:i/>
                                          <w:iCs/>
                                          <w:color w:val="4F4E4E"/>
                                          <w:kern w:val="24"/>
                                          <w:sz w:val="20"/>
                                        </w:rPr>
                                      </m:ctrlPr>
                                    </m:fPr>
                                    <m:num>
                                      <m:r>
                                        <m:rPr>
                                          <m:sty m:val="p"/>
                                        </m:rPr>
                                        <w:rPr>
                                          <w:rFonts w:ascii="Cambria Math" w:hAnsi="Cambria Math" w:cstheme="minorBidi"/>
                                          <w:color w:val="4F4E4E"/>
                                          <w:kern w:val="24"/>
                                          <w:sz w:val="20"/>
                                        </w:rPr>
                                        <m:t>AOM+Inversiones</m:t>
                                      </m:r>
                                    </m:num>
                                    <m:den>
                                      <m:r>
                                        <m:rPr>
                                          <m:sty m:val="p"/>
                                        </m:rPr>
                                        <w:rPr>
                                          <w:rFonts w:ascii="Cambria Math" w:hAnsi="Cambria Math" w:cstheme="minorBidi"/>
                                          <w:color w:val="4F4E4E"/>
                                          <w:kern w:val="24"/>
                                          <w:sz w:val="20"/>
                                        </w:rPr>
                                        <m:t>Facturas</m:t>
                                      </m:r>
                                    </m:den>
                                  </m:f>
                                </m:oMath>
                              </m:oMathPara>
                            </w:p>
                          </w:txbxContent>
                        </wps:txbx>
                        <wps:bodyPr wrap="square">
                          <a:spAutoFit/>
                        </wps:bodyPr>
                      </wps:wsp>
                      <wps:wsp>
                        <wps:cNvPr id="28" name="CuadroTexto 27">
                          <a:extLst>
                            <a:ext uri="{FF2B5EF4-FFF2-40B4-BE49-F238E27FC236}">
                              <a16:creationId xmlns:a16="http://schemas.microsoft.com/office/drawing/2014/main" id="{A43CCC7B-59F2-93E2-3E24-524912AA5A51}"/>
                            </a:ext>
                          </a:extLst>
                        </wps:cNvPr>
                        <wps:cNvSpPr txBox="1"/>
                        <wps:spPr>
                          <a:xfrm>
                            <a:off x="0" y="409184"/>
                            <a:ext cx="2933700" cy="246380"/>
                          </a:xfrm>
                          <a:prstGeom prst="rect">
                            <a:avLst/>
                          </a:prstGeom>
                          <a:noFill/>
                          <a:ln>
                            <a:noFill/>
                          </a:ln>
                        </wps:spPr>
                        <wps:txbx>
                          <w:txbxContent>
                            <w:p w14:paraId="191D13B9" w14:textId="77777777" w:rsidR="00EF3206" w:rsidRPr="00EF3206" w:rsidRDefault="00EF3206" w:rsidP="00EF3206">
                              <w:pPr>
                                <w:jc w:val="center"/>
                                <w:rPr>
                                  <w:rFonts w:ascii="Cambria Math" w:hAnsi="Cambria Math" w:cstheme="minorBidi"/>
                                  <w:color w:val="4F4E4E"/>
                                  <w:kern w:val="24"/>
                                  <w:sz w:val="20"/>
                                </w:rPr>
                              </w:pPr>
                              <m:oMath>
                                <m:r>
                                  <m:rPr>
                                    <m:sty m:val="p"/>
                                  </m:rPr>
                                  <w:rPr>
                                    <w:rFonts w:ascii="Cambria Math" w:hAnsi="Cambria Math" w:cstheme="minorBidi"/>
                                    <w:color w:val="4F4E4E"/>
                                    <w:kern w:val="24"/>
                                    <w:sz w:val="20"/>
                                  </w:rPr>
                                  <m:t>Cv</m:t>
                                </m:r>
                                <m:r>
                                  <m:rPr>
                                    <m:sty m:val="p"/>
                                  </m:rPr>
                                  <w:rPr>
                                    <w:rFonts w:ascii="Cambria Math" w:hAnsi="Cambria Math" w:cstheme="minorBidi"/>
                                    <w:color w:val="4F4E4E"/>
                                    <w:kern w:val="24"/>
                                    <w:sz w:val="20"/>
                                    <w:lang w:val="es-ES"/>
                                  </w:rPr>
                                  <m:t>=</m:t>
                                </m:r>
                                <m:d>
                                  <m:dPr>
                                    <m:ctrlPr>
                                      <w:rPr>
                                        <w:rFonts w:ascii="Cambria Math" w:eastAsiaTheme="minorEastAsia" w:hAnsi="Cambria Math" w:cstheme="minorBidi"/>
                                        <w:i/>
                                        <w:iCs/>
                                        <w:color w:val="4F4E4E"/>
                                        <w:kern w:val="24"/>
                                        <w:sz w:val="20"/>
                                      </w:rPr>
                                    </m:ctrlPr>
                                  </m:dPr>
                                  <m:e>
                                    <m:r>
                                      <m:rPr>
                                        <m:sty m:val="p"/>
                                      </m:rPr>
                                      <w:rPr>
                                        <w:rFonts w:ascii="Cambria Math" w:hAnsi="Cambria Math" w:cstheme="minorBidi"/>
                                        <w:color w:val="4F4E4E"/>
                                        <w:kern w:val="24"/>
                                        <w:sz w:val="20"/>
                                      </w:rPr>
                                      <m:t>G+T+D</m:t>
                                    </m:r>
                                  </m:e>
                                </m:d>
                                <m:r>
                                  <m:rPr>
                                    <m:sty m:val="p"/>
                                  </m:rPr>
                                  <w:rPr>
                                    <w:rFonts w:ascii="Cambria Math" w:hAnsi="+mn-ea" w:cstheme="minorBidi"/>
                                    <w:color w:val="4F4E4E"/>
                                    <w:kern w:val="24"/>
                                    <w:sz w:val="20"/>
                                    <w:lang w:val="es-ES"/>
                                  </w:rPr>
                                  <m:t>×</m:t>
                                </m:r>
                                <m:d>
                                  <m:dPr>
                                    <m:ctrlPr>
                                      <w:rPr>
                                        <w:rFonts w:ascii="Cambria Math" w:eastAsiaTheme="minorEastAsia" w:hAnsi="Cambria Math" w:cstheme="minorBidi"/>
                                        <w:i/>
                                        <w:iCs/>
                                        <w:color w:val="4F4E4E"/>
                                        <w:kern w:val="24"/>
                                        <w:sz w:val="20"/>
                                      </w:rPr>
                                    </m:ctrlPr>
                                  </m:dPr>
                                  <m:e>
                                    <m:r>
                                      <m:rPr>
                                        <m:sty m:val="p"/>
                                      </m:rPr>
                                      <w:rPr>
                                        <w:rFonts w:ascii="Cambria Math" w:hAnsi="Cambria Math" w:cstheme="minorBidi"/>
                                        <w:color w:val="4F4E4E"/>
                                        <w:kern w:val="24"/>
                                        <w:sz w:val="20"/>
                                      </w:rPr>
                                      <m:t>MO</m:t>
                                    </m:r>
                                    <m:r>
                                      <m:rPr>
                                        <m:sty m:val="p"/>
                                      </m:rPr>
                                      <w:rPr>
                                        <w:rFonts w:ascii="Cambria Math" w:hAnsi="Cambria Math" w:cstheme="minorBidi"/>
                                        <w:color w:val="4F4E4E"/>
                                        <w:kern w:val="24"/>
                                        <w:sz w:val="20"/>
                                        <w:lang w:val="es-ES"/>
                                      </w:rPr>
                                      <m:t>+</m:t>
                                    </m:r>
                                    <m:r>
                                      <m:rPr>
                                        <m:sty m:val="p"/>
                                      </m:rPr>
                                      <w:rPr>
                                        <w:rFonts w:ascii="Cambria Math" w:hAnsi="Cambria Math" w:cstheme="minorBidi"/>
                                        <w:color w:val="4F4E4E"/>
                                        <w:kern w:val="24"/>
                                        <w:sz w:val="20"/>
                                      </w:rPr>
                                      <m:t>RC</m:t>
                                    </m:r>
                                    <m:r>
                                      <m:rPr>
                                        <m:sty m:val="p"/>
                                      </m:rPr>
                                      <w:rPr>
                                        <w:rFonts w:ascii="Cambria Math" w:hAnsi="Cambria Math" w:cstheme="minorBidi"/>
                                        <w:color w:val="4F4E4E"/>
                                        <w:kern w:val="24"/>
                                        <w:sz w:val="20"/>
                                        <w:lang w:val="es-ES"/>
                                      </w:rPr>
                                      <m:t>+</m:t>
                                    </m:r>
                                    <m:r>
                                      <m:rPr>
                                        <m:sty m:val="p"/>
                                      </m:rPr>
                                      <w:rPr>
                                        <w:rFonts w:ascii="Cambria Math" w:hAnsi="Cambria Math" w:cstheme="minorBidi"/>
                                        <w:color w:val="4F4E4E"/>
                                        <w:kern w:val="24"/>
                                        <w:sz w:val="20"/>
                                      </w:rPr>
                                      <m:t>CF</m:t>
                                    </m:r>
                                  </m:e>
                                </m:d>
                              </m:oMath>
                              <w:r w:rsidRPr="00EF3206">
                                <w:rPr>
                                  <w:rFonts w:asciiTheme="minorHAnsi" w:hAnsi="Calibri" w:cstheme="minorBidi"/>
                                  <w:color w:val="4F4E4E"/>
                                  <w:kern w:val="24"/>
                                  <w:sz w:val="20"/>
                                </w:rPr>
                                <w:t xml:space="preserve"> + </w:t>
                              </w:r>
                              <m:oMath>
                                <m:r>
                                  <m:rPr>
                                    <m:sty m:val="p"/>
                                  </m:rPr>
                                  <w:rPr>
                                    <w:rFonts w:ascii="Cambria Math" w:hAnsi="Cambria Math" w:cstheme="minorBidi"/>
                                    <w:color w:val="4F4E4E"/>
                                    <w:kern w:val="24"/>
                                    <w:sz w:val="20"/>
                                  </w:rPr>
                                  <m:t>ITC+CCA</m:t>
                                </m:r>
                              </m:oMath>
                            </w:p>
                          </w:txbxContent>
                        </wps:txbx>
                        <wps:bodyPr wrap="square">
                          <a:spAutoFit/>
                        </wps:bodyPr>
                      </wps:wsp>
                      <wps:wsp>
                        <wps:cNvPr id="57" name="CuadroTexto 56">
                          <a:extLst>
                            <a:ext uri="{FF2B5EF4-FFF2-40B4-BE49-F238E27FC236}">
                              <a16:creationId xmlns:a16="http://schemas.microsoft.com/office/drawing/2014/main" id="{54D79BF0-24F5-9C2B-05E1-D189058B398D}"/>
                            </a:ext>
                          </a:extLst>
                        </wps:cNvPr>
                        <wps:cNvSpPr txBox="1"/>
                        <wps:spPr>
                          <a:xfrm>
                            <a:off x="3063923" y="6824"/>
                            <a:ext cx="1848253" cy="327546"/>
                          </a:xfrm>
                          <a:prstGeom prst="rect">
                            <a:avLst/>
                          </a:prstGeom>
                          <a:noFill/>
                        </wps:spPr>
                        <wps:txbx>
                          <w:txbxContent>
                            <w:p w14:paraId="19B12176" w14:textId="77777777" w:rsidR="0080441F" w:rsidRPr="0080441F" w:rsidRDefault="0080441F" w:rsidP="0080441F">
                              <w:pPr>
                                <w:rPr>
                                  <w:rFonts w:asciiTheme="minorHAnsi" w:hAnsi="Calibri" w:cstheme="minorBidi"/>
                                  <w:b/>
                                  <w:bCs/>
                                  <w:color w:val="C45911" w:themeColor="accent2" w:themeShade="BF"/>
                                  <w:kern w:val="24"/>
                                  <w:sz w:val="16"/>
                                  <w:szCs w:val="16"/>
                                </w:rPr>
                              </w:pPr>
                              <w:r w:rsidRPr="0080441F">
                                <w:rPr>
                                  <w:rFonts w:asciiTheme="minorHAnsi" w:hAnsi="Calibri" w:cstheme="minorBidi"/>
                                  <w:b/>
                                  <w:bCs/>
                                  <w:color w:val="C45911" w:themeColor="accent2" w:themeShade="BF"/>
                                  <w:kern w:val="24"/>
                                  <w:sz w:val="16"/>
                                  <w:szCs w:val="16"/>
                                </w:rPr>
                                <w:t>El componente fijo es aprobado por la CREG en resolución particular</w:t>
                              </w:r>
                            </w:p>
                          </w:txbxContent>
                        </wps:txbx>
                        <wps:bodyPr wrap="square" rtlCol="0">
                          <a:noAutofit/>
                        </wps:bodyPr>
                      </wps:wsp>
                      <wps:wsp>
                        <wps:cNvPr id="58" name="CuadroTexto 57">
                          <a:extLst>
                            <a:ext uri="{FF2B5EF4-FFF2-40B4-BE49-F238E27FC236}">
                              <a16:creationId xmlns:a16="http://schemas.microsoft.com/office/drawing/2014/main" id="{CC0A73DB-0FD5-D04A-AEEB-5E50EF29E148}"/>
                            </a:ext>
                          </a:extLst>
                        </wps:cNvPr>
                        <wps:cNvSpPr txBox="1"/>
                        <wps:spPr>
                          <a:xfrm>
                            <a:off x="3077570" y="388961"/>
                            <a:ext cx="1712794" cy="334370"/>
                          </a:xfrm>
                          <a:prstGeom prst="rect">
                            <a:avLst/>
                          </a:prstGeom>
                          <a:noFill/>
                        </wps:spPr>
                        <wps:txbx>
                          <w:txbxContent>
                            <w:p w14:paraId="56C733F9" w14:textId="77777777" w:rsidR="00A0417E" w:rsidRPr="00A0417E" w:rsidRDefault="00A0417E" w:rsidP="00A0417E">
                              <w:pPr>
                                <w:rPr>
                                  <w:rFonts w:asciiTheme="minorHAnsi" w:hAnsi="Calibri" w:cstheme="minorBidi"/>
                                  <w:b/>
                                  <w:bCs/>
                                  <w:color w:val="C45911" w:themeColor="accent2" w:themeShade="BF"/>
                                  <w:kern w:val="24"/>
                                  <w:sz w:val="16"/>
                                  <w:szCs w:val="16"/>
                                </w:rPr>
                              </w:pPr>
                              <w:r w:rsidRPr="00A0417E">
                                <w:rPr>
                                  <w:rFonts w:asciiTheme="minorHAnsi" w:hAnsi="Calibri" w:cstheme="minorBidi"/>
                                  <w:b/>
                                  <w:bCs/>
                                  <w:color w:val="C45911" w:themeColor="accent2" w:themeShade="BF"/>
                                  <w:kern w:val="24"/>
                                  <w:sz w:val="16"/>
                                  <w:szCs w:val="16"/>
                                </w:rPr>
                                <w:t>El componente variable es calculado por la empresa mes a mes</w:t>
                              </w:r>
                            </w:p>
                          </w:txbxContent>
                        </wps:txbx>
                        <wps:bodyPr wrap="square" rtlCol="0">
                          <a:noAutofit/>
                        </wps:bodyPr>
                      </wps:wsp>
                      <wps:wsp>
                        <wps:cNvPr id="965691662" name="Conector recto de flecha 55"/>
                        <wps:cNvCnPr/>
                        <wps:spPr>
                          <a:xfrm>
                            <a:off x="2797791" y="192206"/>
                            <a:ext cx="293427"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20334530" name="Conector recto de flecha 55"/>
                        <wps:cNvCnPr/>
                        <wps:spPr>
                          <a:xfrm>
                            <a:off x="2825087" y="540224"/>
                            <a:ext cx="29337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27A02105" id="Grupo 56" o:spid="_x0000_s1081" style="width:386.8pt;height:56.95pt;mso-position-horizontal-relative:char;mso-position-vertical-relative:line" coordsize="49121,7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">
                <v:shape id="CuadroTexto 1" o:spid="_x0000_s1082" type="#_x0000_t202" style="position:absolute;left:12554;width:15691;height:3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" filled="f" stroked="f">
                  <v:textbox style="mso-fit-shape-to-text:t">
                    <w:txbxContent>
                      <w:p w14:paraId="484048F6" w14:textId="77777777" w:rsidR="00EF3206" w:rsidRPr="0080441F" w:rsidRDefault="00EF3206" w:rsidP="00EF3206">
                        <w:pPr>
                          <w:rPr>
                            <w:rFonts w:ascii="Cambria Math" w:hAnsi="Cambria Math" w:cstheme="minorBidi"/>
                            <w:color w:val="4F4E4E"/>
                            <w:kern w:val="24"/>
                            <w:sz w:val="20"/>
                          </w:rPr>
                        </w:pPr>
                        <m:oMathPara>
                          <m:oMathParaPr>
                            <m:jc m:val="centerGroup"/>
                          </m:oMathParaPr>
                          <m:oMath>
                            <m:r>
                              <m:rPr>
                                <m:sty m:val="p"/>
                              </m:rPr>
                              <w:rPr>
                                <w:rFonts w:ascii="Cambria Math" w:hAnsi="Cambria Math" w:cstheme="minorBidi"/>
                                <w:color w:val="4F4E4E"/>
                                <w:kern w:val="24"/>
                                <w:sz w:val="20"/>
                              </w:rPr>
                              <m:t>Cf=</m:t>
                            </m:r>
                            <m:f>
                              <m:fPr>
                                <m:ctrlPr>
                                  <w:rPr>
                                    <w:rFonts w:ascii="Cambria Math" w:eastAsiaTheme="minorEastAsia" w:hAnsi="Cambria Math" w:cstheme="minorBidi"/>
                                    <w:i/>
                                    <w:iCs/>
                                    <w:color w:val="4F4E4E"/>
                                    <w:kern w:val="24"/>
                                    <w:sz w:val="20"/>
                                  </w:rPr>
                                </m:ctrlPr>
                              </m:fPr>
                              <m:num>
                                <m:r>
                                  <m:rPr>
                                    <m:sty m:val="p"/>
                                  </m:rPr>
                                  <w:rPr>
                                    <w:rFonts w:ascii="Cambria Math" w:hAnsi="Cambria Math" w:cstheme="minorBidi"/>
                                    <w:color w:val="4F4E4E"/>
                                    <w:kern w:val="24"/>
                                    <w:sz w:val="20"/>
                                  </w:rPr>
                                  <m:t>AOM+Inversiones</m:t>
                                </m:r>
                              </m:num>
                              <m:den>
                                <m:r>
                                  <m:rPr>
                                    <m:sty m:val="p"/>
                                  </m:rPr>
                                  <w:rPr>
                                    <w:rFonts w:ascii="Cambria Math" w:hAnsi="Cambria Math" w:cstheme="minorBidi"/>
                                    <w:color w:val="4F4E4E"/>
                                    <w:kern w:val="24"/>
                                    <w:sz w:val="20"/>
                                  </w:rPr>
                                  <m:t>Facturas</m:t>
                                </m:r>
                              </m:den>
                            </m:f>
                          </m:oMath>
                        </m:oMathPara>
                      </w:p>
                    </w:txbxContent>
                  </v:textbox>
                </v:shape>
                <v:shape id="CuadroTexto 27" o:spid="_x0000_s1083" type="#_x0000_t202" style="position:absolute;top:4091;width:29337;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" filled="f" stroked="f">
                  <v:textbox style="mso-fit-shape-to-text:t">
                    <w:txbxContent>
                      <w:p w14:paraId="191D13B9" w14:textId="77777777" w:rsidR="00EF3206" w:rsidRPr="00EF3206" w:rsidRDefault="00EF3206" w:rsidP="00EF3206">
                        <w:pPr>
                          <w:jc w:val="center"/>
                          <w:rPr>
                            <w:rFonts w:ascii="Cambria Math" w:hAnsi="Cambria Math" w:cstheme="minorBidi"/>
                            <w:color w:val="4F4E4E"/>
                            <w:kern w:val="24"/>
                            <w:sz w:val="20"/>
                          </w:rPr>
                        </w:pPr>
                        <m:oMath>
                          <m:r>
                            <m:rPr>
                              <m:sty m:val="p"/>
                            </m:rPr>
                            <w:rPr>
                              <w:rFonts w:ascii="Cambria Math" w:hAnsi="Cambria Math" w:cstheme="minorBidi"/>
                              <w:color w:val="4F4E4E"/>
                              <w:kern w:val="24"/>
                              <w:sz w:val="20"/>
                            </w:rPr>
                            <m:t>Cv</m:t>
                          </m:r>
                          <m:r>
                            <m:rPr>
                              <m:sty m:val="p"/>
                            </m:rPr>
                            <w:rPr>
                              <w:rFonts w:ascii="Cambria Math" w:hAnsi="Cambria Math" w:cstheme="minorBidi"/>
                              <w:color w:val="4F4E4E"/>
                              <w:kern w:val="24"/>
                              <w:sz w:val="20"/>
                              <w:lang w:val="es-ES"/>
                            </w:rPr>
                            <m:t>=</m:t>
                          </m:r>
                          <m:d>
                            <m:dPr>
                              <m:ctrlPr>
                                <w:rPr>
                                  <w:rFonts w:ascii="Cambria Math" w:eastAsiaTheme="minorEastAsia" w:hAnsi="Cambria Math" w:cstheme="minorBidi"/>
                                  <w:i/>
                                  <w:iCs/>
                                  <w:color w:val="4F4E4E"/>
                                  <w:kern w:val="24"/>
                                  <w:sz w:val="20"/>
                                </w:rPr>
                              </m:ctrlPr>
                            </m:dPr>
                            <m:e>
                              <m:r>
                                <m:rPr>
                                  <m:sty m:val="p"/>
                                </m:rPr>
                                <w:rPr>
                                  <w:rFonts w:ascii="Cambria Math" w:hAnsi="Cambria Math" w:cstheme="minorBidi"/>
                                  <w:color w:val="4F4E4E"/>
                                  <w:kern w:val="24"/>
                                  <w:sz w:val="20"/>
                                </w:rPr>
                                <m:t>G+T+D</m:t>
                              </m:r>
                            </m:e>
                          </m:d>
                          <m:r>
                            <m:rPr>
                              <m:sty m:val="p"/>
                            </m:rPr>
                            <w:rPr>
                              <w:rFonts w:ascii="Cambria Math" w:hAnsi="+mn-ea" w:cstheme="minorBidi"/>
                              <w:color w:val="4F4E4E"/>
                              <w:kern w:val="24"/>
                              <w:sz w:val="20"/>
                              <w:lang w:val="es-ES"/>
                            </w:rPr>
                            <m:t>×</m:t>
                          </m:r>
                          <m:d>
                            <m:dPr>
                              <m:ctrlPr>
                                <w:rPr>
                                  <w:rFonts w:ascii="Cambria Math" w:eastAsiaTheme="minorEastAsia" w:hAnsi="Cambria Math" w:cstheme="minorBidi"/>
                                  <w:i/>
                                  <w:iCs/>
                                  <w:color w:val="4F4E4E"/>
                                  <w:kern w:val="24"/>
                                  <w:sz w:val="20"/>
                                </w:rPr>
                              </m:ctrlPr>
                            </m:dPr>
                            <m:e>
                              <m:r>
                                <m:rPr>
                                  <m:sty m:val="p"/>
                                </m:rPr>
                                <w:rPr>
                                  <w:rFonts w:ascii="Cambria Math" w:hAnsi="Cambria Math" w:cstheme="minorBidi"/>
                                  <w:color w:val="4F4E4E"/>
                                  <w:kern w:val="24"/>
                                  <w:sz w:val="20"/>
                                </w:rPr>
                                <m:t>MO</m:t>
                              </m:r>
                              <m:r>
                                <m:rPr>
                                  <m:sty m:val="p"/>
                                </m:rPr>
                                <w:rPr>
                                  <w:rFonts w:ascii="Cambria Math" w:hAnsi="Cambria Math" w:cstheme="minorBidi"/>
                                  <w:color w:val="4F4E4E"/>
                                  <w:kern w:val="24"/>
                                  <w:sz w:val="20"/>
                                  <w:lang w:val="es-ES"/>
                                </w:rPr>
                                <m:t>+</m:t>
                              </m:r>
                              <m:r>
                                <m:rPr>
                                  <m:sty m:val="p"/>
                                </m:rPr>
                                <w:rPr>
                                  <w:rFonts w:ascii="Cambria Math" w:hAnsi="Cambria Math" w:cstheme="minorBidi"/>
                                  <w:color w:val="4F4E4E"/>
                                  <w:kern w:val="24"/>
                                  <w:sz w:val="20"/>
                                </w:rPr>
                                <m:t>RC</m:t>
                              </m:r>
                              <m:r>
                                <m:rPr>
                                  <m:sty m:val="p"/>
                                </m:rPr>
                                <w:rPr>
                                  <w:rFonts w:ascii="Cambria Math" w:hAnsi="Cambria Math" w:cstheme="minorBidi"/>
                                  <w:color w:val="4F4E4E"/>
                                  <w:kern w:val="24"/>
                                  <w:sz w:val="20"/>
                                  <w:lang w:val="es-ES"/>
                                </w:rPr>
                                <m:t>+</m:t>
                              </m:r>
                              <m:r>
                                <m:rPr>
                                  <m:sty m:val="p"/>
                                </m:rPr>
                                <w:rPr>
                                  <w:rFonts w:ascii="Cambria Math" w:hAnsi="Cambria Math" w:cstheme="minorBidi"/>
                                  <w:color w:val="4F4E4E"/>
                                  <w:kern w:val="24"/>
                                  <w:sz w:val="20"/>
                                </w:rPr>
                                <m:t>CF</m:t>
                              </m:r>
                            </m:e>
                          </m:d>
                        </m:oMath>
                        <w:r w:rsidRPr="00EF3206">
                          <w:rPr>
                            <w:rFonts w:asciiTheme="minorHAnsi" w:hAnsi="Calibri" w:cstheme="minorBidi"/>
                            <w:color w:val="4F4E4E"/>
                            <w:kern w:val="24"/>
                            <w:sz w:val="20"/>
                          </w:rPr>
                          <w:t xml:space="preserve"> + </w:t>
                        </w:r>
                        <m:oMath>
                          <m:r>
                            <m:rPr>
                              <m:sty m:val="p"/>
                            </m:rPr>
                            <w:rPr>
                              <w:rFonts w:ascii="Cambria Math" w:hAnsi="Cambria Math" w:cstheme="minorBidi"/>
                              <w:color w:val="4F4E4E"/>
                              <w:kern w:val="24"/>
                              <w:sz w:val="20"/>
                            </w:rPr>
                            <m:t>ITC+CCA</m:t>
                          </m:r>
                        </m:oMath>
                      </w:p>
                    </w:txbxContent>
                  </v:textbox>
                </v:shape>
                <v:shape id="CuadroTexto 56" o:spid="_x0000_s1084" type="#_x0000_t202" style="position:absolute;left:30639;top:68;width:18482;height:3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14:paraId="19B12176" w14:textId="77777777" w:rsidR="0080441F" w:rsidRPr="0080441F" w:rsidRDefault="0080441F" w:rsidP="0080441F">
                        <w:pPr>
                          <w:rPr>
                            <w:rFonts w:asciiTheme="minorHAnsi" w:hAnsi="Calibri" w:cstheme="minorBidi"/>
                            <w:b/>
                            <w:bCs/>
                            <w:color w:val="C45911" w:themeColor="accent2" w:themeShade="BF"/>
                            <w:kern w:val="24"/>
                            <w:sz w:val="16"/>
                            <w:szCs w:val="16"/>
                          </w:rPr>
                        </w:pPr>
                        <w:r w:rsidRPr="0080441F">
                          <w:rPr>
                            <w:rFonts w:asciiTheme="minorHAnsi" w:hAnsi="Calibri" w:cstheme="minorBidi"/>
                            <w:b/>
                            <w:bCs/>
                            <w:color w:val="C45911" w:themeColor="accent2" w:themeShade="BF"/>
                            <w:kern w:val="24"/>
                            <w:sz w:val="16"/>
                            <w:szCs w:val="16"/>
                          </w:rPr>
                          <w:t>El componente fijo es aprobado por la CREG en resolución particular</w:t>
                        </w:r>
                      </w:p>
                    </w:txbxContent>
                  </v:textbox>
                </v:shape>
                <v:shape id="CuadroTexto 57" o:spid="_x0000_s1085" type="#_x0000_t202" style="position:absolute;left:30775;top:3889;width:17128;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56C733F9" w14:textId="77777777" w:rsidR="00A0417E" w:rsidRPr="00A0417E" w:rsidRDefault="00A0417E" w:rsidP="00A0417E">
                        <w:pPr>
                          <w:rPr>
                            <w:rFonts w:asciiTheme="minorHAnsi" w:hAnsi="Calibri" w:cstheme="minorBidi"/>
                            <w:b/>
                            <w:bCs/>
                            <w:color w:val="C45911" w:themeColor="accent2" w:themeShade="BF"/>
                            <w:kern w:val="24"/>
                            <w:sz w:val="16"/>
                            <w:szCs w:val="16"/>
                          </w:rPr>
                        </w:pPr>
                        <w:r w:rsidRPr="00A0417E">
                          <w:rPr>
                            <w:rFonts w:asciiTheme="minorHAnsi" w:hAnsi="Calibri" w:cstheme="minorBidi"/>
                            <w:b/>
                            <w:bCs/>
                            <w:color w:val="C45911" w:themeColor="accent2" w:themeShade="BF"/>
                            <w:kern w:val="24"/>
                            <w:sz w:val="16"/>
                            <w:szCs w:val="16"/>
                          </w:rPr>
                          <w:t>El componente variable es calculado por la empresa mes a mes</w:t>
                        </w:r>
                      </w:p>
                    </w:txbxContent>
                  </v:textbox>
                </v:shape>
                <v:shape id="Conector recto de flecha 55" o:spid="_x0000_s1086" type="#_x0000_t32" style="position:absolute;left:27977;top:1922;width:29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" strokecolor="#5b9bd5 [3204]" strokeweight=".5pt">
                  <v:stroke endarrow="block" joinstyle="miter"/>
                </v:shape>
                <v:shape id="Conector recto de flecha 55" o:spid="_x0000_s1087" type="#_x0000_t32" style="position:absolute;left:28250;top:5402;width:29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" strokecolor="#5b9bd5 [3204]" strokeweight=".5pt">
                  <v:stroke endarrow="block" joinstyle="miter"/>
                </v:shape>
                <w10:anchorlock/>
              </v:group>
            </w:pict>
          </mc:Fallback>
        </mc:AlternateContent>
      </w:r>
    </w:p>
    <w:p w14:paraId="3554015E" w14:textId="6EC5454D" w:rsidR="00656615" w:rsidRPr="00A80B42" w:rsidRDefault="00656615" w:rsidP="002F1961">
      <w:pPr>
        <w:spacing w:before="100" w:beforeAutospacing="1" w:after="100" w:afterAutospacing="1" w:line="360" w:lineRule="auto"/>
        <w:jc w:val="center"/>
        <w:rPr>
          <w:sz w:val="22"/>
          <w:szCs w:val="22"/>
          <w:lang w:val="es-CO"/>
        </w:rPr>
      </w:pPr>
      <w:r w:rsidRPr="00A80B42">
        <w:rPr>
          <w:sz w:val="22"/>
          <w:szCs w:val="22"/>
          <w:lang w:val="es-CO"/>
        </w:rPr>
        <w:t>Elaboración: CREG</w:t>
      </w:r>
    </w:p>
    <w:p w14:paraId="67563E44" w14:textId="3705A085" w:rsidR="00F812F4" w:rsidRDefault="00781BFE" w:rsidP="002F1961">
      <w:pPr>
        <w:spacing w:before="100" w:beforeAutospacing="1" w:after="100" w:afterAutospacing="1" w:line="360" w:lineRule="auto"/>
        <w:rPr>
          <w:szCs w:val="24"/>
          <w:lang w:val="es-CO"/>
        </w:rPr>
      </w:pPr>
      <w:r w:rsidRPr="00781BFE">
        <w:rPr>
          <w:szCs w:val="24"/>
          <w:lang w:val="es-CO"/>
        </w:rPr>
        <w:lastRenderedPageBreak/>
        <w:t>La metodología distingue entre un componente fijo y un componente variable, permitiendo reconocer de manera independiente los costos asociados a la gestión comercial y aquellos que dependen del volumen de gas comercializado</w:t>
      </w:r>
    </w:p>
    <w:p w14:paraId="7648E17B" w14:textId="66C4FE74" w:rsidR="00F812F4" w:rsidRDefault="00F812F4" w:rsidP="002F1961">
      <w:pPr>
        <w:keepNext/>
        <w:spacing w:before="100" w:beforeAutospacing="1" w:after="100" w:afterAutospacing="1" w:line="360" w:lineRule="auto"/>
        <w:jc w:val="center"/>
        <w:rPr>
          <w:szCs w:val="24"/>
          <w:lang w:val="es-CO"/>
        </w:rPr>
      </w:pPr>
      <w:bookmarkStart w:id="96" w:name="_Ref235109468"/>
      <w:bookmarkStart w:id="97" w:name="_Toc235118564"/>
      <w:r w:rsidRPr="00656615">
        <w:rPr>
          <w:lang w:val="es-ES"/>
        </w:rPr>
        <w:t xml:space="preserve">Figura </w:t>
      </w:r>
      <w:r w:rsidRPr="00656615">
        <w:rPr>
          <w:lang w:val="es-ES"/>
        </w:rPr>
        <w:fldChar w:fldCharType="begin"/>
      </w:r>
      <w:r w:rsidRPr="00656615">
        <w:rPr>
          <w:lang w:val="es-ES"/>
        </w:rPr>
        <w:instrText xml:space="preserve"> SEQ Figura \* ARABIC </w:instrText>
      </w:r>
      <w:r w:rsidRPr="00656615">
        <w:rPr>
          <w:lang w:val="es-ES"/>
        </w:rPr>
        <w:fldChar w:fldCharType="separate"/>
      </w:r>
      <w:r w:rsidR="00A80B42">
        <w:rPr>
          <w:noProof/>
          <w:lang w:val="es-ES"/>
        </w:rPr>
        <w:t>24</w:t>
      </w:r>
      <w:r w:rsidRPr="00656615">
        <w:rPr>
          <w:lang w:val="es-ES"/>
        </w:rPr>
        <w:fldChar w:fldCharType="end"/>
      </w:r>
      <w:bookmarkEnd w:id="96"/>
      <w:r w:rsidRPr="5FAE69B6">
        <w:rPr>
          <w:lang w:val="es-ES"/>
        </w:rPr>
        <w:t xml:space="preserve">. </w:t>
      </w:r>
      <w:r w:rsidR="00A43865" w:rsidRPr="00A43865">
        <w:rPr>
          <w:bCs/>
          <w:lang w:val="es-ES"/>
        </w:rPr>
        <w:t>Componentes del costo de comercialización</w:t>
      </w:r>
      <w:bookmarkEnd w:id="97"/>
    </w:p>
    <w:p w14:paraId="64FF13D5" w14:textId="5C4DFCD3" w:rsidR="00F812F4" w:rsidRDefault="00046F13" w:rsidP="002F1961">
      <w:pPr>
        <w:spacing w:before="100" w:beforeAutospacing="1" w:after="100" w:afterAutospacing="1" w:line="360" w:lineRule="auto"/>
        <w:rPr>
          <w:b/>
          <w:bCs/>
          <w:szCs w:val="24"/>
          <w:lang w:val="es-CO"/>
        </w:rPr>
      </w:pPr>
      <w:r w:rsidRPr="00B007D6">
        <w:rPr>
          <w:noProof/>
          <w:szCs w:val="24"/>
        </w:rPr>
        <mc:AlternateContent>
          <mc:Choice Requires="wpg">
            <w:drawing>
              <wp:inline distT="0" distB="0" distL="0" distR="0" wp14:anchorId="3763BF8A" wp14:editId="232FB624">
                <wp:extent cx="5974454" cy="2030753"/>
                <wp:effectExtent l="0" t="0" r="26670" b="26670"/>
                <wp:docPr id="27" name="Grupo 26">
                  <a:extLst xmlns:a="http://schemas.openxmlformats.org/drawingml/2006/main">
                    <a:ext uri="{FF2B5EF4-FFF2-40B4-BE49-F238E27FC236}">
                      <a16:creationId xmlns:a16="http://schemas.microsoft.com/office/drawing/2014/main" id="{8640EAFA-D2B9-172C-90DD-D33AD1D97CD4}"/>
                    </a:ext>
                  </a:extLst>
                </wp:docPr>
                <wp:cNvGraphicFramePr/>
                <a:graphic xmlns:a="http://schemas.openxmlformats.org/drawingml/2006/main">
                  <a:graphicData uri="http://schemas.microsoft.com/office/word/2010/wordprocessingGroup">
                    <wpg:wgp>
                      <wpg:cNvGrpSpPr/>
                      <wpg:grpSpPr>
                        <a:xfrm>
                          <a:off x="0" y="0"/>
                          <a:ext cx="5974454" cy="2030753"/>
                          <a:chOff x="0" y="0"/>
                          <a:chExt cx="10831550" cy="3908465"/>
                        </a:xfrm>
                      </wpg:grpSpPr>
                      <wps:wsp>
                        <wps:cNvPr id="949839178" name="Rectángulo 949839178">
                          <a:extLst>
                            <a:ext uri="{FF2B5EF4-FFF2-40B4-BE49-F238E27FC236}">
                              <a16:creationId xmlns:a16="http://schemas.microsoft.com/office/drawing/2014/main" id="{60E9B13A-3335-CD91-C1FB-E58B06D7FE2E}"/>
                            </a:ext>
                          </a:extLst>
                        </wps:cNvPr>
                        <wps:cNvSpPr/>
                        <wps:spPr>
                          <a:xfrm>
                            <a:off x="0" y="848243"/>
                            <a:ext cx="2477419" cy="1114417"/>
                          </a:xfrm>
                          <a:prstGeom prst="rect">
                            <a:avLst/>
                          </a:prstGeom>
                          <a:solidFill>
                            <a:schemeClr val="accent2">
                              <a:lumMod val="75000"/>
                            </a:schemeClr>
                          </a:solidFill>
                          <a:ln>
                            <a:solidFill>
                              <a:schemeClr val="accent2">
                                <a:lumMod val="75000"/>
                              </a:schemeClr>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9B63B5B" w14:textId="77777777" w:rsidR="00F812F4" w:rsidRPr="00C92D04" w:rsidRDefault="00F812F4" w:rsidP="00F812F4">
                              <w:pPr>
                                <w:jc w:val="center"/>
                                <w:rPr>
                                  <w:rFonts w:cs="Arial"/>
                                  <w:b/>
                                  <w:bCs/>
                                  <w:color w:val="FFFFFF" w:themeColor="light1"/>
                                  <w:kern w:val="24"/>
                                  <w:sz w:val="16"/>
                                  <w:szCs w:val="16"/>
                                </w:rPr>
                              </w:pPr>
                              <w:r w:rsidRPr="00C92D04">
                                <w:rPr>
                                  <w:rFonts w:cs="Arial"/>
                                  <w:b/>
                                  <w:bCs/>
                                  <w:color w:val="FFFFFF" w:themeColor="light1"/>
                                  <w:kern w:val="24"/>
                                  <w:sz w:val="16"/>
                                  <w:szCs w:val="16"/>
                                </w:rPr>
                                <w:t>COSTO DE COMERCIALIZACIÓN</w:t>
                              </w:r>
                            </w:p>
                          </w:txbxContent>
                        </wps:txbx>
                        <wps:bodyPr rtlCol="0" anchor="ctr"/>
                      </wps:wsp>
                      <wps:wsp>
                        <wps:cNvPr id="1900918680" name="Rectángulo 1900918680">
                          <a:extLst>
                            <a:ext uri="{FF2B5EF4-FFF2-40B4-BE49-F238E27FC236}">
                              <a16:creationId xmlns:a16="http://schemas.microsoft.com/office/drawing/2014/main" id="{EB287C8A-FC80-2032-DB2E-B087D679BE22}"/>
                            </a:ext>
                          </a:extLst>
                        </wps:cNvPr>
                        <wps:cNvSpPr/>
                        <wps:spPr>
                          <a:xfrm>
                            <a:off x="2822052" y="200259"/>
                            <a:ext cx="2628736" cy="851727"/>
                          </a:xfrm>
                          <a:prstGeom prst="rect">
                            <a:avLst/>
                          </a:prstGeom>
                          <a:solidFill>
                            <a:schemeClr val="accent4"/>
                          </a:solidFill>
                          <a:ln>
                            <a:solidFill>
                              <a:schemeClr val="accent4"/>
                            </a:solidFill>
                          </a:ln>
                        </wps:spPr>
                        <wps:style>
                          <a:lnRef idx="1">
                            <a:schemeClr val="accent1"/>
                          </a:lnRef>
                          <a:fillRef idx="3">
                            <a:schemeClr val="accent1"/>
                          </a:fillRef>
                          <a:effectRef idx="2">
                            <a:schemeClr val="accent1"/>
                          </a:effectRef>
                          <a:fontRef idx="minor">
                            <a:schemeClr val="lt1"/>
                          </a:fontRef>
                        </wps:style>
                        <wps:txbx>
                          <w:txbxContent>
                            <w:p w14:paraId="3F100200" w14:textId="77777777" w:rsidR="00F812F4" w:rsidRPr="00C92D04" w:rsidRDefault="00F812F4" w:rsidP="00F812F4">
                              <w:pPr>
                                <w:jc w:val="center"/>
                                <w:rPr>
                                  <w:rFonts w:cs="Arial"/>
                                  <w:b/>
                                  <w:bCs/>
                                  <w:color w:val="FFFFFF" w:themeColor="background1"/>
                                  <w:kern w:val="24"/>
                                  <w:sz w:val="16"/>
                                  <w:szCs w:val="16"/>
                                </w:rPr>
                              </w:pPr>
                              <w:r w:rsidRPr="00C92D04">
                                <w:rPr>
                                  <w:rFonts w:cs="Arial"/>
                                  <w:b/>
                                  <w:bCs/>
                                  <w:color w:val="FFFFFF" w:themeColor="background1"/>
                                  <w:kern w:val="24"/>
                                  <w:sz w:val="16"/>
                                  <w:szCs w:val="16"/>
                                </w:rPr>
                                <w:t>Componente fijo</w:t>
                              </w:r>
                            </w:p>
                            <w:p w14:paraId="6429A213" w14:textId="77777777" w:rsidR="00F812F4" w:rsidRPr="00C92D04" w:rsidRDefault="00F812F4" w:rsidP="00F812F4">
                              <w:pPr>
                                <w:jc w:val="center"/>
                                <w:rPr>
                                  <w:rFonts w:cs="Arial"/>
                                  <w:b/>
                                  <w:bCs/>
                                  <w:color w:val="FFFFFF" w:themeColor="background1"/>
                                  <w:kern w:val="24"/>
                                  <w:sz w:val="16"/>
                                  <w:szCs w:val="16"/>
                                </w:rPr>
                              </w:pPr>
                              <w:r w:rsidRPr="00C92D04">
                                <w:rPr>
                                  <w:rFonts w:cs="Arial"/>
                                  <w:b/>
                                  <w:bCs/>
                                  <w:color w:val="FFFFFF" w:themeColor="background1"/>
                                  <w:kern w:val="24"/>
                                  <w:sz w:val="16"/>
                                  <w:szCs w:val="16"/>
                                </w:rPr>
                                <w:t>[$/factura]</w:t>
                              </w:r>
                            </w:p>
                          </w:txbxContent>
                        </wps:txbx>
                        <wps:bodyPr rtlCol="0" anchor="ctr"/>
                      </wps:wsp>
                      <wps:wsp>
                        <wps:cNvPr id="1366584991" name="Rectángulo 1366584991">
                          <a:extLst>
                            <a:ext uri="{FF2B5EF4-FFF2-40B4-BE49-F238E27FC236}">
                              <a16:creationId xmlns:a16="http://schemas.microsoft.com/office/drawing/2014/main" id="{1D16C444-8E74-F28D-0ADF-8435B2FFC087}"/>
                            </a:ext>
                          </a:extLst>
                        </wps:cNvPr>
                        <wps:cNvSpPr/>
                        <wps:spPr>
                          <a:xfrm>
                            <a:off x="2821960" y="1697458"/>
                            <a:ext cx="2628736" cy="1018864"/>
                          </a:xfrm>
                          <a:prstGeom prst="rect">
                            <a:avLst/>
                          </a:prstGeom>
                          <a:solidFill>
                            <a:schemeClr val="accent6"/>
                          </a:solidFill>
                          <a:ln>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txbx>
                          <w:txbxContent>
                            <w:p w14:paraId="2C3B9835" w14:textId="77777777" w:rsidR="00F812F4" w:rsidRPr="00C92D04" w:rsidRDefault="00F812F4" w:rsidP="00F812F4">
                              <w:pPr>
                                <w:jc w:val="center"/>
                                <w:rPr>
                                  <w:rFonts w:cs="Arial"/>
                                  <w:b/>
                                  <w:bCs/>
                                  <w:color w:val="FFFFFF" w:themeColor="background1"/>
                                  <w:kern w:val="24"/>
                                  <w:sz w:val="16"/>
                                  <w:szCs w:val="16"/>
                                </w:rPr>
                              </w:pPr>
                              <w:r w:rsidRPr="00C92D04">
                                <w:rPr>
                                  <w:rFonts w:cs="Arial"/>
                                  <w:b/>
                                  <w:bCs/>
                                  <w:color w:val="FFFFFF" w:themeColor="background1"/>
                                  <w:kern w:val="24"/>
                                  <w:sz w:val="16"/>
                                  <w:szCs w:val="16"/>
                                </w:rPr>
                                <w:t>Componente variable</w:t>
                              </w:r>
                            </w:p>
                            <w:p w14:paraId="054AF2EA" w14:textId="77777777" w:rsidR="00F812F4" w:rsidRPr="00C92D04" w:rsidRDefault="00F812F4" w:rsidP="00F812F4">
                              <w:pPr>
                                <w:jc w:val="center"/>
                                <w:rPr>
                                  <w:rFonts w:cs="Arial"/>
                                  <w:b/>
                                  <w:bCs/>
                                  <w:color w:val="FFFFFF" w:themeColor="background1"/>
                                  <w:kern w:val="24"/>
                                  <w:sz w:val="16"/>
                                  <w:szCs w:val="16"/>
                                </w:rPr>
                              </w:pPr>
                              <w:r w:rsidRPr="00C92D04">
                                <w:rPr>
                                  <w:rFonts w:cs="Arial"/>
                                  <w:b/>
                                  <w:bCs/>
                                  <w:color w:val="FFFFFF" w:themeColor="background1"/>
                                  <w:kern w:val="24"/>
                                  <w:sz w:val="16"/>
                                  <w:szCs w:val="16"/>
                                </w:rPr>
                                <w:t>[$/m³]</w:t>
                              </w:r>
                            </w:p>
                          </w:txbxContent>
                        </wps:txbx>
                        <wps:bodyPr rtlCol="0" anchor="ctr"/>
                      </wps:wsp>
                      <wps:wsp>
                        <wps:cNvPr id="92910267" name="Rectángulo 92910267">
                          <a:extLst>
                            <a:ext uri="{FF2B5EF4-FFF2-40B4-BE49-F238E27FC236}">
                              <a16:creationId xmlns:a16="http://schemas.microsoft.com/office/drawing/2014/main" id="{4C48D559-2FC4-07CD-80CB-7B58281ADDBC}"/>
                            </a:ext>
                          </a:extLst>
                        </wps:cNvPr>
                        <wps:cNvSpPr/>
                        <wps:spPr>
                          <a:xfrm>
                            <a:off x="5843395" y="0"/>
                            <a:ext cx="2470606" cy="432000"/>
                          </a:xfrm>
                          <a:prstGeom prst="rect">
                            <a:avLst/>
                          </a:prstGeom>
                          <a:solidFill>
                            <a:schemeClr val="accent4"/>
                          </a:solidFill>
                          <a:ln>
                            <a:solidFill>
                              <a:schemeClr val="accent4"/>
                            </a:solidFill>
                          </a:ln>
                        </wps:spPr>
                        <wps:style>
                          <a:lnRef idx="1">
                            <a:schemeClr val="accent1"/>
                          </a:lnRef>
                          <a:fillRef idx="3">
                            <a:schemeClr val="accent1"/>
                          </a:fillRef>
                          <a:effectRef idx="2">
                            <a:schemeClr val="accent1"/>
                          </a:effectRef>
                          <a:fontRef idx="minor">
                            <a:schemeClr val="lt1"/>
                          </a:fontRef>
                        </wps:style>
                        <wps:txbx>
                          <w:txbxContent>
                            <w:p w14:paraId="27559D54" w14:textId="77777777" w:rsidR="00F812F4" w:rsidRPr="00C92D04" w:rsidRDefault="00F812F4" w:rsidP="00F812F4">
                              <w:pPr>
                                <w:jc w:val="center"/>
                                <w:rPr>
                                  <w:rFonts w:cs="Arial"/>
                                  <w:b/>
                                  <w:bCs/>
                                  <w:color w:val="FFFFFF" w:themeColor="background1"/>
                                  <w:kern w:val="24"/>
                                  <w:sz w:val="16"/>
                                  <w:szCs w:val="16"/>
                                </w:rPr>
                              </w:pPr>
                              <w:r w:rsidRPr="00C92D04">
                                <w:rPr>
                                  <w:rFonts w:cs="Arial"/>
                                  <w:b/>
                                  <w:bCs/>
                                  <w:color w:val="FFFFFF" w:themeColor="background1"/>
                                  <w:kern w:val="24"/>
                                  <w:sz w:val="16"/>
                                  <w:szCs w:val="16"/>
                                </w:rPr>
                                <w:t>Inversiones</w:t>
                              </w:r>
                            </w:p>
                          </w:txbxContent>
                        </wps:txbx>
                        <wps:bodyPr rtlCol="0" anchor="ctr"/>
                      </wps:wsp>
                      <wps:wsp>
                        <wps:cNvPr id="1983164283" name="Rectángulo 1983164283">
                          <a:extLst>
                            <a:ext uri="{FF2B5EF4-FFF2-40B4-BE49-F238E27FC236}">
                              <a16:creationId xmlns:a16="http://schemas.microsoft.com/office/drawing/2014/main" id="{83A02FF9-BCFA-3914-2975-A41CC6F4BF58}"/>
                            </a:ext>
                          </a:extLst>
                        </wps:cNvPr>
                        <wps:cNvSpPr/>
                        <wps:spPr>
                          <a:xfrm>
                            <a:off x="5843394" y="576112"/>
                            <a:ext cx="2470607" cy="432000"/>
                          </a:xfrm>
                          <a:prstGeom prst="rect">
                            <a:avLst/>
                          </a:prstGeom>
                          <a:solidFill>
                            <a:schemeClr val="accent4"/>
                          </a:solidFill>
                          <a:ln>
                            <a:solidFill>
                              <a:schemeClr val="accent4"/>
                            </a:solidFill>
                          </a:ln>
                        </wps:spPr>
                        <wps:style>
                          <a:lnRef idx="1">
                            <a:schemeClr val="accent1"/>
                          </a:lnRef>
                          <a:fillRef idx="3">
                            <a:schemeClr val="accent1"/>
                          </a:fillRef>
                          <a:effectRef idx="2">
                            <a:schemeClr val="accent1"/>
                          </a:effectRef>
                          <a:fontRef idx="minor">
                            <a:schemeClr val="lt1"/>
                          </a:fontRef>
                        </wps:style>
                        <wps:txbx>
                          <w:txbxContent>
                            <w:p w14:paraId="1A815A56" w14:textId="77777777" w:rsidR="00F812F4" w:rsidRPr="00C92D04" w:rsidRDefault="00F812F4" w:rsidP="00F812F4">
                              <w:pPr>
                                <w:jc w:val="center"/>
                                <w:rPr>
                                  <w:rFonts w:cs="Arial"/>
                                  <w:b/>
                                  <w:bCs/>
                                  <w:color w:val="FFFFFF" w:themeColor="background1"/>
                                  <w:kern w:val="24"/>
                                  <w:sz w:val="16"/>
                                  <w:szCs w:val="16"/>
                                </w:rPr>
                              </w:pPr>
                              <w:r w:rsidRPr="00C92D04">
                                <w:rPr>
                                  <w:rFonts w:cs="Arial"/>
                                  <w:b/>
                                  <w:bCs/>
                                  <w:color w:val="FFFFFF" w:themeColor="background1"/>
                                  <w:kern w:val="24"/>
                                  <w:sz w:val="16"/>
                                  <w:szCs w:val="16"/>
                                </w:rPr>
                                <w:t>Gastos de AOM</w:t>
                              </w:r>
                            </w:p>
                          </w:txbxContent>
                        </wps:txbx>
                        <wps:bodyPr rtlCol="0" anchor="ctr"/>
                      </wps:wsp>
                      <wps:wsp>
                        <wps:cNvPr id="1558259174" name="Rectángulo 1558259174">
                          <a:extLst>
                            <a:ext uri="{FF2B5EF4-FFF2-40B4-BE49-F238E27FC236}">
                              <a16:creationId xmlns:a16="http://schemas.microsoft.com/office/drawing/2014/main" id="{D47C0FFD-DC8B-FB1B-D243-B2B91E924B9F}"/>
                            </a:ext>
                          </a:extLst>
                        </wps:cNvPr>
                        <wps:cNvSpPr/>
                        <wps:spPr>
                          <a:xfrm>
                            <a:off x="5843395" y="1228625"/>
                            <a:ext cx="2470608" cy="432000"/>
                          </a:xfrm>
                          <a:prstGeom prst="rect">
                            <a:avLst/>
                          </a:prstGeom>
                          <a:solidFill>
                            <a:schemeClr val="accent6"/>
                          </a:solidFill>
                          <a:ln>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txbx>
                          <w:txbxContent>
                            <w:p w14:paraId="6F735F45" w14:textId="77777777" w:rsidR="00F812F4" w:rsidRPr="00C92D04" w:rsidRDefault="00F812F4" w:rsidP="00F812F4">
                              <w:pPr>
                                <w:jc w:val="center"/>
                                <w:rPr>
                                  <w:rFonts w:cs="Arial"/>
                                  <w:b/>
                                  <w:bCs/>
                                  <w:color w:val="FFFFFF" w:themeColor="background1"/>
                                  <w:kern w:val="24"/>
                                  <w:sz w:val="16"/>
                                  <w:szCs w:val="16"/>
                                </w:rPr>
                              </w:pPr>
                              <w:r w:rsidRPr="00C92D04">
                                <w:rPr>
                                  <w:rFonts w:cs="Arial"/>
                                  <w:b/>
                                  <w:bCs/>
                                  <w:color w:val="FFFFFF" w:themeColor="background1"/>
                                  <w:kern w:val="24"/>
                                  <w:sz w:val="16"/>
                                  <w:szCs w:val="16"/>
                                </w:rPr>
                                <w:t>Margen operacional</w:t>
                              </w:r>
                            </w:p>
                          </w:txbxContent>
                        </wps:txbx>
                        <wps:bodyPr rtlCol="0" anchor="ctr"/>
                      </wps:wsp>
                      <wps:wsp>
                        <wps:cNvPr id="774417743" name="Rectángulo 774417743">
                          <a:extLst>
                            <a:ext uri="{FF2B5EF4-FFF2-40B4-BE49-F238E27FC236}">
                              <a16:creationId xmlns:a16="http://schemas.microsoft.com/office/drawing/2014/main" id="{B35F38B0-E72F-FC6A-DAE6-A52DE9C48DE0}"/>
                            </a:ext>
                          </a:extLst>
                        </wps:cNvPr>
                        <wps:cNvSpPr/>
                        <wps:spPr>
                          <a:xfrm>
                            <a:off x="5843394" y="1803833"/>
                            <a:ext cx="2470608" cy="432000"/>
                          </a:xfrm>
                          <a:prstGeom prst="rect">
                            <a:avLst/>
                          </a:prstGeom>
                          <a:solidFill>
                            <a:schemeClr val="accent6"/>
                          </a:solidFill>
                          <a:ln>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txbx>
                          <w:txbxContent>
                            <w:p w14:paraId="381AC597" w14:textId="77777777" w:rsidR="00F812F4" w:rsidRPr="00C92D04" w:rsidRDefault="00F812F4" w:rsidP="00F812F4">
                              <w:pPr>
                                <w:jc w:val="center"/>
                                <w:rPr>
                                  <w:rFonts w:cs="Arial"/>
                                  <w:b/>
                                  <w:bCs/>
                                  <w:color w:val="FFFFFF" w:themeColor="background1"/>
                                  <w:kern w:val="24"/>
                                  <w:sz w:val="16"/>
                                  <w:szCs w:val="16"/>
                                </w:rPr>
                              </w:pPr>
                              <w:r w:rsidRPr="00C92D04">
                                <w:rPr>
                                  <w:rFonts w:cs="Arial"/>
                                  <w:b/>
                                  <w:bCs/>
                                  <w:color w:val="FFFFFF" w:themeColor="background1"/>
                                  <w:kern w:val="24"/>
                                  <w:sz w:val="16"/>
                                  <w:szCs w:val="16"/>
                                </w:rPr>
                                <w:t>Riesgo de cartera</w:t>
                              </w:r>
                            </w:p>
                          </w:txbxContent>
                        </wps:txbx>
                        <wps:bodyPr rtlCol="0" anchor="ctr"/>
                      </wps:wsp>
                      <wps:wsp>
                        <wps:cNvPr id="140447789" name="Rectángulo 140447789">
                          <a:extLst>
                            <a:ext uri="{FF2B5EF4-FFF2-40B4-BE49-F238E27FC236}">
                              <a16:creationId xmlns:a16="http://schemas.microsoft.com/office/drawing/2014/main" id="{B98464F5-34B5-E73D-2EC0-194F5DB692F5}"/>
                            </a:ext>
                          </a:extLst>
                        </wps:cNvPr>
                        <wps:cNvSpPr/>
                        <wps:spPr>
                          <a:xfrm>
                            <a:off x="5843394" y="2363581"/>
                            <a:ext cx="2470611" cy="432000"/>
                          </a:xfrm>
                          <a:prstGeom prst="rect">
                            <a:avLst/>
                          </a:prstGeom>
                          <a:solidFill>
                            <a:schemeClr val="accent6"/>
                          </a:solidFill>
                          <a:ln>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txbx>
                          <w:txbxContent>
                            <w:p w14:paraId="761AFE81" w14:textId="77777777" w:rsidR="00F812F4" w:rsidRPr="00C92D04" w:rsidRDefault="00F812F4" w:rsidP="00F812F4">
                              <w:pPr>
                                <w:jc w:val="center"/>
                                <w:rPr>
                                  <w:rFonts w:cs="Arial"/>
                                  <w:b/>
                                  <w:bCs/>
                                  <w:color w:val="FFFFFF" w:themeColor="background1"/>
                                  <w:kern w:val="24"/>
                                  <w:sz w:val="16"/>
                                  <w:szCs w:val="16"/>
                                </w:rPr>
                              </w:pPr>
                              <w:r w:rsidRPr="00C92D04">
                                <w:rPr>
                                  <w:rFonts w:cs="Arial"/>
                                  <w:b/>
                                  <w:bCs/>
                                  <w:color w:val="FFFFFF" w:themeColor="background1"/>
                                  <w:kern w:val="24"/>
                                  <w:sz w:val="16"/>
                                  <w:szCs w:val="16"/>
                                </w:rPr>
                                <w:t>Costos financieros</w:t>
                              </w:r>
                            </w:p>
                          </w:txbxContent>
                        </wps:txbx>
                        <wps:bodyPr rtlCol="0" anchor="ctr"/>
                      </wps:wsp>
                      <wps:wsp>
                        <wps:cNvPr id="1808564287" name="Rectángulo 1808564287">
                          <a:extLst>
                            <a:ext uri="{FF2B5EF4-FFF2-40B4-BE49-F238E27FC236}">
                              <a16:creationId xmlns:a16="http://schemas.microsoft.com/office/drawing/2014/main" id="{C9677ED6-00C1-68FC-A652-201B332578DD}"/>
                            </a:ext>
                          </a:extLst>
                        </wps:cNvPr>
                        <wps:cNvSpPr/>
                        <wps:spPr>
                          <a:xfrm>
                            <a:off x="8655930" y="2056868"/>
                            <a:ext cx="2175620" cy="452881"/>
                          </a:xfrm>
                          <a:prstGeom prst="rect">
                            <a:avLst/>
                          </a:prstGeom>
                          <a:noFill/>
                          <a:ln>
                            <a:solidFill>
                              <a:srgbClr val="4F4E4E"/>
                            </a:solidFill>
                          </a:ln>
                        </wps:spPr>
                        <wps:style>
                          <a:lnRef idx="1">
                            <a:schemeClr val="accent1"/>
                          </a:lnRef>
                          <a:fillRef idx="3">
                            <a:schemeClr val="accent1"/>
                          </a:fillRef>
                          <a:effectRef idx="2">
                            <a:schemeClr val="accent1"/>
                          </a:effectRef>
                          <a:fontRef idx="minor">
                            <a:schemeClr val="lt1"/>
                          </a:fontRef>
                        </wps:style>
                        <wps:txbx>
                          <w:txbxContent>
                            <w:p w14:paraId="04A2941A" w14:textId="77777777" w:rsidR="00F812F4" w:rsidRPr="00C92D04" w:rsidRDefault="00F812F4" w:rsidP="00F812F4">
                              <w:pPr>
                                <w:jc w:val="center"/>
                                <w:rPr>
                                  <w:rFonts w:cs="Arial"/>
                                  <w:b/>
                                  <w:bCs/>
                                  <w:color w:val="4F4E4E"/>
                                  <w:kern w:val="24"/>
                                  <w:sz w:val="16"/>
                                  <w:szCs w:val="16"/>
                                </w:rPr>
                              </w:pPr>
                              <w:r w:rsidRPr="00C92D04">
                                <w:rPr>
                                  <w:rFonts w:cs="Arial"/>
                                  <w:b/>
                                  <w:bCs/>
                                  <w:color w:val="4F4E4E"/>
                                  <w:kern w:val="24"/>
                                  <w:sz w:val="16"/>
                                  <w:szCs w:val="16"/>
                                </w:rPr>
                                <w:t>Ciclo de efectivo</w:t>
                              </w:r>
                            </w:p>
                          </w:txbxContent>
                        </wps:txbx>
                        <wps:bodyPr rtlCol="0" anchor="ctr"/>
                      </wps:wsp>
                      <wps:wsp>
                        <wps:cNvPr id="1332510160" name="Rectángulo 1332510160">
                          <a:extLst>
                            <a:ext uri="{FF2B5EF4-FFF2-40B4-BE49-F238E27FC236}">
                              <a16:creationId xmlns:a16="http://schemas.microsoft.com/office/drawing/2014/main" id="{E36FC396-8689-614E-FEF0-C78E3267969F}"/>
                            </a:ext>
                          </a:extLst>
                        </wps:cNvPr>
                        <wps:cNvSpPr/>
                        <wps:spPr>
                          <a:xfrm>
                            <a:off x="8658680" y="2637448"/>
                            <a:ext cx="1910662" cy="471408"/>
                          </a:xfrm>
                          <a:prstGeom prst="rect">
                            <a:avLst/>
                          </a:prstGeom>
                          <a:noFill/>
                          <a:ln>
                            <a:solidFill>
                              <a:srgbClr val="4F4E4E"/>
                            </a:solidFill>
                          </a:ln>
                        </wps:spPr>
                        <wps:style>
                          <a:lnRef idx="1">
                            <a:schemeClr val="accent1"/>
                          </a:lnRef>
                          <a:fillRef idx="3">
                            <a:schemeClr val="accent1"/>
                          </a:fillRef>
                          <a:effectRef idx="2">
                            <a:schemeClr val="accent1"/>
                          </a:effectRef>
                          <a:fontRef idx="minor">
                            <a:schemeClr val="lt1"/>
                          </a:fontRef>
                        </wps:style>
                        <wps:txbx>
                          <w:txbxContent>
                            <w:p w14:paraId="6C185906" w14:textId="77777777" w:rsidR="00F812F4" w:rsidRPr="00C92D04" w:rsidRDefault="00F812F4" w:rsidP="00F812F4">
                              <w:pPr>
                                <w:jc w:val="center"/>
                                <w:rPr>
                                  <w:rFonts w:cs="Arial"/>
                                  <w:b/>
                                  <w:bCs/>
                                  <w:color w:val="4F4E4E"/>
                                  <w:kern w:val="24"/>
                                  <w:sz w:val="16"/>
                                  <w:szCs w:val="16"/>
                                </w:rPr>
                              </w:pPr>
                              <w:r w:rsidRPr="00C92D04">
                                <w:rPr>
                                  <w:rFonts w:cs="Arial"/>
                                  <w:b/>
                                  <w:bCs/>
                                  <w:color w:val="4F4E4E"/>
                                  <w:kern w:val="24"/>
                                  <w:sz w:val="16"/>
                                  <w:szCs w:val="16"/>
                                </w:rPr>
                                <w:t>Subsidios</w:t>
                              </w:r>
                            </w:p>
                          </w:txbxContent>
                        </wps:txbx>
                        <wps:bodyPr rtlCol="0" anchor="ctr"/>
                      </wps:wsp>
                      <wps:wsp>
                        <wps:cNvPr id="83473870" name="Conector: angular 83473870">
                          <a:extLst>
                            <a:ext uri="{FF2B5EF4-FFF2-40B4-BE49-F238E27FC236}">
                              <a16:creationId xmlns:a16="http://schemas.microsoft.com/office/drawing/2014/main" id="{A66F82E7-39A3-F8E5-D79A-FD002B2EA931}"/>
                            </a:ext>
                          </a:extLst>
                        </wps:cNvPr>
                        <wps:cNvCnPr>
                          <a:cxnSpLocks/>
                          <a:stCxn id="949839178" idx="3"/>
                          <a:endCxn id="1366584991" idx="1"/>
                        </wps:cNvCnPr>
                        <wps:spPr>
                          <a:xfrm>
                            <a:off x="2477339" y="1405453"/>
                            <a:ext cx="344621" cy="801438"/>
                          </a:xfrm>
                          <a:prstGeom prst="bentConnector3">
                            <a:avLst/>
                          </a:prstGeom>
                          <a:ln>
                            <a:solidFill>
                              <a:srgbClr val="4F4E4E"/>
                            </a:solidFill>
                          </a:ln>
                        </wps:spPr>
                        <wps:style>
                          <a:lnRef idx="1">
                            <a:schemeClr val="accent1"/>
                          </a:lnRef>
                          <a:fillRef idx="0">
                            <a:schemeClr val="accent1"/>
                          </a:fillRef>
                          <a:effectRef idx="0">
                            <a:schemeClr val="accent1"/>
                          </a:effectRef>
                          <a:fontRef idx="minor">
                            <a:schemeClr val="tx1"/>
                          </a:fontRef>
                        </wps:style>
                        <wps:bodyPr/>
                      </wps:wsp>
                      <wps:wsp>
                        <wps:cNvPr id="1501354393" name="Conector: angular 1501354393">
                          <a:extLst>
                            <a:ext uri="{FF2B5EF4-FFF2-40B4-BE49-F238E27FC236}">
                              <a16:creationId xmlns:a16="http://schemas.microsoft.com/office/drawing/2014/main" id="{FB008BBD-A4FD-1F40-C73E-D6DADB7B5C46}"/>
                            </a:ext>
                          </a:extLst>
                        </wps:cNvPr>
                        <wps:cNvCnPr>
                          <a:cxnSpLocks/>
                          <a:stCxn id="949839178" idx="3"/>
                          <a:endCxn id="1900918680" idx="1"/>
                        </wps:cNvCnPr>
                        <wps:spPr>
                          <a:xfrm flipV="1">
                            <a:off x="2477339" y="626123"/>
                            <a:ext cx="344713" cy="779330"/>
                          </a:xfrm>
                          <a:prstGeom prst="bentConnector3">
                            <a:avLst/>
                          </a:prstGeom>
                          <a:ln>
                            <a:solidFill>
                              <a:srgbClr val="4F4E4E"/>
                            </a:solidFill>
                          </a:ln>
                        </wps:spPr>
                        <wps:style>
                          <a:lnRef idx="1">
                            <a:schemeClr val="accent1"/>
                          </a:lnRef>
                          <a:fillRef idx="0">
                            <a:schemeClr val="accent1"/>
                          </a:fillRef>
                          <a:effectRef idx="0">
                            <a:schemeClr val="accent1"/>
                          </a:effectRef>
                          <a:fontRef idx="minor">
                            <a:schemeClr val="tx1"/>
                          </a:fontRef>
                        </wps:style>
                        <wps:bodyPr/>
                      </wps:wsp>
                      <wps:wsp>
                        <wps:cNvPr id="2102629508" name="Conector: angular 2102629508">
                          <a:extLst>
                            <a:ext uri="{FF2B5EF4-FFF2-40B4-BE49-F238E27FC236}">
                              <a16:creationId xmlns:a16="http://schemas.microsoft.com/office/drawing/2014/main" id="{DD030EE2-329A-C30D-30C3-95E42BFB0AD5}"/>
                            </a:ext>
                          </a:extLst>
                        </wps:cNvPr>
                        <wps:cNvCnPr>
                          <a:cxnSpLocks/>
                          <a:stCxn id="1900918680" idx="3"/>
                          <a:endCxn id="92910267" idx="1"/>
                        </wps:cNvCnPr>
                        <wps:spPr>
                          <a:xfrm flipV="1">
                            <a:off x="5450701" y="216000"/>
                            <a:ext cx="392694" cy="410123"/>
                          </a:xfrm>
                          <a:prstGeom prst="bentConnector3">
                            <a:avLst/>
                          </a:prstGeom>
                          <a:ln>
                            <a:solidFill>
                              <a:srgbClr val="4F4E4E"/>
                            </a:solidFill>
                          </a:ln>
                        </wps:spPr>
                        <wps:style>
                          <a:lnRef idx="1">
                            <a:schemeClr val="accent1"/>
                          </a:lnRef>
                          <a:fillRef idx="0">
                            <a:schemeClr val="accent1"/>
                          </a:fillRef>
                          <a:effectRef idx="0">
                            <a:schemeClr val="accent1"/>
                          </a:effectRef>
                          <a:fontRef idx="minor">
                            <a:schemeClr val="tx1"/>
                          </a:fontRef>
                        </wps:style>
                        <wps:bodyPr/>
                      </wps:wsp>
                      <wps:wsp>
                        <wps:cNvPr id="1636082146" name="Conector: angular 1636082146">
                          <a:extLst>
                            <a:ext uri="{FF2B5EF4-FFF2-40B4-BE49-F238E27FC236}">
                              <a16:creationId xmlns:a16="http://schemas.microsoft.com/office/drawing/2014/main" id="{7E85F0CD-1EDE-80B1-0744-9C3F4F973E64}"/>
                            </a:ext>
                          </a:extLst>
                        </wps:cNvPr>
                        <wps:cNvCnPr>
                          <a:cxnSpLocks/>
                          <a:stCxn id="1366584991" idx="3"/>
                          <a:endCxn id="1558259174" idx="1"/>
                        </wps:cNvCnPr>
                        <wps:spPr>
                          <a:xfrm flipV="1">
                            <a:off x="5450609" y="1444624"/>
                            <a:ext cx="392786" cy="762267"/>
                          </a:xfrm>
                          <a:prstGeom prst="bentConnector3">
                            <a:avLst/>
                          </a:prstGeom>
                          <a:ln>
                            <a:solidFill>
                              <a:srgbClr val="4F4E4E"/>
                            </a:solidFill>
                          </a:ln>
                        </wps:spPr>
                        <wps:style>
                          <a:lnRef idx="1">
                            <a:schemeClr val="accent1"/>
                          </a:lnRef>
                          <a:fillRef idx="0">
                            <a:schemeClr val="accent1"/>
                          </a:fillRef>
                          <a:effectRef idx="0">
                            <a:schemeClr val="accent1"/>
                          </a:effectRef>
                          <a:fontRef idx="minor">
                            <a:schemeClr val="tx1"/>
                          </a:fontRef>
                        </wps:style>
                        <wps:bodyPr/>
                      </wps:wsp>
                      <wps:wsp>
                        <wps:cNvPr id="1261951882" name="Conector: angular 1261951882">
                          <a:extLst>
                            <a:ext uri="{FF2B5EF4-FFF2-40B4-BE49-F238E27FC236}">
                              <a16:creationId xmlns:a16="http://schemas.microsoft.com/office/drawing/2014/main" id="{3A7E8D53-2CFE-554A-6630-63454257B797}"/>
                            </a:ext>
                          </a:extLst>
                        </wps:cNvPr>
                        <wps:cNvCnPr>
                          <a:cxnSpLocks/>
                          <a:stCxn id="1366584991" idx="3"/>
                          <a:endCxn id="774417743" idx="1"/>
                        </wps:cNvCnPr>
                        <wps:spPr>
                          <a:xfrm flipV="1">
                            <a:off x="5450609" y="2019832"/>
                            <a:ext cx="392786" cy="187059"/>
                          </a:xfrm>
                          <a:prstGeom prst="bentConnector3">
                            <a:avLst/>
                          </a:prstGeom>
                          <a:ln>
                            <a:solidFill>
                              <a:srgbClr val="4F4E4E"/>
                            </a:solidFill>
                          </a:ln>
                        </wps:spPr>
                        <wps:style>
                          <a:lnRef idx="1">
                            <a:schemeClr val="accent1"/>
                          </a:lnRef>
                          <a:fillRef idx="0">
                            <a:schemeClr val="accent1"/>
                          </a:fillRef>
                          <a:effectRef idx="0">
                            <a:schemeClr val="accent1"/>
                          </a:effectRef>
                          <a:fontRef idx="minor">
                            <a:schemeClr val="tx1"/>
                          </a:fontRef>
                        </wps:style>
                        <wps:bodyPr/>
                      </wps:wsp>
                      <wps:wsp>
                        <wps:cNvPr id="1371834766" name="Conector: angular 1371834766">
                          <a:extLst>
                            <a:ext uri="{FF2B5EF4-FFF2-40B4-BE49-F238E27FC236}">
                              <a16:creationId xmlns:a16="http://schemas.microsoft.com/office/drawing/2014/main" id="{03EB944C-79E1-13FA-AA31-2FF5C34FC162}"/>
                            </a:ext>
                          </a:extLst>
                        </wps:cNvPr>
                        <wps:cNvCnPr>
                          <a:cxnSpLocks/>
                          <a:stCxn id="1366584991" idx="3"/>
                          <a:endCxn id="140447789" idx="1"/>
                        </wps:cNvCnPr>
                        <wps:spPr>
                          <a:xfrm>
                            <a:off x="5450609" y="2206891"/>
                            <a:ext cx="392786" cy="372689"/>
                          </a:xfrm>
                          <a:prstGeom prst="bentConnector3">
                            <a:avLst/>
                          </a:prstGeom>
                          <a:ln>
                            <a:solidFill>
                              <a:srgbClr val="4F4E4E"/>
                            </a:solidFill>
                          </a:ln>
                        </wps:spPr>
                        <wps:style>
                          <a:lnRef idx="1">
                            <a:schemeClr val="accent1"/>
                          </a:lnRef>
                          <a:fillRef idx="0">
                            <a:schemeClr val="accent1"/>
                          </a:fillRef>
                          <a:effectRef idx="0">
                            <a:schemeClr val="accent1"/>
                          </a:effectRef>
                          <a:fontRef idx="minor">
                            <a:schemeClr val="tx1"/>
                          </a:fontRef>
                        </wps:style>
                        <wps:bodyPr/>
                      </wps:wsp>
                      <wps:wsp>
                        <wps:cNvPr id="94328114" name="Conector: angular 94328114">
                          <a:extLst>
                            <a:ext uri="{FF2B5EF4-FFF2-40B4-BE49-F238E27FC236}">
                              <a16:creationId xmlns:a16="http://schemas.microsoft.com/office/drawing/2014/main" id="{B77C43A1-48AF-E6BF-2744-A6EBFBADF263}"/>
                            </a:ext>
                          </a:extLst>
                        </wps:cNvPr>
                        <wps:cNvCnPr>
                          <a:cxnSpLocks/>
                          <a:stCxn id="140447789" idx="3"/>
                          <a:endCxn id="1808564287" idx="1"/>
                        </wps:cNvCnPr>
                        <wps:spPr>
                          <a:xfrm flipV="1">
                            <a:off x="8314005" y="2283310"/>
                            <a:ext cx="341925" cy="296270"/>
                          </a:xfrm>
                          <a:prstGeom prst="bentConnector3">
                            <a:avLst/>
                          </a:prstGeom>
                          <a:ln>
                            <a:solidFill>
                              <a:srgbClr val="4F4E4E"/>
                            </a:solidFill>
                          </a:ln>
                        </wps:spPr>
                        <wps:style>
                          <a:lnRef idx="1">
                            <a:schemeClr val="accent1"/>
                          </a:lnRef>
                          <a:fillRef idx="0">
                            <a:schemeClr val="accent1"/>
                          </a:fillRef>
                          <a:effectRef idx="0">
                            <a:schemeClr val="accent1"/>
                          </a:effectRef>
                          <a:fontRef idx="minor">
                            <a:schemeClr val="tx1"/>
                          </a:fontRef>
                        </wps:style>
                        <wps:bodyPr/>
                      </wps:wsp>
                      <wps:wsp>
                        <wps:cNvPr id="1331133130" name="Conector: angular 1331133130">
                          <a:extLst>
                            <a:ext uri="{FF2B5EF4-FFF2-40B4-BE49-F238E27FC236}">
                              <a16:creationId xmlns:a16="http://schemas.microsoft.com/office/drawing/2014/main" id="{1483EBDE-CD1A-BFE3-0D69-7D0D90AE3905}"/>
                            </a:ext>
                          </a:extLst>
                        </wps:cNvPr>
                        <wps:cNvCnPr>
                          <a:cxnSpLocks/>
                          <a:stCxn id="140447789" idx="3"/>
                          <a:endCxn id="1332510160" idx="1"/>
                        </wps:cNvCnPr>
                        <wps:spPr>
                          <a:xfrm>
                            <a:off x="8314005" y="2579580"/>
                            <a:ext cx="344675" cy="293574"/>
                          </a:xfrm>
                          <a:prstGeom prst="bentConnector3">
                            <a:avLst/>
                          </a:prstGeom>
                          <a:ln>
                            <a:solidFill>
                              <a:srgbClr val="4F4E4E"/>
                            </a:solidFill>
                          </a:ln>
                        </wps:spPr>
                        <wps:style>
                          <a:lnRef idx="1">
                            <a:schemeClr val="accent1"/>
                          </a:lnRef>
                          <a:fillRef idx="0">
                            <a:schemeClr val="accent1"/>
                          </a:fillRef>
                          <a:effectRef idx="0">
                            <a:schemeClr val="accent1"/>
                          </a:effectRef>
                          <a:fontRef idx="minor">
                            <a:schemeClr val="tx1"/>
                          </a:fontRef>
                        </wps:style>
                        <wps:bodyPr/>
                      </wps:wsp>
                      <wps:wsp>
                        <wps:cNvPr id="1952912174" name="Conector: angular 1952912174">
                          <a:extLst>
                            <a:ext uri="{FF2B5EF4-FFF2-40B4-BE49-F238E27FC236}">
                              <a16:creationId xmlns:a16="http://schemas.microsoft.com/office/drawing/2014/main" id="{1E1427B1-367E-2F83-B783-8D62F8A8078A}"/>
                            </a:ext>
                          </a:extLst>
                        </wps:cNvPr>
                        <wps:cNvCnPr>
                          <a:cxnSpLocks/>
                          <a:stCxn id="1900918680" idx="3"/>
                          <a:endCxn id="1983164283" idx="1"/>
                        </wps:cNvCnPr>
                        <wps:spPr>
                          <a:xfrm>
                            <a:off x="5450701" y="626123"/>
                            <a:ext cx="392694" cy="165989"/>
                          </a:xfrm>
                          <a:prstGeom prst="bentConnector3">
                            <a:avLst/>
                          </a:prstGeom>
                          <a:ln>
                            <a:solidFill>
                              <a:srgbClr val="4F4E4E"/>
                            </a:solidFill>
                          </a:ln>
                        </wps:spPr>
                        <wps:style>
                          <a:lnRef idx="1">
                            <a:schemeClr val="accent1"/>
                          </a:lnRef>
                          <a:fillRef idx="0">
                            <a:schemeClr val="accent1"/>
                          </a:fillRef>
                          <a:effectRef idx="0">
                            <a:schemeClr val="accent1"/>
                          </a:effectRef>
                          <a:fontRef idx="minor">
                            <a:schemeClr val="tx1"/>
                          </a:fontRef>
                        </wps:style>
                        <wps:bodyPr/>
                      </wps:wsp>
                      <wps:wsp>
                        <wps:cNvPr id="844615312" name="Rectángulo 844615312">
                          <a:extLst>
                            <a:ext uri="{FF2B5EF4-FFF2-40B4-BE49-F238E27FC236}">
                              <a16:creationId xmlns:a16="http://schemas.microsoft.com/office/drawing/2014/main" id="{C154D307-904B-A63D-040F-5F86AAAED6FB}"/>
                            </a:ext>
                          </a:extLst>
                        </wps:cNvPr>
                        <wps:cNvSpPr/>
                        <wps:spPr>
                          <a:xfrm>
                            <a:off x="5828079" y="2949391"/>
                            <a:ext cx="2485926" cy="432000"/>
                          </a:xfrm>
                          <a:prstGeom prst="rect">
                            <a:avLst/>
                          </a:prstGeom>
                          <a:solidFill>
                            <a:schemeClr val="accent6"/>
                          </a:solidFill>
                          <a:ln>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txbx>
                          <w:txbxContent>
                            <w:p w14:paraId="7D1C2221" w14:textId="77777777" w:rsidR="00F812F4" w:rsidRPr="00C92D04" w:rsidRDefault="00F812F4" w:rsidP="00F812F4">
                              <w:pPr>
                                <w:jc w:val="center"/>
                                <w:rPr>
                                  <w:rFonts w:cs="Arial"/>
                                  <w:b/>
                                  <w:bCs/>
                                  <w:color w:val="FFFFFF" w:themeColor="background1"/>
                                  <w:kern w:val="24"/>
                                  <w:sz w:val="16"/>
                                  <w:szCs w:val="16"/>
                                </w:rPr>
                              </w:pPr>
                              <w:r w:rsidRPr="00C92D04">
                                <w:rPr>
                                  <w:rFonts w:cs="Arial"/>
                                  <w:b/>
                                  <w:bCs/>
                                  <w:color w:val="FFFFFF" w:themeColor="background1"/>
                                  <w:kern w:val="24"/>
                                  <w:sz w:val="16"/>
                                  <w:szCs w:val="16"/>
                                </w:rPr>
                                <w:t>Contribución Adicional</w:t>
                              </w:r>
                            </w:p>
                          </w:txbxContent>
                        </wps:txbx>
                        <wps:bodyPr rtlCol="0" anchor="ctr"/>
                      </wps:wsp>
                      <wps:wsp>
                        <wps:cNvPr id="1750846634" name="Rectángulo 1750846634">
                          <a:extLst>
                            <a:ext uri="{FF2B5EF4-FFF2-40B4-BE49-F238E27FC236}">
                              <a16:creationId xmlns:a16="http://schemas.microsoft.com/office/drawing/2014/main" id="{716975E4-4800-D381-84DC-1100814EB26D}"/>
                            </a:ext>
                          </a:extLst>
                        </wps:cNvPr>
                        <wps:cNvSpPr/>
                        <wps:spPr>
                          <a:xfrm>
                            <a:off x="5828078" y="3476465"/>
                            <a:ext cx="2485925" cy="432000"/>
                          </a:xfrm>
                          <a:prstGeom prst="rect">
                            <a:avLst/>
                          </a:prstGeom>
                          <a:solidFill>
                            <a:schemeClr val="accent6"/>
                          </a:solidFill>
                          <a:ln>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txbx>
                          <w:txbxContent>
                            <w:p w14:paraId="3B563C02" w14:textId="77777777" w:rsidR="00F812F4" w:rsidRPr="00C92D04" w:rsidRDefault="00F812F4" w:rsidP="00F812F4">
                              <w:pPr>
                                <w:jc w:val="center"/>
                                <w:rPr>
                                  <w:rFonts w:cs="Arial"/>
                                  <w:b/>
                                  <w:bCs/>
                                  <w:color w:val="FFFFFF" w:themeColor="background1"/>
                                  <w:kern w:val="24"/>
                                  <w:sz w:val="16"/>
                                  <w:szCs w:val="16"/>
                                </w:rPr>
                              </w:pPr>
                              <w:r w:rsidRPr="00C92D04">
                                <w:rPr>
                                  <w:rFonts w:cs="Arial"/>
                                  <w:b/>
                                  <w:bCs/>
                                  <w:color w:val="FFFFFF" w:themeColor="background1"/>
                                  <w:kern w:val="24"/>
                                  <w:sz w:val="16"/>
                                  <w:szCs w:val="16"/>
                                </w:rPr>
                                <w:t>Impuestos Tasas Contribuciones</w:t>
                              </w:r>
                            </w:p>
                          </w:txbxContent>
                        </wps:txbx>
                        <wps:bodyPr rtlCol="0" anchor="ctr"/>
                      </wps:wsp>
                    </wpg:wgp>
                  </a:graphicData>
                </a:graphic>
              </wp:inline>
            </w:drawing>
          </mc:Choice>
          <mc:Fallback>
            <w:pict>
              <v:group w14:anchorId="3763BF8A" id="Grupo 26" o:spid="_x0000_s1088" style="width:470.45pt;height:159.9pt;mso-position-horizontal-relative:char;mso-position-vertical-relative:line" coordsize="108315,39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">
                <v:rect id="Rectángulo 949839178" o:spid="_x0000_s1089" style="position:absolute;top:8482;width:24774;height:11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" fillcolor="#c45911 [2405]" strokecolor="#c45911 [2405]" strokeweight="1pt">
                  <v:textbox>
                    <w:txbxContent>
                      <w:p w14:paraId="59B63B5B" w14:textId="77777777" w:rsidR="00F812F4" w:rsidRPr="00C92D04" w:rsidRDefault="00F812F4" w:rsidP="00F812F4">
                        <w:pPr>
                          <w:jc w:val="center"/>
                          <w:rPr>
                            <w:rFonts w:cs="Arial"/>
                            <w:b/>
                            <w:bCs/>
                            <w:color w:val="FFFFFF" w:themeColor="light1"/>
                            <w:kern w:val="24"/>
                            <w:sz w:val="16"/>
                            <w:szCs w:val="16"/>
                          </w:rPr>
                        </w:pPr>
                        <w:r w:rsidRPr="00C92D04">
                          <w:rPr>
                            <w:rFonts w:cs="Arial"/>
                            <w:b/>
                            <w:bCs/>
                            <w:color w:val="FFFFFF" w:themeColor="light1"/>
                            <w:kern w:val="24"/>
                            <w:sz w:val="16"/>
                            <w:szCs w:val="16"/>
                          </w:rPr>
                          <w:t>COSTO DE COMERCIALIZACIÓN</w:t>
                        </w:r>
                      </w:p>
                    </w:txbxContent>
                  </v:textbox>
                </v:rect>
                <v:rect id="Rectángulo 1900918680" o:spid="_x0000_s1090" style="position:absolute;left:28220;top:2002;width:26287;height:8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" fillcolor="#ffc000 [3207]" strokecolor="#ffc000 [3207]" strokeweight=".5pt">
                  <v:textbox>
                    <w:txbxContent>
                      <w:p w14:paraId="3F100200" w14:textId="77777777" w:rsidR="00F812F4" w:rsidRPr="00C92D04" w:rsidRDefault="00F812F4" w:rsidP="00F812F4">
                        <w:pPr>
                          <w:jc w:val="center"/>
                          <w:rPr>
                            <w:rFonts w:cs="Arial"/>
                            <w:b/>
                            <w:bCs/>
                            <w:color w:val="FFFFFF" w:themeColor="background1"/>
                            <w:kern w:val="24"/>
                            <w:sz w:val="16"/>
                            <w:szCs w:val="16"/>
                          </w:rPr>
                        </w:pPr>
                        <w:r w:rsidRPr="00C92D04">
                          <w:rPr>
                            <w:rFonts w:cs="Arial"/>
                            <w:b/>
                            <w:bCs/>
                            <w:color w:val="FFFFFF" w:themeColor="background1"/>
                            <w:kern w:val="24"/>
                            <w:sz w:val="16"/>
                            <w:szCs w:val="16"/>
                          </w:rPr>
                          <w:t>Componente fijo</w:t>
                        </w:r>
                      </w:p>
                      <w:p w14:paraId="6429A213" w14:textId="77777777" w:rsidR="00F812F4" w:rsidRPr="00C92D04" w:rsidRDefault="00F812F4" w:rsidP="00F812F4">
                        <w:pPr>
                          <w:jc w:val="center"/>
                          <w:rPr>
                            <w:rFonts w:cs="Arial"/>
                            <w:b/>
                            <w:bCs/>
                            <w:color w:val="FFFFFF" w:themeColor="background1"/>
                            <w:kern w:val="24"/>
                            <w:sz w:val="16"/>
                            <w:szCs w:val="16"/>
                          </w:rPr>
                        </w:pPr>
                        <w:r w:rsidRPr="00C92D04">
                          <w:rPr>
                            <w:rFonts w:cs="Arial"/>
                            <w:b/>
                            <w:bCs/>
                            <w:color w:val="FFFFFF" w:themeColor="background1"/>
                            <w:kern w:val="24"/>
                            <w:sz w:val="16"/>
                            <w:szCs w:val="16"/>
                          </w:rPr>
                          <w:t>[$/factura]</w:t>
                        </w:r>
                      </w:p>
                    </w:txbxContent>
                  </v:textbox>
                </v:rect>
                <v:rect id="Rectángulo 1366584991" o:spid="_x0000_s1091" style="position:absolute;left:28219;top:16974;width:26287;height:101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" fillcolor="#70ad47 [3209]" strokecolor="#a5a5a5 [2092]" strokeweight=".5pt">
                  <v:textbox>
                    <w:txbxContent>
                      <w:p w14:paraId="2C3B9835" w14:textId="77777777" w:rsidR="00F812F4" w:rsidRPr="00C92D04" w:rsidRDefault="00F812F4" w:rsidP="00F812F4">
                        <w:pPr>
                          <w:jc w:val="center"/>
                          <w:rPr>
                            <w:rFonts w:cs="Arial"/>
                            <w:b/>
                            <w:bCs/>
                            <w:color w:val="FFFFFF" w:themeColor="background1"/>
                            <w:kern w:val="24"/>
                            <w:sz w:val="16"/>
                            <w:szCs w:val="16"/>
                          </w:rPr>
                        </w:pPr>
                        <w:r w:rsidRPr="00C92D04">
                          <w:rPr>
                            <w:rFonts w:cs="Arial"/>
                            <w:b/>
                            <w:bCs/>
                            <w:color w:val="FFFFFF" w:themeColor="background1"/>
                            <w:kern w:val="24"/>
                            <w:sz w:val="16"/>
                            <w:szCs w:val="16"/>
                          </w:rPr>
                          <w:t>Componente variable</w:t>
                        </w:r>
                      </w:p>
                      <w:p w14:paraId="054AF2EA" w14:textId="77777777" w:rsidR="00F812F4" w:rsidRPr="00C92D04" w:rsidRDefault="00F812F4" w:rsidP="00F812F4">
                        <w:pPr>
                          <w:jc w:val="center"/>
                          <w:rPr>
                            <w:rFonts w:cs="Arial"/>
                            <w:b/>
                            <w:bCs/>
                            <w:color w:val="FFFFFF" w:themeColor="background1"/>
                            <w:kern w:val="24"/>
                            <w:sz w:val="16"/>
                            <w:szCs w:val="16"/>
                          </w:rPr>
                        </w:pPr>
                        <w:r w:rsidRPr="00C92D04">
                          <w:rPr>
                            <w:rFonts w:cs="Arial"/>
                            <w:b/>
                            <w:bCs/>
                            <w:color w:val="FFFFFF" w:themeColor="background1"/>
                            <w:kern w:val="24"/>
                            <w:sz w:val="16"/>
                            <w:szCs w:val="16"/>
                          </w:rPr>
                          <w:t>[$/m³]</w:t>
                        </w:r>
                      </w:p>
                    </w:txbxContent>
                  </v:textbox>
                </v:rect>
                <v:rect id="Rectángulo 92910267" o:spid="_x0000_s1092" style="position:absolute;left:58433;width:24707;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" fillcolor="#ffc000 [3207]" strokecolor="#ffc000 [3207]" strokeweight=".5pt">
                  <v:textbox>
                    <w:txbxContent>
                      <w:p w14:paraId="27559D54" w14:textId="77777777" w:rsidR="00F812F4" w:rsidRPr="00C92D04" w:rsidRDefault="00F812F4" w:rsidP="00F812F4">
                        <w:pPr>
                          <w:jc w:val="center"/>
                          <w:rPr>
                            <w:rFonts w:cs="Arial"/>
                            <w:b/>
                            <w:bCs/>
                            <w:color w:val="FFFFFF" w:themeColor="background1"/>
                            <w:kern w:val="24"/>
                            <w:sz w:val="16"/>
                            <w:szCs w:val="16"/>
                          </w:rPr>
                        </w:pPr>
                        <w:r w:rsidRPr="00C92D04">
                          <w:rPr>
                            <w:rFonts w:cs="Arial"/>
                            <w:b/>
                            <w:bCs/>
                            <w:color w:val="FFFFFF" w:themeColor="background1"/>
                            <w:kern w:val="24"/>
                            <w:sz w:val="16"/>
                            <w:szCs w:val="16"/>
                          </w:rPr>
                          <w:t>Inversiones</w:t>
                        </w:r>
                      </w:p>
                    </w:txbxContent>
                  </v:textbox>
                </v:rect>
                <v:rect id="Rectángulo 1983164283" o:spid="_x0000_s1093" style="position:absolute;left:58433;top:5761;width:24707;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" fillcolor="#ffc000 [3207]" strokecolor="#ffc000 [3207]" strokeweight=".5pt">
                  <v:textbox>
                    <w:txbxContent>
                      <w:p w14:paraId="1A815A56" w14:textId="77777777" w:rsidR="00F812F4" w:rsidRPr="00C92D04" w:rsidRDefault="00F812F4" w:rsidP="00F812F4">
                        <w:pPr>
                          <w:jc w:val="center"/>
                          <w:rPr>
                            <w:rFonts w:cs="Arial"/>
                            <w:b/>
                            <w:bCs/>
                            <w:color w:val="FFFFFF" w:themeColor="background1"/>
                            <w:kern w:val="24"/>
                            <w:sz w:val="16"/>
                            <w:szCs w:val="16"/>
                          </w:rPr>
                        </w:pPr>
                        <w:r w:rsidRPr="00C92D04">
                          <w:rPr>
                            <w:rFonts w:cs="Arial"/>
                            <w:b/>
                            <w:bCs/>
                            <w:color w:val="FFFFFF" w:themeColor="background1"/>
                            <w:kern w:val="24"/>
                            <w:sz w:val="16"/>
                            <w:szCs w:val="16"/>
                          </w:rPr>
                          <w:t>Gastos de AOM</w:t>
                        </w:r>
                      </w:p>
                    </w:txbxContent>
                  </v:textbox>
                </v:rect>
                <v:rect id="Rectángulo 1558259174" o:spid="_x0000_s1094" style="position:absolute;left:58433;top:12286;width:24707;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" fillcolor="#70ad47 [3209]" strokecolor="#a5a5a5 [2092]" strokeweight=".5pt">
                  <v:textbox>
                    <w:txbxContent>
                      <w:p w14:paraId="6F735F45" w14:textId="77777777" w:rsidR="00F812F4" w:rsidRPr="00C92D04" w:rsidRDefault="00F812F4" w:rsidP="00F812F4">
                        <w:pPr>
                          <w:jc w:val="center"/>
                          <w:rPr>
                            <w:rFonts w:cs="Arial"/>
                            <w:b/>
                            <w:bCs/>
                            <w:color w:val="FFFFFF" w:themeColor="background1"/>
                            <w:kern w:val="24"/>
                            <w:sz w:val="16"/>
                            <w:szCs w:val="16"/>
                          </w:rPr>
                        </w:pPr>
                        <w:r w:rsidRPr="00C92D04">
                          <w:rPr>
                            <w:rFonts w:cs="Arial"/>
                            <w:b/>
                            <w:bCs/>
                            <w:color w:val="FFFFFF" w:themeColor="background1"/>
                            <w:kern w:val="24"/>
                            <w:sz w:val="16"/>
                            <w:szCs w:val="16"/>
                          </w:rPr>
                          <w:t>Margen operacional</w:t>
                        </w:r>
                      </w:p>
                    </w:txbxContent>
                  </v:textbox>
                </v:rect>
                <v:rect id="Rectángulo 774417743" o:spid="_x0000_s1095" style="position:absolute;left:58433;top:18038;width:24707;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" fillcolor="#70ad47 [3209]" strokecolor="#a5a5a5 [2092]" strokeweight=".5pt">
                  <v:textbox>
                    <w:txbxContent>
                      <w:p w14:paraId="381AC597" w14:textId="77777777" w:rsidR="00F812F4" w:rsidRPr="00C92D04" w:rsidRDefault="00F812F4" w:rsidP="00F812F4">
                        <w:pPr>
                          <w:jc w:val="center"/>
                          <w:rPr>
                            <w:rFonts w:cs="Arial"/>
                            <w:b/>
                            <w:bCs/>
                            <w:color w:val="FFFFFF" w:themeColor="background1"/>
                            <w:kern w:val="24"/>
                            <w:sz w:val="16"/>
                            <w:szCs w:val="16"/>
                          </w:rPr>
                        </w:pPr>
                        <w:r w:rsidRPr="00C92D04">
                          <w:rPr>
                            <w:rFonts w:cs="Arial"/>
                            <w:b/>
                            <w:bCs/>
                            <w:color w:val="FFFFFF" w:themeColor="background1"/>
                            <w:kern w:val="24"/>
                            <w:sz w:val="16"/>
                            <w:szCs w:val="16"/>
                          </w:rPr>
                          <w:t>Riesgo de cartera</w:t>
                        </w:r>
                      </w:p>
                    </w:txbxContent>
                  </v:textbox>
                </v:rect>
                <v:rect id="Rectángulo 140447789" o:spid="_x0000_s1096" style="position:absolute;left:58433;top:23635;width:24707;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" fillcolor="#70ad47 [3209]" strokecolor="#a5a5a5 [2092]" strokeweight=".5pt">
                  <v:textbox>
                    <w:txbxContent>
                      <w:p w14:paraId="761AFE81" w14:textId="77777777" w:rsidR="00F812F4" w:rsidRPr="00C92D04" w:rsidRDefault="00F812F4" w:rsidP="00F812F4">
                        <w:pPr>
                          <w:jc w:val="center"/>
                          <w:rPr>
                            <w:rFonts w:cs="Arial"/>
                            <w:b/>
                            <w:bCs/>
                            <w:color w:val="FFFFFF" w:themeColor="background1"/>
                            <w:kern w:val="24"/>
                            <w:sz w:val="16"/>
                            <w:szCs w:val="16"/>
                          </w:rPr>
                        </w:pPr>
                        <w:r w:rsidRPr="00C92D04">
                          <w:rPr>
                            <w:rFonts w:cs="Arial"/>
                            <w:b/>
                            <w:bCs/>
                            <w:color w:val="FFFFFF" w:themeColor="background1"/>
                            <w:kern w:val="24"/>
                            <w:sz w:val="16"/>
                            <w:szCs w:val="16"/>
                          </w:rPr>
                          <w:t>Costos financieros</w:t>
                        </w:r>
                      </w:p>
                    </w:txbxContent>
                  </v:textbox>
                </v:rect>
                <v:rect id="Rectángulo 1808564287" o:spid="_x0000_s1097" style="position:absolute;left:86559;top:20568;width:21756;height:4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" filled="f" strokecolor="#4f4e4e" strokeweight=".5pt">
                  <v:textbox>
                    <w:txbxContent>
                      <w:p w14:paraId="04A2941A" w14:textId="77777777" w:rsidR="00F812F4" w:rsidRPr="00C92D04" w:rsidRDefault="00F812F4" w:rsidP="00F812F4">
                        <w:pPr>
                          <w:jc w:val="center"/>
                          <w:rPr>
                            <w:rFonts w:cs="Arial"/>
                            <w:b/>
                            <w:bCs/>
                            <w:color w:val="4F4E4E"/>
                            <w:kern w:val="24"/>
                            <w:sz w:val="16"/>
                            <w:szCs w:val="16"/>
                          </w:rPr>
                        </w:pPr>
                        <w:r w:rsidRPr="00C92D04">
                          <w:rPr>
                            <w:rFonts w:cs="Arial"/>
                            <w:b/>
                            <w:bCs/>
                            <w:color w:val="4F4E4E"/>
                            <w:kern w:val="24"/>
                            <w:sz w:val="16"/>
                            <w:szCs w:val="16"/>
                          </w:rPr>
                          <w:t>Ciclo de efectivo</w:t>
                        </w:r>
                      </w:p>
                    </w:txbxContent>
                  </v:textbox>
                </v:rect>
                <v:rect id="Rectángulo 1332510160" o:spid="_x0000_s1098" style="position:absolute;left:86586;top:26374;width:19107;height:4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" filled="f" strokecolor="#4f4e4e" strokeweight=".5pt">
                  <v:textbox>
                    <w:txbxContent>
                      <w:p w14:paraId="6C185906" w14:textId="77777777" w:rsidR="00F812F4" w:rsidRPr="00C92D04" w:rsidRDefault="00F812F4" w:rsidP="00F812F4">
                        <w:pPr>
                          <w:jc w:val="center"/>
                          <w:rPr>
                            <w:rFonts w:cs="Arial"/>
                            <w:b/>
                            <w:bCs/>
                            <w:color w:val="4F4E4E"/>
                            <w:kern w:val="24"/>
                            <w:sz w:val="16"/>
                            <w:szCs w:val="16"/>
                          </w:rPr>
                        </w:pPr>
                        <w:r w:rsidRPr="00C92D04">
                          <w:rPr>
                            <w:rFonts w:cs="Arial"/>
                            <w:b/>
                            <w:bCs/>
                            <w:color w:val="4F4E4E"/>
                            <w:kern w:val="24"/>
                            <w:sz w:val="16"/>
                            <w:szCs w:val="16"/>
                          </w:rPr>
                          <w:t>Subsidios</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83473870" o:spid="_x0000_s1099" type="#_x0000_t34" style="position:absolute;left:24773;top:14054;width:3446;height:801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" strokecolor="#4f4e4e" strokeweight=".5pt">
                  <o:lock v:ext="edit" shapetype="f"/>
                </v:shape>
                <v:shape id="Conector: angular 1501354393" o:spid="_x0000_s1100" type="#_x0000_t34" style="position:absolute;left:24773;top:6261;width:3447;height:779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" strokecolor="#4f4e4e" strokeweight=".5pt">
                  <o:lock v:ext="edit" shapetype="f"/>
                </v:shape>
                <v:shape id="Conector: angular 2102629508" o:spid="_x0000_s1101" type="#_x0000_t34" style="position:absolute;left:54507;top:2160;width:3926;height:410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" strokecolor="#4f4e4e" strokeweight=".5pt">
                  <o:lock v:ext="edit" shapetype="f"/>
                </v:shape>
                <v:shape id="Conector: angular 1636082146" o:spid="_x0000_s1102" type="#_x0000_t34" style="position:absolute;left:54506;top:14446;width:3927;height:762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" strokecolor="#4f4e4e" strokeweight=".5pt">
                  <o:lock v:ext="edit" shapetype="f"/>
                </v:shape>
                <v:shape id="Conector: angular 1261951882" o:spid="_x0000_s1103" type="#_x0000_t34" style="position:absolute;left:54506;top:20198;width:3927;height:187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" strokecolor="#4f4e4e" strokeweight=".5pt">
                  <o:lock v:ext="edit" shapetype="f"/>
                </v:shape>
                <v:shape id="Conector: angular 1371834766" o:spid="_x0000_s1104" type="#_x0000_t34" style="position:absolute;left:54506;top:22068;width:3927;height:372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" strokecolor="#4f4e4e" strokeweight=".5pt">
                  <o:lock v:ext="edit" shapetype="f"/>
                </v:shape>
                <v:shape id="Conector: angular 94328114" o:spid="_x0000_s1105" type="#_x0000_t34" style="position:absolute;left:83140;top:22833;width:3419;height:296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" strokecolor="#4f4e4e" strokeweight=".5pt">
                  <o:lock v:ext="edit" shapetype="f"/>
                </v:shape>
                <v:shape id="Conector: angular 1331133130" o:spid="_x0000_s1106" type="#_x0000_t34" style="position:absolute;left:83140;top:25795;width:3446;height:293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" strokecolor="#4f4e4e" strokeweight=".5pt">
                  <o:lock v:ext="edit" shapetype="f"/>
                </v:shape>
                <v:shape id="Conector: angular 1952912174" o:spid="_x0000_s1107" type="#_x0000_t34" style="position:absolute;left:54507;top:6261;width:3926;height:166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" strokecolor="#4f4e4e" strokeweight=".5pt">
                  <o:lock v:ext="edit" shapetype="f"/>
                </v:shape>
                <v:rect id="Rectángulo 844615312" o:spid="_x0000_s1108" style="position:absolute;left:58280;top:29493;width:2486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" fillcolor="#70ad47 [3209]" strokecolor="#a5a5a5 [2092]" strokeweight=".5pt">
                  <v:textbox>
                    <w:txbxContent>
                      <w:p w14:paraId="7D1C2221" w14:textId="77777777" w:rsidR="00F812F4" w:rsidRPr="00C92D04" w:rsidRDefault="00F812F4" w:rsidP="00F812F4">
                        <w:pPr>
                          <w:jc w:val="center"/>
                          <w:rPr>
                            <w:rFonts w:cs="Arial"/>
                            <w:b/>
                            <w:bCs/>
                            <w:color w:val="FFFFFF" w:themeColor="background1"/>
                            <w:kern w:val="24"/>
                            <w:sz w:val="16"/>
                            <w:szCs w:val="16"/>
                          </w:rPr>
                        </w:pPr>
                        <w:r w:rsidRPr="00C92D04">
                          <w:rPr>
                            <w:rFonts w:cs="Arial"/>
                            <w:b/>
                            <w:bCs/>
                            <w:color w:val="FFFFFF" w:themeColor="background1"/>
                            <w:kern w:val="24"/>
                            <w:sz w:val="16"/>
                            <w:szCs w:val="16"/>
                          </w:rPr>
                          <w:t>Contribución Adicional</w:t>
                        </w:r>
                      </w:p>
                    </w:txbxContent>
                  </v:textbox>
                </v:rect>
                <v:rect id="Rectángulo 1750846634" o:spid="_x0000_s1109" style="position:absolute;left:58280;top:34764;width:2486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" fillcolor="#70ad47 [3209]" strokecolor="#a5a5a5 [2092]" strokeweight=".5pt">
                  <v:textbox>
                    <w:txbxContent>
                      <w:p w14:paraId="3B563C02" w14:textId="77777777" w:rsidR="00F812F4" w:rsidRPr="00C92D04" w:rsidRDefault="00F812F4" w:rsidP="00F812F4">
                        <w:pPr>
                          <w:jc w:val="center"/>
                          <w:rPr>
                            <w:rFonts w:cs="Arial"/>
                            <w:b/>
                            <w:bCs/>
                            <w:color w:val="FFFFFF" w:themeColor="background1"/>
                            <w:kern w:val="24"/>
                            <w:sz w:val="16"/>
                            <w:szCs w:val="16"/>
                          </w:rPr>
                        </w:pPr>
                        <w:r w:rsidRPr="00C92D04">
                          <w:rPr>
                            <w:rFonts w:cs="Arial"/>
                            <w:b/>
                            <w:bCs/>
                            <w:color w:val="FFFFFF" w:themeColor="background1"/>
                            <w:kern w:val="24"/>
                            <w:sz w:val="16"/>
                            <w:szCs w:val="16"/>
                          </w:rPr>
                          <w:t>Impuestos Tasas Contribuciones</w:t>
                        </w:r>
                      </w:p>
                    </w:txbxContent>
                  </v:textbox>
                </v:rect>
                <w10:anchorlock/>
              </v:group>
            </w:pict>
          </mc:Fallback>
        </mc:AlternateContent>
      </w:r>
    </w:p>
    <w:p w14:paraId="3417454B" w14:textId="7E5906A3" w:rsidR="00F812F4" w:rsidRPr="00A80B42" w:rsidRDefault="005F2052" w:rsidP="002F1961">
      <w:pPr>
        <w:spacing w:before="100" w:beforeAutospacing="1" w:after="100" w:afterAutospacing="1" w:line="360" w:lineRule="auto"/>
        <w:jc w:val="center"/>
        <w:rPr>
          <w:sz w:val="22"/>
          <w:szCs w:val="22"/>
          <w:lang w:val="es-CO"/>
        </w:rPr>
      </w:pPr>
      <w:r w:rsidRPr="00A80B42">
        <w:rPr>
          <w:sz w:val="22"/>
          <w:szCs w:val="22"/>
          <w:lang w:val="es-CO"/>
        </w:rPr>
        <w:t>Elaboración: CREG</w:t>
      </w:r>
    </w:p>
    <w:p w14:paraId="6CCE4637" w14:textId="003B89F7" w:rsidR="0038047B" w:rsidRPr="00A43865" w:rsidRDefault="00A43865" w:rsidP="002F1961">
      <w:pPr>
        <w:spacing w:before="100" w:beforeAutospacing="1" w:after="100" w:afterAutospacing="1" w:line="360" w:lineRule="auto"/>
        <w:rPr>
          <w:szCs w:val="24"/>
          <w:lang w:val="es-CO"/>
        </w:rPr>
      </w:pPr>
      <w:r w:rsidRPr="00A43865">
        <w:rPr>
          <w:szCs w:val="24"/>
          <w:lang w:val="es-CO"/>
        </w:rPr>
        <w:t xml:space="preserve">Como se observa en la </w:t>
      </w:r>
      <w:r w:rsidR="00A80B42">
        <w:rPr>
          <w:szCs w:val="24"/>
          <w:lang w:val="es-CO"/>
        </w:rPr>
        <w:fldChar w:fldCharType="begin"/>
      </w:r>
      <w:r w:rsidR="00A80B42">
        <w:rPr>
          <w:szCs w:val="24"/>
          <w:lang w:val="es-CO"/>
        </w:rPr>
        <w:instrText xml:space="preserve"> REF _Ref235109468 \h </w:instrText>
      </w:r>
      <w:r w:rsidR="00A80B42">
        <w:rPr>
          <w:szCs w:val="24"/>
          <w:lang w:val="es-CO"/>
        </w:rPr>
      </w:r>
      <w:r w:rsidR="00A80B42">
        <w:rPr>
          <w:szCs w:val="24"/>
          <w:lang w:val="es-CO"/>
        </w:rPr>
        <w:fldChar w:fldCharType="separate"/>
      </w:r>
      <w:r w:rsidR="00A80B42" w:rsidRPr="00656615">
        <w:rPr>
          <w:lang w:val="es-ES"/>
        </w:rPr>
        <w:t xml:space="preserve">Figura </w:t>
      </w:r>
      <w:r w:rsidR="00A80B42">
        <w:rPr>
          <w:noProof/>
          <w:lang w:val="es-ES"/>
        </w:rPr>
        <w:t>24</w:t>
      </w:r>
      <w:r w:rsidR="00A80B42">
        <w:rPr>
          <w:szCs w:val="24"/>
          <w:lang w:val="es-CO"/>
        </w:rPr>
        <w:fldChar w:fldCharType="end"/>
      </w:r>
      <w:r w:rsidR="00A80B42">
        <w:rPr>
          <w:szCs w:val="24"/>
          <w:lang w:val="es-CO"/>
        </w:rPr>
        <w:t>,</w:t>
      </w:r>
      <w:r w:rsidRPr="00A43865">
        <w:rPr>
          <w:szCs w:val="24"/>
          <w:lang w:val="es-CO"/>
        </w:rPr>
        <w:t xml:space="preserve"> el costo de comercialización se compone de diversos elementos que remuneran tanto los costos propios de la gestión comercial como aquellos asociados al suministro, transporte y distribución del gas, conformando así el cargo de comercialización aplicable a los usuarios regulados.</w:t>
      </w:r>
    </w:p>
    <w:p w14:paraId="240E1EC4" w14:textId="46C06A4C" w:rsidR="00BD5C13" w:rsidRPr="00BD7FAC" w:rsidRDefault="00BD7FAC" w:rsidP="00AD3D60">
      <w:pPr>
        <w:keepNext/>
        <w:spacing w:before="100" w:beforeAutospacing="1" w:after="100" w:afterAutospacing="1" w:line="360" w:lineRule="auto"/>
        <w:rPr>
          <w:b/>
          <w:bCs/>
          <w:szCs w:val="24"/>
          <w:lang w:val="es-CO"/>
        </w:rPr>
      </w:pPr>
      <w:r w:rsidRPr="00BD7FAC">
        <w:rPr>
          <w:b/>
          <w:bCs/>
          <w:szCs w:val="24"/>
          <w:lang w:val="es-CO"/>
        </w:rPr>
        <w:t>Componente fijo</w:t>
      </w:r>
    </w:p>
    <w:p w14:paraId="72AC80B3" w14:textId="325267B2" w:rsidR="00E85242" w:rsidRDefault="00E85242" w:rsidP="002F1961">
      <w:pPr>
        <w:spacing w:before="100" w:beforeAutospacing="1" w:after="100" w:afterAutospacing="1" w:line="360" w:lineRule="auto"/>
        <w:rPr>
          <w:szCs w:val="24"/>
          <w:lang w:val="es-CO"/>
        </w:rPr>
      </w:pPr>
      <w:r w:rsidRPr="00E85242">
        <w:rPr>
          <w:szCs w:val="24"/>
          <w:lang w:val="es-CO"/>
        </w:rPr>
        <w:t>El componente fijo remunera los costos de la actividad comercial que no dependen del volumen de gas consumido por los usuarios. Para su determinación, la metodología considera tres elementos principales:</w:t>
      </w:r>
    </w:p>
    <w:p w14:paraId="5ED2527B" w14:textId="77777777" w:rsidR="00E85242" w:rsidRPr="00E85242" w:rsidRDefault="00E85242">
      <w:pPr>
        <w:pStyle w:val="Prrafodelista"/>
        <w:numPr>
          <w:ilvl w:val="0"/>
          <w:numId w:val="30"/>
        </w:numPr>
        <w:spacing w:before="100" w:beforeAutospacing="1" w:after="100" w:afterAutospacing="1" w:line="360" w:lineRule="auto"/>
        <w:rPr>
          <w:szCs w:val="24"/>
          <w:lang w:val="es-CO"/>
        </w:rPr>
      </w:pPr>
      <w:r w:rsidRPr="00E85242">
        <w:rPr>
          <w:szCs w:val="24"/>
          <w:lang w:val="es-CO"/>
        </w:rPr>
        <w:t>Gastos eficientes de Administración, Operación y Mantenimiento (AOM).</w:t>
      </w:r>
    </w:p>
    <w:p w14:paraId="45B31179" w14:textId="77777777" w:rsidR="00E85242" w:rsidRPr="00E85242" w:rsidRDefault="00E85242">
      <w:pPr>
        <w:pStyle w:val="Prrafodelista"/>
        <w:numPr>
          <w:ilvl w:val="0"/>
          <w:numId w:val="30"/>
        </w:numPr>
        <w:spacing w:before="100" w:beforeAutospacing="1" w:after="100" w:afterAutospacing="1" w:line="360" w:lineRule="auto"/>
        <w:rPr>
          <w:szCs w:val="24"/>
          <w:lang w:val="es-CO"/>
        </w:rPr>
      </w:pPr>
      <w:r w:rsidRPr="00E85242">
        <w:rPr>
          <w:szCs w:val="24"/>
          <w:lang w:val="es-CO"/>
        </w:rPr>
        <w:t>Inversiones reconocidas.</w:t>
      </w:r>
    </w:p>
    <w:p w14:paraId="01B2322B" w14:textId="77777777" w:rsidR="00E85242" w:rsidRDefault="00E85242">
      <w:pPr>
        <w:pStyle w:val="Prrafodelista"/>
        <w:numPr>
          <w:ilvl w:val="0"/>
          <w:numId w:val="30"/>
        </w:numPr>
        <w:spacing w:before="100" w:beforeAutospacing="1" w:after="100" w:afterAutospacing="1" w:line="360" w:lineRule="auto"/>
        <w:rPr>
          <w:szCs w:val="24"/>
          <w:lang w:val="es-CO"/>
        </w:rPr>
      </w:pPr>
      <w:r w:rsidRPr="00E85242">
        <w:rPr>
          <w:szCs w:val="24"/>
          <w:lang w:val="es-CO"/>
        </w:rPr>
        <w:t>Número de facturas reconocidas.</w:t>
      </w:r>
    </w:p>
    <w:p w14:paraId="1CCB7053" w14:textId="77777777" w:rsidR="00A765C7" w:rsidRPr="00E85242" w:rsidRDefault="00A765C7" w:rsidP="00A765C7">
      <w:pPr>
        <w:pStyle w:val="Prrafodelista"/>
        <w:spacing w:before="100" w:beforeAutospacing="1" w:after="100" w:afterAutospacing="1" w:line="360" w:lineRule="auto"/>
        <w:ind w:left="720"/>
        <w:rPr>
          <w:szCs w:val="24"/>
          <w:lang w:val="es-CO"/>
        </w:rPr>
      </w:pPr>
    </w:p>
    <w:p w14:paraId="0B94CEE7" w14:textId="7C4B32C2" w:rsidR="00CC2E55" w:rsidRPr="002B143F" w:rsidRDefault="002B143F" w:rsidP="002F1961">
      <w:pPr>
        <w:spacing w:before="100" w:beforeAutospacing="1" w:after="100" w:afterAutospacing="1" w:line="360" w:lineRule="auto"/>
        <w:rPr>
          <w:b/>
          <w:bCs/>
          <w:szCs w:val="24"/>
        </w:rPr>
      </w:pPr>
      <w:r w:rsidRPr="002B143F">
        <w:rPr>
          <w:b/>
          <w:bCs/>
          <w:szCs w:val="24"/>
        </w:rPr>
        <w:lastRenderedPageBreak/>
        <w:t>Gastos eficientes de Administración, Operación y Mantenimiento (AOM)</w:t>
      </w:r>
    </w:p>
    <w:p w14:paraId="2A621DFA" w14:textId="77777777" w:rsidR="00AB5592" w:rsidRPr="00AB5592" w:rsidRDefault="00AB5592" w:rsidP="002F1961">
      <w:pPr>
        <w:spacing w:before="100" w:beforeAutospacing="1" w:after="100" w:afterAutospacing="1" w:line="360" w:lineRule="auto"/>
        <w:rPr>
          <w:szCs w:val="24"/>
          <w:lang w:val="es-CO"/>
        </w:rPr>
      </w:pPr>
      <w:r w:rsidRPr="00AB5592">
        <w:rPr>
          <w:szCs w:val="24"/>
          <w:lang w:val="es-CO"/>
        </w:rPr>
        <w:t>Los gastos de Administración, Operación y Mantenimiento (AOM) corresponden a los costos necesarios para desarrollar la actividad comercial, tales como la atención de usuarios, la facturación, el recaudo y la administración del servicio.</w:t>
      </w:r>
    </w:p>
    <w:p w14:paraId="22AEDDF7" w14:textId="45F85A72" w:rsidR="008D0909" w:rsidRDefault="004617BB" w:rsidP="002F1961">
      <w:pPr>
        <w:spacing w:before="100" w:beforeAutospacing="1" w:after="100" w:afterAutospacing="1" w:line="360" w:lineRule="auto"/>
        <w:rPr>
          <w:szCs w:val="24"/>
          <w:lang w:val="es-CO"/>
        </w:rPr>
      </w:pPr>
      <w:r>
        <w:rPr>
          <w:szCs w:val="24"/>
          <w:lang w:val="es-CO"/>
        </w:rPr>
        <w:t>Para este componente, la regulación</w:t>
      </w:r>
      <w:r w:rsidR="00AB5592" w:rsidRPr="00AB5592">
        <w:rPr>
          <w:szCs w:val="24"/>
          <w:lang w:val="es-CO"/>
        </w:rPr>
        <w:t xml:space="preserve"> diferencia el tratamiento entre mercados existentes y mercados nuevos y establece un criterio de eficiencia para determinar el valor máximo susceptible de reconocimiento tarifario. Para ello, compara los gastos reportados por el comercializador con valores de referencia definidos por la regulación, garantizando que únicamente se remuneren los costos eficientes asociados a la prestación del servicio</w:t>
      </w:r>
    </w:p>
    <w:p w14:paraId="293AA72B" w14:textId="1BDC8479" w:rsidR="008F7D1B" w:rsidRDefault="008F7D1B" w:rsidP="002F1961">
      <w:pPr>
        <w:keepNext/>
        <w:spacing w:before="100" w:beforeAutospacing="1" w:after="100" w:afterAutospacing="1" w:line="360" w:lineRule="auto"/>
        <w:jc w:val="center"/>
        <w:rPr>
          <w:szCs w:val="24"/>
          <w:lang w:val="es-CO"/>
        </w:rPr>
      </w:pPr>
      <w:bookmarkStart w:id="98" w:name="_Ref235109617"/>
      <w:bookmarkStart w:id="99" w:name="_Toc235118565"/>
      <w:r w:rsidRPr="00656615">
        <w:rPr>
          <w:lang w:val="es-ES"/>
        </w:rPr>
        <w:t xml:space="preserve">Figura </w:t>
      </w:r>
      <w:r w:rsidRPr="00656615">
        <w:rPr>
          <w:lang w:val="es-ES"/>
        </w:rPr>
        <w:fldChar w:fldCharType="begin"/>
      </w:r>
      <w:r w:rsidRPr="00656615">
        <w:rPr>
          <w:lang w:val="es-ES"/>
        </w:rPr>
        <w:instrText xml:space="preserve"> SEQ Figura \* ARABIC </w:instrText>
      </w:r>
      <w:r w:rsidRPr="00656615">
        <w:rPr>
          <w:lang w:val="es-ES"/>
        </w:rPr>
        <w:fldChar w:fldCharType="separate"/>
      </w:r>
      <w:r w:rsidR="00AD3D60">
        <w:rPr>
          <w:noProof/>
          <w:lang w:val="es-ES"/>
        </w:rPr>
        <w:t>25</w:t>
      </w:r>
      <w:r w:rsidRPr="00656615">
        <w:rPr>
          <w:lang w:val="es-ES"/>
        </w:rPr>
        <w:fldChar w:fldCharType="end"/>
      </w:r>
      <w:bookmarkEnd w:id="98"/>
      <w:r w:rsidRPr="5FAE69B6">
        <w:rPr>
          <w:lang w:val="es-ES"/>
        </w:rPr>
        <w:t xml:space="preserve">. </w:t>
      </w:r>
      <w:r w:rsidR="00452753" w:rsidRPr="00452753">
        <w:rPr>
          <w:bCs/>
          <w:lang w:val="es-ES"/>
        </w:rPr>
        <w:t>Criterio de eficiencia para el reconocimiento de los AOM de comercialización</w:t>
      </w:r>
      <w:bookmarkEnd w:id="99"/>
    </w:p>
    <w:p w14:paraId="56A18491" w14:textId="06EE9A2B" w:rsidR="00E83082" w:rsidRDefault="00AD40BD" w:rsidP="00AD3D60">
      <w:pPr>
        <w:spacing w:before="100" w:beforeAutospacing="1" w:after="100" w:afterAutospacing="1" w:line="360" w:lineRule="auto"/>
        <w:jc w:val="center"/>
        <w:rPr>
          <w:b/>
          <w:bCs/>
          <w:szCs w:val="24"/>
        </w:rPr>
      </w:pPr>
      <w:r w:rsidRPr="00AD40BD">
        <w:rPr>
          <w:b/>
          <w:bCs/>
          <w:noProof/>
          <w:szCs w:val="24"/>
        </w:rPr>
        <mc:AlternateContent>
          <mc:Choice Requires="wps">
            <w:drawing>
              <wp:inline distT="0" distB="0" distL="0" distR="0" wp14:anchorId="0A9D2A5B" wp14:editId="617F990B">
                <wp:extent cx="8141844" cy="884281"/>
                <wp:effectExtent l="0" t="0" r="0" b="0"/>
                <wp:docPr id="1203959515" name="CuadroTexto 4"/>
                <wp:cNvGraphicFramePr/>
                <a:graphic xmlns:a="http://schemas.openxmlformats.org/drawingml/2006/main">
                  <a:graphicData uri="http://schemas.microsoft.com/office/word/2010/wordprocessingShape">
                    <wps:wsp>
                      <wps:cNvSpPr txBox="1"/>
                      <wps:spPr>
                        <a:xfrm>
                          <a:off x="0" y="0"/>
                          <a:ext cx="8141844" cy="884281"/>
                        </a:xfrm>
                        <a:prstGeom prst="rect">
                          <a:avLst/>
                        </a:prstGeom>
                        <a:noFill/>
                      </wps:spPr>
                      <wps:txbx>
                        <w:txbxContent>
                          <w:p w14:paraId="594C2A43" w14:textId="77777777" w:rsidR="00AD40BD" w:rsidRPr="00AD40BD" w:rsidRDefault="00000000" w:rsidP="00AD3D60">
                            <w:pPr>
                              <w:jc w:val="center"/>
                              <w:rPr>
                                <w:rFonts w:ascii="Cambria Math" w:hAnsi="+mn-cs" w:cstheme="minorBidi"/>
                                <w:i/>
                                <w:iCs/>
                                <w:color w:val="4E4D4D"/>
                                <w:kern w:val="24"/>
                                <w:sz w:val="20"/>
                              </w:rPr>
                            </w:pPr>
                            <m:oMathPara>
                              <m:oMathParaPr>
                                <m:jc m:val="centerGroup"/>
                              </m:oMathParaPr>
                              <m:oMath>
                                <m:sSub>
                                  <m:sSubPr>
                                    <m:ctrlPr>
                                      <w:rPr>
                                        <w:rFonts w:ascii="Cambria Math" w:eastAsiaTheme="minorEastAsia" w:hAnsi="Cambria Math" w:cstheme="minorBidi"/>
                                        <w:i/>
                                        <w:iCs/>
                                        <w:color w:val="4E4D4D"/>
                                        <w:kern w:val="24"/>
                                        <w:sz w:val="20"/>
                                      </w:rPr>
                                    </m:ctrlPr>
                                  </m:sSubPr>
                                  <m:e>
                                    <m:d>
                                      <m:dPr>
                                        <m:ctrlPr>
                                          <w:rPr>
                                            <w:rFonts w:ascii="Cambria Math" w:eastAsiaTheme="minorEastAsia" w:hAnsi="Cambria Math" w:cstheme="minorBidi"/>
                                            <w:i/>
                                            <w:iCs/>
                                            <w:color w:val="4E4D4D"/>
                                            <w:kern w:val="24"/>
                                            <w:sz w:val="20"/>
                                          </w:rPr>
                                        </m:ctrlPr>
                                      </m:dPr>
                                      <m:e>
                                        <m:f>
                                          <m:fPr>
                                            <m:ctrlPr>
                                              <w:rPr>
                                                <w:rFonts w:ascii="Cambria Math" w:eastAsiaTheme="minorEastAsia" w:hAnsi="Cambria Math" w:cstheme="minorBidi"/>
                                                <w:i/>
                                                <w:iCs/>
                                                <w:color w:val="4E4D4D"/>
                                                <w:kern w:val="24"/>
                                                <w:sz w:val="20"/>
                                              </w:rPr>
                                            </m:ctrlPr>
                                          </m:fPr>
                                          <m:num>
                                            <m:r>
                                              <m:rPr>
                                                <m:sty m:val="p"/>
                                              </m:rPr>
                                              <w:rPr>
                                                <w:rFonts w:ascii="Cambria Math" w:hAnsi="Cambria Math" w:cstheme="minorBidi"/>
                                                <w:color w:val="4E4D4D"/>
                                                <w:kern w:val="24"/>
                                                <w:sz w:val="20"/>
                                              </w:rPr>
                                              <m:t>AOM</m:t>
                                            </m:r>
                                          </m:num>
                                          <m:den>
                                            <m:r>
                                              <m:rPr>
                                                <m:sty m:val="p"/>
                                              </m:rPr>
                                              <w:rPr>
                                                <w:rFonts w:ascii="Cambria Math" w:hAnsi="Cambria Math" w:cstheme="minorBidi"/>
                                                <w:color w:val="4E4D4D"/>
                                                <w:kern w:val="24"/>
                                                <w:sz w:val="20"/>
                                              </w:rPr>
                                              <m:t>factura</m:t>
                                            </m:r>
                                          </m:den>
                                        </m:f>
                                      </m:e>
                                    </m:d>
                                  </m:e>
                                  <m:sub>
                                    <m:r>
                                      <m:rPr>
                                        <m:sty m:val="p"/>
                                      </m:rPr>
                                      <w:rPr>
                                        <w:rFonts w:ascii="Cambria Math" w:hAnsi="Cambria Math" w:cstheme="minorBidi"/>
                                        <w:color w:val="4E4D4D"/>
                                        <w:kern w:val="24"/>
                                        <w:sz w:val="20"/>
                                      </w:rPr>
                                      <m:t>eficiente</m:t>
                                    </m:r>
                                  </m:sub>
                                </m:sSub>
                                <m:r>
                                  <m:rPr>
                                    <m:sty m:val="p"/>
                                  </m:rPr>
                                  <w:rPr>
                                    <w:rFonts w:ascii="Cambria Math" w:hAnsi="Cambria Math" w:cstheme="minorBidi"/>
                                    <w:color w:val="4E4D4D"/>
                                    <w:kern w:val="24"/>
                                    <w:sz w:val="20"/>
                                  </w:rPr>
                                  <m:t>=Min</m:t>
                                </m:r>
                                <m:d>
                                  <m:dPr>
                                    <m:begChr m:val="{"/>
                                    <m:endChr m:val="}"/>
                                    <m:ctrlPr>
                                      <w:rPr>
                                        <w:rFonts w:ascii="Cambria Math" w:eastAsiaTheme="minorEastAsia" w:hAnsi="Cambria Math" w:cstheme="minorBidi"/>
                                        <w:i/>
                                        <w:iCs/>
                                        <w:color w:val="4E4D4D"/>
                                        <w:kern w:val="24"/>
                                        <w:sz w:val="20"/>
                                      </w:rPr>
                                    </m:ctrlPr>
                                  </m:dPr>
                                  <m:e>
                                    <m:f>
                                      <m:fPr>
                                        <m:ctrlPr>
                                          <w:rPr>
                                            <w:rFonts w:ascii="Cambria Math" w:eastAsiaTheme="minorEastAsia" w:hAnsi="Cambria Math" w:cstheme="minorBidi"/>
                                            <w:i/>
                                            <w:iCs/>
                                            <w:color w:val="4E4D4D"/>
                                            <w:kern w:val="24"/>
                                            <w:sz w:val="20"/>
                                          </w:rPr>
                                        </m:ctrlPr>
                                      </m:fPr>
                                      <m:num>
                                        <m:r>
                                          <m:rPr>
                                            <m:sty m:val="p"/>
                                          </m:rPr>
                                          <w:rPr>
                                            <w:rFonts w:ascii="Cambria Math" w:hAnsi="Cambria Math" w:cstheme="minorBidi"/>
                                            <w:color w:val="4E4D4D"/>
                                            <w:kern w:val="24"/>
                                            <w:sz w:val="20"/>
                                          </w:rPr>
                                          <m:t>AO</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M</m:t>
                                            </m:r>
                                          </m:e>
                                          <m:sub>
                                            <m:r>
                                              <m:rPr>
                                                <m:sty m:val="p"/>
                                              </m:rPr>
                                              <w:rPr>
                                                <w:rFonts w:ascii="Cambria Math" w:hAnsi="Cambria Math" w:cstheme="minorBidi"/>
                                                <w:color w:val="4E4D4D"/>
                                                <w:kern w:val="24"/>
                                                <w:sz w:val="20"/>
                                              </w:rPr>
                                              <m:t>r</m:t>
                                            </m:r>
                                          </m:sub>
                                        </m:sSub>
                                      </m:num>
                                      <m:den>
                                        <m:r>
                                          <m:rPr>
                                            <m:sty m:val="p"/>
                                          </m:rPr>
                                          <w:rPr>
                                            <w:rFonts w:ascii="Cambria Math" w:hAnsi="Cambria Math" w:cstheme="minorBidi"/>
                                            <w:color w:val="4E4D4D"/>
                                            <w:kern w:val="24"/>
                                            <w:sz w:val="20"/>
                                          </w:rPr>
                                          <m:t>#</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facturas</m:t>
                                            </m:r>
                                          </m:e>
                                          <m:sub>
                                            <m:r>
                                              <m:rPr>
                                                <m:sty m:val="p"/>
                                              </m:rPr>
                                              <w:rPr>
                                                <w:rFonts w:ascii="Cambria Math" w:hAnsi="Cambria Math" w:cstheme="minorBidi"/>
                                                <w:color w:val="4E4D4D"/>
                                                <w:kern w:val="24"/>
                                                <w:sz w:val="20"/>
                                              </w:rPr>
                                              <m:t>r</m:t>
                                            </m:r>
                                          </m:sub>
                                        </m:sSub>
                                      </m:den>
                                    </m:f>
                                    <m:r>
                                      <m:rPr>
                                        <m:sty m:val="p"/>
                                      </m:rPr>
                                      <w:rPr>
                                        <w:rFonts w:ascii="Cambria Math" w:hAnsi="Cambria Math" w:cstheme="minorBidi"/>
                                        <w:color w:val="4E4D4D"/>
                                        <w:kern w:val="24"/>
                                        <w:sz w:val="20"/>
                                      </w:rPr>
                                      <m:t>;</m:t>
                                    </m:r>
                                    <m:f>
                                      <m:fPr>
                                        <m:ctrlPr>
                                          <w:rPr>
                                            <w:rFonts w:ascii="Cambria Math" w:eastAsiaTheme="minorEastAsia" w:hAnsi="Cambria Math" w:cstheme="minorBidi"/>
                                            <w:i/>
                                            <w:iCs/>
                                            <w:color w:val="4E4D4D"/>
                                            <w:kern w:val="24"/>
                                            <w:sz w:val="20"/>
                                          </w:rPr>
                                        </m:ctrlPr>
                                      </m:fPr>
                                      <m:num>
                                        <m:f>
                                          <m:fPr>
                                            <m:ctrlPr>
                                              <w:rPr>
                                                <w:rFonts w:ascii="Cambria Math" w:eastAsiaTheme="minorEastAsia" w:hAnsi="Cambria Math" w:cstheme="minorBidi"/>
                                                <w:i/>
                                                <w:iCs/>
                                                <w:color w:val="4E4D4D"/>
                                                <w:kern w:val="24"/>
                                                <w:sz w:val="20"/>
                                              </w:rPr>
                                            </m:ctrlPr>
                                          </m:fPr>
                                          <m:num>
                                            <m:r>
                                              <m:rPr>
                                                <m:sty m:val="p"/>
                                              </m:rPr>
                                              <w:rPr>
                                                <w:rFonts w:ascii="Cambria Math" w:hAnsi="Cambria Math" w:cstheme="minorBidi"/>
                                                <w:color w:val="4E4D4D"/>
                                                <w:kern w:val="24"/>
                                                <w:sz w:val="20"/>
                                              </w:rPr>
                                              <m:t>AO</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M</m:t>
                                                </m:r>
                                              </m:e>
                                              <m:sub>
                                                <m:r>
                                                  <m:rPr>
                                                    <m:sty m:val="p"/>
                                                  </m:rPr>
                                                  <w:rPr>
                                                    <w:rFonts w:ascii="Cambria Math" w:hAnsi="Cambria Math" w:cstheme="minorBidi"/>
                                                    <w:color w:val="4E4D4D"/>
                                                    <w:kern w:val="24"/>
                                                    <w:sz w:val="20"/>
                                                  </w:rPr>
                                                  <m:t>r</m:t>
                                                </m:r>
                                              </m:sub>
                                            </m:sSub>
                                          </m:num>
                                          <m:den>
                                            <m:r>
                                              <m:rPr>
                                                <m:sty m:val="p"/>
                                              </m:rPr>
                                              <w:rPr>
                                                <w:rFonts w:ascii="Cambria Math" w:hAnsi="Cambria Math" w:cstheme="minorBidi"/>
                                                <w:color w:val="4E4D4D"/>
                                                <w:kern w:val="24"/>
                                                <w:sz w:val="20"/>
                                              </w:rPr>
                                              <m:t>#factura</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s</m:t>
                                                </m:r>
                                              </m:e>
                                              <m:sub>
                                                <m:r>
                                                  <m:rPr>
                                                    <m:sty m:val="p"/>
                                                  </m:rPr>
                                                  <w:rPr>
                                                    <w:rFonts w:ascii="Cambria Math" w:hAnsi="Cambria Math" w:cstheme="minorBidi"/>
                                                    <w:color w:val="4E4D4D"/>
                                                    <w:kern w:val="24"/>
                                                    <w:sz w:val="20"/>
                                                  </w:rPr>
                                                  <m:t>r</m:t>
                                                </m:r>
                                              </m:sub>
                                            </m:sSub>
                                          </m:den>
                                        </m:f>
                                        <m:r>
                                          <m:rPr>
                                            <m:sty m:val="p"/>
                                          </m:rPr>
                                          <w:rPr>
                                            <w:rFonts w:ascii="Cambria Math" w:hAnsi="Cambria Math" w:cstheme="minorBidi"/>
                                            <w:color w:val="4E4D4D"/>
                                            <w:kern w:val="24"/>
                                            <w:sz w:val="20"/>
                                          </w:rPr>
                                          <m:t>+</m:t>
                                        </m:r>
                                        <m:f>
                                          <m:fPr>
                                            <m:ctrlPr>
                                              <w:rPr>
                                                <w:rFonts w:ascii="Cambria Math" w:eastAsiaTheme="minorEastAsia" w:hAnsi="Cambria Math" w:cstheme="minorBidi"/>
                                                <w:i/>
                                                <w:iCs/>
                                                <w:color w:val="4E4D4D"/>
                                                <w:kern w:val="24"/>
                                                <w:sz w:val="20"/>
                                              </w:rPr>
                                            </m:ctrlPr>
                                          </m:fPr>
                                          <m:num>
                                            <m:r>
                                              <m:rPr>
                                                <m:sty m:val="p"/>
                                              </m:rPr>
                                              <w:rPr>
                                                <w:rFonts w:ascii="Cambria Math" w:hAnsi="Cambria Math" w:cstheme="minorBidi"/>
                                                <w:color w:val="4E4D4D"/>
                                                <w:kern w:val="24"/>
                                                <w:sz w:val="20"/>
                                              </w:rPr>
                                              <m:t>AO</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M</m:t>
                                                </m:r>
                                              </m:e>
                                              <m:sub>
                                                <m:r>
                                                  <m:rPr>
                                                    <m:sty m:val="p"/>
                                                  </m:rPr>
                                                  <w:rPr>
                                                    <w:rFonts w:ascii="Cambria Math" w:hAnsi="Cambria Math" w:cstheme="minorBidi"/>
                                                    <w:color w:val="4E4D4D"/>
                                                    <w:kern w:val="24"/>
                                                    <w:sz w:val="20"/>
                                                  </w:rPr>
                                                  <m:t>rem</m:t>
                                                </m:r>
                                              </m:sub>
                                            </m:sSub>
                                          </m:num>
                                          <m:den>
                                            <m:r>
                                              <m:rPr>
                                                <m:sty m:val="p"/>
                                              </m:rPr>
                                              <w:rPr>
                                                <w:rFonts w:ascii="Cambria Math" w:hAnsi="Cambria Math" w:cstheme="minorBidi"/>
                                                <w:color w:val="4E4D4D"/>
                                                <w:kern w:val="24"/>
                                                <w:sz w:val="20"/>
                                              </w:rPr>
                                              <m:t>#fac</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t</m:t>
                                                </m:r>
                                              </m:e>
                                              <m:sub>
                                                <m:r>
                                                  <m:rPr>
                                                    <m:sty m:val="p"/>
                                                  </m:rPr>
                                                  <w:rPr>
                                                    <w:rFonts w:ascii="Cambria Math" w:hAnsi="Cambria Math" w:cstheme="minorBidi"/>
                                                    <w:color w:val="4E4D4D"/>
                                                    <w:kern w:val="24"/>
                                                    <w:sz w:val="20"/>
                                                  </w:rPr>
                                                  <m:t>Res.011</m:t>
                                                </m:r>
                                              </m:sub>
                                            </m:sSub>
                                          </m:den>
                                        </m:f>
                                      </m:num>
                                      <m:den>
                                        <m:r>
                                          <m:rPr>
                                            <m:sty m:val="p"/>
                                          </m:rPr>
                                          <w:rPr>
                                            <w:rFonts w:ascii="Cambria Math" w:hAnsi="Cambria Math" w:cstheme="minorBidi"/>
                                            <w:color w:val="4E4D4D"/>
                                            <w:kern w:val="24"/>
                                            <w:sz w:val="20"/>
                                          </w:rPr>
                                          <m:t>2</m:t>
                                        </m:r>
                                      </m:den>
                                    </m:f>
                                    <m:r>
                                      <m:rPr>
                                        <m:sty m:val="p"/>
                                      </m:rPr>
                                      <w:rPr>
                                        <w:rFonts w:ascii="Cambria Math" w:hAnsi="Cambria Math" w:cstheme="minorBidi"/>
                                        <w:color w:val="4E4D4D"/>
                                        <w:kern w:val="24"/>
                                        <w:sz w:val="20"/>
                                      </w:rPr>
                                      <m:t>;</m:t>
                                    </m:r>
                                    <m:sSub>
                                      <m:sSubPr>
                                        <m:ctrlPr>
                                          <w:rPr>
                                            <w:rFonts w:ascii="Cambria Math" w:eastAsiaTheme="minorEastAsia" w:hAnsi="Cambria Math" w:cstheme="minorBidi"/>
                                            <w:i/>
                                            <w:iCs/>
                                            <w:color w:val="4E4D4D"/>
                                            <w:kern w:val="24"/>
                                            <w:sz w:val="20"/>
                                          </w:rPr>
                                        </m:ctrlPr>
                                      </m:sSubPr>
                                      <m:e>
                                        <m:d>
                                          <m:dPr>
                                            <m:ctrlPr>
                                              <w:rPr>
                                                <w:rFonts w:ascii="Cambria Math" w:eastAsiaTheme="minorEastAsia" w:hAnsi="Cambria Math" w:cstheme="minorBidi"/>
                                                <w:i/>
                                                <w:iCs/>
                                                <w:color w:val="4E4D4D"/>
                                                <w:kern w:val="24"/>
                                                <w:sz w:val="20"/>
                                              </w:rPr>
                                            </m:ctrlPr>
                                          </m:dPr>
                                          <m:e>
                                            <m:f>
                                              <m:fPr>
                                                <m:ctrlPr>
                                                  <w:rPr>
                                                    <w:rFonts w:ascii="Cambria Math" w:eastAsiaTheme="minorEastAsia" w:hAnsi="Cambria Math" w:cstheme="minorBidi"/>
                                                    <w:i/>
                                                    <w:iCs/>
                                                    <w:color w:val="4E4D4D"/>
                                                    <w:kern w:val="24"/>
                                                    <w:sz w:val="20"/>
                                                  </w:rPr>
                                                </m:ctrlPr>
                                              </m:fPr>
                                              <m:num>
                                                <m:r>
                                                  <m:rPr>
                                                    <m:sty m:val="p"/>
                                                  </m:rPr>
                                                  <w:rPr>
                                                    <w:rFonts w:ascii="Cambria Math" w:hAnsi="Cambria Math" w:cstheme="minorBidi"/>
                                                    <w:color w:val="4E4D4D"/>
                                                    <w:kern w:val="24"/>
                                                    <w:sz w:val="20"/>
                                                  </w:rPr>
                                                  <m:t>AOM</m:t>
                                                </m:r>
                                              </m:num>
                                              <m:den>
                                                <m:r>
                                                  <m:rPr>
                                                    <m:sty m:val="p"/>
                                                  </m:rPr>
                                                  <w:rPr>
                                                    <w:rFonts w:ascii="Cambria Math" w:hAnsi="Cambria Math" w:cstheme="minorBidi"/>
                                                    <w:color w:val="4E4D4D"/>
                                                    <w:kern w:val="24"/>
                                                    <w:sz w:val="20"/>
                                                  </w:rPr>
                                                  <m:t>factura</m:t>
                                                </m:r>
                                              </m:den>
                                            </m:f>
                                          </m:e>
                                        </m:d>
                                      </m:e>
                                      <m:sub>
                                        <m:func>
                                          <m:funcPr>
                                            <m:ctrlPr>
                                              <w:rPr>
                                                <w:rFonts w:ascii="Cambria Math" w:eastAsiaTheme="minorEastAsia" w:hAnsi="Cambria Math" w:cstheme="minorBidi"/>
                                                <w:i/>
                                                <w:iCs/>
                                                <w:color w:val="4E4D4D"/>
                                                <w:kern w:val="24"/>
                                                <w:sz w:val="20"/>
                                              </w:rPr>
                                            </m:ctrlPr>
                                          </m:funcPr>
                                          <m:fName>
                                            <m:r>
                                              <m:rPr>
                                                <m:sty m:val="p"/>
                                              </m:rPr>
                                              <w:rPr>
                                                <w:rFonts w:ascii="Cambria Math" w:hAnsi="Cambria Math" w:cstheme="minorBidi"/>
                                                <w:color w:val="4E4D4D"/>
                                                <w:kern w:val="24"/>
                                                <w:sz w:val="20"/>
                                              </w:rPr>
                                              <m:t>max</m:t>
                                            </m:r>
                                          </m:fName>
                                          <m:e>
                                            <m:r>
                                              <m:rPr>
                                                <m:sty m:val="p"/>
                                              </m:rPr>
                                              <w:rPr>
                                                <w:rFonts w:ascii="Cambria Math" w:hAnsi="Cambria Math" w:cstheme="minorBidi"/>
                                                <w:color w:val="4E4D4D"/>
                                                <w:kern w:val="24"/>
                                                <w:sz w:val="20"/>
                                              </w:rPr>
                                              <m:t>rec</m:t>
                                            </m:r>
                                          </m:e>
                                        </m:func>
                                      </m:sub>
                                    </m:sSub>
                                    <m:r>
                                      <m:rPr>
                                        <m:sty m:val="p"/>
                                      </m:rPr>
                                      <w:rPr>
                                        <w:rFonts w:ascii="Cambria Math" w:hAnsi="Cambria Math" w:cstheme="minorBidi"/>
                                        <w:color w:val="4E4D4D"/>
                                        <w:kern w:val="24"/>
                                        <w:sz w:val="20"/>
                                      </w:rPr>
                                      <m:t> </m:t>
                                    </m:r>
                                  </m:e>
                                </m:d>
                              </m:oMath>
                            </m:oMathPara>
                          </w:p>
                        </w:txbxContent>
                      </wps:txbx>
                      <wps:bodyPr wrap="none" lIns="0" tIns="0" rIns="0" bIns="0" rtlCol="0">
                        <a:spAutoFit/>
                      </wps:bodyPr>
                    </wps:wsp>
                  </a:graphicData>
                </a:graphic>
              </wp:inline>
            </w:drawing>
          </mc:Choice>
          <mc:Fallback>
            <w:pict>
              <v:shape w14:anchorId="0A9D2A5B" id="_x0000_s1110" type="#_x0000_t202" style="width:641.1pt;height:69.6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" filled="f" stroked="f">
                <v:textbox style="mso-fit-shape-to-text:t" inset="0,0,0,0">
                  <w:txbxContent>
                    <w:p w14:paraId="594C2A43" w14:textId="77777777" w:rsidR="00AD40BD" w:rsidRPr="00AD40BD" w:rsidRDefault="00000000" w:rsidP="00AD3D60">
                      <w:pPr>
                        <w:jc w:val="center"/>
                        <w:rPr>
                          <w:rFonts w:ascii="Cambria Math" w:hAnsi="+mn-cs" w:cstheme="minorBidi"/>
                          <w:i/>
                          <w:iCs/>
                          <w:color w:val="4E4D4D"/>
                          <w:kern w:val="24"/>
                          <w:sz w:val="20"/>
                        </w:rPr>
                      </w:pPr>
                      <m:oMathPara>
                        <m:oMathParaPr>
                          <m:jc m:val="centerGroup"/>
                        </m:oMathParaPr>
                        <m:oMath>
                          <m:sSub>
                            <m:sSubPr>
                              <m:ctrlPr>
                                <w:rPr>
                                  <w:rFonts w:ascii="Cambria Math" w:eastAsiaTheme="minorEastAsia" w:hAnsi="Cambria Math" w:cstheme="minorBidi"/>
                                  <w:i/>
                                  <w:iCs/>
                                  <w:color w:val="4E4D4D"/>
                                  <w:kern w:val="24"/>
                                  <w:sz w:val="20"/>
                                </w:rPr>
                              </m:ctrlPr>
                            </m:sSubPr>
                            <m:e>
                              <m:d>
                                <m:dPr>
                                  <m:ctrlPr>
                                    <w:rPr>
                                      <w:rFonts w:ascii="Cambria Math" w:eastAsiaTheme="minorEastAsia" w:hAnsi="Cambria Math" w:cstheme="minorBidi"/>
                                      <w:i/>
                                      <w:iCs/>
                                      <w:color w:val="4E4D4D"/>
                                      <w:kern w:val="24"/>
                                      <w:sz w:val="20"/>
                                    </w:rPr>
                                  </m:ctrlPr>
                                </m:dPr>
                                <m:e>
                                  <m:f>
                                    <m:fPr>
                                      <m:ctrlPr>
                                        <w:rPr>
                                          <w:rFonts w:ascii="Cambria Math" w:eastAsiaTheme="minorEastAsia" w:hAnsi="Cambria Math" w:cstheme="minorBidi"/>
                                          <w:i/>
                                          <w:iCs/>
                                          <w:color w:val="4E4D4D"/>
                                          <w:kern w:val="24"/>
                                          <w:sz w:val="20"/>
                                        </w:rPr>
                                      </m:ctrlPr>
                                    </m:fPr>
                                    <m:num>
                                      <m:r>
                                        <m:rPr>
                                          <m:sty m:val="p"/>
                                        </m:rPr>
                                        <w:rPr>
                                          <w:rFonts w:ascii="Cambria Math" w:hAnsi="Cambria Math" w:cstheme="minorBidi"/>
                                          <w:color w:val="4E4D4D"/>
                                          <w:kern w:val="24"/>
                                          <w:sz w:val="20"/>
                                        </w:rPr>
                                        <m:t>AOM</m:t>
                                      </m:r>
                                    </m:num>
                                    <m:den>
                                      <m:r>
                                        <m:rPr>
                                          <m:sty m:val="p"/>
                                        </m:rPr>
                                        <w:rPr>
                                          <w:rFonts w:ascii="Cambria Math" w:hAnsi="Cambria Math" w:cstheme="minorBidi"/>
                                          <w:color w:val="4E4D4D"/>
                                          <w:kern w:val="24"/>
                                          <w:sz w:val="20"/>
                                        </w:rPr>
                                        <m:t>factura</m:t>
                                      </m:r>
                                    </m:den>
                                  </m:f>
                                </m:e>
                              </m:d>
                            </m:e>
                            <m:sub>
                              <m:r>
                                <m:rPr>
                                  <m:sty m:val="p"/>
                                </m:rPr>
                                <w:rPr>
                                  <w:rFonts w:ascii="Cambria Math" w:hAnsi="Cambria Math" w:cstheme="minorBidi"/>
                                  <w:color w:val="4E4D4D"/>
                                  <w:kern w:val="24"/>
                                  <w:sz w:val="20"/>
                                </w:rPr>
                                <m:t>eficiente</m:t>
                              </m:r>
                            </m:sub>
                          </m:sSub>
                          <m:r>
                            <m:rPr>
                              <m:sty m:val="p"/>
                            </m:rPr>
                            <w:rPr>
                              <w:rFonts w:ascii="Cambria Math" w:hAnsi="Cambria Math" w:cstheme="minorBidi"/>
                              <w:color w:val="4E4D4D"/>
                              <w:kern w:val="24"/>
                              <w:sz w:val="20"/>
                            </w:rPr>
                            <m:t>=Min</m:t>
                          </m:r>
                          <m:d>
                            <m:dPr>
                              <m:begChr m:val="{"/>
                              <m:endChr m:val="}"/>
                              <m:ctrlPr>
                                <w:rPr>
                                  <w:rFonts w:ascii="Cambria Math" w:eastAsiaTheme="minorEastAsia" w:hAnsi="Cambria Math" w:cstheme="minorBidi"/>
                                  <w:i/>
                                  <w:iCs/>
                                  <w:color w:val="4E4D4D"/>
                                  <w:kern w:val="24"/>
                                  <w:sz w:val="20"/>
                                </w:rPr>
                              </m:ctrlPr>
                            </m:dPr>
                            <m:e>
                              <m:f>
                                <m:fPr>
                                  <m:ctrlPr>
                                    <w:rPr>
                                      <w:rFonts w:ascii="Cambria Math" w:eastAsiaTheme="minorEastAsia" w:hAnsi="Cambria Math" w:cstheme="minorBidi"/>
                                      <w:i/>
                                      <w:iCs/>
                                      <w:color w:val="4E4D4D"/>
                                      <w:kern w:val="24"/>
                                      <w:sz w:val="20"/>
                                    </w:rPr>
                                  </m:ctrlPr>
                                </m:fPr>
                                <m:num>
                                  <m:r>
                                    <m:rPr>
                                      <m:sty m:val="p"/>
                                    </m:rPr>
                                    <w:rPr>
                                      <w:rFonts w:ascii="Cambria Math" w:hAnsi="Cambria Math" w:cstheme="minorBidi"/>
                                      <w:color w:val="4E4D4D"/>
                                      <w:kern w:val="24"/>
                                      <w:sz w:val="20"/>
                                    </w:rPr>
                                    <m:t>AO</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M</m:t>
                                      </m:r>
                                    </m:e>
                                    <m:sub>
                                      <m:r>
                                        <m:rPr>
                                          <m:sty m:val="p"/>
                                        </m:rPr>
                                        <w:rPr>
                                          <w:rFonts w:ascii="Cambria Math" w:hAnsi="Cambria Math" w:cstheme="minorBidi"/>
                                          <w:color w:val="4E4D4D"/>
                                          <w:kern w:val="24"/>
                                          <w:sz w:val="20"/>
                                        </w:rPr>
                                        <m:t>r</m:t>
                                      </m:r>
                                    </m:sub>
                                  </m:sSub>
                                </m:num>
                                <m:den>
                                  <m:r>
                                    <m:rPr>
                                      <m:sty m:val="p"/>
                                    </m:rPr>
                                    <w:rPr>
                                      <w:rFonts w:ascii="Cambria Math" w:hAnsi="Cambria Math" w:cstheme="minorBidi"/>
                                      <w:color w:val="4E4D4D"/>
                                      <w:kern w:val="24"/>
                                      <w:sz w:val="20"/>
                                    </w:rPr>
                                    <m:t>#</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facturas</m:t>
                                      </m:r>
                                    </m:e>
                                    <m:sub>
                                      <m:r>
                                        <m:rPr>
                                          <m:sty m:val="p"/>
                                        </m:rPr>
                                        <w:rPr>
                                          <w:rFonts w:ascii="Cambria Math" w:hAnsi="Cambria Math" w:cstheme="minorBidi"/>
                                          <w:color w:val="4E4D4D"/>
                                          <w:kern w:val="24"/>
                                          <w:sz w:val="20"/>
                                        </w:rPr>
                                        <m:t>r</m:t>
                                      </m:r>
                                    </m:sub>
                                  </m:sSub>
                                </m:den>
                              </m:f>
                              <m:r>
                                <m:rPr>
                                  <m:sty m:val="p"/>
                                </m:rPr>
                                <w:rPr>
                                  <w:rFonts w:ascii="Cambria Math" w:hAnsi="Cambria Math" w:cstheme="minorBidi"/>
                                  <w:color w:val="4E4D4D"/>
                                  <w:kern w:val="24"/>
                                  <w:sz w:val="20"/>
                                </w:rPr>
                                <m:t>;</m:t>
                              </m:r>
                              <m:f>
                                <m:fPr>
                                  <m:ctrlPr>
                                    <w:rPr>
                                      <w:rFonts w:ascii="Cambria Math" w:eastAsiaTheme="minorEastAsia" w:hAnsi="Cambria Math" w:cstheme="minorBidi"/>
                                      <w:i/>
                                      <w:iCs/>
                                      <w:color w:val="4E4D4D"/>
                                      <w:kern w:val="24"/>
                                      <w:sz w:val="20"/>
                                    </w:rPr>
                                  </m:ctrlPr>
                                </m:fPr>
                                <m:num>
                                  <m:f>
                                    <m:fPr>
                                      <m:ctrlPr>
                                        <w:rPr>
                                          <w:rFonts w:ascii="Cambria Math" w:eastAsiaTheme="minorEastAsia" w:hAnsi="Cambria Math" w:cstheme="minorBidi"/>
                                          <w:i/>
                                          <w:iCs/>
                                          <w:color w:val="4E4D4D"/>
                                          <w:kern w:val="24"/>
                                          <w:sz w:val="20"/>
                                        </w:rPr>
                                      </m:ctrlPr>
                                    </m:fPr>
                                    <m:num>
                                      <m:r>
                                        <m:rPr>
                                          <m:sty m:val="p"/>
                                        </m:rPr>
                                        <w:rPr>
                                          <w:rFonts w:ascii="Cambria Math" w:hAnsi="Cambria Math" w:cstheme="minorBidi"/>
                                          <w:color w:val="4E4D4D"/>
                                          <w:kern w:val="24"/>
                                          <w:sz w:val="20"/>
                                        </w:rPr>
                                        <m:t>AO</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M</m:t>
                                          </m:r>
                                        </m:e>
                                        <m:sub>
                                          <m:r>
                                            <m:rPr>
                                              <m:sty m:val="p"/>
                                            </m:rPr>
                                            <w:rPr>
                                              <w:rFonts w:ascii="Cambria Math" w:hAnsi="Cambria Math" w:cstheme="minorBidi"/>
                                              <w:color w:val="4E4D4D"/>
                                              <w:kern w:val="24"/>
                                              <w:sz w:val="20"/>
                                            </w:rPr>
                                            <m:t>r</m:t>
                                          </m:r>
                                        </m:sub>
                                      </m:sSub>
                                    </m:num>
                                    <m:den>
                                      <m:r>
                                        <m:rPr>
                                          <m:sty m:val="p"/>
                                        </m:rPr>
                                        <w:rPr>
                                          <w:rFonts w:ascii="Cambria Math" w:hAnsi="Cambria Math" w:cstheme="minorBidi"/>
                                          <w:color w:val="4E4D4D"/>
                                          <w:kern w:val="24"/>
                                          <w:sz w:val="20"/>
                                        </w:rPr>
                                        <m:t>#factura</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s</m:t>
                                          </m:r>
                                        </m:e>
                                        <m:sub>
                                          <m:r>
                                            <m:rPr>
                                              <m:sty m:val="p"/>
                                            </m:rPr>
                                            <w:rPr>
                                              <w:rFonts w:ascii="Cambria Math" w:hAnsi="Cambria Math" w:cstheme="minorBidi"/>
                                              <w:color w:val="4E4D4D"/>
                                              <w:kern w:val="24"/>
                                              <w:sz w:val="20"/>
                                            </w:rPr>
                                            <m:t>r</m:t>
                                          </m:r>
                                        </m:sub>
                                      </m:sSub>
                                    </m:den>
                                  </m:f>
                                  <m:r>
                                    <m:rPr>
                                      <m:sty m:val="p"/>
                                    </m:rPr>
                                    <w:rPr>
                                      <w:rFonts w:ascii="Cambria Math" w:hAnsi="Cambria Math" w:cstheme="minorBidi"/>
                                      <w:color w:val="4E4D4D"/>
                                      <w:kern w:val="24"/>
                                      <w:sz w:val="20"/>
                                    </w:rPr>
                                    <m:t>+</m:t>
                                  </m:r>
                                  <m:f>
                                    <m:fPr>
                                      <m:ctrlPr>
                                        <w:rPr>
                                          <w:rFonts w:ascii="Cambria Math" w:eastAsiaTheme="minorEastAsia" w:hAnsi="Cambria Math" w:cstheme="minorBidi"/>
                                          <w:i/>
                                          <w:iCs/>
                                          <w:color w:val="4E4D4D"/>
                                          <w:kern w:val="24"/>
                                          <w:sz w:val="20"/>
                                        </w:rPr>
                                      </m:ctrlPr>
                                    </m:fPr>
                                    <m:num>
                                      <m:r>
                                        <m:rPr>
                                          <m:sty m:val="p"/>
                                        </m:rPr>
                                        <w:rPr>
                                          <w:rFonts w:ascii="Cambria Math" w:hAnsi="Cambria Math" w:cstheme="minorBidi"/>
                                          <w:color w:val="4E4D4D"/>
                                          <w:kern w:val="24"/>
                                          <w:sz w:val="20"/>
                                        </w:rPr>
                                        <m:t>AO</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M</m:t>
                                          </m:r>
                                        </m:e>
                                        <m:sub>
                                          <m:r>
                                            <m:rPr>
                                              <m:sty m:val="p"/>
                                            </m:rPr>
                                            <w:rPr>
                                              <w:rFonts w:ascii="Cambria Math" w:hAnsi="Cambria Math" w:cstheme="minorBidi"/>
                                              <w:color w:val="4E4D4D"/>
                                              <w:kern w:val="24"/>
                                              <w:sz w:val="20"/>
                                            </w:rPr>
                                            <m:t>rem</m:t>
                                          </m:r>
                                        </m:sub>
                                      </m:sSub>
                                    </m:num>
                                    <m:den>
                                      <m:r>
                                        <m:rPr>
                                          <m:sty m:val="p"/>
                                        </m:rPr>
                                        <w:rPr>
                                          <w:rFonts w:ascii="Cambria Math" w:hAnsi="Cambria Math" w:cstheme="minorBidi"/>
                                          <w:color w:val="4E4D4D"/>
                                          <w:kern w:val="24"/>
                                          <w:sz w:val="20"/>
                                        </w:rPr>
                                        <m:t>#fac</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t</m:t>
                                          </m:r>
                                        </m:e>
                                        <m:sub>
                                          <m:r>
                                            <m:rPr>
                                              <m:sty m:val="p"/>
                                            </m:rPr>
                                            <w:rPr>
                                              <w:rFonts w:ascii="Cambria Math" w:hAnsi="Cambria Math" w:cstheme="minorBidi"/>
                                              <w:color w:val="4E4D4D"/>
                                              <w:kern w:val="24"/>
                                              <w:sz w:val="20"/>
                                            </w:rPr>
                                            <m:t>Res.011</m:t>
                                          </m:r>
                                        </m:sub>
                                      </m:sSub>
                                    </m:den>
                                  </m:f>
                                </m:num>
                                <m:den>
                                  <m:r>
                                    <m:rPr>
                                      <m:sty m:val="p"/>
                                    </m:rPr>
                                    <w:rPr>
                                      <w:rFonts w:ascii="Cambria Math" w:hAnsi="Cambria Math" w:cstheme="minorBidi"/>
                                      <w:color w:val="4E4D4D"/>
                                      <w:kern w:val="24"/>
                                      <w:sz w:val="20"/>
                                    </w:rPr>
                                    <m:t>2</m:t>
                                  </m:r>
                                </m:den>
                              </m:f>
                              <m:r>
                                <m:rPr>
                                  <m:sty m:val="p"/>
                                </m:rPr>
                                <w:rPr>
                                  <w:rFonts w:ascii="Cambria Math" w:hAnsi="Cambria Math" w:cstheme="minorBidi"/>
                                  <w:color w:val="4E4D4D"/>
                                  <w:kern w:val="24"/>
                                  <w:sz w:val="20"/>
                                </w:rPr>
                                <m:t>;</m:t>
                              </m:r>
                              <m:sSub>
                                <m:sSubPr>
                                  <m:ctrlPr>
                                    <w:rPr>
                                      <w:rFonts w:ascii="Cambria Math" w:eastAsiaTheme="minorEastAsia" w:hAnsi="Cambria Math" w:cstheme="minorBidi"/>
                                      <w:i/>
                                      <w:iCs/>
                                      <w:color w:val="4E4D4D"/>
                                      <w:kern w:val="24"/>
                                      <w:sz w:val="20"/>
                                    </w:rPr>
                                  </m:ctrlPr>
                                </m:sSubPr>
                                <m:e>
                                  <m:d>
                                    <m:dPr>
                                      <m:ctrlPr>
                                        <w:rPr>
                                          <w:rFonts w:ascii="Cambria Math" w:eastAsiaTheme="minorEastAsia" w:hAnsi="Cambria Math" w:cstheme="minorBidi"/>
                                          <w:i/>
                                          <w:iCs/>
                                          <w:color w:val="4E4D4D"/>
                                          <w:kern w:val="24"/>
                                          <w:sz w:val="20"/>
                                        </w:rPr>
                                      </m:ctrlPr>
                                    </m:dPr>
                                    <m:e>
                                      <m:f>
                                        <m:fPr>
                                          <m:ctrlPr>
                                            <w:rPr>
                                              <w:rFonts w:ascii="Cambria Math" w:eastAsiaTheme="minorEastAsia" w:hAnsi="Cambria Math" w:cstheme="minorBidi"/>
                                              <w:i/>
                                              <w:iCs/>
                                              <w:color w:val="4E4D4D"/>
                                              <w:kern w:val="24"/>
                                              <w:sz w:val="20"/>
                                            </w:rPr>
                                          </m:ctrlPr>
                                        </m:fPr>
                                        <m:num>
                                          <m:r>
                                            <m:rPr>
                                              <m:sty m:val="p"/>
                                            </m:rPr>
                                            <w:rPr>
                                              <w:rFonts w:ascii="Cambria Math" w:hAnsi="Cambria Math" w:cstheme="minorBidi"/>
                                              <w:color w:val="4E4D4D"/>
                                              <w:kern w:val="24"/>
                                              <w:sz w:val="20"/>
                                            </w:rPr>
                                            <m:t>AOM</m:t>
                                          </m:r>
                                        </m:num>
                                        <m:den>
                                          <m:r>
                                            <m:rPr>
                                              <m:sty m:val="p"/>
                                            </m:rPr>
                                            <w:rPr>
                                              <w:rFonts w:ascii="Cambria Math" w:hAnsi="Cambria Math" w:cstheme="minorBidi"/>
                                              <w:color w:val="4E4D4D"/>
                                              <w:kern w:val="24"/>
                                              <w:sz w:val="20"/>
                                            </w:rPr>
                                            <m:t>factura</m:t>
                                          </m:r>
                                        </m:den>
                                      </m:f>
                                    </m:e>
                                  </m:d>
                                </m:e>
                                <m:sub>
                                  <m:func>
                                    <m:funcPr>
                                      <m:ctrlPr>
                                        <w:rPr>
                                          <w:rFonts w:ascii="Cambria Math" w:eastAsiaTheme="minorEastAsia" w:hAnsi="Cambria Math" w:cstheme="minorBidi"/>
                                          <w:i/>
                                          <w:iCs/>
                                          <w:color w:val="4E4D4D"/>
                                          <w:kern w:val="24"/>
                                          <w:sz w:val="20"/>
                                        </w:rPr>
                                      </m:ctrlPr>
                                    </m:funcPr>
                                    <m:fName>
                                      <m:r>
                                        <m:rPr>
                                          <m:sty m:val="p"/>
                                        </m:rPr>
                                        <w:rPr>
                                          <w:rFonts w:ascii="Cambria Math" w:hAnsi="Cambria Math" w:cstheme="minorBidi"/>
                                          <w:color w:val="4E4D4D"/>
                                          <w:kern w:val="24"/>
                                          <w:sz w:val="20"/>
                                        </w:rPr>
                                        <m:t>max</m:t>
                                      </m:r>
                                    </m:fName>
                                    <m:e>
                                      <m:r>
                                        <m:rPr>
                                          <m:sty m:val="p"/>
                                        </m:rPr>
                                        <w:rPr>
                                          <w:rFonts w:ascii="Cambria Math" w:hAnsi="Cambria Math" w:cstheme="minorBidi"/>
                                          <w:color w:val="4E4D4D"/>
                                          <w:kern w:val="24"/>
                                          <w:sz w:val="20"/>
                                        </w:rPr>
                                        <m:t>rec</m:t>
                                      </m:r>
                                    </m:e>
                                  </m:func>
                                </m:sub>
                              </m:sSub>
                              <m:r>
                                <m:rPr>
                                  <m:sty m:val="p"/>
                                </m:rPr>
                                <w:rPr>
                                  <w:rFonts w:ascii="Cambria Math" w:hAnsi="Cambria Math" w:cstheme="minorBidi"/>
                                  <w:color w:val="4E4D4D"/>
                                  <w:kern w:val="24"/>
                                  <w:sz w:val="20"/>
                                </w:rPr>
                                <m:t> </m:t>
                              </m:r>
                            </m:e>
                          </m:d>
                        </m:oMath>
                      </m:oMathPara>
                    </w:p>
                  </w:txbxContent>
                </v:textbox>
                <w10:anchorlock/>
              </v:shape>
            </w:pict>
          </mc:Fallback>
        </mc:AlternateContent>
      </w:r>
    </w:p>
    <w:p w14:paraId="45D4ED38" w14:textId="41CCDB87" w:rsidR="00AD3D60" w:rsidRPr="00AD3D60" w:rsidRDefault="00AD3D60" w:rsidP="00AD3D60">
      <w:pPr>
        <w:spacing w:before="100" w:beforeAutospacing="1" w:after="100" w:afterAutospacing="1" w:line="360" w:lineRule="auto"/>
        <w:jc w:val="center"/>
        <w:rPr>
          <w:szCs w:val="24"/>
        </w:rPr>
      </w:pPr>
      <w:r w:rsidRPr="00AD3D60">
        <w:rPr>
          <w:szCs w:val="24"/>
        </w:rPr>
        <w:t>Elaboración: CREG</w:t>
      </w:r>
    </w:p>
    <w:p w14:paraId="40FE81DE" w14:textId="2F85B804" w:rsidR="00B960F9" w:rsidRPr="001673C4" w:rsidRDefault="001673C4" w:rsidP="002F1961">
      <w:pPr>
        <w:spacing w:before="100" w:beforeAutospacing="1" w:after="100" w:afterAutospacing="1" w:line="360" w:lineRule="auto"/>
        <w:rPr>
          <w:szCs w:val="24"/>
        </w:rPr>
      </w:pPr>
      <w:r>
        <w:rPr>
          <w:szCs w:val="24"/>
        </w:rPr>
        <w:t xml:space="preserve">La </w:t>
      </w:r>
      <w:r w:rsidR="00AD3D60">
        <w:rPr>
          <w:szCs w:val="24"/>
        </w:rPr>
        <w:fldChar w:fldCharType="begin"/>
      </w:r>
      <w:r w:rsidR="00AD3D60">
        <w:rPr>
          <w:szCs w:val="24"/>
        </w:rPr>
        <w:instrText xml:space="preserve"> REF _Ref235109617 \h </w:instrText>
      </w:r>
      <w:r w:rsidR="00AD3D60">
        <w:rPr>
          <w:szCs w:val="24"/>
        </w:rPr>
      </w:r>
      <w:r w:rsidR="00AD3D60">
        <w:rPr>
          <w:szCs w:val="24"/>
        </w:rPr>
        <w:fldChar w:fldCharType="separate"/>
      </w:r>
      <w:r w:rsidR="00AD3D60" w:rsidRPr="00656615">
        <w:rPr>
          <w:lang w:val="es-ES"/>
        </w:rPr>
        <w:t xml:space="preserve">Figura </w:t>
      </w:r>
      <w:r w:rsidR="00AD3D60">
        <w:rPr>
          <w:noProof/>
          <w:lang w:val="es-ES"/>
        </w:rPr>
        <w:t>25</w:t>
      </w:r>
      <w:r w:rsidR="00AD3D60">
        <w:rPr>
          <w:szCs w:val="24"/>
        </w:rPr>
        <w:fldChar w:fldCharType="end"/>
      </w:r>
      <w:r w:rsidRPr="001673C4">
        <w:rPr>
          <w:szCs w:val="24"/>
        </w:rPr>
        <w:t xml:space="preserve"> </w:t>
      </w:r>
      <w:r w:rsidRPr="001673C4">
        <w:rPr>
          <w:szCs w:val="24"/>
        </w:rPr>
        <w:t>resume el criterio utilizado para reconocer los gastos eficientes de Administración, Operación y Mantenimiento (AOM) de la actividad de comercialización. Para ello, la metodología compara la información reportada por el comercializador con valores máximos definidos por la regulación, diferenciando el tratamiento entre mercados existentes y mercados nuevos.</w:t>
      </w:r>
    </w:p>
    <w:p w14:paraId="7FFA355A" w14:textId="05777B7B" w:rsidR="00B960F9" w:rsidRPr="00B960F9" w:rsidRDefault="00B960F9" w:rsidP="002F1961">
      <w:pPr>
        <w:spacing w:before="100" w:beforeAutospacing="1" w:after="100" w:afterAutospacing="1" w:line="360" w:lineRule="auto"/>
        <w:rPr>
          <w:szCs w:val="24"/>
        </w:rPr>
      </w:pPr>
      <w:r w:rsidRPr="00B960F9">
        <w:rPr>
          <w:szCs w:val="24"/>
        </w:rPr>
        <w:t xml:space="preserve">Para el reconocimiento de los gastos de Administración, Operación y Mantenimiento (AOM) de la actividad de comercialización, la regulación establece criterios de eficiencia diferenciados para mercados existentes y mercados nuevos. Las variables utilizadas para determinar el valor máximo susceptible de reconocimiento se presentan en la </w:t>
      </w:r>
      <w:r w:rsidR="00E05294" w:rsidRPr="0016668E">
        <w:rPr>
          <w:szCs w:val="24"/>
        </w:rPr>
        <w:fldChar w:fldCharType="begin"/>
      </w:r>
      <w:r w:rsidR="00E05294" w:rsidRPr="0016668E">
        <w:rPr>
          <w:szCs w:val="24"/>
        </w:rPr>
        <w:instrText xml:space="preserve"> REF _Ref235109972 \h </w:instrText>
      </w:r>
      <w:r w:rsidR="0016668E" w:rsidRPr="0016668E">
        <w:rPr>
          <w:szCs w:val="24"/>
        </w:rPr>
        <w:instrText xml:space="preserve"> \* MERGEFORMAT </w:instrText>
      </w:r>
      <w:r w:rsidR="00E05294" w:rsidRPr="0016668E">
        <w:rPr>
          <w:szCs w:val="24"/>
        </w:rPr>
      </w:r>
      <w:r w:rsidR="00E05294" w:rsidRPr="0016668E">
        <w:rPr>
          <w:szCs w:val="24"/>
        </w:rPr>
        <w:fldChar w:fldCharType="separate"/>
      </w:r>
      <w:r w:rsidR="00E05294" w:rsidRPr="0016668E">
        <w:rPr>
          <w:rFonts w:cs="Arial"/>
          <w:szCs w:val="24"/>
        </w:rPr>
        <w:t xml:space="preserve">Tabla </w:t>
      </w:r>
      <w:r w:rsidR="00E05294" w:rsidRPr="0016668E">
        <w:rPr>
          <w:rFonts w:cs="Arial"/>
          <w:noProof/>
          <w:szCs w:val="24"/>
        </w:rPr>
        <w:t>6</w:t>
      </w:r>
      <w:r w:rsidR="00E05294" w:rsidRPr="0016668E">
        <w:rPr>
          <w:szCs w:val="24"/>
        </w:rPr>
        <w:fldChar w:fldCharType="end"/>
      </w:r>
      <w:r w:rsidR="00E05294">
        <w:rPr>
          <w:szCs w:val="24"/>
        </w:rPr>
        <w:t>.</w:t>
      </w:r>
    </w:p>
    <w:p w14:paraId="0CD97773" w14:textId="551FE146" w:rsidR="00B960F9" w:rsidRPr="00E93914" w:rsidRDefault="00B960F9" w:rsidP="002F1961">
      <w:pPr>
        <w:pStyle w:val="Descripcin"/>
        <w:keepNext/>
        <w:spacing w:before="100" w:beforeAutospacing="1" w:after="100" w:afterAutospacing="1" w:line="360" w:lineRule="auto"/>
        <w:jc w:val="center"/>
        <w:rPr>
          <w:b w:val="0"/>
          <w:szCs w:val="24"/>
        </w:rPr>
      </w:pPr>
      <w:bookmarkStart w:id="100" w:name="_Ref235109966"/>
      <w:bookmarkStart w:id="101" w:name="_Ref235109972"/>
      <w:bookmarkStart w:id="102" w:name="_Toc235128403"/>
      <w:r w:rsidRPr="00E93914">
        <w:rPr>
          <w:rFonts w:cs="Arial"/>
          <w:b w:val="0"/>
          <w:szCs w:val="24"/>
        </w:rPr>
        <w:lastRenderedPageBreak/>
        <w:t xml:space="preserve">Tabla </w:t>
      </w:r>
      <w:r w:rsidRPr="00E93914">
        <w:rPr>
          <w:rFonts w:cs="Arial"/>
          <w:b w:val="0"/>
          <w:szCs w:val="24"/>
        </w:rPr>
        <w:fldChar w:fldCharType="begin"/>
      </w:r>
      <w:r w:rsidRPr="00E93914">
        <w:rPr>
          <w:rFonts w:cs="Arial"/>
          <w:b w:val="0"/>
          <w:szCs w:val="24"/>
        </w:rPr>
        <w:instrText xml:space="preserve"> SEQ Tabla \* ARABIC </w:instrText>
      </w:r>
      <w:r w:rsidRPr="00E93914">
        <w:rPr>
          <w:rFonts w:cs="Arial"/>
          <w:b w:val="0"/>
          <w:szCs w:val="24"/>
        </w:rPr>
        <w:fldChar w:fldCharType="separate"/>
      </w:r>
      <w:r w:rsidR="005306CB">
        <w:rPr>
          <w:rFonts w:cs="Arial"/>
          <w:b w:val="0"/>
          <w:noProof/>
          <w:szCs w:val="24"/>
        </w:rPr>
        <w:t>6</w:t>
      </w:r>
      <w:r w:rsidRPr="00E93914">
        <w:rPr>
          <w:rFonts w:cs="Arial"/>
          <w:b w:val="0"/>
          <w:szCs w:val="24"/>
        </w:rPr>
        <w:fldChar w:fldCharType="end"/>
      </w:r>
      <w:bookmarkEnd w:id="101"/>
      <w:r w:rsidRPr="00E93914">
        <w:rPr>
          <w:rFonts w:cs="Arial"/>
          <w:b w:val="0"/>
          <w:szCs w:val="24"/>
        </w:rPr>
        <w:t xml:space="preserve">. </w:t>
      </w:r>
      <w:r w:rsidR="002116B1" w:rsidRPr="00E93914">
        <w:rPr>
          <w:rFonts w:cs="Arial"/>
          <w:b w:val="0"/>
          <w:szCs w:val="24"/>
        </w:rPr>
        <w:t>Criterios para el reconocimiento eficiente de los gastos de Administración, Operación y Mantenimiento (AOM) de la actividad de comercialización</w:t>
      </w:r>
      <w:bookmarkEnd w:id="100"/>
      <w:bookmarkEnd w:id="102"/>
    </w:p>
    <w:tbl>
      <w:tblPr>
        <w:tblStyle w:val="Tablaconcuadrculaclar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039"/>
        <w:gridCol w:w="3410"/>
        <w:gridCol w:w="3947"/>
      </w:tblGrid>
      <w:tr w:rsidR="00AD40BD" w:rsidRPr="00AD40BD" w14:paraId="77EB5B16" w14:textId="77777777" w:rsidTr="00E05294">
        <w:trPr>
          <w:trHeight w:val="297"/>
        </w:trPr>
        <w:tc>
          <w:tcPr>
            <w:tcW w:w="0" w:type="auto"/>
            <w:shd w:val="clear" w:color="auto" w:fill="D9D9D9" w:themeFill="background1" w:themeFillShade="D9"/>
            <w:hideMark/>
          </w:tcPr>
          <w:p w14:paraId="27D92B91" w14:textId="77777777" w:rsidR="00AD40BD" w:rsidRPr="00AD40BD" w:rsidRDefault="00AD40BD" w:rsidP="002F1961">
            <w:pPr>
              <w:spacing w:before="100" w:beforeAutospacing="1" w:after="100" w:afterAutospacing="1" w:line="360" w:lineRule="auto"/>
              <w:jc w:val="center"/>
              <w:rPr>
                <w:rFonts w:cs="Arial"/>
                <w:b/>
                <w:bCs/>
                <w:sz w:val="20"/>
                <w:lang w:val="es-CO"/>
              </w:rPr>
            </w:pPr>
            <w:r w:rsidRPr="00AD40BD">
              <w:rPr>
                <w:rFonts w:cs="Arial"/>
                <w:b/>
                <w:bCs/>
                <w:sz w:val="20"/>
                <w:lang w:val="es-CO"/>
              </w:rPr>
              <w:t>Término</w:t>
            </w:r>
          </w:p>
        </w:tc>
        <w:tc>
          <w:tcPr>
            <w:tcW w:w="0" w:type="auto"/>
            <w:shd w:val="clear" w:color="auto" w:fill="D9D9D9" w:themeFill="background1" w:themeFillShade="D9"/>
            <w:hideMark/>
          </w:tcPr>
          <w:p w14:paraId="51692FB1" w14:textId="77777777" w:rsidR="00AD40BD" w:rsidRPr="00AD40BD" w:rsidRDefault="00AD40BD" w:rsidP="002F1961">
            <w:pPr>
              <w:spacing w:before="100" w:beforeAutospacing="1" w:after="100" w:afterAutospacing="1" w:line="360" w:lineRule="auto"/>
              <w:jc w:val="center"/>
              <w:rPr>
                <w:rFonts w:cs="Arial"/>
                <w:b/>
                <w:bCs/>
                <w:sz w:val="20"/>
                <w:lang w:val="es-CO"/>
              </w:rPr>
            </w:pPr>
            <w:r w:rsidRPr="00AD40BD">
              <w:rPr>
                <w:rFonts w:cs="Arial"/>
                <w:b/>
                <w:bCs/>
                <w:sz w:val="20"/>
                <w:lang w:val="es-CO"/>
              </w:rPr>
              <w:t>Mercados Existentes</w:t>
            </w:r>
          </w:p>
        </w:tc>
        <w:tc>
          <w:tcPr>
            <w:tcW w:w="0" w:type="auto"/>
            <w:shd w:val="clear" w:color="auto" w:fill="D9D9D9" w:themeFill="background1" w:themeFillShade="D9"/>
            <w:hideMark/>
          </w:tcPr>
          <w:p w14:paraId="4B578738" w14:textId="77777777" w:rsidR="00AD40BD" w:rsidRPr="00AD40BD" w:rsidRDefault="00AD40BD" w:rsidP="002F1961">
            <w:pPr>
              <w:spacing w:before="100" w:beforeAutospacing="1" w:after="100" w:afterAutospacing="1" w:line="360" w:lineRule="auto"/>
              <w:jc w:val="center"/>
              <w:rPr>
                <w:rFonts w:cs="Arial"/>
                <w:b/>
                <w:bCs/>
                <w:sz w:val="20"/>
                <w:lang w:val="es-CO"/>
              </w:rPr>
            </w:pPr>
            <w:r w:rsidRPr="00AD40BD">
              <w:rPr>
                <w:rFonts w:cs="Arial"/>
                <w:b/>
                <w:bCs/>
                <w:sz w:val="20"/>
                <w:lang w:val="es-CO"/>
              </w:rPr>
              <w:t>Mercados Nuevos</w:t>
            </w:r>
          </w:p>
        </w:tc>
      </w:tr>
      <w:tr w:rsidR="00AD40BD" w:rsidRPr="00AD40BD" w14:paraId="75AC7226" w14:textId="77777777" w:rsidTr="00E05294">
        <w:trPr>
          <w:trHeight w:val="584"/>
        </w:trPr>
        <w:tc>
          <w:tcPr>
            <w:tcW w:w="0" w:type="auto"/>
            <w:hideMark/>
          </w:tcPr>
          <w:p w14:paraId="1B1262D7" w14:textId="6E49843B" w:rsidR="00AD40BD" w:rsidRPr="00AD40BD" w:rsidRDefault="00000000" w:rsidP="00843F96">
            <w:pPr>
              <w:spacing w:before="100" w:beforeAutospacing="1" w:after="100" w:afterAutospacing="1" w:line="360" w:lineRule="auto"/>
              <w:jc w:val="center"/>
              <w:rPr>
                <w:rFonts w:cs="Arial"/>
                <w:sz w:val="20"/>
                <w:lang w:val="es-CO"/>
              </w:rPr>
            </w:pPr>
            <m:oMath>
              <m:f>
                <m:fPr>
                  <m:ctrlPr>
                    <w:rPr>
                      <w:rFonts w:ascii="Cambria Math" w:hAnsi="Cambria Math" w:cs="Arial"/>
                      <w:i/>
                      <w:iCs/>
                      <w:sz w:val="20"/>
                      <w:lang w:val="es-CO"/>
                    </w:rPr>
                  </m:ctrlPr>
                </m:fPr>
                <m:num>
                  <m:r>
                    <m:rPr>
                      <m:sty m:val="p"/>
                    </m:rPr>
                    <w:rPr>
                      <w:rFonts w:ascii="Cambria Math" w:hAnsi="Cambria Math" w:cs="Arial"/>
                      <w:sz w:val="20"/>
                      <w:lang w:val="es-CO"/>
                    </w:rPr>
                    <m:t>AO</m:t>
                  </m:r>
                  <m:sSub>
                    <m:sSubPr>
                      <m:ctrlPr>
                        <w:rPr>
                          <w:rFonts w:ascii="Cambria Math" w:hAnsi="Cambria Math" w:cs="Arial"/>
                          <w:i/>
                          <w:iCs/>
                          <w:sz w:val="20"/>
                          <w:lang w:val="es-CO"/>
                        </w:rPr>
                      </m:ctrlPr>
                    </m:sSubPr>
                    <m:e>
                      <m:r>
                        <m:rPr>
                          <m:sty m:val="p"/>
                        </m:rPr>
                        <w:rPr>
                          <w:rFonts w:ascii="Cambria Math" w:hAnsi="Cambria Math" w:cs="Arial"/>
                          <w:sz w:val="20"/>
                          <w:lang w:val="es-CO"/>
                        </w:rPr>
                        <m:t>M</m:t>
                      </m:r>
                    </m:e>
                    <m:sub>
                      <m:r>
                        <m:rPr>
                          <m:sty m:val="p"/>
                        </m:rPr>
                        <w:rPr>
                          <w:rFonts w:ascii="Cambria Math" w:hAnsi="Cambria Math" w:cs="Arial"/>
                          <w:sz w:val="20"/>
                          <w:lang w:val="es-CO"/>
                        </w:rPr>
                        <m:t>r</m:t>
                      </m:r>
                    </m:sub>
                  </m:sSub>
                </m:num>
                <m:den>
                  <m:r>
                    <m:rPr>
                      <m:sty m:val="p"/>
                    </m:rPr>
                    <w:rPr>
                      <w:rFonts w:ascii="Cambria Math" w:hAnsi="Cambria Math" w:cs="Arial"/>
                      <w:sz w:val="20"/>
                      <w:lang w:val="es-CO"/>
                    </w:rPr>
                    <m:t>#</m:t>
                  </m:r>
                  <m:sSub>
                    <m:sSubPr>
                      <m:ctrlPr>
                        <w:rPr>
                          <w:rFonts w:ascii="Cambria Math" w:hAnsi="Cambria Math" w:cs="Arial"/>
                          <w:i/>
                          <w:iCs/>
                          <w:sz w:val="20"/>
                          <w:lang w:val="es-CO"/>
                        </w:rPr>
                      </m:ctrlPr>
                    </m:sSubPr>
                    <m:e>
                      <m:r>
                        <m:rPr>
                          <m:sty m:val="p"/>
                        </m:rPr>
                        <w:rPr>
                          <w:rFonts w:ascii="Cambria Math" w:hAnsi="Cambria Math" w:cs="Arial"/>
                          <w:sz w:val="20"/>
                          <w:lang w:val="es-CO"/>
                        </w:rPr>
                        <m:t>facturas</m:t>
                      </m:r>
                    </m:e>
                    <m:sub>
                      <m:r>
                        <m:rPr>
                          <m:sty m:val="p"/>
                        </m:rPr>
                        <w:rPr>
                          <w:rFonts w:ascii="Cambria Math" w:hAnsi="Cambria Math" w:cs="Arial"/>
                          <w:sz w:val="20"/>
                          <w:lang w:val="es-CO"/>
                        </w:rPr>
                        <m:t>r</m:t>
                      </m:r>
                    </m:sub>
                  </m:sSub>
                </m:den>
              </m:f>
            </m:oMath>
            <w:r w:rsidR="00AD40BD" w:rsidRPr="00AD40BD">
              <w:rPr>
                <w:rFonts w:cs="Arial"/>
                <w:sz w:val="20"/>
                <w:lang w:val="es-CO"/>
              </w:rPr>
              <w:t xml:space="preserve">    (reportado)</w:t>
            </w:r>
          </w:p>
        </w:tc>
        <w:tc>
          <w:tcPr>
            <w:tcW w:w="0" w:type="auto"/>
            <w:hideMark/>
          </w:tcPr>
          <w:p w14:paraId="2B6691B9" w14:textId="77777777" w:rsidR="00AD40BD" w:rsidRPr="00AD40BD" w:rsidRDefault="00AD40BD" w:rsidP="002F1961">
            <w:pPr>
              <w:spacing w:before="100" w:beforeAutospacing="1" w:after="100" w:afterAutospacing="1" w:line="360" w:lineRule="auto"/>
              <w:rPr>
                <w:rFonts w:cs="Arial"/>
                <w:sz w:val="20"/>
                <w:lang w:val="es-CO"/>
              </w:rPr>
            </w:pPr>
            <w:r w:rsidRPr="00AD40BD">
              <w:rPr>
                <w:rFonts w:cs="Arial"/>
                <w:sz w:val="20"/>
                <w:lang w:val="es-CO"/>
              </w:rPr>
              <w:t>Relación entre los AOM reportados y asignados al mercado y el número de facturas del año de la Fecha de Corte.</w:t>
            </w:r>
          </w:p>
        </w:tc>
        <w:tc>
          <w:tcPr>
            <w:tcW w:w="0" w:type="auto"/>
            <w:hideMark/>
          </w:tcPr>
          <w:p w14:paraId="18F121DA" w14:textId="77777777" w:rsidR="00AD40BD" w:rsidRPr="00AD40BD" w:rsidRDefault="00AD40BD" w:rsidP="002F1961">
            <w:pPr>
              <w:spacing w:before="100" w:beforeAutospacing="1" w:after="100" w:afterAutospacing="1" w:line="360" w:lineRule="auto"/>
              <w:rPr>
                <w:rFonts w:cs="Arial"/>
                <w:sz w:val="20"/>
                <w:lang w:val="es-CO"/>
              </w:rPr>
            </w:pPr>
            <w:r w:rsidRPr="00AD40BD">
              <w:rPr>
                <w:rFonts w:cs="Arial"/>
                <w:sz w:val="20"/>
                <w:lang w:val="es-CO"/>
              </w:rPr>
              <w:t>Relación entre el promedio de los AOM proyectados para los primeros cinco (5) años y el número de facturas proyectadas para el quinto año.</w:t>
            </w:r>
          </w:p>
        </w:tc>
      </w:tr>
      <w:tr w:rsidR="00AD40BD" w:rsidRPr="00AD40BD" w14:paraId="1779708C" w14:textId="77777777" w:rsidTr="00E05294">
        <w:trPr>
          <w:trHeight w:val="584"/>
        </w:trPr>
        <w:tc>
          <w:tcPr>
            <w:tcW w:w="0" w:type="auto"/>
            <w:hideMark/>
          </w:tcPr>
          <w:p w14:paraId="73A4005B" w14:textId="2AD5F672" w:rsidR="00AD40BD" w:rsidRPr="00AD40BD" w:rsidRDefault="00000000" w:rsidP="00843F96">
            <w:pPr>
              <w:spacing w:before="100" w:beforeAutospacing="1" w:after="100" w:afterAutospacing="1" w:line="360" w:lineRule="auto"/>
              <w:jc w:val="center"/>
              <w:rPr>
                <w:rFonts w:cs="Arial"/>
                <w:sz w:val="20"/>
                <w:lang w:val="es-CO"/>
              </w:rPr>
            </w:pPr>
            <m:oMath>
              <m:f>
                <m:fPr>
                  <m:ctrlPr>
                    <w:rPr>
                      <w:rFonts w:ascii="Cambria Math" w:hAnsi="Cambria Math" w:cs="Arial"/>
                      <w:i/>
                      <w:iCs/>
                      <w:sz w:val="20"/>
                      <w:lang w:val="es-CO"/>
                    </w:rPr>
                  </m:ctrlPr>
                </m:fPr>
                <m:num>
                  <m:f>
                    <m:fPr>
                      <m:ctrlPr>
                        <w:rPr>
                          <w:rFonts w:ascii="Cambria Math" w:hAnsi="Cambria Math" w:cs="Arial"/>
                          <w:i/>
                          <w:iCs/>
                          <w:sz w:val="20"/>
                          <w:lang w:val="es-CO"/>
                        </w:rPr>
                      </m:ctrlPr>
                    </m:fPr>
                    <m:num>
                      <m:r>
                        <m:rPr>
                          <m:sty m:val="p"/>
                        </m:rPr>
                        <w:rPr>
                          <w:rFonts w:ascii="Cambria Math" w:hAnsi="Cambria Math" w:cs="Arial"/>
                          <w:sz w:val="20"/>
                          <w:lang w:val="es-CO"/>
                        </w:rPr>
                        <m:t>AO</m:t>
                      </m:r>
                      <m:sSub>
                        <m:sSubPr>
                          <m:ctrlPr>
                            <w:rPr>
                              <w:rFonts w:ascii="Cambria Math" w:hAnsi="Cambria Math" w:cs="Arial"/>
                              <w:i/>
                              <w:iCs/>
                              <w:sz w:val="20"/>
                              <w:lang w:val="es-CO"/>
                            </w:rPr>
                          </m:ctrlPr>
                        </m:sSubPr>
                        <m:e>
                          <m:r>
                            <m:rPr>
                              <m:sty m:val="p"/>
                            </m:rPr>
                            <w:rPr>
                              <w:rFonts w:ascii="Cambria Math" w:hAnsi="Cambria Math" w:cs="Arial"/>
                              <w:sz w:val="20"/>
                              <w:lang w:val="es-CO"/>
                            </w:rPr>
                            <m:t>M</m:t>
                          </m:r>
                        </m:e>
                        <m:sub>
                          <m:r>
                            <m:rPr>
                              <m:sty m:val="p"/>
                            </m:rPr>
                            <w:rPr>
                              <w:rFonts w:ascii="Cambria Math" w:hAnsi="Cambria Math" w:cs="Arial"/>
                              <w:sz w:val="20"/>
                              <w:lang w:val="es-CO"/>
                            </w:rPr>
                            <m:t>r</m:t>
                          </m:r>
                        </m:sub>
                      </m:sSub>
                    </m:num>
                    <m:den>
                      <m:r>
                        <m:rPr>
                          <m:sty m:val="p"/>
                        </m:rPr>
                        <w:rPr>
                          <w:rFonts w:ascii="Cambria Math" w:hAnsi="Cambria Math" w:cs="Arial"/>
                          <w:sz w:val="20"/>
                          <w:lang w:val="es-CO"/>
                        </w:rPr>
                        <m:t>#factura</m:t>
                      </m:r>
                      <m:sSub>
                        <m:sSubPr>
                          <m:ctrlPr>
                            <w:rPr>
                              <w:rFonts w:ascii="Cambria Math" w:hAnsi="Cambria Math" w:cs="Arial"/>
                              <w:i/>
                              <w:iCs/>
                              <w:sz w:val="20"/>
                              <w:lang w:val="es-CO"/>
                            </w:rPr>
                          </m:ctrlPr>
                        </m:sSubPr>
                        <m:e>
                          <m:r>
                            <m:rPr>
                              <m:sty m:val="p"/>
                            </m:rPr>
                            <w:rPr>
                              <w:rFonts w:ascii="Cambria Math" w:hAnsi="Cambria Math" w:cs="Arial"/>
                              <w:sz w:val="20"/>
                              <w:lang w:val="es-CO"/>
                            </w:rPr>
                            <m:t>s</m:t>
                          </m:r>
                        </m:e>
                        <m:sub>
                          <m:r>
                            <m:rPr>
                              <m:sty m:val="p"/>
                            </m:rPr>
                            <w:rPr>
                              <w:rFonts w:ascii="Cambria Math" w:hAnsi="Cambria Math" w:cs="Arial"/>
                              <w:sz w:val="20"/>
                              <w:lang w:val="es-CO"/>
                            </w:rPr>
                            <m:t>r</m:t>
                          </m:r>
                        </m:sub>
                      </m:sSub>
                    </m:den>
                  </m:f>
                  <m:r>
                    <m:rPr>
                      <m:sty m:val="p"/>
                    </m:rPr>
                    <w:rPr>
                      <w:rFonts w:ascii="Cambria Math" w:hAnsi="Cambria Math" w:cs="Arial"/>
                      <w:sz w:val="20"/>
                      <w:lang w:val="es-CO"/>
                    </w:rPr>
                    <m:t>+</m:t>
                  </m:r>
                  <m:f>
                    <m:fPr>
                      <m:ctrlPr>
                        <w:rPr>
                          <w:rFonts w:ascii="Cambria Math" w:hAnsi="Cambria Math" w:cs="Arial"/>
                          <w:i/>
                          <w:iCs/>
                          <w:sz w:val="20"/>
                          <w:lang w:val="es-CO"/>
                        </w:rPr>
                      </m:ctrlPr>
                    </m:fPr>
                    <m:num>
                      <m:r>
                        <m:rPr>
                          <m:sty m:val="p"/>
                        </m:rPr>
                        <w:rPr>
                          <w:rFonts w:ascii="Cambria Math" w:hAnsi="Cambria Math" w:cs="Arial"/>
                          <w:sz w:val="20"/>
                          <w:lang w:val="es-CO"/>
                        </w:rPr>
                        <m:t>AO</m:t>
                      </m:r>
                      <m:sSub>
                        <m:sSubPr>
                          <m:ctrlPr>
                            <w:rPr>
                              <w:rFonts w:ascii="Cambria Math" w:hAnsi="Cambria Math" w:cs="Arial"/>
                              <w:i/>
                              <w:iCs/>
                              <w:sz w:val="20"/>
                              <w:lang w:val="es-CO"/>
                            </w:rPr>
                          </m:ctrlPr>
                        </m:sSubPr>
                        <m:e>
                          <m:r>
                            <m:rPr>
                              <m:sty m:val="p"/>
                            </m:rPr>
                            <w:rPr>
                              <w:rFonts w:ascii="Cambria Math" w:hAnsi="Cambria Math" w:cs="Arial"/>
                              <w:sz w:val="20"/>
                              <w:lang w:val="es-CO"/>
                            </w:rPr>
                            <m:t>M</m:t>
                          </m:r>
                        </m:e>
                        <m:sub>
                          <m:r>
                            <m:rPr>
                              <m:sty m:val="p"/>
                            </m:rPr>
                            <w:rPr>
                              <w:rFonts w:ascii="Cambria Math" w:hAnsi="Cambria Math" w:cs="Arial"/>
                              <w:sz w:val="20"/>
                              <w:lang w:val="es-CO"/>
                            </w:rPr>
                            <m:t>rem</m:t>
                          </m:r>
                        </m:sub>
                      </m:sSub>
                    </m:num>
                    <m:den>
                      <m:r>
                        <m:rPr>
                          <m:sty m:val="p"/>
                        </m:rPr>
                        <w:rPr>
                          <w:rFonts w:ascii="Cambria Math" w:hAnsi="Cambria Math" w:cs="Arial"/>
                          <w:sz w:val="20"/>
                          <w:lang w:val="es-CO"/>
                        </w:rPr>
                        <m:t>#fac</m:t>
                      </m:r>
                      <m:sSub>
                        <m:sSubPr>
                          <m:ctrlPr>
                            <w:rPr>
                              <w:rFonts w:ascii="Cambria Math" w:hAnsi="Cambria Math" w:cs="Arial"/>
                              <w:i/>
                              <w:iCs/>
                              <w:sz w:val="20"/>
                              <w:lang w:val="es-CO"/>
                            </w:rPr>
                          </m:ctrlPr>
                        </m:sSubPr>
                        <m:e>
                          <m:r>
                            <m:rPr>
                              <m:sty m:val="p"/>
                            </m:rPr>
                            <w:rPr>
                              <w:rFonts w:ascii="Cambria Math" w:hAnsi="Cambria Math" w:cs="Arial"/>
                              <w:sz w:val="20"/>
                              <w:lang w:val="es-CO"/>
                            </w:rPr>
                            <m:t>t</m:t>
                          </m:r>
                        </m:e>
                        <m:sub>
                          <m:r>
                            <m:rPr>
                              <m:sty m:val="p"/>
                            </m:rPr>
                            <w:rPr>
                              <w:rFonts w:ascii="Cambria Math" w:hAnsi="Cambria Math" w:cs="Arial"/>
                              <w:sz w:val="20"/>
                              <w:lang w:val="es-CO"/>
                            </w:rPr>
                            <m:t>Res.011</m:t>
                          </m:r>
                        </m:sub>
                      </m:sSub>
                    </m:den>
                  </m:f>
                </m:num>
                <m:den>
                  <m:r>
                    <m:rPr>
                      <m:sty m:val="p"/>
                    </m:rPr>
                    <w:rPr>
                      <w:rFonts w:ascii="Cambria Math" w:hAnsi="Cambria Math" w:cs="Arial"/>
                      <w:sz w:val="20"/>
                      <w:lang w:val="es-CO"/>
                    </w:rPr>
                    <m:t>2</m:t>
                  </m:r>
                </m:den>
              </m:f>
            </m:oMath>
            <w:r w:rsidR="00AD40BD" w:rsidRPr="00AD40BD">
              <w:rPr>
                <w:rFonts w:cs="Arial"/>
                <w:sz w:val="20"/>
                <w:lang w:val="es-CO"/>
              </w:rPr>
              <w:t xml:space="preserve">   (semi-suma)</w:t>
            </w:r>
          </w:p>
        </w:tc>
        <w:tc>
          <w:tcPr>
            <w:tcW w:w="0" w:type="auto"/>
            <w:hideMark/>
          </w:tcPr>
          <w:p w14:paraId="75AE9A44" w14:textId="668F4AE9" w:rsidR="00AD40BD" w:rsidRPr="00AD40BD" w:rsidRDefault="00AD40BD" w:rsidP="002F1961">
            <w:pPr>
              <w:spacing w:before="100" w:beforeAutospacing="1" w:after="100" w:afterAutospacing="1" w:line="360" w:lineRule="auto"/>
              <w:rPr>
                <w:rFonts w:cs="Arial"/>
                <w:sz w:val="20"/>
                <w:lang w:val="es-CO"/>
              </w:rPr>
            </w:pPr>
            <w:r w:rsidRPr="00AD40BD">
              <w:rPr>
                <w:rFonts w:cs="Arial"/>
                <w:sz w:val="20"/>
                <w:lang w:val="es-CO"/>
              </w:rPr>
              <w:t>Promedio entre la relación de AOM/facturas reconocidas en el cargo anterior y el reportado.</w:t>
            </w:r>
          </w:p>
        </w:tc>
        <w:tc>
          <w:tcPr>
            <w:tcW w:w="0" w:type="auto"/>
            <w:hideMark/>
          </w:tcPr>
          <w:p w14:paraId="4661229B" w14:textId="77777777" w:rsidR="00AD40BD" w:rsidRPr="00AD40BD" w:rsidRDefault="00AD40BD" w:rsidP="002F1961">
            <w:pPr>
              <w:spacing w:before="100" w:beforeAutospacing="1" w:after="100" w:afterAutospacing="1" w:line="360" w:lineRule="auto"/>
              <w:rPr>
                <w:rFonts w:cs="Arial"/>
                <w:sz w:val="20"/>
                <w:lang w:val="es-CO"/>
              </w:rPr>
            </w:pPr>
            <w:r w:rsidRPr="00AD40BD">
              <w:rPr>
                <w:rFonts w:cs="Arial"/>
                <w:sz w:val="20"/>
                <w:lang w:val="es-CO"/>
              </w:rPr>
              <w:t>No aplica</w:t>
            </w:r>
          </w:p>
        </w:tc>
      </w:tr>
      <w:tr w:rsidR="00AD40BD" w:rsidRPr="00AD40BD" w14:paraId="61A37187" w14:textId="77777777" w:rsidTr="00E05294">
        <w:trPr>
          <w:trHeight w:val="584"/>
        </w:trPr>
        <w:tc>
          <w:tcPr>
            <w:tcW w:w="0" w:type="auto"/>
            <w:hideMark/>
          </w:tcPr>
          <w:p w14:paraId="28DF7557" w14:textId="7C70FC73" w:rsidR="00AD40BD" w:rsidRPr="00AD40BD" w:rsidRDefault="00000000" w:rsidP="00843F96">
            <w:pPr>
              <w:spacing w:before="100" w:beforeAutospacing="1" w:after="100" w:afterAutospacing="1" w:line="360" w:lineRule="auto"/>
              <w:jc w:val="center"/>
              <w:rPr>
                <w:rFonts w:cs="Arial"/>
                <w:sz w:val="20"/>
                <w:lang w:val="es-CO"/>
              </w:rPr>
            </w:pPr>
            <m:oMath>
              <m:sSub>
                <m:sSubPr>
                  <m:ctrlPr>
                    <w:rPr>
                      <w:rFonts w:ascii="Cambria Math" w:hAnsi="Cambria Math" w:cs="Arial"/>
                      <w:i/>
                      <w:iCs/>
                      <w:sz w:val="20"/>
                      <w:lang w:val="es-CO"/>
                    </w:rPr>
                  </m:ctrlPr>
                </m:sSubPr>
                <m:e>
                  <m:d>
                    <m:dPr>
                      <m:ctrlPr>
                        <w:rPr>
                          <w:rFonts w:ascii="Cambria Math" w:hAnsi="Cambria Math" w:cs="Arial"/>
                          <w:i/>
                          <w:iCs/>
                          <w:sz w:val="20"/>
                          <w:lang w:val="es-CO"/>
                        </w:rPr>
                      </m:ctrlPr>
                    </m:dPr>
                    <m:e>
                      <m:f>
                        <m:fPr>
                          <m:ctrlPr>
                            <w:rPr>
                              <w:rFonts w:ascii="Cambria Math" w:hAnsi="Cambria Math" w:cs="Arial"/>
                              <w:i/>
                              <w:iCs/>
                              <w:sz w:val="20"/>
                              <w:lang w:val="es-CO"/>
                            </w:rPr>
                          </m:ctrlPr>
                        </m:fPr>
                        <m:num>
                          <m:r>
                            <m:rPr>
                              <m:sty m:val="p"/>
                            </m:rPr>
                            <w:rPr>
                              <w:rFonts w:ascii="Cambria Math" w:hAnsi="Cambria Math" w:cs="Arial"/>
                              <w:sz w:val="20"/>
                              <w:lang w:val="es-CO"/>
                            </w:rPr>
                            <m:t>AOM</m:t>
                          </m:r>
                        </m:num>
                        <m:den>
                          <m:r>
                            <m:rPr>
                              <m:sty m:val="p"/>
                            </m:rPr>
                            <w:rPr>
                              <w:rFonts w:ascii="Cambria Math" w:hAnsi="Cambria Math" w:cs="Arial"/>
                              <w:sz w:val="20"/>
                              <w:lang w:val="es-CO"/>
                            </w:rPr>
                            <m:t>factura</m:t>
                          </m:r>
                        </m:den>
                      </m:f>
                    </m:e>
                  </m:d>
                </m:e>
                <m:sub>
                  <m:func>
                    <m:funcPr>
                      <m:ctrlPr>
                        <w:rPr>
                          <w:rFonts w:ascii="Cambria Math" w:hAnsi="Cambria Math" w:cs="Arial"/>
                          <w:i/>
                          <w:iCs/>
                          <w:sz w:val="20"/>
                          <w:lang w:val="es-CO"/>
                        </w:rPr>
                      </m:ctrlPr>
                    </m:funcPr>
                    <m:fName>
                      <m:r>
                        <m:rPr>
                          <m:sty m:val="p"/>
                        </m:rPr>
                        <w:rPr>
                          <w:rFonts w:ascii="Cambria Math" w:hAnsi="Cambria Math" w:cs="Arial"/>
                          <w:sz w:val="20"/>
                          <w:lang w:val="es-CO"/>
                        </w:rPr>
                        <m:t>max</m:t>
                      </m:r>
                    </m:fName>
                    <m:e>
                      <m:r>
                        <m:rPr>
                          <m:sty m:val="p"/>
                        </m:rPr>
                        <w:rPr>
                          <w:rFonts w:ascii="Cambria Math" w:hAnsi="Cambria Math" w:cs="Arial"/>
                          <w:sz w:val="20"/>
                          <w:lang w:val="es-CO"/>
                        </w:rPr>
                        <m:t>rec</m:t>
                      </m:r>
                    </m:e>
                  </m:func>
                </m:sub>
              </m:sSub>
            </m:oMath>
            <w:r w:rsidR="00AD40BD" w:rsidRPr="00AD40BD">
              <w:rPr>
                <w:rFonts w:cs="Arial"/>
                <w:sz w:val="20"/>
                <w:lang w:val="es-CO"/>
              </w:rPr>
              <w:t xml:space="preserve">   (techo)</w:t>
            </w:r>
          </w:p>
        </w:tc>
        <w:tc>
          <w:tcPr>
            <w:tcW w:w="0" w:type="auto"/>
            <w:hideMark/>
          </w:tcPr>
          <w:p w14:paraId="1FA55337" w14:textId="77777777" w:rsidR="00AD40BD" w:rsidRPr="00AD40BD" w:rsidRDefault="00AD40BD" w:rsidP="002F1961">
            <w:pPr>
              <w:spacing w:before="100" w:beforeAutospacing="1" w:after="100" w:afterAutospacing="1" w:line="360" w:lineRule="auto"/>
              <w:rPr>
                <w:rFonts w:cs="Arial"/>
                <w:sz w:val="20"/>
                <w:lang w:val="es-CO"/>
              </w:rPr>
            </w:pPr>
            <w:r w:rsidRPr="00AD40BD">
              <w:rPr>
                <w:rFonts w:cs="Arial"/>
                <w:sz w:val="20"/>
                <w:lang w:val="es-CO"/>
              </w:rPr>
              <w:t xml:space="preserve">AOM/facturas máximo a reconocer según </w:t>
            </w:r>
            <w:proofErr w:type="spellStart"/>
            <w:proofErr w:type="gramStart"/>
            <w:r w:rsidRPr="00AD40BD">
              <w:rPr>
                <w:rFonts w:cs="Arial"/>
                <w:sz w:val="20"/>
                <w:lang w:val="es-CO"/>
              </w:rPr>
              <w:t>clusters</w:t>
            </w:r>
            <w:proofErr w:type="spellEnd"/>
            <w:proofErr w:type="gramEnd"/>
            <w:r w:rsidRPr="00AD40BD">
              <w:rPr>
                <w:rFonts w:cs="Arial"/>
                <w:sz w:val="20"/>
                <w:lang w:val="es-CO"/>
              </w:rPr>
              <w:t xml:space="preserve"> de municipios.</w:t>
            </w:r>
          </w:p>
        </w:tc>
        <w:tc>
          <w:tcPr>
            <w:tcW w:w="0" w:type="auto"/>
            <w:hideMark/>
          </w:tcPr>
          <w:p w14:paraId="247618D5" w14:textId="77777777" w:rsidR="00AD40BD" w:rsidRPr="00AD40BD" w:rsidRDefault="00AD40BD" w:rsidP="002F1961">
            <w:pPr>
              <w:spacing w:before="100" w:beforeAutospacing="1" w:after="100" w:afterAutospacing="1" w:line="360" w:lineRule="auto"/>
              <w:rPr>
                <w:rFonts w:cs="Arial"/>
                <w:sz w:val="20"/>
                <w:lang w:val="es-CO"/>
              </w:rPr>
            </w:pPr>
            <w:r w:rsidRPr="00AD40BD">
              <w:rPr>
                <w:rFonts w:cs="Arial"/>
                <w:sz w:val="20"/>
                <w:lang w:val="es-CO"/>
              </w:rPr>
              <w:t xml:space="preserve">AOM/facturas máximo a reconocer según </w:t>
            </w:r>
            <w:proofErr w:type="spellStart"/>
            <w:proofErr w:type="gramStart"/>
            <w:r w:rsidRPr="00AD40BD">
              <w:rPr>
                <w:rFonts w:cs="Arial"/>
                <w:sz w:val="20"/>
                <w:lang w:val="es-CO"/>
              </w:rPr>
              <w:t>clusters</w:t>
            </w:r>
            <w:proofErr w:type="spellEnd"/>
            <w:proofErr w:type="gramEnd"/>
            <w:r w:rsidRPr="00AD40BD">
              <w:rPr>
                <w:rFonts w:cs="Arial"/>
                <w:sz w:val="20"/>
                <w:lang w:val="es-CO"/>
              </w:rPr>
              <w:t xml:space="preserve"> de municipios.</w:t>
            </w:r>
          </w:p>
        </w:tc>
      </w:tr>
    </w:tbl>
    <w:p w14:paraId="0DC1C718" w14:textId="5D3B6060" w:rsidR="00E83082" w:rsidRPr="00D027F7" w:rsidRDefault="005F2052" w:rsidP="002F1961">
      <w:pPr>
        <w:spacing w:before="100" w:beforeAutospacing="1" w:after="100" w:afterAutospacing="1" w:line="360" w:lineRule="auto"/>
        <w:jc w:val="center"/>
        <w:rPr>
          <w:sz w:val="22"/>
          <w:szCs w:val="22"/>
        </w:rPr>
      </w:pPr>
      <w:r w:rsidRPr="00D027F7">
        <w:rPr>
          <w:sz w:val="22"/>
          <w:szCs w:val="22"/>
        </w:rPr>
        <w:t>Elaboración: CREG</w:t>
      </w:r>
    </w:p>
    <w:p w14:paraId="3340D4DA" w14:textId="69346909" w:rsidR="00E83082" w:rsidRPr="002B143F" w:rsidRDefault="00ED76F6" w:rsidP="002F1961">
      <w:pPr>
        <w:spacing w:before="100" w:beforeAutospacing="1" w:after="100" w:afterAutospacing="1" w:line="360" w:lineRule="auto"/>
        <w:rPr>
          <w:b/>
          <w:bCs/>
          <w:szCs w:val="24"/>
        </w:rPr>
      </w:pPr>
      <w:r w:rsidRPr="002B143F">
        <w:rPr>
          <w:b/>
          <w:bCs/>
          <w:szCs w:val="24"/>
        </w:rPr>
        <w:t>Inversiones reconocidas</w:t>
      </w:r>
    </w:p>
    <w:p w14:paraId="092C17C9" w14:textId="6FD5EED9" w:rsidR="00ED76F6" w:rsidRDefault="0014243B" w:rsidP="002F1961">
      <w:pPr>
        <w:spacing w:before="100" w:beforeAutospacing="1" w:after="100" w:afterAutospacing="1" w:line="360" w:lineRule="auto"/>
        <w:rPr>
          <w:szCs w:val="24"/>
          <w:lang w:val="es-CO"/>
        </w:rPr>
      </w:pPr>
      <w:r>
        <w:rPr>
          <w:szCs w:val="24"/>
          <w:lang w:val="es-CO"/>
        </w:rPr>
        <w:t>El cargo de comercialización</w:t>
      </w:r>
      <w:r w:rsidR="00ED76F6" w:rsidRPr="00ED76F6">
        <w:rPr>
          <w:szCs w:val="24"/>
          <w:lang w:val="es-CO"/>
        </w:rPr>
        <w:t xml:space="preserve"> reconoce únicamente las inversiones necesarias para desarrollar la actividad comercial, principalmente asociadas con activos administrativos y tecnológicos, entre ellos:</w:t>
      </w:r>
      <w:r w:rsidR="00ED76F6">
        <w:rPr>
          <w:szCs w:val="24"/>
          <w:lang w:val="es-CO"/>
        </w:rPr>
        <w:t xml:space="preserve"> E</w:t>
      </w:r>
      <w:r w:rsidR="00ED76F6" w:rsidRPr="00ED76F6">
        <w:rPr>
          <w:szCs w:val="24"/>
          <w:lang w:val="es-CO"/>
        </w:rPr>
        <w:t>quipos de cómputo;</w:t>
      </w:r>
      <w:r w:rsidR="00ED76F6">
        <w:rPr>
          <w:szCs w:val="24"/>
          <w:lang w:val="es-CO"/>
        </w:rPr>
        <w:t xml:space="preserve"> </w:t>
      </w:r>
      <w:r w:rsidR="00ED76F6" w:rsidRPr="00ED76F6">
        <w:rPr>
          <w:szCs w:val="24"/>
          <w:lang w:val="es-CO"/>
        </w:rPr>
        <w:t>software;</w:t>
      </w:r>
      <w:r w:rsidR="00ED76F6">
        <w:rPr>
          <w:szCs w:val="24"/>
          <w:lang w:val="es-CO"/>
        </w:rPr>
        <w:t xml:space="preserve"> </w:t>
      </w:r>
      <w:r w:rsidR="00ED76F6" w:rsidRPr="00ED76F6">
        <w:rPr>
          <w:szCs w:val="24"/>
          <w:lang w:val="es-CO"/>
        </w:rPr>
        <w:t>licencias;</w:t>
      </w:r>
      <w:r w:rsidR="00ED76F6">
        <w:rPr>
          <w:szCs w:val="24"/>
          <w:lang w:val="es-CO"/>
        </w:rPr>
        <w:t xml:space="preserve"> </w:t>
      </w:r>
      <w:r w:rsidR="00ED76F6" w:rsidRPr="00ED76F6">
        <w:rPr>
          <w:szCs w:val="24"/>
          <w:lang w:val="es-CO"/>
        </w:rPr>
        <w:t>vehículos;</w:t>
      </w:r>
      <w:r w:rsidR="00ED76F6">
        <w:rPr>
          <w:szCs w:val="24"/>
          <w:lang w:val="es-CO"/>
        </w:rPr>
        <w:t xml:space="preserve"> </w:t>
      </w:r>
      <w:r w:rsidR="00ED76F6" w:rsidRPr="00ED76F6">
        <w:rPr>
          <w:szCs w:val="24"/>
          <w:lang w:val="es-CO"/>
        </w:rPr>
        <w:t>muebles;</w:t>
      </w:r>
      <w:r w:rsidR="00ED76F6">
        <w:rPr>
          <w:szCs w:val="24"/>
          <w:lang w:val="es-CO"/>
        </w:rPr>
        <w:t xml:space="preserve"> </w:t>
      </w:r>
      <w:r w:rsidR="00ED76F6" w:rsidRPr="00ED76F6">
        <w:rPr>
          <w:szCs w:val="24"/>
          <w:lang w:val="es-CO"/>
        </w:rPr>
        <w:t>equipos de comunicación.</w:t>
      </w:r>
    </w:p>
    <w:p w14:paraId="5F6714AD" w14:textId="053A68A5" w:rsidR="00377268" w:rsidRDefault="00B86059" w:rsidP="002F1961">
      <w:pPr>
        <w:spacing w:before="100" w:beforeAutospacing="1" w:after="100" w:afterAutospacing="1" w:line="360" w:lineRule="auto"/>
        <w:rPr>
          <w:szCs w:val="24"/>
          <w:lang w:val="es-CO"/>
        </w:rPr>
      </w:pPr>
      <w:r w:rsidRPr="00B86059">
        <w:rPr>
          <w:szCs w:val="24"/>
        </w:rPr>
        <w:t>Para efectos del reconocimiento tarifario, la regulación establece un criterio de eficiencia mediante el cual compara las inversiones reportadas con valores máximos definidos para cada grupo de municipios, de manera que únicamente se remuneren las inversiones eficientes.</w:t>
      </w:r>
    </w:p>
    <w:p w14:paraId="275DE97D" w14:textId="5E0FB715" w:rsidR="00377268" w:rsidRDefault="00377268" w:rsidP="00A765C7">
      <w:pPr>
        <w:keepNext/>
        <w:spacing w:before="100" w:beforeAutospacing="1" w:line="360" w:lineRule="auto"/>
        <w:jc w:val="center"/>
        <w:rPr>
          <w:bCs/>
          <w:lang w:val="es-ES"/>
        </w:rPr>
      </w:pPr>
      <w:bookmarkStart w:id="103" w:name="_Ref235110111"/>
      <w:bookmarkStart w:id="104" w:name="_Toc235118566"/>
      <w:r w:rsidRPr="003B6B54">
        <w:rPr>
          <w:lang w:val="es-ES"/>
        </w:rPr>
        <w:t xml:space="preserve">Figura </w:t>
      </w:r>
      <w:r w:rsidRPr="003B6B54">
        <w:rPr>
          <w:lang w:val="es-ES"/>
        </w:rPr>
        <w:fldChar w:fldCharType="begin"/>
      </w:r>
      <w:r w:rsidRPr="003B6B54">
        <w:rPr>
          <w:lang w:val="es-ES"/>
        </w:rPr>
        <w:instrText xml:space="preserve"> SEQ Figura \* ARABIC </w:instrText>
      </w:r>
      <w:r w:rsidRPr="003B6B54">
        <w:rPr>
          <w:lang w:val="es-ES"/>
        </w:rPr>
        <w:fldChar w:fldCharType="separate"/>
      </w:r>
      <w:r w:rsidR="00D027F7">
        <w:rPr>
          <w:noProof/>
          <w:lang w:val="es-ES"/>
        </w:rPr>
        <w:t>26</w:t>
      </w:r>
      <w:r w:rsidRPr="003B6B54">
        <w:rPr>
          <w:lang w:val="es-ES"/>
        </w:rPr>
        <w:fldChar w:fldCharType="end"/>
      </w:r>
      <w:bookmarkEnd w:id="103"/>
      <w:r w:rsidRPr="5FAE69B6">
        <w:rPr>
          <w:lang w:val="es-ES"/>
        </w:rPr>
        <w:t xml:space="preserve">. </w:t>
      </w:r>
      <w:r w:rsidR="001673C4" w:rsidRPr="001673C4">
        <w:rPr>
          <w:bCs/>
          <w:lang w:val="es-ES"/>
        </w:rPr>
        <w:t>Criterio de eficiencia para el reconocimiento de las inversiones de comercialización</w:t>
      </w:r>
      <w:bookmarkEnd w:id="104"/>
    </w:p>
    <w:p w14:paraId="5D0D8B1E" w14:textId="38C8CAE8" w:rsidR="00377268" w:rsidRDefault="001D32B5" w:rsidP="00447328">
      <w:pPr>
        <w:spacing w:before="100" w:beforeAutospacing="1" w:line="360" w:lineRule="auto"/>
        <w:jc w:val="center"/>
        <w:rPr>
          <w:szCs w:val="24"/>
          <w:lang w:val="es-CO"/>
        </w:rPr>
      </w:pPr>
      <w:r w:rsidRPr="001D32B5">
        <w:rPr>
          <w:noProof/>
          <w:szCs w:val="24"/>
        </w:rPr>
        <mc:AlternateContent>
          <mc:Choice Requires="wps">
            <w:drawing>
              <wp:inline distT="0" distB="0" distL="0" distR="0" wp14:anchorId="79DDD47C" wp14:editId="790090EB">
                <wp:extent cx="7556107" cy="786113"/>
                <wp:effectExtent l="0" t="0" r="0" b="0"/>
                <wp:docPr id="7" name="CuadroTexto 6">
                  <a:extLst xmlns:a="http://schemas.openxmlformats.org/drawingml/2006/main">
                    <a:ext uri="{FF2B5EF4-FFF2-40B4-BE49-F238E27FC236}">
                      <a16:creationId xmlns:a16="http://schemas.microsoft.com/office/drawing/2014/main" id="{D7B7C639-6E7B-F521-FDA2-42E8FF34FD4B}"/>
                    </a:ext>
                  </a:extLst>
                </wp:docPr>
                <wp:cNvGraphicFramePr/>
                <a:graphic xmlns:a="http://schemas.openxmlformats.org/drawingml/2006/main">
                  <a:graphicData uri="http://schemas.microsoft.com/office/word/2010/wordprocessingShape">
                    <wps:wsp>
                      <wps:cNvSpPr txBox="1"/>
                      <wps:spPr>
                        <a:xfrm>
                          <a:off x="0" y="0"/>
                          <a:ext cx="7556107" cy="786113"/>
                        </a:xfrm>
                        <a:prstGeom prst="rect">
                          <a:avLst/>
                        </a:prstGeom>
                        <a:noFill/>
                      </wps:spPr>
                      <wps:txbx>
                        <w:txbxContent>
                          <w:p w14:paraId="3FFE3BDF" w14:textId="77777777" w:rsidR="001D32B5" w:rsidRPr="001D32B5" w:rsidRDefault="00000000" w:rsidP="001D32B5">
                            <w:pPr>
                              <w:rPr>
                                <w:rFonts w:ascii="Cambria Math" w:hAnsi="+mn-cs" w:cstheme="minorBidi"/>
                                <w:i/>
                                <w:iCs/>
                                <w:color w:val="4E4D4D"/>
                                <w:kern w:val="24"/>
                                <w:sz w:val="20"/>
                              </w:rPr>
                            </w:pPr>
                            <m:oMathPara>
                              <m:oMathParaPr>
                                <m:jc m:val="centerGroup"/>
                              </m:oMathParaPr>
                              <m:oMath>
                                <m:sSub>
                                  <m:sSubPr>
                                    <m:ctrlPr>
                                      <w:rPr>
                                        <w:rFonts w:ascii="Cambria Math" w:eastAsiaTheme="minorEastAsia" w:hAnsi="Cambria Math" w:cstheme="minorBidi"/>
                                        <w:i/>
                                        <w:iCs/>
                                        <w:color w:val="4E4D4D"/>
                                        <w:kern w:val="24"/>
                                        <w:sz w:val="20"/>
                                      </w:rPr>
                                    </m:ctrlPr>
                                  </m:sSubPr>
                                  <m:e>
                                    <m:d>
                                      <m:dPr>
                                        <m:ctrlPr>
                                          <w:rPr>
                                            <w:rFonts w:ascii="Cambria Math" w:eastAsiaTheme="minorEastAsia" w:hAnsi="Cambria Math" w:cstheme="minorBidi"/>
                                            <w:i/>
                                            <w:iCs/>
                                            <w:color w:val="4E4D4D"/>
                                            <w:kern w:val="24"/>
                                            <w:sz w:val="20"/>
                                          </w:rPr>
                                        </m:ctrlPr>
                                      </m:dPr>
                                      <m:e>
                                        <m:f>
                                          <m:fPr>
                                            <m:ctrlPr>
                                              <w:rPr>
                                                <w:rFonts w:ascii="Cambria Math" w:eastAsiaTheme="minorEastAsia" w:hAnsi="Cambria Math" w:cstheme="minorBidi"/>
                                                <w:i/>
                                                <w:iCs/>
                                                <w:color w:val="4E4D4D"/>
                                                <w:kern w:val="24"/>
                                                <w:sz w:val="20"/>
                                              </w:rPr>
                                            </m:ctrlPr>
                                          </m:fPr>
                                          <m:num>
                                            <m:r>
                                              <m:rPr>
                                                <m:sty m:val="p"/>
                                              </m:rPr>
                                              <w:rPr>
                                                <w:rFonts w:ascii="Cambria Math" w:hAnsi="Cambria Math" w:cstheme="minorBidi"/>
                                                <w:color w:val="4E4D4D"/>
                                                <w:kern w:val="24"/>
                                                <w:sz w:val="20"/>
                                              </w:rPr>
                                              <m:t>INV</m:t>
                                            </m:r>
                                          </m:num>
                                          <m:den>
                                            <m:r>
                                              <m:rPr>
                                                <m:sty m:val="p"/>
                                              </m:rPr>
                                              <w:rPr>
                                                <w:rFonts w:ascii="Cambria Math" w:hAnsi="Cambria Math" w:cstheme="minorBidi"/>
                                                <w:color w:val="4E4D4D"/>
                                                <w:kern w:val="24"/>
                                                <w:sz w:val="20"/>
                                              </w:rPr>
                                              <m:t>factura</m:t>
                                            </m:r>
                                          </m:den>
                                        </m:f>
                                      </m:e>
                                    </m:d>
                                  </m:e>
                                  <m:sub>
                                    <m:r>
                                      <m:rPr>
                                        <m:sty m:val="p"/>
                                      </m:rPr>
                                      <w:rPr>
                                        <w:rFonts w:ascii="Cambria Math" w:hAnsi="Cambria Math" w:cstheme="minorBidi"/>
                                        <w:color w:val="4E4D4D"/>
                                        <w:kern w:val="24"/>
                                        <w:sz w:val="20"/>
                                      </w:rPr>
                                      <m:t>eficiente</m:t>
                                    </m:r>
                                  </m:sub>
                                </m:sSub>
                                <m:r>
                                  <m:rPr>
                                    <m:sty m:val="p"/>
                                  </m:rPr>
                                  <w:rPr>
                                    <w:rFonts w:ascii="Cambria Math" w:hAnsi="Cambria Math" w:cstheme="minorBidi"/>
                                    <w:color w:val="4E4D4D"/>
                                    <w:kern w:val="24"/>
                                    <w:sz w:val="20"/>
                                  </w:rPr>
                                  <m:t>=Min</m:t>
                                </m:r>
                                <m:d>
                                  <m:dPr>
                                    <m:begChr m:val="{"/>
                                    <m:endChr m:val="}"/>
                                    <m:ctrlPr>
                                      <w:rPr>
                                        <w:rFonts w:ascii="Cambria Math" w:eastAsiaTheme="minorEastAsia" w:hAnsi="Cambria Math" w:cstheme="minorBidi"/>
                                        <w:i/>
                                        <w:iCs/>
                                        <w:color w:val="4E4D4D"/>
                                        <w:kern w:val="24"/>
                                        <w:sz w:val="20"/>
                                      </w:rPr>
                                    </m:ctrlPr>
                                  </m:dPr>
                                  <m:e>
                                    <m:f>
                                      <m:fPr>
                                        <m:ctrlPr>
                                          <w:rPr>
                                            <w:rFonts w:ascii="Cambria Math" w:eastAsiaTheme="minorEastAsia" w:hAnsi="Cambria Math" w:cstheme="minorBidi"/>
                                            <w:i/>
                                            <w:iCs/>
                                            <w:color w:val="4E4D4D"/>
                                            <w:kern w:val="24"/>
                                            <w:sz w:val="20"/>
                                          </w:rPr>
                                        </m:ctrlPr>
                                      </m:fPr>
                                      <m:num>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INV</m:t>
                                            </m:r>
                                          </m:e>
                                          <m:sub>
                                            <m:r>
                                              <m:rPr>
                                                <m:sty m:val="p"/>
                                              </m:rPr>
                                              <w:rPr>
                                                <w:rFonts w:ascii="Cambria Math" w:hAnsi="Cambria Math" w:cstheme="minorBidi"/>
                                                <w:color w:val="4E4D4D"/>
                                                <w:kern w:val="24"/>
                                                <w:sz w:val="20"/>
                                              </w:rPr>
                                              <m:t>r</m:t>
                                            </m:r>
                                          </m:sub>
                                        </m:sSub>
                                      </m:num>
                                      <m:den>
                                        <m:r>
                                          <m:rPr>
                                            <m:sty m:val="p"/>
                                          </m:rPr>
                                          <w:rPr>
                                            <w:rFonts w:ascii="Cambria Math" w:hAnsi="Cambria Math" w:cstheme="minorBidi"/>
                                            <w:color w:val="4E4D4D"/>
                                            <w:kern w:val="24"/>
                                            <w:sz w:val="20"/>
                                          </w:rPr>
                                          <m:t>#factura</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s</m:t>
                                            </m:r>
                                          </m:e>
                                          <m:sub>
                                            <m:r>
                                              <m:rPr>
                                                <m:sty m:val="p"/>
                                              </m:rPr>
                                              <w:rPr>
                                                <w:rFonts w:ascii="Cambria Math" w:hAnsi="Cambria Math" w:cstheme="minorBidi"/>
                                                <w:color w:val="4E4D4D"/>
                                                <w:kern w:val="24"/>
                                                <w:sz w:val="20"/>
                                              </w:rPr>
                                              <m:t>r</m:t>
                                            </m:r>
                                          </m:sub>
                                        </m:sSub>
                                      </m:den>
                                    </m:f>
                                    <m:r>
                                      <m:rPr>
                                        <m:sty m:val="p"/>
                                      </m:rPr>
                                      <w:rPr>
                                        <w:rFonts w:ascii="Cambria Math" w:hAnsi="Cambria Math" w:cstheme="minorBidi"/>
                                        <w:color w:val="4E4D4D"/>
                                        <w:kern w:val="24"/>
                                        <w:sz w:val="20"/>
                                      </w:rPr>
                                      <m:t>;</m:t>
                                    </m:r>
                                    <m:f>
                                      <m:fPr>
                                        <m:ctrlPr>
                                          <w:rPr>
                                            <w:rFonts w:ascii="Cambria Math" w:eastAsiaTheme="minorEastAsia" w:hAnsi="Cambria Math" w:cstheme="minorBidi"/>
                                            <w:i/>
                                            <w:iCs/>
                                            <w:color w:val="4E4D4D"/>
                                            <w:kern w:val="24"/>
                                            <w:sz w:val="20"/>
                                          </w:rPr>
                                        </m:ctrlPr>
                                      </m:fPr>
                                      <m:num>
                                        <m:f>
                                          <m:fPr>
                                            <m:ctrlPr>
                                              <w:rPr>
                                                <w:rFonts w:ascii="Cambria Math" w:eastAsiaTheme="minorEastAsia" w:hAnsi="Cambria Math" w:cstheme="minorBidi"/>
                                                <w:i/>
                                                <w:iCs/>
                                                <w:color w:val="4E4D4D"/>
                                                <w:kern w:val="24"/>
                                                <w:sz w:val="20"/>
                                              </w:rPr>
                                            </m:ctrlPr>
                                          </m:fPr>
                                          <m:num>
                                            <m:r>
                                              <m:rPr>
                                                <m:sty m:val="p"/>
                                              </m:rPr>
                                              <w:rPr>
                                                <w:rFonts w:ascii="Cambria Math" w:hAnsi="Cambria Math" w:cstheme="minorBidi"/>
                                                <w:color w:val="4E4D4D"/>
                                                <w:kern w:val="24"/>
                                                <w:sz w:val="20"/>
                                              </w:rPr>
                                              <m:t>IN</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V</m:t>
                                                </m:r>
                                              </m:e>
                                              <m:sub>
                                                <m:r>
                                                  <m:rPr>
                                                    <m:sty m:val="p"/>
                                                  </m:rPr>
                                                  <w:rPr>
                                                    <w:rFonts w:ascii="Cambria Math" w:hAnsi="Cambria Math" w:cstheme="minorBidi"/>
                                                    <w:color w:val="4E4D4D"/>
                                                    <w:kern w:val="24"/>
                                                    <w:sz w:val="20"/>
                                                  </w:rPr>
                                                  <m:t>r</m:t>
                                                </m:r>
                                              </m:sub>
                                            </m:sSub>
                                          </m:num>
                                          <m:den>
                                            <m:r>
                                              <m:rPr>
                                                <m:sty m:val="p"/>
                                              </m:rPr>
                                              <w:rPr>
                                                <w:rFonts w:ascii="Cambria Math" w:hAnsi="Cambria Math" w:cstheme="minorBidi"/>
                                                <w:color w:val="4E4D4D"/>
                                                <w:kern w:val="24"/>
                                                <w:sz w:val="20"/>
                                              </w:rPr>
                                              <m:t>#factura</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s</m:t>
                                                </m:r>
                                              </m:e>
                                              <m:sub>
                                                <m:r>
                                                  <m:rPr>
                                                    <m:sty m:val="p"/>
                                                  </m:rPr>
                                                  <w:rPr>
                                                    <w:rFonts w:ascii="Cambria Math" w:hAnsi="Cambria Math" w:cstheme="minorBidi"/>
                                                    <w:color w:val="4E4D4D"/>
                                                    <w:kern w:val="24"/>
                                                    <w:sz w:val="20"/>
                                                  </w:rPr>
                                                  <m:t>r</m:t>
                                                </m:r>
                                              </m:sub>
                                            </m:sSub>
                                          </m:den>
                                        </m:f>
                                        <m:r>
                                          <m:rPr>
                                            <m:sty m:val="p"/>
                                          </m:rPr>
                                          <w:rPr>
                                            <w:rFonts w:ascii="Cambria Math" w:hAnsi="Cambria Math" w:cstheme="minorBidi"/>
                                            <w:color w:val="4E4D4D"/>
                                            <w:kern w:val="24"/>
                                            <w:sz w:val="20"/>
                                          </w:rPr>
                                          <m:t>+</m:t>
                                        </m:r>
                                        <m:f>
                                          <m:fPr>
                                            <m:ctrlPr>
                                              <w:rPr>
                                                <w:rFonts w:ascii="Cambria Math" w:eastAsiaTheme="minorEastAsia" w:hAnsi="Cambria Math" w:cstheme="minorBidi"/>
                                                <w:i/>
                                                <w:iCs/>
                                                <w:color w:val="4E4D4D"/>
                                                <w:kern w:val="24"/>
                                                <w:sz w:val="20"/>
                                              </w:rPr>
                                            </m:ctrlPr>
                                          </m:fPr>
                                          <m:num>
                                            <m:r>
                                              <m:rPr>
                                                <m:sty m:val="p"/>
                                              </m:rPr>
                                              <w:rPr>
                                                <w:rFonts w:ascii="Cambria Math" w:hAnsi="Cambria Math" w:cstheme="minorBidi"/>
                                                <w:color w:val="4E4D4D"/>
                                                <w:kern w:val="24"/>
                                                <w:sz w:val="20"/>
                                              </w:rPr>
                                              <m:t>IN</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V</m:t>
                                                </m:r>
                                              </m:e>
                                              <m:sub>
                                                <m:r>
                                                  <m:rPr>
                                                    <m:sty m:val="p"/>
                                                  </m:rPr>
                                                  <w:rPr>
                                                    <w:rFonts w:ascii="Cambria Math" w:hAnsi="Cambria Math" w:cstheme="minorBidi"/>
                                                    <w:color w:val="4E4D4D"/>
                                                    <w:kern w:val="24"/>
                                                    <w:sz w:val="20"/>
                                                  </w:rPr>
                                                  <m:t>rem</m:t>
                                                </m:r>
                                              </m:sub>
                                            </m:sSub>
                                          </m:num>
                                          <m:den>
                                            <m:r>
                                              <m:rPr>
                                                <m:sty m:val="p"/>
                                              </m:rPr>
                                              <w:rPr>
                                                <w:rFonts w:ascii="Cambria Math" w:hAnsi="Cambria Math" w:cstheme="minorBidi"/>
                                                <w:color w:val="4E4D4D"/>
                                                <w:kern w:val="24"/>
                                                <w:sz w:val="20"/>
                                              </w:rPr>
                                              <m:t>#factura</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s</m:t>
                                                </m:r>
                                              </m:e>
                                              <m:sub>
                                                <m:r>
                                                  <m:rPr>
                                                    <m:sty m:val="p"/>
                                                  </m:rPr>
                                                  <w:rPr>
                                                    <w:rFonts w:ascii="Cambria Math" w:hAnsi="Cambria Math" w:cstheme="minorBidi"/>
                                                    <w:color w:val="4E4D4D"/>
                                                    <w:kern w:val="24"/>
                                                    <w:sz w:val="20"/>
                                                  </w:rPr>
                                                  <m:t>Res.011</m:t>
                                                </m:r>
                                              </m:sub>
                                            </m:sSub>
                                          </m:den>
                                        </m:f>
                                      </m:num>
                                      <m:den>
                                        <m:r>
                                          <m:rPr>
                                            <m:sty m:val="p"/>
                                          </m:rPr>
                                          <w:rPr>
                                            <w:rFonts w:ascii="Cambria Math" w:hAnsi="Cambria Math" w:cstheme="minorBidi"/>
                                            <w:color w:val="4E4D4D"/>
                                            <w:kern w:val="24"/>
                                            <w:sz w:val="20"/>
                                          </w:rPr>
                                          <m:t>2</m:t>
                                        </m:r>
                                      </m:den>
                                    </m:f>
                                    <m:r>
                                      <m:rPr>
                                        <m:sty m:val="p"/>
                                      </m:rPr>
                                      <w:rPr>
                                        <w:rFonts w:ascii="Cambria Math" w:hAnsi="Cambria Math" w:cstheme="minorBidi"/>
                                        <w:color w:val="4E4D4D"/>
                                        <w:kern w:val="24"/>
                                        <w:sz w:val="20"/>
                                      </w:rPr>
                                      <m:t>;</m:t>
                                    </m:r>
                                    <m:sSub>
                                      <m:sSubPr>
                                        <m:ctrlPr>
                                          <w:rPr>
                                            <w:rFonts w:ascii="Cambria Math" w:eastAsiaTheme="minorEastAsia" w:hAnsi="Cambria Math" w:cstheme="minorBidi"/>
                                            <w:i/>
                                            <w:iCs/>
                                            <w:color w:val="4E4D4D"/>
                                            <w:kern w:val="24"/>
                                            <w:sz w:val="20"/>
                                          </w:rPr>
                                        </m:ctrlPr>
                                      </m:sSubPr>
                                      <m:e>
                                        <m:d>
                                          <m:dPr>
                                            <m:ctrlPr>
                                              <w:rPr>
                                                <w:rFonts w:ascii="Cambria Math" w:eastAsiaTheme="minorEastAsia" w:hAnsi="Cambria Math" w:cstheme="minorBidi"/>
                                                <w:i/>
                                                <w:iCs/>
                                                <w:color w:val="4E4D4D"/>
                                                <w:kern w:val="24"/>
                                                <w:sz w:val="20"/>
                                              </w:rPr>
                                            </m:ctrlPr>
                                          </m:dPr>
                                          <m:e>
                                            <m:f>
                                              <m:fPr>
                                                <m:ctrlPr>
                                                  <w:rPr>
                                                    <w:rFonts w:ascii="Cambria Math" w:eastAsiaTheme="minorEastAsia" w:hAnsi="Cambria Math" w:cstheme="minorBidi"/>
                                                    <w:i/>
                                                    <w:iCs/>
                                                    <w:color w:val="4E4D4D"/>
                                                    <w:kern w:val="24"/>
                                                    <w:sz w:val="20"/>
                                                  </w:rPr>
                                                </m:ctrlPr>
                                              </m:fPr>
                                              <m:num>
                                                <m:r>
                                                  <m:rPr>
                                                    <m:sty m:val="p"/>
                                                  </m:rPr>
                                                  <w:rPr>
                                                    <w:rFonts w:ascii="Cambria Math" w:hAnsi="Cambria Math" w:cstheme="minorBidi"/>
                                                    <w:color w:val="4E4D4D"/>
                                                    <w:kern w:val="24"/>
                                                    <w:sz w:val="20"/>
                                                  </w:rPr>
                                                  <m:t>INV</m:t>
                                                </m:r>
                                              </m:num>
                                              <m:den>
                                                <m:r>
                                                  <m:rPr>
                                                    <m:sty m:val="p"/>
                                                  </m:rPr>
                                                  <w:rPr>
                                                    <w:rFonts w:ascii="Cambria Math" w:hAnsi="Cambria Math" w:cstheme="minorBidi"/>
                                                    <w:color w:val="4E4D4D"/>
                                                    <w:kern w:val="24"/>
                                                    <w:sz w:val="20"/>
                                                  </w:rPr>
                                                  <m:t>factura</m:t>
                                                </m:r>
                                              </m:den>
                                            </m:f>
                                          </m:e>
                                        </m:d>
                                      </m:e>
                                      <m:sub>
                                        <m:func>
                                          <m:funcPr>
                                            <m:ctrlPr>
                                              <w:rPr>
                                                <w:rFonts w:ascii="Cambria Math" w:eastAsiaTheme="minorEastAsia" w:hAnsi="Cambria Math" w:cstheme="minorBidi"/>
                                                <w:i/>
                                                <w:iCs/>
                                                <w:color w:val="4E4D4D"/>
                                                <w:kern w:val="24"/>
                                                <w:sz w:val="20"/>
                                              </w:rPr>
                                            </m:ctrlPr>
                                          </m:funcPr>
                                          <m:fName>
                                            <m:r>
                                              <m:rPr>
                                                <m:sty m:val="p"/>
                                              </m:rPr>
                                              <w:rPr>
                                                <w:rFonts w:ascii="Cambria Math" w:hAnsi="Cambria Math" w:cstheme="minorBidi"/>
                                                <w:color w:val="4E4D4D"/>
                                                <w:kern w:val="24"/>
                                                <w:sz w:val="20"/>
                                              </w:rPr>
                                              <m:t>max</m:t>
                                            </m:r>
                                          </m:fName>
                                          <m:e>
                                            <m:r>
                                              <m:rPr>
                                                <m:sty m:val="p"/>
                                              </m:rPr>
                                              <w:rPr>
                                                <w:rFonts w:ascii="Cambria Math" w:hAnsi="Cambria Math" w:cstheme="minorBidi"/>
                                                <w:color w:val="4E4D4D"/>
                                                <w:kern w:val="24"/>
                                                <w:sz w:val="20"/>
                                              </w:rPr>
                                              <m:t>rec</m:t>
                                            </m:r>
                                          </m:e>
                                        </m:func>
                                      </m:sub>
                                    </m:sSub>
                                    <m:r>
                                      <m:rPr>
                                        <m:sty m:val="p"/>
                                      </m:rPr>
                                      <w:rPr>
                                        <w:rFonts w:ascii="Cambria Math" w:hAnsi="Cambria Math" w:cstheme="minorBidi"/>
                                        <w:color w:val="4E4D4D"/>
                                        <w:kern w:val="24"/>
                                        <w:sz w:val="20"/>
                                      </w:rPr>
                                      <m:t> </m:t>
                                    </m:r>
                                  </m:e>
                                </m:d>
                              </m:oMath>
                            </m:oMathPara>
                          </w:p>
                        </w:txbxContent>
                      </wps:txbx>
                      <wps:bodyPr wrap="none" lIns="0" tIns="0" rIns="0" bIns="0" rtlCol="0">
                        <a:spAutoFit/>
                      </wps:bodyPr>
                    </wps:wsp>
                  </a:graphicData>
                </a:graphic>
              </wp:inline>
            </w:drawing>
          </mc:Choice>
          <mc:Fallback>
            <w:pict>
              <v:shape w14:anchorId="79DDD47C" id="CuadroTexto 6" o:spid="_x0000_s1111" type="#_x0000_t202" style="width:594.95pt;height:61.9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" filled="f" stroked="f">
                <v:textbox style="mso-fit-shape-to-text:t" inset="0,0,0,0">
                  <w:txbxContent>
                    <w:p w14:paraId="3FFE3BDF" w14:textId="77777777" w:rsidR="001D32B5" w:rsidRPr="001D32B5" w:rsidRDefault="00000000" w:rsidP="001D32B5">
                      <w:pPr>
                        <w:rPr>
                          <w:rFonts w:ascii="Cambria Math" w:hAnsi="+mn-cs" w:cstheme="minorBidi"/>
                          <w:i/>
                          <w:iCs/>
                          <w:color w:val="4E4D4D"/>
                          <w:kern w:val="24"/>
                          <w:sz w:val="20"/>
                        </w:rPr>
                      </w:pPr>
                      <m:oMathPara>
                        <m:oMathParaPr>
                          <m:jc m:val="centerGroup"/>
                        </m:oMathParaPr>
                        <m:oMath>
                          <m:sSub>
                            <m:sSubPr>
                              <m:ctrlPr>
                                <w:rPr>
                                  <w:rFonts w:ascii="Cambria Math" w:eastAsiaTheme="minorEastAsia" w:hAnsi="Cambria Math" w:cstheme="minorBidi"/>
                                  <w:i/>
                                  <w:iCs/>
                                  <w:color w:val="4E4D4D"/>
                                  <w:kern w:val="24"/>
                                  <w:sz w:val="20"/>
                                </w:rPr>
                              </m:ctrlPr>
                            </m:sSubPr>
                            <m:e>
                              <m:d>
                                <m:dPr>
                                  <m:ctrlPr>
                                    <w:rPr>
                                      <w:rFonts w:ascii="Cambria Math" w:eastAsiaTheme="minorEastAsia" w:hAnsi="Cambria Math" w:cstheme="minorBidi"/>
                                      <w:i/>
                                      <w:iCs/>
                                      <w:color w:val="4E4D4D"/>
                                      <w:kern w:val="24"/>
                                      <w:sz w:val="20"/>
                                    </w:rPr>
                                  </m:ctrlPr>
                                </m:dPr>
                                <m:e>
                                  <m:f>
                                    <m:fPr>
                                      <m:ctrlPr>
                                        <w:rPr>
                                          <w:rFonts w:ascii="Cambria Math" w:eastAsiaTheme="minorEastAsia" w:hAnsi="Cambria Math" w:cstheme="minorBidi"/>
                                          <w:i/>
                                          <w:iCs/>
                                          <w:color w:val="4E4D4D"/>
                                          <w:kern w:val="24"/>
                                          <w:sz w:val="20"/>
                                        </w:rPr>
                                      </m:ctrlPr>
                                    </m:fPr>
                                    <m:num>
                                      <m:r>
                                        <m:rPr>
                                          <m:sty m:val="p"/>
                                        </m:rPr>
                                        <w:rPr>
                                          <w:rFonts w:ascii="Cambria Math" w:hAnsi="Cambria Math" w:cstheme="minorBidi"/>
                                          <w:color w:val="4E4D4D"/>
                                          <w:kern w:val="24"/>
                                          <w:sz w:val="20"/>
                                        </w:rPr>
                                        <m:t>INV</m:t>
                                      </m:r>
                                    </m:num>
                                    <m:den>
                                      <m:r>
                                        <m:rPr>
                                          <m:sty m:val="p"/>
                                        </m:rPr>
                                        <w:rPr>
                                          <w:rFonts w:ascii="Cambria Math" w:hAnsi="Cambria Math" w:cstheme="minorBidi"/>
                                          <w:color w:val="4E4D4D"/>
                                          <w:kern w:val="24"/>
                                          <w:sz w:val="20"/>
                                        </w:rPr>
                                        <m:t>factura</m:t>
                                      </m:r>
                                    </m:den>
                                  </m:f>
                                </m:e>
                              </m:d>
                            </m:e>
                            <m:sub>
                              <m:r>
                                <m:rPr>
                                  <m:sty m:val="p"/>
                                </m:rPr>
                                <w:rPr>
                                  <w:rFonts w:ascii="Cambria Math" w:hAnsi="Cambria Math" w:cstheme="minorBidi"/>
                                  <w:color w:val="4E4D4D"/>
                                  <w:kern w:val="24"/>
                                  <w:sz w:val="20"/>
                                </w:rPr>
                                <m:t>eficiente</m:t>
                              </m:r>
                            </m:sub>
                          </m:sSub>
                          <m:r>
                            <m:rPr>
                              <m:sty m:val="p"/>
                            </m:rPr>
                            <w:rPr>
                              <w:rFonts w:ascii="Cambria Math" w:hAnsi="Cambria Math" w:cstheme="minorBidi"/>
                              <w:color w:val="4E4D4D"/>
                              <w:kern w:val="24"/>
                              <w:sz w:val="20"/>
                            </w:rPr>
                            <m:t>=Min</m:t>
                          </m:r>
                          <m:d>
                            <m:dPr>
                              <m:begChr m:val="{"/>
                              <m:endChr m:val="}"/>
                              <m:ctrlPr>
                                <w:rPr>
                                  <w:rFonts w:ascii="Cambria Math" w:eastAsiaTheme="minorEastAsia" w:hAnsi="Cambria Math" w:cstheme="minorBidi"/>
                                  <w:i/>
                                  <w:iCs/>
                                  <w:color w:val="4E4D4D"/>
                                  <w:kern w:val="24"/>
                                  <w:sz w:val="20"/>
                                </w:rPr>
                              </m:ctrlPr>
                            </m:dPr>
                            <m:e>
                              <m:f>
                                <m:fPr>
                                  <m:ctrlPr>
                                    <w:rPr>
                                      <w:rFonts w:ascii="Cambria Math" w:eastAsiaTheme="minorEastAsia" w:hAnsi="Cambria Math" w:cstheme="minorBidi"/>
                                      <w:i/>
                                      <w:iCs/>
                                      <w:color w:val="4E4D4D"/>
                                      <w:kern w:val="24"/>
                                      <w:sz w:val="20"/>
                                    </w:rPr>
                                  </m:ctrlPr>
                                </m:fPr>
                                <m:num>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INV</m:t>
                                      </m:r>
                                    </m:e>
                                    <m:sub>
                                      <m:r>
                                        <m:rPr>
                                          <m:sty m:val="p"/>
                                        </m:rPr>
                                        <w:rPr>
                                          <w:rFonts w:ascii="Cambria Math" w:hAnsi="Cambria Math" w:cstheme="minorBidi"/>
                                          <w:color w:val="4E4D4D"/>
                                          <w:kern w:val="24"/>
                                          <w:sz w:val="20"/>
                                        </w:rPr>
                                        <m:t>r</m:t>
                                      </m:r>
                                    </m:sub>
                                  </m:sSub>
                                </m:num>
                                <m:den>
                                  <m:r>
                                    <m:rPr>
                                      <m:sty m:val="p"/>
                                    </m:rPr>
                                    <w:rPr>
                                      <w:rFonts w:ascii="Cambria Math" w:hAnsi="Cambria Math" w:cstheme="minorBidi"/>
                                      <w:color w:val="4E4D4D"/>
                                      <w:kern w:val="24"/>
                                      <w:sz w:val="20"/>
                                    </w:rPr>
                                    <m:t>#factura</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s</m:t>
                                      </m:r>
                                    </m:e>
                                    <m:sub>
                                      <m:r>
                                        <m:rPr>
                                          <m:sty m:val="p"/>
                                        </m:rPr>
                                        <w:rPr>
                                          <w:rFonts w:ascii="Cambria Math" w:hAnsi="Cambria Math" w:cstheme="minorBidi"/>
                                          <w:color w:val="4E4D4D"/>
                                          <w:kern w:val="24"/>
                                          <w:sz w:val="20"/>
                                        </w:rPr>
                                        <m:t>r</m:t>
                                      </m:r>
                                    </m:sub>
                                  </m:sSub>
                                </m:den>
                              </m:f>
                              <m:r>
                                <m:rPr>
                                  <m:sty m:val="p"/>
                                </m:rPr>
                                <w:rPr>
                                  <w:rFonts w:ascii="Cambria Math" w:hAnsi="Cambria Math" w:cstheme="minorBidi"/>
                                  <w:color w:val="4E4D4D"/>
                                  <w:kern w:val="24"/>
                                  <w:sz w:val="20"/>
                                </w:rPr>
                                <m:t>;</m:t>
                              </m:r>
                              <m:f>
                                <m:fPr>
                                  <m:ctrlPr>
                                    <w:rPr>
                                      <w:rFonts w:ascii="Cambria Math" w:eastAsiaTheme="minorEastAsia" w:hAnsi="Cambria Math" w:cstheme="minorBidi"/>
                                      <w:i/>
                                      <w:iCs/>
                                      <w:color w:val="4E4D4D"/>
                                      <w:kern w:val="24"/>
                                      <w:sz w:val="20"/>
                                    </w:rPr>
                                  </m:ctrlPr>
                                </m:fPr>
                                <m:num>
                                  <m:f>
                                    <m:fPr>
                                      <m:ctrlPr>
                                        <w:rPr>
                                          <w:rFonts w:ascii="Cambria Math" w:eastAsiaTheme="minorEastAsia" w:hAnsi="Cambria Math" w:cstheme="minorBidi"/>
                                          <w:i/>
                                          <w:iCs/>
                                          <w:color w:val="4E4D4D"/>
                                          <w:kern w:val="24"/>
                                          <w:sz w:val="20"/>
                                        </w:rPr>
                                      </m:ctrlPr>
                                    </m:fPr>
                                    <m:num>
                                      <m:r>
                                        <m:rPr>
                                          <m:sty m:val="p"/>
                                        </m:rPr>
                                        <w:rPr>
                                          <w:rFonts w:ascii="Cambria Math" w:hAnsi="Cambria Math" w:cstheme="minorBidi"/>
                                          <w:color w:val="4E4D4D"/>
                                          <w:kern w:val="24"/>
                                          <w:sz w:val="20"/>
                                        </w:rPr>
                                        <m:t>IN</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V</m:t>
                                          </m:r>
                                        </m:e>
                                        <m:sub>
                                          <m:r>
                                            <m:rPr>
                                              <m:sty m:val="p"/>
                                            </m:rPr>
                                            <w:rPr>
                                              <w:rFonts w:ascii="Cambria Math" w:hAnsi="Cambria Math" w:cstheme="minorBidi"/>
                                              <w:color w:val="4E4D4D"/>
                                              <w:kern w:val="24"/>
                                              <w:sz w:val="20"/>
                                            </w:rPr>
                                            <m:t>r</m:t>
                                          </m:r>
                                        </m:sub>
                                      </m:sSub>
                                    </m:num>
                                    <m:den>
                                      <m:r>
                                        <m:rPr>
                                          <m:sty m:val="p"/>
                                        </m:rPr>
                                        <w:rPr>
                                          <w:rFonts w:ascii="Cambria Math" w:hAnsi="Cambria Math" w:cstheme="minorBidi"/>
                                          <w:color w:val="4E4D4D"/>
                                          <w:kern w:val="24"/>
                                          <w:sz w:val="20"/>
                                        </w:rPr>
                                        <m:t>#factura</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s</m:t>
                                          </m:r>
                                        </m:e>
                                        <m:sub>
                                          <m:r>
                                            <m:rPr>
                                              <m:sty m:val="p"/>
                                            </m:rPr>
                                            <w:rPr>
                                              <w:rFonts w:ascii="Cambria Math" w:hAnsi="Cambria Math" w:cstheme="minorBidi"/>
                                              <w:color w:val="4E4D4D"/>
                                              <w:kern w:val="24"/>
                                              <w:sz w:val="20"/>
                                            </w:rPr>
                                            <m:t>r</m:t>
                                          </m:r>
                                        </m:sub>
                                      </m:sSub>
                                    </m:den>
                                  </m:f>
                                  <m:r>
                                    <m:rPr>
                                      <m:sty m:val="p"/>
                                    </m:rPr>
                                    <w:rPr>
                                      <w:rFonts w:ascii="Cambria Math" w:hAnsi="Cambria Math" w:cstheme="minorBidi"/>
                                      <w:color w:val="4E4D4D"/>
                                      <w:kern w:val="24"/>
                                      <w:sz w:val="20"/>
                                    </w:rPr>
                                    <m:t>+</m:t>
                                  </m:r>
                                  <m:f>
                                    <m:fPr>
                                      <m:ctrlPr>
                                        <w:rPr>
                                          <w:rFonts w:ascii="Cambria Math" w:eastAsiaTheme="minorEastAsia" w:hAnsi="Cambria Math" w:cstheme="minorBidi"/>
                                          <w:i/>
                                          <w:iCs/>
                                          <w:color w:val="4E4D4D"/>
                                          <w:kern w:val="24"/>
                                          <w:sz w:val="20"/>
                                        </w:rPr>
                                      </m:ctrlPr>
                                    </m:fPr>
                                    <m:num>
                                      <m:r>
                                        <m:rPr>
                                          <m:sty m:val="p"/>
                                        </m:rPr>
                                        <w:rPr>
                                          <w:rFonts w:ascii="Cambria Math" w:hAnsi="Cambria Math" w:cstheme="minorBidi"/>
                                          <w:color w:val="4E4D4D"/>
                                          <w:kern w:val="24"/>
                                          <w:sz w:val="20"/>
                                        </w:rPr>
                                        <m:t>IN</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V</m:t>
                                          </m:r>
                                        </m:e>
                                        <m:sub>
                                          <m:r>
                                            <m:rPr>
                                              <m:sty m:val="p"/>
                                            </m:rPr>
                                            <w:rPr>
                                              <w:rFonts w:ascii="Cambria Math" w:hAnsi="Cambria Math" w:cstheme="minorBidi"/>
                                              <w:color w:val="4E4D4D"/>
                                              <w:kern w:val="24"/>
                                              <w:sz w:val="20"/>
                                            </w:rPr>
                                            <m:t>rem</m:t>
                                          </m:r>
                                        </m:sub>
                                      </m:sSub>
                                    </m:num>
                                    <m:den>
                                      <m:r>
                                        <m:rPr>
                                          <m:sty m:val="p"/>
                                        </m:rPr>
                                        <w:rPr>
                                          <w:rFonts w:ascii="Cambria Math" w:hAnsi="Cambria Math" w:cstheme="minorBidi"/>
                                          <w:color w:val="4E4D4D"/>
                                          <w:kern w:val="24"/>
                                          <w:sz w:val="20"/>
                                        </w:rPr>
                                        <m:t>#factura</m:t>
                                      </m:r>
                                      <m:sSub>
                                        <m:sSubPr>
                                          <m:ctrlPr>
                                            <w:rPr>
                                              <w:rFonts w:ascii="Cambria Math" w:eastAsiaTheme="minorEastAsia" w:hAnsi="Cambria Math" w:cstheme="minorBidi"/>
                                              <w:i/>
                                              <w:iCs/>
                                              <w:color w:val="4E4D4D"/>
                                              <w:kern w:val="24"/>
                                              <w:sz w:val="20"/>
                                            </w:rPr>
                                          </m:ctrlPr>
                                        </m:sSubPr>
                                        <m:e>
                                          <m:r>
                                            <m:rPr>
                                              <m:sty m:val="p"/>
                                            </m:rPr>
                                            <w:rPr>
                                              <w:rFonts w:ascii="Cambria Math" w:hAnsi="Cambria Math" w:cstheme="minorBidi"/>
                                              <w:color w:val="4E4D4D"/>
                                              <w:kern w:val="24"/>
                                              <w:sz w:val="20"/>
                                            </w:rPr>
                                            <m:t>s</m:t>
                                          </m:r>
                                        </m:e>
                                        <m:sub>
                                          <m:r>
                                            <m:rPr>
                                              <m:sty m:val="p"/>
                                            </m:rPr>
                                            <w:rPr>
                                              <w:rFonts w:ascii="Cambria Math" w:hAnsi="Cambria Math" w:cstheme="minorBidi"/>
                                              <w:color w:val="4E4D4D"/>
                                              <w:kern w:val="24"/>
                                              <w:sz w:val="20"/>
                                            </w:rPr>
                                            <m:t>Res.011</m:t>
                                          </m:r>
                                        </m:sub>
                                      </m:sSub>
                                    </m:den>
                                  </m:f>
                                </m:num>
                                <m:den>
                                  <m:r>
                                    <m:rPr>
                                      <m:sty m:val="p"/>
                                    </m:rPr>
                                    <w:rPr>
                                      <w:rFonts w:ascii="Cambria Math" w:hAnsi="Cambria Math" w:cstheme="minorBidi"/>
                                      <w:color w:val="4E4D4D"/>
                                      <w:kern w:val="24"/>
                                      <w:sz w:val="20"/>
                                    </w:rPr>
                                    <m:t>2</m:t>
                                  </m:r>
                                </m:den>
                              </m:f>
                              <m:r>
                                <m:rPr>
                                  <m:sty m:val="p"/>
                                </m:rPr>
                                <w:rPr>
                                  <w:rFonts w:ascii="Cambria Math" w:hAnsi="Cambria Math" w:cstheme="minorBidi"/>
                                  <w:color w:val="4E4D4D"/>
                                  <w:kern w:val="24"/>
                                  <w:sz w:val="20"/>
                                </w:rPr>
                                <m:t>;</m:t>
                              </m:r>
                              <m:sSub>
                                <m:sSubPr>
                                  <m:ctrlPr>
                                    <w:rPr>
                                      <w:rFonts w:ascii="Cambria Math" w:eastAsiaTheme="minorEastAsia" w:hAnsi="Cambria Math" w:cstheme="minorBidi"/>
                                      <w:i/>
                                      <w:iCs/>
                                      <w:color w:val="4E4D4D"/>
                                      <w:kern w:val="24"/>
                                      <w:sz w:val="20"/>
                                    </w:rPr>
                                  </m:ctrlPr>
                                </m:sSubPr>
                                <m:e>
                                  <m:d>
                                    <m:dPr>
                                      <m:ctrlPr>
                                        <w:rPr>
                                          <w:rFonts w:ascii="Cambria Math" w:eastAsiaTheme="minorEastAsia" w:hAnsi="Cambria Math" w:cstheme="minorBidi"/>
                                          <w:i/>
                                          <w:iCs/>
                                          <w:color w:val="4E4D4D"/>
                                          <w:kern w:val="24"/>
                                          <w:sz w:val="20"/>
                                        </w:rPr>
                                      </m:ctrlPr>
                                    </m:dPr>
                                    <m:e>
                                      <m:f>
                                        <m:fPr>
                                          <m:ctrlPr>
                                            <w:rPr>
                                              <w:rFonts w:ascii="Cambria Math" w:eastAsiaTheme="minorEastAsia" w:hAnsi="Cambria Math" w:cstheme="minorBidi"/>
                                              <w:i/>
                                              <w:iCs/>
                                              <w:color w:val="4E4D4D"/>
                                              <w:kern w:val="24"/>
                                              <w:sz w:val="20"/>
                                            </w:rPr>
                                          </m:ctrlPr>
                                        </m:fPr>
                                        <m:num>
                                          <m:r>
                                            <m:rPr>
                                              <m:sty m:val="p"/>
                                            </m:rPr>
                                            <w:rPr>
                                              <w:rFonts w:ascii="Cambria Math" w:hAnsi="Cambria Math" w:cstheme="minorBidi"/>
                                              <w:color w:val="4E4D4D"/>
                                              <w:kern w:val="24"/>
                                              <w:sz w:val="20"/>
                                            </w:rPr>
                                            <m:t>INV</m:t>
                                          </m:r>
                                        </m:num>
                                        <m:den>
                                          <m:r>
                                            <m:rPr>
                                              <m:sty m:val="p"/>
                                            </m:rPr>
                                            <w:rPr>
                                              <w:rFonts w:ascii="Cambria Math" w:hAnsi="Cambria Math" w:cstheme="minorBidi"/>
                                              <w:color w:val="4E4D4D"/>
                                              <w:kern w:val="24"/>
                                              <w:sz w:val="20"/>
                                            </w:rPr>
                                            <m:t>factura</m:t>
                                          </m:r>
                                        </m:den>
                                      </m:f>
                                    </m:e>
                                  </m:d>
                                </m:e>
                                <m:sub>
                                  <m:func>
                                    <m:funcPr>
                                      <m:ctrlPr>
                                        <w:rPr>
                                          <w:rFonts w:ascii="Cambria Math" w:eastAsiaTheme="minorEastAsia" w:hAnsi="Cambria Math" w:cstheme="minorBidi"/>
                                          <w:i/>
                                          <w:iCs/>
                                          <w:color w:val="4E4D4D"/>
                                          <w:kern w:val="24"/>
                                          <w:sz w:val="20"/>
                                        </w:rPr>
                                      </m:ctrlPr>
                                    </m:funcPr>
                                    <m:fName>
                                      <m:r>
                                        <m:rPr>
                                          <m:sty m:val="p"/>
                                        </m:rPr>
                                        <w:rPr>
                                          <w:rFonts w:ascii="Cambria Math" w:hAnsi="Cambria Math" w:cstheme="minorBidi"/>
                                          <w:color w:val="4E4D4D"/>
                                          <w:kern w:val="24"/>
                                          <w:sz w:val="20"/>
                                        </w:rPr>
                                        <m:t>max</m:t>
                                      </m:r>
                                    </m:fName>
                                    <m:e>
                                      <m:r>
                                        <m:rPr>
                                          <m:sty m:val="p"/>
                                        </m:rPr>
                                        <w:rPr>
                                          <w:rFonts w:ascii="Cambria Math" w:hAnsi="Cambria Math" w:cstheme="minorBidi"/>
                                          <w:color w:val="4E4D4D"/>
                                          <w:kern w:val="24"/>
                                          <w:sz w:val="20"/>
                                        </w:rPr>
                                        <m:t>rec</m:t>
                                      </m:r>
                                    </m:e>
                                  </m:func>
                                </m:sub>
                              </m:sSub>
                              <m:r>
                                <m:rPr>
                                  <m:sty m:val="p"/>
                                </m:rPr>
                                <w:rPr>
                                  <w:rFonts w:ascii="Cambria Math" w:hAnsi="Cambria Math" w:cstheme="minorBidi"/>
                                  <w:color w:val="4E4D4D"/>
                                  <w:kern w:val="24"/>
                                  <w:sz w:val="20"/>
                                </w:rPr>
                                <m:t> </m:t>
                              </m:r>
                            </m:e>
                          </m:d>
                        </m:oMath>
                      </m:oMathPara>
                    </w:p>
                  </w:txbxContent>
                </v:textbox>
                <w10:anchorlock/>
              </v:shape>
            </w:pict>
          </mc:Fallback>
        </mc:AlternateContent>
      </w:r>
    </w:p>
    <w:p w14:paraId="79678D84" w14:textId="210A1FCB" w:rsidR="00D027F7" w:rsidRPr="00D027F7" w:rsidRDefault="00D027F7" w:rsidP="00D027F7">
      <w:pPr>
        <w:spacing w:before="100" w:beforeAutospacing="1" w:after="100" w:afterAutospacing="1" w:line="360" w:lineRule="auto"/>
        <w:jc w:val="center"/>
        <w:rPr>
          <w:sz w:val="22"/>
          <w:szCs w:val="22"/>
          <w:lang w:val="es-CO"/>
        </w:rPr>
      </w:pPr>
      <w:r w:rsidRPr="00D027F7">
        <w:rPr>
          <w:sz w:val="22"/>
          <w:szCs w:val="22"/>
          <w:lang w:val="es-CO"/>
        </w:rPr>
        <w:lastRenderedPageBreak/>
        <w:t>Elaboración: CREG</w:t>
      </w:r>
    </w:p>
    <w:p w14:paraId="4A88E9BF" w14:textId="328A6471" w:rsidR="001F22D8" w:rsidRDefault="001F22D8" w:rsidP="002F1961">
      <w:pPr>
        <w:spacing w:before="100" w:beforeAutospacing="1" w:after="100" w:afterAutospacing="1" w:line="360" w:lineRule="auto"/>
        <w:rPr>
          <w:szCs w:val="24"/>
          <w:lang w:val="es-CO"/>
        </w:rPr>
      </w:pPr>
      <w:r>
        <w:rPr>
          <w:szCs w:val="24"/>
          <w:lang w:val="es-CO"/>
        </w:rPr>
        <w:t xml:space="preserve">La </w:t>
      </w:r>
      <w:r w:rsidR="00D027F7">
        <w:rPr>
          <w:szCs w:val="24"/>
          <w:highlight w:val="yellow"/>
          <w:lang w:val="es-CO"/>
        </w:rPr>
        <w:fldChar w:fldCharType="begin"/>
      </w:r>
      <w:r w:rsidR="00D027F7">
        <w:rPr>
          <w:szCs w:val="24"/>
          <w:lang w:val="es-CO"/>
        </w:rPr>
        <w:instrText xml:space="preserve"> REF _Ref235110111 \h </w:instrText>
      </w:r>
      <w:r w:rsidR="00D027F7">
        <w:rPr>
          <w:szCs w:val="24"/>
          <w:highlight w:val="yellow"/>
          <w:lang w:val="es-CO"/>
        </w:rPr>
      </w:r>
      <w:r w:rsidR="00D027F7">
        <w:rPr>
          <w:szCs w:val="24"/>
          <w:highlight w:val="yellow"/>
          <w:lang w:val="es-CO"/>
        </w:rPr>
        <w:fldChar w:fldCharType="separate"/>
      </w:r>
      <w:r w:rsidR="00D027F7" w:rsidRPr="003B6B54">
        <w:rPr>
          <w:lang w:val="es-ES"/>
        </w:rPr>
        <w:t xml:space="preserve">Figura </w:t>
      </w:r>
      <w:r w:rsidR="00D027F7">
        <w:rPr>
          <w:noProof/>
          <w:lang w:val="es-ES"/>
        </w:rPr>
        <w:t>26</w:t>
      </w:r>
      <w:r w:rsidR="00D027F7">
        <w:rPr>
          <w:szCs w:val="24"/>
          <w:highlight w:val="yellow"/>
          <w:lang w:val="es-CO"/>
        </w:rPr>
        <w:fldChar w:fldCharType="end"/>
      </w:r>
      <w:r w:rsidRPr="001F22D8">
        <w:rPr>
          <w:szCs w:val="24"/>
          <w:lang w:val="es-CO"/>
        </w:rPr>
        <w:t xml:space="preserve"> presenta el esquema utilizado para determinar el reconocimiento de las inversiones asociadas a la actividad de comercialización. La metodología incorpora criterios de eficiencia que permiten reconocer únicamente aquellas inversiones necesarias para el desarrollo de la actividad comercial, considerando las características de cada mercado.</w:t>
      </w:r>
    </w:p>
    <w:p w14:paraId="5C8740BA" w14:textId="191B2268" w:rsidR="00BE3202" w:rsidRDefault="00BE3202" w:rsidP="002F1961">
      <w:pPr>
        <w:spacing w:before="100" w:beforeAutospacing="1" w:after="100" w:afterAutospacing="1" w:line="360" w:lineRule="auto"/>
        <w:rPr>
          <w:szCs w:val="24"/>
          <w:lang w:val="es-CO"/>
        </w:rPr>
      </w:pPr>
      <w:r w:rsidRPr="00BE3202">
        <w:rPr>
          <w:szCs w:val="24"/>
          <w:lang w:val="es-CO"/>
        </w:rPr>
        <w:t xml:space="preserve">El reconocimiento de las inversiones destinadas a la actividad de comercialización también se encuentra sujeto a criterios de eficiencia. Para ello, la metodología compara las inversiones reportadas con valores máximos definidos para cada grupo de municipios. </w:t>
      </w:r>
      <w:r w:rsidRPr="00D027F7">
        <w:rPr>
          <w:szCs w:val="24"/>
          <w:lang w:val="es-CO"/>
        </w:rPr>
        <w:t xml:space="preserve">La </w:t>
      </w:r>
      <w:r w:rsidR="00D027F7" w:rsidRPr="00D027F7">
        <w:rPr>
          <w:szCs w:val="24"/>
          <w:lang w:val="es-CO"/>
        </w:rPr>
        <w:fldChar w:fldCharType="begin"/>
      </w:r>
      <w:r w:rsidR="00D027F7" w:rsidRPr="00D027F7">
        <w:rPr>
          <w:szCs w:val="24"/>
          <w:lang w:val="es-CO"/>
        </w:rPr>
        <w:instrText xml:space="preserve"> REF _Ref235110131 \h </w:instrText>
      </w:r>
      <w:r w:rsidR="00D027F7">
        <w:rPr>
          <w:szCs w:val="24"/>
          <w:lang w:val="es-CO"/>
        </w:rPr>
        <w:instrText xml:space="preserve"> \* MERGEFORMAT </w:instrText>
      </w:r>
      <w:r w:rsidR="00D027F7" w:rsidRPr="00D027F7">
        <w:rPr>
          <w:szCs w:val="24"/>
          <w:lang w:val="es-CO"/>
        </w:rPr>
      </w:r>
      <w:r w:rsidR="00D027F7" w:rsidRPr="00D027F7">
        <w:rPr>
          <w:szCs w:val="24"/>
          <w:lang w:val="es-CO"/>
        </w:rPr>
        <w:fldChar w:fldCharType="separate"/>
      </w:r>
      <w:r w:rsidR="00D027F7" w:rsidRPr="00D027F7">
        <w:rPr>
          <w:rFonts w:cs="Arial"/>
          <w:szCs w:val="24"/>
        </w:rPr>
        <w:t xml:space="preserve">Tabla </w:t>
      </w:r>
      <w:r w:rsidR="00D027F7" w:rsidRPr="00D027F7">
        <w:rPr>
          <w:rFonts w:cs="Arial"/>
          <w:noProof/>
          <w:szCs w:val="24"/>
        </w:rPr>
        <w:t>7</w:t>
      </w:r>
      <w:r w:rsidR="00D027F7" w:rsidRPr="00D027F7">
        <w:rPr>
          <w:szCs w:val="24"/>
          <w:lang w:val="es-CO"/>
        </w:rPr>
        <w:fldChar w:fldCharType="end"/>
      </w:r>
      <w:r w:rsidRPr="00BE3202">
        <w:rPr>
          <w:szCs w:val="24"/>
          <w:lang w:val="es-CO"/>
        </w:rPr>
        <w:t xml:space="preserve"> resume las variables consideradas para este proceso</w:t>
      </w:r>
      <w:r>
        <w:rPr>
          <w:szCs w:val="24"/>
          <w:lang w:val="es-CO"/>
        </w:rPr>
        <w:t>.</w:t>
      </w:r>
    </w:p>
    <w:p w14:paraId="42F9F5FD" w14:textId="6CE233EA" w:rsidR="00BE3202" w:rsidRDefault="00BE3202" w:rsidP="002F1961">
      <w:pPr>
        <w:spacing w:before="100" w:beforeAutospacing="1" w:after="100" w:afterAutospacing="1" w:line="360" w:lineRule="auto"/>
        <w:jc w:val="center"/>
        <w:rPr>
          <w:szCs w:val="24"/>
          <w:lang w:val="es-CO"/>
        </w:rPr>
      </w:pPr>
      <w:bookmarkStart w:id="105" w:name="_Ref235110128"/>
      <w:bookmarkStart w:id="106" w:name="_Ref235110131"/>
      <w:bookmarkStart w:id="107" w:name="_Toc235128404"/>
      <w:r w:rsidRPr="003B6B54">
        <w:rPr>
          <w:rFonts w:cs="Arial"/>
          <w:szCs w:val="24"/>
        </w:rPr>
        <w:t xml:space="preserve">Tabla </w:t>
      </w:r>
      <w:r w:rsidRPr="003B6B54">
        <w:rPr>
          <w:rFonts w:cs="Arial"/>
          <w:szCs w:val="24"/>
        </w:rPr>
        <w:fldChar w:fldCharType="begin"/>
      </w:r>
      <w:r w:rsidRPr="003B6B54">
        <w:rPr>
          <w:rFonts w:cs="Arial"/>
          <w:szCs w:val="24"/>
        </w:rPr>
        <w:instrText xml:space="preserve"> SEQ Tabla \* ARABIC </w:instrText>
      </w:r>
      <w:r w:rsidRPr="003B6B54">
        <w:rPr>
          <w:rFonts w:cs="Arial"/>
          <w:szCs w:val="24"/>
        </w:rPr>
        <w:fldChar w:fldCharType="separate"/>
      </w:r>
      <w:r w:rsidR="005306CB">
        <w:rPr>
          <w:rFonts w:cs="Arial"/>
          <w:noProof/>
          <w:szCs w:val="24"/>
        </w:rPr>
        <w:t>7</w:t>
      </w:r>
      <w:r w:rsidRPr="003B6B54">
        <w:rPr>
          <w:rFonts w:cs="Arial"/>
          <w:szCs w:val="24"/>
        </w:rPr>
        <w:fldChar w:fldCharType="end"/>
      </w:r>
      <w:bookmarkEnd w:id="106"/>
      <w:r w:rsidRPr="003B6B54">
        <w:rPr>
          <w:rFonts w:cs="Arial"/>
          <w:szCs w:val="24"/>
        </w:rPr>
        <w:t>.</w:t>
      </w:r>
      <w:r w:rsidRPr="00256FE1">
        <w:rPr>
          <w:rFonts w:cs="Arial"/>
          <w:szCs w:val="24"/>
        </w:rPr>
        <w:t xml:space="preserve"> </w:t>
      </w:r>
      <w:r w:rsidR="004B73CD" w:rsidRPr="004B73CD">
        <w:rPr>
          <w:rFonts w:cs="Arial"/>
          <w:szCs w:val="24"/>
        </w:rPr>
        <w:t>Criterios para el reconocimiento eficiente de las inversiones de la actividad de comercialización</w:t>
      </w:r>
      <w:bookmarkEnd w:id="105"/>
      <w:bookmarkEnd w:id="107"/>
    </w:p>
    <w:tbl>
      <w:tblPr>
        <w:tblStyle w:val="Tabla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312"/>
        <w:gridCol w:w="3482"/>
        <w:gridCol w:w="3602"/>
      </w:tblGrid>
      <w:tr w:rsidR="006C4AC3" w:rsidRPr="006C4AC3" w14:paraId="54B02341" w14:textId="77777777" w:rsidTr="00D027F7">
        <w:trPr>
          <w:cnfStyle w:val="100000000000" w:firstRow="1" w:lastRow="0" w:firstColumn="0" w:lastColumn="0" w:oddVBand="0" w:evenVBand="0" w:oddHBand="0" w:evenHBand="0" w:firstRowFirstColumn="0" w:firstRowLastColumn="0" w:lastRowFirstColumn="0" w:lastRowLastColumn="0"/>
          <w:trHeight w:val="389"/>
        </w:trPr>
        <w:tc>
          <w:tcPr>
            <w:tcW w:w="0" w:type="auto"/>
            <w:shd w:val="clear" w:color="auto" w:fill="D9D9D9" w:themeFill="background1" w:themeFillShade="D9"/>
            <w:hideMark/>
          </w:tcPr>
          <w:p w14:paraId="5D07F27F" w14:textId="77777777" w:rsidR="006C4AC3" w:rsidRPr="006C4AC3" w:rsidRDefault="006C4AC3" w:rsidP="002F1961">
            <w:pPr>
              <w:spacing w:before="100" w:beforeAutospacing="1" w:after="100" w:afterAutospacing="1" w:line="360" w:lineRule="auto"/>
              <w:jc w:val="center"/>
              <w:rPr>
                <w:rFonts w:cs="Arial"/>
                <w:sz w:val="20"/>
                <w:lang w:val="es-CO"/>
              </w:rPr>
            </w:pPr>
            <w:r w:rsidRPr="006C4AC3">
              <w:rPr>
                <w:rFonts w:cs="Arial"/>
                <w:sz w:val="20"/>
                <w:lang w:val="es-CO"/>
              </w:rPr>
              <w:t>Término</w:t>
            </w:r>
          </w:p>
        </w:tc>
        <w:tc>
          <w:tcPr>
            <w:tcW w:w="0" w:type="auto"/>
            <w:shd w:val="clear" w:color="auto" w:fill="D9D9D9" w:themeFill="background1" w:themeFillShade="D9"/>
            <w:hideMark/>
          </w:tcPr>
          <w:p w14:paraId="14EECB3B" w14:textId="77777777" w:rsidR="006C4AC3" w:rsidRPr="006C4AC3" w:rsidRDefault="006C4AC3" w:rsidP="002F1961">
            <w:pPr>
              <w:spacing w:before="100" w:beforeAutospacing="1" w:after="100" w:afterAutospacing="1" w:line="360" w:lineRule="auto"/>
              <w:jc w:val="center"/>
              <w:rPr>
                <w:rFonts w:cs="Arial"/>
                <w:sz w:val="20"/>
                <w:lang w:val="es-CO"/>
              </w:rPr>
            </w:pPr>
            <w:r w:rsidRPr="006C4AC3">
              <w:rPr>
                <w:rFonts w:cs="Arial"/>
                <w:sz w:val="20"/>
                <w:lang w:val="es-CO"/>
              </w:rPr>
              <w:t>Mercados Existentes</w:t>
            </w:r>
          </w:p>
        </w:tc>
        <w:tc>
          <w:tcPr>
            <w:tcW w:w="0" w:type="auto"/>
            <w:shd w:val="clear" w:color="auto" w:fill="D9D9D9" w:themeFill="background1" w:themeFillShade="D9"/>
            <w:hideMark/>
          </w:tcPr>
          <w:p w14:paraId="27F748CA" w14:textId="77777777" w:rsidR="006C4AC3" w:rsidRPr="006C4AC3" w:rsidRDefault="006C4AC3" w:rsidP="002F1961">
            <w:pPr>
              <w:spacing w:before="100" w:beforeAutospacing="1" w:after="100" w:afterAutospacing="1" w:line="360" w:lineRule="auto"/>
              <w:jc w:val="center"/>
              <w:rPr>
                <w:rFonts w:cs="Arial"/>
                <w:sz w:val="20"/>
                <w:lang w:val="es-CO"/>
              </w:rPr>
            </w:pPr>
            <w:r w:rsidRPr="006C4AC3">
              <w:rPr>
                <w:rFonts w:cs="Arial"/>
                <w:sz w:val="20"/>
                <w:lang w:val="es-CO"/>
              </w:rPr>
              <w:t>Mercados Nuevos</w:t>
            </w:r>
          </w:p>
        </w:tc>
      </w:tr>
      <w:tr w:rsidR="006C4AC3" w:rsidRPr="006C4AC3" w14:paraId="1EF2921E" w14:textId="77777777" w:rsidTr="00D027F7">
        <w:trPr>
          <w:cnfStyle w:val="000000100000" w:firstRow="0" w:lastRow="0" w:firstColumn="0" w:lastColumn="0" w:oddVBand="0" w:evenVBand="0" w:oddHBand="1" w:evenHBand="0" w:firstRowFirstColumn="0" w:firstRowLastColumn="0" w:lastRowFirstColumn="0" w:lastRowLastColumn="0"/>
          <w:trHeight w:val="584"/>
        </w:trPr>
        <w:tc>
          <w:tcPr>
            <w:tcW w:w="0" w:type="auto"/>
            <w:hideMark/>
          </w:tcPr>
          <w:p w14:paraId="04456576" w14:textId="59C24520" w:rsidR="006C4AC3" w:rsidRPr="006C4AC3" w:rsidRDefault="00000000" w:rsidP="002F1961">
            <w:pPr>
              <w:spacing w:before="100" w:beforeAutospacing="1" w:after="100" w:afterAutospacing="1" w:line="360" w:lineRule="auto"/>
              <w:rPr>
                <w:rFonts w:cs="Arial"/>
                <w:sz w:val="20"/>
                <w:lang w:val="es-CO"/>
              </w:rPr>
            </w:pPr>
            <m:oMath>
              <m:f>
                <m:fPr>
                  <m:ctrlPr>
                    <w:rPr>
                      <w:rFonts w:ascii="Cambria Math" w:hAnsi="Cambria Math" w:cs="Arial"/>
                      <w:i/>
                      <w:iCs/>
                      <w:sz w:val="20"/>
                      <w:lang w:val="es-CO"/>
                    </w:rPr>
                  </m:ctrlPr>
                </m:fPr>
                <m:num>
                  <m:sSub>
                    <m:sSubPr>
                      <m:ctrlPr>
                        <w:rPr>
                          <w:rFonts w:ascii="Cambria Math" w:hAnsi="Cambria Math" w:cs="Arial"/>
                          <w:i/>
                          <w:iCs/>
                          <w:sz w:val="20"/>
                          <w:lang w:val="es-CO"/>
                        </w:rPr>
                      </m:ctrlPr>
                    </m:sSubPr>
                    <m:e>
                      <m:r>
                        <m:rPr>
                          <m:sty m:val="p"/>
                        </m:rPr>
                        <w:rPr>
                          <w:rFonts w:ascii="Cambria Math" w:hAnsi="Cambria Math" w:cs="Arial"/>
                          <w:sz w:val="20"/>
                          <w:lang w:val="es-CO"/>
                        </w:rPr>
                        <m:t>INV</m:t>
                      </m:r>
                    </m:e>
                    <m:sub>
                      <m:r>
                        <m:rPr>
                          <m:sty m:val="p"/>
                        </m:rPr>
                        <w:rPr>
                          <w:rFonts w:ascii="Cambria Math" w:hAnsi="Cambria Math" w:cs="Arial"/>
                          <w:sz w:val="20"/>
                          <w:lang w:val="es-CO"/>
                        </w:rPr>
                        <m:t>r</m:t>
                      </m:r>
                    </m:sub>
                  </m:sSub>
                </m:num>
                <m:den>
                  <m:r>
                    <m:rPr>
                      <m:sty m:val="p"/>
                    </m:rPr>
                    <w:rPr>
                      <w:rFonts w:ascii="Cambria Math" w:hAnsi="Cambria Math" w:cs="Arial"/>
                      <w:sz w:val="20"/>
                      <w:lang w:val="es-CO"/>
                    </w:rPr>
                    <m:t>#factura</m:t>
                  </m:r>
                  <m:sSub>
                    <m:sSubPr>
                      <m:ctrlPr>
                        <w:rPr>
                          <w:rFonts w:ascii="Cambria Math" w:hAnsi="Cambria Math" w:cs="Arial"/>
                          <w:i/>
                          <w:iCs/>
                          <w:sz w:val="20"/>
                          <w:lang w:val="es-CO"/>
                        </w:rPr>
                      </m:ctrlPr>
                    </m:sSubPr>
                    <m:e>
                      <m:r>
                        <m:rPr>
                          <m:sty m:val="p"/>
                        </m:rPr>
                        <w:rPr>
                          <w:rFonts w:ascii="Cambria Math" w:hAnsi="Cambria Math" w:cs="Arial"/>
                          <w:sz w:val="20"/>
                          <w:lang w:val="es-CO"/>
                        </w:rPr>
                        <m:t>s</m:t>
                      </m:r>
                    </m:e>
                    <m:sub>
                      <m:r>
                        <m:rPr>
                          <m:sty m:val="p"/>
                        </m:rPr>
                        <w:rPr>
                          <w:rFonts w:ascii="Cambria Math" w:hAnsi="Cambria Math" w:cs="Arial"/>
                          <w:sz w:val="20"/>
                          <w:lang w:val="es-CO"/>
                        </w:rPr>
                        <m:t>r</m:t>
                      </m:r>
                    </m:sub>
                  </m:sSub>
                </m:den>
              </m:f>
            </m:oMath>
            <w:r w:rsidR="006C4AC3" w:rsidRPr="006C4AC3">
              <w:rPr>
                <w:rFonts w:cs="Arial"/>
                <w:sz w:val="20"/>
                <w:lang w:val="es-CO"/>
              </w:rPr>
              <w:t xml:space="preserve">  (reportado)</w:t>
            </w:r>
          </w:p>
        </w:tc>
        <w:tc>
          <w:tcPr>
            <w:tcW w:w="0" w:type="auto"/>
            <w:hideMark/>
          </w:tcPr>
          <w:p w14:paraId="7552021B" w14:textId="77777777" w:rsidR="006C4AC3" w:rsidRPr="006C4AC3" w:rsidRDefault="006C4AC3" w:rsidP="002F1961">
            <w:pPr>
              <w:spacing w:before="100" w:beforeAutospacing="1" w:after="100" w:afterAutospacing="1" w:line="360" w:lineRule="auto"/>
              <w:rPr>
                <w:rFonts w:cs="Arial"/>
                <w:sz w:val="20"/>
                <w:lang w:val="es-CO"/>
              </w:rPr>
            </w:pPr>
            <w:r w:rsidRPr="006C4AC3">
              <w:rPr>
                <w:rFonts w:cs="Arial"/>
                <w:sz w:val="20"/>
                <w:lang w:val="es-CO"/>
              </w:rPr>
              <w:t>Relación entre las inversiones reportadas y el número de facturas del año de la Fecha de Corte.</w:t>
            </w:r>
          </w:p>
        </w:tc>
        <w:tc>
          <w:tcPr>
            <w:tcW w:w="0" w:type="auto"/>
            <w:hideMark/>
          </w:tcPr>
          <w:p w14:paraId="6627C662" w14:textId="77777777" w:rsidR="006C4AC3" w:rsidRPr="006C4AC3" w:rsidRDefault="006C4AC3" w:rsidP="002F1961">
            <w:pPr>
              <w:spacing w:before="100" w:beforeAutospacing="1" w:after="100" w:afterAutospacing="1" w:line="360" w:lineRule="auto"/>
              <w:rPr>
                <w:rFonts w:cs="Arial"/>
                <w:sz w:val="20"/>
                <w:lang w:val="es-CO"/>
              </w:rPr>
            </w:pPr>
            <w:r w:rsidRPr="006C4AC3">
              <w:rPr>
                <w:rFonts w:cs="Arial"/>
                <w:sz w:val="20"/>
                <w:lang w:val="es-CO"/>
              </w:rPr>
              <w:t xml:space="preserve">Relación entre el valor presente de las cuentas de inversiones proyectadas y </w:t>
            </w:r>
            <w:proofErr w:type="spellStart"/>
            <w:r w:rsidRPr="006C4AC3">
              <w:rPr>
                <w:rFonts w:cs="Arial"/>
                <w:sz w:val="20"/>
                <w:lang w:val="es-CO"/>
              </w:rPr>
              <w:t>y</w:t>
            </w:r>
            <w:proofErr w:type="spellEnd"/>
            <w:r w:rsidRPr="006C4AC3">
              <w:rPr>
                <w:rFonts w:cs="Arial"/>
                <w:sz w:val="20"/>
                <w:lang w:val="es-CO"/>
              </w:rPr>
              <w:t xml:space="preserve"> el número de facturas proyectadas para el 5to año.</w:t>
            </w:r>
          </w:p>
        </w:tc>
      </w:tr>
      <w:tr w:rsidR="006C4AC3" w:rsidRPr="006C4AC3" w14:paraId="68A1C850" w14:textId="77777777" w:rsidTr="00D027F7">
        <w:trPr>
          <w:trHeight w:val="584"/>
        </w:trPr>
        <w:tc>
          <w:tcPr>
            <w:tcW w:w="0" w:type="auto"/>
            <w:hideMark/>
          </w:tcPr>
          <w:p w14:paraId="5ADC4DAE" w14:textId="02482244" w:rsidR="006C4AC3" w:rsidRPr="006C4AC3" w:rsidRDefault="00000000" w:rsidP="002F1961">
            <w:pPr>
              <w:spacing w:before="100" w:beforeAutospacing="1" w:after="100" w:afterAutospacing="1" w:line="360" w:lineRule="auto"/>
              <w:rPr>
                <w:rFonts w:cs="Arial"/>
                <w:sz w:val="20"/>
                <w:lang w:val="es-CO"/>
              </w:rPr>
            </w:pPr>
            <m:oMath>
              <m:f>
                <m:fPr>
                  <m:ctrlPr>
                    <w:rPr>
                      <w:rFonts w:ascii="Cambria Math" w:hAnsi="Cambria Math" w:cs="Arial"/>
                      <w:i/>
                      <w:iCs/>
                      <w:sz w:val="20"/>
                      <w:lang w:val="es-CO"/>
                    </w:rPr>
                  </m:ctrlPr>
                </m:fPr>
                <m:num>
                  <m:f>
                    <m:fPr>
                      <m:ctrlPr>
                        <w:rPr>
                          <w:rFonts w:ascii="Cambria Math" w:hAnsi="Cambria Math" w:cs="Arial"/>
                          <w:i/>
                          <w:iCs/>
                          <w:sz w:val="20"/>
                          <w:lang w:val="es-CO"/>
                        </w:rPr>
                      </m:ctrlPr>
                    </m:fPr>
                    <m:num>
                      <m:r>
                        <m:rPr>
                          <m:sty m:val="p"/>
                        </m:rPr>
                        <w:rPr>
                          <w:rFonts w:ascii="Cambria Math" w:hAnsi="Cambria Math" w:cs="Arial"/>
                          <w:sz w:val="20"/>
                          <w:lang w:val="es-CO"/>
                        </w:rPr>
                        <m:t>IN</m:t>
                      </m:r>
                      <m:sSub>
                        <m:sSubPr>
                          <m:ctrlPr>
                            <w:rPr>
                              <w:rFonts w:ascii="Cambria Math" w:hAnsi="Cambria Math" w:cs="Arial"/>
                              <w:i/>
                              <w:iCs/>
                              <w:sz w:val="20"/>
                              <w:lang w:val="es-CO"/>
                            </w:rPr>
                          </m:ctrlPr>
                        </m:sSubPr>
                        <m:e>
                          <m:r>
                            <m:rPr>
                              <m:sty m:val="p"/>
                            </m:rPr>
                            <w:rPr>
                              <w:rFonts w:ascii="Cambria Math" w:hAnsi="Cambria Math" w:cs="Arial"/>
                              <w:sz w:val="20"/>
                              <w:lang w:val="es-CO"/>
                            </w:rPr>
                            <m:t>V</m:t>
                          </m:r>
                        </m:e>
                        <m:sub>
                          <m:r>
                            <m:rPr>
                              <m:sty m:val="p"/>
                            </m:rPr>
                            <w:rPr>
                              <w:rFonts w:ascii="Cambria Math" w:hAnsi="Cambria Math" w:cs="Arial"/>
                              <w:sz w:val="20"/>
                              <w:lang w:val="es-CO"/>
                            </w:rPr>
                            <m:t>r</m:t>
                          </m:r>
                        </m:sub>
                      </m:sSub>
                    </m:num>
                    <m:den>
                      <m:r>
                        <m:rPr>
                          <m:sty m:val="p"/>
                        </m:rPr>
                        <w:rPr>
                          <w:rFonts w:ascii="Cambria Math" w:hAnsi="Cambria Math" w:cs="Arial"/>
                          <w:sz w:val="20"/>
                          <w:lang w:val="es-CO"/>
                        </w:rPr>
                        <m:t>#factura</m:t>
                      </m:r>
                      <m:sSub>
                        <m:sSubPr>
                          <m:ctrlPr>
                            <w:rPr>
                              <w:rFonts w:ascii="Cambria Math" w:hAnsi="Cambria Math" w:cs="Arial"/>
                              <w:i/>
                              <w:iCs/>
                              <w:sz w:val="20"/>
                              <w:lang w:val="es-CO"/>
                            </w:rPr>
                          </m:ctrlPr>
                        </m:sSubPr>
                        <m:e>
                          <m:r>
                            <m:rPr>
                              <m:sty m:val="p"/>
                            </m:rPr>
                            <w:rPr>
                              <w:rFonts w:ascii="Cambria Math" w:hAnsi="Cambria Math" w:cs="Arial"/>
                              <w:sz w:val="20"/>
                              <w:lang w:val="es-CO"/>
                            </w:rPr>
                            <m:t>s</m:t>
                          </m:r>
                        </m:e>
                        <m:sub>
                          <m:r>
                            <m:rPr>
                              <m:sty m:val="p"/>
                            </m:rPr>
                            <w:rPr>
                              <w:rFonts w:ascii="Cambria Math" w:hAnsi="Cambria Math" w:cs="Arial"/>
                              <w:sz w:val="20"/>
                              <w:lang w:val="es-CO"/>
                            </w:rPr>
                            <m:t>r</m:t>
                          </m:r>
                        </m:sub>
                      </m:sSub>
                    </m:den>
                  </m:f>
                  <m:r>
                    <m:rPr>
                      <m:sty m:val="p"/>
                    </m:rPr>
                    <w:rPr>
                      <w:rFonts w:ascii="Cambria Math" w:hAnsi="Cambria Math" w:cs="Arial"/>
                      <w:sz w:val="20"/>
                      <w:lang w:val="es-CO"/>
                    </w:rPr>
                    <m:t>+</m:t>
                  </m:r>
                  <m:f>
                    <m:fPr>
                      <m:ctrlPr>
                        <w:rPr>
                          <w:rFonts w:ascii="Cambria Math" w:hAnsi="Cambria Math" w:cs="Arial"/>
                          <w:i/>
                          <w:iCs/>
                          <w:sz w:val="20"/>
                          <w:lang w:val="es-CO"/>
                        </w:rPr>
                      </m:ctrlPr>
                    </m:fPr>
                    <m:num>
                      <m:r>
                        <m:rPr>
                          <m:sty m:val="p"/>
                        </m:rPr>
                        <w:rPr>
                          <w:rFonts w:ascii="Cambria Math" w:hAnsi="Cambria Math" w:cs="Arial"/>
                          <w:sz w:val="20"/>
                          <w:lang w:val="es-CO"/>
                        </w:rPr>
                        <m:t>IN</m:t>
                      </m:r>
                      <m:sSub>
                        <m:sSubPr>
                          <m:ctrlPr>
                            <w:rPr>
                              <w:rFonts w:ascii="Cambria Math" w:hAnsi="Cambria Math" w:cs="Arial"/>
                              <w:i/>
                              <w:iCs/>
                              <w:sz w:val="20"/>
                              <w:lang w:val="es-CO"/>
                            </w:rPr>
                          </m:ctrlPr>
                        </m:sSubPr>
                        <m:e>
                          <m:r>
                            <m:rPr>
                              <m:sty m:val="p"/>
                            </m:rPr>
                            <w:rPr>
                              <w:rFonts w:ascii="Cambria Math" w:hAnsi="Cambria Math" w:cs="Arial"/>
                              <w:sz w:val="20"/>
                              <w:lang w:val="es-CO"/>
                            </w:rPr>
                            <m:t>V</m:t>
                          </m:r>
                        </m:e>
                        <m:sub>
                          <m:r>
                            <m:rPr>
                              <m:sty m:val="p"/>
                            </m:rPr>
                            <w:rPr>
                              <w:rFonts w:ascii="Cambria Math" w:hAnsi="Cambria Math" w:cs="Arial"/>
                              <w:sz w:val="20"/>
                              <w:lang w:val="es-CO"/>
                            </w:rPr>
                            <m:t>rem</m:t>
                          </m:r>
                        </m:sub>
                      </m:sSub>
                    </m:num>
                    <m:den>
                      <m:r>
                        <m:rPr>
                          <m:sty m:val="p"/>
                        </m:rPr>
                        <w:rPr>
                          <w:rFonts w:ascii="Cambria Math" w:hAnsi="Cambria Math" w:cs="Arial"/>
                          <w:sz w:val="20"/>
                          <w:lang w:val="es-CO"/>
                        </w:rPr>
                        <m:t>#factura</m:t>
                      </m:r>
                      <m:sSub>
                        <m:sSubPr>
                          <m:ctrlPr>
                            <w:rPr>
                              <w:rFonts w:ascii="Cambria Math" w:hAnsi="Cambria Math" w:cs="Arial"/>
                              <w:i/>
                              <w:iCs/>
                              <w:sz w:val="20"/>
                              <w:lang w:val="es-CO"/>
                            </w:rPr>
                          </m:ctrlPr>
                        </m:sSubPr>
                        <m:e>
                          <m:r>
                            <m:rPr>
                              <m:sty m:val="p"/>
                            </m:rPr>
                            <w:rPr>
                              <w:rFonts w:ascii="Cambria Math" w:hAnsi="Cambria Math" w:cs="Arial"/>
                              <w:sz w:val="20"/>
                              <w:lang w:val="es-CO"/>
                            </w:rPr>
                            <m:t>s</m:t>
                          </m:r>
                        </m:e>
                        <m:sub>
                          <m:r>
                            <m:rPr>
                              <m:sty m:val="p"/>
                            </m:rPr>
                            <w:rPr>
                              <w:rFonts w:ascii="Cambria Math" w:hAnsi="Cambria Math" w:cs="Arial"/>
                              <w:sz w:val="20"/>
                              <w:lang w:val="es-CO"/>
                            </w:rPr>
                            <m:t>Res.011</m:t>
                          </m:r>
                        </m:sub>
                      </m:sSub>
                    </m:den>
                  </m:f>
                </m:num>
                <m:den>
                  <m:r>
                    <m:rPr>
                      <m:sty m:val="p"/>
                    </m:rPr>
                    <w:rPr>
                      <w:rFonts w:ascii="Cambria Math" w:hAnsi="Cambria Math" w:cs="Arial"/>
                      <w:sz w:val="20"/>
                      <w:lang w:val="es-CO"/>
                    </w:rPr>
                    <m:t>2</m:t>
                  </m:r>
                </m:den>
              </m:f>
            </m:oMath>
            <w:r w:rsidR="006C4AC3" w:rsidRPr="006C4AC3">
              <w:rPr>
                <w:rFonts w:cs="Arial"/>
                <w:sz w:val="20"/>
                <w:lang w:val="es-CO"/>
              </w:rPr>
              <w:t xml:space="preserve">  (semi-suma)</w:t>
            </w:r>
          </w:p>
        </w:tc>
        <w:tc>
          <w:tcPr>
            <w:tcW w:w="0" w:type="auto"/>
            <w:hideMark/>
          </w:tcPr>
          <w:p w14:paraId="509D02AC" w14:textId="795278E8" w:rsidR="006C4AC3" w:rsidRPr="006C4AC3" w:rsidRDefault="006C4AC3" w:rsidP="002F1961">
            <w:pPr>
              <w:spacing w:before="100" w:beforeAutospacing="1" w:after="100" w:afterAutospacing="1" w:line="360" w:lineRule="auto"/>
              <w:rPr>
                <w:rFonts w:cs="Arial"/>
                <w:sz w:val="20"/>
                <w:lang w:val="es-CO"/>
              </w:rPr>
            </w:pPr>
            <w:r w:rsidRPr="006C4AC3">
              <w:rPr>
                <w:rFonts w:cs="Arial"/>
                <w:sz w:val="20"/>
                <w:lang w:val="es-CO"/>
              </w:rPr>
              <w:t>Promedio entre el reportado y las inversiones/facturas reconocidas en la metodología anterior.</w:t>
            </w:r>
          </w:p>
        </w:tc>
        <w:tc>
          <w:tcPr>
            <w:tcW w:w="0" w:type="auto"/>
            <w:hideMark/>
          </w:tcPr>
          <w:p w14:paraId="327C60FE" w14:textId="77777777" w:rsidR="006C4AC3" w:rsidRPr="006C4AC3" w:rsidRDefault="006C4AC3" w:rsidP="002F1961">
            <w:pPr>
              <w:spacing w:before="100" w:beforeAutospacing="1" w:after="100" w:afterAutospacing="1" w:line="360" w:lineRule="auto"/>
              <w:rPr>
                <w:rFonts w:cs="Arial"/>
                <w:sz w:val="20"/>
                <w:lang w:val="es-CO"/>
              </w:rPr>
            </w:pPr>
            <w:r w:rsidRPr="006C4AC3">
              <w:rPr>
                <w:rFonts w:cs="Arial"/>
                <w:sz w:val="20"/>
                <w:lang w:val="es-CO"/>
              </w:rPr>
              <w:t>No aplica</w:t>
            </w:r>
          </w:p>
        </w:tc>
      </w:tr>
      <w:tr w:rsidR="006C4AC3" w:rsidRPr="006C4AC3" w14:paraId="0FC7CA85" w14:textId="77777777" w:rsidTr="00D027F7">
        <w:trPr>
          <w:cnfStyle w:val="000000100000" w:firstRow="0" w:lastRow="0" w:firstColumn="0" w:lastColumn="0" w:oddVBand="0" w:evenVBand="0" w:oddHBand="1" w:evenHBand="0" w:firstRowFirstColumn="0" w:firstRowLastColumn="0" w:lastRowFirstColumn="0" w:lastRowLastColumn="0"/>
          <w:trHeight w:val="584"/>
        </w:trPr>
        <w:tc>
          <w:tcPr>
            <w:tcW w:w="0" w:type="auto"/>
            <w:hideMark/>
          </w:tcPr>
          <w:p w14:paraId="218E8F50" w14:textId="29720125" w:rsidR="006C4AC3" w:rsidRPr="006C4AC3" w:rsidRDefault="00000000" w:rsidP="002F1961">
            <w:pPr>
              <w:spacing w:before="100" w:beforeAutospacing="1" w:after="100" w:afterAutospacing="1" w:line="360" w:lineRule="auto"/>
              <w:rPr>
                <w:rFonts w:cs="Arial"/>
                <w:sz w:val="20"/>
                <w:lang w:val="es-CO"/>
              </w:rPr>
            </w:pPr>
            <m:oMath>
              <m:sSub>
                <m:sSubPr>
                  <m:ctrlPr>
                    <w:rPr>
                      <w:rFonts w:ascii="Cambria Math" w:hAnsi="Cambria Math" w:cs="Arial"/>
                      <w:i/>
                      <w:iCs/>
                      <w:sz w:val="20"/>
                      <w:lang w:val="es-CO"/>
                    </w:rPr>
                  </m:ctrlPr>
                </m:sSubPr>
                <m:e>
                  <m:d>
                    <m:dPr>
                      <m:ctrlPr>
                        <w:rPr>
                          <w:rFonts w:ascii="Cambria Math" w:hAnsi="Cambria Math" w:cs="Arial"/>
                          <w:i/>
                          <w:iCs/>
                          <w:sz w:val="20"/>
                          <w:lang w:val="es-CO"/>
                        </w:rPr>
                      </m:ctrlPr>
                    </m:dPr>
                    <m:e>
                      <m:f>
                        <m:fPr>
                          <m:ctrlPr>
                            <w:rPr>
                              <w:rFonts w:ascii="Cambria Math" w:hAnsi="Cambria Math" w:cs="Arial"/>
                              <w:i/>
                              <w:iCs/>
                              <w:sz w:val="20"/>
                              <w:lang w:val="es-CO"/>
                            </w:rPr>
                          </m:ctrlPr>
                        </m:fPr>
                        <m:num>
                          <m:r>
                            <m:rPr>
                              <m:sty m:val="p"/>
                            </m:rPr>
                            <w:rPr>
                              <w:rFonts w:ascii="Cambria Math" w:hAnsi="Cambria Math" w:cs="Arial"/>
                              <w:sz w:val="20"/>
                              <w:lang w:val="es-CO"/>
                            </w:rPr>
                            <m:t>INV</m:t>
                          </m:r>
                        </m:num>
                        <m:den>
                          <m:r>
                            <m:rPr>
                              <m:sty m:val="p"/>
                            </m:rPr>
                            <w:rPr>
                              <w:rFonts w:ascii="Cambria Math" w:hAnsi="Cambria Math" w:cs="Arial"/>
                              <w:sz w:val="20"/>
                              <w:lang w:val="es-CO"/>
                            </w:rPr>
                            <m:t>factura</m:t>
                          </m:r>
                        </m:den>
                      </m:f>
                    </m:e>
                  </m:d>
                </m:e>
                <m:sub>
                  <m:func>
                    <m:funcPr>
                      <m:ctrlPr>
                        <w:rPr>
                          <w:rFonts w:ascii="Cambria Math" w:hAnsi="Cambria Math" w:cs="Arial"/>
                          <w:i/>
                          <w:iCs/>
                          <w:sz w:val="20"/>
                          <w:lang w:val="es-CO"/>
                        </w:rPr>
                      </m:ctrlPr>
                    </m:funcPr>
                    <m:fName>
                      <m:r>
                        <m:rPr>
                          <m:sty m:val="p"/>
                        </m:rPr>
                        <w:rPr>
                          <w:rFonts w:ascii="Cambria Math" w:hAnsi="Cambria Math" w:cs="Arial"/>
                          <w:sz w:val="20"/>
                          <w:lang w:val="es-CO"/>
                        </w:rPr>
                        <m:t>max</m:t>
                      </m:r>
                    </m:fName>
                    <m:e>
                      <m:r>
                        <m:rPr>
                          <m:sty m:val="p"/>
                        </m:rPr>
                        <w:rPr>
                          <w:rFonts w:ascii="Cambria Math" w:hAnsi="Cambria Math" w:cs="Arial"/>
                          <w:sz w:val="20"/>
                          <w:lang w:val="es-CO"/>
                        </w:rPr>
                        <m:t>rec</m:t>
                      </m:r>
                    </m:e>
                  </m:func>
                </m:sub>
              </m:sSub>
            </m:oMath>
            <w:r w:rsidR="006C4AC3" w:rsidRPr="006C4AC3">
              <w:rPr>
                <w:rFonts w:cs="Arial"/>
                <w:sz w:val="20"/>
                <w:lang w:val="es-CO"/>
              </w:rPr>
              <w:t>(techo)</w:t>
            </w:r>
          </w:p>
        </w:tc>
        <w:tc>
          <w:tcPr>
            <w:tcW w:w="0" w:type="auto"/>
            <w:hideMark/>
          </w:tcPr>
          <w:p w14:paraId="751CB944" w14:textId="77777777" w:rsidR="006C4AC3" w:rsidRPr="006C4AC3" w:rsidRDefault="006C4AC3" w:rsidP="002F1961">
            <w:pPr>
              <w:spacing w:before="100" w:beforeAutospacing="1" w:after="100" w:afterAutospacing="1" w:line="360" w:lineRule="auto"/>
              <w:rPr>
                <w:rFonts w:cs="Arial"/>
                <w:sz w:val="20"/>
                <w:lang w:val="es-CO"/>
              </w:rPr>
            </w:pPr>
            <w:r w:rsidRPr="006C4AC3">
              <w:rPr>
                <w:rFonts w:cs="Arial"/>
                <w:sz w:val="20"/>
                <w:lang w:val="es-CO"/>
              </w:rPr>
              <w:t xml:space="preserve">Inversiones/facturas máximo a reconocer según </w:t>
            </w:r>
            <w:proofErr w:type="spellStart"/>
            <w:proofErr w:type="gramStart"/>
            <w:r w:rsidRPr="006C4AC3">
              <w:rPr>
                <w:rFonts w:cs="Arial"/>
                <w:sz w:val="20"/>
                <w:lang w:val="es-CO"/>
              </w:rPr>
              <w:t>clusters</w:t>
            </w:r>
            <w:proofErr w:type="spellEnd"/>
            <w:proofErr w:type="gramEnd"/>
            <w:r w:rsidRPr="006C4AC3">
              <w:rPr>
                <w:rFonts w:cs="Arial"/>
                <w:sz w:val="20"/>
                <w:lang w:val="es-CO"/>
              </w:rPr>
              <w:t xml:space="preserve"> de municipios.</w:t>
            </w:r>
          </w:p>
        </w:tc>
        <w:tc>
          <w:tcPr>
            <w:tcW w:w="0" w:type="auto"/>
            <w:hideMark/>
          </w:tcPr>
          <w:p w14:paraId="69FC514C" w14:textId="77777777" w:rsidR="006C4AC3" w:rsidRPr="006C4AC3" w:rsidRDefault="006C4AC3" w:rsidP="002F1961">
            <w:pPr>
              <w:spacing w:before="100" w:beforeAutospacing="1" w:after="100" w:afterAutospacing="1" w:line="360" w:lineRule="auto"/>
              <w:rPr>
                <w:rFonts w:cs="Arial"/>
                <w:sz w:val="20"/>
                <w:lang w:val="es-CO"/>
              </w:rPr>
            </w:pPr>
            <w:r w:rsidRPr="006C4AC3">
              <w:rPr>
                <w:rFonts w:cs="Arial"/>
                <w:sz w:val="20"/>
                <w:lang w:val="es-CO"/>
              </w:rPr>
              <w:t xml:space="preserve">Porcentaje de OA máximo a reconocer según </w:t>
            </w:r>
            <w:proofErr w:type="spellStart"/>
            <w:proofErr w:type="gramStart"/>
            <w:r w:rsidRPr="006C4AC3">
              <w:rPr>
                <w:rFonts w:cs="Arial"/>
                <w:sz w:val="20"/>
                <w:lang w:val="es-CO"/>
              </w:rPr>
              <w:t>clusters</w:t>
            </w:r>
            <w:proofErr w:type="spellEnd"/>
            <w:proofErr w:type="gramEnd"/>
            <w:r w:rsidRPr="006C4AC3">
              <w:rPr>
                <w:rFonts w:cs="Arial"/>
                <w:sz w:val="20"/>
                <w:lang w:val="es-CO"/>
              </w:rPr>
              <w:t xml:space="preserve"> de municipios.</w:t>
            </w:r>
          </w:p>
        </w:tc>
      </w:tr>
    </w:tbl>
    <w:p w14:paraId="02A56F73" w14:textId="599D5AD6" w:rsidR="001D32B5" w:rsidRPr="00D027F7" w:rsidRDefault="005F2052" w:rsidP="002F1961">
      <w:pPr>
        <w:spacing w:before="100" w:beforeAutospacing="1" w:after="100" w:afterAutospacing="1" w:line="360" w:lineRule="auto"/>
        <w:jc w:val="center"/>
        <w:rPr>
          <w:sz w:val="22"/>
          <w:szCs w:val="22"/>
          <w:lang w:val="es-CO"/>
        </w:rPr>
      </w:pPr>
      <w:r w:rsidRPr="00D027F7">
        <w:rPr>
          <w:sz w:val="22"/>
          <w:szCs w:val="22"/>
          <w:lang w:val="es-CO"/>
        </w:rPr>
        <w:t>Elaboración: CREG</w:t>
      </w:r>
    </w:p>
    <w:p w14:paraId="6D30B5D4" w14:textId="5EBB77D4" w:rsidR="001D32B5" w:rsidRPr="002B143F" w:rsidRDefault="007153A4" w:rsidP="002F1961">
      <w:pPr>
        <w:spacing w:before="100" w:beforeAutospacing="1" w:after="100" w:afterAutospacing="1" w:line="360" w:lineRule="auto"/>
        <w:rPr>
          <w:b/>
          <w:bCs/>
          <w:szCs w:val="24"/>
          <w:lang w:val="es-CO"/>
        </w:rPr>
      </w:pPr>
      <w:r w:rsidRPr="002B143F">
        <w:rPr>
          <w:b/>
          <w:bCs/>
          <w:szCs w:val="24"/>
        </w:rPr>
        <w:t>Numero de f</w:t>
      </w:r>
      <w:r w:rsidR="00D5588F" w:rsidRPr="002B143F">
        <w:rPr>
          <w:b/>
          <w:bCs/>
          <w:szCs w:val="24"/>
        </w:rPr>
        <w:t>acturas reconocidas</w:t>
      </w:r>
    </w:p>
    <w:p w14:paraId="78741B4E" w14:textId="77777777" w:rsidR="00801F51" w:rsidRPr="00801F51" w:rsidRDefault="00801F51" w:rsidP="002F1961">
      <w:pPr>
        <w:spacing w:before="100" w:beforeAutospacing="1" w:after="100" w:afterAutospacing="1" w:line="360" w:lineRule="auto"/>
        <w:rPr>
          <w:szCs w:val="24"/>
          <w:lang w:val="es-CO"/>
        </w:rPr>
      </w:pPr>
      <w:r w:rsidRPr="00801F51">
        <w:rPr>
          <w:szCs w:val="24"/>
          <w:lang w:val="es-CO"/>
        </w:rPr>
        <w:t>El componente fijo distribuye los costos reconocidos sobre el número anual de facturas.</w:t>
      </w:r>
    </w:p>
    <w:p w14:paraId="4708566D" w14:textId="05C0A74D" w:rsidR="00CD7D92" w:rsidRPr="00CD7D92" w:rsidRDefault="00CD7D92" w:rsidP="002F1961">
      <w:pPr>
        <w:spacing w:before="100" w:beforeAutospacing="1" w:after="100" w:afterAutospacing="1" w:line="360" w:lineRule="auto"/>
        <w:rPr>
          <w:szCs w:val="24"/>
          <w:lang w:val="es-CO"/>
        </w:rPr>
      </w:pPr>
      <w:r w:rsidRPr="00B61652">
        <w:rPr>
          <w:b/>
          <w:bCs/>
          <w:szCs w:val="24"/>
          <w:lang w:val="es-CO"/>
        </w:rPr>
        <w:lastRenderedPageBreak/>
        <w:t>Mercados existentes:</w:t>
      </w:r>
      <w:r w:rsidRPr="00CD7D92">
        <w:rPr>
          <w:szCs w:val="24"/>
          <w:lang w:val="es-CO"/>
        </w:rPr>
        <w:t xml:space="preserve"> Se determina a partir de la información anual reportada al Sistema Único de Información (SUI) para la Fecha de Corte. No se incluirán facturas asociadas a errores de facturación.</w:t>
      </w:r>
    </w:p>
    <w:p w14:paraId="5E5750DC" w14:textId="6381336A" w:rsidR="001D32B5" w:rsidRDefault="00CD7D92" w:rsidP="002F1961">
      <w:pPr>
        <w:spacing w:before="100" w:beforeAutospacing="1" w:after="100" w:afterAutospacing="1" w:line="360" w:lineRule="auto"/>
        <w:rPr>
          <w:szCs w:val="24"/>
          <w:lang w:val="es-CO"/>
        </w:rPr>
      </w:pPr>
      <w:r w:rsidRPr="00B61652">
        <w:rPr>
          <w:b/>
          <w:bCs/>
          <w:szCs w:val="24"/>
          <w:lang w:val="es-CO"/>
        </w:rPr>
        <w:t>Mercados nuevos:</w:t>
      </w:r>
      <w:r w:rsidRPr="00CD7D92">
        <w:rPr>
          <w:szCs w:val="24"/>
          <w:lang w:val="es-CO"/>
        </w:rPr>
        <w:t xml:space="preserve"> Corresponde al número de usuarios proyectados para el quinto año, multiplicado por 12 para determinar un valor anual</w:t>
      </w:r>
    </w:p>
    <w:p w14:paraId="3F3C9B30" w14:textId="727D0016" w:rsidR="007B1219" w:rsidRPr="007B1219" w:rsidRDefault="007B1219">
      <w:pPr>
        <w:pStyle w:val="Prrafodelista"/>
        <w:numPr>
          <w:ilvl w:val="0"/>
          <w:numId w:val="29"/>
        </w:numPr>
        <w:spacing w:before="100" w:beforeAutospacing="1" w:after="100" w:afterAutospacing="1" w:line="360" w:lineRule="auto"/>
        <w:rPr>
          <w:b/>
          <w:bCs/>
          <w:szCs w:val="24"/>
          <w:lang w:val="es-CO"/>
        </w:rPr>
      </w:pPr>
      <w:r w:rsidRPr="007B1219">
        <w:rPr>
          <w:b/>
          <w:bCs/>
          <w:szCs w:val="24"/>
          <w:lang w:val="es-CO"/>
        </w:rPr>
        <w:t>Componente variable</w:t>
      </w:r>
    </w:p>
    <w:p w14:paraId="6F85BD98" w14:textId="77777777" w:rsidR="00BB739E" w:rsidRDefault="00BB739E" w:rsidP="002F1961">
      <w:pPr>
        <w:spacing w:before="100" w:beforeAutospacing="1" w:after="100" w:afterAutospacing="1" w:line="360" w:lineRule="auto"/>
        <w:rPr>
          <w:szCs w:val="24"/>
          <w:lang w:val="es-CO"/>
        </w:rPr>
      </w:pPr>
      <w:r w:rsidRPr="00BB739E">
        <w:rPr>
          <w:szCs w:val="24"/>
          <w:lang w:val="es-CO"/>
        </w:rPr>
        <w:t>El componente variable remunera aquellos costos asociados directamente al volumen comercializado.</w:t>
      </w:r>
      <w:r>
        <w:rPr>
          <w:szCs w:val="24"/>
          <w:lang w:val="es-CO"/>
        </w:rPr>
        <w:t xml:space="preserve">  </w:t>
      </w:r>
    </w:p>
    <w:p w14:paraId="5DB51A2D" w14:textId="172432FB" w:rsidR="007B1219" w:rsidRDefault="0031702C" w:rsidP="002F1961">
      <w:pPr>
        <w:spacing w:before="100" w:beforeAutospacing="1" w:after="100" w:afterAutospacing="1" w:line="360" w:lineRule="auto"/>
        <w:rPr>
          <w:szCs w:val="24"/>
          <w:lang w:val="es-CO"/>
        </w:rPr>
      </w:pPr>
      <w:r w:rsidRPr="0031702C">
        <w:rPr>
          <w:szCs w:val="24"/>
          <w:lang w:val="es-CO"/>
        </w:rPr>
        <w:t>El componente variable incorpora aquellos costos que dependen directamente del volumen comercializado. Estos corresponden al suministro, transporte y distribución del gas, así como a otros componentes económicos que reconocen la rentabilidad de la actividad y los riesgos asociados a su prestación.</w:t>
      </w:r>
    </w:p>
    <w:p w14:paraId="3A2EDD78" w14:textId="7C593550" w:rsidR="001E4425" w:rsidRDefault="001E3821" w:rsidP="002F1961">
      <w:pPr>
        <w:spacing w:before="100" w:beforeAutospacing="1" w:after="100" w:afterAutospacing="1" w:line="360" w:lineRule="auto"/>
        <w:rPr>
          <w:szCs w:val="24"/>
          <w:lang w:val="es-CO"/>
        </w:rPr>
      </w:pPr>
      <w:r w:rsidRPr="001E3821">
        <w:rPr>
          <w:szCs w:val="24"/>
          <w:lang w:val="es-CO"/>
        </w:rPr>
        <w:t xml:space="preserve">El componente variable incorpora los costos que dependen directamente del volumen comercializado, así como otros componentes económicos asociados a la prestación del servicio. </w:t>
      </w:r>
      <w:r w:rsidR="00DE390B" w:rsidRPr="00DE390B">
        <w:rPr>
          <w:szCs w:val="24"/>
          <w:lang w:val="es-CO"/>
        </w:rPr>
        <w:t xml:space="preserve">La </w:t>
      </w:r>
      <w:r w:rsidR="00DE390B">
        <w:rPr>
          <w:szCs w:val="24"/>
          <w:highlight w:val="yellow"/>
          <w:lang w:val="es-CO"/>
        </w:rPr>
        <w:fldChar w:fldCharType="begin"/>
      </w:r>
      <w:r w:rsidR="00DE390B">
        <w:rPr>
          <w:szCs w:val="24"/>
          <w:highlight w:val="yellow"/>
          <w:lang w:val="es-CO"/>
        </w:rPr>
        <w:instrText xml:space="preserve"> REF _Ref235110250 \h </w:instrText>
      </w:r>
      <w:r w:rsidR="00DE390B">
        <w:rPr>
          <w:szCs w:val="24"/>
          <w:highlight w:val="yellow"/>
          <w:lang w:val="es-CO"/>
        </w:rPr>
      </w:r>
      <w:r w:rsidR="00DE390B">
        <w:rPr>
          <w:szCs w:val="24"/>
          <w:highlight w:val="yellow"/>
          <w:lang w:val="es-CO"/>
        </w:rPr>
        <w:fldChar w:fldCharType="separate"/>
      </w:r>
      <w:r w:rsidR="00DE390B" w:rsidRPr="003B6B54">
        <w:rPr>
          <w:rFonts w:cs="Arial"/>
          <w:szCs w:val="24"/>
        </w:rPr>
        <w:t xml:space="preserve">Tabla </w:t>
      </w:r>
      <w:r w:rsidR="00DE390B">
        <w:rPr>
          <w:rFonts w:cs="Arial"/>
          <w:noProof/>
          <w:szCs w:val="24"/>
        </w:rPr>
        <w:t>8</w:t>
      </w:r>
      <w:r w:rsidR="00DE390B">
        <w:rPr>
          <w:szCs w:val="24"/>
          <w:highlight w:val="yellow"/>
          <w:lang w:val="es-CO"/>
        </w:rPr>
        <w:fldChar w:fldCharType="end"/>
      </w:r>
      <w:r w:rsidRPr="001E3821">
        <w:rPr>
          <w:szCs w:val="24"/>
          <w:lang w:val="es-CO"/>
        </w:rPr>
        <w:t xml:space="preserve"> presenta los elementos que conforman este componente y una breve descripción de cada uno de ellos.</w:t>
      </w:r>
    </w:p>
    <w:p w14:paraId="6AF33E8A" w14:textId="1D51F8D7" w:rsidR="001E3821" w:rsidRDefault="001E3821" w:rsidP="00DE390B">
      <w:pPr>
        <w:keepNext/>
        <w:spacing w:before="100" w:beforeAutospacing="1" w:after="100" w:afterAutospacing="1" w:line="360" w:lineRule="auto"/>
        <w:jc w:val="center"/>
        <w:rPr>
          <w:szCs w:val="24"/>
          <w:lang w:val="es-CO"/>
        </w:rPr>
      </w:pPr>
      <w:bookmarkStart w:id="108" w:name="_Ref235110250"/>
      <w:bookmarkStart w:id="109" w:name="_Toc235128405"/>
      <w:r w:rsidRPr="003B6B54">
        <w:rPr>
          <w:rFonts w:cs="Arial"/>
          <w:szCs w:val="24"/>
        </w:rPr>
        <w:t xml:space="preserve">Tabla </w:t>
      </w:r>
      <w:r w:rsidRPr="003B6B54">
        <w:rPr>
          <w:rFonts w:cs="Arial"/>
          <w:szCs w:val="24"/>
        </w:rPr>
        <w:fldChar w:fldCharType="begin"/>
      </w:r>
      <w:r w:rsidRPr="003B6B54">
        <w:rPr>
          <w:rFonts w:cs="Arial"/>
          <w:szCs w:val="24"/>
        </w:rPr>
        <w:instrText xml:space="preserve"> SEQ Tabla \* ARABIC </w:instrText>
      </w:r>
      <w:r w:rsidRPr="003B6B54">
        <w:rPr>
          <w:rFonts w:cs="Arial"/>
          <w:szCs w:val="24"/>
        </w:rPr>
        <w:fldChar w:fldCharType="separate"/>
      </w:r>
      <w:r w:rsidR="005306CB">
        <w:rPr>
          <w:rFonts w:cs="Arial"/>
          <w:noProof/>
          <w:szCs w:val="24"/>
        </w:rPr>
        <w:t>8</w:t>
      </w:r>
      <w:r w:rsidRPr="003B6B54">
        <w:rPr>
          <w:rFonts w:cs="Arial"/>
          <w:szCs w:val="24"/>
        </w:rPr>
        <w:fldChar w:fldCharType="end"/>
      </w:r>
      <w:bookmarkEnd w:id="108"/>
      <w:r w:rsidRPr="003B6B54">
        <w:rPr>
          <w:rFonts w:cs="Arial"/>
          <w:szCs w:val="24"/>
        </w:rPr>
        <w:t>.</w:t>
      </w:r>
      <w:r w:rsidRPr="00256FE1">
        <w:rPr>
          <w:rFonts w:cs="Arial"/>
          <w:szCs w:val="24"/>
        </w:rPr>
        <w:t xml:space="preserve"> </w:t>
      </w:r>
      <w:r w:rsidR="00182C4D" w:rsidRPr="00182C4D">
        <w:rPr>
          <w:rFonts w:cs="Arial"/>
          <w:szCs w:val="24"/>
        </w:rPr>
        <w:t>Componentes del componente variable del costo de comercialización</w:t>
      </w:r>
      <w:bookmarkEnd w:id="109"/>
    </w:p>
    <w:tbl>
      <w:tblPr>
        <w:tblStyle w:val="Tablanormal1"/>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9"/>
        <w:gridCol w:w="7659"/>
      </w:tblGrid>
      <w:tr w:rsidR="001E4425" w:rsidRPr="001E4425" w14:paraId="2425770C" w14:textId="77777777" w:rsidTr="00DE390B">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hideMark/>
          </w:tcPr>
          <w:p w14:paraId="7D7C0B41" w14:textId="77777777" w:rsidR="001E4425" w:rsidRPr="001E4425" w:rsidRDefault="001E4425" w:rsidP="002F1961">
            <w:pPr>
              <w:spacing w:before="100" w:beforeAutospacing="1" w:after="100" w:afterAutospacing="1" w:line="360" w:lineRule="auto"/>
              <w:jc w:val="center"/>
              <w:rPr>
                <w:sz w:val="20"/>
                <w:lang w:val="es-CO"/>
              </w:rPr>
            </w:pPr>
            <w:r w:rsidRPr="001E4425">
              <w:rPr>
                <w:sz w:val="20"/>
                <w:lang w:val="es-CO"/>
              </w:rPr>
              <w:t>Componente</w:t>
            </w:r>
          </w:p>
        </w:tc>
        <w:tc>
          <w:tcPr>
            <w:tcW w:w="0" w:type="auto"/>
            <w:shd w:val="clear" w:color="auto" w:fill="D9D9D9" w:themeFill="background1" w:themeFillShade="D9"/>
            <w:hideMark/>
          </w:tcPr>
          <w:p w14:paraId="1AC8CB21" w14:textId="77777777" w:rsidR="001E4425" w:rsidRPr="001E4425" w:rsidRDefault="001E4425" w:rsidP="002F1961">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sz w:val="20"/>
                <w:lang w:val="es-CO"/>
              </w:rPr>
            </w:pPr>
            <w:r w:rsidRPr="001E4425">
              <w:rPr>
                <w:sz w:val="20"/>
                <w:lang w:val="es-CO"/>
              </w:rPr>
              <w:t>Descripción</w:t>
            </w:r>
          </w:p>
        </w:tc>
      </w:tr>
      <w:tr w:rsidR="001E4425" w:rsidRPr="001E4425" w14:paraId="5567DC36" w14:textId="77777777" w:rsidTr="00DE390B">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4C54DAD4" w14:textId="77777777" w:rsidR="001E4425" w:rsidRPr="001E4425" w:rsidRDefault="001E4425" w:rsidP="002F1961">
            <w:pPr>
              <w:spacing w:before="100" w:beforeAutospacing="1" w:after="100" w:afterAutospacing="1" w:line="360" w:lineRule="auto"/>
              <w:jc w:val="center"/>
              <w:rPr>
                <w:sz w:val="20"/>
                <w:lang w:val="es-CO"/>
              </w:rPr>
            </w:pPr>
            <w:r w:rsidRPr="001E4425">
              <w:rPr>
                <w:sz w:val="20"/>
                <w:lang w:val="es-CO"/>
              </w:rPr>
              <w:t>G</w:t>
            </w:r>
          </w:p>
        </w:tc>
        <w:tc>
          <w:tcPr>
            <w:tcW w:w="0" w:type="auto"/>
            <w:hideMark/>
          </w:tcPr>
          <w:p w14:paraId="6E5BDE30" w14:textId="6012EA1F" w:rsidR="001E4425" w:rsidRPr="001E4425" w:rsidRDefault="001E4425" w:rsidP="002F1961">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sz w:val="20"/>
                <w:lang w:val="es-CO"/>
              </w:rPr>
            </w:pPr>
            <w:r w:rsidRPr="001E4425">
              <w:rPr>
                <w:sz w:val="20"/>
                <w:lang w:val="es-CO"/>
              </w:rPr>
              <w:t>Costo promedio unitario de las compras de gas destinado a usuarios regulados del mercado</w:t>
            </w:r>
          </w:p>
        </w:tc>
      </w:tr>
      <w:tr w:rsidR="001E4425" w:rsidRPr="001E4425" w14:paraId="5707AE2C" w14:textId="77777777" w:rsidTr="00DE390B">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0C77D85D" w14:textId="77777777" w:rsidR="001E4425" w:rsidRPr="001E4425" w:rsidRDefault="001E4425" w:rsidP="002F1961">
            <w:pPr>
              <w:spacing w:before="100" w:beforeAutospacing="1" w:after="100" w:afterAutospacing="1" w:line="360" w:lineRule="auto"/>
              <w:jc w:val="center"/>
              <w:rPr>
                <w:sz w:val="20"/>
                <w:lang w:val="es-CO"/>
              </w:rPr>
            </w:pPr>
            <w:r w:rsidRPr="001E4425">
              <w:rPr>
                <w:sz w:val="20"/>
                <w:lang w:val="es-CO"/>
              </w:rPr>
              <w:t>T</w:t>
            </w:r>
          </w:p>
        </w:tc>
        <w:tc>
          <w:tcPr>
            <w:tcW w:w="0" w:type="auto"/>
            <w:hideMark/>
          </w:tcPr>
          <w:p w14:paraId="6CB42BF8" w14:textId="7B732431" w:rsidR="001E4425" w:rsidRPr="001E4425" w:rsidRDefault="001E4425" w:rsidP="002F1961">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sz w:val="20"/>
                <w:lang w:val="es-CO"/>
              </w:rPr>
            </w:pPr>
            <w:r w:rsidRPr="001E4425">
              <w:rPr>
                <w:sz w:val="20"/>
                <w:lang w:val="es-CO"/>
              </w:rPr>
              <w:t>Costo promedio unitario de las compras de transporte de gas combustible destinado a la atención de usuarios regulados del mercado</w:t>
            </w:r>
          </w:p>
        </w:tc>
      </w:tr>
      <w:tr w:rsidR="001E4425" w:rsidRPr="001E4425" w14:paraId="5C988A93" w14:textId="77777777" w:rsidTr="00DE390B">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5CB1A92C" w14:textId="77777777" w:rsidR="001E4425" w:rsidRPr="001E4425" w:rsidRDefault="001E4425" w:rsidP="002F1961">
            <w:pPr>
              <w:spacing w:before="100" w:beforeAutospacing="1" w:after="100" w:afterAutospacing="1" w:line="360" w:lineRule="auto"/>
              <w:jc w:val="center"/>
              <w:rPr>
                <w:sz w:val="20"/>
                <w:lang w:val="es-CO"/>
              </w:rPr>
            </w:pPr>
            <w:r w:rsidRPr="001E4425">
              <w:rPr>
                <w:sz w:val="20"/>
                <w:lang w:val="es-CO"/>
              </w:rPr>
              <w:t>D</w:t>
            </w:r>
          </w:p>
        </w:tc>
        <w:tc>
          <w:tcPr>
            <w:tcW w:w="0" w:type="auto"/>
            <w:hideMark/>
          </w:tcPr>
          <w:p w14:paraId="26B3D900" w14:textId="6B760605" w:rsidR="001E4425" w:rsidRPr="001E4425" w:rsidRDefault="001E4425" w:rsidP="002F1961">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sz w:val="20"/>
                <w:lang w:val="es-CO"/>
              </w:rPr>
            </w:pPr>
            <w:r w:rsidRPr="001E4425">
              <w:rPr>
                <w:sz w:val="20"/>
                <w:lang w:val="es-CO"/>
              </w:rPr>
              <w:t>Costo promedio unitario del cargo de distribución de gas combustible destinado a la atención de usuarios regulados del mercado</w:t>
            </w:r>
          </w:p>
        </w:tc>
      </w:tr>
      <w:tr w:rsidR="001E4425" w:rsidRPr="001E4425" w14:paraId="60ADFBA9" w14:textId="77777777" w:rsidTr="00DE390B">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6308FE5F" w14:textId="77777777" w:rsidR="001E4425" w:rsidRPr="001E4425" w:rsidRDefault="001E4425" w:rsidP="002F1961">
            <w:pPr>
              <w:spacing w:before="100" w:beforeAutospacing="1" w:after="100" w:afterAutospacing="1" w:line="360" w:lineRule="auto"/>
              <w:jc w:val="center"/>
              <w:rPr>
                <w:sz w:val="20"/>
                <w:lang w:val="es-CO"/>
              </w:rPr>
            </w:pPr>
            <w:r w:rsidRPr="001E4425">
              <w:rPr>
                <w:sz w:val="20"/>
                <w:lang w:val="es-CO"/>
              </w:rPr>
              <w:t>MO</w:t>
            </w:r>
          </w:p>
        </w:tc>
        <w:tc>
          <w:tcPr>
            <w:tcW w:w="0" w:type="auto"/>
            <w:hideMark/>
          </w:tcPr>
          <w:p w14:paraId="6B135B99" w14:textId="4C560759" w:rsidR="001E4425" w:rsidRPr="001E4425" w:rsidRDefault="001E4425" w:rsidP="002F1961">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sz w:val="20"/>
                <w:lang w:val="es-CO"/>
              </w:rPr>
            </w:pPr>
            <w:r w:rsidRPr="001E4425">
              <w:rPr>
                <w:sz w:val="20"/>
                <w:lang w:val="es-CO"/>
              </w:rPr>
              <w:t>Dado que la actividad de comercialización es, esencialmente, un negocio de intermediación económica, se reconoce un margen operacional para determinar la rentabilidad de la actividad. Corresponde al 3.0%.</w:t>
            </w:r>
          </w:p>
        </w:tc>
      </w:tr>
      <w:tr w:rsidR="001E4425" w:rsidRPr="001E4425" w14:paraId="3B42807C" w14:textId="77777777" w:rsidTr="00DE390B">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0D9C5EA2" w14:textId="77777777" w:rsidR="001E4425" w:rsidRPr="001E4425" w:rsidRDefault="001E4425" w:rsidP="002F1961">
            <w:pPr>
              <w:spacing w:before="100" w:beforeAutospacing="1" w:after="100" w:afterAutospacing="1" w:line="360" w:lineRule="auto"/>
              <w:jc w:val="center"/>
              <w:rPr>
                <w:sz w:val="20"/>
                <w:lang w:val="es-CO"/>
              </w:rPr>
            </w:pPr>
            <w:r w:rsidRPr="001E4425">
              <w:rPr>
                <w:sz w:val="20"/>
                <w:lang w:val="es-CO"/>
              </w:rPr>
              <w:lastRenderedPageBreak/>
              <w:t>RC</w:t>
            </w:r>
          </w:p>
        </w:tc>
        <w:tc>
          <w:tcPr>
            <w:tcW w:w="0" w:type="auto"/>
            <w:hideMark/>
          </w:tcPr>
          <w:p w14:paraId="42E73755" w14:textId="5BA86C7F" w:rsidR="001E4425" w:rsidRPr="001E4425" w:rsidRDefault="001E4425" w:rsidP="002F1961">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sz w:val="20"/>
                <w:lang w:val="es-CO"/>
              </w:rPr>
            </w:pPr>
            <w:r w:rsidRPr="001E4425">
              <w:rPr>
                <w:sz w:val="20"/>
                <w:lang w:val="es-CO"/>
              </w:rPr>
              <w:t>Es el riesgo producido por el incumplimiento en el pago de las obligaciones de los usuarios sin que estos vuelvan a utilizar el servicio</w:t>
            </w:r>
          </w:p>
        </w:tc>
      </w:tr>
      <w:tr w:rsidR="001E4425" w:rsidRPr="001E4425" w14:paraId="4469C58F" w14:textId="77777777" w:rsidTr="00DE390B">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0147EF44" w14:textId="77777777" w:rsidR="001E4425" w:rsidRPr="001E4425" w:rsidRDefault="001E4425" w:rsidP="002F1961">
            <w:pPr>
              <w:spacing w:before="100" w:beforeAutospacing="1" w:after="100" w:afterAutospacing="1" w:line="360" w:lineRule="auto"/>
              <w:jc w:val="center"/>
              <w:rPr>
                <w:sz w:val="20"/>
                <w:lang w:val="es-CO"/>
              </w:rPr>
            </w:pPr>
            <w:r w:rsidRPr="001E4425">
              <w:rPr>
                <w:sz w:val="20"/>
                <w:lang w:val="es-CO"/>
              </w:rPr>
              <w:t>CF</w:t>
            </w:r>
          </w:p>
        </w:tc>
        <w:tc>
          <w:tcPr>
            <w:tcW w:w="0" w:type="auto"/>
            <w:hideMark/>
          </w:tcPr>
          <w:p w14:paraId="3FB2AB7E" w14:textId="2320BBCF" w:rsidR="001E4425" w:rsidRPr="001E4425" w:rsidRDefault="001E4425" w:rsidP="002F1961">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sz w:val="20"/>
                <w:lang w:val="es-CO"/>
              </w:rPr>
            </w:pPr>
            <w:r w:rsidRPr="001E4425">
              <w:rPr>
                <w:sz w:val="20"/>
                <w:lang w:val="es-CO"/>
              </w:rPr>
              <w:t>Remunera los costos financieros asociados al ciclo de efectivo y al giro de subsidios al consumo otorgados por el Gobierno Nacional cuando el comercializador es deficitario</w:t>
            </w:r>
          </w:p>
        </w:tc>
      </w:tr>
      <w:tr w:rsidR="001E4425" w:rsidRPr="001E4425" w14:paraId="33C168F6" w14:textId="77777777" w:rsidTr="00DE390B">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28CCDA83" w14:textId="77777777" w:rsidR="001E4425" w:rsidRPr="001E4425" w:rsidRDefault="001E4425" w:rsidP="002F1961">
            <w:pPr>
              <w:spacing w:before="100" w:beforeAutospacing="1" w:after="100" w:afterAutospacing="1" w:line="360" w:lineRule="auto"/>
              <w:jc w:val="center"/>
              <w:rPr>
                <w:sz w:val="20"/>
                <w:lang w:val="es-CO"/>
              </w:rPr>
            </w:pPr>
            <w:r w:rsidRPr="001E4425">
              <w:rPr>
                <w:sz w:val="20"/>
                <w:lang w:val="es-CO"/>
              </w:rPr>
              <w:t>ITC</w:t>
            </w:r>
          </w:p>
        </w:tc>
        <w:tc>
          <w:tcPr>
            <w:tcW w:w="0" w:type="auto"/>
            <w:hideMark/>
          </w:tcPr>
          <w:p w14:paraId="55E7AC14" w14:textId="7E7200B2" w:rsidR="001E4425" w:rsidRPr="001E4425" w:rsidRDefault="001E4425" w:rsidP="002F1961">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sz w:val="20"/>
                <w:lang w:val="es-CO"/>
              </w:rPr>
            </w:pPr>
            <w:r w:rsidRPr="001E4425">
              <w:rPr>
                <w:sz w:val="20"/>
                <w:lang w:val="es-CO"/>
              </w:rPr>
              <w:t>Remunera los gastos por ICA, impuesto a las ventas, GMF, Impuesto de timbre y contribuciones a la CREG y a la SSPD</w:t>
            </w:r>
          </w:p>
        </w:tc>
      </w:tr>
      <w:tr w:rsidR="001E4425" w:rsidRPr="001E4425" w14:paraId="36B102DD" w14:textId="77777777" w:rsidTr="00DE390B">
        <w:trPr>
          <w:trHeight w:val="283"/>
        </w:trPr>
        <w:tc>
          <w:tcPr>
            <w:cnfStyle w:val="001000000000" w:firstRow="0" w:lastRow="0" w:firstColumn="1" w:lastColumn="0" w:oddVBand="0" w:evenVBand="0" w:oddHBand="0" w:evenHBand="0" w:firstRowFirstColumn="0" w:firstRowLastColumn="0" w:lastRowFirstColumn="0" w:lastRowLastColumn="0"/>
            <w:tcW w:w="0" w:type="auto"/>
            <w:hideMark/>
          </w:tcPr>
          <w:p w14:paraId="1DE47C36" w14:textId="77777777" w:rsidR="001E4425" w:rsidRPr="001E4425" w:rsidRDefault="001E4425" w:rsidP="002F1961">
            <w:pPr>
              <w:spacing w:before="100" w:beforeAutospacing="1" w:after="100" w:afterAutospacing="1" w:line="360" w:lineRule="auto"/>
              <w:jc w:val="center"/>
              <w:rPr>
                <w:sz w:val="20"/>
                <w:lang w:val="es-CO"/>
              </w:rPr>
            </w:pPr>
            <w:r w:rsidRPr="001E4425">
              <w:rPr>
                <w:sz w:val="20"/>
                <w:lang w:val="es-CO"/>
              </w:rPr>
              <w:t>CCA</w:t>
            </w:r>
          </w:p>
        </w:tc>
        <w:tc>
          <w:tcPr>
            <w:tcW w:w="0" w:type="auto"/>
            <w:hideMark/>
          </w:tcPr>
          <w:p w14:paraId="617DEB19" w14:textId="63B8314E" w:rsidR="001E4425" w:rsidRPr="001E4425" w:rsidRDefault="001E4425" w:rsidP="002F1961">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sz w:val="20"/>
                <w:lang w:val="es-CO"/>
              </w:rPr>
            </w:pPr>
            <w:r w:rsidRPr="001E4425">
              <w:rPr>
                <w:sz w:val="20"/>
                <w:lang w:val="es-CO"/>
              </w:rPr>
              <w:t>Remunera dicha contribución impuesta por el artículo 314 de la Ley 1955 de 2019.</w:t>
            </w:r>
          </w:p>
        </w:tc>
      </w:tr>
    </w:tbl>
    <w:p w14:paraId="1AE559DB" w14:textId="339907ED" w:rsidR="00936BBD" w:rsidRDefault="00B406EF" w:rsidP="002F1961">
      <w:pPr>
        <w:spacing w:before="100" w:beforeAutospacing="1" w:after="100" w:afterAutospacing="1" w:line="360" w:lineRule="auto"/>
        <w:rPr>
          <w:szCs w:val="24"/>
          <w:lang w:val="es-CO"/>
        </w:rPr>
      </w:pPr>
      <w:r w:rsidRPr="00B406EF">
        <w:rPr>
          <w:szCs w:val="24"/>
        </w:rPr>
        <w:t>Adicionalmente, el componente variable incorpora otros elementos económicos</w:t>
      </w:r>
      <w:r w:rsidR="00936BBD" w:rsidRPr="00936BBD">
        <w:rPr>
          <w:szCs w:val="24"/>
        </w:rPr>
        <w:t xml:space="preserve"> asociados al suministro, transporte y distribución del gas, otros componentes económicos que reflejan los costos propios de la actividad de comercialización, tales como el margen operacional, el riesgo de cartera, los costos financieros y los tributos asociados a la prestación del servicio.</w:t>
      </w:r>
    </w:p>
    <w:p w14:paraId="7A2B0BAD" w14:textId="161BA4AB" w:rsidR="000A6295" w:rsidRDefault="000A6295" w:rsidP="002F1961">
      <w:pPr>
        <w:spacing w:before="100" w:beforeAutospacing="1" w:after="100" w:afterAutospacing="1" w:line="360" w:lineRule="auto"/>
        <w:rPr>
          <w:szCs w:val="24"/>
          <w:lang w:val="es-CO"/>
        </w:rPr>
      </w:pPr>
      <w:r w:rsidRPr="000A6295">
        <w:rPr>
          <w:szCs w:val="24"/>
          <w:lang w:val="es-CO"/>
        </w:rPr>
        <w:t>En síntesis, la fórmula tarifaria vigente integra metodologías independientes para la remuneración de las actividades de distribución y comercialización, las cuales responden a las particularidades técnicas y económicas de cada eslabón de la cadena del servicio. Mientras la metodología de distribución se orienta principalmente al reconocimiento de las inversiones en infraestructura y de los gastos necesarios para su operación, la metodología de comercialización remunera los costos asociados a la gestión comercial del servicio. En conjunto, ambas metodologías permiten determinar tarifas que reflejan los costos eficientes de prestación del servicio, en concordancia con los principios de eficiencia económica, suficiencia financiera, neutralidad y simplicidad establecidos en la Ley 142 de 1994.</w:t>
      </w:r>
    </w:p>
    <w:p w14:paraId="63FD12D3" w14:textId="075B0A51" w:rsidR="00395AC5" w:rsidRPr="00395AC5" w:rsidRDefault="0039314C" w:rsidP="002F1961">
      <w:pPr>
        <w:pStyle w:val="Ttulo3"/>
        <w:spacing w:before="100" w:beforeAutospacing="1" w:after="100" w:afterAutospacing="1"/>
      </w:pPr>
      <w:bookmarkStart w:id="110" w:name="_Toc235128333"/>
      <w:r>
        <w:t>Otros usos del GLP</w:t>
      </w:r>
      <w:bookmarkEnd w:id="110"/>
    </w:p>
    <w:p w14:paraId="306D14F4" w14:textId="77777777" w:rsidR="00535B44" w:rsidRDefault="73970DC0" w:rsidP="002F1961">
      <w:pPr>
        <w:spacing w:before="100" w:beforeAutospacing="1" w:after="100" w:afterAutospacing="1" w:line="360" w:lineRule="auto"/>
        <w:rPr>
          <w:lang w:val="es-CO"/>
        </w:rPr>
      </w:pPr>
      <w:r w:rsidRPr="00EC5F00">
        <w:rPr>
          <w:rFonts w:eastAsia="Arial" w:cs="Arial"/>
          <w:lang w:val="es-CO"/>
        </w:rPr>
        <w:t>Además de su utilización como combustible para la prestación del servicio público domiciliario, el GLP posee múltiples aplicaciones energéticas en los sectores transporte, industrial y de generación eléctrica, cuyo desarrollo ha sido promovido mediante regulación sectorial y normas técnicas específicas.</w:t>
      </w:r>
      <w:r w:rsidR="00535B44" w:rsidRPr="00535B44">
        <w:rPr>
          <w:lang w:val="es-CO"/>
        </w:rPr>
        <w:t xml:space="preserve"> </w:t>
      </w:r>
    </w:p>
    <w:p w14:paraId="2D3E13D0" w14:textId="77777777" w:rsidR="00EF6EBA" w:rsidRPr="00842608" w:rsidRDefault="00EF6EBA" w:rsidP="002F1961">
      <w:pPr>
        <w:pStyle w:val="Ttulo4"/>
        <w:spacing w:before="100" w:beforeAutospacing="1" w:after="100" w:afterAutospacing="1" w:line="360" w:lineRule="auto"/>
      </w:pPr>
      <w:r w:rsidRPr="00842608">
        <w:lastRenderedPageBreak/>
        <w:t>Auto GLP</w:t>
      </w:r>
    </w:p>
    <w:p w14:paraId="201D3FE6" w14:textId="42396227" w:rsidR="00C421D1" w:rsidRDefault="000E6208" w:rsidP="002F1961">
      <w:pPr>
        <w:spacing w:before="100" w:beforeAutospacing="1" w:after="100" w:afterAutospacing="1" w:line="360" w:lineRule="auto"/>
        <w:rPr>
          <w:szCs w:val="24"/>
          <w:lang w:val="es-CO"/>
        </w:rPr>
      </w:pPr>
      <w:r w:rsidRPr="000E6208">
        <w:rPr>
          <w:szCs w:val="24"/>
          <w:lang w:val="es-CO"/>
        </w:rPr>
        <w:t>Consiste en el uso del GLP como combustible carburante en motores de combustión interna para vehículos terrestres. Los automóviles operan con un sistema bicombustible (gasolina/GLP), lo que proporciona una mayor autonomía, ahorro económico y la obtención de etiquetas medioambientales favorables gracias a una reducción drástica en emisiones de material particulado y óxidos de nitrógeno frente a los combustibles tradicionales</w:t>
      </w:r>
      <w:r>
        <w:rPr>
          <w:szCs w:val="24"/>
          <w:lang w:val="es-CO"/>
        </w:rPr>
        <w:t>.</w:t>
      </w:r>
    </w:p>
    <w:p w14:paraId="0DD26D89" w14:textId="19A0E037" w:rsidR="00EF6EBA" w:rsidRPr="00842608" w:rsidRDefault="00EF6EBA" w:rsidP="002F1961">
      <w:pPr>
        <w:pStyle w:val="Ttulo4"/>
        <w:spacing w:before="100" w:beforeAutospacing="1" w:after="100" w:afterAutospacing="1" w:line="360" w:lineRule="auto"/>
        <w:rPr>
          <w:lang w:val="es-ES"/>
        </w:rPr>
      </w:pPr>
      <w:proofErr w:type="spellStart"/>
      <w:r w:rsidRPr="00842608">
        <w:rPr>
          <w:lang w:val="es-ES"/>
        </w:rPr>
        <w:t>Nauti</w:t>
      </w:r>
      <w:proofErr w:type="spellEnd"/>
      <w:r w:rsidRPr="00842608">
        <w:rPr>
          <w:lang w:val="es-ES"/>
        </w:rPr>
        <w:t xml:space="preserve"> GLP</w:t>
      </w:r>
    </w:p>
    <w:p w14:paraId="391F4CC2" w14:textId="44FAF211" w:rsidR="00DE005C" w:rsidRPr="00DE005C" w:rsidRDefault="00DE005C" w:rsidP="002F1961">
      <w:pPr>
        <w:spacing w:before="100" w:beforeAutospacing="1" w:after="100" w:afterAutospacing="1" w:line="360" w:lineRule="auto"/>
        <w:rPr>
          <w:szCs w:val="24"/>
          <w:lang w:val="es-CO"/>
        </w:rPr>
      </w:pPr>
      <w:r w:rsidRPr="00DE005C">
        <w:rPr>
          <w:szCs w:val="24"/>
          <w:lang w:val="es-CO"/>
        </w:rPr>
        <w:t>Es la adaptación del GLP para impulsar embarcaciones marítimas y fluviales. Es altamente valorado en zonas costeras y ribereñas por reducir los gastos operativos en combustible, disminuir el desgaste del motor, mitigar la contaminación auditiva y eliminar el riesgo de derrames contaminantes en fuentes hídricas.</w:t>
      </w:r>
    </w:p>
    <w:p w14:paraId="736875B1" w14:textId="77777777" w:rsidR="00045357" w:rsidRDefault="00045357" w:rsidP="002F1961">
      <w:pPr>
        <w:spacing w:before="100" w:beforeAutospacing="1" w:after="100" w:afterAutospacing="1" w:line="360" w:lineRule="auto"/>
        <w:rPr>
          <w:szCs w:val="24"/>
          <w:lang w:val="es-CO"/>
        </w:rPr>
      </w:pPr>
      <w:r w:rsidRPr="00F01F96">
        <w:rPr>
          <w:szCs w:val="24"/>
          <w:lang w:val="es-CO"/>
        </w:rPr>
        <w:t>El Ministerio de Minas y Energía expidió normativas específicas para estructurar la cadena de comercialización y garantizar la seguridad:</w:t>
      </w:r>
    </w:p>
    <w:p w14:paraId="5D90C880" w14:textId="77777777" w:rsidR="00045357" w:rsidRDefault="00045357">
      <w:pPr>
        <w:pStyle w:val="Prrafodelista"/>
        <w:numPr>
          <w:ilvl w:val="0"/>
          <w:numId w:val="29"/>
        </w:numPr>
        <w:spacing w:before="100" w:beforeAutospacing="1" w:after="100" w:afterAutospacing="1" w:line="360" w:lineRule="auto"/>
        <w:rPr>
          <w:szCs w:val="24"/>
          <w:lang w:val="es-CO"/>
        </w:rPr>
      </w:pPr>
      <w:r w:rsidRPr="00406CBA">
        <w:rPr>
          <w:szCs w:val="24"/>
          <w:lang w:val="es-CO"/>
        </w:rPr>
        <w:t>Cadena de Abastecimiento (Resolución 40340 de 2020): Establece las obligaciones, los requisitos y los parámetros mínimos para los agentes que distribuyen GLP con fines vehiculares terrestres, fluviales y marítimos.</w:t>
      </w:r>
    </w:p>
    <w:p w14:paraId="1668CC24" w14:textId="77777777" w:rsidR="00045357" w:rsidRPr="00406CBA" w:rsidRDefault="00045357">
      <w:pPr>
        <w:pStyle w:val="Prrafodelista"/>
        <w:numPr>
          <w:ilvl w:val="0"/>
          <w:numId w:val="29"/>
        </w:numPr>
        <w:spacing w:before="100" w:beforeAutospacing="1" w:after="100" w:afterAutospacing="1" w:line="360" w:lineRule="auto"/>
        <w:rPr>
          <w:szCs w:val="24"/>
          <w:lang w:val="es-CO"/>
        </w:rPr>
      </w:pPr>
      <w:r w:rsidRPr="00406CBA">
        <w:rPr>
          <w:szCs w:val="24"/>
          <w:lang w:val="es-CO"/>
        </w:rPr>
        <w:t xml:space="preserve">Reglamento Técnico de Operación (Resolución 40368 de 2020): Regula la habilitación de las Estaciones de Servicio (EDS) dedicadas o mixtas para AutoGLP y </w:t>
      </w:r>
      <w:proofErr w:type="spellStart"/>
      <w:r w:rsidRPr="00406CBA">
        <w:rPr>
          <w:szCs w:val="24"/>
          <w:lang w:val="es-CO"/>
        </w:rPr>
        <w:t>NautiGLP</w:t>
      </w:r>
      <w:proofErr w:type="spellEnd"/>
      <w:r w:rsidRPr="00406CBA">
        <w:rPr>
          <w:szCs w:val="24"/>
          <w:lang w:val="es-CO"/>
        </w:rPr>
        <w:t>.</w:t>
      </w:r>
    </w:p>
    <w:p w14:paraId="4C2BB19E" w14:textId="20288B77" w:rsidR="00045357" w:rsidRDefault="00775B0B" w:rsidP="002F1961">
      <w:pPr>
        <w:spacing w:before="100" w:beforeAutospacing="1" w:after="100" w:afterAutospacing="1" w:line="360" w:lineRule="auto"/>
      </w:pPr>
      <w:r>
        <w:t>En lo relativo</w:t>
      </w:r>
      <w:r w:rsidR="00045357">
        <w:t xml:space="preserve"> </w:t>
      </w:r>
      <w:r w:rsidR="00045357">
        <w:t>a los e</w:t>
      </w:r>
      <w:r w:rsidR="00045357" w:rsidRPr="00406CBA">
        <w:t xml:space="preserve">stándares de </w:t>
      </w:r>
      <w:r w:rsidR="00045357">
        <w:t>s</w:t>
      </w:r>
      <w:r w:rsidR="00045357" w:rsidRPr="00406CBA">
        <w:t>eguridad</w:t>
      </w:r>
      <w:r w:rsidR="00045357">
        <w:t>, se e</w:t>
      </w:r>
      <w:r w:rsidR="00045357" w:rsidRPr="00406CBA">
        <w:t>xige el cumplimiento estricto de normas técnicas colombianas (como la NTC 3853-1) para el diseño de tanques, sistemas de llenado hermético de seguridad y redes de enfriamiento en las estaciones de servicio.</w:t>
      </w:r>
    </w:p>
    <w:p w14:paraId="043764A0" w14:textId="75341C82" w:rsidR="00045357" w:rsidRDefault="00045357" w:rsidP="002F1961">
      <w:pPr>
        <w:spacing w:before="100" w:beforeAutospacing="1" w:after="100" w:afterAutospacing="1" w:line="360" w:lineRule="auto"/>
      </w:pPr>
      <w:r>
        <w:t>Por otra parte, es importante precisar que l</w:t>
      </w:r>
      <w:r w:rsidRPr="00406CBA">
        <w:t>os talleres de conversión automotriz y naval deben estar debidamente certificados</w:t>
      </w:r>
      <w:r>
        <w:t xml:space="preserve"> y t</w:t>
      </w:r>
      <w:r w:rsidRPr="00406CBA">
        <w:t>oda la información de suministro y precios finales debe reportarse a través del sistema oficial SICOM del gobierno nacional</w:t>
      </w:r>
      <w:r w:rsidR="00440012">
        <w:t>.</w:t>
      </w:r>
    </w:p>
    <w:p w14:paraId="5CC0D9CA" w14:textId="471EC4C8" w:rsidR="00EF6EBA" w:rsidRPr="00842608" w:rsidRDefault="00BF1038" w:rsidP="002F1961">
      <w:pPr>
        <w:pStyle w:val="Ttulo4"/>
        <w:spacing w:before="100" w:beforeAutospacing="1" w:after="100" w:afterAutospacing="1" w:line="360" w:lineRule="auto"/>
      </w:pPr>
      <w:r w:rsidRPr="00842608">
        <w:lastRenderedPageBreak/>
        <w:t>Generación de energía eléctrica</w:t>
      </w:r>
    </w:p>
    <w:p w14:paraId="023AAE16" w14:textId="201FD6DC" w:rsidR="00587339" w:rsidRPr="006529BE" w:rsidRDefault="006529BE" w:rsidP="002F1961">
      <w:pPr>
        <w:spacing w:before="100" w:beforeAutospacing="1" w:after="100" w:afterAutospacing="1" w:line="360" w:lineRule="auto"/>
        <w:rPr>
          <w:szCs w:val="24"/>
          <w:lang w:val="es-CO"/>
        </w:rPr>
      </w:pPr>
      <w:r w:rsidRPr="006529BE">
        <w:rPr>
          <w:szCs w:val="24"/>
          <w:lang w:val="es-CO"/>
        </w:rPr>
        <w:t>El GLP sirve como fuente de energía para operar grupos electrógenos y plantas de energía. Resulta fundamental en áreas aisladas o Zonas No Interconectadas (ZNI), permitiendo la sustitución de diésel altamente contaminante por un combustible de combustión limpia</w:t>
      </w:r>
      <w:r>
        <w:rPr>
          <w:szCs w:val="24"/>
          <w:lang w:val="es-CO"/>
        </w:rPr>
        <w:t>.</w:t>
      </w:r>
    </w:p>
    <w:p w14:paraId="0411ED27" w14:textId="366B33C7" w:rsidR="0023275E" w:rsidRPr="0023275E" w:rsidRDefault="0023275E" w:rsidP="002F1961">
      <w:pPr>
        <w:spacing w:before="100" w:beforeAutospacing="1" w:after="100" w:afterAutospacing="1" w:line="360" w:lineRule="auto"/>
        <w:rPr>
          <w:szCs w:val="24"/>
          <w:lang w:val="es-CO"/>
        </w:rPr>
      </w:pPr>
      <w:r>
        <w:rPr>
          <w:szCs w:val="24"/>
          <w:lang w:val="es-CO"/>
        </w:rPr>
        <w:t>De acuerdo con la información publicada por el IPSE, a</w:t>
      </w:r>
      <w:r w:rsidRPr="0023275E">
        <w:rPr>
          <w:szCs w:val="24"/>
          <w:lang w:val="es-CO"/>
        </w:rPr>
        <w:t>ctualmente hay cerca de 1.767 plantas diésel en operación en las ZN</w:t>
      </w:r>
      <w:r w:rsidR="00566E41">
        <w:rPr>
          <w:szCs w:val="24"/>
          <w:lang w:val="es-CO"/>
        </w:rPr>
        <w:t>I</w:t>
      </w:r>
      <w:r w:rsidR="006B749A">
        <w:rPr>
          <w:szCs w:val="24"/>
          <w:lang w:val="es-CO"/>
        </w:rPr>
        <w:t xml:space="preserve"> (cerca del 92%</w:t>
      </w:r>
      <w:r w:rsidR="00286524">
        <w:rPr>
          <w:szCs w:val="24"/>
          <w:lang w:val="es-CO"/>
        </w:rPr>
        <w:t xml:space="preserve"> se la generación)</w:t>
      </w:r>
      <w:r w:rsidR="00566E41">
        <w:rPr>
          <w:szCs w:val="24"/>
          <w:lang w:val="es-CO"/>
        </w:rPr>
        <w:t xml:space="preserve">, razón por la cual </w:t>
      </w:r>
      <w:r w:rsidR="00661667">
        <w:rPr>
          <w:szCs w:val="24"/>
          <w:lang w:val="es-CO"/>
        </w:rPr>
        <w:t>la s</w:t>
      </w:r>
      <w:r w:rsidRPr="0023275E">
        <w:rPr>
          <w:szCs w:val="24"/>
          <w:lang w:val="es-CO"/>
        </w:rPr>
        <w:t>ustitución de diésel por GLP como combustible principal para generación eléctrica o como energético de respaldo de las FNCER</w:t>
      </w:r>
      <w:r w:rsidR="00661667">
        <w:rPr>
          <w:szCs w:val="24"/>
          <w:lang w:val="es-CO"/>
        </w:rPr>
        <w:t xml:space="preserve"> se convierte en una opción </w:t>
      </w:r>
      <w:r w:rsidR="00530E1C">
        <w:rPr>
          <w:szCs w:val="24"/>
          <w:lang w:val="es-CO"/>
        </w:rPr>
        <w:t>relevante</w:t>
      </w:r>
      <w:r w:rsidR="004D1D12">
        <w:rPr>
          <w:szCs w:val="24"/>
          <w:lang w:val="es-CO"/>
        </w:rPr>
        <w:t xml:space="preserve"> para el país</w:t>
      </w:r>
      <w:r w:rsidRPr="0023275E">
        <w:rPr>
          <w:szCs w:val="24"/>
          <w:lang w:val="es-CO"/>
        </w:rPr>
        <w:t>.</w:t>
      </w:r>
    </w:p>
    <w:p w14:paraId="4D0EA936" w14:textId="1C90CA98" w:rsidR="00AC2BDC" w:rsidRDefault="00530E1C" w:rsidP="002F1961">
      <w:pPr>
        <w:spacing w:before="100" w:beforeAutospacing="1" w:after="100" w:afterAutospacing="1" w:line="360" w:lineRule="auto"/>
        <w:rPr>
          <w:szCs w:val="24"/>
          <w:lang w:val="es-CO"/>
        </w:rPr>
      </w:pPr>
      <w:r>
        <w:rPr>
          <w:szCs w:val="24"/>
          <w:lang w:val="es-CO"/>
        </w:rPr>
        <w:t>Frente a lo anterior, d</w:t>
      </w:r>
      <w:r w:rsidR="0023275E" w:rsidRPr="0023275E">
        <w:rPr>
          <w:szCs w:val="24"/>
          <w:lang w:val="es-CO"/>
        </w:rPr>
        <w:t xml:space="preserve">entro de los escenarios de demanda proyectados por la UPME en el </w:t>
      </w:r>
      <w:r w:rsidR="003C335C">
        <w:rPr>
          <w:szCs w:val="24"/>
          <w:lang w:val="es-CO"/>
        </w:rPr>
        <w:t>PIAGLP</w:t>
      </w:r>
      <w:r w:rsidR="0023275E" w:rsidRPr="0023275E">
        <w:rPr>
          <w:szCs w:val="24"/>
          <w:lang w:val="es-CO"/>
        </w:rPr>
        <w:t xml:space="preserve"> se prevé “</w:t>
      </w:r>
      <w:r w:rsidR="0023275E" w:rsidRPr="008742BE">
        <w:rPr>
          <w:i/>
          <w:iCs/>
          <w:szCs w:val="24"/>
          <w:lang w:val="es-CO"/>
        </w:rPr>
        <w:t>el reemplazo de un 20% del diésel que se consume actualmente en ZNI para generación, asumiendo que a medida que los generadores de diésel finalicen su vida útil, sean reemplazados por equipos electrógenos que funcionen con GLP. Se considera una eficiencia de los generadores de GLP del 28% y un poder calorífico de 13,6 kWh/kg</w:t>
      </w:r>
      <w:r w:rsidR="0023275E" w:rsidRPr="0023275E">
        <w:rPr>
          <w:szCs w:val="24"/>
          <w:lang w:val="es-CO"/>
        </w:rPr>
        <w:t>”.</w:t>
      </w:r>
    </w:p>
    <w:p w14:paraId="3258EAF0" w14:textId="4BF72343" w:rsidR="00884572" w:rsidRPr="00884572" w:rsidRDefault="00884572" w:rsidP="002F1961">
      <w:pPr>
        <w:spacing w:before="100" w:beforeAutospacing="1" w:after="100" w:afterAutospacing="1" w:line="360" w:lineRule="auto"/>
        <w:rPr>
          <w:szCs w:val="24"/>
          <w:lang w:val="es-CO"/>
        </w:rPr>
      </w:pPr>
      <w:r>
        <w:rPr>
          <w:szCs w:val="24"/>
          <w:lang w:val="es-CO"/>
        </w:rPr>
        <w:t>Dentro de las v</w:t>
      </w:r>
      <w:r w:rsidRPr="00884572">
        <w:rPr>
          <w:szCs w:val="24"/>
          <w:lang w:val="es-CO"/>
        </w:rPr>
        <w:t>entajas de utilizar GLP para generación</w:t>
      </w:r>
      <w:r>
        <w:rPr>
          <w:szCs w:val="24"/>
          <w:lang w:val="es-CO"/>
        </w:rPr>
        <w:t xml:space="preserve"> eléctrica se destacan las siguiente</w:t>
      </w:r>
      <w:r w:rsidR="007A71C4">
        <w:rPr>
          <w:szCs w:val="24"/>
          <w:lang w:val="es-CO"/>
        </w:rPr>
        <w:t>s</w:t>
      </w:r>
      <w:r w:rsidRPr="00884572">
        <w:rPr>
          <w:szCs w:val="24"/>
          <w:lang w:val="es-CO"/>
        </w:rPr>
        <w:t>:</w:t>
      </w:r>
    </w:p>
    <w:p w14:paraId="1839DAAC" w14:textId="77777777" w:rsidR="00884572" w:rsidRPr="00884572" w:rsidRDefault="00884572">
      <w:pPr>
        <w:numPr>
          <w:ilvl w:val="0"/>
          <w:numId w:val="38"/>
        </w:numPr>
        <w:spacing w:before="100" w:beforeAutospacing="1" w:after="100" w:afterAutospacing="1" w:line="360" w:lineRule="auto"/>
        <w:rPr>
          <w:szCs w:val="24"/>
          <w:lang w:val="es-CO"/>
        </w:rPr>
      </w:pPr>
      <w:r w:rsidRPr="00884572">
        <w:rPr>
          <w:szCs w:val="24"/>
          <w:lang w:val="es-CO"/>
        </w:rPr>
        <w:t>Disminuir la dependencia del diésel para la generación eléctrica.</w:t>
      </w:r>
    </w:p>
    <w:p w14:paraId="7E86B805" w14:textId="77777777" w:rsidR="00884572" w:rsidRPr="00884572" w:rsidRDefault="00884572">
      <w:pPr>
        <w:numPr>
          <w:ilvl w:val="0"/>
          <w:numId w:val="38"/>
        </w:numPr>
        <w:spacing w:before="100" w:beforeAutospacing="1" w:after="100" w:afterAutospacing="1" w:line="360" w:lineRule="auto"/>
        <w:rPr>
          <w:szCs w:val="24"/>
          <w:lang w:val="es-CO"/>
        </w:rPr>
      </w:pPr>
      <w:r w:rsidRPr="00884572">
        <w:rPr>
          <w:szCs w:val="24"/>
          <w:lang w:val="es-CO"/>
        </w:rPr>
        <w:t>Menores costos.</w:t>
      </w:r>
    </w:p>
    <w:p w14:paraId="114E9939" w14:textId="77777777" w:rsidR="00884572" w:rsidRPr="00884572" w:rsidRDefault="00884572">
      <w:pPr>
        <w:numPr>
          <w:ilvl w:val="0"/>
          <w:numId w:val="38"/>
        </w:numPr>
        <w:spacing w:before="100" w:beforeAutospacing="1" w:after="100" w:afterAutospacing="1" w:line="360" w:lineRule="auto"/>
        <w:rPr>
          <w:szCs w:val="24"/>
          <w:lang w:val="es-CO"/>
        </w:rPr>
      </w:pPr>
      <w:r w:rsidRPr="00884572">
        <w:rPr>
          <w:szCs w:val="24"/>
          <w:lang w:val="es-CO"/>
        </w:rPr>
        <w:t xml:space="preserve">Mayor poder calorífico. </w:t>
      </w:r>
    </w:p>
    <w:p w14:paraId="0F58C77F" w14:textId="77777777" w:rsidR="00884572" w:rsidRPr="00884572" w:rsidRDefault="00884572">
      <w:pPr>
        <w:numPr>
          <w:ilvl w:val="0"/>
          <w:numId w:val="38"/>
        </w:numPr>
        <w:spacing w:before="100" w:beforeAutospacing="1" w:after="100" w:afterAutospacing="1" w:line="360" w:lineRule="auto"/>
        <w:rPr>
          <w:szCs w:val="24"/>
          <w:lang w:val="es-CO"/>
        </w:rPr>
      </w:pPr>
      <w:r w:rsidRPr="00884572">
        <w:rPr>
          <w:szCs w:val="24"/>
          <w:lang w:val="es-CO"/>
        </w:rPr>
        <w:t xml:space="preserve">Menor impacto sobre el medio ambiente: reducción de emisiones de gases de efecto invernadero. </w:t>
      </w:r>
    </w:p>
    <w:p w14:paraId="5BEA17EB" w14:textId="77777777" w:rsidR="00884572" w:rsidRPr="00884572" w:rsidRDefault="00884572">
      <w:pPr>
        <w:numPr>
          <w:ilvl w:val="0"/>
          <w:numId w:val="38"/>
        </w:numPr>
        <w:spacing w:before="100" w:beforeAutospacing="1" w:after="100" w:afterAutospacing="1" w:line="360" w:lineRule="auto"/>
        <w:rPr>
          <w:szCs w:val="24"/>
          <w:lang w:val="es-CO"/>
        </w:rPr>
      </w:pPr>
      <w:r w:rsidRPr="00884572">
        <w:rPr>
          <w:szCs w:val="24"/>
          <w:lang w:val="es-CO"/>
        </w:rPr>
        <w:t>Logística más segura.</w:t>
      </w:r>
    </w:p>
    <w:p w14:paraId="3EA488D5" w14:textId="77777777" w:rsidR="00884572" w:rsidRPr="00884572" w:rsidRDefault="00884572">
      <w:pPr>
        <w:numPr>
          <w:ilvl w:val="0"/>
          <w:numId w:val="38"/>
        </w:numPr>
        <w:spacing w:before="100" w:beforeAutospacing="1" w:after="100" w:afterAutospacing="1" w:line="360" w:lineRule="auto"/>
        <w:rPr>
          <w:szCs w:val="24"/>
          <w:lang w:val="es-CO"/>
        </w:rPr>
      </w:pPr>
      <w:r w:rsidRPr="00884572">
        <w:rPr>
          <w:szCs w:val="24"/>
          <w:lang w:val="es-CO"/>
        </w:rPr>
        <w:t>Compatible con tecnologías existentes.</w:t>
      </w:r>
    </w:p>
    <w:p w14:paraId="492233E3" w14:textId="77777777" w:rsidR="00884572" w:rsidRPr="00884572" w:rsidRDefault="00884572">
      <w:pPr>
        <w:numPr>
          <w:ilvl w:val="0"/>
          <w:numId w:val="38"/>
        </w:numPr>
        <w:spacing w:before="100" w:beforeAutospacing="1" w:after="100" w:afterAutospacing="1" w:line="360" w:lineRule="auto"/>
        <w:rPr>
          <w:szCs w:val="24"/>
          <w:lang w:val="es-CO"/>
        </w:rPr>
      </w:pPr>
      <w:r w:rsidRPr="00884572">
        <w:rPr>
          <w:szCs w:val="24"/>
          <w:lang w:val="es-CO"/>
        </w:rPr>
        <w:t>Oportunidades de inversión y desarrollo en las ZNI.</w:t>
      </w:r>
    </w:p>
    <w:p w14:paraId="3567A5D5" w14:textId="78562FD0" w:rsidR="00D2793E" w:rsidRDefault="006873CC" w:rsidP="002F1961">
      <w:pPr>
        <w:spacing w:before="100" w:beforeAutospacing="1" w:after="100" w:afterAutospacing="1" w:line="360" w:lineRule="auto"/>
        <w:rPr>
          <w:szCs w:val="24"/>
          <w:lang w:val="es-CO"/>
        </w:rPr>
      </w:pPr>
      <w:r>
        <w:rPr>
          <w:szCs w:val="24"/>
          <w:lang w:val="es-CO"/>
        </w:rPr>
        <w:lastRenderedPageBreak/>
        <w:t>En este sentido, e</w:t>
      </w:r>
      <w:r w:rsidRPr="006873CC">
        <w:rPr>
          <w:szCs w:val="24"/>
          <w:lang w:val="es-CO"/>
        </w:rPr>
        <w:t>l GLP es una solución viable y de corto plazo para descarbonizar la generación de energía eléctrica en ZNI. Lo cual permite avanzar en equidad energética y transición justa.</w:t>
      </w:r>
    </w:p>
    <w:p w14:paraId="012F9D2D" w14:textId="40963304" w:rsidR="009166C0" w:rsidRDefault="009166C0" w:rsidP="002F1961">
      <w:pPr>
        <w:pStyle w:val="Ttulo1"/>
        <w:keepLines/>
        <w:numPr>
          <w:ilvl w:val="0"/>
          <w:numId w:val="1"/>
        </w:numPr>
        <w:shd w:val="clear" w:color="auto" w:fill="FFFFFF" w:themeFill="background1"/>
        <w:suppressAutoHyphens w:val="0"/>
        <w:spacing w:before="100" w:beforeAutospacing="1" w:after="100" w:afterAutospacing="1" w:line="360" w:lineRule="auto"/>
      </w:pPr>
      <w:bookmarkStart w:id="111" w:name="_Toc235128334"/>
      <w:r w:rsidRPr="00356B53">
        <w:rPr>
          <w:rFonts w:cs="Arial"/>
        </w:rPr>
        <w:t xml:space="preserve">CONTEXTO </w:t>
      </w:r>
      <w:r w:rsidRPr="00356B53">
        <w:t>DEL MERCADO DEL GLP</w:t>
      </w:r>
      <w:bookmarkEnd w:id="111"/>
    </w:p>
    <w:p w14:paraId="55C8DB06" w14:textId="5B35A276" w:rsidR="004911B6" w:rsidRPr="004911B6" w:rsidRDefault="004911B6" w:rsidP="004911B6">
      <w:pPr>
        <w:spacing w:before="100" w:beforeAutospacing="1" w:after="100" w:afterAutospacing="1" w:line="360" w:lineRule="auto"/>
      </w:pPr>
      <w:r w:rsidRPr="004911B6">
        <w:rPr>
          <w:szCs w:val="24"/>
          <w:lang w:val="es-CO"/>
        </w:rPr>
        <w:t>Con el fin de contextualizar el problema regulatorio, en este capítulo se presenta una caracterización general del mercado del Gas Licuado de Petróleo (GLP) en Colombia. Para ello, se describen los principales elementos relacionados con la oferta, la demanda, la cadena de prestación del servicio y las características del mercado que resultan relevantes para comprender el análisis desarrollado en los capítulos posteriores.</w:t>
      </w:r>
    </w:p>
    <w:p w14:paraId="446D0DEE" w14:textId="04D8C994" w:rsidR="00546CD9" w:rsidRDefault="00546CD9" w:rsidP="002F1961">
      <w:pPr>
        <w:pStyle w:val="Ttulo2"/>
        <w:spacing w:before="100" w:beforeAutospacing="1" w:after="100" w:afterAutospacing="1"/>
        <w:ind w:left="426"/>
      </w:pPr>
      <w:bookmarkStart w:id="112" w:name="_Toc227686038"/>
      <w:bookmarkStart w:id="113" w:name="_Toc235128335"/>
      <w:r w:rsidRPr="00FD0562">
        <w:t xml:space="preserve">Caracterización </w:t>
      </w:r>
      <w:bookmarkEnd w:id="112"/>
      <w:r w:rsidR="00A43F3D">
        <w:t>del GLP en Colombia</w:t>
      </w:r>
      <w:bookmarkEnd w:id="113"/>
    </w:p>
    <w:p w14:paraId="10E92E25" w14:textId="3FF71F66" w:rsidR="00F61362" w:rsidRPr="00F61362" w:rsidRDefault="00F61362" w:rsidP="00F61362">
      <w:pPr>
        <w:spacing w:before="100" w:beforeAutospacing="1" w:line="360" w:lineRule="auto"/>
        <w:rPr>
          <w:szCs w:val="24"/>
          <w:lang w:val="es-CO"/>
        </w:rPr>
      </w:pPr>
      <w:r w:rsidRPr="00F61362">
        <w:rPr>
          <w:szCs w:val="24"/>
          <w:lang w:val="es-CO"/>
        </w:rPr>
        <w:t>La caracterización del mercado permite describir las principales condiciones bajo las cuales se desarrolla la prestación del servicio público domiciliario de GLP en el país. En particular, se presentan los aspectos relacionados con la producción, el abastecimiento, y la organización del mercado, los cuales constituyen un insumo para el análisis del problema regulatorio.</w:t>
      </w:r>
    </w:p>
    <w:p w14:paraId="32C33E4E" w14:textId="5C2CEC09" w:rsidR="008C4A6A" w:rsidRDefault="00F968DD" w:rsidP="00024AE6">
      <w:pPr>
        <w:pStyle w:val="Ttulo3"/>
        <w:tabs>
          <w:tab w:val="left" w:pos="1134"/>
        </w:tabs>
        <w:spacing w:before="100" w:beforeAutospacing="1" w:after="100" w:afterAutospacing="1"/>
        <w:ind w:left="851" w:hanging="851"/>
      </w:pPr>
      <w:bookmarkStart w:id="114" w:name="_Toc235128336"/>
      <w:r>
        <w:t>Producción nacional</w:t>
      </w:r>
      <w:bookmarkEnd w:id="114"/>
      <w:r w:rsidR="00851889">
        <w:t xml:space="preserve"> </w:t>
      </w:r>
    </w:p>
    <w:p w14:paraId="555A6E52" w14:textId="4AC0A716" w:rsidR="00F61362" w:rsidRPr="00EA1418" w:rsidRDefault="00EA1418" w:rsidP="00EA1418">
      <w:pPr>
        <w:spacing w:before="100" w:beforeAutospacing="1" w:after="100" w:afterAutospacing="1" w:line="360" w:lineRule="auto"/>
        <w:rPr>
          <w:szCs w:val="24"/>
          <w:lang w:val="es-CO"/>
        </w:rPr>
      </w:pPr>
      <w:r w:rsidRPr="00EA1418">
        <w:rPr>
          <w:szCs w:val="24"/>
          <w:lang w:val="es-CO"/>
        </w:rPr>
        <w:t>La producción nacional constituye una de las principales fuentes de abastecimiento del mercado colombiano de GLP. En esta sección se presenta una descripción de las características de la producción nacional, las fuentes de suministro y su participación dentro de la oferta disponible para atender la demanda del país.</w:t>
      </w:r>
    </w:p>
    <w:p w14:paraId="073A09E3" w14:textId="1A032B31" w:rsidR="008C4A6A" w:rsidRPr="00842608" w:rsidRDefault="00991148" w:rsidP="00024AE6">
      <w:pPr>
        <w:pStyle w:val="Ttulo4"/>
        <w:spacing w:before="100" w:beforeAutospacing="1" w:after="100" w:afterAutospacing="1" w:line="360" w:lineRule="auto"/>
        <w:ind w:left="993" w:hanging="993"/>
      </w:pPr>
      <w:r w:rsidRPr="00842608">
        <w:t>Principales fuentes de producción</w:t>
      </w:r>
    </w:p>
    <w:p w14:paraId="4E7B2BB7" w14:textId="587E0F8B" w:rsidR="00F929A5" w:rsidRDefault="00782B78" w:rsidP="002F1961">
      <w:pPr>
        <w:spacing w:before="100" w:beforeAutospacing="1" w:after="100" w:afterAutospacing="1" w:line="360" w:lineRule="auto"/>
      </w:pPr>
      <w:r>
        <w:rPr>
          <w:lang w:val="es-ES"/>
        </w:rPr>
        <w:t>D</w:t>
      </w:r>
      <w:r w:rsidR="000E4569">
        <w:rPr>
          <w:lang w:val="es-ES"/>
        </w:rPr>
        <w:t>e</w:t>
      </w:r>
      <w:r w:rsidR="0004708C">
        <w:t xml:space="preserve"> acuerdo con lo reportado</w:t>
      </w:r>
      <w:r w:rsidR="00EF2712">
        <w:t xml:space="preserve"> </w:t>
      </w:r>
      <w:r w:rsidR="00F55574">
        <w:t xml:space="preserve">por los productores </w:t>
      </w:r>
      <w:r w:rsidR="00EF2712">
        <w:t>al SUI</w:t>
      </w:r>
      <w:r w:rsidR="00A51802">
        <w:t>, las principales fuentes d</w:t>
      </w:r>
      <w:r w:rsidR="00F929A5">
        <w:t xml:space="preserve">e producción de GLP </w:t>
      </w:r>
      <w:r w:rsidR="00BA3BA1">
        <w:t xml:space="preserve">en Colombia </w:t>
      </w:r>
      <w:r w:rsidR="00F929A5">
        <w:t>se dividen de la siguiente manera:</w:t>
      </w:r>
    </w:p>
    <w:p w14:paraId="752EF257" w14:textId="648D02E4" w:rsidR="00F55574" w:rsidRDefault="00114074" w:rsidP="002F1961">
      <w:pPr>
        <w:pStyle w:val="Prrafodelista"/>
        <w:numPr>
          <w:ilvl w:val="0"/>
          <w:numId w:val="5"/>
        </w:numPr>
        <w:spacing w:before="100" w:beforeAutospacing="1" w:after="100" w:afterAutospacing="1" w:line="360" w:lineRule="auto"/>
        <w:ind w:left="357"/>
        <w:rPr>
          <w:lang w:val="es-CO"/>
        </w:rPr>
      </w:pPr>
      <w:r w:rsidRPr="0066653D">
        <w:rPr>
          <w:u w:val="single"/>
          <w:lang w:val="es-CO"/>
        </w:rPr>
        <w:lastRenderedPageBreak/>
        <w:t>Campos de Producción de Gas Natural:</w:t>
      </w:r>
      <w:r w:rsidRPr="00114074">
        <w:rPr>
          <w:lang w:val="es-CO"/>
        </w:rPr>
        <w:t xml:space="preserve"> El GLP se obtiene mediante el secado y fraccionamiento del gas natural extraído de los pozos. Representan actualmente la mayor parte de la oferta nacional (cerca del 68%). </w:t>
      </w:r>
    </w:p>
    <w:p w14:paraId="5F955ADB" w14:textId="1C52BE2C" w:rsidR="00F55574" w:rsidRDefault="00114074">
      <w:pPr>
        <w:pStyle w:val="Prrafodelista"/>
        <w:numPr>
          <w:ilvl w:val="0"/>
          <w:numId w:val="19"/>
        </w:numPr>
        <w:spacing w:before="100" w:beforeAutospacing="1" w:after="100" w:afterAutospacing="1" w:line="360" w:lineRule="auto"/>
        <w:rPr>
          <w:lang w:val="es-CO"/>
        </w:rPr>
      </w:pPr>
      <w:r w:rsidRPr="00114074">
        <w:rPr>
          <w:lang w:val="es-CO"/>
        </w:rPr>
        <w:t xml:space="preserve">Ecopetrol: Es el principal productor del país. Sus campos más destacados en el interior del país son Cusiana, </w:t>
      </w:r>
      <w:proofErr w:type="spellStart"/>
      <w:r w:rsidRPr="00114074">
        <w:rPr>
          <w:lang w:val="es-CO"/>
        </w:rPr>
        <w:t>Cupiagua</w:t>
      </w:r>
      <w:proofErr w:type="spellEnd"/>
      <w:r w:rsidRPr="00114074">
        <w:rPr>
          <w:lang w:val="es-CO"/>
        </w:rPr>
        <w:t>, Dina</w:t>
      </w:r>
      <w:r w:rsidR="000E491B">
        <w:rPr>
          <w:lang w:val="es-CO"/>
        </w:rPr>
        <w:t xml:space="preserve"> y</w:t>
      </w:r>
      <w:r w:rsidR="000E491B" w:rsidRPr="000E491B">
        <w:rPr>
          <w:lang w:val="es-CO"/>
        </w:rPr>
        <w:t xml:space="preserve"> </w:t>
      </w:r>
      <w:r w:rsidR="000E491B" w:rsidRPr="00114074">
        <w:rPr>
          <w:lang w:val="es-CO"/>
        </w:rPr>
        <w:t>Apiay</w:t>
      </w:r>
      <w:r w:rsidRPr="00114074">
        <w:rPr>
          <w:lang w:val="es-CO"/>
        </w:rPr>
        <w:t>.</w:t>
      </w:r>
      <w:r w:rsidR="000E491B">
        <w:rPr>
          <w:lang w:val="es-CO"/>
        </w:rPr>
        <w:t xml:space="preserve"> Este último ya no </w:t>
      </w:r>
      <w:r w:rsidR="00CF676C">
        <w:rPr>
          <w:lang w:val="es-CO"/>
        </w:rPr>
        <w:t xml:space="preserve">aparece dentro de la oferta </w:t>
      </w:r>
      <w:r w:rsidR="00536CA0">
        <w:rPr>
          <w:lang w:val="es-CO"/>
        </w:rPr>
        <w:t>destinada al servicio público domiciliario.</w:t>
      </w:r>
    </w:p>
    <w:p w14:paraId="390435A1" w14:textId="495FCA05" w:rsidR="00F55574" w:rsidRDefault="00114074">
      <w:pPr>
        <w:pStyle w:val="Prrafodelista"/>
        <w:numPr>
          <w:ilvl w:val="0"/>
          <w:numId w:val="19"/>
        </w:numPr>
        <w:spacing w:before="100" w:beforeAutospacing="1" w:after="100" w:afterAutospacing="1" w:line="360" w:lineRule="auto"/>
        <w:rPr>
          <w:lang w:val="es-CO"/>
        </w:rPr>
      </w:pPr>
      <w:r w:rsidRPr="00114074">
        <w:rPr>
          <w:lang w:val="es-CO"/>
        </w:rPr>
        <w:t xml:space="preserve">Otros productores: Incluyen compañías privadas como </w:t>
      </w:r>
      <w:proofErr w:type="spellStart"/>
      <w:r w:rsidRPr="00114074">
        <w:rPr>
          <w:lang w:val="es-CO"/>
        </w:rPr>
        <w:t>T</w:t>
      </w:r>
      <w:r w:rsidR="00D57BFA">
        <w:rPr>
          <w:lang w:val="es-CO"/>
        </w:rPr>
        <w:t>YGas</w:t>
      </w:r>
      <w:proofErr w:type="spellEnd"/>
      <w:r w:rsidRPr="00114074">
        <w:rPr>
          <w:lang w:val="es-CO"/>
        </w:rPr>
        <w:t xml:space="preserve">, Parex y </w:t>
      </w:r>
      <w:proofErr w:type="spellStart"/>
      <w:r w:rsidRPr="00114074">
        <w:rPr>
          <w:lang w:val="es-CO"/>
        </w:rPr>
        <w:t>PetroSantander</w:t>
      </w:r>
      <w:proofErr w:type="spellEnd"/>
      <w:r w:rsidRPr="00114074">
        <w:rPr>
          <w:lang w:val="es-CO"/>
        </w:rPr>
        <w:t>.</w:t>
      </w:r>
    </w:p>
    <w:p w14:paraId="5873E7D9" w14:textId="719261A5" w:rsidR="00C6388F" w:rsidRPr="00672D76" w:rsidRDefault="00114074" w:rsidP="002F1961">
      <w:pPr>
        <w:pStyle w:val="Prrafodelista"/>
        <w:numPr>
          <w:ilvl w:val="0"/>
          <w:numId w:val="5"/>
        </w:numPr>
        <w:spacing w:before="100" w:beforeAutospacing="1" w:after="100" w:afterAutospacing="1" w:line="360" w:lineRule="auto"/>
        <w:ind w:left="357"/>
        <w:rPr>
          <w:lang w:val="es-CO"/>
        </w:rPr>
      </w:pPr>
      <w:r w:rsidRPr="00672D76">
        <w:rPr>
          <w:u w:val="single"/>
          <w:lang w:val="es-CO"/>
        </w:rPr>
        <w:t>Refinerías de Petróleo</w:t>
      </w:r>
      <w:r w:rsidR="00122EA4" w:rsidRPr="00672D76">
        <w:rPr>
          <w:lang w:val="es-CO"/>
        </w:rPr>
        <w:t xml:space="preserve">: </w:t>
      </w:r>
      <w:r w:rsidRPr="00672D76">
        <w:rPr>
          <w:lang w:val="es-CO"/>
        </w:rPr>
        <w:t>Aproximadamente el 32% del producto nacional proviene de la refinación del crudo, donde el propano y el butano (componentes del GLP) se generan como subproductos.</w:t>
      </w:r>
    </w:p>
    <w:p w14:paraId="2D6CBE16" w14:textId="6A949B3D" w:rsidR="00C6388F" w:rsidRDefault="00114074">
      <w:pPr>
        <w:pStyle w:val="Prrafodelista"/>
        <w:numPr>
          <w:ilvl w:val="0"/>
          <w:numId w:val="20"/>
        </w:numPr>
        <w:spacing w:before="100" w:beforeAutospacing="1" w:after="100" w:afterAutospacing="1" w:line="360" w:lineRule="auto"/>
        <w:rPr>
          <w:lang w:val="es-CO"/>
        </w:rPr>
      </w:pPr>
      <w:r w:rsidRPr="00114074">
        <w:rPr>
          <w:lang w:val="es-CO"/>
        </w:rPr>
        <w:t>Refinería de Barrancabermeja: Operada por Ecopetrol, es la instalación de refinación más antigua para este energético en el país.</w:t>
      </w:r>
      <w:r w:rsidR="00153B5B">
        <w:rPr>
          <w:lang w:val="es-CO"/>
        </w:rPr>
        <w:t xml:space="preserve"> Sin embargo, su producción </w:t>
      </w:r>
      <w:r w:rsidR="00D55E47">
        <w:rPr>
          <w:lang w:val="es-CO"/>
        </w:rPr>
        <w:t>ha disminuido considerablemente desde el 2016.</w:t>
      </w:r>
    </w:p>
    <w:p w14:paraId="79112A87" w14:textId="17B8F3C6" w:rsidR="0004708C" w:rsidRDefault="00114074">
      <w:pPr>
        <w:pStyle w:val="Prrafodelista"/>
        <w:numPr>
          <w:ilvl w:val="0"/>
          <w:numId w:val="20"/>
        </w:numPr>
        <w:spacing w:before="100" w:beforeAutospacing="1" w:after="100" w:afterAutospacing="1" w:line="360" w:lineRule="auto"/>
        <w:rPr>
          <w:lang w:val="es-CO"/>
        </w:rPr>
      </w:pPr>
      <w:r w:rsidRPr="00114074">
        <w:rPr>
          <w:lang w:val="es-CO"/>
        </w:rPr>
        <w:t>Refinería de Cartagena (Reficar): También aporta corrientes de GLP a la matriz nacional</w:t>
      </w:r>
    </w:p>
    <w:p w14:paraId="5899EAE2" w14:textId="069CB42C" w:rsidR="008C4A6A" w:rsidRPr="00842608" w:rsidRDefault="00991148" w:rsidP="002F1961">
      <w:pPr>
        <w:pStyle w:val="Ttulo4"/>
        <w:spacing w:before="100" w:beforeAutospacing="1" w:after="100" w:afterAutospacing="1" w:line="360" w:lineRule="auto"/>
      </w:pPr>
      <w:r w:rsidRPr="00842608">
        <w:t>Participación por productor</w:t>
      </w:r>
    </w:p>
    <w:p w14:paraId="136F2D99" w14:textId="472BB989" w:rsidR="004A1F3A" w:rsidRDefault="00F54F17" w:rsidP="002F1961">
      <w:pPr>
        <w:spacing w:before="100" w:beforeAutospacing="1" w:after="100" w:afterAutospacing="1" w:line="360" w:lineRule="auto"/>
        <w:rPr>
          <w:lang w:val="es-ES"/>
        </w:rPr>
      </w:pPr>
      <w:r w:rsidRPr="11491998">
        <w:rPr>
          <w:lang w:val="es-ES"/>
        </w:rPr>
        <w:t xml:space="preserve">La </w:t>
      </w:r>
      <w:r w:rsidR="00FD7840">
        <w:rPr>
          <w:lang w:val="es-ES"/>
        </w:rPr>
        <w:fldChar w:fldCharType="begin"/>
      </w:r>
      <w:r w:rsidR="00FD7840">
        <w:rPr>
          <w:lang w:val="es-ES"/>
        </w:rPr>
        <w:instrText xml:space="preserve"> REF _Ref235110520 \h </w:instrText>
      </w:r>
      <w:r w:rsidR="00FD7840">
        <w:rPr>
          <w:lang w:val="es-ES"/>
        </w:rPr>
      </w:r>
      <w:r w:rsidR="00FD7840">
        <w:rPr>
          <w:lang w:val="es-ES"/>
        </w:rPr>
        <w:fldChar w:fldCharType="separate"/>
      </w:r>
      <w:r w:rsidR="00FD7840" w:rsidRPr="5FAE69B6">
        <w:rPr>
          <w:lang w:val="es-ES"/>
        </w:rPr>
        <w:t xml:space="preserve">Figura </w:t>
      </w:r>
      <w:r w:rsidR="00FD7840">
        <w:rPr>
          <w:noProof/>
          <w:lang w:val="es-ES"/>
        </w:rPr>
        <w:t>27</w:t>
      </w:r>
      <w:r w:rsidR="00FD7840">
        <w:rPr>
          <w:lang w:val="es-ES"/>
        </w:rPr>
        <w:fldChar w:fldCharType="end"/>
      </w:r>
      <w:r w:rsidRPr="11491998">
        <w:rPr>
          <w:lang w:val="es-ES"/>
        </w:rPr>
        <w:t xml:space="preserve"> </w:t>
      </w:r>
      <w:r w:rsidRPr="11491998">
        <w:rPr>
          <w:lang w:val="es-ES"/>
        </w:rPr>
        <w:t xml:space="preserve">muestra </w:t>
      </w:r>
      <w:r w:rsidR="00A37C98" w:rsidRPr="11491998">
        <w:rPr>
          <w:lang w:val="es-ES"/>
        </w:rPr>
        <w:t xml:space="preserve">el </w:t>
      </w:r>
      <w:r w:rsidR="00803DD6" w:rsidRPr="11491998">
        <w:rPr>
          <w:lang w:val="es-ES"/>
        </w:rPr>
        <w:t>comportamiento</w:t>
      </w:r>
      <w:r w:rsidRPr="11491998">
        <w:rPr>
          <w:lang w:val="es-ES"/>
        </w:rPr>
        <w:t xml:space="preserve"> de la </w:t>
      </w:r>
      <w:r w:rsidR="000C1333" w:rsidRPr="11491998">
        <w:rPr>
          <w:lang w:val="es-ES"/>
        </w:rPr>
        <w:t>oferta de GLP</w:t>
      </w:r>
      <w:r w:rsidRPr="11491998">
        <w:rPr>
          <w:lang w:val="es-ES"/>
        </w:rPr>
        <w:t xml:space="preserve"> por </w:t>
      </w:r>
      <w:r w:rsidR="006C292A" w:rsidRPr="11491998">
        <w:rPr>
          <w:lang w:val="es-ES"/>
        </w:rPr>
        <w:t>productor, evidenciando que el principal productor nacional sigue siendo Ecopetrol.</w:t>
      </w:r>
    </w:p>
    <w:p w14:paraId="3465BEA6" w14:textId="7EFA7FA8" w:rsidR="00FF40AB" w:rsidRPr="00842608" w:rsidRDefault="00FF40AB" w:rsidP="00FF40AB">
      <w:pPr>
        <w:pStyle w:val="Ttulo4"/>
        <w:spacing w:before="100" w:beforeAutospacing="1" w:after="100" w:afterAutospacing="1" w:line="360" w:lineRule="auto"/>
      </w:pPr>
      <w:r w:rsidRPr="00842608">
        <w:t>Evolución histórica</w:t>
      </w:r>
    </w:p>
    <w:p w14:paraId="3E4FC1F1" w14:textId="77777777" w:rsidR="00FF40AB" w:rsidRDefault="00FF40AB" w:rsidP="00FF40AB">
      <w:pPr>
        <w:spacing w:before="100" w:beforeAutospacing="1" w:after="100" w:afterAutospacing="1" w:line="360" w:lineRule="auto"/>
      </w:pPr>
      <w:r w:rsidRPr="21A5E085">
        <w:rPr>
          <w:lang w:val="es-ES"/>
        </w:rPr>
        <w:t xml:space="preserve">La </w:t>
      </w:r>
      <w:r>
        <w:rPr>
          <w:lang w:val="es-ES"/>
        </w:rPr>
        <w:fldChar w:fldCharType="begin"/>
      </w:r>
      <w:r>
        <w:rPr>
          <w:lang w:val="es-ES"/>
        </w:rPr>
        <w:instrText xml:space="preserve"> REF _Ref235110553 \h  \* MERGEFORMAT </w:instrText>
      </w:r>
      <w:r>
        <w:rPr>
          <w:lang w:val="es-ES"/>
        </w:rPr>
      </w:r>
      <w:r>
        <w:rPr>
          <w:lang w:val="es-ES"/>
        </w:rPr>
        <w:fldChar w:fldCharType="separate"/>
      </w:r>
      <w:r w:rsidRPr="006C292A">
        <w:rPr>
          <w:lang w:val="es-ES"/>
        </w:rPr>
        <w:t xml:space="preserve">Figura </w:t>
      </w:r>
      <w:r w:rsidRPr="00110A67">
        <w:rPr>
          <w:bCs/>
          <w:noProof/>
          <w:lang w:val="es-ES"/>
        </w:rPr>
        <w:t>28</w:t>
      </w:r>
      <w:r>
        <w:rPr>
          <w:lang w:val="es-ES"/>
        </w:rPr>
        <w:fldChar w:fldCharType="end"/>
      </w:r>
      <w:r w:rsidRPr="21A5E085">
        <w:rPr>
          <w:lang w:val="es-ES"/>
        </w:rPr>
        <w:t xml:space="preserve"> muestra el detalle de la evolución de la producción nacional de GLP por fuente, destacándose que Ecopetrol sigue siendo el principal productor nacional con los campos de Cusiana y </w:t>
      </w:r>
      <w:proofErr w:type="spellStart"/>
      <w:r w:rsidRPr="21A5E085">
        <w:rPr>
          <w:lang w:val="es-ES"/>
        </w:rPr>
        <w:t>Cupiagua</w:t>
      </w:r>
      <w:proofErr w:type="spellEnd"/>
      <w:r w:rsidRPr="21A5E085">
        <w:rPr>
          <w:lang w:val="es-ES"/>
        </w:rPr>
        <w:t xml:space="preserve">, seguido por </w:t>
      </w:r>
      <w:proofErr w:type="spellStart"/>
      <w:r w:rsidRPr="21A5E085">
        <w:rPr>
          <w:lang w:val="es-ES"/>
        </w:rPr>
        <w:t>TYGas</w:t>
      </w:r>
      <w:proofErr w:type="spellEnd"/>
      <w:r w:rsidRPr="21A5E085">
        <w:rPr>
          <w:lang w:val="es-ES"/>
        </w:rPr>
        <w:t xml:space="preserve"> con GLP proveniente del Campo Floreña.</w:t>
      </w:r>
    </w:p>
    <w:p w14:paraId="14D01A03" w14:textId="77777777" w:rsidR="00FF40AB" w:rsidRDefault="00FF40AB" w:rsidP="00FF40AB">
      <w:pPr>
        <w:spacing w:before="100" w:beforeAutospacing="1" w:after="100" w:afterAutospacing="1" w:line="360" w:lineRule="auto"/>
      </w:pPr>
      <w:r>
        <w:lastRenderedPageBreak/>
        <w:t>No obstante, se observa que la oferta</w:t>
      </w:r>
      <w:r w:rsidRPr="00591098">
        <w:t xml:space="preserve"> nacional ha experimentado una </w:t>
      </w:r>
      <w:r>
        <w:t>disminución</w:t>
      </w:r>
      <w:r w:rsidRPr="00591098">
        <w:t xml:space="preserve"> significativa y un cambio estructural crítico en los últimos </w:t>
      </w:r>
      <w:r>
        <w:t>diez (</w:t>
      </w:r>
      <w:r w:rsidRPr="00591098">
        <w:t>10</w:t>
      </w:r>
      <w:r>
        <w:t>)</w:t>
      </w:r>
      <w:r w:rsidRPr="00591098">
        <w:t xml:space="preserve"> años. Este fenómeno se debe principalmente a la declinación natural de los campos maduros de hidrocarburos y a variaciones en la producción de las refinerías.</w:t>
      </w:r>
      <w:r>
        <w:t xml:space="preserve"> </w:t>
      </w:r>
    </w:p>
    <w:p w14:paraId="0E82A84E" w14:textId="77777777" w:rsidR="00FF40AB" w:rsidRDefault="00FF40AB" w:rsidP="00FF40AB">
      <w:pPr>
        <w:shd w:val="clear" w:color="auto" w:fill="FFFFFF" w:themeFill="background1"/>
        <w:spacing w:before="100" w:beforeAutospacing="1" w:after="100" w:afterAutospacing="1" w:line="360" w:lineRule="auto"/>
        <w:rPr>
          <w:szCs w:val="24"/>
          <w:lang w:val="es-ES"/>
        </w:rPr>
      </w:pPr>
      <w:r>
        <w:rPr>
          <w:szCs w:val="24"/>
          <w:lang w:val="es-ES"/>
        </w:rPr>
        <w:t>En este sentido, se destaca que l</w:t>
      </w:r>
      <w:r w:rsidRPr="619BD299">
        <w:rPr>
          <w:szCs w:val="24"/>
          <w:lang w:val="es-ES"/>
        </w:rPr>
        <w:t xml:space="preserve">a disminución de la producción </w:t>
      </w:r>
      <w:r>
        <w:rPr>
          <w:szCs w:val="24"/>
          <w:lang w:val="es-ES"/>
        </w:rPr>
        <w:t>de GLP</w:t>
      </w:r>
      <w:r w:rsidRPr="619BD299">
        <w:rPr>
          <w:szCs w:val="24"/>
          <w:lang w:val="es-ES"/>
        </w:rPr>
        <w:t xml:space="preserve"> no es solamente una reducción física, produce cambios regulatorios entre otr</w:t>
      </w:r>
      <w:r>
        <w:rPr>
          <w:szCs w:val="24"/>
          <w:lang w:val="es-ES"/>
        </w:rPr>
        <w:t>o</w:t>
      </w:r>
      <w:r w:rsidRPr="619BD299">
        <w:rPr>
          <w:szCs w:val="24"/>
          <w:lang w:val="es-ES"/>
        </w:rPr>
        <w:t>s:</w:t>
      </w:r>
      <w:r>
        <w:rPr>
          <w:szCs w:val="24"/>
          <w:lang w:val="es-ES"/>
        </w:rPr>
        <w:t xml:space="preserve"> (i) </w:t>
      </w:r>
      <w:r w:rsidRPr="619BD299">
        <w:rPr>
          <w:szCs w:val="24"/>
          <w:lang w:val="es-ES"/>
        </w:rPr>
        <w:t>modifica la formación del precio;</w:t>
      </w:r>
      <w:r>
        <w:rPr>
          <w:szCs w:val="24"/>
          <w:lang w:val="es-ES"/>
        </w:rPr>
        <w:t xml:space="preserve"> (</w:t>
      </w:r>
      <w:proofErr w:type="spellStart"/>
      <w:r>
        <w:rPr>
          <w:szCs w:val="24"/>
          <w:lang w:val="es-ES"/>
        </w:rPr>
        <w:t>ii</w:t>
      </w:r>
      <w:proofErr w:type="spellEnd"/>
      <w:r>
        <w:rPr>
          <w:szCs w:val="24"/>
          <w:lang w:val="es-ES"/>
        </w:rPr>
        <w:t xml:space="preserve">) </w:t>
      </w:r>
      <w:r w:rsidRPr="619BD299">
        <w:rPr>
          <w:szCs w:val="24"/>
          <w:lang w:val="es-ES"/>
        </w:rPr>
        <w:t>aumenta la exposición al mercado internacional;</w:t>
      </w:r>
      <w:r>
        <w:rPr>
          <w:szCs w:val="24"/>
          <w:lang w:val="es-ES"/>
        </w:rPr>
        <w:t xml:space="preserve"> (</w:t>
      </w:r>
      <w:proofErr w:type="spellStart"/>
      <w:r>
        <w:rPr>
          <w:szCs w:val="24"/>
          <w:lang w:val="es-ES"/>
        </w:rPr>
        <w:t>iii</w:t>
      </w:r>
      <w:proofErr w:type="spellEnd"/>
      <w:r>
        <w:rPr>
          <w:szCs w:val="24"/>
          <w:lang w:val="es-ES"/>
        </w:rPr>
        <w:t xml:space="preserve">) </w:t>
      </w:r>
      <w:r w:rsidRPr="619BD299">
        <w:rPr>
          <w:szCs w:val="24"/>
          <w:lang w:val="es-ES"/>
        </w:rPr>
        <w:t>reduce la capacidad de Ecopetrol para estabilizar precios;</w:t>
      </w:r>
      <w:r>
        <w:rPr>
          <w:szCs w:val="24"/>
          <w:lang w:val="es-ES"/>
        </w:rPr>
        <w:t xml:space="preserve"> (</w:t>
      </w:r>
      <w:proofErr w:type="spellStart"/>
      <w:r>
        <w:rPr>
          <w:szCs w:val="24"/>
          <w:lang w:val="es-ES"/>
        </w:rPr>
        <w:t>iv</w:t>
      </w:r>
      <w:proofErr w:type="spellEnd"/>
      <w:r>
        <w:rPr>
          <w:szCs w:val="24"/>
          <w:lang w:val="es-ES"/>
        </w:rPr>
        <w:t xml:space="preserve">) </w:t>
      </w:r>
      <w:r w:rsidRPr="619BD299">
        <w:rPr>
          <w:szCs w:val="24"/>
          <w:lang w:val="es-ES"/>
        </w:rPr>
        <w:t>incrementa la necesidad de almacenamiento;</w:t>
      </w:r>
      <w:r>
        <w:rPr>
          <w:szCs w:val="24"/>
          <w:lang w:val="es-ES"/>
        </w:rPr>
        <w:t xml:space="preserve"> y (v) </w:t>
      </w:r>
      <w:r w:rsidRPr="619BD299">
        <w:rPr>
          <w:szCs w:val="24"/>
          <w:lang w:val="es-ES"/>
        </w:rPr>
        <w:t>cambia el poder de mercado de los importadores.</w:t>
      </w:r>
    </w:p>
    <w:p w14:paraId="22D5C499" w14:textId="77777777" w:rsidR="00D75762" w:rsidRPr="00151CFC" w:rsidRDefault="00D75762" w:rsidP="00D75762">
      <w:pPr>
        <w:spacing w:before="100" w:beforeAutospacing="1" w:line="360" w:lineRule="auto"/>
        <w:rPr>
          <w:rFonts w:eastAsia="Arial" w:cs="Arial"/>
          <w:lang w:val="es-ES"/>
        </w:rPr>
      </w:pPr>
      <w:r w:rsidRPr="00151CFC">
        <w:rPr>
          <w:rFonts w:eastAsia="Arial" w:cs="Arial"/>
          <w:lang w:val="es-ES"/>
        </w:rPr>
        <w:t>Teniendo en cuenta lo anterior, se evidencia</w:t>
      </w:r>
      <w:r>
        <w:rPr>
          <w:rFonts w:eastAsia="Arial" w:cs="Arial"/>
          <w:lang w:val="es-ES"/>
        </w:rPr>
        <w:t>n</w:t>
      </w:r>
      <w:r w:rsidRPr="00151CFC">
        <w:rPr>
          <w:rFonts w:eastAsia="Arial" w:cs="Arial"/>
          <w:lang w:val="es-ES"/>
        </w:rPr>
        <w:t xml:space="preserve"> las </w:t>
      </w:r>
      <w:r w:rsidRPr="00151CFC">
        <w:rPr>
          <w:rFonts w:eastAsia="Arial" w:cs="Arial"/>
          <w:bCs/>
          <w:lang w:val="es-ES"/>
        </w:rPr>
        <w:t>siguiente</w:t>
      </w:r>
      <w:r>
        <w:rPr>
          <w:rFonts w:eastAsia="Arial" w:cs="Arial"/>
          <w:bCs/>
          <w:lang w:val="es-ES"/>
        </w:rPr>
        <w:t>s</w:t>
      </w:r>
      <w:r w:rsidRPr="00151CFC">
        <w:rPr>
          <w:rFonts w:eastAsia="Arial" w:cs="Arial"/>
          <w:lang w:val="es-ES"/>
        </w:rPr>
        <w:t xml:space="preserve"> implicaciones regulatorias de la reducción de la producción nacional</w:t>
      </w:r>
      <w:r>
        <w:rPr>
          <w:rFonts w:eastAsia="Arial" w:cs="Arial"/>
          <w:lang w:val="es-ES"/>
        </w:rPr>
        <w:t xml:space="preserve">: </w:t>
      </w:r>
    </w:p>
    <w:p w14:paraId="7DE3EEE8" w14:textId="77777777" w:rsidR="00D75762" w:rsidRPr="00151CFC" w:rsidRDefault="00D75762">
      <w:pPr>
        <w:pStyle w:val="Prrafodelista"/>
        <w:numPr>
          <w:ilvl w:val="0"/>
          <w:numId w:val="31"/>
        </w:numPr>
        <w:spacing w:after="100" w:afterAutospacing="1" w:line="360" w:lineRule="auto"/>
      </w:pPr>
      <w:r w:rsidRPr="00151CFC">
        <w:t xml:space="preserve">Dependencia del mercado internacional; </w:t>
      </w:r>
    </w:p>
    <w:p w14:paraId="2C512581" w14:textId="77777777" w:rsidR="00D75762" w:rsidRPr="00151CFC" w:rsidRDefault="00D75762">
      <w:pPr>
        <w:pStyle w:val="Prrafodelista"/>
        <w:numPr>
          <w:ilvl w:val="0"/>
          <w:numId w:val="31"/>
        </w:numPr>
        <w:spacing w:before="100" w:beforeAutospacing="1" w:after="100" w:afterAutospacing="1" w:line="360" w:lineRule="auto"/>
      </w:pPr>
      <w:r w:rsidRPr="00151CFC">
        <w:t xml:space="preserve">Mayor volatilidad; </w:t>
      </w:r>
    </w:p>
    <w:p w14:paraId="40189D01" w14:textId="77777777" w:rsidR="00D75762" w:rsidRPr="00151CFC" w:rsidRDefault="00D75762">
      <w:pPr>
        <w:pStyle w:val="Prrafodelista"/>
        <w:numPr>
          <w:ilvl w:val="0"/>
          <w:numId w:val="31"/>
        </w:numPr>
        <w:spacing w:before="100" w:beforeAutospacing="1" w:after="100" w:afterAutospacing="1" w:line="360" w:lineRule="auto"/>
      </w:pPr>
      <w:r w:rsidRPr="00151CFC">
        <w:t xml:space="preserve">Seguridad de abastecimiento; </w:t>
      </w:r>
    </w:p>
    <w:p w14:paraId="0B4C12B9" w14:textId="77777777" w:rsidR="00D75762" w:rsidRPr="00151CFC" w:rsidRDefault="00D75762">
      <w:pPr>
        <w:pStyle w:val="Prrafodelista"/>
        <w:numPr>
          <w:ilvl w:val="0"/>
          <w:numId w:val="31"/>
        </w:numPr>
        <w:spacing w:before="100" w:beforeAutospacing="1" w:after="100" w:afterAutospacing="1" w:line="360" w:lineRule="auto"/>
      </w:pPr>
      <w:r w:rsidRPr="00151CFC">
        <w:t xml:space="preserve">Necesidad de nueva infraestructura; </w:t>
      </w:r>
    </w:p>
    <w:p w14:paraId="0076F124" w14:textId="77777777" w:rsidR="00D75762" w:rsidRPr="00151CFC" w:rsidRDefault="00D75762">
      <w:pPr>
        <w:pStyle w:val="Prrafodelista"/>
        <w:numPr>
          <w:ilvl w:val="0"/>
          <w:numId w:val="31"/>
        </w:numPr>
        <w:spacing w:before="100" w:beforeAutospacing="1" w:after="100" w:afterAutospacing="1" w:line="360" w:lineRule="auto"/>
      </w:pPr>
      <w:r w:rsidRPr="00151CFC">
        <w:t>Mayor importancia del monitoreo del mercado.</w:t>
      </w:r>
    </w:p>
    <w:p w14:paraId="0D9053B7" w14:textId="34B03AAC" w:rsidR="009F4604" w:rsidRDefault="009F4604" w:rsidP="00D75762">
      <w:pPr>
        <w:spacing w:before="100" w:beforeAutospacing="1" w:line="360" w:lineRule="auto"/>
        <w:jc w:val="center"/>
      </w:pPr>
      <w:bookmarkStart w:id="115" w:name="_Ref235110520"/>
      <w:bookmarkStart w:id="116" w:name="_Toc235118567"/>
      <w:r w:rsidRPr="5FAE69B6">
        <w:rPr>
          <w:lang w:val="es-ES"/>
        </w:rPr>
        <w:t xml:space="preserve">Figura </w:t>
      </w:r>
      <w:r>
        <w:rPr>
          <w:lang w:val="es-ES"/>
        </w:rPr>
        <w:fldChar w:fldCharType="begin"/>
      </w:r>
      <w:r>
        <w:rPr>
          <w:lang w:val="es-ES"/>
        </w:rPr>
        <w:instrText xml:space="preserve"> SEQ Figura \* ARABIC </w:instrText>
      </w:r>
      <w:r>
        <w:rPr>
          <w:lang w:val="es-ES"/>
        </w:rPr>
        <w:fldChar w:fldCharType="separate"/>
      </w:r>
      <w:r w:rsidR="00FD7840">
        <w:rPr>
          <w:noProof/>
          <w:lang w:val="es-ES"/>
        </w:rPr>
        <w:t>27</w:t>
      </w:r>
      <w:r>
        <w:rPr>
          <w:lang w:val="es-ES"/>
        </w:rPr>
        <w:fldChar w:fldCharType="end"/>
      </w:r>
      <w:bookmarkEnd w:id="115"/>
      <w:r w:rsidRPr="5FAE69B6">
        <w:rPr>
          <w:lang w:val="es-ES"/>
        </w:rPr>
        <w:t xml:space="preserve">. </w:t>
      </w:r>
      <w:r w:rsidRPr="0042534F">
        <w:rPr>
          <w:lang w:val="es-ES"/>
        </w:rPr>
        <w:t xml:space="preserve">Producción </w:t>
      </w:r>
      <w:r w:rsidR="0042534F" w:rsidRPr="0042534F">
        <w:rPr>
          <w:lang w:val="es-ES"/>
        </w:rPr>
        <w:t>por empresa</w:t>
      </w:r>
      <w:r w:rsidRPr="0042534F">
        <w:rPr>
          <w:lang w:val="es-ES"/>
        </w:rPr>
        <w:t xml:space="preserve"> (kg/año).</w:t>
      </w:r>
      <w:bookmarkEnd w:id="116"/>
    </w:p>
    <w:p w14:paraId="3E084E36" w14:textId="3426651A" w:rsidR="00775B8C" w:rsidRDefault="009F4604" w:rsidP="00D75762">
      <w:pPr>
        <w:spacing w:line="360" w:lineRule="auto"/>
        <w:jc w:val="center"/>
      </w:pPr>
      <w:r>
        <w:rPr>
          <w:noProof/>
        </w:rPr>
        <w:drawing>
          <wp:inline distT="0" distB="0" distL="0" distR="0" wp14:anchorId="40017169" wp14:editId="548DCE88">
            <wp:extent cx="4503541" cy="2699922"/>
            <wp:effectExtent l="0" t="0" r="0" b="0"/>
            <wp:docPr id="1375411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41110" name="Imagen 137541110"/>
                    <pic:cNvPicPr/>
                  </pic:nvPicPr>
                  <pic:blipFill rotWithShape="1">
                    <a:blip r:embed="rId62">
                      <a:extLst>
                        <a:ext uri="{28A0092B-C50C-407E-A947-70E740481C1C}">
                          <a14:useLocalDpi xmlns:a14="http://schemas.microsoft.com/office/drawing/2010/main" val="0"/>
                        </a:ext>
                      </a:extLst>
                    </a:blip>
                    <a:srcRect t="4082"/>
                    <a:stretch>
                      <a:fillRect/>
                    </a:stretch>
                  </pic:blipFill>
                  <pic:spPr bwMode="auto">
                    <a:xfrm>
                      <a:off x="0" y="0"/>
                      <a:ext cx="4503541" cy="2699922"/>
                    </a:xfrm>
                    <a:prstGeom prst="rect">
                      <a:avLst/>
                    </a:prstGeom>
                    <a:ln>
                      <a:noFill/>
                    </a:ln>
                    <a:extLst>
                      <a:ext uri="{53640926-AAD7-44D8-BBD7-CCE9431645EC}">
                        <a14:shadowObscured xmlns:a14="http://schemas.microsoft.com/office/drawing/2010/main"/>
                      </a:ext>
                    </a:extLst>
                  </pic:spPr>
                </pic:pic>
              </a:graphicData>
            </a:graphic>
          </wp:inline>
        </w:drawing>
      </w:r>
    </w:p>
    <w:p w14:paraId="3A9B14D4" w14:textId="73AB6B29" w:rsidR="28E0DF9B" w:rsidRDefault="0042534F" w:rsidP="00D75762">
      <w:pPr>
        <w:spacing w:line="360" w:lineRule="auto"/>
        <w:jc w:val="center"/>
        <w:rPr>
          <w:lang w:val="es-ES"/>
        </w:rPr>
      </w:pPr>
      <w:r w:rsidRPr="00110A67">
        <w:rPr>
          <w:sz w:val="22"/>
          <w:szCs w:val="18"/>
        </w:rPr>
        <w:t>Fuente: SUI. Elaboración</w:t>
      </w:r>
      <w:r w:rsidR="00F54F17" w:rsidRPr="00110A67">
        <w:rPr>
          <w:sz w:val="22"/>
          <w:szCs w:val="18"/>
        </w:rPr>
        <w:t>:</w:t>
      </w:r>
      <w:r w:rsidRPr="00110A67">
        <w:rPr>
          <w:sz w:val="22"/>
          <w:szCs w:val="18"/>
        </w:rPr>
        <w:t xml:space="preserve"> </w:t>
      </w:r>
      <w:r w:rsidR="00F54F17" w:rsidRPr="00110A67">
        <w:rPr>
          <w:sz w:val="22"/>
          <w:szCs w:val="18"/>
        </w:rPr>
        <w:t>CREG</w:t>
      </w:r>
    </w:p>
    <w:p w14:paraId="12B483CB" w14:textId="5FC8B152" w:rsidR="004E0117" w:rsidRPr="006C292A" w:rsidRDefault="004E0117" w:rsidP="002F1961">
      <w:pPr>
        <w:pStyle w:val="Descripcin"/>
        <w:keepNext/>
        <w:spacing w:before="100" w:beforeAutospacing="1" w:after="100" w:afterAutospacing="1" w:line="360" w:lineRule="auto"/>
        <w:jc w:val="center"/>
        <w:rPr>
          <w:b w:val="0"/>
        </w:rPr>
      </w:pPr>
      <w:bookmarkStart w:id="117" w:name="_Ref235110553"/>
      <w:bookmarkStart w:id="118" w:name="_Toc235118568"/>
      <w:r w:rsidRPr="006C292A">
        <w:rPr>
          <w:b w:val="0"/>
          <w:lang w:val="es-ES"/>
        </w:rPr>
        <w:lastRenderedPageBreak/>
        <w:t xml:space="preserve">Figura </w:t>
      </w:r>
      <w:r w:rsidRPr="006C292A">
        <w:rPr>
          <w:b w:val="0"/>
          <w:lang w:val="es-ES"/>
        </w:rPr>
        <w:fldChar w:fldCharType="begin"/>
      </w:r>
      <w:r w:rsidRPr="00803DD6">
        <w:rPr>
          <w:b w:val="0"/>
          <w:lang w:val="es-ES"/>
        </w:rPr>
        <w:instrText xml:space="preserve"> SEQ Figura \* ARABIC </w:instrText>
      </w:r>
      <w:r w:rsidRPr="006C292A">
        <w:rPr>
          <w:b w:val="0"/>
          <w:lang w:val="es-ES"/>
        </w:rPr>
        <w:fldChar w:fldCharType="separate"/>
      </w:r>
      <w:r w:rsidR="00FD7840">
        <w:rPr>
          <w:b w:val="0"/>
          <w:noProof/>
          <w:lang w:val="es-ES"/>
        </w:rPr>
        <w:t>28</w:t>
      </w:r>
      <w:r w:rsidRPr="006C292A">
        <w:rPr>
          <w:b w:val="0"/>
          <w:lang w:val="es-ES"/>
        </w:rPr>
        <w:fldChar w:fldCharType="end"/>
      </w:r>
      <w:bookmarkEnd w:id="117"/>
      <w:r w:rsidRPr="006C292A">
        <w:rPr>
          <w:b w:val="0"/>
          <w:lang w:val="es-ES"/>
        </w:rPr>
        <w:t xml:space="preserve">. </w:t>
      </w:r>
      <w:r>
        <w:rPr>
          <w:b w:val="0"/>
          <w:lang w:val="es-ES"/>
        </w:rPr>
        <w:t>Producción Nacional de GLP Anual (kg/año)</w:t>
      </w:r>
      <w:r w:rsidRPr="5FAE69B6">
        <w:rPr>
          <w:b w:val="0"/>
          <w:lang w:val="es-ES"/>
        </w:rPr>
        <w:t>.</w:t>
      </w:r>
      <w:bookmarkEnd w:id="118"/>
    </w:p>
    <w:p w14:paraId="11D419FE" w14:textId="77777777" w:rsidR="004E0117" w:rsidRDefault="004E0117" w:rsidP="002F1961">
      <w:pPr>
        <w:spacing w:before="100" w:beforeAutospacing="1" w:after="100" w:afterAutospacing="1" w:line="360" w:lineRule="auto"/>
      </w:pPr>
      <w:r>
        <w:rPr>
          <w:noProof/>
        </w:rPr>
        <w:drawing>
          <wp:inline distT="0" distB="0" distL="0" distR="0" wp14:anchorId="47374C7E" wp14:editId="7B31D182">
            <wp:extent cx="5735349" cy="2099519"/>
            <wp:effectExtent l="0" t="0" r="0" b="0"/>
            <wp:docPr id="20089831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609232" name="Imagen 1616609232"/>
                    <pic:cNvPicPr/>
                  </pic:nvPicPr>
                  <pic:blipFill rotWithShape="1">
                    <a:blip r:embed="rId63">
                      <a:extLst>
                        <a:ext uri="{28A0092B-C50C-407E-A947-70E740481C1C}">
                          <a14:useLocalDpi xmlns:a14="http://schemas.microsoft.com/office/drawing/2010/main"/>
                        </a:ext>
                      </a:extLst>
                    </a:blip>
                    <a:srcRect t="10890"/>
                    <a:stretch>
                      <a:fillRect/>
                    </a:stretch>
                  </pic:blipFill>
                  <pic:spPr bwMode="auto">
                    <a:xfrm>
                      <a:off x="0" y="0"/>
                      <a:ext cx="5735349" cy="2099519"/>
                    </a:xfrm>
                    <a:prstGeom prst="rect">
                      <a:avLst/>
                    </a:prstGeom>
                    <a:ln>
                      <a:noFill/>
                    </a:ln>
                  </pic:spPr>
                </pic:pic>
              </a:graphicData>
            </a:graphic>
          </wp:inline>
        </w:drawing>
      </w:r>
    </w:p>
    <w:p w14:paraId="10F5F24E" w14:textId="0C2B2074" w:rsidR="004E0117" w:rsidRPr="00110A67" w:rsidRDefault="004E0117" w:rsidP="002F1961">
      <w:pPr>
        <w:spacing w:before="100" w:beforeAutospacing="1" w:after="100" w:afterAutospacing="1" w:line="360" w:lineRule="auto"/>
        <w:jc w:val="center"/>
        <w:rPr>
          <w:sz w:val="28"/>
          <w:szCs w:val="22"/>
        </w:rPr>
      </w:pPr>
      <w:r w:rsidRPr="00110A67">
        <w:rPr>
          <w:sz w:val="22"/>
          <w:szCs w:val="22"/>
        </w:rPr>
        <w:t>Fuente: SUI. Elaboración Propia</w:t>
      </w:r>
    </w:p>
    <w:p w14:paraId="6F2B4F69" w14:textId="77777777" w:rsidR="008C45C6" w:rsidRPr="00842608" w:rsidRDefault="00D843B7" w:rsidP="00D75762">
      <w:pPr>
        <w:pStyle w:val="Ttulo4"/>
        <w:tabs>
          <w:tab w:val="left" w:pos="1134"/>
        </w:tabs>
        <w:spacing w:before="100" w:beforeAutospacing="1" w:after="100" w:afterAutospacing="1"/>
      </w:pPr>
      <w:bookmarkStart w:id="119" w:name="_Ref235111349"/>
      <w:bookmarkStart w:id="120" w:name="_Toc235128337"/>
      <w:r w:rsidRPr="00842608">
        <w:t>Importaciones</w:t>
      </w:r>
      <w:bookmarkEnd w:id="119"/>
      <w:bookmarkEnd w:id="120"/>
    </w:p>
    <w:p w14:paraId="2BEB753D" w14:textId="4E7E93CC" w:rsidR="00A945D0" w:rsidRPr="00725C04" w:rsidRDefault="00725C04" w:rsidP="00725C04">
      <w:pPr>
        <w:spacing w:before="100" w:beforeAutospacing="1" w:after="100" w:afterAutospacing="1" w:line="360" w:lineRule="auto"/>
        <w:rPr>
          <w:lang w:val="es-ES"/>
        </w:rPr>
      </w:pPr>
      <w:r w:rsidRPr="00725C04">
        <w:rPr>
          <w:lang w:val="es-ES"/>
        </w:rPr>
        <w:t>Las importaciones constituyen una fuente complementaria de abastecimiento del mercado colombiano de GLP y contribuyen a atender la demanda cuando la producción nacional resulta insuficiente. En esta sección se describen las principales características de las importaciones y su participación dentro del suministro del mercado.</w:t>
      </w:r>
    </w:p>
    <w:p w14:paraId="6B92623B" w14:textId="0C9DEC35" w:rsidR="008C45C6" w:rsidRPr="00842608" w:rsidRDefault="008C45C6" w:rsidP="002877CB">
      <w:pPr>
        <w:pStyle w:val="Ttulo4"/>
        <w:spacing w:before="100" w:beforeAutospacing="1" w:after="100" w:afterAutospacing="1" w:line="360" w:lineRule="auto"/>
        <w:ind w:left="1134" w:hanging="1134"/>
      </w:pPr>
      <w:r w:rsidRPr="00842608">
        <w:t>Evolución de las importaciones</w:t>
      </w:r>
    </w:p>
    <w:p w14:paraId="4C0C3EB0" w14:textId="1BFA9A88" w:rsidR="00890C32" w:rsidRPr="00890C32" w:rsidRDefault="00890C32" w:rsidP="002F1961">
      <w:pPr>
        <w:spacing w:before="100" w:beforeAutospacing="1" w:after="100" w:afterAutospacing="1" w:line="360" w:lineRule="auto"/>
      </w:pPr>
      <w:r w:rsidRPr="21A5E085">
        <w:rPr>
          <w:lang w:val="es-ES"/>
        </w:rPr>
        <w:t xml:space="preserve">Debido a la reducción gradual en las cantidades proyectadas de algunos campos históricos, Colombia ha transformado su modelo, aumentando su dependencia de las importaciones para cubrir la demanda y garantizar la seguridad energética. El ingreso de este producto desde el exterior se realiza a través de puertos especializados en el Caribe (Mamonal) operados por empresas como </w:t>
      </w:r>
      <w:proofErr w:type="spellStart"/>
      <w:r w:rsidRPr="21A5E085">
        <w:rPr>
          <w:lang w:val="es-ES"/>
        </w:rPr>
        <w:t>Okianus</w:t>
      </w:r>
      <w:proofErr w:type="spellEnd"/>
      <w:r w:rsidRPr="21A5E085">
        <w:rPr>
          <w:lang w:val="es-ES"/>
        </w:rPr>
        <w:t xml:space="preserve"> </w:t>
      </w:r>
      <w:proofErr w:type="spellStart"/>
      <w:r w:rsidRPr="21A5E085">
        <w:rPr>
          <w:lang w:val="es-ES"/>
        </w:rPr>
        <w:t>Terminals</w:t>
      </w:r>
      <w:proofErr w:type="spellEnd"/>
      <w:r w:rsidRPr="21A5E085">
        <w:rPr>
          <w:lang w:val="es-ES"/>
        </w:rPr>
        <w:t xml:space="preserve"> y </w:t>
      </w:r>
      <w:proofErr w:type="spellStart"/>
      <w:r w:rsidRPr="21A5E085">
        <w:rPr>
          <w:lang w:val="es-ES"/>
        </w:rPr>
        <w:t>PlexaPort</w:t>
      </w:r>
      <w:proofErr w:type="spellEnd"/>
      <w:r w:rsidR="00BC0874">
        <w:rPr>
          <w:lang w:val="es-ES"/>
        </w:rPr>
        <w:t>.</w:t>
      </w:r>
    </w:p>
    <w:p w14:paraId="664B1366" w14:textId="5581E617" w:rsidR="00CE0447" w:rsidRPr="00E72A1D" w:rsidRDefault="00CE0447" w:rsidP="002F1961">
      <w:pPr>
        <w:spacing w:before="100" w:beforeAutospacing="1" w:after="100" w:afterAutospacing="1" w:line="360" w:lineRule="auto"/>
      </w:pPr>
      <w:r w:rsidRPr="00E72A1D">
        <w:t xml:space="preserve">De acuerdo con </w:t>
      </w:r>
      <w:r w:rsidR="00B60497" w:rsidRPr="00E72A1D">
        <w:t xml:space="preserve">lo señalado por la UPME en </w:t>
      </w:r>
      <w:r w:rsidRPr="00E72A1D">
        <w:t>el PI</w:t>
      </w:r>
      <w:r w:rsidR="004E3FEE" w:rsidRPr="00E72A1D">
        <w:t>AGLP</w:t>
      </w:r>
      <w:r w:rsidR="00E72A1D">
        <w:t xml:space="preserve"> </w:t>
      </w:r>
      <w:r w:rsidR="004E3FEE" w:rsidRPr="007C36D3">
        <w:rPr>
          <w:i/>
        </w:rPr>
        <w:t>“</w:t>
      </w:r>
      <w:r w:rsidR="002E262D" w:rsidRPr="007C36D3">
        <w:rPr>
          <w:i/>
        </w:rPr>
        <w:t>(e)</w:t>
      </w:r>
      <w:r w:rsidR="004E3FEE" w:rsidRPr="007C36D3">
        <w:rPr>
          <w:i/>
        </w:rPr>
        <w:t>n 2024, Colombia alcanzó la cifra de 14,000 toneladas al mes de importación de GLP.</w:t>
      </w:r>
      <w:r w:rsidR="00E72A1D" w:rsidRPr="007C36D3">
        <w:rPr>
          <w:i/>
        </w:rPr>
        <w:t xml:space="preserve"> </w:t>
      </w:r>
      <w:r w:rsidR="004E3FEE" w:rsidRPr="007C36D3">
        <w:rPr>
          <w:i/>
        </w:rPr>
        <w:t>La capacidad máxima de importación de GLP actualmente instalada corresponde a 40,000 toneladas al mes, correspondientes a los puntos de importación.</w:t>
      </w:r>
      <w:r w:rsidR="00E72A1D" w:rsidRPr="007C36D3">
        <w:rPr>
          <w:i/>
        </w:rPr>
        <w:t xml:space="preserve"> </w:t>
      </w:r>
      <w:r w:rsidR="004E3FEE" w:rsidRPr="007C36D3">
        <w:rPr>
          <w:i/>
        </w:rPr>
        <w:t>Para 2029, las importaciones se incrementarán en la misma cantidad año tras año hasta 2034</w:t>
      </w:r>
      <w:r w:rsidR="00E72A1D" w:rsidRPr="007C36D3">
        <w:rPr>
          <w:i/>
        </w:rPr>
        <w:t>”</w:t>
      </w:r>
      <w:r w:rsidR="004E3FEE" w:rsidRPr="00E72A1D">
        <w:t>.</w:t>
      </w:r>
    </w:p>
    <w:p w14:paraId="10D23F52" w14:textId="1279E9F2" w:rsidR="00CE0447" w:rsidRPr="00AE2AFB" w:rsidRDefault="00EA5343" w:rsidP="002F1961">
      <w:pPr>
        <w:spacing w:before="100" w:beforeAutospacing="1" w:after="100" w:afterAutospacing="1" w:line="360" w:lineRule="auto"/>
      </w:pPr>
      <w:r w:rsidRPr="00AE2AFB">
        <w:lastRenderedPageBreak/>
        <w:t xml:space="preserve">En este sentido, </w:t>
      </w:r>
      <w:r w:rsidR="00B2353E" w:rsidRPr="00AE2AFB">
        <w:t>m</w:t>
      </w:r>
      <w:r w:rsidR="6F0A136F" w:rsidRPr="00AE2AFB">
        <w:t>ayor dependencia de importaciones implica:</w:t>
      </w:r>
      <w:r w:rsidR="00B2353E" w:rsidRPr="00AE2AFB">
        <w:t xml:space="preserve"> (i) </w:t>
      </w:r>
      <w:r w:rsidR="6F0A136F" w:rsidRPr="00AE2AFB">
        <w:t xml:space="preserve">exposición al precio Mont Belvieu; </w:t>
      </w:r>
      <w:r w:rsidR="00B2353E" w:rsidRPr="00AE2AFB">
        <w:t>(</w:t>
      </w:r>
      <w:proofErr w:type="spellStart"/>
      <w:r w:rsidR="00B2353E" w:rsidRPr="00AE2AFB">
        <w:t>ii</w:t>
      </w:r>
      <w:proofErr w:type="spellEnd"/>
      <w:r w:rsidR="00B2353E" w:rsidRPr="00AE2AFB">
        <w:t xml:space="preserve">) </w:t>
      </w:r>
      <w:r w:rsidR="6F0A136F" w:rsidRPr="00AE2AFB">
        <w:t xml:space="preserve">exposición al tipo de cambio; </w:t>
      </w:r>
      <w:r w:rsidR="00B2353E" w:rsidRPr="00AE2AFB">
        <w:t>(</w:t>
      </w:r>
      <w:proofErr w:type="spellStart"/>
      <w:r w:rsidR="00B2353E" w:rsidRPr="00AE2AFB">
        <w:t>iii</w:t>
      </w:r>
      <w:proofErr w:type="spellEnd"/>
      <w:r w:rsidR="00B2353E" w:rsidRPr="00AE2AFB">
        <w:t xml:space="preserve">) </w:t>
      </w:r>
      <w:r w:rsidR="6F0A136F" w:rsidRPr="00AE2AFB">
        <w:t xml:space="preserve">riesgo logístico marítimo; </w:t>
      </w:r>
      <w:r w:rsidR="00B2353E" w:rsidRPr="00AE2AFB">
        <w:t>(</w:t>
      </w:r>
      <w:proofErr w:type="spellStart"/>
      <w:r w:rsidR="00B2353E" w:rsidRPr="00AE2AFB">
        <w:t>iv</w:t>
      </w:r>
      <w:proofErr w:type="spellEnd"/>
      <w:r w:rsidR="00B2353E" w:rsidRPr="00AE2AFB">
        <w:t xml:space="preserve">) </w:t>
      </w:r>
      <w:r w:rsidR="6F0A136F" w:rsidRPr="00AE2AFB">
        <w:t xml:space="preserve">mayor necesidad de capacidad portuaria; </w:t>
      </w:r>
      <w:r w:rsidR="00B2353E" w:rsidRPr="00AE2AFB">
        <w:t xml:space="preserve">(v) </w:t>
      </w:r>
      <w:r w:rsidR="6F0A136F" w:rsidRPr="00AE2AFB">
        <w:t xml:space="preserve">mayor costo de inventarios; </w:t>
      </w:r>
      <w:r w:rsidR="00B2353E" w:rsidRPr="00AE2AFB">
        <w:t xml:space="preserve">y </w:t>
      </w:r>
      <w:r w:rsidR="00AE2AFB" w:rsidRPr="00AE2AFB">
        <w:t xml:space="preserve">(vi) </w:t>
      </w:r>
      <w:r w:rsidR="6F0A136F" w:rsidRPr="00AE2AFB">
        <w:t>mayor importancia del almacenamiento estratégico.</w:t>
      </w:r>
    </w:p>
    <w:p w14:paraId="046E53AD" w14:textId="57E936B4" w:rsidR="00890C32" w:rsidRDefault="00087F44" w:rsidP="002F1961">
      <w:pPr>
        <w:spacing w:before="100" w:beforeAutospacing="1" w:after="100" w:afterAutospacing="1" w:line="360" w:lineRule="auto"/>
      </w:pPr>
      <w:r>
        <w:t>En l</w:t>
      </w:r>
      <w:r w:rsidR="00890C32" w:rsidRPr="002F2441">
        <w:t xml:space="preserve">a </w:t>
      </w:r>
      <w:r w:rsidR="002877CB" w:rsidRPr="002877CB">
        <w:fldChar w:fldCharType="begin"/>
      </w:r>
      <w:r w:rsidR="002877CB" w:rsidRPr="002877CB">
        <w:instrText xml:space="preserve"> REF _Ref235110644 \h  \* MERGEFORMAT </w:instrText>
      </w:r>
      <w:r w:rsidR="002877CB" w:rsidRPr="002877CB">
        <w:fldChar w:fldCharType="separate"/>
      </w:r>
      <w:r w:rsidR="002877CB" w:rsidRPr="002877CB">
        <w:rPr>
          <w:lang w:val="es-ES"/>
        </w:rPr>
        <w:t xml:space="preserve">Figura </w:t>
      </w:r>
      <w:r w:rsidR="002877CB" w:rsidRPr="002877CB">
        <w:rPr>
          <w:noProof/>
          <w:lang w:val="es-ES"/>
        </w:rPr>
        <w:t>29</w:t>
      </w:r>
      <w:r w:rsidR="002877CB" w:rsidRPr="002877CB">
        <w:fldChar w:fldCharType="end"/>
      </w:r>
      <w:r w:rsidR="00890C32" w:rsidRPr="002F2441">
        <w:t xml:space="preserve"> </w:t>
      </w:r>
      <w:r>
        <w:t>se muestra como la</w:t>
      </w:r>
      <w:r w:rsidR="00890C32" w:rsidRPr="002F2441">
        <w:t xml:space="preserve"> importación de GLP aparece como una variable cada vez más importante desde 2016</w:t>
      </w:r>
      <w:r w:rsidR="00890C32">
        <w:t>.</w:t>
      </w:r>
    </w:p>
    <w:p w14:paraId="17F35B01" w14:textId="671703D0" w:rsidR="00883D4F" w:rsidRPr="002877CB" w:rsidRDefault="00883D4F" w:rsidP="002F1961">
      <w:pPr>
        <w:pStyle w:val="Descripcin"/>
        <w:keepNext/>
        <w:spacing w:before="100" w:beforeAutospacing="1" w:after="100" w:afterAutospacing="1" w:line="360" w:lineRule="auto"/>
        <w:jc w:val="center"/>
        <w:rPr>
          <w:b w:val="0"/>
        </w:rPr>
      </w:pPr>
      <w:bookmarkStart w:id="121" w:name="_Ref235110644"/>
      <w:bookmarkStart w:id="122" w:name="_Toc235118569"/>
      <w:r w:rsidRPr="002877CB">
        <w:rPr>
          <w:b w:val="0"/>
          <w:lang w:val="es-ES"/>
        </w:rPr>
        <w:t xml:space="preserve">Figura </w:t>
      </w:r>
      <w:r w:rsidRPr="002877CB">
        <w:rPr>
          <w:b w:val="0"/>
          <w:lang w:val="es-ES"/>
        </w:rPr>
        <w:fldChar w:fldCharType="begin"/>
      </w:r>
      <w:r w:rsidRPr="002877CB">
        <w:rPr>
          <w:b w:val="0"/>
          <w:lang w:val="es-ES"/>
        </w:rPr>
        <w:instrText xml:space="preserve"> SEQ Figura \* ARABIC </w:instrText>
      </w:r>
      <w:r w:rsidRPr="002877CB">
        <w:rPr>
          <w:b w:val="0"/>
          <w:lang w:val="es-ES"/>
        </w:rPr>
        <w:fldChar w:fldCharType="separate"/>
      </w:r>
      <w:r w:rsidR="002877CB" w:rsidRPr="002877CB">
        <w:rPr>
          <w:b w:val="0"/>
          <w:bCs/>
          <w:noProof/>
          <w:lang w:val="es-ES"/>
        </w:rPr>
        <w:t>29</w:t>
      </w:r>
      <w:r w:rsidRPr="002877CB">
        <w:rPr>
          <w:b w:val="0"/>
          <w:lang w:val="es-ES"/>
        </w:rPr>
        <w:fldChar w:fldCharType="end"/>
      </w:r>
      <w:bookmarkEnd w:id="121"/>
      <w:r w:rsidRPr="002877CB">
        <w:rPr>
          <w:b w:val="0"/>
          <w:lang w:val="es-ES"/>
        </w:rPr>
        <w:t xml:space="preserve">. </w:t>
      </w:r>
      <w:r>
        <w:rPr>
          <w:b w:val="0"/>
          <w:lang w:val="es-ES"/>
        </w:rPr>
        <w:t>Importaciones y Exportaciones de GLP</w:t>
      </w:r>
      <w:r w:rsidRPr="5FAE69B6">
        <w:rPr>
          <w:b w:val="0"/>
          <w:lang w:val="es-ES"/>
        </w:rPr>
        <w:t>.</w:t>
      </w:r>
      <w:bookmarkEnd w:id="122"/>
    </w:p>
    <w:p w14:paraId="56A7D14F" w14:textId="3F37A19F" w:rsidR="00672B64" w:rsidRDefault="00672B64" w:rsidP="002F1961">
      <w:pPr>
        <w:spacing w:before="100" w:beforeAutospacing="1" w:after="100" w:afterAutospacing="1" w:line="360" w:lineRule="auto"/>
        <w:jc w:val="center"/>
      </w:pPr>
      <w:r>
        <w:rPr>
          <w:noProof/>
        </w:rPr>
        <w:drawing>
          <wp:inline distT="0" distB="0" distL="0" distR="0" wp14:anchorId="5440170B" wp14:editId="2272A5AE">
            <wp:extent cx="3817495" cy="2013188"/>
            <wp:effectExtent l="0" t="0" r="0" b="0"/>
            <wp:docPr id="89238739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387395" name="Imagen 892387395"/>
                    <pic:cNvPicPr/>
                  </pic:nvPicPr>
                  <pic:blipFill rotWithShape="1">
                    <a:blip r:embed="rId64">
                      <a:extLst>
                        <a:ext uri="{28A0092B-C50C-407E-A947-70E740481C1C}">
                          <a14:useLocalDpi xmlns:a14="http://schemas.microsoft.com/office/drawing/2010/main"/>
                        </a:ext>
                      </a:extLst>
                    </a:blip>
                    <a:srcRect t="4701"/>
                    <a:stretch>
                      <a:fillRect/>
                    </a:stretch>
                  </pic:blipFill>
                  <pic:spPr bwMode="auto">
                    <a:xfrm>
                      <a:off x="0" y="0"/>
                      <a:ext cx="3817495" cy="2013188"/>
                    </a:xfrm>
                    <a:prstGeom prst="rect">
                      <a:avLst/>
                    </a:prstGeom>
                    <a:ln>
                      <a:noFill/>
                    </a:ln>
                  </pic:spPr>
                </pic:pic>
              </a:graphicData>
            </a:graphic>
          </wp:inline>
        </w:drawing>
      </w:r>
    </w:p>
    <w:p w14:paraId="62471BC5" w14:textId="5D0141F6" w:rsidR="00672B64" w:rsidRPr="003F30A8" w:rsidRDefault="00672B64" w:rsidP="002F1961">
      <w:pPr>
        <w:spacing w:before="100" w:beforeAutospacing="1" w:after="100" w:afterAutospacing="1" w:line="360" w:lineRule="auto"/>
        <w:jc w:val="center"/>
        <w:rPr>
          <w:sz w:val="28"/>
          <w:szCs w:val="22"/>
        </w:rPr>
      </w:pPr>
      <w:r w:rsidRPr="003F30A8">
        <w:rPr>
          <w:sz w:val="22"/>
          <w:szCs w:val="18"/>
        </w:rPr>
        <w:t>Fuente: SUI. Elaboración Propia</w:t>
      </w:r>
    </w:p>
    <w:p w14:paraId="69CF71A2" w14:textId="54B089BD" w:rsidR="008C45C6" w:rsidRPr="00842608" w:rsidRDefault="008C45C6" w:rsidP="003F30A8">
      <w:pPr>
        <w:pStyle w:val="Ttulo4"/>
        <w:spacing w:before="100" w:beforeAutospacing="1" w:after="100" w:afterAutospacing="1" w:line="360" w:lineRule="auto"/>
        <w:ind w:hanging="790"/>
      </w:pPr>
      <w:r w:rsidRPr="00842608">
        <w:t>Participación dentro de la oferta total</w:t>
      </w:r>
    </w:p>
    <w:p w14:paraId="00C6632E" w14:textId="781B3946" w:rsidR="00010792" w:rsidRDefault="008F47A4" w:rsidP="002F1961">
      <w:pPr>
        <w:spacing w:before="100" w:beforeAutospacing="1" w:after="100" w:afterAutospacing="1" w:line="360" w:lineRule="auto"/>
      </w:pPr>
      <w:r w:rsidRPr="008F47A4">
        <w:t>En Colombia, la participación de las importaciones en la oferta de GLP se ha disparado</w:t>
      </w:r>
      <w:r w:rsidR="00CF0053">
        <w:t xml:space="preserve"> en los últimos años</w:t>
      </w:r>
      <w:r w:rsidR="002C3AA5">
        <w:t xml:space="preserve"> </w:t>
      </w:r>
      <w:r w:rsidRPr="008F47A4">
        <w:t>alcanzando cerca del 50% del mercado</w:t>
      </w:r>
      <w:r w:rsidR="00D40818">
        <w:t>,</w:t>
      </w:r>
      <w:r w:rsidR="00D40818" w:rsidRPr="00D40818">
        <w:t xml:space="preserve"> </w:t>
      </w:r>
      <w:r w:rsidR="00D40818">
        <w:t xml:space="preserve">como se muestra </w:t>
      </w:r>
      <w:r w:rsidR="00D40818" w:rsidRPr="00725C04">
        <w:t xml:space="preserve">en la Figura </w:t>
      </w:r>
      <w:r w:rsidR="00E36088">
        <w:t>30</w:t>
      </w:r>
      <w:r w:rsidRPr="008F47A4">
        <w:t>. Este aumento histórico</w:t>
      </w:r>
      <w:r w:rsidR="00010792">
        <w:t>, como se menciona en el</w:t>
      </w:r>
      <w:r w:rsidRPr="008F47A4">
        <w:t xml:space="preserve"> </w:t>
      </w:r>
      <w:r w:rsidR="00AA4C54">
        <w:t>aparte anterior,</w:t>
      </w:r>
      <w:r w:rsidRPr="008F47A4">
        <w:t xml:space="preserve"> responde a la caída de la producción nacional por parte de Ecopetrol.</w:t>
      </w:r>
    </w:p>
    <w:p w14:paraId="11D6B4CA" w14:textId="796623F6" w:rsidR="00AD2DF9" w:rsidRPr="00842608" w:rsidRDefault="00AD2DF9" w:rsidP="00AD2DF9">
      <w:pPr>
        <w:pStyle w:val="Ttulo4"/>
        <w:spacing w:before="100" w:beforeAutospacing="1" w:after="100" w:afterAutospacing="1" w:line="360" w:lineRule="auto"/>
      </w:pPr>
      <w:r w:rsidRPr="00842608">
        <w:t>Evolución histórica</w:t>
      </w:r>
    </w:p>
    <w:p w14:paraId="74E27731" w14:textId="77777777" w:rsidR="00AD2DF9" w:rsidRDefault="00AD2DF9" w:rsidP="00AD2DF9">
      <w:pPr>
        <w:spacing w:before="100" w:beforeAutospacing="1" w:after="100" w:afterAutospacing="1" w:line="360" w:lineRule="auto"/>
      </w:pPr>
      <w:r>
        <w:t xml:space="preserve">Según lo observado en la </w:t>
      </w:r>
      <w:r w:rsidRPr="00B67DD3">
        <w:fldChar w:fldCharType="begin"/>
      </w:r>
      <w:r w:rsidRPr="00B67DD3">
        <w:instrText xml:space="preserve"> REF _Ref235110714 \h  \* MERGEFORMAT </w:instrText>
      </w:r>
      <w:r w:rsidRPr="00B67DD3">
        <w:fldChar w:fldCharType="separate"/>
      </w:r>
      <w:r w:rsidRPr="00B67DD3">
        <w:rPr>
          <w:lang w:val="es-ES"/>
        </w:rPr>
        <w:t xml:space="preserve">Figura </w:t>
      </w:r>
      <w:r w:rsidRPr="00B67DD3">
        <w:rPr>
          <w:noProof/>
          <w:lang w:val="es-ES"/>
        </w:rPr>
        <w:t>31</w:t>
      </w:r>
      <w:r w:rsidRPr="00B67DD3">
        <w:fldChar w:fldCharType="end"/>
      </w:r>
      <w:r w:rsidRPr="00B67DD3">
        <w:t>,</w:t>
      </w:r>
      <w:r>
        <w:t xml:space="preserve"> </w:t>
      </w:r>
      <w:r w:rsidRPr="008F47A4">
        <w:t xml:space="preserve">el país era autosuficiente y </w:t>
      </w:r>
      <w:r>
        <w:t xml:space="preserve">la producción de GLP de </w:t>
      </w:r>
      <w:r w:rsidRPr="008F47A4">
        <w:t>Ecopetrol cubría la mayor parte de la demanda. Sin embargo, el panorama ha cambiado drásticamente en los últimos años</w:t>
      </w:r>
      <w:r>
        <w:t xml:space="preserve">, mientras en el año </w:t>
      </w:r>
      <w:r w:rsidRPr="008F47A4">
        <w:t>2021</w:t>
      </w:r>
      <w:r>
        <w:t xml:space="preserve"> l</w:t>
      </w:r>
      <w:r w:rsidRPr="008F47A4">
        <w:t xml:space="preserve">as importaciones </w:t>
      </w:r>
      <w:r w:rsidRPr="008F47A4">
        <w:lastRenderedPageBreak/>
        <w:t>representaban solo el 3% de la oferta total</w:t>
      </w:r>
      <w:r>
        <w:t xml:space="preserve">, para el año </w:t>
      </w:r>
      <w:r w:rsidRPr="008F47A4">
        <w:t>2024</w:t>
      </w:r>
      <w:r>
        <w:t xml:space="preserve"> e</w:t>
      </w:r>
      <w:r w:rsidRPr="008F47A4">
        <w:t xml:space="preserve">l declive de </w:t>
      </w:r>
      <w:r>
        <w:t xml:space="preserve">producción de las fuentes </w:t>
      </w:r>
      <w:r w:rsidRPr="008F47A4">
        <w:t>nacionales hizo que las compras internacionales escalaran al 26%.</w:t>
      </w:r>
      <w:r>
        <w:t xml:space="preserve"> </w:t>
      </w:r>
    </w:p>
    <w:p w14:paraId="2F039823" w14:textId="77777777" w:rsidR="00AD2DF9" w:rsidRDefault="00AD2DF9" w:rsidP="00AD2DF9">
      <w:pPr>
        <w:spacing w:before="100" w:beforeAutospacing="1" w:after="100" w:afterAutospacing="1" w:line="360" w:lineRule="auto"/>
      </w:pPr>
      <w:r w:rsidRPr="07F0F678">
        <w:rPr>
          <w:lang w:val="es-ES"/>
        </w:rPr>
        <w:t>Por otra parte, teniendo en cuenta que en 2025 la participación de Ecopetrol en la oferta de GLP decayó al 53%, se dio impulso a las importaciones hasta representar cerca del 39% y en algunos picos hasta el 43%.</w:t>
      </w:r>
    </w:p>
    <w:p w14:paraId="5C7C6E59" w14:textId="1C3D6461" w:rsidR="00AD2DF9" w:rsidRDefault="00AD2DF9" w:rsidP="002F1961">
      <w:pPr>
        <w:spacing w:before="100" w:beforeAutospacing="1" w:after="100" w:afterAutospacing="1" w:line="360" w:lineRule="auto"/>
      </w:pPr>
      <w:r w:rsidRPr="008F47A4">
        <w:t>Actual</w:t>
      </w:r>
      <w:r>
        <w:t>mente,</w:t>
      </w:r>
      <w:r w:rsidRPr="008F47A4">
        <w:t xml:space="preserve"> </w:t>
      </w:r>
      <w:r>
        <w:t>e</w:t>
      </w:r>
      <w:r w:rsidRPr="008F47A4">
        <w:t xml:space="preserve">l país depende en gran medida del mercado externo para cubrir el abastecimiento, alcanzando </w:t>
      </w:r>
      <w:r>
        <w:t xml:space="preserve">hasta </w:t>
      </w:r>
      <w:r w:rsidRPr="008F47A4">
        <w:t>el 50% de la demanda nacional.</w:t>
      </w:r>
    </w:p>
    <w:p w14:paraId="0DD89B6E" w14:textId="1F2C0531" w:rsidR="00C52BF0" w:rsidRPr="003F30A8" w:rsidRDefault="00C52BF0" w:rsidP="002F1961">
      <w:pPr>
        <w:pStyle w:val="Descripcin"/>
        <w:keepNext/>
        <w:spacing w:before="100" w:beforeAutospacing="1" w:after="100" w:afterAutospacing="1" w:line="360" w:lineRule="auto"/>
        <w:jc w:val="center"/>
        <w:rPr>
          <w:b w:val="0"/>
        </w:rPr>
      </w:pPr>
      <w:bookmarkStart w:id="123" w:name="_Toc235118570"/>
      <w:r w:rsidRPr="003F30A8">
        <w:rPr>
          <w:b w:val="0"/>
          <w:lang w:val="es-ES"/>
        </w:rPr>
        <w:t xml:space="preserve">Figura </w:t>
      </w:r>
      <w:r w:rsidRPr="003F30A8">
        <w:rPr>
          <w:b w:val="0"/>
          <w:lang w:val="es-ES"/>
        </w:rPr>
        <w:fldChar w:fldCharType="begin"/>
      </w:r>
      <w:r w:rsidRPr="003F30A8">
        <w:rPr>
          <w:b w:val="0"/>
          <w:lang w:val="es-ES"/>
        </w:rPr>
        <w:instrText xml:space="preserve"> SEQ Figura \* ARABIC </w:instrText>
      </w:r>
      <w:r w:rsidRPr="003F30A8">
        <w:rPr>
          <w:b w:val="0"/>
          <w:lang w:val="es-ES"/>
        </w:rPr>
        <w:fldChar w:fldCharType="separate"/>
      </w:r>
      <w:r w:rsidR="003F30A8">
        <w:rPr>
          <w:b w:val="0"/>
          <w:bCs/>
          <w:noProof/>
          <w:lang w:val="es-ES"/>
        </w:rPr>
        <w:t>30</w:t>
      </w:r>
      <w:r w:rsidRPr="003F30A8">
        <w:rPr>
          <w:b w:val="0"/>
          <w:lang w:val="es-ES"/>
        </w:rPr>
        <w:fldChar w:fldCharType="end"/>
      </w:r>
      <w:r w:rsidRPr="003F30A8">
        <w:rPr>
          <w:b w:val="0"/>
          <w:lang w:val="es-ES"/>
        </w:rPr>
        <w:t xml:space="preserve">. </w:t>
      </w:r>
      <w:r>
        <w:rPr>
          <w:b w:val="0"/>
          <w:lang w:val="es-ES"/>
        </w:rPr>
        <w:t xml:space="preserve">Oferta </w:t>
      </w:r>
      <w:r w:rsidR="00BB451B">
        <w:rPr>
          <w:b w:val="0"/>
          <w:lang w:val="es-ES"/>
        </w:rPr>
        <w:t xml:space="preserve">Total </w:t>
      </w:r>
      <w:r>
        <w:rPr>
          <w:b w:val="0"/>
          <w:lang w:val="es-ES"/>
        </w:rPr>
        <w:t xml:space="preserve">de GLP </w:t>
      </w:r>
      <w:r w:rsidR="00BB451B">
        <w:rPr>
          <w:b w:val="0"/>
          <w:lang w:val="es-ES"/>
        </w:rPr>
        <w:t>en Colombia</w:t>
      </w:r>
      <w:r>
        <w:rPr>
          <w:b w:val="0"/>
          <w:lang w:val="es-ES"/>
        </w:rPr>
        <w:t xml:space="preserve"> (kg/año)</w:t>
      </w:r>
      <w:r w:rsidRPr="5FAE69B6">
        <w:rPr>
          <w:b w:val="0"/>
          <w:lang w:val="es-ES"/>
        </w:rPr>
        <w:t>.</w:t>
      </w:r>
      <w:bookmarkEnd w:id="123"/>
    </w:p>
    <w:p w14:paraId="71DAD1EF" w14:textId="77777777" w:rsidR="00C52BF0" w:rsidRDefault="00C52BF0" w:rsidP="003F30A8">
      <w:pPr>
        <w:spacing w:before="100" w:beforeAutospacing="1" w:after="100" w:afterAutospacing="1" w:line="360" w:lineRule="auto"/>
        <w:jc w:val="center"/>
      </w:pPr>
      <w:r>
        <w:rPr>
          <w:noProof/>
        </w:rPr>
        <w:drawing>
          <wp:inline distT="0" distB="0" distL="0" distR="0" wp14:anchorId="36A05A05" wp14:editId="4A5625C1">
            <wp:extent cx="4252252" cy="2009967"/>
            <wp:effectExtent l="0" t="0" r="0" b="0"/>
            <wp:docPr id="19614308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430858" name="Imagen 1961430858"/>
                    <pic:cNvPicPr/>
                  </pic:nvPicPr>
                  <pic:blipFill rotWithShape="1">
                    <a:blip r:embed="rId65">
                      <a:extLst>
                        <a:ext uri="{28A0092B-C50C-407E-A947-70E740481C1C}">
                          <a14:useLocalDpi xmlns:a14="http://schemas.microsoft.com/office/drawing/2010/main"/>
                        </a:ext>
                      </a:extLst>
                    </a:blip>
                    <a:srcRect t="5019"/>
                    <a:stretch>
                      <a:fillRect/>
                    </a:stretch>
                  </pic:blipFill>
                  <pic:spPr bwMode="auto">
                    <a:xfrm>
                      <a:off x="0" y="0"/>
                      <a:ext cx="4252252" cy="2009967"/>
                    </a:xfrm>
                    <a:prstGeom prst="rect">
                      <a:avLst/>
                    </a:prstGeom>
                    <a:ln>
                      <a:noFill/>
                    </a:ln>
                  </pic:spPr>
                </pic:pic>
              </a:graphicData>
            </a:graphic>
          </wp:inline>
        </w:drawing>
      </w:r>
    </w:p>
    <w:p w14:paraId="4C54B198" w14:textId="264F8E21" w:rsidR="007023C5" w:rsidRDefault="00C52BF0" w:rsidP="00AD2DF9">
      <w:pPr>
        <w:spacing w:before="100" w:beforeAutospacing="1" w:after="100" w:afterAutospacing="1" w:line="360" w:lineRule="auto"/>
        <w:jc w:val="center"/>
      </w:pPr>
      <w:r w:rsidRPr="00900EEF">
        <w:rPr>
          <w:sz w:val="22"/>
          <w:szCs w:val="18"/>
        </w:rPr>
        <w:t>Fuente: SUI. Elaboración Propia</w:t>
      </w:r>
    </w:p>
    <w:p w14:paraId="14A9C583" w14:textId="34C18CE5" w:rsidR="004E1850" w:rsidRPr="00900EEF" w:rsidRDefault="004E1850" w:rsidP="002F1961">
      <w:pPr>
        <w:pStyle w:val="Descripcin"/>
        <w:keepNext/>
        <w:spacing w:before="100" w:beforeAutospacing="1" w:after="100" w:afterAutospacing="1" w:line="360" w:lineRule="auto"/>
        <w:jc w:val="center"/>
        <w:rPr>
          <w:b w:val="0"/>
        </w:rPr>
      </w:pPr>
      <w:bookmarkStart w:id="124" w:name="_Ref235110714"/>
      <w:bookmarkStart w:id="125" w:name="_Toc235118571"/>
      <w:r w:rsidRPr="00900EEF">
        <w:rPr>
          <w:b w:val="0"/>
          <w:lang w:val="es-ES"/>
        </w:rPr>
        <w:lastRenderedPageBreak/>
        <w:t xml:space="preserve">Figura </w:t>
      </w:r>
      <w:r w:rsidRPr="00900EEF">
        <w:rPr>
          <w:b w:val="0"/>
          <w:lang w:val="es-ES"/>
        </w:rPr>
        <w:fldChar w:fldCharType="begin"/>
      </w:r>
      <w:r w:rsidRPr="00900EEF">
        <w:rPr>
          <w:b w:val="0"/>
          <w:lang w:val="es-ES"/>
        </w:rPr>
        <w:instrText xml:space="preserve"> SEQ Figura \* ARABIC </w:instrText>
      </w:r>
      <w:r w:rsidRPr="00900EEF">
        <w:rPr>
          <w:b w:val="0"/>
          <w:lang w:val="es-ES"/>
        </w:rPr>
        <w:fldChar w:fldCharType="separate"/>
      </w:r>
      <w:r w:rsidR="00900EEF" w:rsidRPr="00900EEF">
        <w:rPr>
          <w:b w:val="0"/>
          <w:bCs/>
          <w:noProof/>
          <w:lang w:val="es-ES"/>
        </w:rPr>
        <w:t>31</w:t>
      </w:r>
      <w:r w:rsidRPr="00900EEF">
        <w:rPr>
          <w:b w:val="0"/>
          <w:lang w:val="es-ES"/>
        </w:rPr>
        <w:fldChar w:fldCharType="end"/>
      </w:r>
      <w:bookmarkEnd w:id="124"/>
      <w:r w:rsidRPr="00900EEF">
        <w:rPr>
          <w:b w:val="0"/>
          <w:lang w:val="es-ES"/>
        </w:rPr>
        <w:t xml:space="preserve">. </w:t>
      </w:r>
      <w:r>
        <w:rPr>
          <w:b w:val="0"/>
          <w:lang w:val="es-ES"/>
        </w:rPr>
        <w:t xml:space="preserve">Oferta </w:t>
      </w:r>
      <w:r w:rsidR="00E17CB9">
        <w:rPr>
          <w:b w:val="0"/>
          <w:lang w:val="es-ES"/>
        </w:rPr>
        <w:t xml:space="preserve">GLP </w:t>
      </w:r>
      <w:r w:rsidR="00DA4983">
        <w:rPr>
          <w:b w:val="0"/>
          <w:lang w:val="es-ES"/>
        </w:rPr>
        <w:t>Ecopetrol</w:t>
      </w:r>
      <w:r w:rsidR="00E17CB9">
        <w:rPr>
          <w:b w:val="0"/>
          <w:lang w:val="es-ES"/>
        </w:rPr>
        <w:t xml:space="preserve"> </w:t>
      </w:r>
      <w:r w:rsidR="003C4478">
        <w:rPr>
          <w:b w:val="0"/>
          <w:lang w:val="es-ES"/>
        </w:rPr>
        <w:t>e Importacio</w:t>
      </w:r>
      <w:r w:rsidR="00C862D0">
        <w:rPr>
          <w:b w:val="0"/>
          <w:lang w:val="es-ES"/>
        </w:rPr>
        <w:t>nes (kg/año)</w:t>
      </w:r>
      <w:bookmarkEnd w:id="125"/>
      <w:r w:rsidR="00E17CB9">
        <w:rPr>
          <w:b w:val="0"/>
          <w:lang w:val="es-ES"/>
        </w:rPr>
        <w:t xml:space="preserve"> </w:t>
      </w:r>
    </w:p>
    <w:p w14:paraId="500ADF65" w14:textId="77777777" w:rsidR="004E1850" w:rsidRDefault="004E1850" w:rsidP="002F1961">
      <w:pPr>
        <w:spacing w:before="100" w:beforeAutospacing="1" w:after="100" w:afterAutospacing="1" w:line="360" w:lineRule="auto"/>
        <w:jc w:val="center"/>
      </w:pPr>
      <w:r>
        <w:rPr>
          <w:noProof/>
        </w:rPr>
        <w:drawing>
          <wp:inline distT="0" distB="0" distL="0" distR="0" wp14:anchorId="5F71ECF3" wp14:editId="1E5A5742">
            <wp:extent cx="4748463" cy="3042139"/>
            <wp:effectExtent l="0" t="0" r="0" b="6350"/>
            <wp:docPr id="102358702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587028" name="Imagen 1023587028"/>
                    <pic:cNvPicPr/>
                  </pic:nvPicPr>
                  <pic:blipFill rotWithShape="1">
                    <a:blip r:embed="rId66">
                      <a:extLst>
                        <a:ext uri="{28A0092B-C50C-407E-A947-70E740481C1C}">
                          <a14:useLocalDpi xmlns:a14="http://schemas.microsoft.com/office/drawing/2010/main" val="0"/>
                        </a:ext>
                      </a:extLst>
                    </a:blip>
                    <a:srcRect t="5261"/>
                    <a:stretch>
                      <a:fillRect/>
                    </a:stretch>
                  </pic:blipFill>
                  <pic:spPr bwMode="auto">
                    <a:xfrm>
                      <a:off x="0" y="0"/>
                      <a:ext cx="4755362" cy="3046559"/>
                    </a:xfrm>
                    <a:prstGeom prst="rect">
                      <a:avLst/>
                    </a:prstGeom>
                    <a:ln>
                      <a:noFill/>
                    </a:ln>
                    <a:extLst>
                      <a:ext uri="{53640926-AAD7-44D8-BBD7-CCE9431645EC}">
                        <a14:shadowObscured xmlns:a14="http://schemas.microsoft.com/office/drawing/2010/main"/>
                      </a:ext>
                    </a:extLst>
                  </pic:spPr>
                </pic:pic>
              </a:graphicData>
            </a:graphic>
          </wp:inline>
        </w:drawing>
      </w:r>
    </w:p>
    <w:p w14:paraId="4C29175B" w14:textId="77777777" w:rsidR="004E1850" w:rsidRPr="00EF365F" w:rsidRDefault="004E1850" w:rsidP="002F1961">
      <w:pPr>
        <w:spacing w:before="100" w:beforeAutospacing="1" w:after="100" w:afterAutospacing="1" w:line="360" w:lineRule="auto"/>
        <w:jc w:val="center"/>
        <w:rPr>
          <w:sz w:val="28"/>
          <w:szCs w:val="22"/>
        </w:rPr>
      </w:pPr>
      <w:r w:rsidRPr="00EF365F">
        <w:rPr>
          <w:sz w:val="22"/>
          <w:szCs w:val="18"/>
        </w:rPr>
        <w:t>Fuente: SUI. Elaboración Propia</w:t>
      </w:r>
    </w:p>
    <w:p w14:paraId="7064AC29" w14:textId="6DF42DA9" w:rsidR="004D7953" w:rsidRDefault="004D7953" w:rsidP="00EF365F">
      <w:pPr>
        <w:pStyle w:val="Ttulo3"/>
        <w:tabs>
          <w:tab w:val="left" w:pos="1134"/>
        </w:tabs>
        <w:spacing w:before="100" w:beforeAutospacing="1" w:after="100" w:afterAutospacing="1"/>
        <w:ind w:left="851" w:hanging="851"/>
      </w:pPr>
      <w:bookmarkStart w:id="126" w:name="_Toc235128338"/>
      <w:r>
        <w:t>Oferta histórica</w:t>
      </w:r>
      <w:bookmarkEnd w:id="126"/>
    </w:p>
    <w:p w14:paraId="7368E6A8" w14:textId="58BDC293" w:rsidR="006D5F93" w:rsidRPr="006D5F93" w:rsidRDefault="006D5F93" w:rsidP="006D5F93">
      <w:pPr>
        <w:spacing w:before="100" w:beforeAutospacing="1" w:after="100" w:afterAutospacing="1" w:line="360" w:lineRule="auto"/>
      </w:pPr>
      <w:r w:rsidRPr="006D5F93">
        <w:t>La oferta histórica de GLP permite identificar la evolución del abastecimiento del mercado colombiano y las principales tendencias registradas a lo largo del tiempo. En esta sección se presentan los balances históricos de oferta y su comportamiento</w:t>
      </w:r>
    </w:p>
    <w:p w14:paraId="612D9B67" w14:textId="564B3B2C" w:rsidR="004D7953" w:rsidRPr="00842608" w:rsidRDefault="008146CC" w:rsidP="00EF365F">
      <w:pPr>
        <w:pStyle w:val="Ttulo4"/>
        <w:spacing w:before="100" w:beforeAutospacing="1" w:after="100" w:afterAutospacing="1" w:line="360" w:lineRule="auto"/>
        <w:ind w:left="1418" w:hanging="1418"/>
      </w:pPr>
      <w:r w:rsidRPr="00842608">
        <w:t>Balance oferta-demanda</w:t>
      </w:r>
    </w:p>
    <w:p w14:paraId="181EFE31" w14:textId="6A5F8E29" w:rsidR="002177FD" w:rsidRDefault="00804DED" w:rsidP="002F1961">
      <w:pPr>
        <w:spacing w:before="100" w:beforeAutospacing="1" w:after="100" w:afterAutospacing="1" w:line="360" w:lineRule="auto"/>
        <w:rPr>
          <w:lang w:val="es-ES"/>
        </w:rPr>
      </w:pPr>
      <w:r w:rsidRPr="37A77A19">
        <w:rPr>
          <w:lang w:val="es-ES"/>
        </w:rPr>
        <w:t>En Colombia, c</w:t>
      </w:r>
      <w:r w:rsidR="00352F23" w:rsidRPr="37A77A19">
        <w:rPr>
          <w:lang w:val="es-ES"/>
        </w:rPr>
        <w:t xml:space="preserve">omo se observa en la </w:t>
      </w:r>
      <w:r w:rsidR="00EF365F" w:rsidRPr="00EF365F">
        <w:rPr>
          <w:lang w:val="es-ES"/>
        </w:rPr>
        <w:fldChar w:fldCharType="begin"/>
      </w:r>
      <w:r w:rsidR="00EF365F" w:rsidRPr="00EF365F">
        <w:rPr>
          <w:lang w:val="es-ES"/>
        </w:rPr>
        <w:instrText xml:space="preserve"> REF _Ref235110768 \h  \* MERGEFORMAT </w:instrText>
      </w:r>
      <w:r w:rsidR="00EF365F" w:rsidRPr="00EF365F">
        <w:rPr>
          <w:lang w:val="es-ES"/>
        </w:rPr>
      </w:r>
      <w:r w:rsidR="00EF365F" w:rsidRPr="00EF365F">
        <w:rPr>
          <w:lang w:val="es-ES"/>
        </w:rPr>
        <w:fldChar w:fldCharType="separate"/>
      </w:r>
      <w:r w:rsidR="00EF365F" w:rsidRPr="00EF365F">
        <w:rPr>
          <w:lang w:val="es-ES"/>
        </w:rPr>
        <w:t xml:space="preserve">Figura </w:t>
      </w:r>
      <w:r w:rsidR="00EF365F" w:rsidRPr="00EF365F">
        <w:rPr>
          <w:noProof/>
          <w:lang w:val="es-ES"/>
        </w:rPr>
        <w:t>32</w:t>
      </w:r>
      <w:r w:rsidR="00EF365F" w:rsidRPr="00EF365F">
        <w:rPr>
          <w:lang w:val="es-ES"/>
        </w:rPr>
        <w:fldChar w:fldCharType="end"/>
      </w:r>
      <w:r w:rsidRPr="00EF365F">
        <w:rPr>
          <w:lang w:val="es-ES"/>
        </w:rPr>
        <w:t>,</w:t>
      </w:r>
      <w:r w:rsidRPr="37A77A19">
        <w:rPr>
          <w:lang w:val="es-ES"/>
        </w:rPr>
        <w:t xml:space="preserve"> la oferta de GLP ha pasado de ser predominantemente doméstica y basada en producción local a un esquema más mixto, donde la producción </w:t>
      </w:r>
      <w:r w:rsidR="0022353E" w:rsidRPr="37A77A19">
        <w:rPr>
          <w:lang w:val="es-ES"/>
        </w:rPr>
        <w:t xml:space="preserve">nacional sigue siendo </w:t>
      </w:r>
      <w:r w:rsidR="00F600EC" w:rsidRPr="37A77A19">
        <w:rPr>
          <w:lang w:val="es-ES"/>
        </w:rPr>
        <w:t>clave,</w:t>
      </w:r>
      <w:r w:rsidR="0022353E" w:rsidRPr="37A77A19">
        <w:rPr>
          <w:lang w:val="es-ES"/>
        </w:rPr>
        <w:t xml:space="preserve"> pero las importaciones han ganado peso desde el año 2016</w:t>
      </w:r>
      <w:r w:rsidR="000A1FA3" w:rsidRPr="37A77A19">
        <w:rPr>
          <w:lang w:val="es-ES"/>
        </w:rPr>
        <w:t>, lo que marca un cambio estr</w:t>
      </w:r>
      <w:r w:rsidR="000A456A" w:rsidRPr="37A77A19">
        <w:rPr>
          <w:lang w:val="es-ES"/>
        </w:rPr>
        <w:t>uctural e</w:t>
      </w:r>
      <w:r w:rsidR="00F356CF" w:rsidRPr="37A77A19">
        <w:rPr>
          <w:lang w:val="es-ES"/>
        </w:rPr>
        <w:t>n la oferta</w:t>
      </w:r>
      <w:r w:rsidR="00A3283B" w:rsidRPr="37A77A19">
        <w:rPr>
          <w:lang w:val="es-ES"/>
        </w:rPr>
        <w:t>.</w:t>
      </w:r>
    </w:p>
    <w:p w14:paraId="3F287BEA" w14:textId="68F043D0" w:rsidR="003061CF" w:rsidRPr="00EF365F" w:rsidRDefault="00883D4F" w:rsidP="002F1961">
      <w:pPr>
        <w:pStyle w:val="Descripcin"/>
        <w:keepNext/>
        <w:spacing w:before="100" w:beforeAutospacing="1" w:after="100" w:afterAutospacing="1" w:line="360" w:lineRule="auto"/>
        <w:jc w:val="center"/>
        <w:rPr>
          <w:b w:val="0"/>
        </w:rPr>
      </w:pPr>
      <w:bookmarkStart w:id="127" w:name="_Ref235110768"/>
      <w:bookmarkStart w:id="128" w:name="_Toc235118572"/>
      <w:r w:rsidRPr="00EF365F">
        <w:rPr>
          <w:b w:val="0"/>
          <w:lang w:val="es-ES"/>
        </w:rPr>
        <w:lastRenderedPageBreak/>
        <w:t xml:space="preserve">Figura </w:t>
      </w:r>
      <w:r w:rsidRPr="00EF365F">
        <w:rPr>
          <w:b w:val="0"/>
          <w:lang w:val="es-ES"/>
        </w:rPr>
        <w:fldChar w:fldCharType="begin"/>
      </w:r>
      <w:r w:rsidRPr="00EF365F">
        <w:rPr>
          <w:b w:val="0"/>
          <w:lang w:val="es-ES"/>
        </w:rPr>
        <w:instrText xml:space="preserve"> SEQ Figura \* ARABIC </w:instrText>
      </w:r>
      <w:r w:rsidRPr="00EF365F">
        <w:rPr>
          <w:b w:val="0"/>
          <w:lang w:val="es-ES"/>
        </w:rPr>
        <w:fldChar w:fldCharType="separate"/>
      </w:r>
      <w:r w:rsidR="00EF365F">
        <w:rPr>
          <w:b w:val="0"/>
          <w:bCs/>
          <w:noProof/>
          <w:lang w:val="es-ES"/>
        </w:rPr>
        <w:t>32</w:t>
      </w:r>
      <w:r w:rsidRPr="00EF365F">
        <w:rPr>
          <w:b w:val="0"/>
          <w:lang w:val="es-ES"/>
        </w:rPr>
        <w:fldChar w:fldCharType="end"/>
      </w:r>
      <w:bookmarkEnd w:id="127"/>
      <w:r w:rsidR="003061CF" w:rsidRPr="00EF365F">
        <w:rPr>
          <w:b w:val="0"/>
          <w:lang w:val="es-ES"/>
        </w:rPr>
        <w:t xml:space="preserve">. </w:t>
      </w:r>
      <w:r w:rsidR="003061CF">
        <w:rPr>
          <w:b w:val="0"/>
          <w:lang w:val="es-ES"/>
        </w:rPr>
        <w:t>Oferta de GLP Anual (kg/año)</w:t>
      </w:r>
      <w:bookmarkEnd w:id="128"/>
    </w:p>
    <w:p w14:paraId="0F2695CE" w14:textId="77777777" w:rsidR="0099139D" w:rsidRDefault="003061CF" w:rsidP="002F1961">
      <w:pPr>
        <w:spacing w:before="100" w:beforeAutospacing="1" w:after="100" w:afterAutospacing="1" w:line="360" w:lineRule="auto"/>
        <w:jc w:val="center"/>
      </w:pPr>
      <w:r>
        <w:rPr>
          <w:noProof/>
        </w:rPr>
        <w:drawing>
          <wp:inline distT="0" distB="0" distL="0" distR="0" wp14:anchorId="7DC53727" wp14:editId="220561B2">
            <wp:extent cx="5448300" cy="2350143"/>
            <wp:effectExtent l="0" t="0" r="0" b="0"/>
            <wp:docPr id="211478124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781249" name="Imagen 2114781249"/>
                    <pic:cNvPicPr/>
                  </pic:nvPicPr>
                  <pic:blipFill rotWithShape="1">
                    <a:blip r:embed="rId67">
                      <a:extLst>
                        <a:ext uri="{28A0092B-C50C-407E-A947-70E740481C1C}">
                          <a14:useLocalDpi xmlns:a14="http://schemas.microsoft.com/office/drawing/2010/main" val="0"/>
                        </a:ext>
                      </a:extLst>
                    </a:blip>
                    <a:srcRect t="7935"/>
                    <a:stretch>
                      <a:fillRect/>
                    </a:stretch>
                  </pic:blipFill>
                  <pic:spPr bwMode="auto">
                    <a:xfrm>
                      <a:off x="0" y="0"/>
                      <a:ext cx="5448580" cy="2350264"/>
                    </a:xfrm>
                    <a:prstGeom prst="rect">
                      <a:avLst/>
                    </a:prstGeom>
                    <a:ln>
                      <a:noFill/>
                    </a:ln>
                    <a:extLst>
                      <a:ext uri="{53640926-AAD7-44D8-BBD7-CCE9431645EC}">
                        <a14:shadowObscured xmlns:a14="http://schemas.microsoft.com/office/drawing/2010/main"/>
                      </a:ext>
                    </a:extLst>
                  </pic:spPr>
                </pic:pic>
              </a:graphicData>
            </a:graphic>
          </wp:inline>
        </w:drawing>
      </w:r>
    </w:p>
    <w:p w14:paraId="564DB27D" w14:textId="3E083CB3" w:rsidR="0099139D" w:rsidRPr="00EF365F" w:rsidRDefault="0099139D" w:rsidP="002F1961">
      <w:pPr>
        <w:spacing w:before="100" w:beforeAutospacing="1" w:after="100" w:afterAutospacing="1" w:line="360" w:lineRule="auto"/>
        <w:jc w:val="center"/>
        <w:rPr>
          <w:sz w:val="22"/>
          <w:szCs w:val="18"/>
        </w:rPr>
      </w:pPr>
      <w:r w:rsidRPr="00EF365F">
        <w:rPr>
          <w:sz w:val="22"/>
          <w:szCs w:val="18"/>
        </w:rPr>
        <w:t>Fuente: SUI. Elaboración</w:t>
      </w:r>
      <w:r w:rsidR="00395EE9" w:rsidRPr="00EF365F">
        <w:rPr>
          <w:sz w:val="22"/>
          <w:szCs w:val="18"/>
        </w:rPr>
        <w:t>:</w:t>
      </w:r>
      <w:r w:rsidRPr="00EF365F">
        <w:rPr>
          <w:sz w:val="22"/>
          <w:szCs w:val="18"/>
        </w:rPr>
        <w:t xml:space="preserve"> </w:t>
      </w:r>
      <w:r w:rsidR="00395EE9" w:rsidRPr="00EF365F">
        <w:rPr>
          <w:sz w:val="22"/>
          <w:szCs w:val="18"/>
        </w:rPr>
        <w:t>CREG</w:t>
      </w:r>
    </w:p>
    <w:p w14:paraId="2DAF97A9" w14:textId="7D51DBC0" w:rsidR="004D7953" w:rsidRPr="00842608" w:rsidRDefault="008146CC" w:rsidP="00EF365F">
      <w:pPr>
        <w:pStyle w:val="Ttulo4"/>
        <w:spacing w:before="100" w:beforeAutospacing="1" w:after="100" w:afterAutospacing="1" w:line="360" w:lineRule="auto"/>
        <w:ind w:hanging="790"/>
      </w:pPr>
      <w:r w:rsidRPr="00842608">
        <w:t>Tendencias</w:t>
      </w:r>
    </w:p>
    <w:p w14:paraId="107B6BB6" w14:textId="77777777" w:rsidR="00B577BE" w:rsidRDefault="00B577BE" w:rsidP="002F1961">
      <w:pPr>
        <w:spacing w:before="100" w:beforeAutospacing="1" w:after="100" w:afterAutospacing="1" w:line="360" w:lineRule="auto"/>
        <w:rPr>
          <w:lang w:val="es-ES"/>
        </w:rPr>
      </w:pPr>
      <w:r w:rsidRPr="00B577BE">
        <w:rPr>
          <w:lang w:val="es-ES"/>
        </w:rPr>
        <w:t>Tal y como se ha observado en los apartes anteriores, la oferta de GLP en Colombia se encuentra en una transición histórica debido a la disminución de la producción nacional en campos tradicionales. Las importaciones ya representan más del 40% de la demanda, lo que ha detonado inversiones masivas en infraestructura portuaria para garantizar el abastecimiento del país.</w:t>
      </w:r>
    </w:p>
    <w:p w14:paraId="62F1281A" w14:textId="2252A907" w:rsidR="000D4687" w:rsidRDefault="00B577BE" w:rsidP="002F1961">
      <w:pPr>
        <w:spacing w:before="100" w:beforeAutospacing="1" w:after="100" w:afterAutospacing="1" w:line="360" w:lineRule="auto"/>
        <w:rPr>
          <w:lang w:val="es-ES"/>
        </w:rPr>
      </w:pPr>
      <w:r w:rsidRPr="00B577BE">
        <w:rPr>
          <w:lang w:val="es-ES"/>
        </w:rPr>
        <w:t xml:space="preserve">Las tendencias clave que marcan el mercado </w:t>
      </w:r>
      <w:r w:rsidR="00EF7B9B">
        <w:rPr>
          <w:lang w:val="es-ES"/>
        </w:rPr>
        <w:t xml:space="preserve">actual del GLP </w:t>
      </w:r>
      <w:r w:rsidRPr="00B577BE">
        <w:rPr>
          <w:lang w:val="es-ES"/>
        </w:rPr>
        <w:t>son:</w:t>
      </w:r>
    </w:p>
    <w:p w14:paraId="7D1AF3C4" w14:textId="46B25A24" w:rsidR="000D4687" w:rsidRDefault="00B577BE" w:rsidP="002F1961">
      <w:pPr>
        <w:pStyle w:val="Prrafodelista"/>
        <w:numPr>
          <w:ilvl w:val="0"/>
          <w:numId w:val="5"/>
        </w:numPr>
        <w:spacing w:before="100" w:beforeAutospacing="1" w:after="100" w:afterAutospacing="1" w:line="360" w:lineRule="auto"/>
        <w:rPr>
          <w:lang w:val="es-ES"/>
        </w:rPr>
      </w:pPr>
      <w:r w:rsidRPr="00B577BE">
        <w:rPr>
          <w:lang w:val="es-ES"/>
        </w:rPr>
        <w:t>Migración industrial por déficit de gas: Ante el aumento de precios y la menor confiabilidad del gas natural, el sector industrial y comercial ha migrado aceleradamente al GLP, disparando su consumo hasta en un 40</w:t>
      </w:r>
      <w:r w:rsidRPr="000D4687">
        <w:rPr>
          <w:lang w:val="es-ES"/>
        </w:rPr>
        <w:t>%.</w:t>
      </w:r>
    </w:p>
    <w:p w14:paraId="2D1CD8B5" w14:textId="3FEA088F" w:rsidR="000D4687" w:rsidRDefault="00B577BE" w:rsidP="002F1961">
      <w:pPr>
        <w:pStyle w:val="Prrafodelista"/>
        <w:numPr>
          <w:ilvl w:val="0"/>
          <w:numId w:val="5"/>
        </w:numPr>
        <w:spacing w:before="100" w:beforeAutospacing="1" w:after="100" w:afterAutospacing="1" w:line="360" w:lineRule="auto"/>
        <w:rPr>
          <w:lang w:val="es-ES"/>
        </w:rPr>
      </w:pPr>
      <w:r w:rsidRPr="00B577BE">
        <w:rPr>
          <w:lang w:val="es-ES"/>
        </w:rPr>
        <w:t xml:space="preserve">Nueva infraestructura de importación: Para depender menos de los campos </w:t>
      </w:r>
      <w:r w:rsidR="00FF3AAA">
        <w:rPr>
          <w:lang w:val="es-ES"/>
        </w:rPr>
        <w:t>nacionales</w:t>
      </w:r>
      <w:r w:rsidRPr="00B577BE">
        <w:rPr>
          <w:lang w:val="es-ES"/>
        </w:rPr>
        <w:t xml:space="preserve"> en declive, se están desarrollando terminales </w:t>
      </w:r>
      <w:r w:rsidR="00175DD4">
        <w:rPr>
          <w:lang w:val="es-ES"/>
        </w:rPr>
        <w:t xml:space="preserve">de importación </w:t>
      </w:r>
      <w:r w:rsidRPr="00B577BE">
        <w:rPr>
          <w:lang w:val="es-ES"/>
        </w:rPr>
        <w:t xml:space="preserve">estratégicos. </w:t>
      </w:r>
    </w:p>
    <w:p w14:paraId="1C9750DB" w14:textId="583B3B7D" w:rsidR="00FB4549" w:rsidRDefault="00B577BE" w:rsidP="002F1961">
      <w:pPr>
        <w:pStyle w:val="Prrafodelista"/>
        <w:numPr>
          <w:ilvl w:val="0"/>
          <w:numId w:val="5"/>
        </w:numPr>
        <w:spacing w:before="100" w:beforeAutospacing="1" w:after="100" w:afterAutospacing="1" w:line="360" w:lineRule="auto"/>
      </w:pPr>
      <w:r w:rsidRPr="00B577BE">
        <w:rPr>
          <w:lang w:val="es-ES"/>
        </w:rPr>
        <w:t>Estabilidad frente a la crisis climática: El GLP está tomando relevancia como energía de respaldo durante fenómenos como el Niño y en Zonas No Interconectadas (ZNI), consolidándose como un eslabón fundamental para la seguridad energética.</w:t>
      </w:r>
    </w:p>
    <w:p w14:paraId="003BAA08" w14:textId="4340BFEB" w:rsidR="00DB4BA5" w:rsidRDefault="654A6E4A" w:rsidP="002F1961">
      <w:pPr>
        <w:pStyle w:val="Prrafodelista"/>
        <w:numPr>
          <w:ilvl w:val="0"/>
          <w:numId w:val="5"/>
        </w:numPr>
        <w:spacing w:before="100" w:beforeAutospacing="1" w:after="100" w:afterAutospacing="1" w:line="360" w:lineRule="auto"/>
      </w:pPr>
      <w:r w:rsidRPr="0027052B">
        <w:rPr>
          <w:rFonts w:eastAsia="Arial" w:cs="Arial"/>
          <w:szCs w:val="24"/>
          <w:lang w:val="es-ES"/>
        </w:rPr>
        <w:lastRenderedPageBreak/>
        <w:t>Descarbonización</w:t>
      </w:r>
      <w:r w:rsidR="00447FCD" w:rsidRPr="0027052B">
        <w:rPr>
          <w:rFonts w:eastAsia="Arial" w:cs="Arial"/>
          <w:szCs w:val="24"/>
          <w:lang w:val="es-ES"/>
        </w:rPr>
        <w:t>:</w:t>
      </w:r>
      <w:r w:rsidRPr="0027052B">
        <w:rPr>
          <w:rFonts w:eastAsia="Arial" w:cs="Arial"/>
          <w:szCs w:val="24"/>
          <w:lang w:val="es-ES"/>
        </w:rPr>
        <w:t xml:space="preserve"> El GLP como combustible de transición. </w:t>
      </w:r>
    </w:p>
    <w:p w14:paraId="0F8EBA1F" w14:textId="3AD5C2AF" w:rsidR="00DB4BA5" w:rsidRDefault="654A6E4A" w:rsidP="002F1961">
      <w:pPr>
        <w:pStyle w:val="Prrafodelista"/>
        <w:numPr>
          <w:ilvl w:val="0"/>
          <w:numId w:val="5"/>
        </w:numPr>
        <w:spacing w:before="100" w:beforeAutospacing="1" w:after="100" w:afterAutospacing="1" w:line="360" w:lineRule="auto"/>
      </w:pPr>
      <w:r w:rsidRPr="0027052B">
        <w:rPr>
          <w:lang w:val="es-ES"/>
        </w:rPr>
        <w:t>Integración con FNCER</w:t>
      </w:r>
      <w:r w:rsidR="00447FCD" w:rsidRPr="0027052B">
        <w:rPr>
          <w:lang w:val="es-ES"/>
        </w:rPr>
        <w:t>:</w:t>
      </w:r>
      <w:r w:rsidRPr="0027052B">
        <w:rPr>
          <w:lang w:val="es-ES"/>
        </w:rPr>
        <w:t xml:space="preserve"> GLP como respaldo para sistemas solares</w:t>
      </w:r>
      <w:r>
        <w:t>.</w:t>
      </w:r>
    </w:p>
    <w:p w14:paraId="496C1C25" w14:textId="50DF3F91" w:rsidR="00DB4BA5" w:rsidRPr="0027052B" w:rsidRDefault="654A6E4A" w:rsidP="002F1961">
      <w:pPr>
        <w:pStyle w:val="Prrafodelista"/>
        <w:numPr>
          <w:ilvl w:val="0"/>
          <w:numId w:val="5"/>
        </w:numPr>
        <w:spacing w:before="100" w:beforeAutospacing="1" w:after="100" w:afterAutospacing="1" w:line="360" w:lineRule="auto"/>
      </w:pPr>
      <w:r w:rsidRPr="0027052B">
        <w:t>Electrificación</w:t>
      </w:r>
      <w:r w:rsidR="00F57A6B" w:rsidRPr="0027052B">
        <w:t>:</w:t>
      </w:r>
      <w:r w:rsidRPr="0027052B">
        <w:t xml:space="preserve"> Competencia entre GLP y electricidad.</w:t>
      </w:r>
    </w:p>
    <w:p w14:paraId="1499324A" w14:textId="6D42744B" w:rsidR="00DB4BA5" w:rsidRPr="0027052B" w:rsidRDefault="654A6E4A" w:rsidP="002F1961">
      <w:pPr>
        <w:pStyle w:val="Prrafodelista"/>
        <w:numPr>
          <w:ilvl w:val="0"/>
          <w:numId w:val="5"/>
        </w:numPr>
        <w:spacing w:before="100" w:beforeAutospacing="1" w:after="100" w:afterAutospacing="1" w:line="360" w:lineRule="auto"/>
      </w:pPr>
      <w:r w:rsidRPr="0027052B">
        <w:t>Almacenamiento</w:t>
      </w:r>
      <w:r w:rsidR="00F57A6B" w:rsidRPr="0027052B">
        <w:t>:</w:t>
      </w:r>
      <w:r w:rsidRPr="0027052B">
        <w:t xml:space="preserve"> Necesidad creciente.</w:t>
      </w:r>
    </w:p>
    <w:p w14:paraId="74418029" w14:textId="23D6C4A4" w:rsidR="00DB4BA5" w:rsidRPr="0027052B" w:rsidRDefault="654A6E4A" w:rsidP="002F1961">
      <w:pPr>
        <w:pStyle w:val="Prrafodelista"/>
        <w:numPr>
          <w:ilvl w:val="0"/>
          <w:numId w:val="5"/>
        </w:numPr>
        <w:spacing w:before="100" w:beforeAutospacing="1" w:after="100" w:afterAutospacing="1" w:line="360" w:lineRule="auto"/>
        <w:rPr>
          <w:lang w:val="es-ES"/>
        </w:rPr>
      </w:pPr>
      <w:r w:rsidRPr="0027052B">
        <w:rPr>
          <w:lang w:val="es-ES"/>
        </w:rPr>
        <w:t>Nuevos mercados</w:t>
      </w:r>
      <w:r w:rsidR="00441511" w:rsidRPr="0027052B">
        <w:rPr>
          <w:lang w:val="es-ES"/>
        </w:rPr>
        <w:t xml:space="preserve">: </w:t>
      </w:r>
      <w:r w:rsidRPr="0027052B">
        <w:rPr>
          <w:lang w:val="es-ES"/>
        </w:rPr>
        <w:t>AutoGLP</w:t>
      </w:r>
      <w:r w:rsidR="00EF7B9B" w:rsidRPr="0027052B">
        <w:rPr>
          <w:lang w:val="es-ES"/>
        </w:rPr>
        <w:t xml:space="preserve">, </w:t>
      </w:r>
      <w:proofErr w:type="spellStart"/>
      <w:r w:rsidRPr="0027052B">
        <w:rPr>
          <w:lang w:val="es-ES"/>
        </w:rPr>
        <w:t>NautiGLP</w:t>
      </w:r>
      <w:proofErr w:type="spellEnd"/>
      <w:r w:rsidR="00EF7B9B" w:rsidRPr="0027052B">
        <w:rPr>
          <w:lang w:val="es-ES"/>
        </w:rPr>
        <w:t xml:space="preserve">, </w:t>
      </w:r>
      <w:r w:rsidRPr="0027052B">
        <w:rPr>
          <w:lang w:val="es-ES"/>
        </w:rPr>
        <w:t>Cogeneración</w:t>
      </w:r>
      <w:r w:rsidR="00EF7B9B" w:rsidRPr="0027052B">
        <w:rPr>
          <w:lang w:val="es-ES"/>
        </w:rPr>
        <w:t xml:space="preserve">, </w:t>
      </w:r>
      <w:proofErr w:type="spellStart"/>
      <w:r w:rsidRPr="0027052B">
        <w:rPr>
          <w:lang w:val="es-ES"/>
        </w:rPr>
        <w:t>Microredes</w:t>
      </w:r>
      <w:proofErr w:type="spellEnd"/>
      <w:r w:rsidR="00EF7B9B" w:rsidRPr="0027052B">
        <w:rPr>
          <w:lang w:val="es-ES"/>
        </w:rPr>
        <w:t xml:space="preserve">, Generación de Energía en </w:t>
      </w:r>
      <w:r w:rsidRPr="0027052B">
        <w:rPr>
          <w:lang w:val="es-ES"/>
        </w:rPr>
        <w:t>ZNI</w:t>
      </w:r>
      <w:r w:rsidR="00EF7B9B" w:rsidRPr="0027052B">
        <w:rPr>
          <w:lang w:val="es-ES"/>
        </w:rPr>
        <w:t>.</w:t>
      </w:r>
    </w:p>
    <w:p w14:paraId="4390C9C5" w14:textId="3F1BBF3F" w:rsidR="008146CC" w:rsidRDefault="008146CC" w:rsidP="00EF365F">
      <w:pPr>
        <w:pStyle w:val="Ttulo3"/>
        <w:tabs>
          <w:tab w:val="left" w:pos="1134"/>
        </w:tabs>
        <w:spacing w:before="100" w:beforeAutospacing="1" w:after="100" w:afterAutospacing="1"/>
        <w:ind w:left="851" w:hanging="851"/>
      </w:pPr>
      <w:bookmarkStart w:id="129" w:name="_Toc235128339"/>
      <w:r>
        <w:t>Demanda histórica</w:t>
      </w:r>
      <w:bookmarkEnd w:id="129"/>
    </w:p>
    <w:p w14:paraId="3D327D69" w14:textId="38843822" w:rsidR="00A354A5" w:rsidRPr="00A354A5" w:rsidRDefault="00A354A5" w:rsidP="00A354A5">
      <w:pPr>
        <w:spacing w:before="100" w:beforeAutospacing="1" w:after="100" w:afterAutospacing="1" w:line="360" w:lineRule="auto"/>
        <w:rPr>
          <w:lang w:val="es-ES"/>
        </w:rPr>
      </w:pPr>
      <w:r w:rsidRPr="00A354A5">
        <w:rPr>
          <w:lang w:val="es-ES"/>
        </w:rPr>
        <w:t>El análisis de la demanda histórica permite identificar la evolución del consumo de GLP en Colombia y las principales tendencias observadas en el mercado durante el período de análisis. En esta sección se presenta el comportamiento de la demanda, como insumo para comprender las dinámicas del mercado y el contexto del problema regulatorio.</w:t>
      </w:r>
    </w:p>
    <w:p w14:paraId="249968E7" w14:textId="5871DEA7" w:rsidR="008146CC" w:rsidRPr="00842608" w:rsidRDefault="0031517C" w:rsidP="00EF365F">
      <w:pPr>
        <w:pStyle w:val="Ttulo4"/>
        <w:spacing w:before="100" w:beforeAutospacing="1" w:after="100" w:afterAutospacing="1" w:line="360" w:lineRule="auto"/>
        <w:ind w:hanging="790"/>
      </w:pPr>
      <w:r w:rsidRPr="00842608">
        <w:t>Evolución del consumo</w:t>
      </w:r>
    </w:p>
    <w:p w14:paraId="179B85A3" w14:textId="7FDF70A2" w:rsidR="00DA6330" w:rsidRDefault="003071BE" w:rsidP="002F1961">
      <w:pPr>
        <w:spacing w:before="100" w:beforeAutospacing="1" w:after="100" w:afterAutospacing="1" w:line="360" w:lineRule="auto"/>
        <w:rPr>
          <w:lang w:val="es-CO"/>
        </w:rPr>
      </w:pPr>
      <w:r w:rsidRPr="003071BE">
        <w:rPr>
          <w:lang w:val="es-CO"/>
        </w:rPr>
        <w:t xml:space="preserve">La demanda total </w:t>
      </w:r>
      <w:r w:rsidR="00017B33" w:rsidRPr="00B55C08">
        <w:rPr>
          <w:lang w:val="es-CO"/>
        </w:rPr>
        <w:t xml:space="preserve">de GLP en Colombia ha </w:t>
      </w:r>
      <w:r w:rsidRPr="003071BE">
        <w:rPr>
          <w:lang w:val="es-CO"/>
        </w:rPr>
        <w:t xml:space="preserve">fluctuado entre 600,000 y 700,000 toneladas anuales en los últimos años como se muestra en la </w:t>
      </w:r>
      <w:r w:rsidR="00A971AA" w:rsidRPr="00A971AA">
        <w:rPr>
          <w:lang w:val="es-CO"/>
        </w:rPr>
        <w:fldChar w:fldCharType="begin"/>
      </w:r>
      <w:r w:rsidR="00A971AA" w:rsidRPr="00A971AA">
        <w:rPr>
          <w:lang w:val="es-CO"/>
        </w:rPr>
        <w:instrText xml:space="preserve"> REF _Ref235110841 \h  \* MERGEFORMAT </w:instrText>
      </w:r>
      <w:r w:rsidR="00A971AA" w:rsidRPr="00A971AA">
        <w:rPr>
          <w:lang w:val="es-CO"/>
        </w:rPr>
      </w:r>
      <w:r w:rsidR="00A971AA" w:rsidRPr="00A971AA">
        <w:rPr>
          <w:lang w:val="es-CO"/>
        </w:rPr>
        <w:fldChar w:fldCharType="separate"/>
      </w:r>
      <w:r w:rsidR="00A971AA" w:rsidRPr="00A971AA">
        <w:rPr>
          <w:lang w:val="es-ES"/>
        </w:rPr>
        <w:t xml:space="preserve">Figura </w:t>
      </w:r>
      <w:r w:rsidR="00A971AA" w:rsidRPr="00A971AA">
        <w:rPr>
          <w:noProof/>
          <w:lang w:val="es-ES"/>
        </w:rPr>
        <w:t>33</w:t>
      </w:r>
      <w:r w:rsidR="00A971AA" w:rsidRPr="00A971AA">
        <w:rPr>
          <w:lang w:val="es-CO"/>
        </w:rPr>
        <w:fldChar w:fldCharType="end"/>
      </w:r>
      <w:r w:rsidRPr="00A971AA">
        <w:rPr>
          <w:lang w:val="es-CO"/>
        </w:rPr>
        <w:t>.</w:t>
      </w:r>
      <w:r>
        <w:rPr>
          <w:lang w:val="es-CO"/>
        </w:rPr>
        <w:t xml:space="preserve"> </w:t>
      </w:r>
      <w:r w:rsidR="00017B33" w:rsidRPr="00B55C08">
        <w:rPr>
          <w:lang w:val="es-CO"/>
        </w:rPr>
        <w:t>E</w:t>
      </w:r>
      <w:r>
        <w:rPr>
          <w:lang w:val="es-CO"/>
        </w:rPr>
        <w:t>ste</w:t>
      </w:r>
      <w:r w:rsidR="00017B33" w:rsidRPr="00B55C08">
        <w:rPr>
          <w:lang w:val="es-CO"/>
        </w:rPr>
        <w:t xml:space="preserve"> comportamiento ha estado influenciado por diversos factores en los últimos años.</w:t>
      </w:r>
      <w:r w:rsidR="00906228">
        <w:rPr>
          <w:lang w:val="es-CO"/>
        </w:rPr>
        <w:t xml:space="preserve"> </w:t>
      </w:r>
    </w:p>
    <w:p w14:paraId="707EC6F2" w14:textId="12BFAD73" w:rsidR="00F05B1B" w:rsidRPr="00EF365F" w:rsidRDefault="00F05B1B" w:rsidP="00A354A5">
      <w:pPr>
        <w:pStyle w:val="Descripcin"/>
        <w:keepNext/>
        <w:spacing w:before="100" w:beforeAutospacing="1" w:after="0" w:line="360" w:lineRule="auto"/>
        <w:jc w:val="center"/>
        <w:rPr>
          <w:b w:val="0"/>
        </w:rPr>
      </w:pPr>
      <w:bookmarkStart w:id="130" w:name="_Ref235110841"/>
      <w:bookmarkStart w:id="131" w:name="_Toc235118573"/>
      <w:r w:rsidRPr="00EF365F">
        <w:rPr>
          <w:b w:val="0"/>
          <w:lang w:val="es-ES"/>
        </w:rPr>
        <w:t xml:space="preserve">Figura </w:t>
      </w:r>
      <w:r w:rsidRPr="00EF365F">
        <w:rPr>
          <w:b w:val="0"/>
          <w:lang w:val="es-ES"/>
        </w:rPr>
        <w:fldChar w:fldCharType="begin"/>
      </w:r>
      <w:r w:rsidRPr="00EF365F">
        <w:rPr>
          <w:b w:val="0"/>
          <w:lang w:val="es-ES"/>
        </w:rPr>
        <w:instrText xml:space="preserve"> SEQ Figura \* ARABIC </w:instrText>
      </w:r>
      <w:r w:rsidRPr="00EF365F">
        <w:rPr>
          <w:b w:val="0"/>
          <w:lang w:val="es-ES"/>
        </w:rPr>
        <w:fldChar w:fldCharType="separate"/>
      </w:r>
      <w:r w:rsidR="00EF365F" w:rsidRPr="00EF365F">
        <w:rPr>
          <w:b w:val="0"/>
          <w:bCs/>
          <w:noProof/>
          <w:lang w:val="es-ES"/>
        </w:rPr>
        <w:t>33</w:t>
      </w:r>
      <w:r w:rsidRPr="00EF365F">
        <w:rPr>
          <w:b w:val="0"/>
          <w:lang w:val="es-ES"/>
        </w:rPr>
        <w:fldChar w:fldCharType="end"/>
      </w:r>
      <w:bookmarkEnd w:id="130"/>
      <w:r w:rsidRPr="00EF365F">
        <w:rPr>
          <w:b w:val="0"/>
          <w:lang w:val="es-ES"/>
        </w:rPr>
        <w:t xml:space="preserve">. </w:t>
      </w:r>
      <w:r>
        <w:rPr>
          <w:b w:val="0"/>
          <w:lang w:val="es-ES"/>
        </w:rPr>
        <w:t>Demanda de GLP para el SPD (kg/año)</w:t>
      </w:r>
      <w:r w:rsidRPr="5FAE69B6">
        <w:rPr>
          <w:b w:val="0"/>
          <w:lang w:val="es-ES"/>
        </w:rPr>
        <w:t>.</w:t>
      </w:r>
      <w:bookmarkEnd w:id="131"/>
    </w:p>
    <w:p w14:paraId="4AA31917" w14:textId="77777777" w:rsidR="00F05B1B" w:rsidRDefault="00F05B1B" w:rsidP="00A354A5">
      <w:pPr>
        <w:spacing w:line="360" w:lineRule="auto"/>
      </w:pPr>
      <w:r>
        <w:rPr>
          <w:noProof/>
        </w:rPr>
        <w:drawing>
          <wp:inline distT="0" distB="0" distL="0" distR="0" wp14:anchorId="067DC4D2" wp14:editId="5B3653C1">
            <wp:extent cx="5471889" cy="2677058"/>
            <wp:effectExtent l="0" t="0" r="0" b="9525"/>
            <wp:docPr id="172959649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96497" name="Imagen 1729596497"/>
                    <pic:cNvPicPr/>
                  </pic:nvPicPr>
                  <pic:blipFill rotWithShape="1">
                    <a:blip r:embed="rId68">
                      <a:extLst>
                        <a:ext uri="{28A0092B-C50C-407E-A947-70E740481C1C}">
                          <a14:useLocalDpi xmlns:a14="http://schemas.microsoft.com/office/drawing/2010/main" val="0"/>
                        </a:ext>
                      </a:extLst>
                    </a:blip>
                    <a:srcRect t="4883"/>
                    <a:stretch>
                      <a:fillRect/>
                    </a:stretch>
                  </pic:blipFill>
                  <pic:spPr bwMode="auto">
                    <a:xfrm>
                      <a:off x="0" y="0"/>
                      <a:ext cx="5472973" cy="2677588"/>
                    </a:xfrm>
                    <a:prstGeom prst="rect">
                      <a:avLst/>
                    </a:prstGeom>
                    <a:ln>
                      <a:noFill/>
                    </a:ln>
                    <a:extLst>
                      <a:ext uri="{53640926-AAD7-44D8-BBD7-CCE9431645EC}">
                        <a14:shadowObscured xmlns:a14="http://schemas.microsoft.com/office/drawing/2010/main"/>
                      </a:ext>
                    </a:extLst>
                  </pic:spPr>
                </pic:pic>
              </a:graphicData>
            </a:graphic>
          </wp:inline>
        </w:drawing>
      </w:r>
    </w:p>
    <w:p w14:paraId="6E0665D6" w14:textId="77777777" w:rsidR="00F05B1B" w:rsidRDefault="00F05B1B" w:rsidP="002F1961">
      <w:pPr>
        <w:spacing w:before="100" w:beforeAutospacing="1" w:after="100" w:afterAutospacing="1" w:line="360" w:lineRule="auto"/>
        <w:jc w:val="center"/>
      </w:pPr>
      <w:r w:rsidRPr="0099139D">
        <w:rPr>
          <w:sz w:val="20"/>
          <w:szCs w:val="16"/>
        </w:rPr>
        <w:lastRenderedPageBreak/>
        <w:t>Fuente: SUI. Elaboración Propia</w:t>
      </w:r>
    </w:p>
    <w:p w14:paraId="69F37801" w14:textId="3C12FAB8" w:rsidR="004A3E9D" w:rsidRPr="00243555" w:rsidRDefault="004A3E9D" w:rsidP="002F1961">
      <w:pPr>
        <w:spacing w:before="100" w:beforeAutospacing="1" w:after="100" w:afterAutospacing="1" w:line="360" w:lineRule="auto"/>
        <w:rPr>
          <w:lang w:val="es-CO"/>
        </w:rPr>
      </w:pPr>
      <w:r>
        <w:rPr>
          <w:lang w:val="es-CO"/>
        </w:rPr>
        <w:t>De acuerdo con la información de ventas reportada del SUI por los prestadores, se</w:t>
      </w:r>
      <w:r w:rsidRPr="00B55C08">
        <w:rPr>
          <w:lang w:val="es-CO"/>
        </w:rPr>
        <w:t xml:space="preserve"> </w:t>
      </w:r>
      <w:r>
        <w:rPr>
          <w:lang w:val="es-CO"/>
        </w:rPr>
        <w:t>observa que</w:t>
      </w:r>
      <w:r w:rsidRPr="006A1FE6">
        <w:rPr>
          <w:lang w:val="es-CO"/>
        </w:rPr>
        <w:t xml:space="preserve"> </w:t>
      </w:r>
      <w:r>
        <w:rPr>
          <w:lang w:val="es-CO"/>
        </w:rPr>
        <w:t>l</w:t>
      </w:r>
      <w:r w:rsidRPr="006A1FE6">
        <w:rPr>
          <w:lang w:val="es-CO"/>
        </w:rPr>
        <w:t>a demanda de GLP ha mostrado un crecimiento sostenido, especialmente en el sector residencial y comercial, donde se utiliza para cocinar, calentar agua y en algunos casos para calefacción. Este crecimiento ha sido impulsado por la expansión de la cobertura del servicio de gas y la preferencia por el GLP en zonas rurales y periurbanas.</w:t>
      </w:r>
      <w:r>
        <w:rPr>
          <w:lang w:val="es-CO"/>
        </w:rPr>
        <w:t xml:space="preserve"> No obstante, cuando se analiza la información por</w:t>
      </w:r>
      <w:r>
        <w:t xml:space="preserve"> tipo de venta, como se muestra en la </w:t>
      </w:r>
      <w:r w:rsidR="00C96ADF" w:rsidRPr="00C96ADF">
        <w:fldChar w:fldCharType="begin"/>
      </w:r>
      <w:r w:rsidR="00C96ADF" w:rsidRPr="00C96ADF">
        <w:instrText xml:space="preserve"> REF _Ref235110896 \h  \* MERGEFORMAT </w:instrText>
      </w:r>
      <w:r w:rsidR="00C96ADF" w:rsidRPr="00C96ADF">
        <w:fldChar w:fldCharType="separate"/>
      </w:r>
      <w:r w:rsidR="00C96ADF" w:rsidRPr="00C96ADF">
        <w:rPr>
          <w:lang w:val="es-ES"/>
        </w:rPr>
        <w:t xml:space="preserve">Figura </w:t>
      </w:r>
      <w:r w:rsidR="00C96ADF" w:rsidRPr="00C96ADF">
        <w:rPr>
          <w:noProof/>
          <w:lang w:val="es-ES"/>
        </w:rPr>
        <w:t>34</w:t>
      </w:r>
      <w:r w:rsidR="00C96ADF" w:rsidRPr="00C96ADF">
        <w:fldChar w:fldCharType="end"/>
      </w:r>
      <w:r>
        <w:t xml:space="preserve"> </w:t>
      </w:r>
      <w:r>
        <w:t>se evidencia que el consumo a granel ha venido en aumento, lo cual se explica con</w:t>
      </w:r>
      <w:r w:rsidRPr="00243555">
        <w:t xml:space="preserve"> la migración de industria y comercio que antes usaban gas natural y, ante su déficit, se trasladaron al GLP granel</w:t>
      </w:r>
      <w:r>
        <w:t xml:space="preserve"> (Tanques Estacionarios)</w:t>
      </w:r>
      <w:r w:rsidRPr="00243555">
        <w:t>.</w:t>
      </w:r>
    </w:p>
    <w:p w14:paraId="5AA20599" w14:textId="08402C19" w:rsidR="004919BD" w:rsidRPr="00C96ADF" w:rsidRDefault="004919BD" w:rsidP="002F1961">
      <w:pPr>
        <w:pStyle w:val="Descripcin"/>
        <w:keepNext/>
        <w:spacing w:before="100" w:beforeAutospacing="1" w:after="100" w:afterAutospacing="1" w:line="360" w:lineRule="auto"/>
        <w:jc w:val="center"/>
        <w:rPr>
          <w:b w:val="0"/>
        </w:rPr>
      </w:pPr>
      <w:bookmarkStart w:id="132" w:name="_Ref235110896"/>
      <w:bookmarkStart w:id="133" w:name="_Toc235118574"/>
      <w:r w:rsidRPr="00C96ADF">
        <w:rPr>
          <w:b w:val="0"/>
          <w:lang w:val="es-ES"/>
        </w:rPr>
        <w:t xml:space="preserve">Figura </w:t>
      </w:r>
      <w:r w:rsidRPr="00A354A5">
        <w:rPr>
          <w:b w:val="0"/>
          <w:lang w:val="es-ES"/>
        </w:rPr>
        <w:fldChar w:fldCharType="begin"/>
      </w:r>
      <w:r w:rsidRPr="00A354A5">
        <w:rPr>
          <w:b w:val="0"/>
          <w:lang w:val="es-ES"/>
        </w:rPr>
        <w:instrText xml:space="preserve"> SEQ Figura \* ARABIC </w:instrText>
      </w:r>
      <w:r w:rsidRPr="00A354A5">
        <w:rPr>
          <w:b w:val="0"/>
          <w:lang w:val="es-ES"/>
        </w:rPr>
        <w:fldChar w:fldCharType="separate"/>
      </w:r>
      <w:r w:rsidR="00C96ADF" w:rsidRPr="00A354A5">
        <w:rPr>
          <w:b w:val="0"/>
          <w:lang w:val="es-ES"/>
        </w:rPr>
        <w:t>34</w:t>
      </w:r>
      <w:r w:rsidRPr="00A354A5">
        <w:rPr>
          <w:b w:val="0"/>
          <w:lang w:val="es-ES"/>
        </w:rPr>
        <w:fldChar w:fldCharType="end"/>
      </w:r>
      <w:bookmarkEnd w:id="132"/>
      <w:r w:rsidRPr="00A354A5">
        <w:rPr>
          <w:b w:val="0"/>
          <w:lang w:val="es-ES"/>
        </w:rPr>
        <w:t>.</w:t>
      </w:r>
      <w:r w:rsidRPr="00C96ADF">
        <w:rPr>
          <w:b w:val="0"/>
          <w:lang w:val="es-ES"/>
        </w:rPr>
        <w:t xml:space="preserve"> </w:t>
      </w:r>
      <w:r>
        <w:rPr>
          <w:b w:val="0"/>
          <w:lang w:val="es-ES"/>
        </w:rPr>
        <w:t>Demanda de GLP por tipo de venta (kg/año)</w:t>
      </w:r>
      <w:r w:rsidRPr="5FAE69B6">
        <w:rPr>
          <w:b w:val="0"/>
          <w:lang w:val="es-ES"/>
        </w:rPr>
        <w:t>.</w:t>
      </w:r>
      <w:bookmarkEnd w:id="133"/>
    </w:p>
    <w:p w14:paraId="14BDB0DA" w14:textId="77777777" w:rsidR="00286A03" w:rsidRDefault="004A3E9D" w:rsidP="002F1961">
      <w:pPr>
        <w:spacing w:before="100" w:beforeAutospacing="1" w:after="100" w:afterAutospacing="1" w:line="360" w:lineRule="auto"/>
        <w:jc w:val="center"/>
      </w:pPr>
      <w:r>
        <w:rPr>
          <w:noProof/>
        </w:rPr>
        <w:drawing>
          <wp:inline distT="0" distB="0" distL="0" distR="0" wp14:anchorId="5A77CE07" wp14:editId="4127B7D0">
            <wp:extent cx="5454650" cy="2418690"/>
            <wp:effectExtent l="0" t="0" r="0" b="1270"/>
            <wp:docPr id="203516390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163901" name="Imagen 2035163901"/>
                    <pic:cNvPicPr/>
                  </pic:nvPicPr>
                  <pic:blipFill rotWithShape="1">
                    <a:blip r:embed="rId69">
                      <a:extLst>
                        <a:ext uri="{28A0092B-C50C-407E-A947-70E740481C1C}">
                          <a14:useLocalDpi xmlns:a14="http://schemas.microsoft.com/office/drawing/2010/main" val="0"/>
                        </a:ext>
                      </a:extLst>
                    </a:blip>
                    <a:srcRect t="7549"/>
                    <a:stretch>
                      <a:fillRect/>
                    </a:stretch>
                  </pic:blipFill>
                  <pic:spPr bwMode="auto">
                    <a:xfrm>
                      <a:off x="0" y="0"/>
                      <a:ext cx="5454930" cy="2418814"/>
                    </a:xfrm>
                    <a:prstGeom prst="rect">
                      <a:avLst/>
                    </a:prstGeom>
                    <a:ln>
                      <a:noFill/>
                    </a:ln>
                    <a:extLst>
                      <a:ext uri="{53640926-AAD7-44D8-BBD7-CCE9431645EC}">
                        <a14:shadowObscured xmlns:a14="http://schemas.microsoft.com/office/drawing/2010/main"/>
                      </a:ext>
                    </a:extLst>
                  </pic:spPr>
                </pic:pic>
              </a:graphicData>
            </a:graphic>
          </wp:inline>
        </w:drawing>
      </w:r>
    </w:p>
    <w:p w14:paraId="4C364EBF" w14:textId="77777777" w:rsidR="00E8029A" w:rsidRDefault="00E8029A" w:rsidP="002F1961">
      <w:pPr>
        <w:spacing w:before="100" w:beforeAutospacing="1" w:after="100" w:afterAutospacing="1" w:line="360" w:lineRule="auto"/>
        <w:jc w:val="center"/>
      </w:pPr>
      <w:r w:rsidRPr="0099139D">
        <w:rPr>
          <w:sz w:val="20"/>
          <w:szCs w:val="16"/>
        </w:rPr>
        <w:t>Fuente: SUI. Elaboración Propia</w:t>
      </w:r>
    </w:p>
    <w:p w14:paraId="1E27A367" w14:textId="7CC47074" w:rsidR="00535A5D" w:rsidRDefault="004C56DD" w:rsidP="002F1961">
      <w:pPr>
        <w:tabs>
          <w:tab w:val="num" w:pos="360"/>
        </w:tabs>
        <w:spacing w:before="100" w:beforeAutospacing="1" w:after="100" w:afterAutospacing="1" w:line="360" w:lineRule="auto"/>
        <w:rPr>
          <w:lang w:val="es-CO"/>
        </w:rPr>
      </w:pPr>
      <w:r w:rsidRPr="004C56DD">
        <w:rPr>
          <w:lang w:val="es-CO"/>
        </w:rPr>
        <w:t xml:space="preserve">La información disponible permite inferir que la demanda de </w:t>
      </w:r>
      <w:r>
        <w:rPr>
          <w:lang w:val="es-CO"/>
        </w:rPr>
        <w:t xml:space="preserve">GLP </w:t>
      </w:r>
      <w:r w:rsidRPr="004C56DD">
        <w:rPr>
          <w:lang w:val="es-CO"/>
        </w:rPr>
        <w:t xml:space="preserve">en Colombia presenta una baja sensibilidad a las variaciones de precio en el corto plazo, particularmente en el segmento residencial, debido al carácter esencial del combustible para la cocción de alimentos y a la limitada disponibilidad de sustitutos inmediatos. En horizontes de mayor plazo, la respuesta de la demanda puede incrementarse en la medida en que los </w:t>
      </w:r>
      <w:r w:rsidRPr="004C56DD">
        <w:rPr>
          <w:lang w:val="es-CO"/>
        </w:rPr>
        <w:lastRenderedPageBreak/>
        <w:t>consumidores y los agentes productivos ajustan sus patrones de consumo, realizan inversiones en equipos o sustituyen energéticos</w:t>
      </w:r>
      <w:r w:rsidR="0094521E">
        <w:rPr>
          <w:lang w:val="es-CO"/>
        </w:rPr>
        <w:t xml:space="preserve"> tales como GN y ACPM</w:t>
      </w:r>
      <w:r w:rsidRPr="004C56DD">
        <w:rPr>
          <w:lang w:val="es-CO"/>
        </w:rPr>
        <w:t xml:space="preserve">. </w:t>
      </w:r>
    </w:p>
    <w:p w14:paraId="498005BD" w14:textId="0FAE84C8" w:rsidR="000D6627" w:rsidRDefault="000D6627" w:rsidP="002F1961">
      <w:pPr>
        <w:spacing w:before="100" w:beforeAutospacing="1" w:after="100" w:afterAutospacing="1" w:line="360" w:lineRule="auto"/>
        <w:rPr>
          <w:lang w:val="es-CO"/>
        </w:rPr>
      </w:pPr>
      <w:r w:rsidRPr="004C56DD">
        <w:rPr>
          <w:lang w:val="es-CO"/>
        </w:rPr>
        <w:t>La evolución de la demanda de GLP está condicionada por diversos factores estructurales y de mercado, entre los cuales se destacan:</w:t>
      </w:r>
    </w:p>
    <w:p w14:paraId="0C9DA8F9" w14:textId="77777777" w:rsidR="000D6627" w:rsidRDefault="000D6627">
      <w:pPr>
        <w:numPr>
          <w:ilvl w:val="0"/>
          <w:numId w:val="65"/>
        </w:numPr>
        <w:spacing w:before="100" w:beforeAutospacing="1" w:after="100" w:afterAutospacing="1" w:line="360" w:lineRule="auto"/>
        <w:rPr>
          <w:lang w:val="es-CO"/>
        </w:rPr>
      </w:pPr>
      <w:r w:rsidRPr="004C56DD">
        <w:rPr>
          <w:b/>
          <w:bCs/>
          <w:lang w:val="es-CO"/>
        </w:rPr>
        <w:t>Disponibilidad y precios de combustibles sustitutos.</w:t>
      </w:r>
      <w:r w:rsidRPr="004C56DD">
        <w:rPr>
          <w:lang w:val="es-CO"/>
        </w:rPr>
        <w:t xml:space="preserve"> La oferta de gas natural y la evolución de sus precios constituyen uno de los principales determinantes de la demanda de GLP, especialmente en los sectores industrial y comercial. La reducción de la disponibilidad de gas natural ha incrementado el uso del GLP como energético sustituto en aplicaciones térmicas.</w:t>
      </w:r>
    </w:p>
    <w:p w14:paraId="0F003198" w14:textId="77777777" w:rsidR="000D6627" w:rsidRDefault="000D6627">
      <w:pPr>
        <w:numPr>
          <w:ilvl w:val="0"/>
          <w:numId w:val="65"/>
        </w:numPr>
        <w:spacing w:before="100" w:beforeAutospacing="1" w:after="100" w:afterAutospacing="1" w:line="360" w:lineRule="auto"/>
        <w:rPr>
          <w:lang w:val="es-CO"/>
        </w:rPr>
      </w:pPr>
      <w:r w:rsidRPr="004C56DD">
        <w:rPr>
          <w:b/>
          <w:bCs/>
          <w:lang w:val="es-CO"/>
        </w:rPr>
        <w:t>Dependencia del mercado internacional.</w:t>
      </w:r>
      <w:r w:rsidRPr="004C56DD">
        <w:rPr>
          <w:lang w:val="es-CO"/>
        </w:rPr>
        <w:t xml:space="preserve"> El abastecimiento nacional de GLP se complementa mediante importaciones, por lo que la formación del precio incorpora la evolución de las cotizaciones internacionales del propano y el butano, además de los costos asociados al transporte y la logística. Esta condición expone el mercado nacional a la volatilidad de los precios internacionales y de la tasa de cambio. La información de importaciones y abastecimiento es reportada por Ecopetrol y consolidada en el Sistema Único de Información (SUI).</w:t>
      </w:r>
    </w:p>
    <w:p w14:paraId="157B3F15" w14:textId="7B864AD1" w:rsidR="000D6627" w:rsidRDefault="000D6627">
      <w:pPr>
        <w:numPr>
          <w:ilvl w:val="0"/>
          <w:numId w:val="65"/>
        </w:numPr>
        <w:spacing w:before="100" w:beforeAutospacing="1" w:after="100" w:afterAutospacing="1" w:line="360" w:lineRule="auto"/>
        <w:rPr>
          <w:lang w:val="es-CO"/>
        </w:rPr>
      </w:pPr>
      <w:r w:rsidRPr="004C56DD">
        <w:rPr>
          <w:b/>
          <w:bCs/>
          <w:lang w:val="es-CO"/>
        </w:rPr>
        <w:t>Cobertura y características de la demanda.</w:t>
      </w:r>
      <w:r w:rsidRPr="004C56DD">
        <w:rPr>
          <w:lang w:val="es-CO"/>
        </w:rPr>
        <w:t xml:space="preserve"> Las estadísticas del SUI muestran que el consumo de GLP se concentra en mercados atendidos mediante cilindros y tanques estacionarios</w:t>
      </w:r>
      <w:r w:rsidR="00C96ADF">
        <w:rPr>
          <w:lang w:val="es-CO"/>
        </w:rPr>
        <w:t>,</w:t>
      </w:r>
      <w:r w:rsidRPr="004C56DD">
        <w:rPr>
          <w:lang w:val="es-CO"/>
        </w:rPr>
        <w:t xml:space="preserve"> </w:t>
      </w:r>
      <w:r w:rsidRPr="004C56DD">
        <w:rPr>
          <w:lang w:val="es-CO"/>
        </w:rPr>
        <w:t>con una participación significativa de zonas rurales e intermedias donde el servicio de gas natural por red no está disponible. A su vez, las proyecciones de la UPME evidencian que cerca del 50 % de la demanda nacional es abastecida desde seis plantas principales de suministro, lo que refleja la importancia de la infraestructura logística en el comportamiento del mercado.</w:t>
      </w:r>
    </w:p>
    <w:p w14:paraId="25BAB035" w14:textId="77777777" w:rsidR="000D6627" w:rsidRPr="004C56DD" w:rsidRDefault="000D6627">
      <w:pPr>
        <w:numPr>
          <w:ilvl w:val="0"/>
          <w:numId w:val="65"/>
        </w:numPr>
        <w:spacing w:before="100" w:beforeAutospacing="1" w:after="100" w:afterAutospacing="1" w:line="360" w:lineRule="auto"/>
        <w:rPr>
          <w:lang w:val="es-CO"/>
        </w:rPr>
      </w:pPr>
      <w:r w:rsidRPr="004C56DD">
        <w:rPr>
          <w:b/>
          <w:bCs/>
          <w:lang w:val="es-CO"/>
        </w:rPr>
        <w:t>Competitividad económica.</w:t>
      </w:r>
      <w:r w:rsidRPr="004C56DD">
        <w:rPr>
          <w:lang w:val="es-CO"/>
        </w:rPr>
        <w:t xml:space="preserve"> La competitividad relativa del GLP frente a otros combustibles depende de los costos de abastecimiento, de la disponibilidad de energéticos sustitutos y de las inversiones requeridas para la conversión tecnológica de los usuarios. En escenarios de restricciones de suministro de gas natural, el GLP se consolida como una alternativa técnicamente viable y </w:t>
      </w:r>
      <w:r w:rsidRPr="004C56DD">
        <w:rPr>
          <w:lang w:val="es-CO"/>
        </w:rPr>
        <w:lastRenderedPageBreak/>
        <w:t>económicamente competitiva para determinados segmentos industriales y comerciales.</w:t>
      </w:r>
    </w:p>
    <w:p w14:paraId="1D46376B" w14:textId="2DE216B0" w:rsidR="00D9576D" w:rsidRDefault="002A1518" w:rsidP="002F1961">
      <w:pPr>
        <w:spacing w:before="100" w:beforeAutospacing="1" w:after="100" w:afterAutospacing="1" w:line="360" w:lineRule="auto"/>
      </w:pPr>
      <w:r>
        <w:t>Finalmente</w:t>
      </w:r>
      <w:r w:rsidR="001343F1">
        <w:t xml:space="preserve">, </w:t>
      </w:r>
      <w:r w:rsidR="00D9576D">
        <w:t xml:space="preserve">la </w:t>
      </w:r>
      <w:r w:rsidR="00C96ADF">
        <w:fldChar w:fldCharType="begin"/>
      </w:r>
      <w:r w:rsidR="00C96ADF">
        <w:instrText xml:space="preserve"> REF _Ref235110956 \h </w:instrText>
      </w:r>
      <w:r w:rsidR="00C96ADF">
        <w:fldChar w:fldCharType="separate"/>
      </w:r>
      <w:r w:rsidR="00C96ADF" w:rsidRPr="5FAE69B6">
        <w:rPr>
          <w:lang w:val="es-ES"/>
        </w:rPr>
        <w:t xml:space="preserve">Figura </w:t>
      </w:r>
      <w:r w:rsidR="00C96ADF">
        <w:rPr>
          <w:noProof/>
          <w:lang w:val="es-ES"/>
        </w:rPr>
        <w:t>35</w:t>
      </w:r>
      <w:r w:rsidR="00C96ADF">
        <w:fldChar w:fldCharType="end"/>
      </w:r>
      <w:r w:rsidR="007D3917">
        <w:t xml:space="preserve"> muestra el comportamiento de la demanda en las diferentes regiones del país, destacándose que </w:t>
      </w:r>
      <w:r w:rsidR="00C340E7">
        <w:t xml:space="preserve">la región occidental ha </w:t>
      </w:r>
      <w:r w:rsidR="00121920">
        <w:t>sido históricamente la regi</w:t>
      </w:r>
      <w:r w:rsidR="00C30EB2">
        <w:t>ón donde más se consume GLP.</w:t>
      </w:r>
    </w:p>
    <w:p w14:paraId="7A5D3886" w14:textId="2AABAFE6" w:rsidR="00D9576D" w:rsidRPr="007C6CCC" w:rsidRDefault="00D9576D" w:rsidP="002F1961">
      <w:pPr>
        <w:pStyle w:val="Descripcin"/>
        <w:keepNext/>
        <w:spacing w:before="100" w:beforeAutospacing="1" w:after="100" w:afterAutospacing="1" w:line="360" w:lineRule="auto"/>
        <w:jc w:val="center"/>
        <w:rPr>
          <w:b w:val="0"/>
        </w:rPr>
      </w:pPr>
      <w:bookmarkStart w:id="134" w:name="_Ref235110956"/>
      <w:bookmarkStart w:id="135" w:name="_Toc235118575"/>
      <w:r w:rsidRPr="007C6CCC">
        <w:rPr>
          <w:b w:val="0"/>
          <w:lang w:val="es-ES"/>
        </w:rPr>
        <w:t xml:space="preserve">Figura </w:t>
      </w:r>
      <w:r w:rsidRPr="007C6CCC">
        <w:rPr>
          <w:b w:val="0"/>
          <w:lang w:val="es-ES"/>
        </w:rPr>
        <w:fldChar w:fldCharType="begin"/>
      </w:r>
      <w:r w:rsidRPr="007C6CCC">
        <w:rPr>
          <w:b w:val="0"/>
          <w:lang w:val="es-ES"/>
        </w:rPr>
        <w:instrText xml:space="preserve"> SEQ Figura \* ARABIC </w:instrText>
      </w:r>
      <w:r w:rsidRPr="007C6CCC">
        <w:rPr>
          <w:b w:val="0"/>
          <w:lang w:val="es-ES"/>
        </w:rPr>
        <w:fldChar w:fldCharType="separate"/>
      </w:r>
      <w:r w:rsidR="00C96ADF">
        <w:rPr>
          <w:b w:val="0"/>
          <w:lang w:val="es-ES"/>
        </w:rPr>
        <w:t>35</w:t>
      </w:r>
      <w:r w:rsidRPr="007C6CCC">
        <w:rPr>
          <w:b w:val="0"/>
          <w:lang w:val="es-ES"/>
        </w:rPr>
        <w:fldChar w:fldCharType="end"/>
      </w:r>
      <w:bookmarkEnd w:id="134"/>
      <w:r w:rsidRPr="007C6CCC">
        <w:rPr>
          <w:b w:val="0"/>
          <w:lang w:val="es-ES"/>
        </w:rPr>
        <w:t xml:space="preserve">. </w:t>
      </w:r>
      <w:r>
        <w:rPr>
          <w:b w:val="0"/>
          <w:lang w:val="es-ES"/>
        </w:rPr>
        <w:t>Demanda de GLP por regiones (kg/año)</w:t>
      </w:r>
      <w:r w:rsidRPr="5FAE69B6">
        <w:rPr>
          <w:b w:val="0"/>
          <w:lang w:val="es-ES"/>
        </w:rPr>
        <w:t>.</w:t>
      </w:r>
      <w:bookmarkEnd w:id="135"/>
    </w:p>
    <w:p w14:paraId="654E7619" w14:textId="52FFDEB6" w:rsidR="00D9576D" w:rsidRDefault="00EC7ADD" w:rsidP="002F1961">
      <w:pPr>
        <w:spacing w:before="100" w:beforeAutospacing="1" w:after="100" w:afterAutospacing="1" w:line="360" w:lineRule="auto"/>
        <w:jc w:val="center"/>
      </w:pPr>
      <w:r>
        <w:rPr>
          <w:noProof/>
        </w:rPr>
        <w:drawing>
          <wp:inline distT="0" distB="0" distL="0" distR="0" wp14:anchorId="3D0FDA56" wp14:editId="73188277">
            <wp:extent cx="4806950" cy="2434844"/>
            <wp:effectExtent l="0" t="0" r="0" b="3810"/>
            <wp:docPr id="1849278487"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278487" name="Imagen 1849278487"/>
                    <pic:cNvPicPr/>
                  </pic:nvPicPr>
                  <pic:blipFill rotWithShape="1">
                    <a:blip r:embed="rId70">
                      <a:extLst>
                        <a:ext uri="{28A0092B-C50C-407E-A947-70E740481C1C}">
                          <a14:useLocalDpi xmlns:a14="http://schemas.microsoft.com/office/drawing/2010/main" val="0"/>
                        </a:ext>
                      </a:extLst>
                    </a:blip>
                    <a:srcRect t="8268"/>
                    <a:stretch>
                      <a:fillRect/>
                    </a:stretch>
                  </pic:blipFill>
                  <pic:spPr bwMode="auto">
                    <a:xfrm>
                      <a:off x="0" y="0"/>
                      <a:ext cx="4807197" cy="2434969"/>
                    </a:xfrm>
                    <a:prstGeom prst="rect">
                      <a:avLst/>
                    </a:prstGeom>
                    <a:ln>
                      <a:noFill/>
                    </a:ln>
                    <a:extLst>
                      <a:ext uri="{53640926-AAD7-44D8-BBD7-CCE9431645EC}">
                        <a14:shadowObscured xmlns:a14="http://schemas.microsoft.com/office/drawing/2010/main"/>
                      </a:ext>
                    </a:extLst>
                  </pic:spPr>
                </pic:pic>
              </a:graphicData>
            </a:graphic>
          </wp:inline>
        </w:drawing>
      </w:r>
    </w:p>
    <w:p w14:paraId="0E157C05" w14:textId="77777777" w:rsidR="00D9576D" w:rsidRPr="00EA33E4" w:rsidRDefault="00D9576D" w:rsidP="002F1961">
      <w:pPr>
        <w:spacing w:before="100" w:beforeAutospacing="1" w:after="100" w:afterAutospacing="1" w:line="360" w:lineRule="auto"/>
        <w:jc w:val="center"/>
        <w:rPr>
          <w:sz w:val="28"/>
          <w:szCs w:val="22"/>
        </w:rPr>
      </w:pPr>
      <w:r w:rsidRPr="00EA33E4">
        <w:rPr>
          <w:sz w:val="22"/>
          <w:szCs w:val="18"/>
        </w:rPr>
        <w:t>Fuente: SUI. Elaboración Propia</w:t>
      </w:r>
    </w:p>
    <w:p w14:paraId="40EC3250" w14:textId="4E37E921" w:rsidR="008146CC" w:rsidRPr="00842608" w:rsidRDefault="008146CC" w:rsidP="00EA33E4">
      <w:pPr>
        <w:pStyle w:val="Ttulo4"/>
        <w:spacing w:before="100" w:beforeAutospacing="1" w:after="100" w:afterAutospacing="1" w:line="360" w:lineRule="auto"/>
        <w:ind w:hanging="790"/>
      </w:pPr>
      <w:r w:rsidRPr="00842608">
        <w:t>Tendencias</w:t>
      </w:r>
    </w:p>
    <w:p w14:paraId="55991D8B" w14:textId="5C2993DB" w:rsidR="0084667C" w:rsidRDefault="007017B2" w:rsidP="002F1961">
      <w:pPr>
        <w:spacing w:before="100" w:beforeAutospacing="1" w:after="100" w:afterAutospacing="1" w:line="360" w:lineRule="auto"/>
        <w:rPr>
          <w:lang w:val="es-CO"/>
        </w:rPr>
      </w:pPr>
      <w:r>
        <w:rPr>
          <w:lang w:val="es-CO"/>
        </w:rPr>
        <w:t>Teniendo</w:t>
      </w:r>
      <w:r w:rsidR="00B55C08" w:rsidRPr="00B55C08">
        <w:rPr>
          <w:lang w:val="es-CO"/>
        </w:rPr>
        <w:t xml:space="preserve"> en </w:t>
      </w:r>
      <w:r>
        <w:rPr>
          <w:lang w:val="es-CO"/>
        </w:rPr>
        <w:t>cuenta lo indicado</w:t>
      </w:r>
      <w:r w:rsidR="00B55C08" w:rsidRPr="00B55C08">
        <w:rPr>
          <w:lang w:val="es-CO"/>
        </w:rPr>
        <w:t xml:space="preserve"> por </w:t>
      </w:r>
      <w:r>
        <w:rPr>
          <w:lang w:val="es-CO"/>
        </w:rPr>
        <w:t>la UPME</w:t>
      </w:r>
      <w:r w:rsidR="00B55C08" w:rsidRPr="006A1FE6">
        <w:rPr>
          <w:lang w:val="es-CO"/>
        </w:rPr>
        <w:t xml:space="preserve"> en el </w:t>
      </w:r>
      <w:r>
        <w:rPr>
          <w:lang w:val="es-CO"/>
        </w:rPr>
        <w:t>PI</w:t>
      </w:r>
      <w:r w:rsidR="002016F5">
        <w:rPr>
          <w:lang w:val="es-CO"/>
        </w:rPr>
        <w:t>AGLP, l</w:t>
      </w:r>
      <w:r w:rsidR="0084667C" w:rsidRPr="0084667C">
        <w:rPr>
          <w:lang w:val="es-CO"/>
        </w:rPr>
        <w:t xml:space="preserve">as proyecciones futuras para la </w:t>
      </w:r>
      <w:r w:rsidR="0084667C" w:rsidRPr="002016F5">
        <w:rPr>
          <w:lang w:val="es-CO"/>
        </w:rPr>
        <w:t>demanda de GLP</w:t>
      </w:r>
      <w:r w:rsidR="0084667C" w:rsidRPr="0084667C">
        <w:rPr>
          <w:lang w:val="es-CO"/>
        </w:rPr>
        <w:t xml:space="preserve"> en Colombia sugieren un crecimiento sostenido, impulsado por varios factores clave. A continuación, se presentan algunas de las principales tendencias y proyecciones:</w:t>
      </w:r>
    </w:p>
    <w:p w14:paraId="5EC42DDF" w14:textId="4688EB91" w:rsidR="0084667C" w:rsidRPr="001F1A55" w:rsidRDefault="00C07BA0" w:rsidP="002F1961">
      <w:pPr>
        <w:spacing w:before="100" w:beforeAutospacing="1" w:after="100" w:afterAutospacing="1" w:line="360" w:lineRule="auto"/>
        <w:rPr>
          <w:lang w:val="es-CO"/>
        </w:rPr>
      </w:pPr>
      <w:r>
        <w:rPr>
          <w:lang w:val="es-CO"/>
        </w:rPr>
        <w:t>a</w:t>
      </w:r>
      <w:r w:rsidR="0084667C" w:rsidRPr="001F1A55">
        <w:rPr>
          <w:lang w:val="es-CO"/>
        </w:rPr>
        <w:t>. Crecimiento en el sector residencial</w:t>
      </w:r>
    </w:p>
    <w:p w14:paraId="2720A199" w14:textId="77777777" w:rsidR="0084667C" w:rsidRPr="0084667C" w:rsidRDefault="0084667C">
      <w:pPr>
        <w:numPr>
          <w:ilvl w:val="0"/>
          <w:numId w:val="13"/>
        </w:numPr>
        <w:spacing w:before="100" w:beforeAutospacing="1" w:after="100" w:afterAutospacing="1" w:line="360" w:lineRule="auto"/>
        <w:rPr>
          <w:lang w:val="es-CO"/>
        </w:rPr>
      </w:pPr>
      <w:r w:rsidRPr="001F1A55">
        <w:rPr>
          <w:lang w:val="es-CO"/>
        </w:rPr>
        <w:t>Expansión de la cobertura</w:t>
      </w:r>
      <w:r w:rsidRPr="0084667C">
        <w:rPr>
          <w:lang w:val="es-CO"/>
        </w:rPr>
        <w:t xml:space="preserve">: La demanda de GLP en el sector residencial seguirá aumentando debido a la expansión de la cobertura del servicio de gas en áreas </w:t>
      </w:r>
      <w:r w:rsidRPr="0084667C">
        <w:rPr>
          <w:lang w:val="es-CO"/>
        </w:rPr>
        <w:lastRenderedPageBreak/>
        <w:t>rurales y periurbanas. Se estima que más hogares adoptarán el GLP como fuente de energía para cocción y calefacción.</w:t>
      </w:r>
    </w:p>
    <w:p w14:paraId="29E43F67" w14:textId="77777777" w:rsidR="0084667C" w:rsidRPr="0084667C" w:rsidRDefault="0084667C">
      <w:pPr>
        <w:numPr>
          <w:ilvl w:val="0"/>
          <w:numId w:val="13"/>
        </w:numPr>
        <w:spacing w:before="100" w:beforeAutospacing="1" w:after="100" w:afterAutospacing="1" w:line="360" w:lineRule="auto"/>
        <w:rPr>
          <w:lang w:val="es-CO"/>
        </w:rPr>
      </w:pPr>
      <w:r w:rsidRPr="001F1A55">
        <w:rPr>
          <w:lang w:val="es-CO"/>
        </w:rPr>
        <w:t>Preferencia por el GLP</w:t>
      </w:r>
      <w:r w:rsidRPr="0084667C">
        <w:rPr>
          <w:lang w:val="es-CO"/>
        </w:rPr>
        <w:t>: La tendencia hacia el uso de combustibles más limpios y eficientes continuará impulsando la demanda en los hogares, donde el GLP es considerado una alternativa preferible sobre otros combustibles fósiles.</w:t>
      </w:r>
    </w:p>
    <w:p w14:paraId="34611D92" w14:textId="6676ABCD" w:rsidR="0084667C" w:rsidRPr="001F1A55" w:rsidRDefault="00C07BA0" w:rsidP="002F1961">
      <w:pPr>
        <w:spacing w:before="100" w:beforeAutospacing="1" w:after="100" w:afterAutospacing="1" w:line="360" w:lineRule="auto"/>
        <w:rPr>
          <w:lang w:val="es-CO"/>
        </w:rPr>
      </w:pPr>
      <w:r>
        <w:rPr>
          <w:lang w:val="es-CO"/>
        </w:rPr>
        <w:t>b</w:t>
      </w:r>
      <w:r w:rsidR="0084667C" w:rsidRPr="001F1A55">
        <w:rPr>
          <w:lang w:val="es-CO"/>
        </w:rPr>
        <w:t>. Aumento en el uso industrial y comercial</w:t>
      </w:r>
    </w:p>
    <w:p w14:paraId="0CB84B00" w14:textId="77777777" w:rsidR="0084667C" w:rsidRPr="0084667C" w:rsidRDefault="0084667C">
      <w:pPr>
        <w:numPr>
          <w:ilvl w:val="0"/>
          <w:numId w:val="14"/>
        </w:numPr>
        <w:spacing w:before="100" w:beforeAutospacing="1" w:after="100" w:afterAutospacing="1" w:line="360" w:lineRule="auto"/>
        <w:rPr>
          <w:lang w:val="es-CO"/>
        </w:rPr>
      </w:pPr>
      <w:r w:rsidRPr="001F1A55">
        <w:rPr>
          <w:lang w:val="es-CO"/>
        </w:rPr>
        <w:t>Sector industrial</w:t>
      </w:r>
      <w:r w:rsidRPr="0084667C">
        <w:rPr>
          <w:lang w:val="es-CO"/>
        </w:rPr>
        <w:t>: Se anticipa que la demanda de GLP en el sector industrial crecerá, especialmente en procesos de producción y calefacción. Las industrias que buscan reducir su huella de carbono y adoptar prácticas sostenibles podrían incrementar su uso de GLP.</w:t>
      </w:r>
    </w:p>
    <w:p w14:paraId="1521F421" w14:textId="77777777" w:rsidR="0084667C" w:rsidRPr="0084667C" w:rsidRDefault="0084667C">
      <w:pPr>
        <w:numPr>
          <w:ilvl w:val="0"/>
          <w:numId w:val="14"/>
        </w:numPr>
        <w:spacing w:before="100" w:beforeAutospacing="1" w:after="100" w:afterAutospacing="1" w:line="360" w:lineRule="auto"/>
        <w:rPr>
          <w:lang w:val="es-CO"/>
        </w:rPr>
      </w:pPr>
      <w:r w:rsidRPr="001F1A55">
        <w:rPr>
          <w:lang w:val="es-CO"/>
        </w:rPr>
        <w:t>Comercialización</w:t>
      </w:r>
      <w:r w:rsidRPr="0084667C">
        <w:rPr>
          <w:lang w:val="es-CO"/>
        </w:rPr>
        <w:t>: El sector comercial, que incluye restaurantes y establecimientos de alimentos, también podría ver un aumento en la demanda, ya que el GLP es utilizado ampliamente en la cocina y en equipos de calefacción.</w:t>
      </w:r>
    </w:p>
    <w:p w14:paraId="529F4125" w14:textId="1A008DD4" w:rsidR="0084667C" w:rsidRPr="001F1A55" w:rsidRDefault="00C07BA0" w:rsidP="002F1961">
      <w:pPr>
        <w:spacing w:before="100" w:beforeAutospacing="1" w:after="100" w:afterAutospacing="1" w:line="360" w:lineRule="auto"/>
        <w:rPr>
          <w:lang w:val="es-CO"/>
        </w:rPr>
      </w:pPr>
      <w:r>
        <w:rPr>
          <w:lang w:val="es-CO"/>
        </w:rPr>
        <w:t>c</w:t>
      </w:r>
      <w:r w:rsidR="0084667C" w:rsidRPr="001F1A55">
        <w:rPr>
          <w:lang w:val="es-CO"/>
        </w:rPr>
        <w:t>. Adopción en el transporte</w:t>
      </w:r>
    </w:p>
    <w:p w14:paraId="42931A42" w14:textId="77777777" w:rsidR="0084667C" w:rsidRPr="0084667C" w:rsidRDefault="0084667C">
      <w:pPr>
        <w:numPr>
          <w:ilvl w:val="0"/>
          <w:numId w:val="15"/>
        </w:numPr>
        <w:spacing w:before="100" w:beforeAutospacing="1" w:after="100" w:afterAutospacing="1" w:line="360" w:lineRule="auto"/>
        <w:rPr>
          <w:lang w:val="es-CO"/>
        </w:rPr>
      </w:pPr>
      <w:r w:rsidRPr="001F1A55">
        <w:rPr>
          <w:lang w:val="es-CO"/>
        </w:rPr>
        <w:t>Transporte ecológico</w:t>
      </w:r>
      <w:r w:rsidRPr="0084667C">
        <w:rPr>
          <w:lang w:val="es-CO"/>
        </w:rPr>
        <w:t>: Las políticas gubernamentales que fomentan la transición hacia combustibles más limpios pueden aumentar la adopción de GLP en el sector del transporte. Se espera que más vehículos utilicen GLP como una alternativa más sostenible a la gasolina y el diésel.</w:t>
      </w:r>
    </w:p>
    <w:p w14:paraId="20632C72" w14:textId="77777777" w:rsidR="0084667C" w:rsidRPr="0084667C" w:rsidRDefault="0084667C">
      <w:pPr>
        <w:numPr>
          <w:ilvl w:val="0"/>
          <w:numId w:val="15"/>
        </w:numPr>
        <w:spacing w:before="100" w:beforeAutospacing="1" w:after="100" w:afterAutospacing="1" w:line="360" w:lineRule="auto"/>
        <w:rPr>
          <w:lang w:val="es-CO"/>
        </w:rPr>
      </w:pPr>
      <w:r w:rsidRPr="001F1A55">
        <w:rPr>
          <w:lang w:val="es-CO"/>
        </w:rPr>
        <w:t>Incentivos y regulaciones</w:t>
      </w:r>
      <w:r w:rsidRPr="0084667C">
        <w:rPr>
          <w:lang w:val="es-CO"/>
        </w:rPr>
        <w:t>: La implementación de incentivos fiscales y regulaciones que favorezcan el uso de GLP en el transporte podría acelerar este proceso.</w:t>
      </w:r>
    </w:p>
    <w:p w14:paraId="0F9DEAD7" w14:textId="2973469F" w:rsidR="0084667C" w:rsidRDefault="001F1A55" w:rsidP="002F1961">
      <w:pPr>
        <w:spacing w:before="100" w:beforeAutospacing="1" w:after="100" w:afterAutospacing="1" w:line="360" w:lineRule="auto"/>
        <w:rPr>
          <w:lang w:val="es-CO"/>
        </w:rPr>
      </w:pPr>
      <w:r>
        <w:rPr>
          <w:lang w:val="es-CO"/>
        </w:rPr>
        <w:t>En este orden</w:t>
      </w:r>
      <w:r w:rsidR="0084667C">
        <w:rPr>
          <w:lang w:val="es-CO"/>
        </w:rPr>
        <w:t xml:space="preserve"> de </w:t>
      </w:r>
      <w:r>
        <w:rPr>
          <w:lang w:val="es-CO"/>
        </w:rPr>
        <w:t>ideas</w:t>
      </w:r>
      <w:r w:rsidR="0084667C" w:rsidRPr="0084667C">
        <w:rPr>
          <w:lang w:val="es-CO"/>
        </w:rPr>
        <w:t xml:space="preserve">, las proyecciones para la demanda de GLP en Colombia son optimistas, con un crecimiento sostenido impulsado por la expansión de la cobertura, el aumento en el uso en sectores industriales y comerciales, y la posible adopción en el transporte. </w:t>
      </w:r>
    </w:p>
    <w:p w14:paraId="466C3BF4" w14:textId="77777777" w:rsidR="00684646" w:rsidRPr="00F501A1" w:rsidRDefault="00684646" w:rsidP="002F1961">
      <w:pPr>
        <w:spacing w:before="100" w:beforeAutospacing="1" w:after="100" w:afterAutospacing="1" w:line="360" w:lineRule="auto"/>
      </w:pPr>
    </w:p>
    <w:p w14:paraId="1DD60E7D" w14:textId="31B06F99" w:rsidR="00546CD9" w:rsidRPr="00842608" w:rsidRDefault="0083620E" w:rsidP="002F1961">
      <w:pPr>
        <w:pStyle w:val="Ttulo4"/>
        <w:spacing w:before="100" w:beforeAutospacing="1" w:after="100" w:afterAutospacing="1" w:line="360" w:lineRule="auto"/>
      </w:pPr>
      <w:r w:rsidRPr="00842608">
        <w:lastRenderedPageBreak/>
        <w:t>Participación por sector de consumo</w:t>
      </w:r>
    </w:p>
    <w:p w14:paraId="2998CA31" w14:textId="78F6F830" w:rsidR="00084022" w:rsidRDefault="00084022" w:rsidP="002F1961">
      <w:pPr>
        <w:tabs>
          <w:tab w:val="num" w:pos="360"/>
        </w:tabs>
        <w:spacing w:before="100" w:beforeAutospacing="1" w:after="100" w:afterAutospacing="1" w:line="360" w:lineRule="auto"/>
        <w:rPr>
          <w:lang w:val="es-CO"/>
        </w:rPr>
      </w:pPr>
      <w:r w:rsidRPr="0024453B">
        <w:rPr>
          <w:lang w:val="es-CO"/>
        </w:rPr>
        <w:t>En relación con el comportamiento por sector de consumo</w:t>
      </w:r>
      <w:r>
        <w:rPr>
          <w:lang w:val="es-CO"/>
        </w:rPr>
        <w:t xml:space="preserve">, </w:t>
      </w:r>
      <w:r w:rsidR="0073548F">
        <w:rPr>
          <w:lang w:val="es-CO"/>
        </w:rPr>
        <w:t xml:space="preserve">ver </w:t>
      </w:r>
      <w:r w:rsidR="00EA33E4" w:rsidRPr="00EA33E4">
        <w:rPr>
          <w:lang w:val="es-CO"/>
        </w:rPr>
        <w:fldChar w:fldCharType="begin"/>
      </w:r>
      <w:r w:rsidR="00EA33E4" w:rsidRPr="00EA33E4">
        <w:rPr>
          <w:lang w:val="es-CO"/>
        </w:rPr>
        <w:instrText xml:space="preserve"> REF _Ref235111166 \h  \* MERGEFORMAT </w:instrText>
      </w:r>
      <w:r w:rsidR="00EA33E4" w:rsidRPr="00EA33E4">
        <w:rPr>
          <w:lang w:val="es-CO"/>
        </w:rPr>
      </w:r>
      <w:r w:rsidR="00EA33E4" w:rsidRPr="00EA33E4">
        <w:rPr>
          <w:lang w:val="es-CO"/>
        </w:rPr>
        <w:fldChar w:fldCharType="separate"/>
      </w:r>
      <w:r w:rsidR="00EA33E4" w:rsidRPr="00EA33E4">
        <w:rPr>
          <w:lang w:val="es-ES"/>
        </w:rPr>
        <w:t xml:space="preserve">Figura </w:t>
      </w:r>
      <w:r w:rsidR="00EA33E4" w:rsidRPr="00EA33E4">
        <w:rPr>
          <w:noProof/>
          <w:lang w:val="es-ES"/>
        </w:rPr>
        <w:t>36</w:t>
      </w:r>
      <w:r w:rsidR="00EA33E4" w:rsidRPr="00EA33E4">
        <w:rPr>
          <w:lang w:val="es-CO"/>
        </w:rPr>
        <w:fldChar w:fldCharType="end"/>
      </w:r>
      <w:r w:rsidR="0073548F" w:rsidRPr="00EA33E4">
        <w:rPr>
          <w:lang w:val="es-CO"/>
        </w:rPr>
        <w:t>,</w:t>
      </w:r>
      <w:r w:rsidR="0073548F">
        <w:rPr>
          <w:lang w:val="es-CO"/>
        </w:rPr>
        <w:t xml:space="preserve"> </w:t>
      </w:r>
      <w:r>
        <w:rPr>
          <w:lang w:val="es-CO"/>
        </w:rPr>
        <w:t>se observa lo siguiente:</w:t>
      </w:r>
    </w:p>
    <w:p w14:paraId="190B5818" w14:textId="7508BDA5" w:rsidR="00084022" w:rsidRPr="0024453B" w:rsidRDefault="00084022">
      <w:pPr>
        <w:pStyle w:val="Prrafodelista"/>
        <w:numPr>
          <w:ilvl w:val="0"/>
          <w:numId w:val="66"/>
        </w:numPr>
        <w:spacing w:before="100" w:beforeAutospacing="1" w:after="100" w:afterAutospacing="1" w:line="360" w:lineRule="auto"/>
        <w:ind w:left="426" w:hanging="426"/>
        <w:rPr>
          <w:lang w:val="es-CO"/>
        </w:rPr>
      </w:pPr>
      <w:r w:rsidRPr="0024453B">
        <w:rPr>
          <w:b/>
          <w:bCs/>
          <w:lang w:val="es-CO"/>
        </w:rPr>
        <w:t>Sector residencial:</w:t>
      </w:r>
      <w:r w:rsidRPr="0024453B">
        <w:rPr>
          <w:lang w:val="es-CO"/>
        </w:rPr>
        <w:t xml:space="preserve"> </w:t>
      </w:r>
      <w:r w:rsidR="006163AD" w:rsidRPr="005C4268">
        <w:rPr>
          <w:lang w:val="es-CO"/>
        </w:rPr>
        <w:t xml:space="preserve">Aproximadamente el </w:t>
      </w:r>
      <w:r w:rsidR="006163AD" w:rsidRPr="0073548F">
        <w:rPr>
          <w:lang w:val="es-CO"/>
        </w:rPr>
        <w:t>56%</w:t>
      </w:r>
      <w:r w:rsidR="006163AD" w:rsidRPr="005C4268">
        <w:rPr>
          <w:lang w:val="es-CO"/>
        </w:rPr>
        <w:t xml:space="preserve"> de la demanda total proviene del sector residencial</w:t>
      </w:r>
      <w:r w:rsidR="00540B2A">
        <w:rPr>
          <w:lang w:val="es-CO"/>
        </w:rPr>
        <w:t xml:space="preserve">, esta </w:t>
      </w:r>
      <w:r w:rsidRPr="0024453B">
        <w:rPr>
          <w:lang w:val="es-CO"/>
        </w:rPr>
        <w:t>demanda se caracteriza por una respuesta limitada a variaciones de precio en el corto plazo, dado que el combustible constituye una fuente energética esencial para la cocción de alimentos, especialmente en zonas rurales y municipios donde el acceso al gas natural es restringido. De acuerdo con las proyecciones de la UPME, para 2023 aproximadamente el 27 % de los cerca de 17 millones de hogares del país utilizó GLP para la cocción de alimentos, mediante cilindros, tanques estacionarios o redes de distribución. Este comportamiento evidencia la importancia del GLP para garantizar el acceso a servicios energéticos básicos y explica la estabilidad observada en la demanda residencial.</w:t>
      </w:r>
    </w:p>
    <w:p w14:paraId="0F7B0912" w14:textId="6CD784F3" w:rsidR="00084022" w:rsidRPr="00EF77FD" w:rsidRDefault="00084022">
      <w:pPr>
        <w:pStyle w:val="Prrafodelista"/>
        <w:numPr>
          <w:ilvl w:val="0"/>
          <w:numId w:val="66"/>
        </w:numPr>
        <w:spacing w:before="100" w:beforeAutospacing="1" w:after="100" w:afterAutospacing="1" w:line="360" w:lineRule="auto"/>
        <w:ind w:left="426" w:hanging="426"/>
        <w:rPr>
          <w:lang w:val="es-CO"/>
        </w:rPr>
      </w:pPr>
      <w:r w:rsidRPr="00EF77FD">
        <w:rPr>
          <w:b/>
          <w:bCs/>
          <w:lang w:val="es-CO"/>
        </w:rPr>
        <w:t>Sector industrial y comercial</w:t>
      </w:r>
      <w:r>
        <w:rPr>
          <w:b/>
          <w:bCs/>
          <w:lang w:val="es-CO"/>
        </w:rPr>
        <w:t>:</w:t>
      </w:r>
      <w:r w:rsidRPr="00EF77FD">
        <w:rPr>
          <w:lang w:val="es-CO"/>
        </w:rPr>
        <w:t xml:space="preserve"> </w:t>
      </w:r>
      <w:r w:rsidR="001663AA" w:rsidRPr="005C4268">
        <w:rPr>
          <w:lang w:val="es-CO"/>
        </w:rPr>
        <w:t xml:space="preserve">Los sectores comercial e industrial representan alrededor </w:t>
      </w:r>
      <w:r w:rsidR="001663AA" w:rsidRPr="001663AA">
        <w:rPr>
          <w:lang w:val="es-CO"/>
        </w:rPr>
        <w:t>del 30-38%</w:t>
      </w:r>
      <w:r w:rsidR="001663AA" w:rsidRPr="005C4268">
        <w:rPr>
          <w:lang w:val="es-CO"/>
        </w:rPr>
        <w:t xml:space="preserve"> de la demanda</w:t>
      </w:r>
      <w:r w:rsidR="001663AA">
        <w:rPr>
          <w:lang w:val="es-CO"/>
        </w:rPr>
        <w:t>.</w:t>
      </w:r>
      <w:r w:rsidR="001663AA" w:rsidRPr="00EF77FD">
        <w:rPr>
          <w:lang w:val="es-CO"/>
        </w:rPr>
        <w:t xml:space="preserve"> </w:t>
      </w:r>
      <w:r w:rsidRPr="00EF77FD">
        <w:rPr>
          <w:lang w:val="es-CO"/>
        </w:rPr>
        <w:t>En est</w:t>
      </w:r>
      <w:r>
        <w:rPr>
          <w:lang w:val="es-CO"/>
        </w:rPr>
        <w:t>os sectores</w:t>
      </w:r>
      <w:r w:rsidRPr="00EF77FD">
        <w:rPr>
          <w:lang w:val="es-CO"/>
        </w:rPr>
        <w:t>, la demanda presenta una mayor capacidad de respuesta frente a cambios en los precios relativos y en la disponibilidad de otros combustibles. Las restricciones en la oferta nacional de gas natural y el incremento de sus costos de abastecimiento han favorecido la sustitución hacia GLP en procesos térmicos donde existe flexibilidad tecnológica. En consecuencia, la demanda industrial de GLP depende no solo de su precio, sino también de la evolución del mercado de gas natural, lo que evidencia una relación de sustitución entre ambos energéticos. Las proyecciones de balance de gas natural elaboradas por la UPME y Ecopetrol muestran un escenario de déficit estructural de oferta que ha incrementado la relevancia del GLP como combustible alternativo para determinados sectores productivos.</w:t>
      </w:r>
    </w:p>
    <w:p w14:paraId="3A7DEB37" w14:textId="75C59302" w:rsidR="005D42BD" w:rsidRPr="00EA33E4" w:rsidRDefault="005D42BD" w:rsidP="00472F54">
      <w:pPr>
        <w:pStyle w:val="Descripcin"/>
        <w:keepNext/>
        <w:spacing w:before="100" w:beforeAutospacing="1" w:after="0" w:line="360" w:lineRule="auto"/>
        <w:jc w:val="center"/>
        <w:rPr>
          <w:b w:val="0"/>
        </w:rPr>
      </w:pPr>
      <w:bookmarkStart w:id="136" w:name="_Ref235111166"/>
      <w:bookmarkStart w:id="137" w:name="_Toc235118576"/>
      <w:r w:rsidRPr="00EA33E4">
        <w:rPr>
          <w:b w:val="0"/>
          <w:lang w:val="es-ES"/>
        </w:rPr>
        <w:lastRenderedPageBreak/>
        <w:t xml:space="preserve">Figura </w:t>
      </w:r>
      <w:r w:rsidRPr="00EA33E4">
        <w:rPr>
          <w:b w:val="0"/>
          <w:lang w:val="es-ES"/>
        </w:rPr>
        <w:fldChar w:fldCharType="begin"/>
      </w:r>
      <w:r w:rsidRPr="00EA33E4">
        <w:rPr>
          <w:b w:val="0"/>
          <w:lang w:val="es-ES"/>
        </w:rPr>
        <w:instrText xml:space="preserve"> SEQ Figura \* ARABIC </w:instrText>
      </w:r>
      <w:r w:rsidRPr="00EA33E4">
        <w:rPr>
          <w:b w:val="0"/>
          <w:lang w:val="es-ES"/>
        </w:rPr>
        <w:fldChar w:fldCharType="separate"/>
      </w:r>
      <w:r w:rsidR="00EA33E4" w:rsidRPr="00EA33E4">
        <w:rPr>
          <w:b w:val="0"/>
          <w:bCs/>
          <w:noProof/>
          <w:lang w:val="es-ES"/>
        </w:rPr>
        <w:t>36</w:t>
      </w:r>
      <w:r w:rsidRPr="00EA33E4">
        <w:rPr>
          <w:b w:val="0"/>
          <w:lang w:val="es-ES"/>
        </w:rPr>
        <w:fldChar w:fldCharType="end"/>
      </w:r>
      <w:bookmarkEnd w:id="136"/>
      <w:r w:rsidRPr="00EA33E4">
        <w:rPr>
          <w:b w:val="0"/>
          <w:lang w:val="es-ES"/>
        </w:rPr>
        <w:t xml:space="preserve">. </w:t>
      </w:r>
      <w:r>
        <w:rPr>
          <w:b w:val="0"/>
          <w:lang w:val="es-ES"/>
        </w:rPr>
        <w:t>P</w:t>
      </w:r>
      <w:r w:rsidR="00D32100">
        <w:rPr>
          <w:b w:val="0"/>
          <w:lang w:val="es-ES"/>
        </w:rPr>
        <w:t>articipación por sectores de consumo</w:t>
      </w:r>
      <w:r w:rsidRPr="5FAE69B6">
        <w:rPr>
          <w:b w:val="0"/>
          <w:lang w:val="es-ES"/>
        </w:rPr>
        <w:t>.</w:t>
      </w:r>
      <w:bookmarkEnd w:id="137"/>
    </w:p>
    <w:p w14:paraId="7B716858" w14:textId="4AC6655E" w:rsidR="0040716E" w:rsidRDefault="00AE410F" w:rsidP="00472F54">
      <w:pPr>
        <w:spacing w:line="360" w:lineRule="auto"/>
        <w:rPr>
          <w:lang w:val="es-CO"/>
        </w:rPr>
      </w:pPr>
      <w:r>
        <w:rPr>
          <w:noProof/>
          <w:lang w:val="es-CO"/>
        </w:rPr>
        <w:drawing>
          <wp:inline distT="0" distB="0" distL="0" distR="0" wp14:anchorId="671AFA7C" wp14:editId="4742DAEA">
            <wp:extent cx="1962000" cy="1504800"/>
            <wp:effectExtent l="0" t="0" r="635" b="635"/>
            <wp:docPr id="307351618"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962000" cy="1504800"/>
                    </a:xfrm>
                    <a:prstGeom prst="rect">
                      <a:avLst/>
                    </a:prstGeom>
                    <a:noFill/>
                  </pic:spPr>
                </pic:pic>
              </a:graphicData>
            </a:graphic>
          </wp:inline>
        </w:drawing>
      </w:r>
      <w:r w:rsidR="007D730C">
        <w:rPr>
          <w:lang w:val="es-CO"/>
        </w:rPr>
        <w:t xml:space="preserve"> </w:t>
      </w:r>
      <w:r w:rsidR="007D730C">
        <w:rPr>
          <w:noProof/>
          <w:lang w:val="es-CO"/>
        </w:rPr>
        <w:drawing>
          <wp:inline distT="0" distB="0" distL="0" distR="0" wp14:anchorId="7D3B237A" wp14:editId="0BEE125B">
            <wp:extent cx="1962000" cy="1504800"/>
            <wp:effectExtent l="0" t="0" r="635" b="635"/>
            <wp:docPr id="848456373"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62000" cy="1504800"/>
                    </a:xfrm>
                    <a:prstGeom prst="rect">
                      <a:avLst/>
                    </a:prstGeom>
                    <a:noFill/>
                  </pic:spPr>
                </pic:pic>
              </a:graphicData>
            </a:graphic>
          </wp:inline>
        </w:drawing>
      </w:r>
      <w:r w:rsidR="005D42BD">
        <w:rPr>
          <w:lang w:val="es-CO"/>
        </w:rPr>
        <w:t xml:space="preserve"> </w:t>
      </w:r>
      <w:r w:rsidR="005D42BD">
        <w:rPr>
          <w:noProof/>
        </w:rPr>
        <w:drawing>
          <wp:inline distT="0" distB="0" distL="0" distR="0" wp14:anchorId="382B984C" wp14:editId="6878A309">
            <wp:extent cx="1954800" cy="1504800"/>
            <wp:effectExtent l="0" t="0" r="7620" b="635"/>
            <wp:docPr id="1980100907"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100907" name=""/>
                    <pic:cNvPicPr/>
                  </pic:nvPicPr>
                  <pic:blipFill>
                    <a:blip r:embed="rId73">
                      <a:extLst>
                        <a:ext uri="{96DAC541-7B7A-43D3-8B79-37D633B846F1}">
                          <asvg:svgBlip xmlns:asvg="http://schemas.microsoft.com/office/drawing/2016/SVG/main" r:embed="rId74"/>
                        </a:ext>
                      </a:extLst>
                    </a:blip>
                    <a:stretch>
                      <a:fillRect/>
                    </a:stretch>
                  </pic:blipFill>
                  <pic:spPr>
                    <a:xfrm>
                      <a:off x="0" y="0"/>
                      <a:ext cx="1954800" cy="1504800"/>
                    </a:xfrm>
                    <a:prstGeom prst="rect">
                      <a:avLst/>
                    </a:prstGeom>
                  </pic:spPr>
                </pic:pic>
              </a:graphicData>
            </a:graphic>
          </wp:inline>
        </w:drawing>
      </w:r>
    </w:p>
    <w:p w14:paraId="2503D75F" w14:textId="55FAE9B8" w:rsidR="00D32100" w:rsidRDefault="00D32100" w:rsidP="00472F54">
      <w:pPr>
        <w:spacing w:after="100" w:afterAutospacing="1" w:line="360" w:lineRule="auto"/>
        <w:jc w:val="center"/>
      </w:pPr>
      <w:r w:rsidRPr="07F0F678">
        <w:rPr>
          <w:sz w:val="20"/>
          <w:lang w:val="es-ES"/>
        </w:rPr>
        <w:t xml:space="preserve">Fuente: </w:t>
      </w:r>
      <w:r w:rsidR="00945D58" w:rsidRPr="07F0F678">
        <w:rPr>
          <w:sz w:val="20"/>
          <w:lang w:val="es-ES"/>
        </w:rPr>
        <w:t>GASNOVA</w:t>
      </w:r>
      <w:r w:rsidR="00C35B08" w:rsidRPr="07F0F678">
        <w:rPr>
          <w:sz w:val="20"/>
          <w:lang w:val="es-ES"/>
        </w:rPr>
        <w:t xml:space="preserve"> – Informe Estadístico </w:t>
      </w:r>
      <w:proofErr w:type="gramStart"/>
      <w:r w:rsidR="00C35B08" w:rsidRPr="07F0F678">
        <w:rPr>
          <w:sz w:val="20"/>
          <w:lang w:val="es-ES"/>
        </w:rPr>
        <w:t>Mayo</w:t>
      </w:r>
      <w:proofErr w:type="gramEnd"/>
      <w:r w:rsidR="00C35B08" w:rsidRPr="07F0F678">
        <w:rPr>
          <w:sz w:val="20"/>
          <w:lang w:val="es-ES"/>
        </w:rPr>
        <w:t xml:space="preserve"> 2026</w:t>
      </w:r>
      <w:r w:rsidRPr="07F0F678">
        <w:rPr>
          <w:sz w:val="20"/>
          <w:lang w:val="es-ES"/>
        </w:rPr>
        <w:t>.</w:t>
      </w:r>
    </w:p>
    <w:p w14:paraId="15D8E224" w14:textId="1F7D70C7" w:rsidR="00644E04" w:rsidRPr="00816179" w:rsidRDefault="00816179" w:rsidP="002F1961">
      <w:pPr>
        <w:spacing w:before="100" w:beforeAutospacing="1" w:after="100" w:afterAutospacing="1" w:line="360" w:lineRule="auto"/>
        <w:rPr>
          <w:lang w:val="es-CO"/>
        </w:rPr>
      </w:pPr>
      <w:r>
        <w:rPr>
          <w:lang w:val="es-CO"/>
        </w:rPr>
        <w:t>De lo anterior, se observa que l</w:t>
      </w:r>
      <w:r w:rsidR="00644E04" w:rsidRPr="00816179">
        <w:rPr>
          <w:lang w:val="es-CO"/>
        </w:rPr>
        <w:t>a alta participación del sector residencial confirma que el GLP mantiene una función social relevante dentro de la política pública energética, razón por la cual la regulación debe preservar simultáneamente la suficiencia financiera de la cadena y la asequibilidad del servicio para los usuarios.</w:t>
      </w:r>
    </w:p>
    <w:p w14:paraId="4CC4E855" w14:textId="094F361F" w:rsidR="004A3BAE" w:rsidRPr="007C4048" w:rsidRDefault="008E6634" w:rsidP="002F1961">
      <w:pPr>
        <w:pStyle w:val="Ttulo2"/>
        <w:spacing w:before="100" w:beforeAutospacing="1" w:after="100" w:afterAutospacing="1"/>
      </w:pPr>
      <w:bookmarkStart w:id="138" w:name="_Toc235128340"/>
      <w:r w:rsidRPr="007C4048">
        <w:t>Cadena de valor</w:t>
      </w:r>
      <w:bookmarkEnd w:id="138"/>
      <w:r w:rsidR="11872541" w:rsidRPr="007C4048">
        <w:t xml:space="preserve"> </w:t>
      </w:r>
    </w:p>
    <w:p w14:paraId="18F7B1AF" w14:textId="62CBB9A7" w:rsidR="00B86DEE" w:rsidRDefault="00EA33E4" w:rsidP="002F1961">
      <w:pPr>
        <w:spacing w:before="100" w:beforeAutospacing="1" w:after="100" w:afterAutospacing="1" w:line="360" w:lineRule="auto"/>
        <w:rPr>
          <w:rFonts w:cs="Arial"/>
          <w:lang w:val="es-ES"/>
        </w:rPr>
      </w:pPr>
      <w:r>
        <w:rPr>
          <w:rFonts w:cs="Arial"/>
          <w:lang w:val="es-ES"/>
        </w:rPr>
        <w:t>Como se indic</w:t>
      </w:r>
      <w:r w:rsidR="00947F3C">
        <w:rPr>
          <w:rFonts w:cs="Arial"/>
          <w:lang w:val="es-ES"/>
        </w:rPr>
        <w:t>ó en el numeral</w:t>
      </w:r>
      <w:r>
        <w:rPr>
          <w:rFonts w:cs="Arial"/>
          <w:lang w:val="es-ES"/>
        </w:rPr>
        <w:t xml:space="preserve"> </w:t>
      </w:r>
      <w:r w:rsidR="003A5E09">
        <w:rPr>
          <w:rFonts w:cs="Arial"/>
          <w:lang w:val="es-ES"/>
        </w:rPr>
        <w:fldChar w:fldCharType="begin"/>
      </w:r>
      <w:r w:rsidR="003A5E09">
        <w:rPr>
          <w:rFonts w:cs="Arial"/>
          <w:lang w:val="es-ES"/>
        </w:rPr>
        <w:instrText xml:space="preserve"> REF _Ref235111231 \r \h </w:instrText>
      </w:r>
      <w:r w:rsidR="003A5E09">
        <w:rPr>
          <w:rFonts w:cs="Arial"/>
          <w:lang w:val="es-ES"/>
        </w:rPr>
      </w:r>
      <w:r w:rsidR="003A5E09">
        <w:rPr>
          <w:rFonts w:cs="Arial"/>
          <w:lang w:val="es-ES"/>
        </w:rPr>
        <w:fldChar w:fldCharType="separate"/>
      </w:r>
      <w:r w:rsidR="003A5E09">
        <w:rPr>
          <w:rFonts w:cs="Arial"/>
          <w:lang w:val="es-ES"/>
        </w:rPr>
        <w:t>1.2</w:t>
      </w:r>
      <w:r w:rsidR="003A5E09">
        <w:rPr>
          <w:rFonts w:cs="Arial"/>
          <w:lang w:val="es-ES"/>
        </w:rPr>
        <w:fldChar w:fldCharType="end"/>
      </w:r>
      <w:r w:rsidR="003A5E09">
        <w:rPr>
          <w:rFonts w:cs="Arial"/>
          <w:lang w:val="es-ES"/>
        </w:rPr>
        <w:t>, l</w:t>
      </w:r>
      <w:r w:rsidR="00B86DEE" w:rsidRPr="3E14A800">
        <w:rPr>
          <w:rFonts w:cs="Arial"/>
          <w:lang w:val="es-ES"/>
        </w:rPr>
        <w:t xml:space="preserve">a cadena de valor del </w:t>
      </w:r>
      <w:r w:rsidR="00B86DEE">
        <w:rPr>
          <w:rFonts w:cs="Arial"/>
          <w:lang w:val="es-ES"/>
        </w:rPr>
        <w:t xml:space="preserve">GLP </w:t>
      </w:r>
      <w:r w:rsidR="00B86DEE" w:rsidRPr="3E14A800">
        <w:rPr>
          <w:rFonts w:cs="Arial"/>
          <w:lang w:val="es-ES"/>
        </w:rPr>
        <w:t xml:space="preserve">está compuesta por </w:t>
      </w:r>
      <w:r w:rsidR="00B86DEE">
        <w:rPr>
          <w:rFonts w:cs="Arial"/>
          <w:lang w:val="es-ES"/>
        </w:rPr>
        <w:t>cuatro actividades</w:t>
      </w:r>
      <w:r w:rsidR="00B86DEE" w:rsidRPr="3E14A800">
        <w:rPr>
          <w:rFonts w:cs="Arial"/>
          <w:lang w:val="es-ES"/>
        </w:rPr>
        <w:t xml:space="preserve"> que son: </w:t>
      </w:r>
      <w:r w:rsidR="00742BC4">
        <w:rPr>
          <w:rFonts w:cs="Arial"/>
          <w:lang w:val="es-ES"/>
        </w:rPr>
        <w:t xml:space="preserve">(i) </w:t>
      </w:r>
      <w:r w:rsidR="00B86DEE">
        <w:rPr>
          <w:rFonts w:cs="Arial"/>
          <w:lang w:val="es-ES"/>
        </w:rPr>
        <w:t xml:space="preserve">comercialización mayorista, </w:t>
      </w:r>
      <w:r w:rsidR="00742BC4">
        <w:rPr>
          <w:rFonts w:cs="Arial"/>
          <w:lang w:val="es-ES"/>
        </w:rPr>
        <w:t>(</w:t>
      </w:r>
      <w:proofErr w:type="spellStart"/>
      <w:r w:rsidR="00742BC4">
        <w:rPr>
          <w:rFonts w:cs="Arial"/>
          <w:lang w:val="es-ES"/>
        </w:rPr>
        <w:t>ii</w:t>
      </w:r>
      <w:proofErr w:type="spellEnd"/>
      <w:r w:rsidR="00742BC4">
        <w:rPr>
          <w:rFonts w:cs="Arial"/>
          <w:lang w:val="es-ES"/>
        </w:rPr>
        <w:t xml:space="preserve">) </w:t>
      </w:r>
      <w:r w:rsidR="00B86DEE">
        <w:rPr>
          <w:rFonts w:cs="Arial"/>
          <w:lang w:val="es-ES"/>
        </w:rPr>
        <w:t xml:space="preserve">transporte por ductos, </w:t>
      </w:r>
      <w:r w:rsidR="00742BC4">
        <w:rPr>
          <w:rFonts w:cs="Arial"/>
          <w:lang w:val="es-ES"/>
        </w:rPr>
        <w:t>(</w:t>
      </w:r>
      <w:proofErr w:type="spellStart"/>
      <w:r w:rsidR="00742BC4">
        <w:rPr>
          <w:rFonts w:cs="Arial"/>
          <w:lang w:val="es-ES"/>
        </w:rPr>
        <w:t>iii</w:t>
      </w:r>
      <w:proofErr w:type="spellEnd"/>
      <w:r w:rsidR="00742BC4">
        <w:rPr>
          <w:rFonts w:cs="Arial"/>
          <w:lang w:val="es-ES"/>
        </w:rPr>
        <w:t xml:space="preserve">) </w:t>
      </w:r>
      <w:r w:rsidR="00B86DEE">
        <w:rPr>
          <w:rFonts w:cs="Arial"/>
          <w:lang w:val="es-ES"/>
        </w:rPr>
        <w:t xml:space="preserve">distribución y </w:t>
      </w:r>
      <w:r w:rsidR="001F7262">
        <w:rPr>
          <w:rFonts w:cs="Arial"/>
          <w:lang w:val="es-ES"/>
        </w:rPr>
        <w:t>(</w:t>
      </w:r>
      <w:proofErr w:type="spellStart"/>
      <w:r w:rsidR="001F7262">
        <w:rPr>
          <w:rFonts w:cs="Arial"/>
          <w:lang w:val="es-ES"/>
        </w:rPr>
        <w:t>iv</w:t>
      </w:r>
      <w:proofErr w:type="spellEnd"/>
      <w:r w:rsidR="001F7262">
        <w:rPr>
          <w:rFonts w:cs="Arial"/>
          <w:lang w:val="es-ES"/>
        </w:rPr>
        <w:t xml:space="preserve">) </w:t>
      </w:r>
      <w:r w:rsidR="00B86DEE">
        <w:rPr>
          <w:rFonts w:cs="Arial"/>
          <w:lang w:val="es-ES"/>
        </w:rPr>
        <w:t>comercialización minorista</w:t>
      </w:r>
      <w:r w:rsidR="00B86DEE" w:rsidRPr="3E14A800">
        <w:rPr>
          <w:rFonts w:cs="Arial"/>
          <w:lang w:val="es-ES"/>
        </w:rPr>
        <w:t xml:space="preserve">. </w:t>
      </w:r>
    </w:p>
    <w:p w14:paraId="13AF710C" w14:textId="7C086D57" w:rsidR="001516E4" w:rsidRPr="00C3508B" w:rsidRDefault="001516E4" w:rsidP="00A354A5">
      <w:pPr>
        <w:pStyle w:val="Descripcin"/>
        <w:keepNext/>
        <w:spacing w:before="100" w:beforeAutospacing="1" w:after="0" w:line="360" w:lineRule="auto"/>
        <w:jc w:val="center"/>
        <w:rPr>
          <w:b w:val="0"/>
        </w:rPr>
      </w:pPr>
      <w:bookmarkStart w:id="139" w:name="_Toc235118577"/>
      <w:r w:rsidRPr="00C3508B">
        <w:rPr>
          <w:b w:val="0"/>
          <w:lang w:val="es-ES"/>
        </w:rPr>
        <w:t xml:space="preserve">Figura </w:t>
      </w:r>
      <w:r w:rsidRPr="00472F54">
        <w:rPr>
          <w:b w:val="0"/>
          <w:lang w:val="es-ES"/>
        </w:rPr>
        <w:fldChar w:fldCharType="begin"/>
      </w:r>
      <w:r w:rsidRPr="00472F54">
        <w:rPr>
          <w:b w:val="0"/>
          <w:lang w:val="es-ES"/>
        </w:rPr>
        <w:instrText xml:space="preserve"> SEQ Figura \* ARABIC </w:instrText>
      </w:r>
      <w:r w:rsidRPr="00472F54">
        <w:rPr>
          <w:b w:val="0"/>
          <w:lang w:val="es-ES"/>
        </w:rPr>
        <w:fldChar w:fldCharType="separate"/>
      </w:r>
      <w:r w:rsidR="00C3508B" w:rsidRPr="00472F54">
        <w:rPr>
          <w:b w:val="0"/>
          <w:lang w:val="es-ES"/>
        </w:rPr>
        <w:t>37</w:t>
      </w:r>
      <w:r w:rsidRPr="00472F54">
        <w:rPr>
          <w:b w:val="0"/>
          <w:lang w:val="es-ES"/>
        </w:rPr>
        <w:fldChar w:fldCharType="end"/>
      </w:r>
      <w:r w:rsidRPr="00472F54">
        <w:rPr>
          <w:b w:val="0"/>
          <w:lang w:val="es-ES"/>
        </w:rPr>
        <w:t>.</w:t>
      </w:r>
      <w:r w:rsidRPr="00C3508B">
        <w:rPr>
          <w:b w:val="0"/>
          <w:lang w:val="es-ES"/>
        </w:rPr>
        <w:t xml:space="preserve"> </w:t>
      </w:r>
      <w:r w:rsidR="008220A4">
        <w:rPr>
          <w:b w:val="0"/>
          <w:lang w:val="es-ES"/>
        </w:rPr>
        <w:t>Cadena de Valor del GLP</w:t>
      </w:r>
      <w:bookmarkEnd w:id="139"/>
    </w:p>
    <w:p w14:paraId="73CD31FC" w14:textId="77777777" w:rsidR="00B86DEE" w:rsidRDefault="00B86DEE" w:rsidP="00472F54">
      <w:pPr>
        <w:spacing w:line="360" w:lineRule="auto"/>
        <w:jc w:val="center"/>
      </w:pPr>
      <w:r>
        <w:rPr>
          <w:noProof/>
        </w:rPr>
        <w:drawing>
          <wp:inline distT="0" distB="0" distL="0" distR="0" wp14:anchorId="7C9B95AA" wp14:editId="6CBBA92D">
            <wp:extent cx="5550877" cy="2648277"/>
            <wp:effectExtent l="0" t="0" r="0" b="0"/>
            <wp:docPr id="103269988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604915" cy="2674058"/>
                    </a:xfrm>
                    <a:prstGeom prst="rect">
                      <a:avLst/>
                    </a:prstGeom>
                    <a:noFill/>
                  </pic:spPr>
                </pic:pic>
              </a:graphicData>
            </a:graphic>
          </wp:inline>
        </w:drawing>
      </w:r>
    </w:p>
    <w:p w14:paraId="22038896" w14:textId="049860E3" w:rsidR="00B86DEE" w:rsidRDefault="00B86DEE" w:rsidP="00472F54">
      <w:pPr>
        <w:spacing w:line="360" w:lineRule="auto"/>
        <w:jc w:val="center"/>
      </w:pPr>
      <w:r>
        <w:t>Elaboración</w:t>
      </w:r>
      <w:r w:rsidR="007C4048">
        <w:t>: CREG</w:t>
      </w:r>
    </w:p>
    <w:p w14:paraId="16210384" w14:textId="77777777" w:rsidR="006212ED" w:rsidRDefault="006212ED" w:rsidP="006212ED">
      <w:pPr>
        <w:spacing w:before="100" w:beforeAutospacing="1" w:after="100" w:afterAutospacing="1" w:line="360" w:lineRule="auto"/>
        <w:rPr>
          <w:rFonts w:cs="Arial"/>
          <w:lang w:val="es-ES"/>
        </w:rPr>
      </w:pPr>
      <w:r w:rsidRPr="3E14A800">
        <w:rPr>
          <w:rFonts w:cs="Arial"/>
          <w:lang w:val="es-ES"/>
        </w:rPr>
        <w:lastRenderedPageBreak/>
        <w:t>A continuación, se resumen los principales aspectos de cada un</w:t>
      </w:r>
      <w:r>
        <w:rPr>
          <w:rFonts w:cs="Arial"/>
          <w:lang w:val="es-ES"/>
        </w:rPr>
        <w:t>a</w:t>
      </w:r>
      <w:r w:rsidRPr="3E14A800">
        <w:rPr>
          <w:rFonts w:cs="Arial"/>
          <w:lang w:val="es-ES"/>
        </w:rPr>
        <w:t xml:space="preserve"> de l</w:t>
      </w:r>
      <w:r>
        <w:rPr>
          <w:rFonts w:cs="Arial"/>
          <w:lang w:val="es-ES"/>
        </w:rPr>
        <w:t>a</w:t>
      </w:r>
      <w:r w:rsidRPr="3E14A800">
        <w:rPr>
          <w:rFonts w:cs="Arial"/>
          <w:lang w:val="es-ES"/>
        </w:rPr>
        <w:t xml:space="preserve">s </w:t>
      </w:r>
      <w:r>
        <w:rPr>
          <w:rFonts w:cs="Arial"/>
          <w:lang w:val="es-ES"/>
        </w:rPr>
        <w:t>actividades</w:t>
      </w:r>
      <w:r w:rsidRPr="3E14A800">
        <w:rPr>
          <w:rFonts w:cs="Arial"/>
          <w:lang w:val="es-ES"/>
        </w:rPr>
        <w:t>.</w:t>
      </w:r>
    </w:p>
    <w:p w14:paraId="006BA12E" w14:textId="03F4B0A7" w:rsidR="004A3BAE" w:rsidRDefault="00096911" w:rsidP="002F1961">
      <w:pPr>
        <w:pStyle w:val="Ttulo3"/>
        <w:spacing w:before="100" w:beforeAutospacing="1" w:after="100" w:afterAutospacing="1"/>
      </w:pPr>
      <w:bookmarkStart w:id="140" w:name="_Toc235128341"/>
      <w:r w:rsidRPr="00096911">
        <w:t>Producción e importación</w:t>
      </w:r>
      <w:bookmarkEnd w:id="140"/>
    </w:p>
    <w:p w14:paraId="3E708528" w14:textId="6C2FE460" w:rsidR="00195F4B" w:rsidRDefault="009B68D0" w:rsidP="002F1961">
      <w:pPr>
        <w:spacing w:before="100" w:beforeAutospacing="1" w:after="100" w:afterAutospacing="1" w:line="360" w:lineRule="auto"/>
        <w:rPr>
          <w:rFonts w:cs="Arial"/>
          <w:lang w:val="es-ES"/>
        </w:rPr>
      </w:pPr>
      <w:r>
        <w:rPr>
          <w:rFonts w:cs="Arial"/>
          <w:lang w:val="es-ES"/>
        </w:rPr>
        <w:t>El</w:t>
      </w:r>
      <w:r w:rsidRPr="009B68D0">
        <w:rPr>
          <w:rFonts w:cs="Arial"/>
          <w:lang w:val="es-ES"/>
        </w:rPr>
        <w:t xml:space="preserve"> abastecimiento de GLP en Colombia se divide en dos componentes principales: la producción nacional y la importación, cada una con dinámicas de mercado y regulatorias distintas</w:t>
      </w:r>
      <w:r w:rsidR="00405CC2">
        <w:rPr>
          <w:rFonts w:cs="Arial"/>
          <w:lang w:val="es-ES"/>
        </w:rPr>
        <w:t>.</w:t>
      </w:r>
    </w:p>
    <w:p w14:paraId="3208FE81" w14:textId="77777777" w:rsidR="00D81941" w:rsidRPr="00D81941" w:rsidRDefault="00D81941" w:rsidP="002F1961">
      <w:pPr>
        <w:spacing w:before="100" w:beforeAutospacing="1" w:after="100" w:afterAutospacing="1" w:line="360" w:lineRule="auto"/>
        <w:rPr>
          <w:rFonts w:cs="Arial"/>
          <w:lang w:val="es-CO"/>
        </w:rPr>
      </w:pPr>
      <w:r w:rsidRPr="00D81941">
        <w:rPr>
          <w:rFonts w:cs="Arial"/>
          <w:lang w:val="es-CO"/>
        </w:rPr>
        <w:t>La producción nacional es la fuente principal de suministro y se clasifica según el régimen de precios:</w:t>
      </w:r>
    </w:p>
    <w:p w14:paraId="1E186DD0" w14:textId="59841AC5" w:rsidR="00D81941" w:rsidRPr="00ED13A5" w:rsidRDefault="00D81941">
      <w:pPr>
        <w:numPr>
          <w:ilvl w:val="0"/>
          <w:numId w:val="39"/>
        </w:numPr>
        <w:spacing w:before="100" w:beforeAutospacing="1" w:after="100" w:afterAutospacing="1" w:line="360" w:lineRule="auto"/>
        <w:rPr>
          <w:rFonts w:cs="Arial"/>
          <w:lang w:val="es-CO"/>
        </w:rPr>
      </w:pPr>
      <w:r w:rsidRPr="00ED13A5">
        <w:rPr>
          <w:rFonts w:cs="Arial"/>
          <w:lang w:val="es-CO"/>
        </w:rPr>
        <w:t>Fuentes de Precio Regulado: Están concentradas exclusivamente en Ecopetrol (Refinerías de Cartagena y Barrancabermeja, y campos como Cusiana/</w:t>
      </w:r>
      <w:proofErr w:type="spellStart"/>
      <w:r w:rsidRPr="00ED13A5">
        <w:rPr>
          <w:rFonts w:cs="Arial"/>
          <w:lang w:val="es-CO"/>
        </w:rPr>
        <w:t>Cupiagua</w:t>
      </w:r>
      <w:proofErr w:type="spellEnd"/>
      <w:r w:rsidRPr="00ED13A5">
        <w:rPr>
          <w:rFonts w:cs="Arial"/>
          <w:lang w:val="es-CO"/>
        </w:rPr>
        <w:t xml:space="preserve"> y Dina). Al ser un subproducto de la refinación o del gas natural, su volumen es incierto y depende de otros procesos operativos del productor. La comercialización de estas fuentes se realiza mediante Ofertas Públicas de Cantidades (OPC), un mecanismo centralizado donde la CREG define las cantidades y zonas de influencia.</w:t>
      </w:r>
    </w:p>
    <w:p w14:paraId="2A397AF6" w14:textId="77777777" w:rsidR="00D81941" w:rsidRPr="00ED13A5" w:rsidRDefault="00D81941">
      <w:pPr>
        <w:numPr>
          <w:ilvl w:val="0"/>
          <w:numId w:val="39"/>
        </w:numPr>
        <w:spacing w:before="100" w:beforeAutospacing="1" w:after="100" w:afterAutospacing="1" w:line="360" w:lineRule="auto"/>
        <w:rPr>
          <w:rFonts w:cs="Arial"/>
          <w:lang w:val="es-CO"/>
        </w:rPr>
      </w:pPr>
      <w:r w:rsidRPr="00ED13A5">
        <w:rPr>
          <w:rFonts w:cs="Arial"/>
          <w:lang w:val="es-CO"/>
        </w:rPr>
        <w:t xml:space="preserve">Fuentes de Precio Libre: Son producidas por agentes menores como Parex, </w:t>
      </w:r>
      <w:proofErr w:type="spellStart"/>
      <w:r w:rsidRPr="00ED13A5">
        <w:rPr>
          <w:rFonts w:cs="Arial"/>
          <w:lang w:val="es-CO"/>
        </w:rPr>
        <w:t>Turgas</w:t>
      </w:r>
      <w:proofErr w:type="spellEnd"/>
      <w:r w:rsidRPr="00ED13A5">
        <w:rPr>
          <w:rFonts w:cs="Arial"/>
          <w:lang w:val="es-CO"/>
        </w:rPr>
        <w:t xml:space="preserve">, </w:t>
      </w:r>
      <w:proofErr w:type="spellStart"/>
      <w:r w:rsidRPr="00ED13A5">
        <w:rPr>
          <w:rFonts w:cs="Arial"/>
          <w:lang w:val="es-CO"/>
        </w:rPr>
        <w:t>Tygas</w:t>
      </w:r>
      <w:proofErr w:type="spellEnd"/>
      <w:r w:rsidRPr="00ED13A5">
        <w:rPr>
          <w:rFonts w:cs="Arial"/>
          <w:lang w:val="es-CO"/>
        </w:rPr>
        <w:t xml:space="preserve">, PBI y </w:t>
      </w:r>
      <w:proofErr w:type="spellStart"/>
      <w:r w:rsidRPr="00ED13A5">
        <w:rPr>
          <w:rFonts w:cs="Arial"/>
          <w:lang w:val="es-CO"/>
        </w:rPr>
        <w:t>Petrosantander</w:t>
      </w:r>
      <w:proofErr w:type="spellEnd"/>
      <w:r w:rsidRPr="00ED13A5">
        <w:rPr>
          <w:rFonts w:cs="Arial"/>
          <w:lang w:val="es-CO"/>
        </w:rPr>
        <w:t>. Estas empresas asignan su producto mediante mecanismos competitivos (subastas o procesos cerrados) donde el precio base suele ser el precio regulado de Cusiana más un margen adicional.</w:t>
      </w:r>
    </w:p>
    <w:p w14:paraId="78C35075" w14:textId="071A45CB" w:rsidR="00D81941" w:rsidRPr="004A76FD" w:rsidRDefault="006A236B" w:rsidP="002F1961">
      <w:pPr>
        <w:tabs>
          <w:tab w:val="num" w:pos="720"/>
        </w:tabs>
        <w:spacing w:before="100" w:beforeAutospacing="1" w:after="100" w:afterAutospacing="1" w:line="360" w:lineRule="auto"/>
        <w:rPr>
          <w:rFonts w:cs="Arial"/>
          <w:lang w:val="es-CO"/>
        </w:rPr>
      </w:pPr>
      <w:r w:rsidRPr="004A76FD">
        <w:rPr>
          <w:rFonts w:cs="Arial"/>
          <w:lang w:val="es-CO"/>
        </w:rPr>
        <w:t xml:space="preserve">En </w:t>
      </w:r>
      <w:r>
        <w:rPr>
          <w:rFonts w:cs="Arial"/>
          <w:lang w:val="es-CO"/>
        </w:rPr>
        <w:t>relación con</w:t>
      </w:r>
      <w:r w:rsidR="00885DB5" w:rsidRPr="004A76FD">
        <w:rPr>
          <w:rFonts w:cs="Arial"/>
          <w:lang w:val="es-CO"/>
        </w:rPr>
        <w:t xml:space="preserve"> los contratos</w:t>
      </w:r>
      <w:r w:rsidR="00264B14" w:rsidRPr="004A76FD">
        <w:rPr>
          <w:rFonts w:cs="Arial"/>
          <w:lang w:val="es-CO"/>
        </w:rPr>
        <w:t xml:space="preserve"> de suministro</w:t>
      </w:r>
      <w:r w:rsidR="00885DB5" w:rsidRPr="004A76FD">
        <w:rPr>
          <w:rFonts w:cs="Arial"/>
          <w:lang w:val="es-CO"/>
        </w:rPr>
        <w:t xml:space="preserve">, </w:t>
      </w:r>
      <w:r w:rsidR="00887F80">
        <w:rPr>
          <w:rFonts w:cs="Arial"/>
          <w:lang w:val="es-CO"/>
        </w:rPr>
        <w:t xml:space="preserve">de los que trata el </w:t>
      </w:r>
      <w:r>
        <w:rPr>
          <w:rFonts w:cs="Arial"/>
          <w:lang w:val="es-CO"/>
        </w:rPr>
        <w:t xml:space="preserve">artículo 15 </w:t>
      </w:r>
      <w:r w:rsidR="00887F80">
        <w:rPr>
          <w:rFonts w:cs="Arial"/>
          <w:lang w:val="es-CO"/>
        </w:rPr>
        <w:t>Reglamento de Comercialización Mayorista, Resolución CREG 053 de 201</w:t>
      </w:r>
      <w:r w:rsidR="002447E7">
        <w:rPr>
          <w:rFonts w:cs="Arial"/>
          <w:lang w:val="es-CO"/>
        </w:rPr>
        <w:t xml:space="preserve">1, </w:t>
      </w:r>
      <w:r w:rsidR="00885DB5" w:rsidRPr="004A76FD">
        <w:rPr>
          <w:rFonts w:cs="Arial"/>
          <w:lang w:val="es-CO"/>
        </w:rPr>
        <w:t>l</w:t>
      </w:r>
      <w:r w:rsidR="00D81941" w:rsidRPr="004A76FD">
        <w:rPr>
          <w:rFonts w:cs="Arial"/>
          <w:lang w:val="es-CO"/>
        </w:rPr>
        <w:t xml:space="preserve">os productores utilizan contratos tipo (en firme o interrumpibles) con plazos que suelen oscilar entre los </w:t>
      </w:r>
      <w:r w:rsidR="00A2238F">
        <w:rPr>
          <w:rFonts w:cs="Arial"/>
          <w:lang w:val="es-CO"/>
        </w:rPr>
        <w:t>seis (</w:t>
      </w:r>
      <w:r w:rsidR="00D81941" w:rsidRPr="004A76FD">
        <w:rPr>
          <w:rFonts w:cs="Arial"/>
          <w:lang w:val="es-CO"/>
        </w:rPr>
        <w:t>6</w:t>
      </w:r>
      <w:r w:rsidR="00A2238F">
        <w:rPr>
          <w:rFonts w:cs="Arial"/>
          <w:lang w:val="es-CO"/>
        </w:rPr>
        <w:t>)</w:t>
      </w:r>
      <w:r w:rsidR="00D81941" w:rsidRPr="004A76FD">
        <w:rPr>
          <w:rFonts w:cs="Arial"/>
          <w:lang w:val="es-CO"/>
        </w:rPr>
        <w:t xml:space="preserve"> y </w:t>
      </w:r>
      <w:r w:rsidR="00A2238F">
        <w:rPr>
          <w:rFonts w:cs="Arial"/>
          <w:lang w:val="es-CO"/>
        </w:rPr>
        <w:t>doce (</w:t>
      </w:r>
      <w:r w:rsidR="00D81941" w:rsidRPr="004A76FD">
        <w:rPr>
          <w:rFonts w:cs="Arial"/>
          <w:lang w:val="es-CO"/>
        </w:rPr>
        <w:t>12</w:t>
      </w:r>
      <w:r w:rsidR="00A2238F">
        <w:rPr>
          <w:rFonts w:cs="Arial"/>
          <w:lang w:val="es-CO"/>
        </w:rPr>
        <w:t>)</w:t>
      </w:r>
      <w:r w:rsidR="00D81941" w:rsidRPr="004A76FD">
        <w:rPr>
          <w:rFonts w:cs="Arial"/>
          <w:lang w:val="es-CO"/>
        </w:rPr>
        <w:t xml:space="preserve"> meses.</w:t>
      </w:r>
    </w:p>
    <w:p w14:paraId="511A7F8F" w14:textId="4F56B787" w:rsidR="00D81941" w:rsidRPr="00FF7398" w:rsidRDefault="004A76FD" w:rsidP="002F1961">
      <w:pPr>
        <w:spacing w:before="100" w:beforeAutospacing="1" w:after="100" w:afterAutospacing="1" w:line="360" w:lineRule="auto"/>
        <w:rPr>
          <w:rFonts w:cs="Arial"/>
          <w:lang w:val="es-CO"/>
        </w:rPr>
      </w:pPr>
      <w:r>
        <w:rPr>
          <w:rFonts w:cs="Arial"/>
          <w:lang w:val="es-CO"/>
        </w:rPr>
        <w:t xml:space="preserve">Por su parte, </w:t>
      </w:r>
      <w:r w:rsidR="00D7557D">
        <w:rPr>
          <w:rFonts w:cs="Arial"/>
          <w:lang w:val="es-CO"/>
        </w:rPr>
        <w:t xml:space="preserve">como se muestra en el </w:t>
      </w:r>
      <w:r w:rsidR="00B6636F" w:rsidRPr="009424F9">
        <w:rPr>
          <w:rFonts w:cs="Arial"/>
          <w:lang w:val="es-CO"/>
        </w:rPr>
        <w:t xml:space="preserve">numeral </w:t>
      </w:r>
      <w:r w:rsidR="009424F9" w:rsidRPr="009424F9">
        <w:rPr>
          <w:rFonts w:cs="Arial"/>
          <w:lang w:val="es-CO"/>
        </w:rPr>
        <w:fldChar w:fldCharType="begin"/>
      </w:r>
      <w:r w:rsidR="009424F9" w:rsidRPr="009424F9">
        <w:rPr>
          <w:rFonts w:cs="Arial"/>
          <w:lang w:val="es-CO"/>
        </w:rPr>
        <w:instrText xml:space="preserve"> REF _Ref235111349 \r \h </w:instrText>
      </w:r>
      <w:r w:rsidR="009424F9">
        <w:rPr>
          <w:rFonts w:cs="Arial"/>
          <w:lang w:val="es-CO"/>
        </w:rPr>
        <w:instrText xml:space="preserve"> \* MERGEFORMAT </w:instrText>
      </w:r>
      <w:r w:rsidR="009424F9" w:rsidRPr="009424F9">
        <w:rPr>
          <w:rFonts w:cs="Arial"/>
          <w:lang w:val="es-CO"/>
        </w:rPr>
      </w:r>
      <w:r w:rsidR="009424F9" w:rsidRPr="009424F9">
        <w:rPr>
          <w:rFonts w:cs="Arial"/>
          <w:lang w:val="es-CO"/>
        </w:rPr>
        <w:fldChar w:fldCharType="separate"/>
      </w:r>
      <w:r w:rsidR="009424F9" w:rsidRPr="009424F9">
        <w:rPr>
          <w:rFonts w:cs="Arial"/>
          <w:lang w:val="es-CO"/>
        </w:rPr>
        <w:t>2.1.2</w:t>
      </w:r>
      <w:r w:rsidR="009424F9" w:rsidRPr="009424F9">
        <w:rPr>
          <w:rFonts w:cs="Arial"/>
          <w:lang w:val="es-CO"/>
        </w:rPr>
        <w:fldChar w:fldCharType="end"/>
      </w:r>
      <w:r w:rsidR="00B6636F">
        <w:rPr>
          <w:rFonts w:cs="Arial"/>
          <w:lang w:val="es-CO"/>
        </w:rPr>
        <w:t xml:space="preserve"> del presente documento, </w:t>
      </w:r>
      <w:r>
        <w:rPr>
          <w:rFonts w:cs="Arial"/>
          <w:lang w:val="es-CO"/>
        </w:rPr>
        <w:t>l</w:t>
      </w:r>
      <w:r w:rsidR="00D81941" w:rsidRPr="00D81941">
        <w:rPr>
          <w:rFonts w:cs="Arial"/>
          <w:lang w:val="es-CO"/>
        </w:rPr>
        <w:t xml:space="preserve">a </w:t>
      </w:r>
      <w:r w:rsidR="00D81941" w:rsidRPr="00FF7398">
        <w:rPr>
          <w:rFonts w:cs="Arial"/>
          <w:lang w:val="es-CO"/>
        </w:rPr>
        <w:t>importación</w:t>
      </w:r>
      <w:r w:rsidRPr="00FF7398">
        <w:rPr>
          <w:rFonts w:cs="Arial"/>
          <w:lang w:val="es-CO"/>
        </w:rPr>
        <w:t xml:space="preserve"> de GLP</w:t>
      </w:r>
      <w:r w:rsidR="00D81941" w:rsidRPr="00FF7398">
        <w:rPr>
          <w:rFonts w:cs="Arial"/>
          <w:lang w:val="es-CO"/>
        </w:rPr>
        <w:t xml:space="preserve"> funciona como un mecanismo para cubrir el déficit de la producción nacional, representando </w:t>
      </w:r>
      <w:r w:rsidR="002B2658">
        <w:rPr>
          <w:rFonts w:cs="Arial"/>
          <w:lang w:val="es-CO"/>
        </w:rPr>
        <w:t>en el último año</w:t>
      </w:r>
      <w:r w:rsidR="00D81941" w:rsidRPr="00FF7398">
        <w:rPr>
          <w:rFonts w:cs="Arial"/>
          <w:lang w:val="es-CO"/>
        </w:rPr>
        <w:t xml:space="preserve"> cerca del </w:t>
      </w:r>
      <w:r w:rsidR="002B2658">
        <w:rPr>
          <w:rFonts w:cs="Arial"/>
          <w:lang w:val="es-CO"/>
        </w:rPr>
        <w:t>40</w:t>
      </w:r>
      <w:r w:rsidR="00D81941" w:rsidRPr="00FF7398">
        <w:rPr>
          <w:rFonts w:cs="Arial"/>
          <w:lang w:val="es-CO"/>
        </w:rPr>
        <w:t>% de la demanda.</w:t>
      </w:r>
    </w:p>
    <w:p w14:paraId="009C7103" w14:textId="4884B1BF" w:rsidR="00D81941" w:rsidRPr="00FF7398" w:rsidRDefault="00D81941" w:rsidP="002F1961">
      <w:pPr>
        <w:spacing w:before="100" w:beforeAutospacing="1" w:after="100" w:afterAutospacing="1" w:line="360" w:lineRule="auto"/>
        <w:rPr>
          <w:rFonts w:cs="Arial"/>
          <w:lang w:val="es-CO"/>
        </w:rPr>
      </w:pPr>
      <w:r w:rsidRPr="00FF7398">
        <w:rPr>
          <w:rFonts w:cs="Arial"/>
          <w:lang w:val="es-CO"/>
        </w:rPr>
        <w:lastRenderedPageBreak/>
        <w:t xml:space="preserve">Los principales importadores </w:t>
      </w:r>
      <w:r w:rsidR="00A76761">
        <w:rPr>
          <w:rFonts w:cs="Arial"/>
          <w:lang w:val="es-CO"/>
        </w:rPr>
        <w:t xml:space="preserve">de GLP </w:t>
      </w:r>
      <w:r w:rsidRPr="00FF7398">
        <w:rPr>
          <w:rFonts w:cs="Arial"/>
          <w:lang w:val="es-CO"/>
        </w:rPr>
        <w:t xml:space="preserve">son </w:t>
      </w:r>
      <w:proofErr w:type="spellStart"/>
      <w:r w:rsidRPr="00FF7398">
        <w:rPr>
          <w:rFonts w:cs="Arial"/>
          <w:lang w:val="es-CO"/>
        </w:rPr>
        <w:t>Plexa</w:t>
      </w:r>
      <w:proofErr w:type="spellEnd"/>
      <w:r w:rsidRPr="00FF7398">
        <w:rPr>
          <w:rFonts w:cs="Arial"/>
          <w:lang w:val="es-CO"/>
        </w:rPr>
        <w:t xml:space="preserve"> y el Consorcio G5 (</w:t>
      </w:r>
      <w:proofErr w:type="spellStart"/>
      <w:r w:rsidRPr="00FF7398">
        <w:rPr>
          <w:rFonts w:cs="Arial"/>
          <w:lang w:val="es-CO"/>
        </w:rPr>
        <w:t>Norgas</w:t>
      </w:r>
      <w:proofErr w:type="spellEnd"/>
      <w:r w:rsidRPr="00FF7398">
        <w:rPr>
          <w:rFonts w:cs="Arial"/>
          <w:lang w:val="es-CO"/>
        </w:rPr>
        <w:t xml:space="preserve">, Gasco, Chilco, </w:t>
      </w:r>
      <w:proofErr w:type="spellStart"/>
      <w:r w:rsidRPr="00FF7398">
        <w:rPr>
          <w:rFonts w:cs="Arial"/>
          <w:lang w:val="es-CO"/>
        </w:rPr>
        <w:t>Montagas</w:t>
      </w:r>
      <w:proofErr w:type="spellEnd"/>
      <w:r w:rsidRPr="00FF7398">
        <w:rPr>
          <w:rFonts w:cs="Arial"/>
          <w:lang w:val="es-CO"/>
        </w:rPr>
        <w:t xml:space="preserve"> y </w:t>
      </w:r>
      <w:proofErr w:type="spellStart"/>
      <w:r w:rsidRPr="00FF7398">
        <w:rPr>
          <w:rFonts w:cs="Arial"/>
          <w:lang w:val="es-CO"/>
        </w:rPr>
        <w:t>Almagas</w:t>
      </w:r>
      <w:proofErr w:type="spellEnd"/>
      <w:r w:rsidRPr="00FF7398">
        <w:rPr>
          <w:rFonts w:cs="Arial"/>
          <w:lang w:val="es-CO"/>
        </w:rPr>
        <w:t>).</w:t>
      </w:r>
      <w:r w:rsidR="000768C3" w:rsidRPr="000768C3">
        <w:rPr>
          <w:rFonts w:cs="Arial"/>
          <w:lang w:val="es-CO"/>
        </w:rPr>
        <w:t xml:space="preserve"> </w:t>
      </w:r>
      <w:r w:rsidR="00A76761">
        <w:rPr>
          <w:rFonts w:cs="Arial"/>
          <w:lang w:val="es-CO"/>
        </w:rPr>
        <w:t xml:space="preserve">Quienes cuentan con </w:t>
      </w:r>
      <w:r w:rsidR="00A76761" w:rsidRPr="00FF7398">
        <w:rPr>
          <w:rFonts w:cs="Arial"/>
          <w:lang w:val="es-CO"/>
        </w:rPr>
        <w:t>facilidades privadas de importación principalmente en Cartagena, las cuales son de libre acceso para terceros previo pago de tarifas reguladas por el uso de muelle y servicios logísticos</w:t>
      </w:r>
      <w:r w:rsidR="005E7E49">
        <w:rPr>
          <w:rFonts w:cs="Arial"/>
          <w:lang w:val="es-CO"/>
        </w:rPr>
        <w:t>.</w:t>
      </w:r>
    </w:p>
    <w:p w14:paraId="0CA82E53" w14:textId="785549A2" w:rsidR="00D81941" w:rsidRPr="00FF7398" w:rsidRDefault="007F2C11" w:rsidP="002F1961">
      <w:pPr>
        <w:spacing w:before="100" w:beforeAutospacing="1" w:after="100" w:afterAutospacing="1" w:line="360" w:lineRule="auto"/>
        <w:rPr>
          <w:rFonts w:cs="Arial"/>
          <w:lang w:val="es-CO"/>
        </w:rPr>
      </w:pPr>
      <w:r>
        <w:rPr>
          <w:rFonts w:cs="Arial"/>
          <w:lang w:val="es-CO"/>
        </w:rPr>
        <w:t>Estas importaciones</w:t>
      </w:r>
      <w:r w:rsidR="00D81941" w:rsidRPr="00FF7398">
        <w:rPr>
          <w:rFonts w:cs="Arial"/>
          <w:lang w:val="es-CO"/>
        </w:rPr>
        <w:t xml:space="preserve"> </w:t>
      </w:r>
      <w:r>
        <w:rPr>
          <w:rFonts w:cs="Arial"/>
          <w:lang w:val="es-CO"/>
        </w:rPr>
        <w:t>r</w:t>
      </w:r>
      <w:r w:rsidR="00D81941" w:rsidRPr="00FF7398">
        <w:rPr>
          <w:rFonts w:cs="Arial"/>
          <w:lang w:val="es-CO"/>
        </w:rPr>
        <w:t>equiere</w:t>
      </w:r>
      <w:r>
        <w:rPr>
          <w:rFonts w:cs="Arial"/>
          <w:lang w:val="es-CO"/>
        </w:rPr>
        <w:t xml:space="preserve">n de </w:t>
      </w:r>
      <w:r w:rsidR="00D81941" w:rsidRPr="00FF7398">
        <w:rPr>
          <w:rFonts w:cs="Arial"/>
          <w:lang w:val="es-CO"/>
        </w:rPr>
        <w:t>la coordinación de varios agentes: el concesionario portuario, el operador portuario (encargado del cargue y descargue), la naviera y el "Trader" (intermediario que gestiona la compra internacional y la nacionalización).</w:t>
      </w:r>
    </w:p>
    <w:p w14:paraId="2E0C2C05" w14:textId="27072994" w:rsidR="00096911" w:rsidRDefault="00A71B74" w:rsidP="002F1961">
      <w:pPr>
        <w:pStyle w:val="Ttulo3"/>
        <w:spacing w:before="100" w:beforeAutospacing="1" w:after="100" w:afterAutospacing="1"/>
      </w:pPr>
      <w:bookmarkStart w:id="141" w:name="_Toc235128342"/>
      <w:r w:rsidRPr="00A71B74">
        <w:t>Comercialización mayorista</w:t>
      </w:r>
      <w:bookmarkEnd w:id="141"/>
    </w:p>
    <w:p w14:paraId="26D125F3" w14:textId="7019E91C" w:rsidR="007F5207" w:rsidRPr="007F5207" w:rsidRDefault="007F5207" w:rsidP="002F1961">
      <w:pPr>
        <w:spacing w:before="100" w:beforeAutospacing="1" w:after="100" w:afterAutospacing="1" w:line="360" w:lineRule="auto"/>
        <w:rPr>
          <w:rFonts w:cs="Arial"/>
          <w:lang w:val="es-CO"/>
        </w:rPr>
      </w:pPr>
      <w:r w:rsidRPr="007F5207">
        <w:rPr>
          <w:rFonts w:cs="Arial"/>
          <w:lang w:val="es-CO"/>
        </w:rPr>
        <w:t xml:space="preserve">La actividad de comercialización mayorista de GLP </w:t>
      </w:r>
      <w:r>
        <w:rPr>
          <w:rFonts w:cs="Arial"/>
          <w:lang w:val="es-CO"/>
        </w:rPr>
        <w:t>corresponde al</w:t>
      </w:r>
      <w:r w:rsidRPr="007F5207">
        <w:rPr>
          <w:rFonts w:cs="Arial"/>
          <w:lang w:val="es-CO"/>
        </w:rPr>
        <w:t xml:space="preserve"> suministro de este combustible al por mayor y a granel, con destino final a la prestación del servicio público domiciliario. Esta actividad actúa como un puente fundamental entre los grandes centros de producción o importación y los agentes que llevan el gas al usuario final.</w:t>
      </w:r>
    </w:p>
    <w:p w14:paraId="443AEF42" w14:textId="77777777" w:rsidR="007F5207" w:rsidRPr="007F5207" w:rsidRDefault="007F5207" w:rsidP="002F1961">
      <w:pPr>
        <w:spacing w:before="100" w:beforeAutospacing="1" w:after="100" w:afterAutospacing="1" w:line="360" w:lineRule="auto"/>
        <w:rPr>
          <w:rFonts w:cs="Arial"/>
          <w:lang w:val="es-CO"/>
        </w:rPr>
      </w:pPr>
      <w:r w:rsidRPr="007F5207">
        <w:rPr>
          <w:rFonts w:cs="Arial"/>
          <w:lang w:val="es-CO"/>
        </w:rPr>
        <w:t>Los vendedores en el mercado mayorista se dividen principalmente en tres grupos:</w:t>
      </w:r>
    </w:p>
    <w:p w14:paraId="23F99996" w14:textId="77777777" w:rsidR="007F5207" w:rsidRPr="0022104E" w:rsidRDefault="007F5207">
      <w:pPr>
        <w:numPr>
          <w:ilvl w:val="0"/>
          <w:numId w:val="41"/>
        </w:numPr>
        <w:tabs>
          <w:tab w:val="num" w:pos="720"/>
        </w:tabs>
        <w:spacing w:before="100" w:beforeAutospacing="1" w:after="100" w:afterAutospacing="1" w:line="360" w:lineRule="auto"/>
        <w:rPr>
          <w:rFonts w:cs="Arial"/>
          <w:b/>
          <w:bCs/>
          <w:lang w:val="es-CO"/>
        </w:rPr>
      </w:pPr>
      <w:r w:rsidRPr="0022104E">
        <w:rPr>
          <w:rFonts w:cs="Arial"/>
          <w:b/>
          <w:bCs/>
          <w:lang w:val="es-CO"/>
        </w:rPr>
        <w:t>Productores Nacionales:</w:t>
      </w:r>
    </w:p>
    <w:p w14:paraId="3985C478" w14:textId="77777777" w:rsidR="007F5207" w:rsidRPr="007F5207" w:rsidRDefault="007F5207">
      <w:pPr>
        <w:numPr>
          <w:ilvl w:val="1"/>
          <w:numId w:val="41"/>
        </w:numPr>
        <w:tabs>
          <w:tab w:val="num" w:pos="1440"/>
        </w:tabs>
        <w:spacing w:before="100" w:beforeAutospacing="1" w:after="100" w:afterAutospacing="1" w:line="360" w:lineRule="auto"/>
        <w:rPr>
          <w:rFonts w:cs="Arial"/>
          <w:lang w:val="es-CO"/>
        </w:rPr>
      </w:pPr>
      <w:r w:rsidRPr="007F5207">
        <w:rPr>
          <w:rFonts w:cs="Arial"/>
          <w:lang w:val="es-CO"/>
        </w:rPr>
        <w:t xml:space="preserve">Ecopetrol y Refinería de Cartagena: Son los oferentes predominantes de fuentes de precio regulado (como Cusiana, </w:t>
      </w:r>
      <w:proofErr w:type="spellStart"/>
      <w:r w:rsidRPr="007F5207">
        <w:rPr>
          <w:rFonts w:cs="Arial"/>
          <w:lang w:val="es-CO"/>
        </w:rPr>
        <w:t>Cupiagua</w:t>
      </w:r>
      <w:proofErr w:type="spellEnd"/>
      <w:r w:rsidRPr="007F5207">
        <w:rPr>
          <w:rFonts w:cs="Arial"/>
          <w:lang w:val="es-CO"/>
        </w:rPr>
        <w:t>, Dina y las refinerías de Barrancabermeja y Cartagena).</w:t>
      </w:r>
    </w:p>
    <w:p w14:paraId="5BCEF32D" w14:textId="77777777" w:rsidR="007F5207" w:rsidRPr="007F5207" w:rsidRDefault="007F5207">
      <w:pPr>
        <w:numPr>
          <w:ilvl w:val="1"/>
          <w:numId w:val="41"/>
        </w:numPr>
        <w:tabs>
          <w:tab w:val="num" w:pos="1440"/>
        </w:tabs>
        <w:spacing w:before="100" w:beforeAutospacing="1" w:after="100" w:afterAutospacing="1" w:line="360" w:lineRule="auto"/>
        <w:rPr>
          <w:rFonts w:cs="Arial"/>
          <w:lang w:val="es-CO"/>
        </w:rPr>
      </w:pPr>
      <w:r w:rsidRPr="007F5207">
        <w:rPr>
          <w:rFonts w:cs="Arial"/>
          <w:lang w:val="es-CO"/>
        </w:rPr>
        <w:t xml:space="preserve">Productores de precio libre: Empresas como Parex </w:t>
      </w:r>
      <w:proofErr w:type="spellStart"/>
      <w:r w:rsidRPr="007F5207">
        <w:rPr>
          <w:rFonts w:cs="Arial"/>
          <w:lang w:val="es-CO"/>
        </w:rPr>
        <w:t>Resources</w:t>
      </w:r>
      <w:proofErr w:type="spellEnd"/>
      <w:r w:rsidRPr="007F5207">
        <w:rPr>
          <w:rFonts w:cs="Arial"/>
          <w:lang w:val="es-CO"/>
        </w:rPr>
        <w:t xml:space="preserve">, TYGAS, PBI, </w:t>
      </w:r>
      <w:proofErr w:type="spellStart"/>
      <w:r w:rsidRPr="007F5207">
        <w:rPr>
          <w:rFonts w:cs="Arial"/>
          <w:lang w:val="es-CO"/>
        </w:rPr>
        <w:t>Turgas</w:t>
      </w:r>
      <w:proofErr w:type="spellEnd"/>
      <w:r w:rsidRPr="007F5207">
        <w:rPr>
          <w:rFonts w:cs="Arial"/>
          <w:lang w:val="es-CO"/>
        </w:rPr>
        <w:t xml:space="preserve"> y </w:t>
      </w:r>
      <w:proofErr w:type="spellStart"/>
      <w:r w:rsidRPr="007F5207">
        <w:rPr>
          <w:rFonts w:cs="Arial"/>
          <w:lang w:val="es-CO"/>
        </w:rPr>
        <w:t>Petrosantander</w:t>
      </w:r>
      <w:proofErr w:type="spellEnd"/>
      <w:r w:rsidRPr="007F5207">
        <w:rPr>
          <w:rFonts w:cs="Arial"/>
          <w:lang w:val="es-CO"/>
        </w:rPr>
        <w:t>, que comercializan el gas que producen como subproducto del petróleo o gas natural a precios de mercado.</w:t>
      </w:r>
    </w:p>
    <w:p w14:paraId="2D53FF68" w14:textId="77777777" w:rsidR="007F5207" w:rsidRPr="007F5207" w:rsidRDefault="007F5207">
      <w:pPr>
        <w:numPr>
          <w:ilvl w:val="0"/>
          <w:numId w:val="41"/>
        </w:numPr>
        <w:tabs>
          <w:tab w:val="num" w:pos="720"/>
        </w:tabs>
        <w:spacing w:before="100" w:beforeAutospacing="1" w:after="100" w:afterAutospacing="1" w:line="360" w:lineRule="auto"/>
        <w:rPr>
          <w:rFonts w:cs="Arial"/>
          <w:lang w:val="es-CO"/>
        </w:rPr>
      </w:pPr>
      <w:r w:rsidRPr="0022104E">
        <w:rPr>
          <w:rFonts w:cs="Arial"/>
          <w:b/>
          <w:bCs/>
          <w:lang w:val="es-CO"/>
        </w:rPr>
        <w:t>Importadores:</w:t>
      </w:r>
      <w:r w:rsidRPr="007F5207">
        <w:rPr>
          <w:rFonts w:cs="Arial"/>
          <w:lang w:val="es-CO"/>
        </w:rPr>
        <w:t xml:space="preserve"> Agentes que traen producto del exterior (principalmente de EE. UU.) para cubrir el déficit nacional. Destacan Ecopetrol, </w:t>
      </w:r>
      <w:proofErr w:type="spellStart"/>
      <w:r w:rsidRPr="007F5207">
        <w:rPr>
          <w:rFonts w:cs="Arial"/>
          <w:lang w:val="es-CO"/>
        </w:rPr>
        <w:t>Plexa</w:t>
      </w:r>
      <w:proofErr w:type="spellEnd"/>
      <w:r w:rsidRPr="007F5207">
        <w:rPr>
          <w:rFonts w:cs="Arial"/>
          <w:lang w:val="es-CO"/>
        </w:rPr>
        <w:t xml:space="preserve"> y el Consorcio G5 (</w:t>
      </w:r>
      <w:proofErr w:type="spellStart"/>
      <w:r w:rsidRPr="007F5207">
        <w:rPr>
          <w:rFonts w:cs="Arial"/>
          <w:lang w:val="es-CO"/>
        </w:rPr>
        <w:t>Norgas</w:t>
      </w:r>
      <w:proofErr w:type="spellEnd"/>
      <w:r w:rsidRPr="007F5207">
        <w:rPr>
          <w:rFonts w:cs="Arial"/>
          <w:lang w:val="es-CO"/>
        </w:rPr>
        <w:t xml:space="preserve">, Gasco, Chilco, </w:t>
      </w:r>
      <w:proofErr w:type="spellStart"/>
      <w:r w:rsidRPr="007F5207">
        <w:rPr>
          <w:rFonts w:cs="Arial"/>
          <w:lang w:val="es-CO"/>
        </w:rPr>
        <w:t>Montagas</w:t>
      </w:r>
      <w:proofErr w:type="spellEnd"/>
      <w:r w:rsidRPr="007F5207">
        <w:rPr>
          <w:rFonts w:cs="Arial"/>
          <w:lang w:val="es-CO"/>
        </w:rPr>
        <w:t xml:space="preserve"> y </w:t>
      </w:r>
      <w:proofErr w:type="spellStart"/>
      <w:r w:rsidRPr="007F5207">
        <w:rPr>
          <w:rFonts w:cs="Arial"/>
          <w:lang w:val="es-CO"/>
        </w:rPr>
        <w:t>Almagas</w:t>
      </w:r>
      <w:proofErr w:type="spellEnd"/>
      <w:r w:rsidRPr="007F5207">
        <w:rPr>
          <w:rFonts w:cs="Arial"/>
          <w:lang w:val="es-CO"/>
        </w:rPr>
        <w:t>).</w:t>
      </w:r>
    </w:p>
    <w:p w14:paraId="0A7A0E81" w14:textId="77777777" w:rsidR="007F5207" w:rsidRPr="007F5207" w:rsidRDefault="007F5207">
      <w:pPr>
        <w:numPr>
          <w:ilvl w:val="0"/>
          <w:numId w:val="41"/>
        </w:numPr>
        <w:tabs>
          <w:tab w:val="num" w:pos="720"/>
        </w:tabs>
        <w:spacing w:before="100" w:beforeAutospacing="1" w:after="100" w:afterAutospacing="1" w:line="360" w:lineRule="auto"/>
        <w:rPr>
          <w:rFonts w:cs="Arial"/>
          <w:lang w:val="es-CO"/>
        </w:rPr>
      </w:pPr>
      <w:r w:rsidRPr="0022104E">
        <w:rPr>
          <w:rFonts w:cs="Arial"/>
          <w:b/>
          <w:bCs/>
          <w:lang w:val="es-CO"/>
        </w:rPr>
        <w:t>Comercializadores Mayoristas Intermediarios:</w:t>
      </w:r>
      <w:r w:rsidRPr="007F5207">
        <w:rPr>
          <w:rFonts w:cs="Arial"/>
          <w:lang w:val="es-CO"/>
        </w:rPr>
        <w:t xml:space="preserve"> Empresas que, sin ser necesariamente productores o importadores, compran grandes volúmenes para revenderlos. Su rol es estratégico para agregar la demanda de pequeños </w:t>
      </w:r>
      <w:r w:rsidRPr="007F5207">
        <w:rPr>
          <w:rFonts w:cs="Arial"/>
          <w:lang w:val="es-CO"/>
        </w:rPr>
        <w:lastRenderedPageBreak/>
        <w:t>distribuidores que no pueden cumplir por sí solos con las garantías financieras o los mínimos técnicos de retiro exigidos por los grandes productores.</w:t>
      </w:r>
    </w:p>
    <w:p w14:paraId="7DECCEB9" w14:textId="7C872DB6" w:rsidR="007F5207" w:rsidRPr="007F5207" w:rsidRDefault="00573DB5" w:rsidP="002F1961">
      <w:pPr>
        <w:spacing w:before="100" w:beforeAutospacing="1" w:after="100" w:afterAutospacing="1" w:line="360" w:lineRule="auto"/>
        <w:rPr>
          <w:rFonts w:cs="Arial"/>
          <w:lang w:val="es-CO"/>
        </w:rPr>
      </w:pPr>
      <w:r>
        <w:rPr>
          <w:rFonts w:cs="Arial"/>
          <w:lang w:val="es-CO"/>
        </w:rPr>
        <w:t>Por su parte, l</w:t>
      </w:r>
      <w:r w:rsidR="007F5207" w:rsidRPr="007F5207">
        <w:rPr>
          <w:rFonts w:cs="Arial"/>
          <w:lang w:val="es-CO"/>
        </w:rPr>
        <w:t>a demanda en este eslabón está conformada por:</w:t>
      </w:r>
    </w:p>
    <w:p w14:paraId="00C3958F" w14:textId="77777777" w:rsidR="007F5207" w:rsidRPr="007F5207" w:rsidRDefault="007F5207">
      <w:pPr>
        <w:numPr>
          <w:ilvl w:val="0"/>
          <w:numId w:val="42"/>
        </w:numPr>
        <w:spacing w:before="100" w:beforeAutospacing="1" w:after="100" w:afterAutospacing="1" w:line="360" w:lineRule="auto"/>
        <w:rPr>
          <w:rFonts w:cs="Arial"/>
          <w:lang w:val="es-CO"/>
        </w:rPr>
      </w:pPr>
      <w:r w:rsidRPr="0022104E">
        <w:rPr>
          <w:rFonts w:cs="Arial"/>
          <w:b/>
          <w:bCs/>
          <w:lang w:val="es-CO"/>
        </w:rPr>
        <w:t>Distribuidores:</w:t>
      </w:r>
      <w:r w:rsidRPr="007F5207">
        <w:rPr>
          <w:rFonts w:cs="Arial"/>
          <w:lang w:val="es-CO"/>
        </w:rPr>
        <w:t xml:space="preserve"> Empresas que adquieren el GLP para envasarlo en cilindros o entregarlo a granel en tanques estacionarios.</w:t>
      </w:r>
    </w:p>
    <w:p w14:paraId="6A4D3649" w14:textId="77777777" w:rsidR="007F5207" w:rsidRPr="007F5207" w:rsidRDefault="007F5207">
      <w:pPr>
        <w:numPr>
          <w:ilvl w:val="0"/>
          <w:numId w:val="42"/>
        </w:numPr>
        <w:spacing w:before="100" w:beforeAutospacing="1" w:after="100" w:afterAutospacing="1" w:line="360" w:lineRule="auto"/>
        <w:rPr>
          <w:rFonts w:cs="Arial"/>
          <w:lang w:val="es-CO"/>
        </w:rPr>
      </w:pPr>
      <w:r w:rsidRPr="0022104E">
        <w:rPr>
          <w:rFonts w:cs="Arial"/>
          <w:b/>
          <w:bCs/>
          <w:lang w:val="es-CO"/>
        </w:rPr>
        <w:t>Distribuidores por redes:</w:t>
      </w:r>
      <w:r w:rsidRPr="007F5207">
        <w:rPr>
          <w:rFonts w:cs="Arial"/>
          <w:lang w:val="es-CO"/>
        </w:rPr>
        <w:t xml:space="preserve"> Agentes que compran el gas para suministrarlo a través de redes de tubería en municipios específicos.</w:t>
      </w:r>
    </w:p>
    <w:p w14:paraId="2F287639" w14:textId="77777777" w:rsidR="007F5207" w:rsidRPr="007F5207" w:rsidRDefault="007F5207">
      <w:pPr>
        <w:numPr>
          <w:ilvl w:val="0"/>
          <w:numId w:val="42"/>
        </w:numPr>
        <w:spacing w:before="100" w:beforeAutospacing="1" w:after="100" w:afterAutospacing="1" w:line="360" w:lineRule="auto"/>
        <w:rPr>
          <w:rFonts w:cs="Arial"/>
          <w:lang w:val="es-CO"/>
        </w:rPr>
      </w:pPr>
      <w:r w:rsidRPr="0022104E">
        <w:rPr>
          <w:rFonts w:cs="Arial"/>
          <w:b/>
          <w:bCs/>
          <w:lang w:val="es-CO"/>
        </w:rPr>
        <w:t>Otros Comercializadores Mayoristas:</w:t>
      </w:r>
      <w:r w:rsidRPr="007F5207">
        <w:rPr>
          <w:rFonts w:cs="Arial"/>
          <w:lang w:val="es-CO"/>
        </w:rPr>
        <w:t xml:space="preserve"> En ocasiones, se presentan transacciones entre mayoristas para gestionar excedentes o logística.</w:t>
      </w:r>
    </w:p>
    <w:p w14:paraId="3E4C36A2" w14:textId="77777777" w:rsidR="007F5207" w:rsidRPr="007F5207" w:rsidRDefault="007F5207">
      <w:pPr>
        <w:numPr>
          <w:ilvl w:val="0"/>
          <w:numId w:val="42"/>
        </w:numPr>
        <w:spacing w:before="100" w:beforeAutospacing="1" w:after="100" w:afterAutospacing="1" w:line="360" w:lineRule="auto"/>
        <w:rPr>
          <w:rFonts w:cs="Arial"/>
          <w:lang w:val="es-CO"/>
        </w:rPr>
      </w:pPr>
      <w:r w:rsidRPr="0022104E">
        <w:rPr>
          <w:rFonts w:cs="Arial"/>
          <w:b/>
          <w:bCs/>
          <w:lang w:val="es-CO"/>
        </w:rPr>
        <w:t>Usuarios No Regulados (UNR):</w:t>
      </w:r>
      <w:r w:rsidRPr="007F5207">
        <w:rPr>
          <w:rFonts w:cs="Arial"/>
          <w:lang w:val="es-CO"/>
        </w:rPr>
        <w:t xml:space="preserve"> Grandes consumidores industriales, aunque en la práctica suelen ser representados por distribuidores debido a las complejidades de la capacidad de compra.</w:t>
      </w:r>
    </w:p>
    <w:p w14:paraId="718E642D" w14:textId="77777777" w:rsidR="007F5207" w:rsidRPr="007F5207" w:rsidRDefault="007F5207" w:rsidP="002F1961">
      <w:pPr>
        <w:spacing w:before="100" w:beforeAutospacing="1" w:after="100" w:afterAutospacing="1" w:line="360" w:lineRule="auto"/>
        <w:rPr>
          <w:rFonts w:cs="Arial"/>
          <w:lang w:val="es-CO"/>
        </w:rPr>
      </w:pPr>
      <w:r w:rsidRPr="007F5207">
        <w:rPr>
          <w:rFonts w:cs="Arial"/>
          <w:lang w:val="es-CO"/>
        </w:rPr>
        <w:t>La dinámica operativa y comercial se rige por los siguientes mecanismos:</w:t>
      </w:r>
    </w:p>
    <w:p w14:paraId="7EA61817" w14:textId="41B0BA27" w:rsidR="007F5207" w:rsidRPr="007F5207" w:rsidRDefault="007F5207">
      <w:pPr>
        <w:numPr>
          <w:ilvl w:val="0"/>
          <w:numId w:val="43"/>
        </w:numPr>
        <w:spacing w:before="100" w:beforeAutospacing="1" w:after="100" w:afterAutospacing="1" w:line="360" w:lineRule="auto"/>
        <w:rPr>
          <w:rFonts w:cs="Arial"/>
          <w:lang w:val="es-CO"/>
        </w:rPr>
      </w:pPr>
      <w:r w:rsidRPr="007F5207">
        <w:rPr>
          <w:rFonts w:cs="Arial"/>
          <w:lang w:val="es-CO"/>
        </w:rPr>
        <w:t xml:space="preserve">Asignación de Cantidades: El producto </w:t>
      </w:r>
      <w:r w:rsidR="00D47369">
        <w:rPr>
          <w:rFonts w:cs="Arial"/>
          <w:lang w:val="es-CO"/>
        </w:rPr>
        <w:t xml:space="preserve">de precio </w:t>
      </w:r>
      <w:r w:rsidRPr="007F5207">
        <w:rPr>
          <w:rFonts w:cs="Arial"/>
          <w:lang w:val="es-CO"/>
        </w:rPr>
        <w:t>regulado</w:t>
      </w:r>
      <w:r w:rsidR="00D47369">
        <w:rPr>
          <w:rFonts w:cs="Arial"/>
          <w:lang w:val="es-CO"/>
        </w:rPr>
        <w:t>, comercializado por</w:t>
      </w:r>
      <w:r w:rsidRPr="007F5207">
        <w:rPr>
          <w:rFonts w:cs="Arial"/>
          <w:lang w:val="es-CO"/>
        </w:rPr>
        <w:t xml:space="preserve"> Ecopetrol</w:t>
      </w:r>
      <w:r w:rsidR="00D47369">
        <w:rPr>
          <w:rFonts w:cs="Arial"/>
          <w:lang w:val="es-CO"/>
        </w:rPr>
        <w:t>,</w:t>
      </w:r>
      <w:r w:rsidRPr="007F5207">
        <w:rPr>
          <w:rFonts w:cs="Arial"/>
          <w:lang w:val="es-CO"/>
        </w:rPr>
        <w:t xml:space="preserve"> se asigna mediante una Oferta Pública de Cantidades (OPC) cada seis </w:t>
      </w:r>
      <w:r w:rsidR="006315B0">
        <w:rPr>
          <w:rFonts w:cs="Arial"/>
          <w:lang w:val="es-CO"/>
        </w:rPr>
        <w:t xml:space="preserve">(6) </w:t>
      </w:r>
      <w:r w:rsidRPr="007F5207">
        <w:rPr>
          <w:rFonts w:cs="Arial"/>
          <w:lang w:val="es-CO"/>
        </w:rPr>
        <w:t xml:space="preserve">meses, donde </w:t>
      </w:r>
      <w:r w:rsidR="00A2746E">
        <w:rPr>
          <w:rFonts w:cs="Arial"/>
          <w:lang w:val="es-CO"/>
        </w:rPr>
        <w:t>la CREG</w:t>
      </w:r>
      <w:r w:rsidRPr="007F5207">
        <w:rPr>
          <w:rFonts w:cs="Arial"/>
          <w:lang w:val="es-CO"/>
        </w:rPr>
        <w:t xml:space="preserve"> define zonas de influencia y criterios de capacidad de compra basados en ventas históricas</w:t>
      </w:r>
      <w:r w:rsidR="0078328C">
        <w:rPr>
          <w:rFonts w:cs="Arial"/>
          <w:lang w:val="es-CO"/>
        </w:rPr>
        <w:t xml:space="preserve"> y </w:t>
      </w:r>
      <w:r w:rsidR="00EC5B6A">
        <w:rPr>
          <w:rFonts w:cs="Arial"/>
          <w:lang w:val="es-CO"/>
        </w:rPr>
        <w:t>las inversiones reportadas por los agentes</w:t>
      </w:r>
      <w:r w:rsidRPr="007F5207">
        <w:rPr>
          <w:rFonts w:cs="Arial"/>
          <w:lang w:val="es-CO"/>
        </w:rPr>
        <w:t>.</w:t>
      </w:r>
    </w:p>
    <w:p w14:paraId="44F73366" w14:textId="77777777" w:rsidR="007F5207" w:rsidRPr="007F5207" w:rsidRDefault="007F5207">
      <w:pPr>
        <w:numPr>
          <w:ilvl w:val="0"/>
          <w:numId w:val="43"/>
        </w:numPr>
        <w:spacing w:before="100" w:beforeAutospacing="1" w:after="100" w:afterAutospacing="1" w:line="360" w:lineRule="auto"/>
        <w:rPr>
          <w:rFonts w:cs="Arial"/>
          <w:lang w:val="es-CO"/>
        </w:rPr>
      </w:pPr>
      <w:r w:rsidRPr="007F5207">
        <w:rPr>
          <w:rFonts w:cs="Arial"/>
          <w:lang w:val="es-CO"/>
        </w:rPr>
        <w:t>Mercado de Precio Libre: Para las fuentes no reguladas e importaciones, el proceso es más flexible (subastas o negociaciones bilaterales) y suele ocurrir antes de las OPC para asegurar suministro adicional.</w:t>
      </w:r>
    </w:p>
    <w:p w14:paraId="5A7BB26F" w14:textId="77777777" w:rsidR="007F5207" w:rsidRPr="007F5207" w:rsidRDefault="007F5207">
      <w:pPr>
        <w:numPr>
          <w:ilvl w:val="0"/>
          <w:numId w:val="43"/>
        </w:numPr>
        <w:spacing w:before="100" w:beforeAutospacing="1" w:after="100" w:afterAutospacing="1" w:line="360" w:lineRule="auto"/>
        <w:rPr>
          <w:rFonts w:cs="Arial"/>
          <w:lang w:val="es-CO"/>
        </w:rPr>
      </w:pPr>
      <w:r w:rsidRPr="007F5207">
        <w:rPr>
          <w:rFonts w:cs="Arial"/>
          <w:lang w:val="es-CO"/>
        </w:rPr>
        <w:t>Gestión Logística y Valores Agregados: El comercializador mayorista no solo vende el producto, sino que a menudo coordina o presta servicios conexos esenciales como el trasiego (llenado de cisternas), el transporte primario (vía ductos o carrotanques) y el almacenamiento operativo para gestionar las entregas.</w:t>
      </w:r>
    </w:p>
    <w:p w14:paraId="5679391E" w14:textId="77777777" w:rsidR="007F5207" w:rsidRPr="007F5207" w:rsidRDefault="007F5207">
      <w:pPr>
        <w:numPr>
          <w:ilvl w:val="0"/>
          <w:numId w:val="43"/>
        </w:numPr>
        <w:spacing w:before="100" w:beforeAutospacing="1" w:after="100" w:afterAutospacing="1" w:line="360" w:lineRule="auto"/>
        <w:rPr>
          <w:rFonts w:cs="Arial"/>
          <w:lang w:val="es-CO"/>
        </w:rPr>
      </w:pPr>
      <w:r w:rsidRPr="007F5207">
        <w:rPr>
          <w:rFonts w:cs="Arial"/>
          <w:lang w:val="es-CO"/>
        </w:rPr>
        <w:t>Condiciones Contractuales: Los contratos suelen ser de adhesión (condiciones fijadas por el vendedor) y la modalidad de pago predominante es el pago anticipado (prepago) o con plazos muy cortos (máximo 5 días después de la entrega)</w:t>
      </w:r>
    </w:p>
    <w:p w14:paraId="38D807BE" w14:textId="2C42A7DB" w:rsidR="00E07C7B" w:rsidRPr="007F5207" w:rsidRDefault="00E07C7B" w:rsidP="002F1961">
      <w:pPr>
        <w:spacing w:before="100" w:beforeAutospacing="1" w:after="100" w:afterAutospacing="1" w:line="360" w:lineRule="auto"/>
        <w:rPr>
          <w:rFonts w:cs="Arial"/>
          <w:lang w:val="es-CO"/>
        </w:rPr>
      </w:pPr>
      <w:r w:rsidRPr="007F5207">
        <w:rPr>
          <w:rFonts w:cs="Arial"/>
          <w:lang w:val="es-CO"/>
        </w:rPr>
        <w:lastRenderedPageBreak/>
        <w:t xml:space="preserve">Finalmente, como se detalló en el </w:t>
      </w:r>
      <w:r w:rsidRPr="00222173">
        <w:rPr>
          <w:rFonts w:cs="Arial"/>
          <w:lang w:val="es-CO"/>
        </w:rPr>
        <w:t xml:space="preserve">numeral </w:t>
      </w:r>
      <w:r w:rsidR="00222173" w:rsidRPr="00222173">
        <w:rPr>
          <w:rFonts w:cs="Arial"/>
          <w:lang w:val="es-CO"/>
        </w:rPr>
        <w:fldChar w:fldCharType="begin"/>
      </w:r>
      <w:r w:rsidR="00222173" w:rsidRPr="00222173">
        <w:rPr>
          <w:rFonts w:cs="Arial"/>
          <w:lang w:val="es-CO"/>
        </w:rPr>
        <w:instrText xml:space="preserve"> REF _Ref235111420 \r \h </w:instrText>
      </w:r>
      <w:r w:rsidR="00222173">
        <w:rPr>
          <w:rFonts w:cs="Arial"/>
          <w:lang w:val="es-CO"/>
        </w:rPr>
        <w:instrText xml:space="preserve"> \* MERGEFORMAT </w:instrText>
      </w:r>
      <w:r w:rsidR="00222173" w:rsidRPr="00222173">
        <w:rPr>
          <w:rFonts w:cs="Arial"/>
          <w:lang w:val="es-CO"/>
        </w:rPr>
      </w:r>
      <w:r w:rsidR="00222173" w:rsidRPr="00222173">
        <w:rPr>
          <w:rFonts w:cs="Arial"/>
          <w:lang w:val="es-CO"/>
        </w:rPr>
        <w:fldChar w:fldCharType="separate"/>
      </w:r>
      <w:r w:rsidR="00222173" w:rsidRPr="00222173">
        <w:rPr>
          <w:rFonts w:cs="Arial"/>
          <w:lang w:val="es-CO"/>
        </w:rPr>
        <w:t>1.2.1</w:t>
      </w:r>
      <w:r w:rsidR="00222173" w:rsidRPr="00222173">
        <w:rPr>
          <w:rFonts w:cs="Arial"/>
          <w:lang w:val="es-CO"/>
        </w:rPr>
        <w:fldChar w:fldCharType="end"/>
      </w:r>
      <w:r w:rsidRPr="007F5207">
        <w:rPr>
          <w:rFonts w:cs="Arial"/>
          <w:lang w:val="es-CO"/>
        </w:rPr>
        <w:t xml:space="preserve"> del presente documento, la formación de precios de suministro de GLP se encuentra diferenciada </w:t>
      </w:r>
      <w:r w:rsidR="00626938" w:rsidRPr="007F5207">
        <w:rPr>
          <w:rFonts w:cs="Arial"/>
          <w:lang w:val="es-CO"/>
        </w:rPr>
        <w:t>dependiendo de la fuente del producto así:</w:t>
      </w:r>
    </w:p>
    <w:p w14:paraId="52ADD64B" w14:textId="50F7E8C7" w:rsidR="00E07C7B" w:rsidRPr="007F5207" w:rsidRDefault="00E07C7B">
      <w:pPr>
        <w:numPr>
          <w:ilvl w:val="0"/>
          <w:numId w:val="40"/>
        </w:numPr>
        <w:spacing w:before="100" w:beforeAutospacing="1" w:after="100" w:afterAutospacing="1" w:line="360" w:lineRule="auto"/>
        <w:rPr>
          <w:rFonts w:cs="Arial"/>
          <w:lang w:val="es-CO"/>
        </w:rPr>
      </w:pPr>
      <w:r w:rsidRPr="007F5207">
        <w:rPr>
          <w:rFonts w:cs="Arial"/>
          <w:lang w:val="es-CO"/>
        </w:rPr>
        <w:t xml:space="preserve">Producción </w:t>
      </w:r>
      <w:r w:rsidR="005222E4">
        <w:rPr>
          <w:rFonts w:cs="Arial"/>
          <w:lang w:val="es-CO"/>
        </w:rPr>
        <w:t xml:space="preserve">Nacional </w:t>
      </w:r>
      <w:r w:rsidR="00A95F2B">
        <w:rPr>
          <w:rFonts w:cs="Arial"/>
          <w:lang w:val="es-CO"/>
        </w:rPr>
        <w:t xml:space="preserve">Precio </w:t>
      </w:r>
      <w:r w:rsidRPr="007F5207">
        <w:rPr>
          <w:rFonts w:cs="Arial"/>
          <w:lang w:val="es-CO"/>
        </w:rPr>
        <w:t>Regulad</w:t>
      </w:r>
      <w:r w:rsidR="00A95F2B">
        <w:rPr>
          <w:rFonts w:cs="Arial"/>
          <w:lang w:val="es-CO"/>
        </w:rPr>
        <w:t>o</w:t>
      </w:r>
      <w:r w:rsidRPr="007F5207">
        <w:rPr>
          <w:rFonts w:cs="Arial"/>
          <w:lang w:val="es-CO"/>
        </w:rPr>
        <w:t>: El precio máximo es establecido por la CREG para cada punto de suministro.</w:t>
      </w:r>
    </w:p>
    <w:p w14:paraId="7202E604" w14:textId="1BD90355" w:rsidR="00E07C7B" w:rsidRPr="007F5207" w:rsidRDefault="00E07C7B">
      <w:pPr>
        <w:numPr>
          <w:ilvl w:val="0"/>
          <w:numId w:val="40"/>
        </w:numPr>
        <w:spacing w:before="100" w:beforeAutospacing="1" w:after="100" w:afterAutospacing="1" w:line="360" w:lineRule="auto"/>
        <w:rPr>
          <w:rFonts w:cs="Arial"/>
          <w:lang w:val="es-CO"/>
        </w:rPr>
      </w:pPr>
      <w:r w:rsidRPr="007F5207">
        <w:rPr>
          <w:rFonts w:cs="Arial"/>
          <w:lang w:val="es-CO"/>
        </w:rPr>
        <w:t xml:space="preserve">Producción </w:t>
      </w:r>
      <w:r w:rsidR="00A95F2B">
        <w:rPr>
          <w:rFonts w:cs="Arial"/>
          <w:lang w:val="es-CO"/>
        </w:rPr>
        <w:t xml:space="preserve">Nacional Precio </w:t>
      </w:r>
      <w:r w:rsidRPr="007F5207">
        <w:rPr>
          <w:rFonts w:cs="Arial"/>
          <w:lang w:val="es-CO"/>
        </w:rPr>
        <w:t>Libre: Se rige por el costo de oportunidad, tomando como techo el precio de paridad de importación.</w:t>
      </w:r>
    </w:p>
    <w:p w14:paraId="743F216F" w14:textId="5AAADB1A" w:rsidR="00E07C7B" w:rsidRPr="007F5207" w:rsidRDefault="00E07C7B">
      <w:pPr>
        <w:numPr>
          <w:ilvl w:val="0"/>
          <w:numId w:val="40"/>
        </w:numPr>
        <w:spacing w:before="100" w:beforeAutospacing="1" w:after="100" w:afterAutospacing="1" w:line="360" w:lineRule="auto"/>
        <w:rPr>
          <w:rFonts w:cs="Arial"/>
          <w:lang w:val="es-CO"/>
        </w:rPr>
      </w:pPr>
      <w:r w:rsidRPr="007F5207">
        <w:rPr>
          <w:rFonts w:cs="Arial"/>
          <w:lang w:val="es-CO"/>
        </w:rPr>
        <w:t>Importación</w:t>
      </w:r>
      <w:r w:rsidR="00FC15D9">
        <w:rPr>
          <w:rFonts w:cs="Arial"/>
          <w:lang w:val="es-CO"/>
        </w:rPr>
        <w:t xml:space="preserve"> Precio Libre</w:t>
      </w:r>
      <w:r w:rsidRPr="007F5207">
        <w:rPr>
          <w:rFonts w:cs="Arial"/>
          <w:lang w:val="es-CO"/>
        </w:rPr>
        <w:t xml:space="preserve">: El precio se basa en referencias internacionales como Mont </w:t>
      </w:r>
      <w:proofErr w:type="spellStart"/>
      <w:r w:rsidRPr="007F5207">
        <w:rPr>
          <w:rFonts w:cs="Arial"/>
          <w:lang w:val="es-CO"/>
        </w:rPr>
        <w:t>Belvieu</w:t>
      </w:r>
      <w:proofErr w:type="spellEnd"/>
      <w:r w:rsidRPr="007F5207">
        <w:rPr>
          <w:rFonts w:cs="Arial"/>
          <w:lang w:val="es-CO"/>
        </w:rPr>
        <w:t xml:space="preserve"> (Texas), al que se le suman el flete marítimo, costos de nacionalización, servicios portuarios y el margen del importador. Los pagos suelen ser anticipados antes de que el buque zarpe del puerto de origen</w:t>
      </w:r>
      <w:r w:rsidR="00CC3621" w:rsidRPr="007F5207">
        <w:rPr>
          <w:rFonts w:cs="Arial"/>
          <w:lang w:val="es-CO"/>
        </w:rPr>
        <w:t>.</w:t>
      </w:r>
    </w:p>
    <w:p w14:paraId="58CA93C5" w14:textId="569ACD03" w:rsidR="00A71B74" w:rsidRDefault="00984268" w:rsidP="002F1961">
      <w:pPr>
        <w:pStyle w:val="Ttulo3"/>
        <w:spacing w:before="100" w:beforeAutospacing="1" w:after="100" w:afterAutospacing="1"/>
      </w:pPr>
      <w:bookmarkStart w:id="142" w:name="_Toc235128343"/>
      <w:r w:rsidRPr="00984268">
        <w:t>Transporte</w:t>
      </w:r>
      <w:bookmarkEnd w:id="142"/>
    </w:p>
    <w:p w14:paraId="299EDC7A" w14:textId="310FEE71" w:rsidR="000A4253" w:rsidRPr="000A4253" w:rsidRDefault="000A4253" w:rsidP="002F1961">
      <w:pPr>
        <w:spacing w:before="100" w:beforeAutospacing="1" w:after="100" w:afterAutospacing="1" w:line="360" w:lineRule="auto"/>
        <w:rPr>
          <w:rFonts w:cs="Arial"/>
          <w:lang w:val="es-CO"/>
        </w:rPr>
      </w:pPr>
      <w:r w:rsidRPr="000A4253">
        <w:rPr>
          <w:rFonts w:cs="Arial"/>
          <w:lang w:val="es-CO"/>
        </w:rPr>
        <w:t xml:space="preserve">La actividad de transporte </w:t>
      </w:r>
      <w:r w:rsidR="00B33DB8">
        <w:rPr>
          <w:rFonts w:cs="Arial"/>
          <w:lang w:val="es-CO"/>
        </w:rPr>
        <w:t xml:space="preserve">de </w:t>
      </w:r>
      <w:r w:rsidRPr="000A4253">
        <w:rPr>
          <w:rFonts w:cs="Arial"/>
          <w:lang w:val="es-CO"/>
        </w:rPr>
        <w:t>GL</w:t>
      </w:r>
      <w:r w:rsidR="00B33DB8">
        <w:rPr>
          <w:rFonts w:cs="Arial"/>
          <w:lang w:val="es-CO"/>
        </w:rPr>
        <w:t>P</w:t>
      </w:r>
      <w:r w:rsidRPr="000A4253">
        <w:rPr>
          <w:rFonts w:cs="Arial"/>
          <w:lang w:val="es-CO"/>
        </w:rPr>
        <w:t xml:space="preserve"> es un componente logístico complejo que se divide en diferentes modalidades según el volumen, el origen del producto y el destino final. Se clasifica principalmente en transporte primario (desde fuentes de producción o importación) y transporte secundario/terciario (hacia el usuario final).</w:t>
      </w:r>
    </w:p>
    <w:p w14:paraId="4E7D0385" w14:textId="4C0EC7DF" w:rsidR="000A4253" w:rsidRPr="000A4253" w:rsidRDefault="000A4253" w:rsidP="002F1961">
      <w:pPr>
        <w:spacing w:before="100" w:beforeAutospacing="1" w:after="100" w:afterAutospacing="1" w:line="360" w:lineRule="auto"/>
        <w:rPr>
          <w:rFonts w:cs="Arial"/>
          <w:lang w:val="es-CO"/>
        </w:rPr>
      </w:pPr>
      <w:r w:rsidRPr="000A4253">
        <w:rPr>
          <w:rFonts w:cs="Arial"/>
          <w:lang w:val="es-CO"/>
        </w:rPr>
        <w:t>A continuación</w:t>
      </w:r>
      <w:r w:rsidR="009717C4">
        <w:rPr>
          <w:rFonts w:cs="Arial"/>
          <w:lang w:val="es-CO"/>
        </w:rPr>
        <w:t>,</w:t>
      </w:r>
      <w:r w:rsidRPr="000A4253">
        <w:rPr>
          <w:rFonts w:cs="Arial"/>
          <w:lang w:val="es-CO"/>
        </w:rPr>
        <w:t xml:space="preserve"> se detalla cómo funciona cada una de estas modalidades:</w:t>
      </w:r>
    </w:p>
    <w:p w14:paraId="3DB2CFFD" w14:textId="0484BC39" w:rsidR="000A4253" w:rsidRPr="000A4253" w:rsidRDefault="000A4253">
      <w:pPr>
        <w:pStyle w:val="Prrafodelista"/>
        <w:numPr>
          <w:ilvl w:val="1"/>
          <w:numId w:val="44"/>
        </w:numPr>
        <w:tabs>
          <w:tab w:val="num" w:pos="567"/>
        </w:tabs>
        <w:spacing w:before="100" w:beforeAutospacing="1" w:after="100" w:afterAutospacing="1" w:line="360" w:lineRule="auto"/>
        <w:ind w:left="284" w:hanging="284"/>
        <w:rPr>
          <w:rFonts w:cs="Arial"/>
          <w:lang w:val="es-CO"/>
        </w:rPr>
      </w:pPr>
      <w:r w:rsidRPr="00D12B8B">
        <w:rPr>
          <w:rFonts w:cs="Arial"/>
          <w:b/>
          <w:bCs/>
          <w:lang w:val="es-CO"/>
        </w:rPr>
        <w:t>Transporte por Ductos (</w:t>
      </w:r>
      <w:proofErr w:type="spellStart"/>
      <w:r w:rsidRPr="00D12B8B">
        <w:rPr>
          <w:rFonts w:cs="Arial"/>
          <w:b/>
          <w:bCs/>
          <w:lang w:val="es-CO"/>
        </w:rPr>
        <w:t>Propanoductos</w:t>
      </w:r>
      <w:proofErr w:type="spellEnd"/>
      <w:r w:rsidRPr="00D12B8B">
        <w:rPr>
          <w:rFonts w:cs="Arial"/>
          <w:b/>
          <w:bCs/>
          <w:lang w:val="es-CO"/>
        </w:rPr>
        <w:t xml:space="preserve"> o Poliductos)</w:t>
      </w:r>
      <w:r w:rsidR="000868D1" w:rsidRPr="00D12B8B">
        <w:rPr>
          <w:rFonts w:cs="Arial"/>
          <w:b/>
          <w:bCs/>
          <w:lang w:val="es-CO"/>
        </w:rPr>
        <w:t>:</w:t>
      </w:r>
      <w:r w:rsidR="000868D1" w:rsidRPr="00414461">
        <w:rPr>
          <w:rFonts w:cs="Arial"/>
          <w:lang w:val="es-CO"/>
        </w:rPr>
        <w:t xml:space="preserve"> </w:t>
      </w:r>
      <w:r w:rsidRPr="00414461">
        <w:rPr>
          <w:rFonts w:cs="Arial"/>
          <w:lang w:val="es-CO"/>
        </w:rPr>
        <w:t>La única empresa que presta este servicio es Cenit (filial de Ecopetrol)</w:t>
      </w:r>
      <w:r w:rsidR="00FD7804" w:rsidRPr="00414461">
        <w:rPr>
          <w:rFonts w:cs="Arial"/>
          <w:lang w:val="es-CO"/>
        </w:rPr>
        <w:t xml:space="preserve"> y ac</w:t>
      </w:r>
      <w:r w:rsidRPr="00414461">
        <w:rPr>
          <w:rFonts w:cs="Arial"/>
          <w:lang w:val="es-CO"/>
        </w:rPr>
        <w:t xml:space="preserve">tualmente solo está operativo el </w:t>
      </w:r>
      <w:proofErr w:type="spellStart"/>
      <w:r w:rsidRPr="00414461">
        <w:rPr>
          <w:rFonts w:cs="Arial"/>
          <w:lang w:val="es-CO"/>
        </w:rPr>
        <w:t>propanoducto</w:t>
      </w:r>
      <w:proofErr w:type="spellEnd"/>
      <w:r w:rsidRPr="00414461">
        <w:rPr>
          <w:rFonts w:cs="Arial"/>
          <w:lang w:val="es-CO"/>
        </w:rPr>
        <w:t xml:space="preserve"> Galán – Puerto Salgar, que transporta producto desde la Refinería de Barrancabermeja.</w:t>
      </w:r>
      <w:r w:rsidR="00414461">
        <w:rPr>
          <w:rFonts w:cs="Arial"/>
          <w:lang w:val="es-CO"/>
        </w:rPr>
        <w:t xml:space="preserve"> </w:t>
      </w:r>
      <w:r w:rsidR="0040271A">
        <w:rPr>
          <w:rFonts w:cs="Arial"/>
          <w:lang w:val="es-CO"/>
        </w:rPr>
        <w:t xml:space="preserve">Como se indica en el </w:t>
      </w:r>
      <w:r w:rsidR="0040271A" w:rsidRPr="00E754C6">
        <w:rPr>
          <w:rFonts w:cs="Arial"/>
          <w:lang w:val="es-CO"/>
        </w:rPr>
        <w:t xml:space="preserve">numeral </w:t>
      </w:r>
      <w:r w:rsidR="00E754C6" w:rsidRPr="00E754C6">
        <w:rPr>
          <w:rFonts w:cs="Arial"/>
          <w:lang w:val="es-CO"/>
        </w:rPr>
        <w:fldChar w:fldCharType="begin"/>
      </w:r>
      <w:r w:rsidR="00E754C6" w:rsidRPr="00E754C6">
        <w:rPr>
          <w:rFonts w:cs="Arial"/>
          <w:lang w:val="es-CO"/>
        </w:rPr>
        <w:instrText xml:space="preserve"> REF _Ref235111447 \r \h </w:instrText>
      </w:r>
      <w:r w:rsidR="00E754C6">
        <w:rPr>
          <w:rFonts w:cs="Arial"/>
          <w:lang w:val="es-CO"/>
        </w:rPr>
        <w:instrText xml:space="preserve"> \* MERGEFORMAT </w:instrText>
      </w:r>
      <w:r w:rsidR="00E754C6" w:rsidRPr="00E754C6">
        <w:rPr>
          <w:rFonts w:cs="Arial"/>
          <w:lang w:val="es-CO"/>
        </w:rPr>
      </w:r>
      <w:r w:rsidR="00E754C6" w:rsidRPr="00E754C6">
        <w:rPr>
          <w:rFonts w:cs="Arial"/>
          <w:lang w:val="es-CO"/>
        </w:rPr>
        <w:fldChar w:fldCharType="separate"/>
      </w:r>
      <w:r w:rsidR="00E754C6" w:rsidRPr="00E754C6">
        <w:rPr>
          <w:rFonts w:cs="Arial"/>
          <w:lang w:val="es-CO"/>
        </w:rPr>
        <w:t>1.2.2</w:t>
      </w:r>
      <w:r w:rsidR="00E754C6" w:rsidRPr="00E754C6">
        <w:rPr>
          <w:rFonts w:cs="Arial"/>
          <w:lang w:val="es-CO"/>
        </w:rPr>
        <w:fldChar w:fldCharType="end"/>
      </w:r>
      <w:r w:rsidR="00BD7785">
        <w:rPr>
          <w:rFonts w:cs="Arial"/>
          <w:lang w:val="es-CO"/>
        </w:rPr>
        <w:t xml:space="preserve"> del presente documento e</w:t>
      </w:r>
      <w:r w:rsidRPr="000A4253">
        <w:rPr>
          <w:rFonts w:cs="Arial"/>
          <w:lang w:val="es-CO"/>
        </w:rPr>
        <w:t xml:space="preserve">l precio es regulado por la CREG e incluye una </w:t>
      </w:r>
      <w:r w:rsidR="00BD7785">
        <w:rPr>
          <w:rFonts w:cs="Arial"/>
          <w:lang w:val="es-CO"/>
        </w:rPr>
        <w:t>estampilla</w:t>
      </w:r>
      <w:r w:rsidRPr="000A4253">
        <w:rPr>
          <w:rFonts w:cs="Arial"/>
          <w:lang w:val="es-CO"/>
        </w:rPr>
        <w:t xml:space="preserve"> destinada a subsidiar el transporte marítimo hacia San Andrés y Providencia.</w:t>
      </w:r>
    </w:p>
    <w:p w14:paraId="316805F6" w14:textId="1246FD36" w:rsidR="000A4253" w:rsidRPr="00C96A35" w:rsidRDefault="000A4253">
      <w:pPr>
        <w:pStyle w:val="Prrafodelista"/>
        <w:numPr>
          <w:ilvl w:val="1"/>
          <w:numId w:val="44"/>
        </w:numPr>
        <w:tabs>
          <w:tab w:val="num" w:pos="567"/>
        </w:tabs>
        <w:spacing w:before="100" w:beforeAutospacing="1" w:after="100" w:afterAutospacing="1" w:line="360" w:lineRule="auto"/>
        <w:ind w:left="284" w:hanging="284"/>
        <w:rPr>
          <w:rFonts w:cs="Arial"/>
          <w:lang w:val="es-CO"/>
        </w:rPr>
      </w:pPr>
      <w:r w:rsidRPr="00D12B8B">
        <w:rPr>
          <w:rFonts w:cs="Arial"/>
          <w:b/>
          <w:bCs/>
          <w:lang w:val="es-CO"/>
        </w:rPr>
        <w:t>Transporte por Cisternas (Transporte Primario)</w:t>
      </w:r>
      <w:r w:rsidR="00BD7785" w:rsidRPr="00D12B8B">
        <w:rPr>
          <w:rFonts w:cs="Arial"/>
          <w:b/>
          <w:bCs/>
          <w:lang w:val="es-CO"/>
        </w:rPr>
        <w:t>:</w:t>
      </w:r>
      <w:r w:rsidR="00BD7785" w:rsidRPr="00C96A35">
        <w:rPr>
          <w:rFonts w:cs="Arial"/>
          <w:lang w:val="es-CO"/>
        </w:rPr>
        <w:t xml:space="preserve"> </w:t>
      </w:r>
      <w:r w:rsidRPr="00C96A35">
        <w:rPr>
          <w:rFonts w:cs="Arial"/>
          <w:lang w:val="es-CO"/>
        </w:rPr>
        <w:t xml:space="preserve">Es el medio predominante para retirar el producto de refinerías (como Cartagena), campos (Cusiana, </w:t>
      </w:r>
      <w:proofErr w:type="spellStart"/>
      <w:r w:rsidRPr="00C96A35">
        <w:rPr>
          <w:rFonts w:cs="Arial"/>
          <w:lang w:val="es-CO"/>
        </w:rPr>
        <w:t>Cupiagua</w:t>
      </w:r>
      <w:proofErr w:type="spellEnd"/>
      <w:r w:rsidRPr="00C96A35">
        <w:rPr>
          <w:rFonts w:cs="Arial"/>
          <w:lang w:val="es-CO"/>
        </w:rPr>
        <w:t>) o puntos de importación.</w:t>
      </w:r>
      <w:r w:rsidR="00BD7785" w:rsidRPr="00C96A35">
        <w:rPr>
          <w:rFonts w:cs="Arial"/>
          <w:lang w:val="es-CO"/>
        </w:rPr>
        <w:t xml:space="preserve"> </w:t>
      </w:r>
      <w:r w:rsidRPr="00C96A35">
        <w:rPr>
          <w:rFonts w:cs="Arial"/>
          <w:lang w:val="es-CO"/>
        </w:rPr>
        <w:t xml:space="preserve">Se realiza en vehículos tipo tractocamión con cisterna (tráiler con tanque de almacenamiento), los cuales deben contar con certificaciones de </w:t>
      </w:r>
      <w:r w:rsidRPr="00C96A35">
        <w:rPr>
          <w:rFonts w:cs="Arial"/>
          <w:lang w:val="es-CO"/>
        </w:rPr>
        <w:lastRenderedPageBreak/>
        <w:t>conformidad y cumplir normas de mercancías peligrosas.</w:t>
      </w:r>
      <w:r w:rsidR="005E2B0F" w:rsidRPr="00C96A35">
        <w:rPr>
          <w:rFonts w:cs="Arial"/>
          <w:lang w:val="es-CO"/>
        </w:rPr>
        <w:t xml:space="preserve"> </w:t>
      </w:r>
      <w:r w:rsidRPr="00C96A35">
        <w:rPr>
          <w:rFonts w:cs="Arial"/>
          <w:lang w:val="es-CO"/>
        </w:rPr>
        <w:t>Se utilizan medidores másicos en los puntos de cargue y básculas camioneras para verificar el peso inicial y final.</w:t>
      </w:r>
      <w:r w:rsidR="005E2B0F" w:rsidRPr="00C96A35">
        <w:rPr>
          <w:rFonts w:cs="Arial"/>
          <w:lang w:val="es-CO"/>
        </w:rPr>
        <w:t xml:space="preserve"> </w:t>
      </w:r>
      <w:r w:rsidRPr="00C96A35">
        <w:rPr>
          <w:rFonts w:cs="Arial"/>
          <w:lang w:val="es-CO"/>
        </w:rPr>
        <w:t>La tarifa se establece por kilogramo transportado según la ruta (origen-destino)</w:t>
      </w:r>
      <w:r w:rsidR="00D61301">
        <w:rPr>
          <w:rFonts w:cs="Arial"/>
          <w:lang w:val="es-CO"/>
        </w:rPr>
        <w:t>.</w:t>
      </w:r>
    </w:p>
    <w:p w14:paraId="2DE1F3FB" w14:textId="37C0E7A2" w:rsidR="000A4253" w:rsidRPr="006C10CF" w:rsidRDefault="000A4253">
      <w:pPr>
        <w:pStyle w:val="Prrafodelista"/>
        <w:numPr>
          <w:ilvl w:val="1"/>
          <w:numId w:val="44"/>
        </w:numPr>
        <w:tabs>
          <w:tab w:val="num" w:pos="567"/>
        </w:tabs>
        <w:spacing w:before="100" w:beforeAutospacing="1" w:after="100" w:afterAutospacing="1" w:line="360" w:lineRule="auto"/>
        <w:ind w:left="284" w:hanging="284"/>
        <w:rPr>
          <w:rFonts w:cs="Arial"/>
          <w:lang w:val="es-CO"/>
        </w:rPr>
      </w:pPr>
      <w:r w:rsidRPr="00D12B8B">
        <w:rPr>
          <w:rFonts w:cs="Arial"/>
          <w:b/>
          <w:bCs/>
          <w:lang w:val="es-CO"/>
        </w:rPr>
        <w:t>Transporte Terrestre a Granel y Cilindros</w:t>
      </w:r>
      <w:r w:rsidR="006C10CF" w:rsidRPr="00D12B8B">
        <w:rPr>
          <w:rFonts w:cs="Arial"/>
          <w:b/>
          <w:bCs/>
          <w:lang w:val="es-CO"/>
        </w:rPr>
        <w:t>:</w:t>
      </w:r>
      <w:r w:rsidR="006C10CF" w:rsidRPr="006C10CF">
        <w:rPr>
          <w:rFonts w:cs="Arial"/>
          <w:lang w:val="es-CO"/>
        </w:rPr>
        <w:t xml:space="preserve"> </w:t>
      </w:r>
      <w:r w:rsidRPr="006C10CF">
        <w:rPr>
          <w:rFonts w:cs="Arial"/>
          <w:lang w:val="es-CO"/>
        </w:rPr>
        <w:t>Representa la logística necesaria para llevar el gas desde las plantas de almacenamiento o envasado hasta el consumidor</w:t>
      </w:r>
      <w:r w:rsidR="006C10CF">
        <w:rPr>
          <w:rFonts w:cs="Arial"/>
          <w:lang w:val="es-CO"/>
        </w:rPr>
        <w:t xml:space="preserve"> final</w:t>
      </w:r>
      <w:r w:rsidRPr="006C10CF">
        <w:rPr>
          <w:rFonts w:cs="Arial"/>
          <w:lang w:val="es-CO"/>
        </w:rPr>
        <w:t>.</w:t>
      </w:r>
    </w:p>
    <w:p w14:paraId="5059AB24" w14:textId="77777777" w:rsidR="000A4253" w:rsidRPr="000A4253" w:rsidRDefault="000A4253">
      <w:pPr>
        <w:numPr>
          <w:ilvl w:val="0"/>
          <w:numId w:val="45"/>
        </w:numPr>
        <w:spacing w:before="100" w:beforeAutospacing="1" w:after="100" w:afterAutospacing="1" w:line="360" w:lineRule="auto"/>
        <w:rPr>
          <w:rFonts w:cs="Arial"/>
          <w:lang w:val="es-CO"/>
        </w:rPr>
      </w:pPr>
      <w:r w:rsidRPr="000A4253">
        <w:rPr>
          <w:rFonts w:cs="Arial"/>
          <w:lang w:val="es-CO"/>
        </w:rPr>
        <w:t>A Granel: Utiliza camiones cisterna más pequeños para llenar tanques estacionarios en sectores industriales, comerciales o residenciales. El conductor suele intervenir directamente en la operación de trasiego y medición en el sitio del cliente.</w:t>
      </w:r>
    </w:p>
    <w:p w14:paraId="2C35AE9F" w14:textId="513042FC" w:rsidR="000A4253" w:rsidRPr="00D21FB7" w:rsidRDefault="000A4253">
      <w:pPr>
        <w:numPr>
          <w:ilvl w:val="0"/>
          <w:numId w:val="45"/>
        </w:numPr>
        <w:spacing w:before="100" w:beforeAutospacing="1" w:after="100" w:afterAutospacing="1" w:line="360" w:lineRule="auto"/>
        <w:rPr>
          <w:rFonts w:cs="Arial"/>
          <w:lang w:val="es-CO"/>
        </w:rPr>
      </w:pPr>
      <w:r w:rsidRPr="00D21FB7">
        <w:rPr>
          <w:rFonts w:cs="Arial"/>
          <w:lang w:val="es-CO"/>
        </w:rPr>
        <w:t>En Cilindros:</w:t>
      </w:r>
      <w:r w:rsidR="00D21FB7" w:rsidRPr="00D21FB7">
        <w:rPr>
          <w:rFonts w:cs="Arial"/>
          <w:lang w:val="es-CO"/>
        </w:rPr>
        <w:t xml:space="preserve"> (i) D</w:t>
      </w:r>
      <w:r w:rsidRPr="00D21FB7">
        <w:rPr>
          <w:rFonts w:cs="Arial"/>
          <w:lang w:val="es-CO"/>
        </w:rPr>
        <w:t>istribución masiva</w:t>
      </w:r>
      <w:r w:rsidR="004D0B55">
        <w:rPr>
          <w:rFonts w:cs="Arial"/>
          <w:lang w:val="es-CO"/>
        </w:rPr>
        <w:t xml:space="preserve"> </w:t>
      </w:r>
      <w:r w:rsidR="0086444A">
        <w:rPr>
          <w:rFonts w:cs="Arial"/>
          <w:lang w:val="es-CO"/>
        </w:rPr>
        <w:t xml:space="preserve">donde </w:t>
      </w:r>
      <w:r w:rsidR="004D0B55">
        <w:rPr>
          <w:rFonts w:cs="Arial"/>
          <w:lang w:val="es-CO"/>
        </w:rPr>
        <w:t>c</w:t>
      </w:r>
      <w:r w:rsidRPr="00D21FB7">
        <w:rPr>
          <w:rFonts w:cs="Arial"/>
          <w:lang w:val="es-CO"/>
        </w:rPr>
        <w:t>amiones grandes mueven cilindros entre plantas y depósitos</w:t>
      </w:r>
      <w:r w:rsidR="00D21FB7" w:rsidRPr="00D21FB7">
        <w:rPr>
          <w:rFonts w:cs="Arial"/>
          <w:lang w:val="es-CO"/>
        </w:rPr>
        <w:t>; (</w:t>
      </w:r>
      <w:proofErr w:type="spellStart"/>
      <w:r w:rsidR="00D21FB7" w:rsidRPr="00D21FB7">
        <w:rPr>
          <w:rFonts w:cs="Arial"/>
          <w:lang w:val="es-CO"/>
        </w:rPr>
        <w:t>ii</w:t>
      </w:r>
      <w:proofErr w:type="spellEnd"/>
      <w:r w:rsidR="00D21FB7" w:rsidRPr="00D21FB7">
        <w:rPr>
          <w:rFonts w:cs="Arial"/>
          <w:lang w:val="es-CO"/>
        </w:rPr>
        <w:t xml:space="preserve">) </w:t>
      </w:r>
      <w:r w:rsidRPr="00D21FB7">
        <w:rPr>
          <w:rFonts w:cs="Arial"/>
          <w:lang w:val="es-CO"/>
        </w:rPr>
        <w:t xml:space="preserve">Entrega al usuario </w:t>
      </w:r>
      <w:r w:rsidR="0086444A">
        <w:rPr>
          <w:rFonts w:cs="Arial"/>
          <w:lang w:val="es-CO"/>
        </w:rPr>
        <w:t>a través de v</w:t>
      </w:r>
      <w:r w:rsidRPr="00D21FB7">
        <w:rPr>
          <w:rFonts w:cs="Arial"/>
          <w:lang w:val="es-CO"/>
        </w:rPr>
        <w:t>ehículos repartidores menores</w:t>
      </w:r>
      <w:r w:rsidR="00C27098">
        <w:rPr>
          <w:rFonts w:cs="Arial"/>
          <w:lang w:val="es-CO"/>
        </w:rPr>
        <w:t>,</w:t>
      </w:r>
      <w:r w:rsidRPr="00D21FB7">
        <w:rPr>
          <w:rFonts w:cs="Arial"/>
          <w:lang w:val="es-CO"/>
        </w:rPr>
        <w:t xml:space="preserve"> generalmente de menos de </w:t>
      </w:r>
      <w:r w:rsidR="00C27098">
        <w:rPr>
          <w:rFonts w:cs="Arial"/>
          <w:lang w:val="es-CO"/>
        </w:rPr>
        <w:t>tres (</w:t>
      </w:r>
      <w:r w:rsidRPr="00D21FB7">
        <w:rPr>
          <w:rFonts w:cs="Arial"/>
          <w:lang w:val="es-CO"/>
        </w:rPr>
        <w:t>3</w:t>
      </w:r>
      <w:r w:rsidR="00C27098">
        <w:rPr>
          <w:rFonts w:cs="Arial"/>
          <w:lang w:val="es-CO"/>
        </w:rPr>
        <w:t>)</w:t>
      </w:r>
      <w:r w:rsidRPr="00D21FB7">
        <w:rPr>
          <w:rFonts w:cs="Arial"/>
          <w:lang w:val="es-CO"/>
        </w:rPr>
        <w:t xml:space="preserve"> toneladas</w:t>
      </w:r>
      <w:r w:rsidR="00C27098">
        <w:rPr>
          <w:rFonts w:cs="Arial"/>
          <w:lang w:val="es-CO"/>
        </w:rPr>
        <w:t xml:space="preserve">, </w:t>
      </w:r>
      <w:r w:rsidRPr="00D21FB7">
        <w:rPr>
          <w:rFonts w:cs="Arial"/>
          <w:lang w:val="es-CO"/>
        </w:rPr>
        <w:t>realizan rutas domiciliarias o atienden pedidos telefónicos/WhatsApp.</w:t>
      </w:r>
    </w:p>
    <w:p w14:paraId="5BB0B0FC" w14:textId="033ECF46" w:rsidR="0055429E" w:rsidRPr="00BA2FC7" w:rsidRDefault="000A4253">
      <w:pPr>
        <w:pStyle w:val="Prrafodelista"/>
        <w:numPr>
          <w:ilvl w:val="1"/>
          <w:numId w:val="44"/>
        </w:numPr>
        <w:tabs>
          <w:tab w:val="num" w:pos="567"/>
        </w:tabs>
        <w:spacing w:before="100" w:beforeAutospacing="1" w:after="100" w:afterAutospacing="1" w:line="360" w:lineRule="auto"/>
        <w:ind w:left="284" w:hanging="284"/>
        <w:rPr>
          <w:rFonts w:cs="Arial"/>
          <w:b/>
          <w:bCs/>
          <w:lang w:val="es-CO"/>
        </w:rPr>
      </w:pPr>
      <w:r w:rsidRPr="00BA2FC7">
        <w:rPr>
          <w:rFonts w:cs="Arial"/>
          <w:b/>
          <w:bCs/>
          <w:lang w:val="es-CO"/>
        </w:rPr>
        <w:t>Transporte Marítimo y Fluvial</w:t>
      </w:r>
      <w:r w:rsidR="00C27098" w:rsidRPr="00BA2FC7">
        <w:rPr>
          <w:rFonts w:cs="Arial"/>
          <w:b/>
          <w:bCs/>
          <w:lang w:val="es-CO"/>
        </w:rPr>
        <w:t xml:space="preserve">. </w:t>
      </w:r>
      <w:r w:rsidRPr="00BA2FC7">
        <w:rPr>
          <w:rFonts w:cs="Arial"/>
          <w:lang w:val="es-CO"/>
        </w:rPr>
        <w:t>Se utiliza para cubrir mercados de difícil acceso</w:t>
      </w:r>
      <w:r w:rsidR="0055429E" w:rsidRPr="00BA2FC7">
        <w:rPr>
          <w:rFonts w:cs="Arial"/>
          <w:lang w:val="es-CO"/>
        </w:rPr>
        <w:t>.</w:t>
      </w:r>
    </w:p>
    <w:p w14:paraId="47AC4FE8" w14:textId="6EFB152F" w:rsidR="000A4253" w:rsidRPr="0055429E" w:rsidRDefault="000A4253">
      <w:pPr>
        <w:numPr>
          <w:ilvl w:val="0"/>
          <w:numId w:val="45"/>
        </w:numPr>
        <w:spacing w:before="100" w:beforeAutospacing="1" w:after="100" w:afterAutospacing="1" w:line="360" w:lineRule="auto"/>
        <w:rPr>
          <w:rFonts w:cs="Arial"/>
          <w:lang w:val="es-CO"/>
        </w:rPr>
      </w:pPr>
      <w:r w:rsidRPr="0055429E">
        <w:rPr>
          <w:rFonts w:cs="Arial"/>
          <w:lang w:val="es-CO"/>
        </w:rPr>
        <w:t>Marítimo: Es fundamental para el archipiélago de San Andrés y Providencia. El gas se transporta desde Cartagena en isotanques (estructuras tipo contenedor) en buques de carga general.</w:t>
      </w:r>
    </w:p>
    <w:p w14:paraId="38826547" w14:textId="77777777" w:rsidR="000A4253" w:rsidRPr="000A4253" w:rsidRDefault="000A4253">
      <w:pPr>
        <w:numPr>
          <w:ilvl w:val="0"/>
          <w:numId w:val="45"/>
        </w:numPr>
        <w:tabs>
          <w:tab w:val="num" w:pos="720"/>
        </w:tabs>
        <w:spacing w:before="100" w:beforeAutospacing="1" w:after="100" w:afterAutospacing="1" w:line="360" w:lineRule="auto"/>
        <w:rPr>
          <w:rFonts w:cs="Arial"/>
          <w:lang w:val="es-CO"/>
        </w:rPr>
      </w:pPr>
      <w:r w:rsidRPr="000A4253">
        <w:rPr>
          <w:rFonts w:cs="Arial"/>
          <w:lang w:val="es-CO"/>
        </w:rPr>
        <w:t>Fluvial: Es la única alternativa viable en zonas como el Amazonas (ruta por los ríos Putumayo y Amazonas hacia Leticia) y la costa Pacífica (Tumaco, Buenaventura, Guapi). Se emplean remolcadores con barcazas que llevan tanques cisterna o botes para cilindros.</w:t>
      </w:r>
    </w:p>
    <w:p w14:paraId="3CA4A255" w14:textId="0C23769E" w:rsidR="00984268" w:rsidRDefault="00984268" w:rsidP="002F1961">
      <w:pPr>
        <w:pStyle w:val="Ttulo3"/>
        <w:spacing w:before="100" w:beforeAutospacing="1" w:after="100" w:afterAutospacing="1"/>
      </w:pPr>
      <w:bookmarkStart w:id="143" w:name="_Toc235128344"/>
      <w:r w:rsidRPr="00984268">
        <w:t>Distribución</w:t>
      </w:r>
      <w:bookmarkEnd w:id="143"/>
    </w:p>
    <w:p w14:paraId="0CF34B01" w14:textId="50DB8AAC" w:rsidR="000F6794" w:rsidRPr="001C7C6A" w:rsidRDefault="000F6794" w:rsidP="002F1961">
      <w:pPr>
        <w:spacing w:before="100" w:beforeAutospacing="1" w:after="100" w:afterAutospacing="1" w:line="360" w:lineRule="auto"/>
        <w:rPr>
          <w:lang w:val="es-CO"/>
        </w:rPr>
      </w:pPr>
      <w:r w:rsidRPr="001C7C6A">
        <w:rPr>
          <w:lang w:val="es-CO"/>
        </w:rPr>
        <w:t>La actividad de distribución de GLP se divide principalmente en dos modalidades operativas: a través de cilindros y tanques estacionarios, y a través de redes de tubería. Cada una tiene procesos, infraestructuras y marcos regulatorios específicos</w:t>
      </w:r>
      <w:r w:rsidR="00EF6798">
        <w:rPr>
          <w:lang w:val="es-CO"/>
        </w:rPr>
        <w:t>, los cuales se detallan a continuación</w:t>
      </w:r>
      <w:r w:rsidRPr="001C7C6A">
        <w:rPr>
          <w:lang w:val="es-CO"/>
        </w:rPr>
        <w:t>.</w:t>
      </w:r>
    </w:p>
    <w:p w14:paraId="6C910ECC" w14:textId="424EBDC7" w:rsidR="000F6794" w:rsidRPr="00842608" w:rsidRDefault="000F6794" w:rsidP="00284F20">
      <w:pPr>
        <w:pStyle w:val="Ttulo4"/>
        <w:spacing w:before="100" w:beforeAutospacing="1" w:after="100" w:afterAutospacing="1"/>
        <w:ind w:hanging="790"/>
        <w:rPr>
          <w:rFonts w:cs="Arial"/>
          <w:lang w:val="es-CO"/>
        </w:rPr>
      </w:pPr>
      <w:r w:rsidRPr="00842608">
        <w:lastRenderedPageBreak/>
        <w:t>Distribución por Cilindros y Tanques Estacionarios</w:t>
      </w:r>
    </w:p>
    <w:p w14:paraId="13F1931C" w14:textId="6CA0D437" w:rsidR="000F6794" w:rsidRPr="001C7C6A" w:rsidRDefault="000F6794" w:rsidP="002F1961">
      <w:pPr>
        <w:spacing w:before="100" w:beforeAutospacing="1" w:after="100" w:afterAutospacing="1" w:line="360" w:lineRule="auto"/>
        <w:rPr>
          <w:lang w:val="es-CO"/>
        </w:rPr>
      </w:pPr>
      <w:r w:rsidRPr="001C7C6A">
        <w:rPr>
          <w:lang w:val="es-CO"/>
        </w:rPr>
        <w:t xml:space="preserve">Esta modalidad representa la mayor parte del mercado y se define como el conjunto de actividades que permiten llevar el gas desde los puntos de suministro mayorista hasta el usuario final en </w:t>
      </w:r>
      <w:r w:rsidR="00B47C41">
        <w:rPr>
          <w:lang w:val="es-CO"/>
        </w:rPr>
        <w:t>cilindros</w:t>
      </w:r>
      <w:r w:rsidRPr="001C7C6A">
        <w:rPr>
          <w:lang w:val="es-CO"/>
        </w:rPr>
        <w:t xml:space="preserve"> o a granel</w:t>
      </w:r>
      <w:r w:rsidR="00B47C41">
        <w:rPr>
          <w:lang w:val="es-CO"/>
        </w:rPr>
        <w:t xml:space="preserve"> cuando se trata de prestación a través de tanques estacionarios</w:t>
      </w:r>
      <w:r w:rsidRPr="001C7C6A">
        <w:rPr>
          <w:lang w:val="es-CO"/>
        </w:rPr>
        <w:t>.</w:t>
      </w:r>
    </w:p>
    <w:p w14:paraId="35A55B56" w14:textId="77777777" w:rsidR="000F6794" w:rsidRPr="001C7C6A" w:rsidRDefault="000F6794">
      <w:pPr>
        <w:numPr>
          <w:ilvl w:val="0"/>
          <w:numId w:val="45"/>
        </w:numPr>
        <w:tabs>
          <w:tab w:val="num" w:pos="720"/>
        </w:tabs>
        <w:spacing w:before="100" w:beforeAutospacing="1" w:after="100" w:afterAutospacing="1" w:line="360" w:lineRule="auto"/>
        <w:rPr>
          <w:lang w:val="es-CO"/>
        </w:rPr>
      </w:pPr>
      <w:r w:rsidRPr="001C7C6A">
        <w:rPr>
          <w:lang w:val="es-CO"/>
        </w:rPr>
        <w:t>Actividades Principales: Incluye la compra del GLP en el mercado mayorista, el flete (transporte) desde los puntos de entrega o salida del sistema de transporte hasta las plantas de envasado, el envasado en cilindros marcados y la operación de la planta.</w:t>
      </w:r>
    </w:p>
    <w:p w14:paraId="23ADB4A1" w14:textId="77777777" w:rsidR="000F6794" w:rsidRPr="001C7C6A" w:rsidRDefault="000F6794">
      <w:pPr>
        <w:numPr>
          <w:ilvl w:val="0"/>
          <w:numId w:val="45"/>
        </w:numPr>
        <w:tabs>
          <w:tab w:val="num" w:pos="720"/>
        </w:tabs>
        <w:spacing w:before="100" w:beforeAutospacing="1" w:after="100" w:afterAutospacing="1" w:line="360" w:lineRule="auto"/>
        <w:rPr>
          <w:lang w:val="es-CO"/>
        </w:rPr>
      </w:pPr>
      <w:r w:rsidRPr="001C7C6A">
        <w:rPr>
          <w:lang w:val="es-CO"/>
        </w:rPr>
        <w:t>Infraestructura (Plantas de Envasado): Son predios físicos donde el distribuidor envasa el gas en cilindros de su propiedad o carga cisternas para servir tanques estacionarios domiciliarios. Los distribuidores suelen operar estas plantas directamente con personal certificado.</w:t>
      </w:r>
    </w:p>
    <w:p w14:paraId="59F75BC7" w14:textId="77777777" w:rsidR="000F6794" w:rsidRPr="001C7C6A" w:rsidRDefault="000F6794">
      <w:pPr>
        <w:numPr>
          <w:ilvl w:val="0"/>
          <w:numId w:val="45"/>
        </w:numPr>
        <w:tabs>
          <w:tab w:val="num" w:pos="720"/>
        </w:tabs>
        <w:spacing w:before="100" w:beforeAutospacing="1" w:after="100" w:afterAutospacing="1" w:line="360" w:lineRule="auto"/>
        <w:rPr>
          <w:lang w:val="es-CO"/>
        </w:rPr>
      </w:pPr>
      <w:r w:rsidRPr="001C7C6A">
        <w:rPr>
          <w:lang w:val="es-CO"/>
        </w:rPr>
        <w:t>Venta en Cilindros: Los distribuidores deben ser propietarios de los cilindros que envasan, los cuales deben estar certificados y marcados para su identificación y seguridad. La entrega al usuario final puede ser directa o a través de puntos de venta y expendios.</w:t>
      </w:r>
    </w:p>
    <w:p w14:paraId="0188D297" w14:textId="4C341BD6" w:rsidR="000F6794" w:rsidRPr="001C7C6A" w:rsidRDefault="000F6794">
      <w:pPr>
        <w:numPr>
          <w:ilvl w:val="0"/>
          <w:numId w:val="45"/>
        </w:numPr>
        <w:tabs>
          <w:tab w:val="num" w:pos="720"/>
        </w:tabs>
        <w:spacing w:before="100" w:beforeAutospacing="1" w:after="100" w:afterAutospacing="1" w:line="360" w:lineRule="auto"/>
        <w:rPr>
          <w:lang w:val="es-CO"/>
        </w:rPr>
      </w:pPr>
      <w:r w:rsidRPr="001C7C6A">
        <w:rPr>
          <w:lang w:val="es-CO"/>
        </w:rPr>
        <w:t xml:space="preserve">Venta a Granel (Tanques Estacionarios): Representa entre el 30% y </w:t>
      </w:r>
      <w:r w:rsidR="003A0F6D">
        <w:rPr>
          <w:lang w:val="es-CO"/>
        </w:rPr>
        <w:t>40</w:t>
      </w:r>
      <w:r w:rsidRPr="001C7C6A">
        <w:rPr>
          <w:lang w:val="es-CO"/>
        </w:rPr>
        <w:t xml:space="preserve">% de las ventas nacionales. El gas se entrega en vehículos especializados que llenan tanques </w:t>
      </w:r>
      <w:r w:rsidR="00096CEE">
        <w:rPr>
          <w:lang w:val="es-CO"/>
        </w:rPr>
        <w:t xml:space="preserve">estacionarios </w:t>
      </w:r>
      <w:r w:rsidRPr="001C7C6A">
        <w:rPr>
          <w:lang w:val="es-CO"/>
        </w:rPr>
        <w:t>instalados en domicilios, comercios o industrias. El tanque puede ser propiedad del usuario o de la empresa distribuidora en calidad de comodato.</w:t>
      </w:r>
    </w:p>
    <w:p w14:paraId="7903908B" w14:textId="7D633973" w:rsidR="000F6794" w:rsidRPr="00842608" w:rsidRDefault="000F6794" w:rsidP="00284F20">
      <w:pPr>
        <w:pStyle w:val="Ttulo4"/>
        <w:spacing w:before="100" w:beforeAutospacing="1" w:after="100" w:afterAutospacing="1"/>
        <w:ind w:hanging="790"/>
        <w:rPr>
          <w:rFonts w:cs="Arial"/>
          <w:lang w:val="es-CO"/>
        </w:rPr>
      </w:pPr>
      <w:r w:rsidRPr="00842608">
        <w:t>Distribución por Redes de Tubería</w:t>
      </w:r>
    </w:p>
    <w:p w14:paraId="18CD0C5A" w14:textId="7F869C1E" w:rsidR="000F6794" w:rsidRPr="001C7C6A" w:rsidRDefault="000F6794" w:rsidP="002F1961">
      <w:pPr>
        <w:spacing w:before="100" w:beforeAutospacing="1" w:after="100" w:afterAutospacing="1" w:line="360" w:lineRule="auto"/>
        <w:rPr>
          <w:lang w:val="es-CO"/>
        </w:rPr>
      </w:pPr>
      <w:r w:rsidRPr="001C7C6A">
        <w:rPr>
          <w:lang w:val="es-CO"/>
        </w:rPr>
        <w:t>Esta modalidad, aunque menor en volumen</w:t>
      </w:r>
      <w:r w:rsidR="00FD4FCD">
        <w:rPr>
          <w:lang w:val="es-CO"/>
        </w:rPr>
        <w:t>, aproximadamente el</w:t>
      </w:r>
      <w:r w:rsidRPr="001C7C6A">
        <w:rPr>
          <w:lang w:val="es-CO"/>
        </w:rPr>
        <w:t xml:space="preserve"> 3% de las ventas nacionales, funciona de manera similar al servicio de gas natural domiciliario.</w:t>
      </w:r>
    </w:p>
    <w:p w14:paraId="0D5F8E46" w14:textId="77777777" w:rsidR="000F6794" w:rsidRPr="001C7C6A" w:rsidRDefault="000F6794">
      <w:pPr>
        <w:numPr>
          <w:ilvl w:val="0"/>
          <w:numId w:val="45"/>
        </w:numPr>
        <w:tabs>
          <w:tab w:val="num" w:pos="720"/>
        </w:tabs>
        <w:spacing w:before="100" w:beforeAutospacing="1" w:after="100" w:afterAutospacing="1" w:line="360" w:lineRule="auto"/>
        <w:rPr>
          <w:lang w:val="es-CO"/>
        </w:rPr>
      </w:pPr>
      <w:r w:rsidRPr="001C7C6A">
        <w:rPr>
          <w:lang w:val="es-CO"/>
        </w:rPr>
        <w:t xml:space="preserve">Actividades Principales: Comprende la compra del gas al por mayor, su transporte hasta las Estaciones de Almacenamiento y Regulación (EAR) y su posterior </w:t>
      </w:r>
      <w:r w:rsidRPr="001C7C6A">
        <w:rPr>
          <w:lang w:val="es-CO"/>
        </w:rPr>
        <w:lastRenderedPageBreak/>
        <w:t>conducción a través de redes de tubería desde la EAR hasta la conexión del usuario final.</w:t>
      </w:r>
    </w:p>
    <w:p w14:paraId="25E1C209" w14:textId="77777777" w:rsidR="000F6794" w:rsidRPr="001C7C6A" w:rsidRDefault="000F6794">
      <w:pPr>
        <w:numPr>
          <w:ilvl w:val="0"/>
          <w:numId w:val="45"/>
        </w:numPr>
        <w:tabs>
          <w:tab w:val="num" w:pos="720"/>
        </w:tabs>
        <w:spacing w:before="100" w:beforeAutospacing="1" w:after="100" w:afterAutospacing="1" w:line="360" w:lineRule="auto"/>
        <w:rPr>
          <w:lang w:val="es-CO"/>
        </w:rPr>
      </w:pPr>
      <w:r w:rsidRPr="001C7C6A">
        <w:rPr>
          <w:lang w:val="es-CO"/>
        </w:rPr>
        <w:t>Operación Técnica: El proceso inicia con el trasiego del GLP desde camiones cisterna a los tanques de almacenamiento de la EAR. El producto, que llega en estado líquido, se vaporiza naturalmente mediante cambios de presión y temperatura al abrir las válvulas, inyectándose luego a las redes de distribución local.</w:t>
      </w:r>
    </w:p>
    <w:p w14:paraId="60DDAC5C" w14:textId="77777777" w:rsidR="000F6794" w:rsidRPr="001C7C6A" w:rsidRDefault="000F6794">
      <w:pPr>
        <w:numPr>
          <w:ilvl w:val="0"/>
          <w:numId w:val="45"/>
        </w:numPr>
        <w:tabs>
          <w:tab w:val="num" w:pos="720"/>
        </w:tabs>
        <w:spacing w:before="100" w:beforeAutospacing="1" w:after="100" w:afterAutospacing="1" w:line="360" w:lineRule="auto"/>
        <w:rPr>
          <w:lang w:val="es-CO"/>
        </w:rPr>
      </w:pPr>
      <w:r w:rsidRPr="001C7C6A">
        <w:rPr>
          <w:lang w:val="es-CO"/>
        </w:rPr>
        <w:t>Medición y Usuarios: A diferencia de los cilindros (que se miden por peso), el consumo por redes se mide en metros cúbicos mediante medidores individuales instalados en cada inmueble. El 99% de los usuarios conectados a estas redes son de carácter residencial.</w:t>
      </w:r>
    </w:p>
    <w:p w14:paraId="332A1E23" w14:textId="77777777" w:rsidR="000F6794" w:rsidRPr="001C7C6A" w:rsidRDefault="000F6794">
      <w:pPr>
        <w:numPr>
          <w:ilvl w:val="0"/>
          <w:numId w:val="45"/>
        </w:numPr>
        <w:tabs>
          <w:tab w:val="num" w:pos="720"/>
        </w:tabs>
        <w:spacing w:before="100" w:beforeAutospacing="1" w:after="100" w:afterAutospacing="1" w:line="360" w:lineRule="auto"/>
        <w:rPr>
          <w:lang w:val="es-CO"/>
        </w:rPr>
      </w:pPr>
      <w:r w:rsidRPr="001C7C6A">
        <w:rPr>
          <w:lang w:val="es-CO"/>
        </w:rPr>
        <w:t>Marco Regulatorio: Esta actividad está sujeta a normas específicas como el Código de Distribución de Gas Combustible por Redes (Resolución CREG 67 de 1995) y metodologías tarifarias distintas a las del gas en cilindros. Una vez establecida la red en un municipio, suele operar como un monopolio natural.</w:t>
      </w:r>
    </w:p>
    <w:p w14:paraId="71D300F3" w14:textId="68928AB6" w:rsidR="000F6794" w:rsidRPr="001C7C6A" w:rsidRDefault="000F6794" w:rsidP="002F1961">
      <w:pPr>
        <w:spacing w:before="100" w:beforeAutospacing="1" w:after="100" w:afterAutospacing="1" w:line="360" w:lineRule="auto"/>
        <w:rPr>
          <w:lang w:val="es-CO"/>
        </w:rPr>
      </w:pPr>
      <w:r w:rsidRPr="001C7C6A">
        <w:rPr>
          <w:lang w:val="es-CO"/>
        </w:rPr>
        <w:t>Ambas modalidades requieren que las empresas distribuidoras cuenten con pólizas de responsabilidad civil extracontractual para cubrir daños a terceros y garanticen servicios inherentes como la atención de emergencias y de Peticiones, Quejas y Recursos (PQR)</w:t>
      </w:r>
    </w:p>
    <w:p w14:paraId="232AB3CE" w14:textId="08775BFF" w:rsidR="00036A4F" w:rsidRDefault="00D933CE" w:rsidP="002F1961">
      <w:pPr>
        <w:pStyle w:val="Ttulo2"/>
        <w:spacing w:before="100" w:beforeAutospacing="1" w:after="100" w:afterAutospacing="1"/>
      </w:pPr>
      <w:bookmarkStart w:id="144" w:name="_Toc235128345"/>
      <w:r w:rsidRPr="00D933CE">
        <w:t>Mercados de uso del GLP</w:t>
      </w:r>
      <w:bookmarkEnd w:id="144"/>
    </w:p>
    <w:p w14:paraId="237D5339" w14:textId="3D286792" w:rsidR="003C5759" w:rsidRDefault="00590DD6" w:rsidP="002F1961">
      <w:pPr>
        <w:spacing w:before="100" w:beforeAutospacing="1" w:after="100" w:afterAutospacing="1" w:line="360" w:lineRule="auto"/>
        <w:rPr>
          <w:lang w:val="es-CO"/>
        </w:rPr>
      </w:pPr>
      <w:r w:rsidRPr="00590DD6">
        <w:rPr>
          <w:lang w:val="es-CO"/>
        </w:rPr>
        <w:t xml:space="preserve">En Colombia, el </w:t>
      </w:r>
      <w:r w:rsidR="003C5759">
        <w:rPr>
          <w:lang w:val="es-CO"/>
        </w:rPr>
        <w:t xml:space="preserve">GLP </w:t>
      </w:r>
      <w:r w:rsidRPr="00590DD6">
        <w:rPr>
          <w:lang w:val="es-CO"/>
        </w:rPr>
        <w:t xml:space="preserve">es un combustible versátil utilizado en múltiples sectores, siendo el </w:t>
      </w:r>
      <w:r w:rsidRPr="003C5759">
        <w:rPr>
          <w:lang w:val="es-CO"/>
        </w:rPr>
        <w:t>residencial el</w:t>
      </w:r>
      <w:r w:rsidRPr="00590DD6">
        <w:rPr>
          <w:lang w:val="es-CO"/>
        </w:rPr>
        <w:t xml:space="preserve"> de mayor relevancia. </w:t>
      </w:r>
    </w:p>
    <w:p w14:paraId="3840B2DD" w14:textId="567A3A75" w:rsidR="00036A4F" w:rsidRDefault="00845040" w:rsidP="0047182D">
      <w:pPr>
        <w:pStyle w:val="Ttulo3"/>
        <w:tabs>
          <w:tab w:val="left" w:pos="1134"/>
        </w:tabs>
        <w:spacing w:before="100" w:beforeAutospacing="1" w:after="100" w:afterAutospacing="1"/>
        <w:ind w:left="851" w:hanging="851"/>
      </w:pPr>
      <w:bookmarkStart w:id="145" w:name="_Toc235128346"/>
      <w:r w:rsidRPr="00845040">
        <w:t>Servicio público domiciliario</w:t>
      </w:r>
      <w:bookmarkEnd w:id="145"/>
    </w:p>
    <w:p w14:paraId="5506BFC5" w14:textId="634267DE" w:rsidR="005F0D03" w:rsidRDefault="005F0D03" w:rsidP="002F1961">
      <w:pPr>
        <w:tabs>
          <w:tab w:val="left" w:pos="1134"/>
        </w:tabs>
        <w:spacing w:before="100" w:beforeAutospacing="1" w:after="100" w:afterAutospacing="1" w:line="360" w:lineRule="auto"/>
      </w:pPr>
      <w:r>
        <w:t xml:space="preserve">En Colombia, el servicio público domiciliario de gas licuado del petróleo (GLP) hace parte del servicio público domiciliario de gas combustible, de conformidad con la Ley 142 de 1994. Su prestación comprende un conjunto de actividades reguladas que permiten llevar el combustible desde los productores o importadores hasta los usuarios finales, garantizando condiciones de continuidad, seguridad, calidad y eficiencia. </w:t>
      </w:r>
    </w:p>
    <w:p w14:paraId="7331866F" w14:textId="77777777" w:rsidR="00133289" w:rsidRDefault="00133289" w:rsidP="002F1961">
      <w:pPr>
        <w:tabs>
          <w:tab w:val="left" w:pos="1134"/>
        </w:tabs>
        <w:spacing w:before="100" w:beforeAutospacing="1" w:after="100" w:afterAutospacing="1" w:line="360" w:lineRule="auto"/>
        <w:rPr>
          <w:lang w:val="es-CO"/>
        </w:rPr>
      </w:pPr>
      <w:r w:rsidRPr="00133289">
        <w:rPr>
          <w:lang w:val="es-CO"/>
        </w:rPr>
        <w:lastRenderedPageBreak/>
        <w:t>El servicio público domiciliario de GLP se presta principalmente bajo tres modalidades:</w:t>
      </w:r>
    </w:p>
    <w:p w14:paraId="26636ABE" w14:textId="62FED1C6" w:rsidR="00133289" w:rsidRPr="00133289" w:rsidRDefault="00133289">
      <w:pPr>
        <w:pStyle w:val="Prrafodelista"/>
        <w:numPr>
          <w:ilvl w:val="0"/>
          <w:numId w:val="67"/>
        </w:numPr>
        <w:tabs>
          <w:tab w:val="left" w:pos="1134"/>
        </w:tabs>
        <w:spacing w:before="100" w:beforeAutospacing="1" w:after="100" w:afterAutospacing="1" w:line="360" w:lineRule="auto"/>
        <w:rPr>
          <w:lang w:val="es-CO"/>
        </w:rPr>
      </w:pPr>
      <w:r w:rsidRPr="00133289">
        <w:rPr>
          <w:lang w:val="es-CO"/>
        </w:rPr>
        <w:t>GLP en cilindros: Es la modalidad predominante en zonas rurales y municipios sin cobertura de gas natural. Los cilindros son propiedad del distribuidor, quien es responsable de su mantenimiento, reposición y seguridad.</w:t>
      </w:r>
    </w:p>
    <w:p w14:paraId="4F02D1CA" w14:textId="027EB048" w:rsidR="00133289" w:rsidRPr="00133289" w:rsidRDefault="00133289">
      <w:pPr>
        <w:pStyle w:val="Prrafodelista"/>
        <w:numPr>
          <w:ilvl w:val="0"/>
          <w:numId w:val="67"/>
        </w:numPr>
        <w:tabs>
          <w:tab w:val="left" w:pos="1134"/>
        </w:tabs>
        <w:spacing w:before="100" w:beforeAutospacing="1" w:after="100" w:afterAutospacing="1" w:line="360" w:lineRule="auto"/>
        <w:rPr>
          <w:lang w:val="es-CO"/>
        </w:rPr>
      </w:pPr>
      <w:r w:rsidRPr="00133289">
        <w:rPr>
          <w:lang w:val="es-CO"/>
        </w:rPr>
        <w:t>GLP a granel (tanques estacionarios)</w:t>
      </w:r>
      <w:r>
        <w:rPr>
          <w:lang w:val="es-CO"/>
        </w:rPr>
        <w:t xml:space="preserve">: </w:t>
      </w:r>
      <w:r w:rsidRPr="00133289">
        <w:rPr>
          <w:lang w:val="es-CO"/>
        </w:rPr>
        <w:t>Utilizado por conjuntos residenciales, comercios e industrias. El abastecimiento se realiza mediante carrotanques que recargan periódicamente el tanque.</w:t>
      </w:r>
    </w:p>
    <w:p w14:paraId="66899920" w14:textId="409B74EF" w:rsidR="0075495C" w:rsidRDefault="00133289">
      <w:pPr>
        <w:pStyle w:val="Prrafodelista"/>
        <w:numPr>
          <w:ilvl w:val="0"/>
          <w:numId w:val="67"/>
        </w:numPr>
        <w:tabs>
          <w:tab w:val="left" w:pos="1134"/>
        </w:tabs>
        <w:spacing w:before="100" w:beforeAutospacing="1" w:after="100" w:afterAutospacing="1" w:line="360" w:lineRule="auto"/>
      </w:pPr>
      <w:r w:rsidRPr="00133289">
        <w:rPr>
          <w:lang w:val="es-CO"/>
        </w:rPr>
        <w:t>GLP por redes: Consiste en pequeñas redes de distribución alimentadas desde un tanque central, utilizadas principalmente en urbanizaciones, edificios y algunos municipios donde no existe red de gas natural.</w:t>
      </w:r>
    </w:p>
    <w:p w14:paraId="251A97A3" w14:textId="65F8BF9E" w:rsidR="00036A4F" w:rsidRPr="00842608" w:rsidRDefault="00845040" w:rsidP="002F1961">
      <w:pPr>
        <w:pStyle w:val="Ttulo4"/>
        <w:spacing w:before="100" w:beforeAutospacing="1" w:after="100" w:afterAutospacing="1" w:line="360" w:lineRule="auto"/>
      </w:pPr>
      <w:r w:rsidRPr="00842608">
        <w:t>Número de usuarios</w:t>
      </w:r>
    </w:p>
    <w:p w14:paraId="4657942A" w14:textId="10BCF35A" w:rsidR="005163BD" w:rsidRPr="005163BD" w:rsidRDefault="005163BD" w:rsidP="002F1961">
      <w:pPr>
        <w:spacing w:before="100" w:beforeAutospacing="1" w:after="100" w:afterAutospacing="1" w:line="360" w:lineRule="auto"/>
        <w:rPr>
          <w:lang w:val="es-CO"/>
        </w:rPr>
      </w:pPr>
      <w:r w:rsidRPr="005163BD">
        <w:rPr>
          <w:lang w:val="es-CO"/>
        </w:rPr>
        <w:t>El número de usuarios del servicio público domiciliario de GLP en Colombia depende de</w:t>
      </w:r>
      <w:r w:rsidR="007325FD">
        <w:rPr>
          <w:lang w:val="es-CO"/>
        </w:rPr>
        <w:t xml:space="preserve"> </w:t>
      </w:r>
      <w:r w:rsidRPr="005163BD">
        <w:rPr>
          <w:lang w:val="es-CO"/>
        </w:rPr>
        <w:t>l</w:t>
      </w:r>
      <w:r w:rsidR="007325FD">
        <w:rPr>
          <w:lang w:val="es-CO"/>
        </w:rPr>
        <w:t xml:space="preserve">a </w:t>
      </w:r>
      <w:r w:rsidRPr="005163BD">
        <w:rPr>
          <w:lang w:val="es-CO"/>
        </w:rPr>
        <w:t>mo</w:t>
      </w:r>
      <w:r w:rsidR="007325FD">
        <w:rPr>
          <w:lang w:val="es-CO"/>
        </w:rPr>
        <w:t>dalidad</w:t>
      </w:r>
      <w:r w:rsidRPr="005163BD">
        <w:rPr>
          <w:lang w:val="es-CO"/>
        </w:rPr>
        <w:t xml:space="preserve"> de prestación del servicio</w:t>
      </w:r>
      <w:r w:rsidR="007325FD">
        <w:rPr>
          <w:lang w:val="es-CO"/>
        </w:rPr>
        <w:t xml:space="preserve">. Para el caso del </w:t>
      </w:r>
      <w:r w:rsidRPr="005163BD">
        <w:rPr>
          <w:lang w:val="es-CO"/>
        </w:rPr>
        <w:t xml:space="preserve">GLP por cilindros y tanques estacionarios </w:t>
      </w:r>
      <w:r w:rsidR="007325FD">
        <w:rPr>
          <w:lang w:val="es-CO"/>
        </w:rPr>
        <w:t>s</w:t>
      </w:r>
      <w:r w:rsidRPr="005163BD">
        <w:rPr>
          <w:lang w:val="es-CO"/>
        </w:rPr>
        <w:t>e estima que más de 3,5 millones de hogares utilizan GLP como combustible para cocinar. Considerando un tamaño promedio de hogar cercano a 3 personas (DANE), esto equivale a aproximadamente 10 a 11 millones de personas beneficiarias del servicio.</w:t>
      </w:r>
      <w:r w:rsidR="00AD0F7B">
        <w:rPr>
          <w:lang w:val="es-CO"/>
        </w:rPr>
        <w:t xml:space="preserve"> Por su parte</w:t>
      </w:r>
      <w:r w:rsidR="007A2B7B">
        <w:rPr>
          <w:lang w:val="es-CO"/>
        </w:rPr>
        <w:t xml:space="preserve">, </w:t>
      </w:r>
      <w:r w:rsidR="00F0384E">
        <w:rPr>
          <w:lang w:val="es-CO"/>
        </w:rPr>
        <w:t>d</w:t>
      </w:r>
      <w:r w:rsidRPr="005163BD">
        <w:rPr>
          <w:lang w:val="es-CO"/>
        </w:rPr>
        <w:t>e acuerdo con la información certificada al Sistema Único de Información (SUI),</w:t>
      </w:r>
      <w:r w:rsidR="00F0384E" w:rsidRPr="005163BD">
        <w:rPr>
          <w:lang w:val="es-CO"/>
        </w:rPr>
        <w:t xml:space="preserve"> </w:t>
      </w:r>
      <w:r w:rsidRPr="005163BD">
        <w:rPr>
          <w:lang w:val="es-CO"/>
        </w:rPr>
        <w:t>para la vigencia 202</w:t>
      </w:r>
      <w:r w:rsidR="0027691A">
        <w:rPr>
          <w:lang w:val="es-CO"/>
        </w:rPr>
        <w:t>5</w:t>
      </w:r>
      <w:r w:rsidRPr="005163BD">
        <w:rPr>
          <w:lang w:val="es-CO"/>
        </w:rPr>
        <w:t xml:space="preserve"> se registraron 3</w:t>
      </w:r>
      <w:r w:rsidR="0027691A">
        <w:rPr>
          <w:lang w:val="es-CO"/>
        </w:rPr>
        <w:t>31.</w:t>
      </w:r>
      <w:r w:rsidR="00050BAB">
        <w:rPr>
          <w:lang w:val="es-CO"/>
        </w:rPr>
        <w:t>554</w:t>
      </w:r>
      <w:r w:rsidRPr="005163BD">
        <w:rPr>
          <w:lang w:val="es-CO"/>
        </w:rPr>
        <w:t xml:space="preserve"> suscriptores atendidos mediante redes de GLP, equivalentes al 2,73 % de los suscriptores del servicio público de gas combustible por redes en Colombia.</w:t>
      </w:r>
    </w:p>
    <w:p w14:paraId="08380968" w14:textId="2868ECA5" w:rsidR="00036A4F" w:rsidRPr="00842608" w:rsidRDefault="00845040" w:rsidP="002F1961">
      <w:pPr>
        <w:pStyle w:val="Ttulo4"/>
        <w:spacing w:before="100" w:beforeAutospacing="1" w:after="100" w:afterAutospacing="1" w:line="360" w:lineRule="auto"/>
      </w:pPr>
      <w:r w:rsidRPr="00842608">
        <w:t>Cobertura</w:t>
      </w:r>
    </w:p>
    <w:p w14:paraId="4838A4B6" w14:textId="79E5A374" w:rsidR="001516E4" w:rsidRDefault="00D866DD" w:rsidP="002F1961">
      <w:pPr>
        <w:spacing w:before="100" w:beforeAutospacing="1" w:after="100" w:afterAutospacing="1" w:line="360" w:lineRule="auto"/>
      </w:pPr>
      <w:r w:rsidRPr="00D866DD">
        <w:t>La cobertura del servicio de Gas Licuado de Petróleo (GLP) en Colombia es extensa y se manifiesta a través de diversas modalidades de distribución, alcanzando la gran mayoría del territorio nacional, incluyendo zonas remotas y de frontera.</w:t>
      </w:r>
      <w:r w:rsidR="00F944AC">
        <w:t xml:space="preserve"> La</w:t>
      </w:r>
      <w:r w:rsidR="00C3508B">
        <w:t xml:space="preserve"> </w:t>
      </w:r>
      <w:r w:rsidR="00C01682">
        <w:fldChar w:fldCharType="begin"/>
      </w:r>
      <w:r w:rsidR="00C01682">
        <w:instrText xml:space="preserve"> REF _Ref235111757 \h </w:instrText>
      </w:r>
      <w:r w:rsidR="00C01682">
        <w:fldChar w:fldCharType="separate"/>
      </w:r>
      <w:r w:rsidR="00C01682" w:rsidRPr="5FAE69B6">
        <w:rPr>
          <w:lang w:val="es-ES"/>
        </w:rPr>
        <w:t xml:space="preserve">Figura </w:t>
      </w:r>
      <w:r w:rsidR="00C01682">
        <w:rPr>
          <w:noProof/>
          <w:lang w:val="es-ES"/>
        </w:rPr>
        <w:t>38</w:t>
      </w:r>
      <w:r w:rsidR="00C01682">
        <w:fldChar w:fldCharType="end"/>
      </w:r>
      <w:r w:rsidR="00F944AC">
        <w:t xml:space="preserve"> muestra las ventas de GLP por municipio.</w:t>
      </w:r>
    </w:p>
    <w:p w14:paraId="47D3F40C" w14:textId="47E93AB1" w:rsidR="001516E4" w:rsidRPr="00E873DC" w:rsidRDefault="001516E4" w:rsidP="002F1961">
      <w:pPr>
        <w:pStyle w:val="Descripcin"/>
        <w:keepNext/>
        <w:spacing w:before="100" w:beforeAutospacing="1" w:after="100" w:afterAutospacing="1" w:line="360" w:lineRule="auto"/>
        <w:jc w:val="center"/>
        <w:rPr>
          <w:b w:val="0"/>
        </w:rPr>
      </w:pPr>
      <w:bookmarkStart w:id="146" w:name="_Ref235111752"/>
      <w:bookmarkStart w:id="147" w:name="_Ref235111757"/>
      <w:bookmarkStart w:id="148" w:name="_Toc235118578"/>
      <w:r w:rsidRPr="00E873DC">
        <w:rPr>
          <w:b w:val="0"/>
          <w:lang w:val="es-ES"/>
        </w:rPr>
        <w:lastRenderedPageBreak/>
        <w:t xml:space="preserve">Figura </w:t>
      </w:r>
      <w:r w:rsidRPr="00E873DC">
        <w:rPr>
          <w:b w:val="0"/>
          <w:lang w:val="es-ES"/>
        </w:rPr>
        <w:fldChar w:fldCharType="begin"/>
      </w:r>
      <w:r w:rsidRPr="00E873DC">
        <w:rPr>
          <w:b w:val="0"/>
          <w:lang w:val="es-ES"/>
        </w:rPr>
        <w:instrText xml:space="preserve"> SEQ Figura \* ARABIC </w:instrText>
      </w:r>
      <w:r w:rsidRPr="00E873DC">
        <w:rPr>
          <w:b w:val="0"/>
          <w:lang w:val="es-ES"/>
        </w:rPr>
        <w:fldChar w:fldCharType="separate"/>
      </w:r>
      <w:r w:rsidR="0047182D" w:rsidRPr="00E873DC">
        <w:rPr>
          <w:b w:val="0"/>
          <w:lang w:val="es-ES"/>
        </w:rPr>
        <w:t>38</w:t>
      </w:r>
      <w:r w:rsidRPr="00E873DC">
        <w:rPr>
          <w:b w:val="0"/>
          <w:lang w:val="es-ES"/>
        </w:rPr>
        <w:fldChar w:fldCharType="end"/>
      </w:r>
      <w:bookmarkEnd w:id="147"/>
      <w:r w:rsidRPr="00E873DC">
        <w:rPr>
          <w:b w:val="0"/>
          <w:lang w:val="es-ES"/>
        </w:rPr>
        <w:t xml:space="preserve">. </w:t>
      </w:r>
      <w:r w:rsidR="00AE4D8A">
        <w:rPr>
          <w:b w:val="0"/>
          <w:lang w:val="es-ES"/>
        </w:rPr>
        <w:t>Ventas de GLP por municipio</w:t>
      </w:r>
      <w:bookmarkEnd w:id="146"/>
      <w:bookmarkEnd w:id="148"/>
    </w:p>
    <w:p w14:paraId="69478DA6" w14:textId="78EB82FE" w:rsidR="007D1481" w:rsidRDefault="006C2CD6" w:rsidP="002F1961">
      <w:pPr>
        <w:spacing w:before="100" w:beforeAutospacing="1" w:after="100" w:afterAutospacing="1" w:line="360" w:lineRule="auto"/>
        <w:jc w:val="center"/>
      </w:pPr>
      <w:r>
        <w:rPr>
          <w:noProof/>
        </w:rPr>
        <w:drawing>
          <wp:inline distT="0" distB="0" distL="0" distR="0" wp14:anchorId="7E0D31BF" wp14:editId="7952BE22">
            <wp:extent cx="3702050" cy="3585821"/>
            <wp:effectExtent l="0" t="0" r="0" b="0"/>
            <wp:docPr id="182560145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601457" name="Imagen 1825601457"/>
                    <pic:cNvPicPr/>
                  </pic:nvPicPr>
                  <pic:blipFill rotWithShape="1">
                    <a:blip r:embed="rId76">
                      <a:extLst>
                        <a:ext uri="{28A0092B-C50C-407E-A947-70E740481C1C}">
                          <a14:useLocalDpi xmlns:a14="http://schemas.microsoft.com/office/drawing/2010/main" val="0"/>
                        </a:ext>
                      </a:extLst>
                    </a:blip>
                    <a:srcRect t="7880"/>
                    <a:stretch>
                      <a:fillRect/>
                    </a:stretch>
                  </pic:blipFill>
                  <pic:spPr bwMode="auto">
                    <a:xfrm>
                      <a:off x="0" y="0"/>
                      <a:ext cx="3702240" cy="3586005"/>
                    </a:xfrm>
                    <a:prstGeom prst="rect">
                      <a:avLst/>
                    </a:prstGeom>
                    <a:ln>
                      <a:noFill/>
                    </a:ln>
                    <a:extLst>
                      <a:ext uri="{53640926-AAD7-44D8-BBD7-CCE9431645EC}">
                        <a14:shadowObscured xmlns:a14="http://schemas.microsoft.com/office/drawing/2010/main"/>
                      </a:ext>
                    </a:extLst>
                  </pic:spPr>
                </pic:pic>
              </a:graphicData>
            </a:graphic>
          </wp:inline>
        </w:drawing>
      </w:r>
    </w:p>
    <w:p w14:paraId="10F5AAE5" w14:textId="2D9C5CD2" w:rsidR="00D3676E" w:rsidRPr="00E873DC" w:rsidRDefault="00D3676E" w:rsidP="002F1961">
      <w:pPr>
        <w:spacing w:before="100" w:beforeAutospacing="1" w:after="100" w:afterAutospacing="1" w:line="360" w:lineRule="auto"/>
        <w:jc w:val="center"/>
        <w:rPr>
          <w:sz w:val="22"/>
          <w:szCs w:val="18"/>
        </w:rPr>
      </w:pPr>
      <w:r w:rsidRPr="00E873DC">
        <w:rPr>
          <w:sz w:val="22"/>
          <w:szCs w:val="18"/>
        </w:rPr>
        <w:t>Fuente: SUI. Elaboración: CREG</w:t>
      </w:r>
    </w:p>
    <w:p w14:paraId="69B31E33" w14:textId="5C4B2BD0" w:rsidR="00DC60FF" w:rsidRPr="00842608" w:rsidRDefault="00DC60FF" w:rsidP="00E873DC">
      <w:pPr>
        <w:pStyle w:val="Ttulo4"/>
        <w:spacing w:before="100" w:beforeAutospacing="1" w:after="100" w:afterAutospacing="1" w:line="360" w:lineRule="auto"/>
        <w:ind w:hanging="790"/>
      </w:pPr>
      <w:r w:rsidRPr="00842608">
        <w:t>Participación de cilindros</w:t>
      </w:r>
      <w:r w:rsidR="00A16231" w:rsidRPr="00842608">
        <w:t xml:space="preserve"> y tanques</w:t>
      </w:r>
    </w:p>
    <w:p w14:paraId="5D225DB8" w14:textId="494E0D27" w:rsidR="006353AF" w:rsidRDefault="00837D09" w:rsidP="002F1961">
      <w:pPr>
        <w:spacing w:before="100" w:beforeAutospacing="1" w:after="100" w:afterAutospacing="1" w:line="360" w:lineRule="auto"/>
      </w:pPr>
      <w:r>
        <w:t xml:space="preserve">La venta de GLP en Cilindros es la modalidad con mayor penetración. </w:t>
      </w:r>
      <w:r w:rsidR="004F50F7">
        <w:t>Según datos del SUI, s</w:t>
      </w:r>
      <w:r>
        <w:t>e estima que el servicio de comercialización de cilindros llega a 1.002 municipios en todo el país</w:t>
      </w:r>
      <w:r w:rsidR="004F50F7">
        <w:t xml:space="preserve">. </w:t>
      </w:r>
      <w:r>
        <w:t>Los departamentos con mayor número de puntos de venta registrados son Antioquia (450), Nariño (380), Santander (357) y Cundinamarca (180)</w:t>
      </w:r>
      <w:r w:rsidR="0086259F">
        <w:t>.</w:t>
      </w:r>
    </w:p>
    <w:p w14:paraId="61B8D5A2" w14:textId="07633E03" w:rsidR="00D355FC" w:rsidRDefault="00D355FC" w:rsidP="002F1961">
      <w:pPr>
        <w:spacing w:before="100" w:beforeAutospacing="1" w:after="100" w:afterAutospacing="1" w:line="360" w:lineRule="auto"/>
      </w:pPr>
      <w:r>
        <w:t xml:space="preserve">La </w:t>
      </w:r>
      <w:r w:rsidR="00E873DC">
        <w:fldChar w:fldCharType="begin"/>
      </w:r>
      <w:r w:rsidR="00E873DC">
        <w:instrText xml:space="preserve"> REF _Ref235111803 \h </w:instrText>
      </w:r>
      <w:r w:rsidR="00E873DC">
        <w:fldChar w:fldCharType="separate"/>
      </w:r>
      <w:r w:rsidR="00E873DC" w:rsidRPr="5FAE69B6">
        <w:rPr>
          <w:lang w:val="es-ES"/>
        </w:rPr>
        <w:t xml:space="preserve">Figura </w:t>
      </w:r>
      <w:r w:rsidR="00E873DC">
        <w:rPr>
          <w:noProof/>
          <w:lang w:val="es-ES"/>
        </w:rPr>
        <w:t>39</w:t>
      </w:r>
      <w:r w:rsidR="00E873DC">
        <w:fldChar w:fldCharType="end"/>
      </w:r>
      <w:r>
        <w:t xml:space="preserve"> muestra </w:t>
      </w:r>
      <w:r w:rsidR="00974F95">
        <w:t>el número de empresas y municipios atendidos con GLP a través de cilindros y tanques estacionario</w:t>
      </w:r>
      <w:r w:rsidR="0041132E">
        <w:t>s</w:t>
      </w:r>
      <w:r w:rsidR="00974F95">
        <w:t xml:space="preserve">, </w:t>
      </w:r>
      <w:r w:rsidR="0041132E">
        <w:t xml:space="preserve">evidenciando </w:t>
      </w:r>
      <w:r w:rsidR="009265BB">
        <w:t>un crecimiento sostenido desde el año 2014.</w:t>
      </w:r>
      <w:r w:rsidR="008F662D">
        <w:t xml:space="preserve"> </w:t>
      </w:r>
    </w:p>
    <w:p w14:paraId="64FFEF61" w14:textId="37465B3A" w:rsidR="00BF02A6" w:rsidRDefault="00BF02A6" w:rsidP="002F1961">
      <w:pPr>
        <w:pStyle w:val="Descripcin"/>
        <w:keepNext/>
        <w:spacing w:before="100" w:beforeAutospacing="1" w:after="100" w:afterAutospacing="1" w:line="360" w:lineRule="auto"/>
        <w:jc w:val="center"/>
      </w:pPr>
      <w:bookmarkStart w:id="149" w:name="_Ref235111803"/>
      <w:bookmarkStart w:id="150" w:name="_Toc235118579"/>
      <w:r w:rsidRPr="00CE4482">
        <w:rPr>
          <w:b w:val="0"/>
          <w:lang w:val="es-ES"/>
        </w:rPr>
        <w:lastRenderedPageBreak/>
        <w:t xml:space="preserve">Figura </w:t>
      </w:r>
      <w:r w:rsidRPr="00CE4482">
        <w:rPr>
          <w:b w:val="0"/>
          <w:lang w:val="es-ES"/>
        </w:rPr>
        <w:fldChar w:fldCharType="begin"/>
      </w:r>
      <w:r w:rsidRPr="00CE4482">
        <w:rPr>
          <w:b w:val="0"/>
          <w:lang w:val="es-ES"/>
        </w:rPr>
        <w:instrText xml:space="preserve"> SEQ Figura \* ARABIC </w:instrText>
      </w:r>
      <w:r w:rsidRPr="00CE4482">
        <w:rPr>
          <w:b w:val="0"/>
          <w:lang w:val="es-ES"/>
        </w:rPr>
        <w:fldChar w:fldCharType="separate"/>
      </w:r>
      <w:r w:rsidR="00E873DC" w:rsidRPr="00CE4482">
        <w:rPr>
          <w:b w:val="0"/>
          <w:lang w:val="es-ES"/>
        </w:rPr>
        <w:t>39</w:t>
      </w:r>
      <w:r w:rsidRPr="00CE4482">
        <w:rPr>
          <w:b w:val="0"/>
          <w:lang w:val="es-ES"/>
        </w:rPr>
        <w:fldChar w:fldCharType="end"/>
      </w:r>
      <w:bookmarkEnd w:id="149"/>
      <w:r w:rsidRPr="00CE4482">
        <w:rPr>
          <w:b w:val="0"/>
          <w:lang w:val="es-ES"/>
        </w:rPr>
        <w:t xml:space="preserve">. </w:t>
      </w:r>
      <w:r>
        <w:rPr>
          <w:b w:val="0"/>
          <w:lang w:val="es-ES"/>
        </w:rPr>
        <w:t>Número de empresas y municipios</w:t>
      </w:r>
      <w:r w:rsidR="00E16D35">
        <w:rPr>
          <w:b w:val="0"/>
          <w:lang w:val="es-ES"/>
        </w:rPr>
        <w:t xml:space="preserve"> atendidos con GLP a través de Cilindros y Tanques Estacionarios</w:t>
      </w:r>
      <w:bookmarkEnd w:id="150"/>
      <w:r>
        <w:rPr>
          <w:b w:val="0"/>
          <w:lang w:val="es-ES"/>
        </w:rPr>
        <w:t xml:space="preserve"> </w:t>
      </w:r>
    </w:p>
    <w:p w14:paraId="4F27D793" w14:textId="23804161" w:rsidR="005E2259" w:rsidRDefault="001A5662" w:rsidP="002F1961">
      <w:pPr>
        <w:spacing w:before="100" w:beforeAutospacing="1" w:after="100" w:afterAutospacing="1" w:line="360" w:lineRule="auto"/>
        <w:ind w:left="708" w:hanging="708"/>
        <w:rPr>
          <w:highlight w:val="yellow"/>
        </w:rPr>
      </w:pPr>
      <w:r>
        <w:rPr>
          <w:noProof/>
        </w:rPr>
        <w:drawing>
          <wp:inline distT="0" distB="0" distL="0" distR="0" wp14:anchorId="0A58E807" wp14:editId="77AAF96C">
            <wp:extent cx="5972810" cy="3550149"/>
            <wp:effectExtent l="0" t="0" r="0" b="0"/>
            <wp:docPr id="2124125901"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125901" name="Imagen 2124125901"/>
                    <pic:cNvPicPr/>
                  </pic:nvPicPr>
                  <pic:blipFill rotWithShape="1">
                    <a:blip r:embed="rId77">
                      <a:extLst>
                        <a:ext uri="{28A0092B-C50C-407E-A947-70E740481C1C}">
                          <a14:useLocalDpi xmlns:a14="http://schemas.microsoft.com/office/drawing/2010/main" val="0"/>
                        </a:ext>
                      </a:extLst>
                    </a:blip>
                    <a:srcRect t="6540"/>
                    <a:stretch>
                      <a:fillRect/>
                    </a:stretch>
                  </pic:blipFill>
                  <pic:spPr bwMode="auto">
                    <a:xfrm>
                      <a:off x="0" y="0"/>
                      <a:ext cx="5972810" cy="3550149"/>
                    </a:xfrm>
                    <a:prstGeom prst="rect">
                      <a:avLst/>
                    </a:prstGeom>
                    <a:ln>
                      <a:noFill/>
                    </a:ln>
                    <a:extLst>
                      <a:ext uri="{53640926-AAD7-44D8-BBD7-CCE9431645EC}">
                        <a14:shadowObscured xmlns:a14="http://schemas.microsoft.com/office/drawing/2010/main"/>
                      </a:ext>
                    </a:extLst>
                  </pic:spPr>
                </pic:pic>
              </a:graphicData>
            </a:graphic>
          </wp:inline>
        </w:drawing>
      </w:r>
    </w:p>
    <w:p w14:paraId="7AA43233" w14:textId="77777777" w:rsidR="008F0B32" w:rsidRPr="00CE4482" w:rsidRDefault="008F0B32" w:rsidP="002F1961">
      <w:pPr>
        <w:spacing w:before="100" w:beforeAutospacing="1" w:after="100" w:afterAutospacing="1" w:line="360" w:lineRule="auto"/>
        <w:jc w:val="center"/>
        <w:rPr>
          <w:sz w:val="22"/>
          <w:szCs w:val="18"/>
        </w:rPr>
      </w:pPr>
      <w:r w:rsidRPr="00CE4482">
        <w:rPr>
          <w:sz w:val="22"/>
          <w:szCs w:val="18"/>
        </w:rPr>
        <w:t>Fuente: SUI. Elaboración: CREG</w:t>
      </w:r>
    </w:p>
    <w:p w14:paraId="4ABF6782" w14:textId="4ADCBB67" w:rsidR="005A1775" w:rsidRPr="00842608" w:rsidRDefault="005A1775" w:rsidP="002F1961">
      <w:pPr>
        <w:pStyle w:val="Ttulo4"/>
        <w:spacing w:before="100" w:beforeAutospacing="1" w:after="100" w:afterAutospacing="1" w:line="360" w:lineRule="auto"/>
      </w:pPr>
      <w:r w:rsidRPr="00842608">
        <w:t>Participación de redes de tubería</w:t>
      </w:r>
    </w:p>
    <w:p w14:paraId="1E239E82" w14:textId="138EEE62" w:rsidR="00162848" w:rsidRDefault="00162848" w:rsidP="002F1961">
      <w:pPr>
        <w:spacing w:before="100" w:beforeAutospacing="1" w:after="100" w:afterAutospacing="1" w:line="360" w:lineRule="auto"/>
      </w:pPr>
      <w:r w:rsidRPr="006B5605">
        <w:t xml:space="preserve">Aunque es menor que el envasado, </w:t>
      </w:r>
      <w:r>
        <w:t xml:space="preserve">las ventas de GLP </w:t>
      </w:r>
      <w:r w:rsidRPr="005D2D00">
        <w:t xml:space="preserve">a usuarios conectados a redes de Redes de Tubería han mostrado un crecimiento significativo. </w:t>
      </w:r>
      <w:r w:rsidR="00350B2D" w:rsidRPr="005D2D00">
        <w:t xml:space="preserve">Con corte a junio de 2023, existían redes en 293 municipios, atendiendo a un total de 234.612 usuarios conectados. Para </w:t>
      </w:r>
      <w:r w:rsidR="00B408E3" w:rsidRPr="005D2D00">
        <w:t>diciembre</w:t>
      </w:r>
      <w:r w:rsidRPr="005D2D00">
        <w:t xml:space="preserve"> de 202</w:t>
      </w:r>
      <w:r w:rsidR="00B408E3" w:rsidRPr="005D2D00">
        <w:t>5</w:t>
      </w:r>
      <w:r w:rsidR="002C6431" w:rsidRPr="005D2D00">
        <w:t xml:space="preserve"> </w:t>
      </w:r>
      <w:r w:rsidR="00350B2D" w:rsidRPr="005D2D00">
        <w:t>el n</w:t>
      </w:r>
      <w:r w:rsidR="005D2D00" w:rsidRPr="005D2D00">
        <w:t>úmero de usuarios ascendió a</w:t>
      </w:r>
      <w:r w:rsidRPr="005D2D00">
        <w:t xml:space="preserve"> </w:t>
      </w:r>
      <w:r w:rsidR="002F38AF" w:rsidRPr="005D2D00">
        <w:t>331.</w:t>
      </w:r>
      <w:r w:rsidR="00F7797D" w:rsidRPr="005D2D00">
        <w:t>554</w:t>
      </w:r>
      <w:r w:rsidRPr="005D2D00">
        <w:t xml:space="preserve">. </w:t>
      </w:r>
      <w:r w:rsidR="008F444E" w:rsidRPr="00CE4482">
        <w:t>La</w:t>
      </w:r>
      <w:r w:rsidR="00CE4482" w:rsidRPr="00CE4482">
        <w:t xml:space="preserve"> </w:t>
      </w:r>
      <w:r w:rsidR="00CE4482" w:rsidRPr="00CE4482">
        <w:fldChar w:fldCharType="begin"/>
      </w:r>
      <w:r w:rsidR="00CE4482" w:rsidRPr="00CE4482">
        <w:instrText xml:space="preserve"> REF _Ref235111921 \h </w:instrText>
      </w:r>
      <w:r w:rsidR="00CE4482">
        <w:instrText xml:space="preserve"> \* MERGEFORMAT </w:instrText>
      </w:r>
      <w:r w:rsidR="00CE4482" w:rsidRPr="00CE4482">
        <w:fldChar w:fldCharType="separate"/>
      </w:r>
      <w:r w:rsidR="00CE4482" w:rsidRPr="00CE4482">
        <w:rPr>
          <w:lang w:val="es-ES"/>
        </w:rPr>
        <w:t>Figura 40</w:t>
      </w:r>
      <w:r w:rsidR="00CE4482" w:rsidRPr="00CE4482">
        <w:fldChar w:fldCharType="end"/>
      </w:r>
      <w:r w:rsidR="008F444E">
        <w:t xml:space="preserve"> muestra </w:t>
      </w:r>
      <w:r w:rsidR="00353182">
        <w:t xml:space="preserve">el comportamiento </w:t>
      </w:r>
      <w:r w:rsidR="00F9388A">
        <w:t xml:space="preserve">creciente </w:t>
      </w:r>
      <w:r w:rsidR="00353182">
        <w:t>de las ventas de GLP a usuarios atendidos a través de redes de tubería</w:t>
      </w:r>
      <w:r w:rsidR="00F9388A">
        <w:t>.</w:t>
      </w:r>
      <w:r w:rsidR="00353182">
        <w:t xml:space="preserve"> </w:t>
      </w:r>
    </w:p>
    <w:p w14:paraId="3D3355ED" w14:textId="2C843C90" w:rsidR="005238D7" w:rsidRPr="00CE4482" w:rsidRDefault="005238D7" w:rsidP="002F1961">
      <w:pPr>
        <w:pStyle w:val="Descripcin"/>
        <w:keepNext/>
        <w:spacing w:before="100" w:beforeAutospacing="1" w:after="100" w:afterAutospacing="1" w:line="360" w:lineRule="auto"/>
        <w:jc w:val="center"/>
        <w:rPr>
          <w:b w:val="0"/>
        </w:rPr>
      </w:pPr>
      <w:bookmarkStart w:id="151" w:name="_Ref235111921"/>
      <w:bookmarkStart w:id="152" w:name="_Toc235118580"/>
      <w:r w:rsidRPr="00CE4482">
        <w:rPr>
          <w:b w:val="0"/>
          <w:lang w:val="es-ES"/>
        </w:rPr>
        <w:lastRenderedPageBreak/>
        <w:t xml:space="preserve">Figura </w:t>
      </w:r>
      <w:r w:rsidRPr="00CE4482">
        <w:rPr>
          <w:b w:val="0"/>
          <w:lang w:val="es-ES"/>
        </w:rPr>
        <w:fldChar w:fldCharType="begin"/>
      </w:r>
      <w:r w:rsidRPr="00CE4482">
        <w:rPr>
          <w:b w:val="0"/>
          <w:lang w:val="es-ES"/>
        </w:rPr>
        <w:instrText xml:space="preserve"> SEQ Figura \* ARABIC </w:instrText>
      </w:r>
      <w:r w:rsidRPr="00CE4482">
        <w:rPr>
          <w:b w:val="0"/>
          <w:lang w:val="es-ES"/>
        </w:rPr>
        <w:fldChar w:fldCharType="separate"/>
      </w:r>
      <w:r w:rsidR="00CE4482" w:rsidRPr="00CE4482">
        <w:rPr>
          <w:b w:val="0"/>
          <w:bCs/>
          <w:noProof/>
          <w:lang w:val="es-ES"/>
        </w:rPr>
        <w:t>40</w:t>
      </w:r>
      <w:r w:rsidRPr="00CE4482">
        <w:rPr>
          <w:b w:val="0"/>
          <w:lang w:val="es-ES"/>
        </w:rPr>
        <w:fldChar w:fldCharType="end"/>
      </w:r>
      <w:bookmarkEnd w:id="151"/>
      <w:r w:rsidRPr="00CE4482">
        <w:rPr>
          <w:b w:val="0"/>
          <w:lang w:val="es-ES"/>
        </w:rPr>
        <w:t xml:space="preserve">. </w:t>
      </w:r>
      <w:r>
        <w:rPr>
          <w:b w:val="0"/>
          <w:lang w:val="es-ES"/>
        </w:rPr>
        <w:t xml:space="preserve">Ventas a Usuarios </w:t>
      </w:r>
      <w:r w:rsidR="00EE124B">
        <w:rPr>
          <w:b w:val="0"/>
          <w:lang w:val="es-ES"/>
        </w:rPr>
        <w:t>de GLP atendidos con redes de tubería</w:t>
      </w:r>
      <w:bookmarkEnd w:id="152"/>
    </w:p>
    <w:p w14:paraId="113E6213" w14:textId="77BB27EE" w:rsidR="00D30ED7" w:rsidRDefault="00D30ED7" w:rsidP="002F1961">
      <w:pPr>
        <w:spacing w:before="100" w:beforeAutospacing="1" w:after="100" w:afterAutospacing="1" w:line="360" w:lineRule="auto"/>
        <w:jc w:val="center"/>
      </w:pPr>
      <w:r>
        <w:rPr>
          <w:noProof/>
        </w:rPr>
        <w:drawing>
          <wp:inline distT="0" distB="0" distL="0" distR="0" wp14:anchorId="61F7C627" wp14:editId="253762D1">
            <wp:extent cx="5142860" cy="2597150"/>
            <wp:effectExtent l="0" t="0" r="1270" b="0"/>
            <wp:docPr id="934422342"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422342" name="Imagen 934422342"/>
                    <pic:cNvPicPr/>
                  </pic:nvPicPr>
                  <pic:blipFill rotWithShape="1">
                    <a:blip r:embed="rId78">
                      <a:extLst>
                        <a:ext uri="{28A0092B-C50C-407E-A947-70E740481C1C}">
                          <a14:useLocalDpi xmlns:a14="http://schemas.microsoft.com/office/drawing/2010/main" val="0"/>
                        </a:ext>
                      </a:extLst>
                    </a:blip>
                    <a:srcRect t="5977"/>
                    <a:stretch>
                      <a:fillRect/>
                    </a:stretch>
                  </pic:blipFill>
                  <pic:spPr bwMode="auto">
                    <a:xfrm>
                      <a:off x="0" y="0"/>
                      <a:ext cx="5149963" cy="2600737"/>
                    </a:xfrm>
                    <a:prstGeom prst="rect">
                      <a:avLst/>
                    </a:prstGeom>
                    <a:ln>
                      <a:noFill/>
                    </a:ln>
                    <a:extLst>
                      <a:ext uri="{53640926-AAD7-44D8-BBD7-CCE9431645EC}">
                        <a14:shadowObscured xmlns:a14="http://schemas.microsoft.com/office/drawing/2010/main"/>
                      </a:ext>
                    </a:extLst>
                  </pic:spPr>
                </pic:pic>
              </a:graphicData>
            </a:graphic>
          </wp:inline>
        </w:drawing>
      </w:r>
    </w:p>
    <w:p w14:paraId="09202467" w14:textId="3E9DFEA8" w:rsidR="003763F7" w:rsidRPr="00CE4482" w:rsidRDefault="003763F7" w:rsidP="002F1961">
      <w:pPr>
        <w:spacing w:before="100" w:beforeAutospacing="1" w:after="100" w:afterAutospacing="1" w:line="360" w:lineRule="auto"/>
        <w:jc w:val="center"/>
        <w:rPr>
          <w:sz w:val="22"/>
          <w:szCs w:val="18"/>
        </w:rPr>
      </w:pPr>
      <w:r w:rsidRPr="00CE4482">
        <w:rPr>
          <w:sz w:val="22"/>
          <w:szCs w:val="18"/>
        </w:rPr>
        <w:t>Fuente: SUI. Elaboración: CREG</w:t>
      </w:r>
    </w:p>
    <w:p w14:paraId="6A842124" w14:textId="110E4D64" w:rsidR="00857080" w:rsidRPr="00842608" w:rsidRDefault="00857080" w:rsidP="002F1961">
      <w:pPr>
        <w:pStyle w:val="Ttulo4"/>
        <w:spacing w:before="100" w:beforeAutospacing="1" w:after="100" w:afterAutospacing="1" w:line="360" w:lineRule="auto"/>
      </w:pPr>
      <w:r w:rsidRPr="00842608">
        <w:t>Zonas de frontera</w:t>
      </w:r>
    </w:p>
    <w:p w14:paraId="40328476" w14:textId="77777777" w:rsidR="009A04FC" w:rsidRPr="009A04FC" w:rsidRDefault="009A04FC" w:rsidP="002F1961">
      <w:pPr>
        <w:spacing w:before="100" w:beforeAutospacing="1" w:after="100" w:afterAutospacing="1" w:line="360" w:lineRule="auto"/>
        <w:rPr>
          <w:lang w:val="es-CO"/>
        </w:rPr>
      </w:pPr>
      <w:r w:rsidRPr="009A04FC">
        <w:rPr>
          <w:lang w:val="es-CO"/>
        </w:rPr>
        <w:t>El servicio de GLP es crítico en las fronteras, donde a menudo es la única alternativa energética formal:</w:t>
      </w:r>
    </w:p>
    <w:p w14:paraId="6D108086" w14:textId="77777777" w:rsidR="009A04FC" w:rsidRPr="009A04FC" w:rsidRDefault="009A04FC">
      <w:pPr>
        <w:pStyle w:val="Prrafodelista"/>
        <w:numPr>
          <w:ilvl w:val="0"/>
          <w:numId w:val="49"/>
        </w:numPr>
        <w:spacing w:before="100" w:beforeAutospacing="1" w:after="100" w:afterAutospacing="1" w:line="360" w:lineRule="auto"/>
        <w:rPr>
          <w:lang w:val="es-CO"/>
        </w:rPr>
      </w:pPr>
      <w:r w:rsidRPr="009A04FC">
        <w:rPr>
          <w:lang w:val="es-CO"/>
        </w:rPr>
        <w:t>San Andrés, Providencia y Santa Catalina: Cuenta con un único prestador (</w:t>
      </w:r>
      <w:proofErr w:type="spellStart"/>
      <w:r w:rsidRPr="009A04FC">
        <w:rPr>
          <w:lang w:val="es-CO"/>
        </w:rPr>
        <w:t>Provigas</w:t>
      </w:r>
      <w:proofErr w:type="spellEnd"/>
      <w:r w:rsidRPr="009A04FC">
        <w:rPr>
          <w:lang w:val="es-CO"/>
        </w:rPr>
        <w:t>) que garantiza la cobertura total del archipiélago mediante cilindros y tanques estacionarios</w:t>
      </w:r>
    </w:p>
    <w:p w14:paraId="2FEA307D" w14:textId="77777777" w:rsidR="009A04FC" w:rsidRPr="009A04FC" w:rsidRDefault="009A04FC">
      <w:pPr>
        <w:pStyle w:val="Prrafodelista"/>
        <w:numPr>
          <w:ilvl w:val="0"/>
          <w:numId w:val="49"/>
        </w:numPr>
        <w:spacing w:before="100" w:beforeAutospacing="1" w:after="100" w:afterAutospacing="1" w:line="360" w:lineRule="auto"/>
        <w:rPr>
          <w:lang w:val="es-CO"/>
        </w:rPr>
      </w:pPr>
      <w:r w:rsidRPr="009A04FC">
        <w:rPr>
          <w:lang w:val="es-CO"/>
        </w:rPr>
        <w:t>Frontera con Venezuela: Abarca 72 municipios en departamentos como Arauca, Cesar, La Guajira y Norte de Santander</w:t>
      </w:r>
    </w:p>
    <w:p w14:paraId="7668432C" w14:textId="77777777" w:rsidR="009A04FC" w:rsidRPr="009A04FC" w:rsidRDefault="009A04FC">
      <w:pPr>
        <w:pStyle w:val="Prrafodelista"/>
        <w:numPr>
          <w:ilvl w:val="0"/>
          <w:numId w:val="49"/>
        </w:numPr>
        <w:spacing w:before="100" w:beforeAutospacing="1" w:after="100" w:afterAutospacing="1" w:line="360" w:lineRule="auto"/>
        <w:rPr>
          <w:lang w:val="es-CO"/>
        </w:rPr>
      </w:pPr>
      <w:r w:rsidRPr="009A04FC">
        <w:rPr>
          <w:lang w:val="es-CO"/>
        </w:rPr>
        <w:t>Frontera con Ecuador: Incluye 74 municipios en Nariño y Putumayo</w:t>
      </w:r>
    </w:p>
    <w:p w14:paraId="38031D34" w14:textId="498E6551" w:rsidR="00857080" w:rsidRPr="009A04FC" w:rsidRDefault="009A04FC">
      <w:pPr>
        <w:pStyle w:val="Prrafodelista"/>
        <w:numPr>
          <w:ilvl w:val="0"/>
          <w:numId w:val="49"/>
        </w:numPr>
        <w:spacing w:before="100" w:beforeAutospacing="1" w:after="100" w:afterAutospacing="1" w:line="360" w:lineRule="auto"/>
        <w:rPr>
          <w:lang w:val="es-CO"/>
        </w:rPr>
      </w:pPr>
      <w:r w:rsidRPr="009A04FC">
        <w:rPr>
          <w:lang w:val="es-CO"/>
        </w:rPr>
        <w:t>Frontera con Brasil y Perú (Amazonas): Se concentra principalmente en Leticia, con una cobertura baja o nula en el resto del departamento debido a las extremas dificultades logísticas del transporte fluvial</w:t>
      </w:r>
    </w:p>
    <w:p w14:paraId="5EA5C06E" w14:textId="682BEA33" w:rsidR="00DC60FF" w:rsidRDefault="005C3778" w:rsidP="00CE4482">
      <w:pPr>
        <w:pStyle w:val="Ttulo3"/>
        <w:tabs>
          <w:tab w:val="left" w:pos="1134"/>
        </w:tabs>
        <w:spacing w:before="100" w:beforeAutospacing="1" w:after="100" w:afterAutospacing="1"/>
        <w:ind w:left="851" w:hanging="851"/>
      </w:pPr>
      <w:bookmarkStart w:id="153" w:name="_Toc235128347"/>
      <w:r w:rsidRPr="005C3778">
        <w:lastRenderedPageBreak/>
        <w:t>Usos finales tradicionales</w:t>
      </w:r>
      <w:bookmarkEnd w:id="153"/>
    </w:p>
    <w:p w14:paraId="2AE4FA98" w14:textId="57335C6A" w:rsidR="00C06E18" w:rsidRPr="00C06E18" w:rsidRDefault="00C06E18" w:rsidP="00944626">
      <w:pPr>
        <w:spacing w:before="100" w:beforeAutospacing="1" w:after="100" w:afterAutospacing="1" w:line="360" w:lineRule="auto"/>
      </w:pPr>
      <w:r w:rsidRPr="00C06E18">
        <w:t>El GLP es utilizado por diferentes tipos de usuarios para atender diversas necesidades energéticas. En esta sección se presentan los principales usos finales tradicionales del GLP en Colombia, describiendo los segmentos de consumo que históricamente han concentrado la mayor participación de la demanda.</w:t>
      </w:r>
    </w:p>
    <w:p w14:paraId="17D4332D" w14:textId="1C7D5154" w:rsidR="00DC60FF" w:rsidRPr="00842608" w:rsidRDefault="005C3778" w:rsidP="00CE4482">
      <w:pPr>
        <w:pStyle w:val="Ttulo4"/>
        <w:spacing w:before="100" w:beforeAutospacing="1" w:after="100" w:afterAutospacing="1" w:line="360" w:lineRule="auto"/>
        <w:ind w:hanging="790"/>
      </w:pPr>
      <w:r w:rsidRPr="00842608">
        <w:t>Residencial</w:t>
      </w:r>
      <w:r w:rsidR="00674A21" w:rsidRPr="00842608">
        <w:t xml:space="preserve"> y Comercial</w:t>
      </w:r>
    </w:p>
    <w:p w14:paraId="621F8965" w14:textId="5E679708" w:rsidR="00501C72" w:rsidRPr="00E52858" w:rsidRDefault="00E52858" w:rsidP="002F1961">
      <w:pPr>
        <w:spacing w:before="100" w:beforeAutospacing="1" w:after="100" w:afterAutospacing="1" w:line="360" w:lineRule="auto"/>
      </w:pPr>
      <w:r w:rsidRPr="00E52858">
        <w:t>En los sectores residencial y Comercial el GLP se utiliza principalmente para lo siguiente:</w:t>
      </w:r>
    </w:p>
    <w:p w14:paraId="39C4A301" w14:textId="7B9AE1D4" w:rsidR="003C5759" w:rsidRPr="00674A21" w:rsidRDefault="003C5759">
      <w:pPr>
        <w:numPr>
          <w:ilvl w:val="0"/>
          <w:numId w:val="46"/>
        </w:numPr>
        <w:spacing w:before="100" w:beforeAutospacing="1" w:after="100" w:afterAutospacing="1" w:line="360" w:lineRule="auto"/>
        <w:rPr>
          <w:lang w:val="es-CO"/>
        </w:rPr>
      </w:pPr>
      <w:r w:rsidRPr="00674A21">
        <w:rPr>
          <w:lang w:val="es-CO"/>
        </w:rPr>
        <w:t>Cocción de alimentos: Es el uso predominante</w:t>
      </w:r>
      <w:r w:rsidR="00994321">
        <w:rPr>
          <w:lang w:val="es-CO"/>
        </w:rPr>
        <w:t>, el</w:t>
      </w:r>
      <w:r w:rsidRPr="00674A21">
        <w:rPr>
          <w:lang w:val="es-CO"/>
        </w:rPr>
        <w:t xml:space="preserve"> 97,5% de los usuarios lo utilizan para este fin. Es fundamental en zonas rurales de difícil acceso y para poblaciones de bajos recursos, donde su principal sustituto es la leña.</w:t>
      </w:r>
    </w:p>
    <w:p w14:paraId="47AE4164" w14:textId="77777777" w:rsidR="003C5759" w:rsidRPr="00674A21" w:rsidRDefault="003C5759">
      <w:pPr>
        <w:numPr>
          <w:ilvl w:val="0"/>
          <w:numId w:val="46"/>
        </w:numPr>
        <w:spacing w:before="100" w:beforeAutospacing="1" w:after="100" w:afterAutospacing="1" w:line="360" w:lineRule="auto"/>
        <w:rPr>
          <w:lang w:val="es-CO"/>
        </w:rPr>
      </w:pPr>
      <w:r w:rsidRPr="00674A21">
        <w:rPr>
          <w:lang w:val="es-CO"/>
        </w:rPr>
        <w:t>Calentamiento de agua y calefacción: Se emplea tanto en hogares como en el sector comercial (hoteles y restaurantes) para calentar agua y espacios.</w:t>
      </w:r>
    </w:p>
    <w:p w14:paraId="030F85FA" w14:textId="77777777" w:rsidR="003C5759" w:rsidRPr="00674A21" w:rsidRDefault="003C5759">
      <w:pPr>
        <w:numPr>
          <w:ilvl w:val="0"/>
          <w:numId w:val="46"/>
        </w:numPr>
        <w:spacing w:before="100" w:beforeAutospacing="1" w:after="100" w:afterAutospacing="1" w:line="360" w:lineRule="auto"/>
        <w:rPr>
          <w:lang w:val="es-CO"/>
        </w:rPr>
      </w:pPr>
      <w:r w:rsidRPr="00674A21">
        <w:rPr>
          <w:lang w:val="es-CO"/>
        </w:rPr>
        <w:t>Respaldo: Se utiliza como soporte ante interrupciones en el suministro de gas natural en el sector residencial.</w:t>
      </w:r>
    </w:p>
    <w:p w14:paraId="42BBF873" w14:textId="0EA5D2A5" w:rsidR="00DC60FF" w:rsidRPr="00842608" w:rsidRDefault="00FF7BFE" w:rsidP="00CE4482">
      <w:pPr>
        <w:pStyle w:val="Ttulo4"/>
        <w:spacing w:before="100" w:beforeAutospacing="1" w:after="100" w:afterAutospacing="1" w:line="360" w:lineRule="auto"/>
        <w:ind w:hanging="790"/>
      </w:pPr>
      <w:r w:rsidRPr="00842608">
        <w:t>Industrial y Agroindustrial</w:t>
      </w:r>
    </w:p>
    <w:p w14:paraId="6669FDB1" w14:textId="77468FD6" w:rsidR="00EC30FB" w:rsidRDefault="00EC30FB" w:rsidP="002F1961">
      <w:pPr>
        <w:spacing w:before="100" w:beforeAutospacing="1" w:after="100" w:afterAutospacing="1" w:line="360" w:lineRule="auto"/>
        <w:rPr>
          <w:lang w:val="es-CO"/>
        </w:rPr>
      </w:pPr>
      <w:r>
        <w:rPr>
          <w:lang w:val="es-CO"/>
        </w:rPr>
        <w:t xml:space="preserve">En la industria el GLP es utilizado </w:t>
      </w:r>
      <w:r w:rsidR="001A5C51">
        <w:rPr>
          <w:lang w:val="es-CO"/>
        </w:rPr>
        <w:t>para:</w:t>
      </w:r>
    </w:p>
    <w:p w14:paraId="194A2B4D" w14:textId="77777777" w:rsidR="00FF7BFE" w:rsidRPr="001A5C51" w:rsidRDefault="00FF7BFE">
      <w:pPr>
        <w:numPr>
          <w:ilvl w:val="0"/>
          <w:numId w:val="47"/>
        </w:numPr>
        <w:spacing w:before="100" w:beforeAutospacing="1" w:after="100" w:afterAutospacing="1" w:line="360" w:lineRule="auto"/>
        <w:rPr>
          <w:lang w:val="es-CO"/>
        </w:rPr>
      </w:pPr>
      <w:r w:rsidRPr="001A5C51">
        <w:rPr>
          <w:lang w:val="es-CO"/>
        </w:rPr>
        <w:t>Generación de vapor y calor: Las industrias lo emplean en calderas, hornos industriales y para la generación de vapor.</w:t>
      </w:r>
    </w:p>
    <w:p w14:paraId="4D6BEFEE" w14:textId="77777777" w:rsidR="00FF7BFE" w:rsidRPr="001A5C51" w:rsidRDefault="00FF7BFE">
      <w:pPr>
        <w:numPr>
          <w:ilvl w:val="0"/>
          <w:numId w:val="47"/>
        </w:numPr>
        <w:spacing w:before="100" w:beforeAutospacing="1" w:after="100" w:afterAutospacing="1" w:line="360" w:lineRule="auto"/>
        <w:rPr>
          <w:lang w:val="es-CO"/>
        </w:rPr>
      </w:pPr>
      <w:r w:rsidRPr="001A5C51">
        <w:rPr>
          <w:lang w:val="es-CO"/>
        </w:rPr>
        <w:t>Procesos agropecuarios: Es utilizado en actividades del agro e industrias avícolas.</w:t>
      </w:r>
    </w:p>
    <w:p w14:paraId="40E057D3" w14:textId="77777777" w:rsidR="00FF7BFE" w:rsidRPr="001A5C51" w:rsidRDefault="00FF7BFE">
      <w:pPr>
        <w:numPr>
          <w:ilvl w:val="0"/>
          <w:numId w:val="47"/>
        </w:numPr>
        <w:spacing w:before="100" w:beforeAutospacing="1" w:after="100" w:afterAutospacing="1" w:line="360" w:lineRule="auto"/>
        <w:rPr>
          <w:lang w:val="es-CO"/>
        </w:rPr>
      </w:pPr>
      <w:r w:rsidRPr="001A5C51">
        <w:rPr>
          <w:lang w:val="es-CO"/>
        </w:rPr>
        <w:t>Materia prima: Sirve como insumo para procesos petroquímicos.</w:t>
      </w:r>
    </w:p>
    <w:p w14:paraId="799615BC" w14:textId="77777777" w:rsidR="00FF7BFE" w:rsidRPr="001A5C51" w:rsidRDefault="00FF7BFE">
      <w:pPr>
        <w:numPr>
          <w:ilvl w:val="0"/>
          <w:numId w:val="47"/>
        </w:numPr>
        <w:spacing w:before="100" w:beforeAutospacing="1" w:after="100" w:afterAutospacing="1" w:line="360" w:lineRule="auto"/>
        <w:rPr>
          <w:lang w:val="es-CO"/>
        </w:rPr>
      </w:pPr>
      <w:r w:rsidRPr="001A5C51">
        <w:rPr>
          <w:lang w:val="es-CO"/>
        </w:rPr>
        <w:t>Montacargas: Existe un mercado específico de venta de GLP en envases de aluminio o material compuesto para el funcionamiento de montacargas en centros logísticos y fábricas.</w:t>
      </w:r>
    </w:p>
    <w:p w14:paraId="694ECECD" w14:textId="3493DA5C" w:rsidR="00C6425A" w:rsidRDefault="00C6425A" w:rsidP="00CE4482">
      <w:pPr>
        <w:pStyle w:val="Ttulo3"/>
        <w:tabs>
          <w:tab w:val="left" w:pos="1134"/>
        </w:tabs>
        <w:spacing w:before="100" w:beforeAutospacing="1" w:after="100" w:afterAutospacing="1"/>
        <w:ind w:left="851" w:hanging="709"/>
      </w:pPr>
      <w:bookmarkStart w:id="154" w:name="_Toc235128348"/>
      <w:r w:rsidRPr="00C6425A">
        <w:lastRenderedPageBreak/>
        <w:t>Otros usos</w:t>
      </w:r>
      <w:bookmarkEnd w:id="154"/>
    </w:p>
    <w:p w14:paraId="6C3AE3CB" w14:textId="0CDC7248" w:rsidR="00FB5569" w:rsidRPr="00FB5569" w:rsidRDefault="00FB5569" w:rsidP="003501B5">
      <w:pPr>
        <w:spacing w:before="100" w:beforeAutospacing="1" w:after="100" w:afterAutospacing="1" w:line="360" w:lineRule="auto"/>
      </w:pPr>
      <w:r w:rsidRPr="00FB5569">
        <w:t>Además de los usos finales tradicionales, el GLP tiene aplicaciones en otros sectores que responden a necesidades específicas y que contribuyen a diversificar su utilización en el país. En esta sección se describen los principales usos del GLP en el transporte, la generación de energía eléctrica y los consumos internos de los productores, así como una caracterización general de los usuarios asociados a estos segmentos del mercado.</w:t>
      </w:r>
    </w:p>
    <w:p w14:paraId="0F608E3B" w14:textId="5BD4A2BB" w:rsidR="00C6425A" w:rsidRPr="00842608" w:rsidRDefault="001A5C51" w:rsidP="002F1961">
      <w:pPr>
        <w:pStyle w:val="Ttulo4"/>
        <w:spacing w:before="100" w:beforeAutospacing="1" w:after="100" w:afterAutospacing="1" w:line="360" w:lineRule="auto"/>
        <w:rPr>
          <w:bCs/>
          <w:lang w:val="es-ES"/>
        </w:rPr>
      </w:pPr>
      <w:r w:rsidRPr="00842608">
        <w:rPr>
          <w:bCs/>
          <w:lang w:val="es-ES"/>
        </w:rPr>
        <w:t xml:space="preserve">Transporte (Autoglp y </w:t>
      </w:r>
      <w:proofErr w:type="spellStart"/>
      <w:r w:rsidRPr="00842608">
        <w:rPr>
          <w:bCs/>
          <w:lang w:val="es-ES"/>
        </w:rPr>
        <w:t>Nauti</w:t>
      </w:r>
      <w:r w:rsidR="006078C3" w:rsidRPr="00842608">
        <w:rPr>
          <w:bCs/>
          <w:lang w:val="es-ES"/>
        </w:rPr>
        <w:t>GLP</w:t>
      </w:r>
      <w:proofErr w:type="spellEnd"/>
      <w:r w:rsidR="006078C3" w:rsidRPr="00842608">
        <w:rPr>
          <w:bCs/>
          <w:lang w:val="es-ES"/>
        </w:rPr>
        <w:t>)</w:t>
      </w:r>
    </w:p>
    <w:p w14:paraId="624CB2F9" w14:textId="5CC5C66B" w:rsidR="006078C3" w:rsidRPr="006078C3" w:rsidRDefault="006078C3">
      <w:pPr>
        <w:numPr>
          <w:ilvl w:val="0"/>
          <w:numId w:val="48"/>
        </w:numPr>
        <w:spacing w:before="100" w:beforeAutospacing="1" w:after="100" w:afterAutospacing="1" w:line="360" w:lineRule="auto"/>
        <w:rPr>
          <w:lang w:val="es-CO"/>
        </w:rPr>
      </w:pPr>
      <w:r w:rsidRPr="006078C3">
        <w:rPr>
          <w:lang w:val="es-CO"/>
        </w:rPr>
        <w:t xml:space="preserve">Autoglp: Se utiliza como carburante para vehículos automotores. Es una alternativa más limpia y económica frente a la gasolina y el diésel. Actualmente existen cerca de </w:t>
      </w:r>
      <w:r>
        <w:rPr>
          <w:lang w:val="es-CO"/>
        </w:rPr>
        <w:t>veinte (</w:t>
      </w:r>
      <w:r w:rsidRPr="006078C3">
        <w:rPr>
          <w:lang w:val="es-CO"/>
        </w:rPr>
        <w:t>20</w:t>
      </w:r>
      <w:r>
        <w:rPr>
          <w:lang w:val="es-CO"/>
        </w:rPr>
        <w:t>)</w:t>
      </w:r>
      <w:r w:rsidRPr="006078C3">
        <w:rPr>
          <w:lang w:val="es-CO"/>
        </w:rPr>
        <w:t xml:space="preserve"> estaciones de servicio (EDS) de Autoglp en el país.</w:t>
      </w:r>
    </w:p>
    <w:p w14:paraId="337ADC9D" w14:textId="4C2C0921" w:rsidR="006078C3" w:rsidRPr="006078C3" w:rsidRDefault="006078C3">
      <w:pPr>
        <w:numPr>
          <w:ilvl w:val="0"/>
          <w:numId w:val="48"/>
        </w:numPr>
        <w:spacing w:before="100" w:beforeAutospacing="1" w:after="100" w:afterAutospacing="1" w:line="360" w:lineRule="auto"/>
        <w:rPr>
          <w:lang w:val="es-CO"/>
        </w:rPr>
      </w:pPr>
      <w:proofErr w:type="spellStart"/>
      <w:r w:rsidRPr="006078C3">
        <w:rPr>
          <w:lang w:val="es-CO"/>
        </w:rPr>
        <w:t>Nauti</w:t>
      </w:r>
      <w:r>
        <w:rPr>
          <w:lang w:val="es-CO"/>
        </w:rPr>
        <w:t>GLP</w:t>
      </w:r>
      <w:proofErr w:type="spellEnd"/>
      <w:r w:rsidRPr="006078C3">
        <w:rPr>
          <w:lang w:val="es-CO"/>
        </w:rPr>
        <w:t>: Aplicación en el ámbito marítimo como fuente de energía para embarcaciones. En San Andrés se ha desarrollado un proyecto piloto para este uso náutico.</w:t>
      </w:r>
    </w:p>
    <w:p w14:paraId="063D154D" w14:textId="79AB3960" w:rsidR="00C6425A" w:rsidRPr="00842608" w:rsidRDefault="006078C3" w:rsidP="005119E4">
      <w:pPr>
        <w:pStyle w:val="Ttulo4"/>
        <w:spacing w:before="100" w:beforeAutospacing="1" w:after="100" w:afterAutospacing="1" w:line="360" w:lineRule="auto"/>
        <w:ind w:left="993" w:hanging="790"/>
      </w:pPr>
      <w:r w:rsidRPr="00842608">
        <w:t>Generación de energía eléctrica</w:t>
      </w:r>
    </w:p>
    <w:p w14:paraId="6B501DF9" w14:textId="5CF609D5" w:rsidR="00FF7BFE" w:rsidRDefault="00FF7BFE" w:rsidP="002F1961">
      <w:pPr>
        <w:spacing w:before="100" w:beforeAutospacing="1" w:after="100" w:afterAutospacing="1" w:line="360" w:lineRule="auto"/>
        <w:rPr>
          <w:lang w:val="es-CO"/>
        </w:rPr>
      </w:pPr>
      <w:r w:rsidRPr="00590DD6">
        <w:rPr>
          <w:lang w:val="es-CO"/>
        </w:rPr>
        <w:t xml:space="preserve">Se aprovecha como fuente para plantas de generación de electricidad, especialmente en </w:t>
      </w:r>
      <w:r w:rsidRPr="00CC1CDA">
        <w:rPr>
          <w:lang w:val="es-CO"/>
        </w:rPr>
        <w:t>Zonas No Interconectadas (ZNI)</w:t>
      </w:r>
      <w:r w:rsidRPr="00590DD6">
        <w:rPr>
          <w:lang w:val="es-CO"/>
        </w:rPr>
        <w:t>.</w:t>
      </w:r>
    </w:p>
    <w:p w14:paraId="7B9ABF48" w14:textId="0F29D7D0" w:rsidR="00FF7BFE" w:rsidRPr="00842608" w:rsidRDefault="00FF7BFE" w:rsidP="005119E4">
      <w:pPr>
        <w:pStyle w:val="Ttulo4"/>
        <w:spacing w:before="100" w:beforeAutospacing="1" w:after="100" w:afterAutospacing="1" w:line="360" w:lineRule="auto"/>
        <w:ind w:left="1134" w:hanging="932"/>
      </w:pPr>
      <w:r w:rsidRPr="00842608">
        <w:t>Usos Internos de los Productores</w:t>
      </w:r>
    </w:p>
    <w:p w14:paraId="7AA927A9" w14:textId="77777777" w:rsidR="00FF7BFE" w:rsidRPr="00590DD6" w:rsidRDefault="00FF7BFE">
      <w:pPr>
        <w:numPr>
          <w:ilvl w:val="0"/>
          <w:numId w:val="48"/>
        </w:numPr>
        <w:spacing w:before="100" w:beforeAutospacing="1" w:after="100" w:afterAutospacing="1" w:line="360" w:lineRule="auto"/>
        <w:rPr>
          <w:lang w:val="es-CO"/>
        </w:rPr>
      </w:pPr>
      <w:proofErr w:type="spellStart"/>
      <w:r w:rsidRPr="00CC1CDA">
        <w:rPr>
          <w:lang w:val="es-CO"/>
        </w:rPr>
        <w:t>Codilusión</w:t>
      </w:r>
      <w:proofErr w:type="spellEnd"/>
      <w:r w:rsidRPr="00CC1CDA">
        <w:rPr>
          <w:lang w:val="es-CO"/>
        </w:rPr>
        <w:t xml:space="preserve"> de crudos:</w:t>
      </w:r>
      <w:r w:rsidRPr="00590DD6">
        <w:rPr>
          <w:lang w:val="es-CO"/>
        </w:rPr>
        <w:t xml:space="preserve"> Ecopetrol utiliza parte de su producción para diluir crudos pesados (especialmente de campos como Apiay) y facilitar su transporte por oleoductos.</w:t>
      </w:r>
    </w:p>
    <w:p w14:paraId="46637DFF" w14:textId="77777777" w:rsidR="00FF7BFE" w:rsidRPr="00590DD6" w:rsidRDefault="00FF7BFE">
      <w:pPr>
        <w:numPr>
          <w:ilvl w:val="0"/>
          <w:numId w:val="48"/>
        </w:numPr>
        <w:spacing w:before="100" w:beforeAutospacing="1" w:after="100" w:afterAutospacing="1" w:line="360" w:lineRule="auto"/>
        <w:rPr>
          <w:lang w:val="es-CO"/>
        </w:rPr>
      </w:pPr>
      <w:r w:rsidRPr="00CC1CDA">
        <w:rPr>
          <w:lang w:val="es-CO"/>
        </w:rPr>
        <w:t>Autogeneración:</w:t>
      </w:r>
      <w:r w:rsidRPr="00590DD6">
        <w:rPr>
          <w:lang w:val="es-CO"/>
        </w:rPr>
        <w:t xml:space="preserve"> Algunos productores destinan un porcentaje (cerca del 5% en el caso del principal productor) para generar su propia energía eléctrica u operar compresores en sus plantas</w:t>
      </w:r>
    </w:p>
    <w:p w14:paraId="49178A27" w14:textId="2DC1D218" w:rsidR="00251C04" w:rsidRPr="00842608" w:rsidRDefault="00251C04" w:rsidP="00CE4482">
      <w:pPr>
        <w:pStyle w:val="Ttulo4"/>
        <w:spacing w:before="100" w:beforeAutospacing="1" w:after="100" w:afterAutospacing="1" w:line="360" w:lineRule="auto"/>
        <w:ind w:hanging="790"/>
      </w:pPr>
      <w:r w:rsidRPr="00842608">
        <w:lastRenderedPageBreak/>
        <w:t>Caracterización de usuarios</w:t>
      </w:r>
    </w:p>
    <w:p w14:paraId="271BC852" w14:textId="77777777" w:rsidR="00251C04" w:rsidRPr="007976D6" w:rsidRDefault="00251C04" w:rsidP="00F64672">
      <w:pPr>
        <w:pStyle w:val="NormalWeb"/>
        <w:spacing w:line="360" w:lineRule="auto"/>
        <w:jc w:val="both"/>
        <w:rPr>
          <w:rFonts w:ascii="Arial" w:hAnsi="Arial" w:cs="Arial"/>
          <w:lang w:val="es-ES" w:eastAsia="es-ES"/>
        </w:rPr>
      </w:pPr>
      <w:r w:rsidRPr="1CB3B162">
        <w:rPr>
          <w:rFonts w:ascii="Arial" w:hAnsi="Arial" w:cs="Arial"/>
          <w:lang w:val="es-ES" w:eastAsia="es-ES"/>
        </w:rPr>
        <w:t>El servicio público domiciliario de GLP atiende una población heterogénea distribuida en todo el territorio nacional, conformada principalmente por usuarios residenciales, aunque también participan usuarios comerciales e industriales que utilizan el energético como insumo para sus actividades productivas.</w:t>
      </w:r>
    </w:p>
    <w:p w14:paraId="6FE0B692" w14:textId="4CBDD9BE" w:rsidR="00251C04" w:rsidRPr="007976D6" w:rsidRDefault="00251C04" w:rsidP="00F64672">
      <w:pPr>
        <w:pStyle w:val="NormalWeb"/>
        <w:spacing w:line="360" w:lineRule="auto"/>
        <w:jc w:val="both"/>
        <w:rPr>
          <w:rFonts w:ascii="Arial" w:hAnsi="Arial" w:cs="Arial"/>
          <w:lang w:val="es-ES" w:eastAsia="es-ES"/>
        </w:rPr>
      </w:pPr>
      <w:r w:rsidRPr="1CB3B162">
        <w:rPr>
          <w:rFonts w:ascii="Arial" w:hAnsi="Arial" w:cs="Arial"/>
          <w:lang w:val="es-ES" w:eastAsia="es-ES"/>
        </w:rPr>
        <w:t xml:space="preserve">De acuerdo con la caracterización realizada </w:t>
      </w:r>
      <w:r w:rsidR="00E71161">
        <w:rPr>
          <w:rFonts w:ascii="Arial" w:hAnsi="Arial" w:cs="Arial"/>
          <w:lang w:val="es-ES" w:eastAsia="es-ES"/>
        </w:rPr>
        <w:t>en</w:t>
      </w:r>
      <w:r w:rsidRPr="1CB3B162">
        <w:rPr>
          <w:rFonts w:ascii="Arial" w:hAnsi="Arial" w:cs="Arial"/>
          <w:lang w:val="es-ES" w:eastAsia="es-ES"/>
        </w:rPr>
        <w:t xml:space="preserve"> </w:t>
      </w:r>
      <w:r w:rsidRPr="00F24678">
        <w:rPr>
          <w:rFonts w:ascii="Arial" w:hAnsi="Arial" w:cs="Arial"/>
          <w:lang w:val="es-ES" w:eastAsia="es-ES"/>
        </w:rPr>
        <w:t>el estudio de CQM,</w:t>
      </w:r>
      <w:r w:rsidRPr="1CB3B162">
        <w:rPr>
          <w:rFonts w:ascii="Arial" w:hAnsi="Arial" w:cs="Arial"/>
          <w:lang w:val="es-ES" w:eastAsia="es-ES"/>
        </w:rPr>
        <w:t xml:space="preserve"> la cadena de prestación del servicio de GLP se encuentra presente en la mayoría de los departamentos del país y constituye una fuente energética relevante para una parte significativa de la población colombiana. Su importancia resulta especialmente evidente en municipios intermedios, zonas rurales y regiones apartadas donde otras fuentes energéticas enfrentan restricciones de cobertura o disponibilidad.</w:t>
      </w:r>
    </w:p>
    <w:p w14:paraId="6798D4A3" w14:textId="3F2B0CCC" w:rsidR="00251C04" w:rsidRDefault="00251C04" w:rsidP="00F64672">
      <w:pPr>
        <w:pStyle w:val="NormalWeb"/>
        <w:spacing w:line="360" w:lineRule="auto"/>
        <w:jc w:val="both"/>
        <w:rPr>
          <w:rFonts w:ascii="Arial" w:hAnsi="Arial" w:cs="Arial"/>
          <w:lang w:val="es-ES" w:eastAsia="es-ES"/>
        </w:rPr>
      </w:pPr>
      <w:r w:rsidRPr="1CB3B162">
        <w:rPr>
          <w:rFonts w:ascii="Arial" w:hAnsi="Arial" w:cs="Arial"/>
          <w:lang w:val="es-ES" w:eastAsia="es-ES"/>
        </w:rPr>
        <w:t xml:space="preserve">Con base en la información reportada al Sistema Único de Información (SUI), </w:t>
      </w:r>
      <w:r w:rsidR="003E5A96">
        <w:rPr>
          <w:rFonts w:ascii="Arial" w:hAnsi="Arial" w:cs="Arial"/>
          <w:lang w:val="es-ES" w:eastAsia="es-ES"/>
        </w:rPr>
        <w:t xml:space="preserve">para el año 2025 </w:t>
      </w:r>
      <w:r w:rsidRPr="1CB3B162">
        <w:rPr>
          <w:rFonts w:ascii="Arial" w:hAnsi="Arial" w:cs="Arial"/>
          <w:lang w:val="es-ES" w:eastAsia="es-ES"/>
        </w:rPr>
        <w:t xml:space="preserve">el servicio público domiciliario de GLP atiende aproximadamente </w:t>
      </w:r>
      <w:r w:rsidR="00005898" w:rsidRPr="00005898">
        <w:rPr>
          <w:rFonts w:ascii="Arial" w:hAnsi="Arial" w:cs="Arial"/>
          <w:lang w:val="es-ES" w:eastAsia="es-ES"/>
        </w:rPr>
        <w:t>3,5</w:t>
      </w:r>
      <w:r w:rsidRPr="00005898">
        <w:rPr>
          <w:rFonts w:ascii="Arial" w:hAnsi="Arial" w:cs="Arial"/>
          <w:lang w:val="es-ES" w:eastAsia="es-ES"/>
        </w:rPr>
        <w:t xml:space="preserve"> millones de usuarios</w:t>
      </w:r>
      <w:r w:rsidRPr="1CB3B162">
        <w:rPr>
          <w:rFonts w:ascii="Arial" w:hAnsi="Arial" w:cs="Arial"/>
          <w:lang w:val="es-ES" w:eastAsia="es-ES"/>
        </w:rPr>
        <w:t xml:space="preserve"> a nivel nacional. Esta cifra refleja la importancia del energético dentro de la matriz energética del país y su papel en la atención de necesidades residenciales, comerciales e industriales.</w:t>
      </w:r>
    </w:p>
    <w:p w14:paraId="215D77F7" w14:textId="2CD37E30" w:rsidR="004D6B43" w:rsidRDefault="0032468B" w:rsidP="002F1961">
      <w:pPr>
        <w:pStyle w:val="Ttulo2"/>
        <w:spacing w:before="100" w:beforeAutospacing="1" w:after="100" w:afterAutospacing="1"/>
      </w:pPr>
      <w:bookmarkStart w:id="155" w:name="_Toc235128349"/>
      <w:r w:rsidRPr="0032468B">
        <w:t>Competencia en la cadena</w:t>
      </w:r>
      <w:bookmarkEnd w:id="155"/>
    </w:p>
    <w:p w14:paraId="686BDC1B" w14:textId="5B1C6721" w:rsidR="008A6A6E" w:rsidRPr="008A6A6E" w:rsidRDefault="00E71161" w:rsidP="002F1961">
      <w:pPr>
        <w:spacing w:before="100" w:beforeAutospacing="1" w:after="100" w:afterAutospacing="1" w:line="360" w:lineRule="auto"/>
        <w:rPr>
          <w:rFonts w:cs="Arial"/>
          <w:lang w:val="es-CO"/>
        </w:rPr>
      </w:pPr>
      <w:r>
        <w:rPr>
          <w:rFonts w:cs="Arial"/>
          <w:lang w:val="es-CO"/>
        </w:rPr>
        <w:t>De acuerdo con lo iden</w:t>
      </w:r>
      <w:r w:rsidR="00852734">
        <w:rPr>
          <w:rFonts w:cs="Arial"/>
          <w:lang w:val="es-CO"/>
        </w:rPr>
        <w:t>ti</w:t>
      </w:r>
      <w:r>
        <w:rPr>
          <w:rFonts w:cs="Arial"/>
          <w:lang w:val="es-CO"/>
        </w:rPr>
        <w:t>fi</w:t>
      </w:r>
      <w:r w:rsidR="00852734">
        <w:rPr>
          <w:rFonts w:cs="Arial"/>
          <w:lang w:val="es-CO"/>
        </w:rPr>
        <w:t xml:space="preserve">cado en el </w:t>
      </w:r>
      <w:r w:rsidR="001B0A72">
        <w:rPr>
          <w:rFonts w:cs="Arial"/>
          <w:lang w:val="es-CO"/>
        </w:rPr>
        <w:t>E</w:t>
      </w:r>
      <w:r w:rsidR="00852734" w:rsidRPr="00852734">
        <w:rPr>
          <w:rFonts w:cs="Arial"/>
          <w:lang w:val="es-CO"/>
        </w:rPr>
        <w:t>studio de caracterización de la cadena de GLP, Mercados Relevantes y Fallas de Mercado</w:t>
      </w:r>
      <w:r w:rsidR="001B0A72">
        <w:rPr>
          <w:rFonts w:cs="Arial"/>
          <w:lang w:val="es-CO"/>
        </w:rPr>
        <w:t>,</w:t>
      </w:r>
      <w:r w:rsidR="00852734" w:rsidRPr="00852734">
        <w:rPr>
          <w:rFonts w:cs="Arial"/>
          <w:lang w:val="es-CO"/>
        </w:rPr>
        <w:t xml:space="preserve"> </w:t>
      </w:r>
      <w:r w:rsidR="001B0A72">
        <w:rPr>
          <w:rFonts w:cs="Arial"/>
          <w:lang w:val="es-CO"/>
        </w:rPr>
        <w:t>l</w:t>
      </w:r>
      <w:r w:rsidR="008A6A6E" w:rsidRPr="008A6A6E">
        <w:rPr>
          <w:rFonts w:cs="Arial"/>
          <w:lang w:val="es-CO"/>
        </w:rPr>
        <w:t>a estructura competitiva del sector de GLP en Colombia se caracteriza por ser altamente concentrada, con una presencia de un agente dominante en el abastecimiento y una dinámica de competencia variable en los eslabones de distribución y comercialización</w:t>
      </w:r>
      <w:r w:rsidR="004724A2">
        <w:rPr>
          <w:rFonts w:cs="Arial"/>
          <w:lang w:val="es-CO"/>
        </w:rPr>
        <w:t xml:space="preserve"> minorista</w:t>
      </w:r>
      <w:r w:rsidR="008A6A6E">
        <w:rPr>
          <w:rFonts w:cs="Arial"/>
          <w:lang w:val="es-CO"/>
        </w:rPr>
        <w:t>.</w:t>
      </w:r>
    </w:p>
    <w:p w14:paraId="7A915511" w14:textId="77777777" w:rsidR="001D1E49" w:rsidRDefault="001D1E49" w:rsidP="002F1961">
      <w:pPr>
        <w:pStyle w:val="Ttulo3"/>
        <w:tabs>
          <w:tab w:val="left" w:pos="709"/>
        </w:tabs>
        <w:spacing w:before="100" w:beforeAutospacing="1" w:after="100" w:afterAutospacing="1"/>
      </w:pPr>
      <w:bookmarkStart w:id="156" w:name="_Toc235128350"/>
      <w:r w:rsidRPr="006D4F34">
        <w:t>Mercados relevantes</w:t>
      </w:r>
      <w:bookmarkEnd w:id="156"/>
    </w:p>
    <w:p w14:paraId="74B86A6C" w14:textId="0AB245CC" w:rsidR="00FA6B38" w:rsidRPr="00EB23A5" w:rsidRDefault="00152686" w:rsidP="002F1961">
      <w:pPr>
        <w:spacing w:before="100" w:beforeAutospacing="1" w:after="100" w:afterAutospacing="1" w:line="360" w:lineRule="auto"/>
        <w:rPr>
          <w:rFonts w:cs="Arial"/>
          <w:lang w:val="es-CO"/>
        </w:rPr>
      </w:pPr>
      <w:r>
        <w:rPr>
          <w:rFonts w:cs="Arial"/>
          <w:lang w:val="es-CO"/>
        </w:rPr>
        <w:t>E</w:t>
      </w:r>
      <w:r w:rsidR="004755FA">
        <w:rPr>
          <w:rFonts w:cs="Arial"/>
          <w:lang w:val="es-CO"/>
        </w:rPr>
        <w:t>l estudio de Caracterizaci</w:t>
      </w:r>
      <w:r w:rsidR="00EF2E81">
        <w:rPr>
          <w:rFonts w:cs="Arial"/>
          <w:lang w:val="es-CO"/>
        </w:rPr>
        <w:t>ó</w:t>
      </w:r>
      <w:r w:rsidR="004755FA">
        <w:rPr>
          <w:rFonts w:cs="Arial"/>
          <w:lang w:val="es-CO"/>
        </w:rPr>
        <w:t>n de la cadena de GLP, adelantado por la firma C</w:t>
      </w:r>
      <w:r w:rsidR="00EF2E81">
        <w:rPr>
          <w:rFonts w:cs="Arial"/>
          <w:lang w:val="es-CO"/>
        </w:rPr>
        <w:t xml:space="preserve">QM, </w:t>
      </w:r>
      <w:r w:rsidR="00330C03">
        <w:rPr>
          <w:rFonts w:cs="Arial"/>
          <w:lang w:val="es-CO"/>
        </w:rPr>
        <w:t>define</w:t>
      </w:r>
      <w:r w:rsidR="00FA6B38" w:rsidRPr="00EB23A5">
        <w:rPr>
          <w:rFonts w:cs="Arial"/>
          <w:lang w:val="es-CO"/>
        </w:rPr>
        <w:t xml:space="preserve"> los mercados relevantes en la cadena del GLP mediante una metodología que analiza el </w:t>
      </w:r>
      <w:r w:rsidR="00FA6B38" w:rsidRPr="00EB23A5">
        <w:rPr>
          <w:rFonts w:cs="Arial"/>
          <w:lang w:val="es-CO"/>
        </w:rPr>
        <w:lastRenderedPageBreak/>
        <w:t>mercado de producto y el mercado geográfico para identificar los límites de la competencia efectiva.</w:t>
      </w:r>
      <w:r w:rsidR="00415893">
        <w:rPr>
          <w:rFonts w:cs="Arial"/>
          <w:lang w:val="es-CO"/>
        </w:rPr>
        <w:t xml:space="preserve"> </w:t>
      </w:r>
      <w:r w:rsidR="00B46315">
        <w:rPr>
          <w:rFonts w:cs="Arial"/>
          <w:lang w:val="es-CO"/>
        </w:rPr>
        <w:t>A continuaci</w:t>
      </w:r>
      <w:r w:rsidR="007E0EDE">
        <w:rPr>
          <w:rFonts w:cs="Arial"/>
          <w:lang w:val="es-CO"/>
        </w:rPr>
        <w:t>ón</w:t>
      </w:r>
      <w:r w:rsidR="00415893">
        <w:rPr>
          <w:rFonts w:cs="Arial"/>
          <w:lang w:val="es-CO"/>
        </w:rPr>
        <w:t>,</w:t>
      </w:r>
      <w:r w:rsidR="007E0EDE">
        <w:rPr>
          <w:rFonts w:cs="Arial"/>
          <w:lang w:val="es-CO"/>
        </w:rPr>
        <w:t xml:space="preserve"> se </w:t>
      </w:r>
      <w:r w:rsidR="00415893">
        <w:rPr>
          <w:rFonts w:cs="Arial"/>
          <w:lang w:val="es-CO"/>
        </w:rPr>
        <w:t>presenta el resultado:</w:t>
      </w:r>
    </w:p>
    <w:p w14:paraId="61D79E41" w14:textId="591F9831" w:rsidR="00FA6B38" w:rsidRPr="00842608" w:rsidRDefault="00FA6B38" w:rsidP="00CE4482">
      <w:pPr>
        <w:pStyle w:val="Ttulo4"/>
        <w:tabs>
          <w:tab w:val="left" w:pos="709"/>
        </w:tabs>
        <w:spacing w:before="100" w:beforeAutospacing="1" w:after="100" w:afterAutospacing="1" w:line="360" w:lineRule="auto"/>
        <w:ind w:hanging="790"/>
      </w:pPr>
      <w:r w:rsidRPr="00842608">
        <w:t>Metodología de Definición</w:t>
      </w:r>
    </w:p>
    <w:p w14:paraId="325789AC" w14:textId="77777777" w:rsidR="00FA6B38" w:rsidRDefault="00FA6B38" w:rsidP="002F1961">
      <w:pPr>
        <w:spacing w:before="100" w:beforeAutospacing="1" w:after="100" w:afterAutospacing="1" w:line="360" w:lineRule="auto"/>
        <w:rPr>
          <w:rFonts w:cs="Arial"/>
          <w:lang w:val="es-CO"/>
        </w:rPr>
      </w:pPr>
      <w:r w:rsidRPr="00EB23A5">
        <w:rPr>
          <w:rFonts w:cs="Arial"/>
          <w:lang w:val="es-CO"/>
        </w:rPr>
        <w:t>El estudio utiliza el enfoque de Uso, Características y Precios para determinar la sustituibilidad de los bienes o servicios.</w:t>
      </w:r>
    </w:p>
    <w:p w14:paraId="12452CE1" w14:textId="77777777" w:rsidR="00FA6B38" w:rsidRDefault="00FA6B38">
      <w:pPr>
        <w:numPr>
          <w:ilvl w:val="0"/>
          <w:numId w:val="7"/>
        </w:numPr>
        <w:spacing w:before="100" w:beforeAutospacing="1" w:after="100" w:afterAutospacing="1" w:line="360" w:lineRule="auto"/>
        <w:rPr>
          <w:rFonts w:cs="Arial"/>
          <w:lang w:val="es-CO"/>
        </w:rPr>
      </w:pPr>
      <w:r w:rsidRPr="00EB23A5">
        <w:rPr>
          <w:rFonts w:cs="Arial"/>
          <w:lang w:val="es-CO"/>
        </w:rPr>
        <w:t>Mercado de producto: Se define analizando la sustituibilidad por el lado de la demanda, evaluando si los consumidores pueden cambiar a productos sustitutos ante variaciones en el precio, calidad o disponibilidad.</w:t>
      </w:r>
    </w:p>
    <w:p w14:paraId="1CE4778D" w14:textId="77777777" w:rsidR="00FA6B38" w:rsidRPr="00EB23A5" w:rsidRDefault="00FA6B38">
      <w:pPr>
        <w:numPr>
          <w:ilvl w:val="0"/>
          <w:numId w:val="7"/>
        </w:numPr>
        <w:spacing w:before="100" w:beforeAutospacing="1" w:after="100" w:afterAutospacing="1" w:line="360" w:lineRule="auto"/>
        <w:rPr>
          <w:rFonts w:cs="Arial"/>
          <w:lang w:val="es-CO"/>
        </w:rPr>
      </w:pPr>
      <w:r w:rsidRPr="00EB23A5">
        <w:rPr>
          <w:rFonts w:cs="Arial"/>
          <w:lang w:val="es-CO"/>
        </w:rPr>
        <w:t>Mercado geográfico: Es el área donde puede ocurrir una sustitución razonable de los productos, pudiendo ser de carácter nacional, regional, departamental o municipal.</w:t>
      </w:r>
    </w:p>
    <w:p w14:paraId="2281D38C" w14:textId="09E10CBB" w:rsidR="00FA6B38" w:rsidRPr="00842608" w:rsidRDefault="00FA6B38" w:rsidP="002F1961">
      <w:pPr>
        <w:pStyle w:val="Ttulo4"/>
        <w:tabs>
          <w:tab w:val="left" w:pos="709"/>
        </w:tabs>
        <w:spacing w:before="100" w:beforeAutospacing="1" w:after="100" w:afterAutospacing="1" w:line="360" w:lineRule="auto"/>
      </w:pPr>
      <w:r w:rsidRPr="00842608">
        <w:t>Mercados Relevantes Identificados por Segmento</w:t>
      </w:r>
    </w:p>
    <w:p w14:paraId="54FC291C" w14:textId="6DCD8FDA" w:rsidR="00FA6B38" w:rsidRPr="00EB23A5" w:rsidRDefault="00FA6B38" w:rsidP="002F1961">
      <w:pPr>
        <w:spacing w:before="100" w:beforeAutospacing="1" w:after="100" w:afterAutospacing="1" w:line="360" w:lineRule="auto"/>
        <w:rPr>
          <w:rFonts w:cs="Arial"/>
          <w:lang w:val="es-CO"/>
        </w:rPr>
      </w:pPr>
      <w:r w:rsidRPr="00EB23A5">
        <w:rPr>
          <w:rFonts w:cs="Arial"/>
          <w:lang w:val="es-CO"/>
        </w:rPr>
        <w:t>De acuerdo con la realidad identificada en el estudio</w:t>
      </w:r>
      <w:r w:rsidR="00CE4482">
        <w:rPr>
          <w:rFonts w:cs="Arial"/>
          <w:lang w:val="es-CO"/>
        </w:rPr>
        <w:t xml:space="preserve"> adelantado por la empresa consultora CQM</w:t>
      </w:r>
      <w:r w:rsidR="00B400A9">
        <w:rPr>
          <w:rFonts w:cs="Arial"/>
          <w:lang w:val="es-CO"/>
        </w:rPr>
        <w:t xml:space="preserve"> en el año 2023</w:t>
      </w:r>
      <w:r w:rsidRPr="00EB23A5">
        <w:rPr>
          <w:rFonts w:cs="Arial"/>
          <w:lang w:val="es-CO"/>
        </w:rPr>
        <w:t xml:space="preserve">, los mercados </w:t>
      </w:r>
      <w:r w:rsidR="00A279F5">
        <w:rPr>
          <w:rFonts w:cs="Arial"/>
          <w:lang w:val="es-CO"/>
        </w:rPr>
        <w:t xml:space="preserve">de GLP </w:t>
      </w:r>
      <w:r w:rsidRPr="00EB23A5">
        <w:rPr>
          <w:rFonts w:cs="Arial"/>
          <w:lang w:val="es-CO"/>
        </w:rPr>
        <w:t xml:space="preserve">se clasifican </w:t>
      </w:r>
      <w:r w:rsidR="00B400A9">
        <w:rPr>
          <w:rFonts w:cs="Arial"/>
          <w:lang w:val="es-CO"/>
        </w:rPr>
        <w:t xml:space="preserve">por segmento </w:t>
      </w:r>
      <w:r w:rsidRPr="00EB23A5">
        <w:rPr>
          <w:rFonts w:cs="Arial"/>
          <w:lang w:val="es-CO"/>
        </w:rPr>
        <w:t>de la siguiente manera:</w:t>
      </w:r>
    </w:p>
    <w:p w14:paraId="75501A5A" w14:textId="77777777" w:rsidR="00FA6B38" w:rsidRPr="007C1EE9" w:rsidRDefault="00FA6B38" w:rsidP="002F1961">
      <w:pPr>
        <w:spacing w:before="100" w:beforeAutospacing="1" w:after="100" w:afterAutospacing="1" w:line="360" w:lineRule="auto"/>
        <w:rPr>
          <w:rFonts w:cs="Arial"/>
          <w:u w:val="single"/>
          <w:lang w:val="es-CO"/>
        </w:rPr>
      </w:pPr>
      <w:r w:rsidRPr="007C1EE9">
        <w:rPr>
          <w:rFonts w:cs="Arial"/>
          <w:u w:val="single"/>
          <w:lang w:val="es-CO"/>
        </w:rPr>
        <w:t>Abastecimiento</w:t>
      </w:r>
    </w:p>
    <w:p w14:paraId="04AEFD83" w14:textId="77777777" w:rsidR="00FA6B38" w:rsidRPr="00EB23A5" w:rsidRDefault="00FA6B38">
      <w:pPr>
        <w:numPr>
          <w:ilvl w:val="0"/>
          <w:numId w:val="8"/>
        </w:numPr>
        <w:spacing w:before="100" w:beforeAutospacing="1" w:after="100" w:afterAutospacing="1" w:line="360" w:lineRule="auto"/>
        <w:rPr>
          <w:rFonts w:cs="Arial"/>
          <w:lang w:val="es-CO"/>
        </w:rPr>
      </w:pPr>
      <w:r w:rsidRPr="00EB23A5">
        <w:rPr>
          <w:rFonts w:cs="Arial"/>
          <w:lang w:val="es-CO"/>
        </w:rPr>
        <w:t>Importación: Se define como un único mercado de alcance nacional.</w:t>
      </w:r>
    </w:p>
    <w:p w14:paraId="48404CAD" w14:textId="77777777" w:rsidR="00FA6B38" w:rsidRPr="00EB23A5" w:rsidRDefault="00FA6B38">
      <w:pPr>
        <w:numPr>
          <w:ilvl w:val="0"/>
          <w:numId w:val="8"/>
        </w:numPr>
        <w:spacing w:before="100" w:beforeAutospacing="1" w:after="100" w:afterAutospacing="1" w:line="360" w:lineRule="auto"/>
        <w:rPr>
          <w:rFonts w:cs="Arial"/>
          <w:lang w:val="es-CO"/>
        </w:rPr>
      </w:pPr>
      <w:r w:rsidRPr="00EB23A5">
        <w:rPr>
          <w:rFonts w:cs="Arial"/>
          <w:lang w:val="es-CO"/>
        </w:rPr>
        <w:t>Producción con fuente nacional regulada: Es un único mercado nacional que incluye las fuentes de Ecopetrol y sus refinerías, dado que sus precios están fijados por la CREG y presentan altas correlaciones entre sí.</w:t>
      </w:r>
    </w:p>
    <w:p w14:paraId="65CA6AA1" w14:textId="77777777" w:rsidR="00FA6B38" w:rsidRDefault="00FA6B38">
      <w:pPr>
        <w:numPr>
          <w:ilvl w:val="0"/>
          <w:numId w:val="8"/>
        </w:numPr>
        <w:spacing w:before="100" w:beforeAutospacing="1" w:after="100" w:afterAutospacing="1" w:line="360" w:lineRule="auto"/>
        <w:rPr>
          <w:rFonts w:cs="Arial"/>
          <w:lang w:val="es-CO"/>
        </w:rPr>
      </w:pPr>
      <w:r w:rsidRPr="00EB23A5">
        <w:rPr>
          <w:rFonts w:cs="Arial"/>
          <w:lang w:val="es-CO"/>
        </w:rPr>
        <w:t xml:space="preserve">Producción con fuentes libres: Se definen varios mercados relevantes, uno por cada fuente (como </w:t>
      </w:r>
      <w:proofErr w:type="spellStart"/>
      <w:r w:rsidRPr="00EB23A5">
        <w:rPr>
          <w:rFonts w:cs="Arial"/>
          <w:lang w:val="es-CO"/>
        </w:rPr>
        <w:t>TyGas</w:t>
      </w:r>
      <w:proofErr w:type="spellEnd"/>
      <w:r w:rsidRPr="00EB23A5">
        <w:rPr>
          <w:rFonts w:cs="Arial"/>
          <w:lang w:val="es-CO"/>
        </w:rPr>
        <w:t xml:space="preserve"> o Parex), ya que cada oferente actúa como un monopolista de su demanda residual.</w:t>
      </w:r>
    </w:p>
    <w:p w14:paraId="6D83BDDA" w14:textId="77777777" w:rsidR="00A81373" w:rsidRPr="00EB23A5" w:rsidRDefault="00A81373" w:rsidP="00A81373">
      <w:pPr>
        <w:spacing w:before="100" w:beforeAutospacing="1" w:after="100" w:afterAutospacing="1" w:line="360" w:lineRule="auto"/>
        <w:ind w:left="720"/>
        <w:rPr>
          <w:rFonts w:cs="Arial"/>
          <w:lang w:val="es-CO"/>
        </w:rPr>
      </w:pPr>
    </w:p>
    <w:p w14:paraId="670FD178" w14:textId="77777777" w:rsidR="00FA6B38" w:rsidRPr="007C1EE9" w:rsidRDefault="00FA6B38" w:rsidP="002F1961">
      <w:pPr>
        <w:spacing w:before="100" w:beforeAutospacing="1" w:after="100" w:afterAutospacing="1" w:line="360" w:lineRule="auto"/>
        <w:rPr>
          <w:rFonts w:cs="Arial"/>
          <w:u w:val="single"/>
          <w:lang w:val="es-CO"/>
        </w:rPr>
      </w:pPr>
      <w:r w:rsidRPr="007C1EE9">
        <w:rPr>
          <w:rFonts w:cs="Arial"/>
          <w:u w:val="single"/>
          <w:lang w:val="es-CO"/>
        </w:rPr>
        <w:lastRenderedPageBreak/>
        <w:t>Compras y Ventas al por mayor</w:t>
      </w:r>
    </w:p>
    <w:p w14:paraId="64E3DE87" w14:textId="77777777" w:rsidR="00FA6B38" w:rsidRPr="00EB23A5" w:rsidRDefault="00FA6B38">
      <w:pPr>
        <w:numPr>
          <w:ilvl w:val="0"/>
          <w:numId w:val="9"/>
        </w:numPr>
        <w:spacing w:before="100" w:beforeAutospacing="1" w:after="100" w:afterAutospacing="1" w:line="360" w:lineRule="auto"/>
        <w:rPr>
          <w:rFonts w:cs="Arial"/>
          <w:lang w:val="es-CO"/>
        </w:rPr>
      </w:pPr>
      <w:r w:rsidRPr="00EB23A5">
        <w:rPr>
          <w:rFonts w:cs="Arial"/>
          <w:lang w:val="es-CO"/>
        </w:rPr>
        <w:t>Se define como un único mercado nacional donde los agentes (comercializadores mayoristas) agregan la demanda de los distribuidores para gestionar garantías y logística ante los productores.</w:t>
      </w:r>
    </w:p>
    <w:p w14:paraId="782A4606" w14:textId="77777777" w:rsidR="00FA6B38" w:rsidRPr="007C1EE9" w:rsidRDefault="00FA6B38" w:rsidP="002F1961">
      <w:pPr>
        <w:spacing w:before="100" w:beforeAutospacing="1" w:after="100" w:afterAutospacing="1" w:line="360" w:lineRule="auto"/>
        <w:rPr>
          <w:rFonts w:cs="Arial"/>
          <w:u w:val="single"/>
          <w:lang w:val="es-CO"/>
        </w:rPr>
      </w:pPr>
      <w:r w:rsidRPr="007C1EE9">
        <w:rPr>
          <w:rFonts w:cs="Arial"/>
          <w:u w:val="single"/>
          <w:lang w:val="es-CO"/>
        </w:rPr>
        <w:t>Transporte Primario</w:t>
      </w:r>
    </w:p>
    <w:p w14:paraId="447C2FC4" w14:textId="77777777" w:rsidR="00FA6B38" w:rsidRPr="00EB23A5" w:rsidRDefault="00FA6B38">
      <w:pPr>
        <w:numPr>
          <w:ilvl w:val="0"/>
          <w:numId w:val="10"/>
        </w:numPr>
        <w:spacing w:before="100" w:beforeAutospacing="1" w:after="100" w:afterAutospacing="1" w:line="360" w:lineRule="auto"/>
        <w:rPr>
          <w:rFonts w:cs="Arial"/>
          <w:lang w:val="es-CO"/>
        </w:rPr>
      </w:pPr>
      <w:r w:rsidRPr="00EB23A5">
        <w:rPr>
          <w:rFonts w:cs="Arial"/>
          <w:lang w:val="es-CO"/>
        </w:rPr>
        <w:t>Cisternas (Carrotanques): Definido técnicamente por cada ruta origen/destino, aunque con un alcance operativo nacional.</w:t>
      </w:r>
    </w:p>
    <w:p w14:paraId="6B415B8D" w14:textId="77777777" w:rsidR="00FA6B38" w:rsidRPr="00EB23A5" w:rsidRDefault="00FA6B38">
      <w:pPr>
        <w:numPr>
          <w:ilvl w:val="0"/>
          <w:numId w:val="10"/>
        </w:numPr>
        <w:spacing w:before="100" w:beforeAutospacing="1" w:after="100" w:afterAutospacing="1" w:line="360" w:lineRule="auto"/>
        <w:rPr>
          <w:rFonts w:cs="Arial"/>
          <w:lang w:val="es-CO"/>
        </w:rPr>
      </w:pPr>
      <w:r w:rsidRPr="00EB23A5">
        <w:rPr>
          <w:rFonts w:cs="Arial"/>
          <w:lang w:val="es-CO"/>
        </w:rPr>
        <w:t xml:space="preserve">Ductos: Se define por cada tramo específico (actualmente solo el </w:t>
      </w:r>
      <w:proofErr w:type="spellStart"/>
      <w:r w:rsidRPr="00EB23A5">
        <w:rPr>
          <w:rFonts w:cs="Arial"/>
          <w:lang w:val="es-CO"/>
        </w:rPr>
        <w:t>propanoducto</w:t>
      </w:r>
      <w:proofErr w:type="spellEnd"/>
      <w:r w:rsidRPr="00EB23A5">
        <w:rPr>
          <w:rFonts w:cs="Arial"/>
          <w:lang w:val="es-CO"/>
        </w:rPr>
        <w:t xml:space="preserve"> Galán–Salgar).</w:t>
      </w:r>
    </w:p>
    <w:p w14:paraId="456218E6" w14:textId="77777777" w:rsidR="00FA6B38" w:rsidRPr="00EB23A5" w:rsidRDefault="00FA6B38">
      <w:pPr>
        <w:numPr>
          <w:ilvl w:val="0"/>
          <w:numId w:val="10"/>
        </w:numPr>
        <w:spacing w:before="100" w:beforeAutospacing="1" w:after="100" w:afterAutospacing="1" w:line="360" w:lineRule="auto"/>
        <w:rPr>
          <w:rFonts w:cs="Arial"/>
          <w:lang w:val="es-CO"/>
        </w:rPr>
      </w:pPr>
      <w:r w:rsidRPr="00EB23A5">
        <w:rPr>
          <w:rFonts w:cs="Arial"/>
          <w:lang w:val="es-CO"/>
        </w:rPr>
        <w:t>Marítimo y Fluvial: Definidos por rutas específicas (Cartagena–San Andrés) o cuencas (Pacífico y Amazonas).</w:t>
      </w:r>
    </w:p>
    <w:p w14:paraId="4DA509A8" w14:textId="77777777" w:rsidR="00FA6B38" w:rsidRPr="007C1EE9" w:rsidRDefault="00FA6B38" w:rsidP="00FC0DDC">
      <w:pPr>
        <w:keepNext/>
        <w:spacing w:before="100" w:beforeAutospacing="1" w:after="100" w:afterAutospacing="1" w:line="360" w:lineRule="auto"/>
        <w:rPr>
          <w:rFonts w:cs="Arial"/>
          <w:u w:val="single"/>
          <w:lang w:val="es-CO"/>
        </w:rPr>
      </w:pPr>
      <w:r w:rsidRPr="007C1EE9">
        <w:rPr>
          <w:rFonts w:cs="Arial"/>
          <w:u w:val="single"/>
          <w:lang w:val="es-CO"/>
        </w:rPr>
        <w:t>Venta al Usuario Final</w:t>
      </w:r>
    </w:p>
    <w:p w14:paraId="251DD907" w14:textId="77777777" w:rsidR="00FA6B38" w:rsidRPr="00EB23A5" w:rsidRDefault="00FA6B38">
      <w:pPr>
        <w:numPr>
          <w:ilvl w:val="0"/>
          <w:numId w:val="11"/>
        </w:numPr>
        <w:spacing w:before="100" w:beforeAutospacing="1" w:after="100" w:afterAutospacing="1" w:line="360" w:lineRule="auto"/>
        <w:rPr>
          <w:rFonts w:cs="Arial"/>
          <w:lang w:val="es-CO"/>
        </w:rPr>
      </w:pPr>
      <w:r w:rsidRPr="00EB23A5">
        <w:rPr>
          <w:rFonts w:cs="Arial"/>
          <w:lang w:val="es-CO"/>
        </w:rPr>
        <w:t>Venta en cilindros al por mayor: Definida por la ubicación de cada una de las 110 plantas de envasado.</w:t>
      </w:r>
    </w:p>
    <w:p w14:paraId="051B9CAA" w14:textId="77777777" w:rsidR="00FA6B38" w:rsidRPr="00EB23A5" w:rsidRDefault="00FA6B38">
      <w:pPr>
        <w:numPr>
          <w:ilvl w:val="0"/>
          <w:numId w:val="11"/>
        </w:numPr>
        <w:spacing w:before="100" w:beforeAutospacing="1" w:after="100" w:afterAutospacing="1" w:line="360" w:lineRule="auto"/>
        <w:rPr>
          <w:rFonts w:cs="Arial"/>
          <w:lang w:val="es-CO"/>
        </w:rPr>
      </w:pPr>
      <w:r w:rsidRPr="00EB23A5">
        <w:rPr>
          <w:rFonts w:cs="Arial"/>
          <w:lang w:val="es-CO"/>
        </w:rPr>
        <w:t>Venta en cilindros a usuarios finales: Se define a nivel municipal (aproximadamente 1,002 mercados).</w:t>
      </w:r>
    </w:p>
    <w:p w14:paraId="0F55E54D" w14:textId="77777777" w:rsidR="00FA6B38" w:rsidRPr="00EB23A5" w:rsidRDefault="00FA6B38">
      <w:pPr>
        <w:numPr>
          <w:ilvl w:val="0"/>
          <w:numId w:val="11"/>
        </w:numPr>
        <w:spacing w:before="100" w:beforeAutospacing="1" w:after="100" w:afterAutospacing="1" w:line="360" w:lineRule="auto"/>
        <w:rPr>
          <w:rFonts w:cs="Arial"/>
          <w:lang w:val="es-CO"/>
        </w:rPr>
      </w:pPr>
      <w:r w:rsidRPr="00EB23A5">
        <w:rPr>
          <w:rFonts w:cs="Arial"/>
          <w:lang w:val="es-CO"/>
        </w:rPr>
        <w:t>Ventas a granel (Tanques estacionarios): Se definen 8 mercados regionales (ej. Antioquia, Eje Cafetero, Región Caribe).</w:t>
      </w:r>
    </w:p>
    <w:p w14:paraId="6D4A6FA5" w14:textId="77777777" w:rsidR="00FA6B38" w:rsidRPr="00EB23A5" w:rsidRDefault="00FA6B38">
      <w:pPr>
        <w:numPr>
          <w:ilvl w:val="0"/>
          <w:numId w:val="11"/>
        </w:numPr>
        <w:spacing w:before="100" w:beforeAutospacing="1" w:after="100" w:afterAutospacing="1" w:line="360" w:lineRule="auto"/>
        <w:rPr>
          <w:rFonts w:cs="Arial"/>
          <w:lang w:val="es-CO"/>
        </w:rPr>
      </w:pPr>
      <w:r w:rsidRPr="00EB23A5">
        <w:rPr>
          <w:rFonts w:cs="Arial"/>
          <w:lang w:val="es-CO"/>
        </w:rPr>
        <w:t>Ventas por redes de tubería: Cada red de distribución local constituye su propio mercado relevante (314 mercados identificados).</w:t>
      </w:r>
    </w:p>
    <w:p w14:paraId="5BAA0161" w14:textId="77777777" w:rsidR="00FA6B38" w:rsidRPr="00EB23A5" w:rsidRDefault="00FA6B38">
      <w:pPr>
        <w:numPr>
          <w:ilvl w:val="0"/>
          <w:numId w:val="11"/>
        </w:numPr>
        <w:spacing w:before="100" w:beforeAutospacing="1" w:after="100" w:afterAutospacing="1" w:line="360" w:lineRule="auto"/>
        <w:rPr>
          <w:rFonts w:cs="Arial"/>
          <w:lang w:val="es-CO"/>
        </w:rPr>
      </w:pPr>
      <w:r w:rsidRPr="00EB23A5">
        <w:rPr>
          <w:rFonts w:cs="Arial"/>
          <w:lang w:val="es-CO"/>
        </w:rPr>
        <w:t>Ventas en Estaciones de Servicio (AutoGLP): Se define por cada estación individual en un radio de 4 km.</w:t>
      </w:r>
    </w:p>
    <w:p w14:paraId="407EFED5" w14:textId="77777777" w:rsidR="00FA6B38" w:rsidRPr="007C1EE9" w:rsidRDefault="00FA6B38" w:rsidP="002F1961">
      <w:pPr>
        <w:spacing w:before="100" w:beforeAutospacing="1" w:after="100" w:afterAutospacing="1" w:line="360" w:lineRule="auto"/>
        <w:rPr>
          <w:rFonts w:cs="Arial"/>
          <w:u w:val="single"/>
          <w:lang w:val="es-CO"/>
        </w:rPr>
      </w:pPr>
      <w:r w:rsidRPr="007C1EE9">
        <w:rPr>
          <w:rFonts w:cs="Arial"/>
          <w:u w:val="single"/>
          <w:lang w:val="es-CO"/>
        </w:rPr>
        <w:t>Zonas de Frontera</w:t>
      </w:r>
    </w:p>
    <w:p w14:paraId="06877862" w14:textId="77777777" w:rsidR="00FA6B38" w:rsidRPr="00EB23A5" w:rsidRDefault="00FA6B38" w:rsidP="002F1961">
      <w:pPr>
        <w:spacing w:before="100" w:beforeAutospacing="1" w:after="100" w:afterAutospacing="1" w:line="360" w:lineRule="auto"/>
        <w:rPr>
          <w:rFonts w:cs="Arial"/>
          <w:lang w:val="es-CO"/>
        </w:rPr>
      </w:pPr>
      <w:r w:rsidRPr="00EB23A5">
        <w:rPr>
          <w:rFonts w:cs="Arial"/>
          <w:lang w:val="es-CO"/>
        </w:rPr>
        <w:t xml:space="preserve">Se definen mercados específicos para regiones con condiciones particulares, como el archipiélago de San Andrés y Providencia (monopolio natural) y las zonas limítrofes con </w:t>
      </w:r>
      <w:r w:rsidRPr="00EB23A5">
        <w:rPr>
          <w:rFonts w:cs="Arial"/>
          <w:lang w:val="es-CO"/>
        </w:rPr>
        <w:lastRenderedPageBreak/>
        <w:t>Ecuador, Venezuela y Brasil-Perú, donde la competencia se ve afectada por factores como el contrabando</w:t>
      </w:r>
    </w:p>
    <w:p w14:paraId="118A13DF" w14:textId="7B816441" w:rsidR="001D1E49" w:rsidRDefault="00C437C5" w:rsidP="002F1961">
      <w:pPr>
        <w:pStyle w:val="Ttulo3"/>
        <w:spacing w:before="100" w:beforeAutospacing="1" w:after="100" w:afterAutospacing="1"/>
      </w:pPr>
      <w:bookmarkStart w:id="157" w:name="_Toc235128351"/>
      <w:r w:rsidRPr="00C437C5">
        <w:t>Concentración</w:t>
      </w:r>
      <w:bookmarkEnd w:id="157"/>
    </w:p>
    <w:p w14:paraId="599E2B31" w14:textId="05CA34B3" w:rsidR="00E503FB" w:rsidRDefault="00E503FB" w:rsidP="002F1961">
      <w:pPr>
        <w:spacing w:before="100" w:beforeAutospacing="1" w:after="100" w:afterAutospacing="1" w:line="360" w:lineRule="auto"/>
        <w:rPr>
          <w:lang w:val="es-CO"/>
        </w:rPr>
      </w:pPr>
      <w:r w:rsidRPr="00E503FB">
        <w:rPr>
          <w:lang w:val="es-CO"/>
        </w:rPr>
        <w:t xml:space="preserve">Para analizar la estructura competitiva del sector de GLP en Colombia, el </w:t>
      </w:r>
      <w:r>
        <w:rPr>
          <w:lang w:val="es-CO"/>
        </w:rPr>
        <w:t xml:space="preserve">referido </w:t>
      </w:r>
      <w:r w:rsidRPr="00E503FB">
        <w:rPr>
          <w:lang w:val="es-CO"/>
        </w:rPr>
        <w:t xml:space="preserve">estudio utiliza tres </w:t>
      </w:r>
      <w:r w:rsidR="00986340">
        <w:rPr>
          <w:lang w:val="es-CO"/>
        </w:rPr>
        <w:t xml:space="preserve">(3) </w:t>
      </w:r>
      <w:r w:rsidRPr="00E503FB">
        <w:rPr>
          <w:lang w:val="es-CO"/>
        </w:rPr>
        <w:t>indicadores principales de concentración y dominancia: el Índice Herfindahl-Hirschman (IHH), el índice KWOKA y el índice STENBACKA.</w:t>
      </w:r>
    </w:p>
    <w:p w14:paraId="23EBD570" w14:textId="03E80665" w:rsidR="00E503FB" w:rsidRPr="00842608" w:rsidRDefault="00E503FB" w:rsidP="002F1961">
      <w:pPr>
        <w:pStyle w:val="Ttulo4"/>
        <w:spacing w:before="100" w:beforeAutospacing="1" w:after="100" w:afterAutospacing="1" w:line="360" w:lineRule="auto"/>
      </w:pPr>
      <w:r w:rsidRPr="00842608">
        <w:t>Definición de los Indicadores</w:t>
      </w:r>
    </w:p>
    <w:p w14:paraId="2967ECFA" w14:textId="77777777" w:rsidR="00E503FB" w:rsidRPr="00E503FB" w:rsidRDefault="00E503FB">
      <w:pPr>
        <w:numPr>
          <w:ilvl w:val="0"/>
          <w:numId w:val="50"/>
        </w:numPr>
        <w:spacing w:before="100" w:beforeAutospacing="1" w:after="100" w:afterAutospacing="1" w:line="360" w:lineRule="auto"/>
        <w:rPr>
          <w:lang w:val="es-CO"/>
        </w:rPr>
      </w:pPr>
      <w:r w:rsidRPr="00E503FB">
        <w:rPr>
          <w:lang w:val="es-CO"/>
        </w:rPr>
        <w:t>IHH (Índice Herfindahl-Hirschman): Refleja el grado de concentración del mercado sumando las participaciones de mercado de cada empresa al cuadrado ().</w:t>
      </w:r>
    </w:p>
    <w:p w14:paraId="12FAEAA5" w14:textId="77777777" w:rsidR="00E503FB" w:rsidRPr="00E503FB" w:rsidRDefault="00E503FB">
      <w:pPr>
        <w:numPr>
          <w:ilvl w:val="1"/>
          <w:numId w:val="50"/>
        </w:numPr>
        <w:spacing w:before="100" w:beforeAutospacing="1" w:after="100" w:afterAutospacing="1" w:line="360" w:lineRule="auto"/>
        <w:rPr>
          <w:lang w:val="es-CO"/>
        </w:rPr>
      </w:pPr>
      <w:r w:rsidRPr="00E503FB">
        <w:rPr>
          <w:lang w:val="es-CO"/>
        </w:rPr>
        <w:t>Menos de 1.000: Mercado no concentrado.</w:t>
      </w:r>
    </w:p>
    <w:p w14:paraId="3F087BC8" w14:textId="77777777" w:rsidR="00E503FB" w:rsidRPr="00E503FB" w:rsidRDefault="00E503FB">
      <w:pPr>
        <w:numPr>
          <w:ilvl w:val="1"/>
          <w:numId w:val="50"/>
        </w:numPr>
        <w:spacing w:before="100" w:beforeAutospacing="1" w:after="100" w:afterAutospacing="1" w:line="360" w:lineRule="auto"/>
        <w:rPr>
          <w:lang w:val="es-CO"/>
        </w:rPr>
      </w:pPr>
      <w:r w:rsidRPr="00E503FB">
        <w:rPr>
          <w:lang w:val="es-CO"/>
        </w:rPr>
        <w:t>1.000 a 1.800: Moderadamente concentrado.</w:t>
      </w:r>
    </w:p>
    <w:p w14:paraId="43817834" w14:textId="77777777" w:rsidR="00E503FB" w:rsidRPr="00E503FB" w:rsidRDefault="00E503FB">
      <w:pPr>
        <w:numPr>
          <w:ilvl w:val="1"/>
          <w:numId w:val="50"/>
        </w:numPr>
        <w:spacing w:before="100" w:beforeAutospacing="1" w:after="100" w:afterAutospacing="1" w:line="360" w:lineRule="auto"/>
        <w:rPr>
          <w:lang w:val="es-CO"/>
        </w:rPr>
      </w:pPr>
      <w:r w:rsidRPr="00E503FB">
        <w:rPr>
          <w:lang w:val="es-CO"/>
        </w:rPr>
        <w:t>Más de 1.800: Altamente concentrado.</w:t>
      </w:r>
    </w:p>
    <w:p w14:paraId="58ED46D8" w14:textId="77777777" w:rsidR="00E503FB" w:rsidRPr="00E503FB" w:rsidRDefault="00E503FB">
      <w:pPr>
        <w:numPr>
          <w:ilvl w:val="1"/>
          <w:numId w:val="50"/>
        </w:numPr>
        <w:spacing w:before="100" w:beforeAutospacing="1" w:after="100" w:afterAutospacing="1" w:line="360" w:lineRule="auto"/>
        <w:rPr>
          <w:lang w:val="es-CO"/>
        </w:rPr>
      </w:pPr>
      <w:r w:rsidRPr="00E503FB">
        <w:rPr>
          <w:i/>
          <w:iCs/>
          <w:lang w:val="es-CO"/>
        </w:rPr>
        <w:t>Nota:</w:t>
      </w:r>
      <w:r w:rsidRPr="00E503FB">
        <w:rPr>
          <w:lang w:val="es-CO"/>
        </w:rPr>
        <w:t xml:space="preserve"> En la práctica internacional, un IHH inferior a 2.500 no suele considerarse problemático.</w:t>
      </w:r>
    </w:p>
    <w:p w14:paraId="21C3B226" w14:textId="77777777" w:rsidR="00E503FB" w:rsidRPr="00E503FB" w:rsidRDefault="00E503FB">
      <w:pPr>
        <w:numPr>
          <w:ilvl w:val="0"/>
          <w:numId w:val="50"/>
        </w:numPr>
        <w:spacing w:before="100" w:beforeAutospacing="1" w:after="100" w:afterAutospacing="1" w:line="360" w:lineRule="auto"/>
        <w:rPr>
          <w:lang w:val="es-CO"/>
        </w:rPr>
      </w:pPr>
      <w:r w:rsidRPr="00E503FB">
        <w:rPr>
          <w:lang w:val="es-CO"/>
        </w:rPr>
        <w:t>Índice KWOKA: Mide la asimetría del tamaño de las empresas. Si el índice tiende a 1, hay una gran disparidad entre los competidores (uno es mucho más grande que el resto); si tiende a 0, las participaciones son similares.</w:t>
      </w:r>
    </w:p>
    <w:p w14:paraId="6B9621EF" w14:textId="77777777" w:rsidR="00E503FB" w:rsidRDefault="00E503FB">
      <w:pPr>
        <w:numPr>
          <w:ilvl w:val="0"/>
          <w:numId w:val="50"/>
        </w:numPr>
        <w:spacing w:before="100" w:beforeAutospacing="1" w:after="100" w:afterAutospacing="1" w:line="360" w:lineRule="auto"/>
        <w:rPr>
          <w:lang w:val="es-CO"/>
        </w:rPr>
      </w:pPr>
      <w:r w:rsidRPr="00E503FB">
        <w:rPr>
          <w:lang w:val="es-CO"/>
        </w:rPr>
        <w:t>Índice STENBACKA: Identifica un umbral de cuota de mercado a partir del cual una empresa líder podría ostentar una posición de dominio.</w:t>
      </w:r>
    </w:p>
    <w:p w14:paraId="79A0CE9F" w14:textId="6EC1F53E" w:rsidR="00E503FB" w:rsidRPr="00842608" w:rsidRDefault="00E503FB" w:rsidP="002F1961">
      <w:pPr>
        <w:pStyle w:val="Ttulo4"/>
        <w:spacing w:before="100" w:beforeAutospacing="1" w:after="100" w:afterAutospacing="1" w:line="360" w:lineRule="auto"/>
      </w:pPr>
      <w:r w:rsidRPr="00842608">
        <w:t>Resultados de Concentración por Eslabón</w:t>
      </w:r>
    </w:p>
    <w:p w14:paraId="2923B342" w14:textId="77777777" w:rsidR="00E503FB" w:rsidRPr="00E503FB" w:rsidRDefault="00E503FB" w:rsidP="002F1961">
      <w:pPr>
        <w:spacing w:before="100" w:beforeAutospacing="1" w:after="100" w:afterAutospacing="1" w:line="360" w:lineRule="auto"/>
        <w:rPr>
          <w:lang w:val="es-CO"/>
        </w:rPr>
      </w:pPr>
      <w:r w:rsidRPr="00E503FB">
        <w:rPr>
          <w:lang w:val="es-CO"/>
        </w:rPr>
        <w:t>A. Comercialización Mayorista (Abastecimiento)</w:t>
      </w:r>
    </w:p>
    <w:p w14:paraId="59A0AA71" w14:textId="77777777" w:rsidR="00E503FB" w:rsidRPr="00E503FB" w:rsidRDefault="00E503FB" w:rsidP="002F1961">
      <w:pPr>
        <w:spacing w:before="100" w:beforeAutospacing="1" w:after="100" w:afterAutospacing="1" w:line="360" w:lineRule="auto"/>
        <w:rPr>
          <w:lang w:val="es-CO"/>
        </w:rPr>
      </w:pPr>
      <w:r w:rsidRPr="00E503FB">
        <w:rPr>
          <w:lang w:val="es-CO"/>
        </w:rPr>
        <w:t>Este mercado presenta los niveles más críticos de concentración debido al peso de Ecopetrol.</w:t>
      </w:r>
    </w:p>
    <w:p w14:paraId="03B78520" w14:textId="77777777" w:rsidR="00E503FB" w:rsidRPr="00E503FB" w:rsidRDefault="00E503FB">
      <w:pPr>
        <w:numPr>
          <w:ilvl w:val="0"/>
          <w:numId w:val="51"/>
        </w:numPr>
        <w:spacing w:before="100" w:beforeAutospacing="1" w:after="100" w:afterAutospacing="1" w:line="360" w:lineRule="auto"/>
        <w:rPr>
          <w:lang w:val="es-CO"/>
        </w:rPr>
      </w:pPr>
      <w:r w:rsidRPr="00E503FB">
        <w:rPr>
          <w:lang w:val="es-CO"/>
        </w:rPr>
        <w:t xml:space="preserve">Nivel Nacional: El IHH es de 7.484, lo que casi triplica el límite de mercado "altamente concentrado". El índice KWOKA (0,86) muestra una asimetría extrema, </w:t>
      </w:r>
      <w:r w:rsidRPr="00E503FB">
        <w:rPr>
          <w:lang w:val="es-CO"/>
        </w:rPr>
        <w:lastRenderedPageBreak/>
        <w:t>y el índice STENBACKA confirma la dominancia de Ecopetrol/Reficar con una participación del 86,07%.</w:t>
      </w:r>
    </w:p>
    <w:p w14:paraId="327AC876" w14:textId="77777777" w:rsidR="00E503FB" w:rsidRPr="00E503FB" w:rsidRDefault="00E503FB">
      <w:pPr>
        <w:numPr>
          <w:ilvl w:val="0"/>
          <w:numId w:val="51"/>
        </w:numPr>
        <w:spacing w:before="100" w:beforeAutospacing="1" w:after="100" w:afterAutospacing="1" w:line="360" w:lineRule="auto"/>
        <w:rPr>
          <w:lang w:val="es-CO"/>
        </w:rPr>
      </w:pPr>
      <w:r w:rsidRPr="00E503FB">
        <w:rPr>
          <w:lang w:val="es-CO"/>
        </w:rPr>
        <w:t>Zonas de Influencia: La concentración es aún mayor en las fuentes regionales:</w:t>
      </w:r>
    </w:p>
    <w:p w14:paraId="2B69144F" w14:textId="77777777" w:rsidR="00E503FB" w:rsidRPr="00E503FB" w:rsidRDefault="00E503FB">
      <w:pPr>
        <w:numPr>
          <w:ilvl w:val="1"/>
          <w:numId w:val="51"/>
        </w:numPr>
        <w:spacing w:before="100" w:beforeAutospacing="1" w:after="100" w:afterAutospacing="1" w:line="360" w:lineRule="auto"/>
        <w:rPr>
          <w:lang w:val="es-CO"/>
        </w:rPr>
      </w:pPr>
      <w:r w:rsidRPr="00E503FB">
        <w:rPr>
          <w:lang w:val="es-CO"/>
        </w:rPr>
        <w:t>Cusiana/</w:t>
      </w:r>
      <w:proofErr w:type="spellStart"/>
      <w:r w:rsidRPr="00E503FB">
        <w:rPr>
          <w:lang w:val="es-CO"/>
        </w:rPr>
        <w:t>Cupiagua</w:t>
      </w:r>
      <w:proofErr w:type="spellEnd"/>
      <w:r w:rsidRPr="00E503FB">
        <w:rPr>
          <w:lang w:val="es-CO"/>
        </w:rPr>
        <w:t>: IHH de 9.532.</w:t>
      </w:r>
    </w:p>
    <w:p w14:paraId="793CF270" w14:textId="77777777" w:rsidR="00E503FB" w:rsidRPr="00E503FB" w:rsidRDefault="00E503FB">
      <w:pPr>
        <w:numPr>
          <w:ilvl w:val="1"/>
          <w:numId w:val="51"/>
        </w:numPr>
        <w:spacing w:before="100" w:beforeAutospacing="1" w:after="100" w:afterAutospacing="1" w:line="360" w:lineRule="auto"/>
        <w:rPr>
          <w:lang w:val="es-CO"/>
        </w:rPr>
      </w:pPr>
      <w:r w:rsidRPr="00E503FB">
        <w:rPr>
          <w:lang w:val="es-CO"/>
        </w:rPr>
        <w:t>Barrancabermeja: IHH de 8.781.</w:t>
      </w:r>
    </w:p>
    <w:p w14:paraId="322DA76D" w14:textId="77777777" w:rsidR="00E503FB" w:rsidRPr="00E503FB" w:rsidRDefault="00E503FB">
      <w:pPr>
        <w:numPr>
          <w:ilvl w:val="1"/>
          <w:numId w:val="51"/>
        </w:numPr>
        <w:spacing w:before="100" w:beforeAutospacing="1" w:after="100" w:afterAutospacing="1" w:line="360" w:lineRule="auto"/>
        <w:rPr>
          <w:lang w:val="es-CO"/>
        </w:rPr>
      </w:pPr>
      <w:r w:rsidRPr="00E503FB">
        <w:rPr>
          <w:lang w:val="es-CO"/>
        </w:rPr>
        <w:t>Cartagena: IHH de 7.021.</w:t>
      </w:r>
    </w:p>
    <w:p w14:paraId="1C7CDA70" w14:textId="77777777" w:rsidR="00E503FB" w:rsidRPr="00E503FB" w:rsidRDefault="00E503FB" w:rsidP="002F1961">
      <w:pPr>
        <w:spacing w:before="100" w:beforeAutospacing="1" w:after="100" w:afterAutospacing="1" w:line="360" w:lineRule="auto"/>
        <w:rPr>
          <w:lang w:val="es-CO"/>
        </w:rPr>
      </w:pPr>
      <w:r w:rsidRPr="00E503FB">
        <w:rPr>
          <w:lang w:val="es-CO"/>
        </w:rPr>
        <w:t>B. Distribución por Redes de Tubería</w:t>
      </w:r>
    </w:p>
    <w:p w14:paraId="7CD4CC5B" w14:textId="77777777" w:rsidR="00E503FB" w:rsidRPr="00E503FB" w:rsidRDefault="00E503FB">
      <w:pPr>
        <w:numPr>
          <w:ilvl w:val="0"/>
          <w:numId w:val="52"/>
        </w:numPr>
        <w:spacing w:before="100" w:beforeAutospacing="1" w:after="100" w:afterAutospacing="1" w:line="360" w:lineRule="auto"/>
        <w:rPr>
          <w:lang w:val="es-CO"/>
        </w:rPr>
      </w:pPr>
      <w:r w:rsidRPr="00E503FB">
        <w:rPr>
          <w:lang w:val="es-CO"/>
        </w:rPr>
        <w:t>Este eslabón se caracteriza por ser un monopolio natural a nivel municipal.</w:t>
      </w:r>
    </w:p>
    <w:p w14:paraId="0AB0BED1" w14:textId="77777777" w:rsidR="00E503FB" w:rsidRPr="00E503FB" w:rsidRDefault="00E503FB">
      <w:pPr>
        <w:numPr>
          <w:ilvl w:val="0"/>
          <w:numId w:val="52"/>
        </w:numPr>
        <w:spacing w:before="100" w:beforeAutospacing="1" w:after="100" w:afterAutospacing="1" w:line="360" w:lineRule="auto"/>
        <w:rPr>
          <w:lang w:val="es-CO"/>
        </w:rPr>
      </w:pPr>
      <w:r w:rsidRPr="00E503FB">
        <w:rPr>
          <w:lang w:val="es-CO"/>
        </w:rPr>
        <w:t>En la mayoría de los municipios evaluados, el IHH es de 10.000 (un solo prestador). Solo el 5% de los municipios cuenta con más de un agente.</w:t>
      </w:r>
    </w:p>
    <w:p w14:paraId="3994FFDD" w14:textId="77777777" w:rsidR="00E503FB" w:rsidRPr="00E503FB" w:rsidRDefault="00E503FB" w:rsidP="002F1961">
      <w:pPr>
        <w:spacing w:before="100" w:beforeAutospacing="1" w:after="100" w:afterAutospacing="1" w:line="360" w:lineRule="auto"/>
        <w:rPr>
          <w:lang w:val="es-CO"/>
        </w:rPr>
      </w:pPr>
      <w:r w:rsidRPr="00E503FB">
        <w:rPr>
          <w:lang w:val="es-CO"/>
        </w:rPr>
        <w:t>C. Comercialización Minorista (Venta al Usuario Final)</w:t>
      </w:r>
    </w:p>
    <w:p w14:paraId="24289402" w14:textId="77777777" w:rsidR="00E503FB" w:rsidRPr="00E503FB" w:rsidRDefault="00E503FB">
      <w:pPr>
        <w:numPr>
          <w:ilvl w:val="0"/>
          <w:numId w:val="53"/>
        </w:numPr>
        <w:spacing w:before="100" w:beforeAutospacing="1" w:after="100" w:afterAutospacing="1" w:line="360" w:lineRule="auto"/>
        <w:rPr>
          <w:lang w:val="es-CO"/>
        </w:rPr>
      </w:pPr>
      <w:r w:rsidRPr="00E503FB">
        <w:rPr>
          <w:lang w:val="es-CO"/>
        </w:rPr>
        <w:t>A nivel municipal, el mercado es predominantemente problemático para la competencia.</w:t>
      </w:r>
    </w:p>
    <w:p w14:paraId="43C2D895" w14:textId="77777777" w:rsidR="00E503FB" w:rsidRPr="00E503FB" w:rsidRDefault="00E503FB">
      <w:pPr>
        <w:numPr>
          <w:ilvl w:val="0"/>
          <w:numId w:val="53"/>
        </w:numPr>
        <w:spacing w:before="100" w:beforeAutospacing="1" w:after="100" w:afterAutospacing="1" w:line="360" w:lineRule="auto"/>
        <w:rPr>
          <w:lang w:val="es-CO"/>
        </w:rPr>
      </w:pPr>
      <w:r w:rsidRPr="00E503FB">
        <w:rPr>
          <w:lang w:val="es-CO"/>
        </w:rPr>
        <w:t>En 25 de los 33 departamentos analizados, existe al menos un municipio con un IHH superior a 2.500.</w:t>
      </w:r>
    </w:p>
    <w:p w14:paraId="24FBAD63" w14:textId="77777777" w:rsidR="00E503FB" w:rsidRPr="00E503FB" w:rsidRDefault="00E503FB">
      <w:pPr>
        <w:numPr>
          <w:ilvl w:val="0"/>
          <w:numId w:val="53"/>
        </w:numPr>
        <w:spacing w:before="100" w:beforeAutospacing="1" w:after="100" w:afterAutospacing="1" w:line="360" w:lineRule="auto"/>
        <w:rPr>
          <w:lang w:val="es-CO"/>
        </w:rPr>
      </w:pPr>
      <w:r w:rsidRPr="00E503FB">
        <w:rPr>
          <w:lang w:val="es-CO"/>
        </w:rPr>
        <w:t>Aunque el promedio nacional indica que el 62% de los municipios tiene al menos dos prestadores, la concentración sigue siendo alta en la mayoría.</w:t>
      </w:r>
    </w:p>
    <w:p w14:paraId="66377FF6" w14:textId="77777777" w:rsidR="00E503FB" w:rsidRPr="00E503FB" w:rsidRDefault="00E503FB" w:rsidP="002F1961">
      <w:pPr>
        <w:spacing w:before="100" w:beforeAutospacing="1" w:after="100" w:afterAutospacing="1" w:line="360" w:lineRule="auto"/>
        <w:rPr>
          <w:lang w:val="es-CO"/>
        </w:rPr>
      </w:pPr>
      <w:r w:rsidRPr="00E503FB">
        <w:rPr>
          <w:lang w:val="es-CO"/>
        </w:rPr>
        <w:t>D. Distribución por Cilindros y Tanques Estacionarios</w:t>
      </w:r>
    </w:p>
    <w:p w14:paraId="7A34E7C4" w14:textId="77777777" w:rsidR="00E503FB" w:rsidRPr="00E503FB" w:rsidRDefault="00E503FB" w:rsidP="002F1961">
      <w:pPr>
        <w:spacing w:before="100" w:beforeAutospacing="1" w:after="100" w:afterAutospacing="1" w:line="360" w:lineRule="auto"/>
        <w:rPr>
          <w:lang w:val="es-CO"/>
        </w:rPr>
      </w:pPr>
      <w:r w:rsidRPr="00E503FB">
        <w:rPr>
          <w:lang w:val="es-CO"/>
        </w:rPr>
        <w:t>El análisis departamental muestra una estructura variada pero generalmente concentrada:</w:t>
      </w:r>
    </w:p>
    <w:p w14:paraId="5AAC3D84" w14:textId="77777777" w:rsidR="00E503FB" w:rsidRPr="00E503FB" w:rsidRDefault="00E503FB">
      <w:pPr>
        <w:numPr>
          <w:ilvl w:val="0"/>
          <w:numId w:val="54"/>
        </w:numPr>
        <w:spacing w:before="100" w:beforeAutospacing="1" w:after="100" w:afterAutospacing="1" w:line="360" w:lineRule="auto"/>
        <w:rPr>
          <w:lang w:val="es-CO"/>
        </w:rPr>
      </w:pPr>
      <w:r w:rsidRPr="00E503FB">
        <w:rPr>
          <w:lang w:val="es-CO"/>
        </w:rPr>
        <w:t>Solo el 22,6% de los departamentos tienen un IHH inferior a 2.500.</w:t>
      </w:r>
    </w:p>
    <w:p w14:paraId="1CC0DFC6" w14:textId="77777777" w:rsidR="00E503FB" w:rsidRPr="00E503FB" w:rsidRDefault="00E503FB">
      <w:pPr>
        <w:numPr>
          <w:ilvl w:val="0"/>
          <w:numId w:val="54"/>
        </w:numPr>
        <w:spacing w:before="100" w:beforeAutospacing="1" w:after="100" w:afterAutospacing="1" w:line="360" w:lineRule="auto"/>
        <w:rPr>
          <w:lang w:val="es-CO"/>
        </w:rPr>
      </w:pPr>
      <w:r w:rsidRPr="00E503FB">
        <w:rPr>
          <w:lang w:val="es-CO"/>
        </w:rPr>
        <w:t>Ejemplos de alta concentración: Chocó (9.066), Amazonas (9.472), Córdoba (8.038) y Cesar (7.417).</w:t>
      </w:r>
    </w:p>
    <w:p w14:paraId="2E557B35" w14:textId="77777777" w:rsidR="00E503FB" w:rsidRPr="00E503FB" w:rsidRDefault="00E503FB">
      <w:pPr>
        <w:numPr>
          <w:ilvl w:val="0"/>
          <w:numId w:val="54"/>
        </w:numPr>
        <w:spacing w:before="100" w:beforeAutospacing="1" w:after="100" w:afterAutospacing="1" w:line="360" w:lineRule="auto"/>
        <w:rPr>
          <w:lang w:val="es-CO"/>
        </w:rPr>
      </w:pPr>
      <w:r w:rsidRPr="00E503FB">
        <w:rPr>
          <w:lang w:val="es-CO"/>
        </w:rPr>
        <w:t>Mercados con concentración moderada: Bogotá (1.103), Boyacá (1.391) y Tolima (1.279)</w:t>
      </w:r>
    </w:p>
    <w:p w14:paraId="67E5A7DE" w14:textId="5481644F" w:rsidR="00C437C5" w:rsidRDefault="00A27537" w:rsidP="002F1961">
      <w:pPr>
        <w:pStyle w:val="Ttulo3"/>
        <w:spacing w:before="100" w:beforeAutospacing="1" w:after="100" w:afterAutospacing="1"/>
      </w:pPr>
      <w:bookmarkStart w:id="158" w:name="_Toc235128352"/>
      <w:r w:rsidRPr="00A27537">
        <w:lastRenderedPageBreak/>
        <w:t>Barreras de entrada</w:t>
      </w:r>
      <w:bookmarkEnd w:id="158"/>
    </w:p>
    <w:p w14:paraId="069CB93E" w14:textId="77777777" w:rsidR="00AC3891" w:rsidRDefault="00AC3891" w:rsidP="002F1961">
      <w:pPr>
        <w:spacing w:before="100" w:beforeAutospacing="1" w:after="100" w:afterAutospacing="1" w:line="360" w:lineRule="auto"/>
        <w:rPr>
          <w:lang w:val="es-CO"/>
        </w:rPr>
      </w:pPr>
      <w:r w:rsidRPr="00AC3891">
        <w:rPr>
          <w:lang w:val="es-CO"/>
        </w:rPr>
        <w:t>Las barreras de entrada para los nuevos agentes en la cadena del GLP en Colombia varían significativamente según el eslabón, aunque predominan los altos costos de inversión, las exigencias regulatorias y la competencia informal o ilegal.</w:t>
      </w:r>
    </w:p>
    <w:p w14:paraId="457B20B7" w14:textId="1128CC1F" w:rsidR="00AC3891" w:rsidRDefault="00AC3891" w:rsidP="002F1961">
      <w:pPr>
        <w:spacing w:before="100" w:beforeAutospacing="1" w:after="100" w:afterAutospacing="1" w:line="360" w:lineRule="auto"/>
        <w:rPr>
          <w:lang w:val="es-CO"/>
        </w:rPr>
      </w:pPr>
      <w:r w:rsidRPr="00AC3891">
        <w:rPr>
          <w:lang w:val="es-CO"/>
        </w:rPr>
        <w:t>A continuación</w:t>
      </w:r>
      <w:r>
        <w:rPr>
          <w:lang w:val="es-CO"/>
        </w:rPr>
        <w:t>,</w:t>
      </w:r>
      <w:r w:rsidRPr="00AC3891">
        <w:rPr>
          <w:lang w:val="es-CO"/>
        </w:rPr>
        <w:t xml:space="preserve"> se detallan las barreras identificadas en los principales segmentos:</w:t>
      </w:r>
    </w:p>
    <w:p w14:paraId="1FA2F83B" w14:textId="5F37DCA3" w:rsidR="00AC3891" w:rsidRPr="00842608" w:rsidRDefault="00AC3891" w:rsidP="002F1961">
      <w:pPr>
        <w:pStyle w:val="Ttulo4"/>
        <w:spacing w:before="100" w:beforeAutospacing="1" w:after="100" w:afterAutospacing="1" w:line="360" w:lineRule="auto"/>
      </w:pPr>
      <w:r w:rsidRPr="00842608">
        <w:t>Producción y Abastecimiento</w:t>
      </w:r>
    </w:p>
    <w:p w14:paraId="4A19AA8D" w14:textId="77777777" w:rsidR="00AC3891" w:rsidRPr="00AC3891" w:rsidRDefault="00AC3891">
      <w:pPr>
        <w:numPr>
          <w:ilvl w:val="0"/>
          <w:numId w:val="55"/>
        </w:numPr>
        <w:spacing w:before="100" w:beforeAutospacing="1" w:after="100" w:afterAutospacing="1" w:line="360" w:lineRule="auto"/>
        <w:rPr>
          <w:lang w:val="es-CO"/>
        </w:rPr>
      </w:pPr>
      <w:r w:rsidRPr="00AC3891">
        <w:rPr>
          <w:lang w:val="es-CO"/>
        </w:rPr>
        <w:t>Costos Hundidos: En la producción de GLP se presentan costos hundidos significativos que dificultan la entrada de nuevos jugadores.</w:t>
      </w:r>
    </w:p>
    <w:p w14:paraId="55B0C920" w14:textId="77777777" w:rsidR="00AC3891" w:rsidRPr="00AC3891" w:rsidRDefault="00AC3891">
      <w:pPr>
        <w:numPr>
          <w:ilvl w:val="0"/>
          <w:numId w:val="55"/>
        </w:numPr>
        <w:spacing w:before="100" w:beforeAutospacing="1" w:after="100" w:afterAutospacing="1" w:line="360" w:lineRule="auto"/>
        <w:rPr>
          <w:lang w:val="es-CO"/>
        </w:rPr>
      </w:pPr>
      <w:r w:rsidRPr="00AC3891">
        <w:rPr>
          <w:lang w:val="es-CO"/>
        </w:rPr>
        <w:t>Dominancia Estructural: La concentración de la producción en fuentes reguladas bajo el control de Ecopetrol genera una barrera de facto, ya que la producción nacional es deficitaria y la oferta está centralizada.</w:t>
      </w:r>
    </w:p>
    <w:p w14:paraId="7A20ABA9" w14:textId="77777777" w:rsidR="00AC3891" w:rsidRDefault="00AC3891">
      <w:pPr>
        <w:numPr>
          <w:ilvl w:val="0"/>
          <w:numId w:val="55"/>
        </w:numPr>
        <w:spacing w:before="100" w:beforeAutospacing="1" w:after="100" w:afterAutospacing="1" w:line="360" w:lineRule="auto"/>
        <w:rPr>
          <w:lang w:val="es-CO"/>
        </w:rPr>
      </w:pPr>
      <w:r w:rsidRPr="00AC3891">
        <w:rPr>
          <w:lang w:val="es-CO"/>
        </w:rPr>
        <w:t>Incertidumbre Logística: Para la importación, la imposibilidad de planificar a mediano y largo plazo debido a la volatilidad de la producción nacional actúa como un freno para nuevos importadores.</w:t>
      </w:r>
    </w:p>
    <w:p w14:paraId="526666D5" w14:textId="69233F94" w:rsidR="00AC3891" w:rsidRPr="00842608" w:rsidRDefault="00AC3891" w:rsidP="002F1961">
      <w:pPr>
        <w:pStyle w:val="Ttulo4"/>
        <w:spacing w:before="100" w:beforeAutospacing="1" w:after="100" w:afterAutospacing="1" w:line="360" w:lineRule="auto"/>
      </w:pPr>
      <w:r w:rsidRPr="00842608">
        <w:t>Almacenamiento y Envasado</w:t>
      </w:r>
    </w:p>
    <w:p w14:paraId="3D83DDB5" w14:textId="77777777" w:rsidR="00AC3891" w:rsidRPr="00AC3891" w:rsidRDefault="00AC3891">
      <w:pPr>
        <w:numPr>
          <w:ilvl w:val="0"/>
          <w:numId w:val="56"/>
        </w:numPr>
        <w:spacing w:before="100" w:beforeAutospacing="1" w:after="100" w:afterAutospacing="1" w:line="360" w:lineRule="auto"/>
        <w:rPr>
          <w:lang w:val="es-CO"/>
        </w:rPr>
      </w:pPr>
      <w:r w:rsidRPr="00AC3891">
        <w:rPr>
          <w:lang w:val="es-CO"/>
        </w:rPr>
        <w:t>Altas Inversiones (CAPEX): La operación de plantas de almacenamiento requiere inversiones elevadas que los agentes consideran difíciles de recuperar a corto plazo. En el caso de las plantas de envasado, la inversión inicial es la principal barrera, con montos que oscilan entre los 1.000 y 30.000 millones de pesos.</w:t>
      </w:r>
    </w:p>
    <w:p w14:paraId="06DD4AEA" w14:textId="77777777" w:rsidR="00AC3891" w:rsidRPr="00AC3891" w:rsidRDefault="00AC3891">
      <w:pPr>
        <w:numPr>
          <w:ilvl w:val="0"/>
          <w:numId w:val="56"/>
        </w:numPr>
        <w:spacing w:before="100" w:beforeAutospacing="1" w:after="100" w:afterAutospacing="1" w:line="360" w:lineRule="auto"/>
        <w:rPr>
          <w:lang w:val="es-CO"/>
        </w:rPr>
      </w:pPr>
      <w:r w:rsidRPr="00AC3891">
        <w:rPr>
          <w:lang w:val="es-CO"/>
        </w:rPr>
        <w:t>Tiempos de Entrada: Se estima que a un nuevo competidor le tomaría más de un año ingresar a estas actividades debido a la complejidad de la infraestructura y los trámites.</w:t>
      </w:r>
    </w:p>
    <w:p w14:paraId="728FA488" w14:textId="77777777" w:rsidR="00AC3891" w:rsidRDefault="00AC3891">
      <w:pPr>
        <w:numPr>
          <w:ilvl w:val="0"/>
          <w:numId w:val="56"/>
        </w:numPr>
        <w:spacing w:before="100" w:beforeAutospacing="1" w:after="100" w:afterAutospacing="1" w:line="360" w:lineRule="auto"/>
        <w:rPr>
          <w:lang w:val="es-CO"/>
        </w:rPr>
      </w:pPr>
      <w:r w:rsidRPr="00AC3891">
        <w:rPr>
          <w:lang w:val="es-CO"/>
        </w:rPr>
        <w:t>Certificaciones Técnicas: La obtención de certificaciones de conformidad es costosa y los requisitos técnicos son exigentes.</w:t>
      </w:r>
    </w:p>
    <w:p w14:paraId="0BA7F816" w14:textId="4227F7D9" w:rsidR="00AC3891" w:rsidRPr="00842608" w:rsidRDefault="00AC3891" w:rsidP="002F1961">
      <w:pPr>
        <w:pStyle w:val="Ttulo4"/>
        <w:spacing w:before="100" w:beforeAutospacing="1" w:after="100" w:afterAutospacing="1" w:line="360" w:lineRule="auto"/>
      </w:pPr>
      <w:r w:rsidRPr="00842608">
        <w:lastRenderedPageBreak/>
        <w:t>Venta en Cilindros y Depósitos</w:t>
      </w:r>
    </w:p>
    <w:p w14:paraId="45E50F13" w14:textId="77777777" w:rsidR="00AC3891" w:rsidRPr="00AC3891" w:rsidRDefault="00AC3891">
      <w:pPr>
        <w:numPr>
          <w:ilvl w:val="0"/>
          <w:numId w:val="57"/>
        </w:numPr>
        <w:spacing w:before="100" w:beforeAutospacing="1" w:after="100" w:afterAutospacing="1" w:line="360" w:lineRule="auto"/>
        <w:rPr>
          <w:lang w:val="es-CO"/>
        </w:rPr>
      </w:pPr>
      <w:r w:rsidRPr="00AC3891">
        <w:rPr>
          <w:lang w:val="es-CO"/>
        </w:rPr>
        <w:t>Propiedad de Activos: No es posible entrar al mercado de venta en cilindros utilizando únicamente activos de terceros; se requiere inversión en envases propios, marcas y estaciones.</w:t>
      </w:r>
    </w:p>
    <w:p w14:paraId="7F8036BF" w14:textId="77777777" w:rsidR="00AC3891" w:rsidRPr="00AC3891" w:rsidRDefault="00AC3891">
      <w:pPr>
        <w:numPr>
          <w:ilvl w:val="0"/>
          <w:numId w:val="57"/>
        </w:numPr>
        <w:spacing w:before="100" w:beforeAutospacing="1" w:after="100" w:afterAutospacing="1" w:line="360" w:lineRule="auto"/>
        <w:rPr>
          <w:lang w:val="es-CO"/>
        </w:rPr>
      </w:pPr>
      <w:r w:rsidRPr="00AC3891">
        <w:rPr>
          <w:lang w:val="es-CO"/>
        </w:rPr>
        <w:t>Uso del Suelo (POT): La falta de planes de ordenamiento territorial o la exclusión del GLP como servicio público en estos planes dificulta la ubicación de depósitos y puntos de venta certificados.</w:t>
      </w:r>
    </w:p>
    <w:p w14:paraId="74C13E56" w14:textId="77777777" w:rsidR="00AC3891" w:rsidRPr="00AC3891" w:rsidRDefault="00AC3891">
      <w:pPr>
        <w:numPr>
          <w:ilvl w:val="0"/>
          <w:numId w:val="57"/>
        </w:numPr>
        <w:spacing w:before="100" w:beforeAutospacing="1" w:after="100" w:afterAutospacing="1" w:line="360" w:lineRule="auto"/>
        <w:rPr>
          <w:lang w:val="es-CO"/>
        </w:rPr>
      </w:pPr>
      <w:r w:rsidRPr="00AC3891">
        <w:rPr>
          <w:lang w:val="es-CO"/>
        </w:rPr>
        <w:t>Competencia Ilegal: El "contrabando" de cilindros, el llenado ilegal y el hurto de envases de otras marcas representan una barrera económica, ya que los agentes informales operan con costos mucho menores al no cumplir con la normativa.</w:t>
      </w:r>
    </w:p>
    <w:p w14:paraId="34815A4F" w14:textId="2F2F194B" w:rsidR="00AC3891" w:rsidRPr="00842608" w:rsidRDefault="00AC3891" w:rsidP="002F1961">
      <w:pPr>
        <w:pStyle w:val="Ttulo4"/>
        <w:spacing w:before="100" w:beforeAutospacing="1" w:after="100" w:afterAutospacing="1" w:line="360" w:lineRule="auto"/>
      </w:pPr>
      <w:r w:rsidRPr="00842608">
        <w:t>Distribución por Redes de Tubería</w:t>
      </w:r>
    </w:p>
    <w:p w14:paraId="61726648" w14:textId="77777777" w:rsidR="00AC3891" w:rsidRPr="00AC3891" w:rsidRDefault="00AC3891">
      <w:pPr>
        <w:numPr>
          <w:ilvl w:val="0"/>
          <w:numId w:val="58"/>
        </w:numPr>
        <w:spacing w:before="100" w:beforeAutospacing="1" w:after="100" w:afterAutospacing="1" w:line="360" w:lineRule="auto"/>
        <w:rPr>
          <w:lang w:val="es-CO"/>
        </w:rPr>
      </w:pPr>
      <w:r w:rsidRPr="00AC3891">
        <w:rPr>
          <w:lang w:val="es-CO"/>
        </w:rPr>
        <w:t>Bloqueos Territoriales: Agentes establecidos (tanto de GLP como de gas natural) a veces solicitan cargos de distribución en municipios sin intención real de prestar el servicio, con el fin de bloquear la entrada de nuevos operadores.</w:t>
      </w:r>
    </w:p>
    <w:p w14:paraId="7CCAD356" w14:textId="77777777" w:rsidR="00AC3891" w:rsidRDefault="00AC3891">
      <w:pPr>
        <w:numPr>
          <w:ilvl w:val="0"/>
          <w:numId w:val="58"/>
        </w:numPr>
        <w:spacing w:before="100" w:beforeAutospacing="1" w:after="100" w:afterAutospacing="1" w:line="360" w:lineRule="auto"/>
        <w:rPr>
          <w:lang w:val="es-CO"/>
        </w:rPr>
      </w:pPr>
      <w:r w:rsidRPr="00AC3891">
        <w:rPr>
          <w:lang w:val="es-CO"/>
        </w:rPr>
        <w:t>Retrasos Regulatorios: Las demoras en la aprobación de cargos regulados por parte de la CREG pueden desincentivar la inversión, dejando la infraestructura ociosa durante meses.</w:t>
      </w:r>
    </w:p>
    <w:p w14:paraId="0C1A7BC3" w14:textId="0007DF03" w:rsidR="00AC3891" w:rsidRPr="00842608" w:rsidRDefault="00AC3891" w:rsidP="002F1961">
      <w:pPr>
        <w:pStyle w:val="Ttulo4"/>
        <w:spacing w:before="100" w:beforeAutospacing="1" w:after="100" w:afterAutospacing="1" w:line="360" w:lineRule="auto"/>
      </w:pPr>
      <w:r w:rsidRPr="00842608">
        <w:t>Barreras Transversales</w:t>
      </w:r>
    </w:p>
    <w:p w14:paraId="6F0AA282" w14:textId="77777777" w:rsidR="00AC3891" w:rsidRPr="00AC3891" w:rsidRDefault="00AC3891">
      <w:pPr>
        <w:numPr>
          <w:ilvl w:val="0"/>
          <w:numId w:val="59"/>
        </w:numPr>
        <w:spacing w:before="100" w:beforeAutospacing="1" w:after="100" w:afterAutospacing="1" w:line="360" w:lineRule="auto"/>
        <w:rPr>
          <w:lang w:val="es-CO"/>
        </w:rPr>
      </w:pPr>
      <w:r w:rsidRPr="00AC3891">
        <w:rPr>
          <w:lang w:val="es-CO"/>
        </w:rPr>
        <w:t>Orden Público: Prácticamente todos los agentes operan en zonas con problemas de seguridad, lo que implica sobrecostos por extorsiones, pagos por "permisos de ingreso" a grupos al margen de la ley y riesgos para el personal.</w:t>
      </w:r>
    </w:p>
    <w:p w14:paraId="060937B0" w14:textId="77777777" w:rsidR="00AC3891" w:rsidRPr="00AC3891" w:rsidRDefault="00AC3891">
      <w:pPr>
        <w:numPr>
          <w:ilvl w:val="0"/>
          <w:numId w:val="59"/>
        </w:numPr>
        <w:spacing w:before="100" w:beforeAutospacing="1" w:after="100" w:afterAutospacing="1" w:line="360" w:lineRule="auto"/>
        <w:rPr>
          <w:lang w:val="es-CO"/>
        </w:rPr>
      </w:pPr>
      <w:r w:rsidRPr="00AC3891">
        <w:rPr>
          <w:lang w:val="es-CO"/>
        </w:rPr>
        <w:t>Posicionamiento de Marca: En la venta al usuario final, el reconocimiento de marca es visto como una barrera por el 50% de las empresas, especialmente frente a los grandes distribuidores ya establecidos.</w:t>
      </w:r>
    </w:p>
    <w:p w14:paraId="2AAA0220" w14:textId="77777777" w:rsidR="00AC3891" w:rsidRPr="00AC3891" w:rsidRDefault="00AC3891">
      <w:pPr>
        <w:numPr>
          <w:ilvl w:val="0"/>
          <w:numId w:val="59"/>
        </w:numPr>
        <w:spacing w:before="100" w:beforeAutospacing="1" w:after="100" w:afterAutospacing="1" w:line="360" w:lineRule="auto"/>
        <w:rPr>
          <w:lang w:val="es-CO"/>
        </w:rPr>
      </w:pPr>
      <w:r w:rsidRPr="00AC3891">
        <w:rPr>
          <w:lang w:val="es-CO"/>
        </w:rPr>
        <w:t>Certificación de Competencias: Existe una escasez de entes capacitadores en zonas apartadas, lo que dificulta contar con personal calificado y certificado según exige la ley</w:t>
      </w:r>
    </w:p>
    <w:p w14:paraId="7CC7891B" w14:textId="46C81D60" w:rsidR="00A27537" w:rsidRDefault="00A27537" w:rsidP="002F1961">
      <w:pPr>
        <w:pStyle w:val="Ttulo3"/>
        <w:spacing w:before="100" w:beforeAutospacing="1" w:after="100" w:afterAutospacing="1"/>
      </w:pPr>
      <w:bookmarkStart w:id="159" w:name="_Toc235128353"/>
      <w:r>
        <w:lastRenderedPageBreak/>
        <w:t>Integración vertical</w:t>
      </w:r>
      <w:bookmarkEnd w:id="159"/>
    </w:p>
    <w:p w14:paraId="65302B67" w14:textId="07469863" w:rsidR="00E96DB3" w:rsidRDefault="00E96DB3" w:rsidP="002F1961">
      <w:pPr>
        <w:spacing w:before="100" w:beforeAutospacing="1" w:after="100" w:afterAutospacing="1" w:line="360" w:lineRule="auto"/>
        <w:rPr>
          <w:lang w:val="es-CO"/>
        </w:rPr>
      </w:pPr>
      <w:r w:rsidRPr="00E96DB3">
        <w:rPr>
          <w:lang w:val="es-CO"/>
        </w:rPr>
        <w:t>La integración vertical en la cadena de GLP en Colombia ocurre cuando un mismo agente económico o grupo empresarial participa simultáneamente en varios eslabones de la cadena</w:t>
      </w:r>
      <w:r w:rsidR="008D5DC4">
        <w:rPr>
          <w:lang w:val="es-CO"/>
        </w:rPr>
        <w:t xml:space="preserve">. </w:t>
      </w:r>
      <w:r w:rsidRPr="00E96DB3">
        <w:rPr>
          <w:lang w:val="es-CO"/>
        </w:rPr>
        <w:t>Esta estructura busca eficiencias operativas, como la eliminación del "doble margen", pero también genera riesgos para la libre competencia.</w:t>
      </w:r>
      <w:r w:rsidR="000522CF">
        <w:rPr>
          <w:lang w:val="es-CO"/>
        </w:rPr>
        <w:t xml:space="preserve"> </w:t>
      </w:r>
      <w:r w:rsidRPr="00E96DB3">
        <w:rPr>
          <w:lang w:val="es-CO"/>
        </w:rPr>
        <w:t xml:space="preserve">De acuerdo con </w:t>
      </w:r>
      <w:r w:rsidR="000522CF">
        <w:rPr>
          <w:lang w:val="es-CO"/>
        </w:rPr>
        <w:t>la información recopilada en el estudio adelantado por CQM</w:t>
      </w:r>
      <w:r w:rsidRPr="00E96DB3">
        <w:rPr>
          <w:lang w:val="es-CO"/>
        </w:rPr>
        <w:t>, así funciona y se manifiesta esta integración:</w:t>
      </w:r>
    </w:p>
    <w:p w14:paraId="03FE0961" w14:textId="52CB9264" w:rsidR="00E96DB3" w:rsidRPr="00842608" w:rsidRDefault="00E96DB3" w:rsidP="002F1961">
      <w:pPr>
        <w:pStyle w:val="Ttulo4"/>
        <w:spacing w:before="100" w:beforeAutospacing="1" w:after="100" w:afterAutospacing="1" w:line="360" w:lineRule="auto"/>
      </w:pPr>
      <w:r w:rsidRPr="00842608">
        <w:t>Principales Grupos Integrados</w:t>
      </w:r>
    </w:p>
    <w:p w14:paraId="43BA9220" w14:textId="77777777" w:rsidR="00E96DB3" w:rsidRPr="00E96DB3" w:rsidRDefault="00E96DB3" w:rsidP="002F1961">
      <w:pPr>
        <w:spacing w:before="100" w:beforeAutospacing="1" w:after="100" w:afterAutospacing="1" w:line="360" w:lineRule="auto"/>
        <w:rPr>
          <w:lang w:val="es-CO"/>
        </w:rPr>
      </w:pPr>
      <w:r w:rsidRPr="00E96DB3">
        <w:rPr>
          <w:lang w:val="es-CO"/>
        </w:rPr>
        <w:t>Existen actores clave que controlan gran parte de la cadena:</w:t>
      </w:r>
    </w:p>
    <w:p w14:paraId="67849ED4" w14:textId="77777777" w:rsidR="00E96DB3" w:rsidRPr="00E96DB3" w:rsidRDefault="00E96DB3">
      <w:pPr>
        <w:numPr>
          <w:ilvl w:val="0"/>
          <w:numId w:val="60"/>
        </w:numPr>
        <w:spacing w:before="100" w:beforeAutospacing="1" w:after="100" w:afterAutospacing="1" w:line="360" w:lineRule="auto"/>
        <w:rPr>
          <w:lang w:val="es-CO"/>
        </w:rPr>
      </w:pPr>
      <w:r w:rsidRPr="00E96DB3">
        <w:rPr>
          <w:lang w:val="es-CO"/>
        </w:rPr>
        <w:t xml:space="preserve">Ecopetrol: Es el caso más significativo, pues domina la producción de fuentes reguladas y tiene vínculos verticales con el transporte por ductos (a través de su filial Cenit) y con la distribución (a través de </w:t>
      </w:r>
      <w:proofErr w:type="spellStart"/>
      <w:r w:rsidRPr="00E96DB3">
        <w:rPr>
          <w:lang w:val="es-CO"/>
        </w:rPr>
        <w:t>Invercolsa</w:t>
      </w:r>
      <w:proofErr w:type="spellEnd"/>
      <w:r w:rsidRPr="00E96DB3">
        <w:rPr>
          <w:lang w:val="es-CO"/>
        </w:rPr>
        <w:t>, que controla a Combustibles Líquidos de Colombia - CLC).</w:t>
      </w:r>
    </w:p>
    <w:p w14:paraId="65CE169C" w14:textId="77777777" w:rsidR="00E96DB3" w:rsidRPr="00E96DB3" w:rsidRDefault="00E96DB3">
      <w:pPr>
        <w:numPr>
          <w:ilvl w:val="0"/>
          <w:numId w:val="60"/>
        </w:numPr>
        <w:spacing w:before="100" w:beforeAutospacing="1" w:after="100" w:afterAutospacing="1" w:line="360" w:lineRule="auto"/>
        <w:rPr>
          <w:lang w:val="es-CO"/>
        </w:rPr>
      </w:pPr>
      <w:r w:rsidRPr="00E96DB3">
        <w:rPr>
          <w:lang w:val="es-CO"/>
        </w:rPr>
        <w:t xml:space="preserve">Chilco: Este agente participa en la comercialización mayorista y tiene una integración fuerte en la distribución por redes, poseyendo la mayoría accionaria de </w:t>
      </w:r>
      <w:proofErr w:type="spellStart"/>
      <w:r w:rsidRPr="00E96DB3">
        <w:rPr>
          <w:lang w:val="es-CO"/>
        </w:rPr>
        <w:t>Rednova</w:t>
      </w:r>
      <w:proofErr w:type="spellEnd"/>
      <w:r w:rsidRPr="00E96DB3">
        <w:rPr>
          <w:lang w:val="es-CO"/>
        </w:rPr>
        <w:t xml:space="preserve"> (líder en usuarios conectados) y participando en </w:t>
      </w:r>
      <w:proofErr w:type="spellStart"/>
      <w:r w:rsidRPr="00E96DB3">
        <w:rPr>
          <w:lang w:val="es-CO"/>
        </w:rPr>
        <w:t>Surcolombiana</w:t>
      </w:r>
      <w:proofErr w:type="spellEnd"/>
      <w:r w:rsidRPr="00E96DB3">
        <w:rPr>
          <w:lang w:val="es-CO"/>
        </w:rPr>
        <w:t xml:space="preserve"> de Gas.</w:t>
      </w:r>
    </w:p>
    <w:p w14:paraId="2E465895" w14:textId="77777777" w:rsidR="00E96DB3" w:rsidRDefault="00E96DB3">
      <w:pPr>
        <w:numPr>
          <w:ilvl w:val="0"/>
          <w:numId w:val="60"/>
        </w:numPr>
        <w:spacing w:before="100" w:beforeAutospacing="1" w:after="100" w:afterAutospacing="1" w:line="360" w:lineRule="auto"/>
        <w:rPr>
          <w:lang w:val="es-CO"/>
        </w:rPr>
      </w:pPr>
      <w:r w:rsidRPr="00E96DB3">
        <w:rPr>
          <w:lang w:val="es-CO"/>
        </w:rPr>
        <w:t>Consorcio G5: Es una integración vertical "hacia atrás", donde cinco de los distribuidores más grandes (</w:t>
      </w:r>
      <w:proofErr w:type="spellStart"/>
      <w:r w:rsidRPr="00E96DB3">
        <w:rPr>
          <w:lang w:val="es-CO"/>
        </w:rPr>
        <w:t>Norgas</w:t>
      </w:r>
      <w:proofErr w:type="spellEnd"/>
      <w:r w:rsidRPr="00E96DB3">
        <w:rPr>
          <w:lang w:val="es-CO"/>
        </w:rPr>
        <w:t xml:space="preserve">, Gasco, Chilco, </w:t>
      </w:r>
      <w:proofErr w:type="spellStart"/>
      <w:r w:rsidRPr="00E96DB3">
        <w:rPr>
          <w:lang w:val="es-CO"/>
        </w:rPr>
        <w:t>Montagas</w:t>
      </w:r>
      <w:proofErr w:type="spellEnd"/>
      <w:r w:rsidRPr="00E96DB3">
        <w:rPr>
          <w:lang w:val="es-CO"/>
        </w:rPr>
        <w:t xml:space="preserve"> y </w:t>
      </w:r>
      <w:proofErr w:type="spellStart"/>
      <w:r w:rsidRPr="00E96DB3">
        <w:rPr>
          <w:lang w:val="es-CO"/>
        </w:rPr>
        <w:t>Almagas</w:t>
      </w:r>
      <w:proofErr w:type="spellEnd"/>
      <w:r w:rsidRPr="00E96DB3">
        <w:rPr>
          <w:lang w:val="es-CO"/>
        </w:rPr>
        <w:t>) unieron esfuerzos para gestionar su propia importación y operación portuaria a través de infraestructura privada en Cartagena.</w:t>
      </w:r>
    </w:p>
    <w:p w14:paraId="5BC113E9" w14:textId="36EB9905" w:rsidR="00E96DB3" w:rsidRPr="00842608" w:rsidRDefault="00E96DB3" w:rsidP="002F1961">
      <w:pPr>
        <w:pStyle w:val="Ttulo4"/>
        <w:spacing w:before="100" w:beforeAutospacing="1" w:after="100" w:afterAutospacing="1" w:line="360" w:lineRule="auto"/>
      </w:pPr>
      <w:r w:rsidRPr="00842608">
        <w:rPr>
          <w:lang w:val="es-ES"/>
        </w:rPr>
        <w:t xml:space="preserve">Integración </w:t>
      </w:r>
      <w:proofErr w:type="spellStart"/>
      <w:r w:rsidRPr="00842608">
        <w:rPr>
          <w:lang w:val="es-ES"/>
        </w:rPr>
        <w:t>Wholesale-Retail</w:t>
      </w:r>
      <w:proofErr w:type="spellEnd"/>
      <w:r w:rsidRPr="00842608">
        <w:rPr>
          <w:lang w:val="es-ES"/>
        </w:rPr>
        <w:t xml:space="preserve"> (Comprador-Envasador)</w:t>
      </w:r>
    </w:p>
    <w:p w14:paraId="1925ABF0" w14:textId="77777777" w:rsidR="00E96DB3" w:rsidRPr="00E96DB3" w:rsidRDefault="00E96DB3" w:rsidP="002F1961">
      <w:pPr>
        <w:spacing w:before="100" w:beforeAutospacing="1" w:after="100" w:afterAutospacing="1" w:line="360" w:lineRule="auto"/>
        <w:rPr>
          <w:lang w:val="es-CO"/>
        </w:rPr>
      </w:pPr>
      <w:r w:rsidRPr="00E96DB3">
        <w:rPr>
          <w:lang w:val="es-CO"/>
        </w:rPr>
        <w:t>En la realidad del mercado, la figura del Comercializador Mayorista suele confundirse con la del Distribuidor.</w:t>
      </w:r>
    </w:p>
    <w:p w14:paraId="5541C4F1" w14:textId="77777777" w:rsidR="00E96DB3" w:rsidRPr="00E96DB3" w:rsidRDefault="00E96DB3">
      <w:pPr>
        <w:numPr>
          <w:ilvl w:val="0"/>
          <w:numId w:val="61"/>
        </w:numPr>
        <w:spacing w:before="100" w:beforeAutospacing="1" w:after="100" w:afterAutospacing="1" w:line="360" w:lineRule="auto"/>
        <w:rPr>
          <w:lang w:val="es-CO"/>
        </w:rPr>
      </w:pPr>
      <w:r w:rsidRPr="00E96DB3">
        <w:rPr>
          <w:lang w:val="es-CO"/>
        </w:rPr>
        <w:t>Muchos distribuidores grandes actúan como sus propios mayoristas para comprar directamente a los productores.</w:t>
      </w:r>
    </w:p>
    <w:p w14:paraId="572D3893" w14:textId="77777777" w:rsidR="00E96DB3" w:rsidRDefault="00E96DB3">
      <w:pPr>
        <w:numPr>
          <w:ilvl w:val="0"/>
          <w:numId w:val="61"/>
        </w:numPr>
        <w:spacing w:before="100" w:beforeAutospacing="1" w:after="100" w:afterAutospacing="1" w:line="360" w:lineRule="auto"/>
        <w:rPr>
          <w:lang w:val="es-CO"/>
        </w:rPr>
      </w:pPr>
      <w:r w:rsidRPr="00E96DB3">
        <w:rPr>
          <w:lang w:val="es-CO"/>
        </w:rPr>
        <w:lastRenderedPageBreak/>
        <w:t>A su vez, estos distribuidores integrados actúan como intermediarios para distribuidores más pequeños que no pueden cumplir con las garantías financieras o los mínimos técnicos de retiro exigidos por los grandes productores.</w:t>
      </w:r>
    </w:p>
    <w:p w14:paraId="3C7F459D" w14:textId="7440F5CB" w:rsidR="003B7300" w:rsidRPr="00842608" w:rsidRDefault="003B7300" w:rsidP="002F1961">
      <w:pPr>
        <w:pStyle w:val="Ttulo4"/>
        <w:spacing w:before="100" w:beforeAutospacing="1" w:after="100" w:afterAutospacing="1" w:line="360" w:lineRule="auto"/>
      </w:pPr>
      <w:r w:rsidRPr="00842608">
        <w:t>Integración en Nuevos Mercados</w:t>
      </w:r>
    </w:p>
    <w:p w14:paraId="799E7DB6" w14:textId="46DD7460" w:rsidR="003B7300" w:rsidRPr="00751BCE" w:rsidRDefault="003B7300" w:rsidP="002F1961">
      <w:pPr>
        <w:spacing w:before="100" w:beforeAutospacing="1" w:after="100" w:afterAutospacing="1" w:line="360" w:lineRule="auto"/>
        <w:rPr>
          <w:lang w:val="es-CO"/>
        </w:rPr>
      </w:pPr>
      <w:r w:rsidRPr="00751BCE">
        <w:rPr>
          <w:lang w:val="es-CO"/>
        </w:rPr>
        <w:t>En el segmento de AutoGLP, la integración es la regla</w:t>
      </w:r>
      <w:r w:rsidR="00A91222">
        <w:rPr>
          <w:lang w:val="es-CO"/>
        </w:rPr>
        <w:t>,</w:t>
      </w:r>
      <w:r w:rsidRPr="00751BCE">
        <w:rPr>
          <w:lang w:val="es-CO"/>
        </w:rPr>
        <w:t xml:space="preserve"> los mismos </w:t>
      </w:r>
      <w:r w:rsidR="00A00902">
        <w:rPr>
          <w:lang w:val="es-CO"/>
        </w:rPr>
        <w:t xml:space="preserve">comercializadores </w:t>
      </w:r>
      <w:r w:rsidRPr="00751BCE">
        <w:rPr>
          <w:lang w:val="es-CO"/>
        </w:rPr>
        <w:t>mayoristas y distribuidores de GLP son quienes promueven, suministran y a menudo operan las islas de combustible en las Estaciones de Servicio (EDS) para crear y captar la demanda de este nuevo mercado.</w:t>
      </w:r>
    </w:p>
    <w:p w14:paraId="45593F25" w14:textId="68DDE32D" w:rsidR="00E96DB3" w:rsidRPr="00E96DB3" w:rsidRDefault="00751BCE" w:rsidP="002F1961">
      <w:pPr>
        <w:spacing w:before="100" w:beforeAutospacing="1" w:after="100" w:afterAutospacing="1" w:line="360" w:lineRule="auto"/>
        <w:rPr>
          <w:lang w:val="es-CO"/>
        </w:rPr>
      </w:pPr>
      <w:r>
        <w:rPr>
          <w:lang w:val="es-CO"/>
        </w:rPr>
        <w:t>En conclusión, l</w:t>
      </w:r>
      <w:r w:rsidR="00E96DB3" w:rsidRPr="00E96DB3">
        <w:rPr>
          <w:lang w:val="es-CO"/>
        </w:rPr>
        <w:t>a integración vertical genera conductas que el estudio identifica como fallas o riesgos de mercado:</w:t>
      </w:r>
    </w:p>
    <w:p w14:paraId="0BD85852" w14:textId="77777777" w:rsidR="00E96DB3" w:rsidRPr="00E96DB3" w:rsidRDefault="00E96DB3">
      <w:pPr>
        <w:numPr>
          <w:ilvl w:val="0"/>
          <w:numId w:val="62"/>
        </w:numPr>
        <w:spacing w:before="100" w:beforeAutospacing="1" w:after="100" w:afterAutospacing="1" w:line="360" w:lineRule="auto"/>
        <w:rPr>
          <w:lang w:val="es-CO"/>
        </w:rPr>
      </w:pPr>
      <w:r w:rsidRPr="00E96DB3">
        <w:rPr>
          <w:lang w:val="es-CO"/>
        </w:rPr>
        <w:t>Bloqueo de Insumos e Incremento de Costos: Un agente dominante en la producción que también compite en la distribución tiene incentivos para encarecer el suministro o negar el producto a sus rivales aguas abajo.</w:t>
      </w:r>
    </w:p>
    <w:p w14:paraId="05C0E828" w14:textId="77777777" w:rsidR="00E96DB3" w:rsidRPr="00E96DB3" w:rsidRDefault="00E96DB3">
      <w:pPr>
        <w:numPr>
          <w:ilvl w:val="0"/>
          <w:numId w:val="62"/>
        </w:numPr>
        <w:spacing w:before="100" w:beforeAutospacing="1" w:after="100" w:afterAutospacing="1" w:line="360" w:lineRule="auto"/>
        <w:rPr>
          <w:lang w:val="es-CO"/>
        </w:rPr>
      </w:pPr>
      <w:r w:rsidRPr="00E96DB3">
        <w:rPr>
          <w:lang w:val="es-CO"/>
        </w:rPr>
        <w:t>Ventas Atadas: Se identifica una integración entre abastecimiento y transporte en la Refinería de Barrancabermeja; al no haber punto de entrega en la refinería, el gas se entrega obligatoriamente en Puerto Salgar a través de los ductos de Cenit, eliminando la competencia del transporte por cisternas en ese tramo.</w:t>
      </w:r>
    </w:p>
    <w:p w14:paraId="5496FA02" w14:textId="77777777" w:rsidR="00E96DB3" w:rsidRPr="00E96DB3" w:rsidRDefault="00E96DB3">
      <w:pPr>
        <w:numPr>
          <w:ilvl w:val="0"/>
          <w:numId w:val="62"/>
        </w:numPr>
        <w:spacing w:before="100" w:beforeAutospacing="1" w:after="100" w:afterAutospacing="1" w:line="360" w:lineRule="auto"/>
        <w:rPr>
          <w:lang w:val="es-CO"/>
        </w:rPr>
      </w:pPr>
      <w:r w:rsidRPr="00E96DB3">
        <w:rPr>
          <w:lang w:val="es-CO"/>
        </w:rPr>
        <w:t>Arbitraje de Cuotas: Algunos mayoristas integrados con la distribución podrían comprar más producto a precio regulado del que realmente destinan a sus usuarios, para revender el excedente a otros distribuidores a un precio superior.</w:t>
      </w:r>
    </w:p>
    <w:p w14:paraId="0E6C0CFE" w14:textId="011C9591" w:rsidR="004A3BAE" w:rsidRDefault="004A3BAE" w:rsidP="002F1961">
      <w:pPr>
        <w:pStyle w:val="Ttulo2"/>
        <w:spacing w:before="100" w:beforeAutospacing="1" w:after="100" w:afterAutospacing="1"/>
        <w:ind w:left="284" w:hanging="284"/>
      </w:pPr>
      <w:bookmarkStart w:id="160" w:name="_Toc235128354"/>
      <w:r>
        <w:t>Estudios</w:t>
      </w:r>
      <w:r w:rsidR="00F948D7">
        <w:t xml:space="preserve"> realizados</w:t>
      </w:r>
      <w:bookmarkEnd w:id="160"/>
    </w:p>
    <w:p w14:paraId="0F2F5B6F" w14:textId="3D6D9532" w:rsidR="009B7156" w:rsidRPr="009B7156" w:rsidRDefault="009B7156" w:rsidP="009B7156">
      <w:pPr>
        <w:spacing w:before="100" w:beforeAutospacing="1" w:after="100" w:afterAutospacing="1" w:line="360" w:lineRule="auto"/>
        <w:rPr>
          <w:rFonts w:cs="Arial"/>
        </w:rPr>
      </w:pPr>
      <w:r w:rsidRPr="009B7156">
        <w:rPr>
          <w:rFonts w:cs="Arial"/>
        </w:rPr>
        <w:t>Como complemento a la caracterización del mercado, en esta sección se presentan los principales estudios y documentos técnicos utilizados como insumo para el desarrollo del presente Análisis de Impacto Normativo. Estos documentos aportan información y elementos de contexto que contribuyen a la comprensión de las condiciones del mercado de GLP y sirven de soporte para el análisis desarrollado en este documento.</w:t>
      </w:r>
    </w:p>
    <w:p w14:paraId="42288827" w14:textId="5C6B742A" w:rsidR="00AD74E9" w:rsidRDefault="009403EF" w:rsidP="002F1961">
      <w:pPr>
        <w:pStyle w:val="Ttulo3"/>
        <w:tabs>
          <w:tab w:val="left" w:pos="709"/>
        </w:tabs>
        <w:spacing w:before="100" w:beforeAutospacing="1" w:after="100" w:afterAutospacing="1"/>
      </w:pPr>
      <w:bookmarkStart w:id="161" w:name="_Toc235128355"/>
      <w:r>
        <w:lastRenderedPageBreak/>
        <w:t>Estudio de caracterización de la cadena de GLP, Mercados Relevantes y Fallas de Mercado (</w:t>
      </w:r>
      <w:r w:rsidR="006C4570" w:rsidRPr="006C4570">
        <w:t xml:space="preserve">CQM </w:t>
      </w:r>
      <w:r>
        <w:t xml:space="preserve">Consultoría SAS, </w:t>
      </w:r>
      <w:r w:rsidR="006C4570" w:rsidRPr="006C4570">
        <w:t>2023</w:t>
      </w:r>
      <w:r>
        <w:t>)</w:t>
      </w:r>
      <w:bookmarkEnd w:id="161"/>
      <w:r w:rsidR="00AD74E9">
        <w:t xml:space="preserve"> </w:t>
      </w:r>
    </w:p>
    <w:p w14:paraId="0893F0B0" w14:textId="6227B41D" w:rsidR="00DC396F" w:rsidRDefault="005C22C5" w:rsidP="002F1961">
      <w:pPr>
        <w:spacing w:before="100" w:beforeAutospacing="1" w:after="100" w:afterAutospacing="1" w:line="360" w:lineRule="auto"/>
        <w:rPr>
          <w:rFonts w:cs="Arial"/>
        </w:rPr>
      </w:pPr>
      <w:r>
        <w:rPr>
          <w:rFonts w:cs="Arial"/>
        </w:rPr>
        <w:t xml:space="preserve">Durante la vigencia 2023, </w:t>
      </w:r>
      <w:r w:rsidR="00581EE0">
        <w:rPr>
          <w:rFonts w:cs="Arial"/>
        </w:rPr>
        <w:t>la</w:t>
      </w:r>
      <w:r>
        <w:rPr>
          <w:rFonts w:cs="Arial"/>
        </w:rPr>
        <w:t xml:space="preserve"> Comisión contrató a la empresa consultora C</w:t>
      </w:r>
      <w:r w:rsidR="00363052">
        <w:rPr>
          <w:rFonts w:cs="Arial"/>
        </w:rPr>
        <w:t>QM</w:t>
      </w:r>
      <w:r w:rsidR="00753E79">
        <w:rPr>
          <w:rFonts w:cs="Arial"/>
        </w:rPr>
        <w:t xml:space="preserve"> quién adelantó </w:t>
      </w:r>
      <w:r w:rsidR="00C22562">
        <w:rPr>
          <w:rFonts w:cs="Arial"/>
        </w:rPr>
        <w:t>el</w:t>
      </w:r>
      <w:r w:rsidR="00095470">
        <w:rPr>
          <w:rFonts w:cs="Arial"/>
        </w:rPr>
        <w:t xml:space="preserve"> “</w:t>
      </w:r>
      <w:r w:rsidR="00095470" w:rsidRPr="000C70AF">
        <w:rPr>
          <w:i/>
          <w:iCs/>
        </w:rPr>
        <w:t>Estudio de caracterización de la cadena de GLP, Mercados Relevantes y Fallas de Mercado</w:t>
      </w:r>
      <w:r w:rsidR="00095470">
        <w:t>”</w:t>
      </w:r>
      <w:r w:rsidR="006F3B3E">
        <w:t>, el cual</w:t>
      </w:r>
      <w:r w:rsidR="00DC396F">
        <w:rPr>
          <w:rFonts w:cs="Arial"/>
        </w:rPr>
        <w:t xml:space="preserve"> presenta</w:t>
      </w:r>
      <w:r w:rsidR="00DC396F" w:rsidRPr="00B2722E">
        <w:rPr>
          <w:rFonts w:cs="Arial"/>
        </w:rPr>
        <w:t xml:space="preserve"> una caracterización detallada de la cadena de valor del GLP, abarcando desde la producción e importación hasta la entrega final al consumidor. Su objetivo principal </w:t>
      </w:r>
      <w:r w:rsidR="00DC396F">
        <w:rPr>
          <w:rFonts w:cs="Arial"/>
        </w:rPr>
        <w:t>fue</w:t>
      </w:r>
      <w:r w:rsidR="00DC396F" w:rsidRPr="00B2722E">
        <w:rPr>
          <w:rFonts w:cs="Arial"/>
        </w:rPr>
        <w:t xml:space="preserve"> identificar mercados relevantes y detectar posibles fallas de mercado, analizando aspectos como la libre competencia, la concentración y la dominancia empresarial. </w:t>
      </w:r>
    </w:p>
    <w:p w14:paraId="4869D756" w14:textId="58C7D948" w:rsidR="00DC396F" w:rsidRDefault="00292B51" w:rsidP="002F1961">
      <w:pPr>
        <w:spacing w:before="100" w:beforeAutospacing="1" w:after="100" w:afterAutospacing="1" w:line="360" w:lineRule="auto"/>
        <w:rPr>
          <w:rFonts w:cs="Arial"/>
        </w:rPr>
      </w:pPr>
      <w:r>
        <w:rPr>
          <w:rFonts w:cs="Arial"/>
        </w:rPr>
        <w:t>La</w:t>
      </w:r>
      <w:r w:rsidR="00DC396F">
        <w:rPr>
          <w:rFonts w:cs="Arial"/>
        </w:rPr>
        <w:t xml:space="preserve"> consultoría </w:t>
      </w:r>
      <w:r w:rsidR="00DC396F" w:rsidRPr="00B2722E">
        <w:rPr>
          <w:rFonts w:cs="Arial"/>
        </w:rPr>
        <w:t>se apoy</w:t>
      </w:r>
      <w:r w:rsidR="00DC396F">
        <w:rPr>
          <w:rFonts w:cs="Arial"/>
        </w:rPr>
        <w:t>ó</w:t>
      </w:r>
      <w:r w:rsidR="00DC396F" w:rsidRPr="00B2722E">
        <w:rPr>
          <w:rFonts w:cs="Arial"/>
        </w:rPr>
        <w:t xml:space="preserve"> en metodologías de campo, entrevistas y datos oficiales para evaluar la infraestructura, los precios y la logística del sector. Además, el estudio examin</w:t>
      </w:r>
      <w:r w:rsidR="00DC396F">
        <w:rPr>
          <w:rFonts w:cs="Arial"/>
        </w:rPr>
        <w:t>ó</w:t>
      </w:r>
      <w:r w:rsidR="00DC396F" w:rsidRPr="00B2722E">
        <w:rPr>
          <w:rFonts w:cs="Arial"/>
        </w:rPr>
        <w:t xml:space="preserve"> las condiciones operativas en zonas de frontera y propone recomendaciones para mejorar la eficiencia del servicio público de gas combustible</w:t>
      </w:r>
      <w:r w:rsidR="00DC396F">
        <w:rPr>
          <w:rFonts w:cs="Arial"/>
        </w:rPr>
        <w:t>.</w:t>
      </w:r>
    </w:p>
    <w:p w14:paraId="0FBD15A8" w14:textId="77777777" w:rsidR="00C24103" w:rsidRDefault="00C24103" w:rsidP="002F1961">
      <w:pPr>
        <w:pStyle w:val="Ttulo3"/>
        <w:spacing w:before="100" w:beforeAutospacing="1" w:after="100" w:afterAutospacing="1"/>
      </w:pPr>
      <w:bookmarkStart w:id="162" w:name="_Toc235128356"/>
      <w:r w:rsidRPr="00F05B95">
        <w:t xml:space="preserve">Plan </w:t>
      </w:r>
      <w:r>
        <w:t xml:space="preserve">Indicativo </w:t>
      </w:r>
      <w:r w:rsidRPr="00F05B95">
        <w:t xml:space="preserve">de abastecimiento </w:t>
      </w:r>
      <w:r>
        <w:t>de Gas Licuado de Petróleo, PIAGLP 2025-2034 (</w:t>
      </w:r>
      <w:r w:rsidRPr="00F05B95">
        <w:t>UPME</w:t>
      </w:r>
      <w:r>
        <w:t>, 2025)</w:t>
      </w:r>
      <w:bookmarkEnd w:id="162"/>
    </w:p>
    <w:p w14:paraId="63F48BEC" w14:textId="77777777" w:rsidR="00C24103" w:rsidRPr="00E82C32" w:rsidRDefault="00C24103" w:rsidP="002F1961">
      <w:pPr>
        <w:spacing w:before="100" w:beforeAutospacing="1" w:after="100" w:afterAutospacing="1" w:line="360" w:lineRule="auto"/>
        <w:rPr>
          <w:lang w:val="es-CO"/>
        </w:rPr>
      </w:pPr>
      <w:r w:rsidRPr="00E82C32">
        <w:rPr>
          <w:lang w:val="es-CO"/>
        </w:rPr>
        <w:t xml:space="preserve">El Plan Indicativo de Abastecimiento de Gas Licuado de Petróleo (PIAGLP) 2025-2034, elaborado por la Unidad de Planeación </w:t>
      </w:r>
      <w:proofErr w:type="gramStart"/>
      <w:r w:rsidRPr="00E82C32">
        <w:rPr>
          <w:lang w:val="es-CO"/>
        </w:rPr>
        <w:t>Minero Energética</w:t>
      </w:r>
      <w:proofErr w:type="gramEnd"/>
      <w:r w:rsidRPr="00E82C32">
        <w:rPr>
          <w:lang w:val="es-CO"/>
        </w:rPr>
        <w:t xml:space="preserve"> (UPME), es un documento técnico de carácter indicativo que se enfoca en la planeación del abastecimiento y la confiabilidad del GLP en Colombia durante el periodo 2025-2034.</w:t>
      </w:r>
      <w:r>
        <w:rPr>
          <w:lang w:val="es-CO"/>
        </w:rPr>
        <w:t xml:space="preserve"> </w:t>
      </w:r>
    </w:p>
    <w:p w14:paraId="5EA4B4BF" w14:textId="77777777" w:rsidR="00C24103" w:rsidRDefault="00C24103" w:rsidP="002F1961">
      <w:pPr>
        <w:spacing w:before="100" w:beforeAutospacing="1" w:after="100" w:afterAutospacing="1" w:line="360" w:lineRule="auto"/>
        <w:rPr>
          <w:lang w:val="es-CO"/>
        </w:rPr>
      </w:pPr>
      <w:r w:rsidRPr="007E7308">
        <w:rPr>
          <w:lang w:val="es-CO"/>
        </w:rPr>
        <w:t>De acuerdo con lo señalado por la UPME, los objetivos principales del plan son:</w:t>
      </w:r>
      <w:r>
        <w:rPr>
          <w:lang w:val="es-CO"/>
        </w:rPr>
        <w:t xml:space="preserve"> (i) </w:t>
      </w:r>
      <w:r w:rsidRPr="007E7308">
        <w:rPr>
          <w:lang w:val="es-CO"/>
        </w:rPr>
        <w:t>Garantizar el abastecimiento confiable de GLP en el país, asegurando la sostenibilidad del recurso como parte clave de la transición energética y el desarrollo nacional</w:t>
      </w:r>
      <w:r>
        <w:rPr>
          <w:lang w:val="es-CO"/>
        </w:rPr>
        <w:t>; (</w:t>
      </w:r>
      <w:proofErr w:type="spellStart"/>
      <w:r>
        <w:rPr>
          <w:lang w:val="es-CO"/>
        </w:rPr>
        <w:t>ii</w:t>
      </w:r>
      <w:proofErr w:type="spellEnd"/>
      <w:r>
        <w:rPr>
          <w:lang w:val="es-CO"/>
        </w:rPr>
        <w:t xml:space="preserve">) </w:t>
      </w:r>
      <w:r w:rsidRPr="007E7308">
        <w:rPr>
          <w:lang w:val="es-CO"/>
        </w:rPr>
        <w:t>Anticipar las demandas futuras de GLP e identificar oportunidades y desafíos para asegurar su disponibilidad</w:t>
      </w:r>
      <w:r>
        <w:rPr>
          <w:lang w:val="es-CO"/>
        </w:rPr>
        <w:t>; (</w:t>
      </w:r>
      <w:proofErr w:type="spellStart"/>
      <w:r>
        <w:rPr>
          <w:lang w:val="es-CO"/>
        </w:rPr>
        <w:t>iii</w:t>
      </w:r>
      <w:proofErr w:type="spellEnd"/>
      <w:r>
        <w:rPr>
          <w:lang w:val="es-CO"/>
        </w:rPr>
        <w:t>) I</w:t>
      </w:r>
      <w:r w:rsidRPr="007E7308">
        <w:rPr>
          <w:lang w:val="es-CO"/>
        </w:rPr>
        <w:t>ntegrar las metas contempladas en el Plan Nacional de Sustitución de Leña y Otros Combustibles de Uso Ineficiente.</w:t>
      </w:r>
    </w:p>
    <w:p w14:paraId="55A2481F" w14:textId="77777777" w:rsidR="00C24103" w:rsidRDefault="00C24103" w:rsidP="002F1961">
      <w:pPr>
        <w:tabs>
          <w:tab w:val="num" w:pos="360"/>
        </w:tabs>
        <w:spacing w:before="100" w:beforeAutospacing="1" w:after="100" w:afterAutospacing="1" w:line="360" w:lineRule="auto"/>
        <w:rPr>
          <w:lang w:val="es-CO"/>
        </w:rPr>
      </w:pPr>
      <w:r>
        <w:rPr>
          <w:lang w:val="es-CO"/>
        </w:rPr>
        <w:t xml:space="preserve">El plan destaca al GLP </w:t>
      </w:r>
      <w:r w:rsidRPr="004E5781">
        <w:rPr>
          <w:lang w:val="es-CO"/>
        </w:rPr>
        <w:t xml:space="preserve">como un combustible clave para la transición energética, especialmente por su capacidad para sustituir la leña en zonas rurales. A través de un </w:t>
      </w:r>
      <w:r w:rsidRPr="004E5781">
        <w:rPr>
          <w:lang w:val="es-CO"/>
        </w:rPr>
        <w:lastRenderedPageBreak/>
        <w:t xml:space="preserve">análisis detallado, </w:t>
      </w:r>
      <w:r>
        <w:rPr>
          <w:lang w:val="es-CO"/>
        </w:rPr>
        <w:t>la UPME</w:t>
      </w:r>
      <w:r w:rsidRPr="004E5781">
        <w:rPr>
          <w:lang w:val="es-CO"/>
        </w:rPr>
        <w:t xml:space="preserve"> propone diversos escenarios de oferta y demanda que consideran tanto la producción interna en refinerías como la necesidad de ampliar la infraestructura de importación. </w:t>
      </w:r>
      <w:r>
        <w:rPr>
          <w:lang w:val="es-CO"/>
        </w:rPr>
        <w:t>Así mismo, se</w:t>
      </w:r>
      <w:r w:rsidRPr="004E5781">
        <w:rPr>
          <w:lang w:val="es-CO"/>
        </w:rPr>
        <w:t xml:space="preserve"> examina la logística de transporte y almacenamiento, identificando puntos críticos para garantizar la confiabilidad del suministro nacional. Finalmente, el plan ofrece recomendaciones técnicas y regulatorias para fortalecer la seguridad energética del país durante la próxima década.</w:t>
      </w:r>
    </w:p>
    <w:p w14:paraId="4CC16327" w14:textId="77777777" w:rsidR="00C24103" w:rsidRPr="00B473D3" w:rsidRDefault="00C24103" w:rsidP="002F1961">
      <w:pPr>
        <w:tabs>
          <w:tab w:val="num" w:pos="360"/>
        </w:tabs>
        <w:spacing w:before="100" w:beforeAutospacing="1" w:after="100" w:afterAutospacing="1" w:line="360" w:lineRule="auto"/>
        <w:rPr>
          <w:lang w:val="es-CO"/>
        </w:rPr>
      </w:pPr>
      <w:r>
        <w:rPr>
          <w:lang w:val="es-CO"/>
        </w:rPr>
        <w:t xml:space="preserve">En relación con la proyección de la oferta y la demanda de GLP, la UPME muestra un </w:t>
      </w:r>
      <w:r w:rsidRPr="00B473D3">
        <w:rPr>
          <w:lang w:val="es-CO"/>
        </w:rPr>
        <w:t>panorama de crecimiento en el consumo frente a una producción nacional en declive, lo que incrementa la dependencia de las importaciones para garantizar el abastecimiento</w:t>
      </w:r>
      <w:r>
        <w:rPr>
          <w:lang w:val="es-CO"/>
        </w:rPr>
        <w:t>. En los siguientes numerales</w:t>
      </w:r>
      <w:r w:rsidRPr="00B473D3">
        <w:rPr>
          <w:lang w:val="es-CO"/>
        </w:rPr>
        <w:t xml:space="preserve"> se detallan los escenarios proyectados por la UPME:</w:t>
      </w:r>
    </w:p>
    <w:p w14:paraId="1D514D7D" w14:textId="77777777" w:rsidR="00C24103" w:rsidRPr="00842608" w:rsidRDefault="00C24103" w:rsidP="00A00902">
      <w:pPr>
        <w:pStyle w:val="Ttulo4"/>
        <w:spacing w:before="100" w:beforeAutospacing="1" w:after="100" w:afterAutospacing="1" w:line="360" w:lineRule="auto"/>
        <w:ind w:hanging="790"/>
        <w:rPr>
          <w:bCs/>
          <w:lang w:val="es-CO"/>
        </w:rPr>
      </w:pPr>
      <w:r w:rsidRPr="00842608">
        <w:rPr>
          <w:bCs/>
        </w:rPr>
        <w:t>Proyección de l</w:t>
      </w:r>
      <w:r w:rsidRPr="00842608">
        <w:rPr>
          <w:bCs/>
          <w:lang w:val="es-CO"/>
        </w:rPr>
        <w:t>a Oferta</w:t>
      </w:r>
    </w:p>
    <w:p w14:paraId="531675F9" w14:textId="77777777" w:rsidR="00C24103" w:rsidRPr="00B473D3" w:rsidRDefault="00C24103" w:rsidP="002F1961">
      <w:pPr>
        <w:tabs>
          <w:tab w:val="num" w:pos="360"/>
        </w:tabs>
        <w:spacing w:before="100" w:beforeAutospacing="1" w:after="100" w:afterAutospacing="1" w:line="360" w:lineRule="auto"/>
        <w:rPr>
          <w:lang w:val="es-CO"/>
        </w:rPr>
      </w:pPr>
      <w:r w:rsidRPr="00B473D3">
        <w:rPr>
          <w:lang w:val="es-CO"/>
        </w:rPr>
        <w:t xml:space="preserve">Se analizan tres </w:t>
      </w:r>
      <w:r>
        <w:rPr>
          <w:lang w:val="es-CO"/>
        </w:rPr>
        <w:t xml:space="preserve">(3) </w:t>
      </w:r>
      <w:r w:rsidRPr="00B473D3">
        <w:rPr>
          <w:lang w:val="es-CO"/>
        </w:rPr>
        <w:t>escenarios que combinan la producción interna (refinerías y campos) con la capacidad de importación:</w:t>
      </w:r>
    </w:p>
    <w:p w14:paraId="1FB8A8D3" w14:textId="77777777" w:rsidR="00C24103" w:rsidRPr="00F95511" w:rsidRDefault="00C24103">
      <w:pPr>
        <w:pStyle w:val="Prrafodelista"/>
        <w:numPr>
          <w:ilvl w:val="0"/>
          <w:numId w:val="32"/>
        </w:numPr>
        <w:tabs>
          <w:tab w:val="num" w:pos="360"/>
        </w:tabs>
        <w:spacing w:before="100" w:beforeAutospacing="1" w:after="100" w:afterAutospacing="1" w:line="360" w:lineRule="auto"/>
        <w:rPr>
          <w:lang w:val="es-CO"/>
        </w:rPr>
      </w:pPr>
      <w:r w:rsidRPr="00F95511">
        <w:rPr>
          <w:lang w:val="es-CO"/>
        </w:rPr>
        <w:t>Escenario Tendencial (Oferta 1): Considera las cantidades disponibles para la venta según la Declaración de Producción 2025-2029 y la infraestructura de importación actual (40.000 toneladas/mes). Bajo este escenario, la oferta agregada es de aproximadamente 59.259 toneladas/mes</w:t>
      </w:r>
      <w:r>
        <w:rPr>
          <w:lang w:val="es-CO"/>
        </w:rPr>
        <w:t>.</w:t>
      </w:r>
    </w:p>
    <w:p w14:paraId="26EA8128" w14:textId="77777777" w:rsidR="00C24103" w:rsidRPr="00F95511" w:rsidRDefault="00C24103">
      <w:pPr>
        <w:pStyle w:val="Prrafodelista"/>
        <w:numPr>
          <w:ilvl w:val="0"/>
          <w:numId w:val="32"/>
        </w:numPr>
        <w:tabs>
          <w:tab w:val="num" w:pos="360"/>
        </w:tabs>
        <w:spacing w:before="100" w:beforeAutospacing="1" w:after="100" w:afterAutospacing="1" w:line="360" w:lineRule="auto"/>
        <w:rPr>
          <w:lang w:val="es-CO"/>
        </w:rPr>
      </w:pPr>
      <w:r w:rsidRPr="00F95511">
        <w:rPr>
          <w:lang w:val="es-CO"/>
        </w:rPr>
        <w:t xml:space="preserve">Escenario de Cobertura (Oferta 2): Es el escenario de referencia para la planeación. Incorpora el Potencial de Producción nacional y ampliaciones de importación a corto y mediano plazo, incluyendo la entrada de Puerto Bahía en 2027 (+40.000 ton/mes) y la ampliación de </w:t>
      </w:r>
      <w:proofErr w:type="spellStart"/>
      <w:r w:rsidRPr="00F95511">
        <w:rPr>
          <w:lang w:val="es-CO"/>
        </w:rPr>
        <w:t>Okianus</w:t>
      </w:r>
      <w:proofErr w:type="spellEnd"/>
      <w:r w:rsidRPr="00F95511">
        <w:rPr>
          <w:lang w:val="es-CO"/>
        </w:rPr>
        <w:t xml:space="preserve"> en 2026 (+4.000 ton/mes)</w:t>
      </w:r>
      <w:r>
        <w:rPr>
          <w:lang w:val="es-CO"/>
        </w:rPr>
        <w:t>.</w:t>
      </w:r>
    </w:p>
    <w:p w14:paraId="27C7F892" w14:textId="77777777" w:rsidR="00C24103" w:rsidRPr="00C27882" w:rsidRDefault="00C24103">
      <w:pPr>
        <w:pStyle w:val="Prrafodelista"/>
        <w:numPr>
          <w:ilvl w:val="0"/>
          <w:numId w:val="32"/>
        </w:numPr>
        <w:tabs>
          <w:tab w:val="num" w:pos="360"/>
        </w:tabs>
        <w:spacing w:before="100" w:beforeAutospacing="1" w:after="100" w:afterAutospacing="1" w:line="360" w:lineRule="auto"/>
        <w:rPr>
          <w:lang w:val="es-CO"/>
        </w:rPr>
      </w:pPr>
      <w:r w:rsidRPr="00C27882">
        <w:rPr>
          <w:lang w:val="es-CO"/>
        </w:rPr>
        <w:t>E</w:t>
      </w:r>
      <w:r w:rsidRPr="00C27882">
        <w:rPr>
          <w:lang w:val="es-CO"/>
        </w:rPr>
        <w:t>scenario Optimista (Oferta 3): Contempla cantidades adicionales de áreas con prospectiva geológica para gas rico en componentes livianos y mayores expansiones portuarias, alcanzando hasta 152.608 toneladas/mes</w:t>
      </w:r>
    </w:p>
    <w:p w14:paraId="00D8BD93" w14:textId="77777777" w:rsidR="00C24103" w:rsidRDefault="00C24103" w:rsidP="002F1961">
      <w:pPr>
        <w:tabs>
          <w:tab w:val="num" w:pos="360"/>
        </w:tabs>
        <w:spacing w:before="100" w:beforeAutospacing="1" w:after="100" w:afterAutospacing="1" w:line="360" w:lineRule="auto"/>
        <w:rPr>
          <w:lang w:val="es-CO"/>
        </w:rPr>
      </w:pPr>
      <w:r w:rsidRPr="00B473D3">
        <w:rPr>
          <w:lang w:val="es-CO"/>
        </w:rPr>
        <w:t>Un aspecto crítico es que la producción nacional presenta una tendencia a la baja debido a la declinación natural de campos maduros (como Cusiana) y ajustes operativos en las refinerías.</w:t>
      </w:r>
    </w:p>
    <w:p w14:paraId="4F28FFE5" w14:textId="77777777" w:rsidR="00C24103" w:rsidRPr="00842608" w:rsidRDefault="00C24103" w:rsidP="002F1961">
      <w:pPr>
        <w:pStyle w:val="Ttulo4"/>
        <w:spacing w:before="100" w:beforeAutospacing="1" w:after="100" w:afterAutospacing="1" w:line="360" w:lineRule="auto"/>
        <w:rPr>
          <w:bCs/>
          <w:lang w:val="es-CO"/>
        </w:rPr>
      </w:pPr>
      <w:r w:rsidRPr="00842608">
        <w:rPr>
          <w:bCs/>
        </w:rPr>
        <w:lastRenderedPageBreak/>
        <w:t>Proyección de la Demanda</w:t>
      </w:r>
    </w:p>
    <w:p w14:paraId="72EDC898" w14:textId="77777777" w:rsidR="00C24103" w:rsidRPr="00743830" w:rsidRDefault="00C24103" w:rsidP="002F1961">
      <w:pPr>
        <w:tabs>
          <w:tab w:val="num" w:pos="360"/>
        </w:tabs>
        <w:spacing w:before="100" w:beforeAutospacing="1" w:after="100" w:afterAutospacing="1" w:line="360" w:lineRule="auto"/>
        <w:rPr>
          <w:lang w:val="es-CO"/>
        </w:rPr>
      </w:pPr>
      <w:r w:rsidRPr="00743830">
        <w:rPr>
          <w:lang w:val="es-CO"/>
        </w:rPr>
        <w:t>La demanda se proyecta bajo tres (3) perspectivas de crecimiento sectorial:</w:t>
      </w:r>
    </w:p>
    <w:p w14:paraId="273573FE" w14:textId="77777777" w:rsidR="00C24103" w:rsidRPr="00743830" w:rsidRDefault="00C24103">
      <w:pPr>
        <w:pStyle w:val="Prrafodelista"/>
        <w:numPr>
          <w:ilvl w:val="0"/>
          <w:numId w:val="33"/>
        </w:numPr>
        <w:tabs>
          <w:tab w:val="num" w:pos="360"/>
        </w:tabs>
        <w:spacing w:before="100" w:beforeAutospacing="1" w:after="100" w:afterAutospacing="1" w:line="360" w:lineRule="auto"/>
        <w:ind w:left="714" w:hanging="357"/>
        <w:rPr>
          <w:lang w:val="es-CO"/>
        </w:rPr>
      </w:pPr>
      <w:r w:rsidRPr="00743830">
        <w:rPr>
          <w:lang w:val="es-CO"/>
        </w:rPr>
        <w:t xml:space="preserve">Escenario Tendencial (Demanda 1): Se basa en el comportamiento histórico sin nuevas políticas públicas, estimando un consumo de 764,42 </w:t>
      </w:r>
      <w:proofErr w:type="spellStart"/>
      <w:r w:rsidRPr="00743830">
        <w:rPr>
          <w:lang w:val="es-CO"/>
        </w:rPr>
        <w:t>kt</w:t>
      </w:r>
      <w:proofErr w:type="spellEnd"/>
      <w:r w:rsidRPr="00743830">
        <w:rPr>
          <w:lang w:val="es-CO"/>
        </w:rPr>
        <w:t xml:space="preserve"> anuales para 2034</w:t>
      </w:r>
      <w:r>
        <w:rPr>
          <w:lang w:val="es-CO"/>
        </w:rPr>
        <w:t>.</w:t>
      </w:r>
    </w:p>
    <w:p w14:paraId="16670001" w14:textId="77777777" w:rsidR="00C24103" w:rsidRPr="00B05E52" w:rsidRDefault="00C24103">
      <w:pPr>
        <w:pStyle w:val="Prrafodelista"/>
        <w:numPr>
          <w:ilvl w:val="0"/>
          <w:numId w:val="33"/>
        </w:numPr>
        <w:tabs>
          <w:tab w:val="num" w:pos="360"/>
        </w:tabs>
        <w:spacing w:before="100" w:beforeAutospacing="1" w:after="100" w:afterAutospacing="1" w:line="360" w:lineRule="auto"/>
        <w:ind w:left="714" w:hanging="357"/>
        <w:rPr>
          <w:lang w:val="es-CO"/>
        </w:rPr>
      </w:pPr>
      <w:r w:rsidRPr="00B05E52">
        <w:rPr>
          <w:lang w:val="es-CO"/>
        </w:rPr>
        <w:t xml:space="preserve">Escenario de Cobertura (Demanda 2): Referencia principal del plan que proyecta alcanzar 850,8 </w:t>
      </w:r>
      <w:proofErr w:type="spellStart"/>
      <w:r w:rsidRPr="00B05E52">
        <w:rPr>
          <w:lang w:val="es-CO"/>
        </w:rPr>
        <w:t>kt</w:t>
      </w:r>
      <w:proofErr w:type="spellEnd"/>
      <w:r w:rsidRPr="00B05E52">
        <w:rPr>
          <w:lang w:val="es-CO"/>
        </w:rPr>
        <w:t xml:space="preserve"> anuales (70,9 </w:t>
      </w:r>
      <w:proofErr w:type="spellStart"/>
      <w:r w:rsidRPr="00B05E52">
        <w:rPr>
          <w:lang w:val="es-CO"/>
        </w:rPr>
        <w:t>kt</w:t>
      </w:r>
      <w:proofErr w:type="spellEnd"/>
      <w:r w:rsidRPr="00B05E52">
        <w:rPr>
          <w:lang w:val="es-CO"/>
        </w:rPr>
        <w:t xml:space="preserve">/mes) en 2034. Suma al consumo tradicional la demanda por el Plan Nacional de Sustitución de Leña (PNSL), el uso en transporte (AutoGLP y </w:t>
      </w:r>
      <w:proofErr w:type="spellStart"/>
      <w:r w:rsidRPr="00B05E52">
        <w:rPr>
          <w:lang w:val="es-CO"/>
        </w:rPr>
        <w:t>NautiGLP</w:t>
      </w:r>
      <w:proofErr w:type="spellEnd"/>
      <w:r w:rsidRPr="00B05E52">
        <w:rPr>
          <w:lang w:val="es-CO"/>
        </w:rPr>
        <w:t>) y la generación eléctrica en Zonas No Interconectadas (ZNI)</w:t>
      </w:r>
      <w:r>
        <w:rPr>
          <w:lang w:val="es-CO"/>
        </w:rPr>
        <w:t>.</w:t>
      </w:r>
    </w:p>
    <w:p w14:paraId="0877E515" w14:textId="77777777" w:rsidR="00C24103" w:rsidRPr="00743830" w:rsidRDefault="00C24103">
      <w:pPr>
        <w:pStyle w:val="Prrafodelista"/>
        <w:numPr>
          <w:ilvl w:val="0"/>
          <w:numId w:val="33"/>
        </w:numPr>
        <w:tabs>
          <w:tab w:val="num" w:pos="360"/>
        </w:tabs>
        <w:spacing w:before="100" w:beforeAutospacing="1" w:after="100" w:afterAutospacing="1" w:line="360" w:lineRule="auto"/>
        <w:ind w:left="714" w:hanging="357"/>
        <w:rPr>
          <w:lang w:val="es-CO"/>
        </w:rPr>
      </w:pPr>
      <w:r w:rsidRPr="00743830">
        <w:rPr>
          <w:lang w:val="es-CO"/>
        </w:rPr>
        <w:t xml:space="preserve">Escenario de Crecimiento (Demanda 3): Plantea una participación más agresiva del GLP en generación térmica y metas de sustitución de leña más ambiciosas, proyectando 944,6 </w:t>
      </w:r>
      <w:proofErr w:type="spellStart"/>
      <w:r w:rsidRPr="00743830">
        <w:rPr>
          <w:lang w:val="es-CO"/>
        </w:rPr>
        <w:t>kt</w:t>
      </w:r>
      <w:proofErr w:type="spellEnd"/>
      <w:r w:rsidRPr="00743830">
        <w:rPr>
          <w:lang w:val="es-CO"/>
        </w:rPr>
        <w:t xml:space="preserve"> anuales para 2034</w:t>
      </w:r>
      <w:r>
        <w:rPr>
          <w:lang w:val="es-CO"/>
        </w:rPr>
        <w:t>.</w:t>
      </w:r>
    </w:p>
    <w:p w14:paraId="4F6D5D48" w14:textId="77777777" w:rsidR="00C24103" w:rsidRPr="00C24103" w:rsidRDefault="00C24103">
      <w:pPr>
        <w:pStyle w:val="Prrafodelista"/>
        <w:numPr>
          <w:ilvl w:val="0"/>
          <w:numId w:val="35"/>
        </w:numPr>
        <w:spacing w:before="100" w:beforeAutospacing="1" w:after="100" w:afterAutospacing="1" w:line="360" w:lineRule="auto"/>
        <w:rPr>
          <w:b/>
          <w:bCs/>
          <w:lang w:val="es-CO"/>
        </w:rPr>
      </w:pPr>
      <w:r w:rsidRPr="00C24103">
        <w:rPr>
          <w:b/>
          <w:bCs/>
          <w:lang w:val="es-CO"/>
        </w:rPr>
        <w:t>Balance y Seguridad Energética</w:t>
      </w:r>
    </w:p>
    <w:p w14:paraId="31A0734A" w14:textId="3F214CD2" w:rsidR="00C24103" w:rsidRPr="00B473D3" w:rsidRDefault="00C24103" w:rsidP="002F1961">
      <w:pPr>
        <w:tabs>
          <w:tab w:val="num" w:pos="360"/>
        </w:tabs>
        <w:spacing w:before="100" w:beforeAutospacing="1" w:after="100" w:afterAutospacing="1" w:line="360" w:lineRule="auto"/>
        <w:rPr>
          <w:lang w:val="es-CO"/>
        </w:rPr>
      </w:pPr>
      <w:r w:rsidRPr="00B473D3">
        <w:rPr>
          <w:lang w:val="es-CO"/>
        </w:rPr>
        <w:t xml:space="preserve">El balance nacional indica que, mediante la combinación de oferta nacional y las ampliaciones proyectadas en la capacidad de importación, se garantizaría el abastecimiento en los próximos diez </w:t>
      </w:r>
      <w:r w:rsidR="009946B1">
        <w:rPr>
          <w:lang w:val="es-CO"/>
        </w:rPr>
        <w:t xml:space="preserve">(10) </w:t>
      </w:r>
      <w:r w:rsidRPr="00B473D3">
        <w:rPr>
          <w:lang w:val="es-CO"/>
        </w:rPr>
        <w:t>años.</w:t>
      </w:r>
    </w:p>
    <w:p w14:paraId="7373B971" w14:textId="77777777" w:rsidR="00C24103" w:rsidRDefault="00C24103" w:rsidP="002F1961">
      <w:pPr>
        <w:tabs>
          <w:tab w:val="num" w:pos="360"/>
        </w:tabs>
        <w:spacing w:before="100" w:beforeAutospacing="1" w:after="100" w:afterAutospacing="1" w:line="360" w:lineRule="auto"/>
        <w:rPr>
          <w:lang w:val="es-CO"/>
        </w:rPr>
      </w:pPr>
      <w:r w:rsidRPr="00B473D3">
        <w:rPr>
          <w:lang w:val="es-CO"/>
        </w:rPr>
        <w:t>Sin embargo, para 2034 se prevé que el 77% de la demanda nacional sea atendida con oferta proveniente de Cartagena (incluyendo el GLP importado), lo que genera los siguientes desafíos:</w:t>
      </w:r>
    </w:p>
    <w:p w14:paraId="399E22E8" w14:textId="77777777" w:rsidR="00C24103" w:rsidRPr="001D09B4" w:rsidRDefault="00C24103">
      <w:pPr>
        <w:pStyle w:val="Prrafodelista"/>
        <w:numPr>
          <w:ilvl w:val="0"/>
          <w:numId w:val="36"/>
        </w:numPr>
        <w:tabs>
          <w:tab w:val="num" w:pos="360"/>
        </w:tabs>
        <w:spacing w:before="100" w:beforeAutospacing="1" w:after="100" w:afterAutospacing="1" w:line="360" w:lineRule="auto"/>
        <w:rPr>
          <w:lang w:val="es-CO"/>
        </w:rPr>
      </w:pPr>
      <w:r w:rsidRPr="001D09B4">
        <w:rPr>
          <w:lang w:val="es-CO"/>
        </w:rPr>
        <w:t>Vulnerabilidad logística: El transporte es mayoritariamente por carretera, expuesto a riesgos naturales y sociales.</w:t>
      </w:r>
    </w:p>
    <w:p w14:paraId="02ADE5B1" w14:textId="77777777" w:rsidR="00C24103" w:rsidRPr="001D09B4" w:rsidRDefault="00C24103">
      <w:pPr>
        <w:pStyle w:val="Prrafodelista"/>
        <w:numPr>
          <w:ilvl w:val="0"/>
          <w:numId w:val="36"/>
        </w:numPr>
        <w:tabs>
          <w:tab w:val="num" w:pos="360"/>
        </w:tabs>
        <w:spacing w:before="100" w:beforeAutospacing="1" w:after="100" w:afterAutospacing="1" w:line="360" w:lineRule="auto"/>
        <w:rPr>
          <w:lang w:val="es-CO"/>
        </w:rPr>
      </w:pPr>
      <w:r w:rsidRPr="001D09B4">
        <w:rPr>
          <w:lang w:val="es-CO"/>
        </w:rPr>
        <w:t>Dependencia externa: Mayor exposición a las fluctuaciones de precios y eventos climáticos en el Golfo de México.</w:t>
      </w:r>
    </w:p>
    <w:p w14:paraId="64516EBF" w14:textId="77777777" w:rsidR="00C24103" w:rsidRPr="001D09B4" w:rsidRDefault="00C24103">
      <w:pPr>
        <w:pStyle w:val="Prrafodelista"/>
        <w:numPr>
          <w:ilvl w:val="0"/>
          <w:numId w:val="36"/>
        </w:numPr>
        <w:tabs>
          <w:tab w:val="num" w:pos="360"/>
        </w:tabs>
        <w:spacing w:before="100" w:beforeAutospacing="1" w:after="100" w:afterAutospacing="1" w:line="360" w:lineRule="auto"/>
        <w:rPr>
          <w:lang w:val="es-CO"/>
        </w:rPr>
      </w:pPr>
      <w:r w:rsidRPr="001D09B4">
        <w:rPr>
          <w:lang w:val="es-CO"/>
        </w:rPr>
        <w:t xml:space="preserve">Necesidad de infraestructura: El plan recomienda la construcción de Almacenamientos Estratégicos (AE) en </w:t>
      </w:r>
      <w:r>
        <w:rPr>
          <w:lang w:val="es-CO"/>
        </w:rPr>
        <w:t>diez (</w:t>
      </w:r>
      <w:r w:rsidRPr="001D09B4">
        <w:rPr>
          <w:lang w:val="es-CO"/>
        </w:rPr>
        <w:t>10</w:t>
      </w:r>
      <w:r>
        <w:rPr>
          <w:lang w:val="es-CO"/>
        </w:rPr>
        <w:t>)</w:t>
      </w:r>
      <w:r w:rsidRPr="001D09B4">
        <w:rPr>
          <w:lang w:val="es-CO"/>
        </w:rPr>
        <w:t xml:space="preserve"> ubicaciones clave para mitigar riesgos de desabastecimiento por contingencias en el suministro o transporte</w:t>
      </w:r>
    </w:p>
    <w:p w14:paraId="17A35155" w14:textId="77777777" w:rsidR="00C24103" w:rsidRDefault="00C24103" w:rsidP="002F1961">
      <w:pPr>
        <w:spacing w:before="100" w:beforeAutospacing="1" w:after="100" w:afterAutospacing="1" w:line="360" w:lineRule="auto"/>
        <w:rPr>
          <w:lang w:val="es-CO"/>
        </w:rPr>
      </w:pPr>
      <w:r w:rsidRPr="0081363F">
        <w:rPr>
          <w:lang w:val="es-CO"/>
        </w:rPr>
        <w:lastRenderedPageBreak/>
        <w:t>Las principales conclusiones del PIAGLP 2025-2034 se centran en la necesidad de fortalecer la seguridad energética del país mediante la diversificación de fuentes, la mejora de la infraestructura de almacenamiento y la optimización de la logística de transporte.</w:t>
      </w:r>
      <w:r>
        <w:rPr>
          <w:lang w:val="es-CO"/>
        </w:rPr>
        <w:t xml:space="preserve"> </w:t>
      </w:r>
      <w:r w:rsidRPr="0081363F">
        <w:rPr>
          <w:lang w:val="es-CO"/>
        </w:rPr>
        <w:t>A continuación</w:t>
      </w:r>
      <w:r>
        <w:rPr>
          <w:lang w:val="es-CO"/>
        </w:rPr>
        <w:t>,</w:t>
      </w:r>
      <w:r w:rsidRPr="0081363F">
        <w:rPr>
          <w:lang w:val="es-CO"/>
        </w:rPr>
        <w:t xml:space="preserve"> se </w:t>
      </w:r>
      <w:r>
        <w:rPr>
          <w:lang w:val="es-CO"/>
        </w:rPr>
        <w:t>presentan</w:t>
      </w:r>
      <w:r w:rsidRPr="0081363F">
        <w:rPr>
          <w:lang w:val="es-CO"/>
        </w:rPr>
        <w:t xml:space="preserve"> los puntos más relevantes:</w:t>
      </w:r>
    </w:p>
    <w:p w14:paraId="4AE01F27" w14:textId="77777777" w:rsidR="00C24103" w:rsidRPr="00482482" w:rsidRDefault="00C24103">
      <w:pPr>
        <w:pStyle w:val="Prrafodelista"/>
        <w:numPr>
          <w:ilvl w:val="0"/>
          <w:numId w:val="17"/>
        </w:numPr>
        <w:spacing w:before="100" w:beforeAutospacing="1" w:after="100" w:afterAutospacing="1" w:line="360" w:lineRule="auto"/>
        <w:rPr>
          <w:lang w:val="es-CO"/>
        </w:rPr>
      </w:pPr>
      <w:r w:rsidRPr="00482482">
        <w:rPr>
          <w:lang w:val="es-CO"/>
        </w:rPr>
        <w:t>Declive de la Producción Nacional e Importaciones: La producción interna de GLP muestra una tendencia a la baja debido a la declinación natural de los campos y una menor disponibilidad en refinerías. Esta brecha se está cubriendo con la ampliación de las capacidades de importación lideradas por el sector privado.</w:t>
      </w:r>
    </w:p>
    <w:p w14:paraId="1317FB9B" w14:textId="77777777" w:rsidR="00C24103" w:rsidRPr="00482482" w:rsidRDefault="00C24103">
      <w:pPr>
        <w:pStyle w:val="Prrafodelista"/>
        <w:numPr>
          <w:ilvl w:val="0"/>
          <w:numId w:val="17"/>
        </w:numPr>
        <w:spacing w:before="100" w:beforeAutospacing="1" w:after="100" w:afterAutospacing="1" w:line="360" w:lineRule="auto"/>
        <w:rPr>
          <w:lang w:val="es-CO"/>
        </w:rPr>
      </w:pPr>
      <w:r w:rsidRPr="00482482">
        <w:rPr>
          <w:lang w:val="es-CO"/>
        </w:rPr>
        <w:t>Vulnerabilidad Logística en Cartagena: Gran parte de la oferta (especialmente la importada) se concentra en Cartagena, lo que genera riesgos para el abastecimiento del interior del país ante eventos naturales, sociales o bloqueos. Por ello, se resalta la importancia de evaluar infraestructura en el Pacífico (Buenaventura o Tumaco) para mejorar la resiliencia del sistema.</w:t>
      </w:r>
    </w:p>
    <w:p w14:paraId="1A1C1405" w14:textId="77777777" w:rsidR="00C24103" w:rsidRPr="00482482" w:rsidRDefault="00C24103">
      <w:pPr>
        <w:pStyle w:val="Prrafodelista"/>
        <w:numPr>
          <w:ilvl w:val="0"/>
          <w:numId w:val="17"/>
        </w:numPr>
        <w:spacing w:before="100" w:beforeAutospacing="1" w:after="100" w:afterAutospacing="1" w:line="360" w:lineRule="auto"/>
        <w:rPr>
          <w:lang w:val="es-CO"/>
        </w:rPr>
      </w:pPr>
      <w:r w:rsidRPr="00482482">
        <w:rPr>
          <w:lang w:val="es-CO"/>
        </w:rPr>
        <w:t xml:space="preserve">Almacenamientos Estratégicos (AE): Se consideran indispensables para mitigar riesgos de desabastecimiento. El Plan identifica 10 ubicaciones clave: 7 Nodos Estratégicos: Centro, Noroccidente, Suroccidente, Sur, Norte, SAI y Nororiente. 3 </w:t>
      </w:r>
      <w:proofErr w:type="gramStart"/>
      <w:r w:rsidRPr="00482482">
        <w:rPr>
          <w:lang w:val="es-CO"/>
        </w:rPr>
        <w:t>Nodos</w:t>
      </w:r>
      <w:proofErr w:type="gramEnd"/>
      <w:r w:rsidRPr="00482482">
        <w:rPr>
          <w:lang w:val="es-CO"/>
        </w:rPr>
        <w:t xml:space="preserve"> Estratégicos Especiales: Nariño, Oriente y Amazonas, debido a su alta vulnerabilidad logística y difícil acceso.</w:t>
      </w:r>
    </w:p>
    <w:p w14:paraId="4238CBD3" w14:textId="77777777" w:rsidR="00C24103" w:rsidRPr="00482482" w:rsidRDefault="00C24103">
      <w:pPr>
        <w:pStyle w:val="Prrafodelista"/>
        <w:numPr>
          <w:ilvl w:val="0"/>
          <w:numId w:val="17"/>
        </w:numPr>
        <w:spacing w:before="100" w:beforeAutospacing="1" w:after="100" w:afterAutospacing="1" w:line="360" w:lineRule="auto"/>
        <w:rPr>
          <w:lang w:val="es-CO"/>
        </w:rPr>
      </w:pPr>
      <w:r w:rsidRPr="00482482">
        <w:rPr>
          <w:lang w:val="es-CO"/>
        </w:rPr>
        <w:t>Desafíos en el Transporte por Ductos: Actualmente, el único ducto operativo es el tramo Galán – Sebastopol - Puerto Salgar. Sin embargo, se prevé que el transporte de GLP por ductos podría cesar si se adecúan para combustibles líquidos, lo que afectaría el esquema de subsidios (estampilla) para San Andrés e islas.</w:t>
      </w:r>
    </w:p>
    <w:p w14:paraId="17F0267C" w14:textId="77777777" w:rsidR="00C24103" w:rsidRPr="00482482" w:rsidRDefault="00C24103">
      <w:pPr>
        <w:pStyle w:val="Prrafodelista"/>
        <w:numPr>
          <w:ilvl w:val="0"/>
          <w:numId w:val="17"/>
        </w:numPr>
        <w:spacing w:before="100" w:beforeAutospacing="1" w:after="100" w:afterAutospacing="1" w:line="360" w:lineRule="auto"/>
        <w:rPr>
          <w:lang w:val="es-CO"/>
        </w:rPr>
      </w:pPr>
      <w:r w:rsidRPr="00482482">
        <w:rPr>
          <w:lang w:val="es-CO"/>
        </w:rPr>
        <w:t xml:space="preserve">Calidad e Información del Sector: Se concluye que es necesario revisar la normativa de calidad (específicamente límites de olefinas para AutoGLP y </w:t>
      </w:r>
      <w:proofErr w:type="spellStart"/>
      <w:r w:rsidRPr="00482482">
        <w:rPr>
          <w:lang w:val="es-CO"/>
        </w:rPr>
        <w:t>NautiGLP</w:t>
      </w:r>
      <w:proofErr w:type="spellEnd"/>
      <w:r w:rsidRPr="00482482">
        <w:rPr>
          <w:lang w:val="es-CO"/>
        </w:rPr>
        <w:t>) y fortalecer los sistemas de información, sugiriendo la creación de un Gestor del Mercado de GLP para centralizar los datos.</w:t>
      </w:r>
    </w:p>
    <w:p w14:paraId="73012BCD" w14:textId="77777777" w:rsidR="00C24103" w:rsidRPr="00482482" w:rsidRDefault="00C24103">
      <w:pPr>
        <w:pStyle w:val="Prrafodelista"/>
        <w:numPr>
          <w:ilvl w:val="0"/>
          <w:numId w:val="17"/>
        </w:numPr>
        <w:spacing w:before="100" w:beforeAutospacing="1" w:after="100" w:afterAutospacing="1" w:line="360" w:lineRule="auto"/>
        <w:rPr>
          <w:lang w:val="es-CO"/>
        </w:rPr>
      </w:pPr>
      <w:r w:rsidRPr="00482482">
        <w:rPr>
          <w:lang w:val="es-CO"/>
        </w:rPr>
        <w:t>Impacto Social y Transición Energética: El uso de GLP para sustituir leña (PNSL) y para generación en Zonas No Interconectadas (ZNI) ofrece grandes beneficios ambientales, de salud y económicos, pero requiere de un marco regulatorio con incentivos claros para su masificación.</w:t>
      </w:r>
    </w:p>
    <w:p w14:paraId="0EFA3FA0" w14:textId="77777777" w:rsidR="00C24103" w:rsidRPr="00482482" w:rsidRDefault="00C24103">
      <w:pPr>
        <w:pStyle w:val="Prrafodelista"/>
        <w:numPr>
          <w:ilvl w:val="0"/>
          <w:numId w:val="17"/>
        </w:numPr>
        <w:spacing w:before="100" w:beforeAutospacing="1" w:after="100" w:afterAutospacing="1" w:line="360" w:lineRule="auto"/>
        <w:rPr>
          <w:lang w:val="es-CO"/>
        </w:rPr>
      </w:pPr>
      <w:r w:rsidRPr="00482482">
        <w:rPr>
          <w:lang w:val="es-CO"/>
        </w:rPr>
        <w:lastRenderedPageBreak/>
        <w:t>Logística de Internación: Los agentes que operen los Almacenamientos Estratégicos deben garantizar no solo la capacidad física, sino una logística de internación que permita la rotación y disponibilidad inmediata del producto en caso de contingencia.</w:t>
      </w:r>
    </w:p>
    <w:p w14:paraId="3167A32F" w14:textId="38DDAC2E" w:rsidR="00C24103" w:rsidRPr="00F01DC4" w:rsidRDefault="00C24103">
      <w:pPr>
        <w:pStyle w:val="Prrafodelista"/>
        <w:numPr>
          <w:ilvl w:val="0"/>
          <w:numId w:val="17"/>
        </w:numPr>
        <w:spacing w:before="100" w:beforeAutospacing="1" w:after="100" w:afterAutospacing="1" w:line="360" w:lineRule="auto"/>
        <w:rPr>
          <w:lang w:val="es-CO"/>
        </w:rPr>
      </w:pPr>
      <w:r w:rsidRPr="00F01DC4">
        <w:rPr>
          <w:lang w:val="es-CO"/>
        </w:rPr>
        <w:t xml:space="preserve">Planeación a Largo Plazo: Se sugiere extender la vigencia de la Declaración de Producción a </w:t>
      </w:r>
      <w:r w:rsidR="009860EA">
        <w:rPr>
          <w:lang w:val="es-CO"/>
        </w:rPr>
        <w:t>diez (</w:t>
      </w:r>
      <w:r w:rsidRPr="00F01DC4">
        <w:rPr>
          <w:lang w:val="es-CO"/>
        </w:rPr>
        <w:t>10</w:t>
      </w:r>
      <w:r w:rsidR="009860EA">
        <w:rPr>
          <w:lang w:val="es-CO"/>
        </w:rPr>
        <w:t>)</w:t>
      </w:r>
      <w:r w:rsidRPr="00F01DC4">
        <w:rPr>
          <w:lang w:val="es-CO"/>
        </w:rPr>
        <w:t xml:space="preserve"> años</w:t>
      </w:r>
      <w:r w:rsidR="00112BAE">
        <w:rPr>
          <w:lang w:val="es-CO"/>
        </w:rPr>
        <w:t>,</w:t>
      </w:r>
      <w:r w:rsidRPr="00F01DC4">
        <w:rPr>
          <w:lang w:val="es-CO"/>
        </w:rPr>
        <w:t xml:space="preserve"> actualmente es de </w:t>
      </w:r>
      <w:r w:rsidR="00112BAE">
        <w:rPr>
          <w:lang w:val="es-CO"/>
        </w:rPr>
        <w:t>cinco (</w:t>
      </w:r>
      <w:r w:rsidRPr="00F01DC4">
        <w:rPr>
          <w:lang w:val="es-CO"/>
        </w:rPr>
        <w:t>5</w:t>
      </w:r>
      <w:r w:rsidR="00112BAE">
        <w:rPr>
          <w:lang w:val="es-CO"/>
        </w:rPr>
        <w:t>)</w:t>
      </w:r>
      <w:r>
        <w:rPr>
          <w:lang w:val="es-CO"/>
        </w:rPr>
        <w:t xml:space="preserve"> años</w:t>
      </w:r>
      <w:r w:rsidR="00112BAE">
        <w:rPr>
          <w:lang w:val="es-CO"/>
        </w:rPr>
        <w:t>,</w:t>
      </w:r>
      <w:r w:rsidRPr="00F01DC4">
        <w:rPr>
          <w:lang w:val="es-CO"/>
        </w:rPr>
        <w:t xml:space="preserve"> para permitir una planeación energética más coherente con la realidad del sector</w:t>
      </w:r>
    </w:p>
    <w:p w14:paraId="5F740719" w14:textId="0F63E67F" w:rsidR="009166C0" w:rsidRPr="00870DB1" w:rsidRDefault="009166C0" w:rsidP="002F1961">
      <w:pPr>
        <w:pStyle w:val="Ttulo1"/>
        <w:keepLines/>
        <w:numPr>
          <w:ilvl w:val="0"/>
          <w:numId w:val="1"/>
        </w:numPr>
        <w:shd w:val="clear" w:color="auto" w:fill="FFFFFF" w:themeFill="background1"/>
        <w:suppressAutoHyphens w:val="0"/>
        <w:spacing w:before="100" w:beforeAutospacing="1" w:after="100" w:afterAutospacing="1" w:line="360" w:lineRule="auto"/>
        <w:rPr>
          <w:rFonts w:cs="Arial"/>
          <w:szCs w:val="24"/>
        </w:rPr>
      </w:pPr>
      <w:bookmarkStart w:id="163" w:name="_Toc235128357"/>
      <w:r w:rsidRPr="00870DB1">
        <w:rPr>
          <w:rFonts w:cs="Arial"/>
          <w:szCs w:val="24"/>
        </w:rPr>
        <w:t>D</w:t>
      </w:r>
      <w:r w:rsidR="0044549B" w:rsidRPr="00870DB1">
        <w:rPr>
          <w:rFonts w:cs="Arial"/>
          <w:szCs w:val="24"/>
        </w:rPr>
        <w:t>IAGNÓSTICO</w:t>
      </w:r>
      <w:r w:rsidR="00D74B4D" w:rsidRPr="00870DB1">
        <w:rPr>
          <w:rFonts w:cs="Arial"/>
          <w:szCs w:val="24"/>
        </w:rPr>
        <w:t xml:space="preserve"> DEL SECTOR DE GLP</w:t>
      </w:r>
      <w:bookmarkEnd w:id="163"/>
    </w:p>
    <w:p w14:paraId="6ACE1961" w14:textId="77777777" w:rsidR="009E35E6" w:rsidRPr="009E35E6" w:rsidRDefault="009E35E6" w:rsidP="002F1961">
      <w:pPr>
        <w:pStyle w:val="pdq2pgselectionanchorcontainer"/>
        <w:spacing w:line="360" w:lineRule="auto"/>
        <w:jc w:val="both"/>
        <w:rPr>
          <w:rFonts w:ascii="Arial" w:hAnsi="Arial" w:cs="Arial"/>
          <w:lang w:val="es-ES_tradnl" w:eastAsia="es-ES"/>
        </w:rPr>
      </w:pPr>
      <w:r w:rsidRPr="009E35E6">
        <w:rPr>
          <w:rFonts w:ascii="Arial" w:hAnsi="Arial" w:cs="Arial"/>
          <w:lang w:val="es-ES_tradnl" w:eastAsia="es-ES"/>
        </w:rPr>
        <w:t>El análisis desarrollado en el capítulo anterior permitió caracterizar el mercado del GLP en Colombia, identificar los principales agentes que participan en la cadena de prestación del servicio, describir la evolución de la oferta y la demanda, así como las condiciones generales de funcionamiento del mercado y los distintos usos del energético.</w:t>
      </w:r>
    </w:p>
    <w:p w14:paraId="7FB08E1A" w14:textId="77777777" w:rsidR="009E35E6" w:rsidRPr="009E35E6" w:rsidRDefault="009E35E6" w:rsidP="002F1961">
      <w:pPr>
        <w:pStyle w:val="NormalWeb"/>
        <w:spacing w:line="360" w:lineRule="auto"/>
        <w:jc w:val="both"/>
        <w:rPr>
          <w:rFonts w:ascii="Arial" w:hAnsi="Arial" w:cs="Arial"/>
          <w:lang w:val="es-ES_tradnl" w:eastAsia="es-ES"/>
        </w:rPr>
      </w:pPr>
      <w:r w:rsidRPr="009E35E6">
        <w:rPr>
          <w:rFonts w:ascii="Arial" w:hAnsi="Arial" w:cs="Arial"/>
          <w:lang w:val="es-ES_tradnl" w:eastAsia="es-ES"/>
        </w:rPr>
        <w:t>A partir de dicha caracterización, el presente capítulo tiene como propósito evaluar las condiciones que enfrentan los usuarios actuales y potenciales del servicio público domiciliario de GLP, con el fin de identificar aquellas situaciones que puedan afectar la prestación del servicio, la continuidad y confiabilidad del suministro, la eficiencia económica y las condiciones de competencia en el mercado.</w:t>
      </w:r>
    </w:p>
    <w:p w14:paraId="334882FE" w14:textId="77777777" w:rsidR="009E35E6" w:rsidRPr="009E35E6" w:rsidRDefault="009E35E6" w:rsidP="002F1961">
      <w:pPr>
        <w:pStyle w:val="NormalWeb"/>
        <w:spacing w:line="360" w:lineRule="auto"/>
        <w:jc w:val="both"/>
        <w:rPr>
          <w:rFonts w:ascii="Arial" w:hAnsi="Arial" w:cs="Arial"/>
          <w:lang w:val="es-ES_tradnl" w:eastAsia="es-ES"/>
        </w:rPr>
      </w:pPr>
      <w:r w:rsidRPr="009E35E6">
        <w:rPr>
          <w:rFonts w:ascii="Arial" w:hAnsi="Arial" w:cs="Arial"/>
          <w:lang w:val="es-ES_tradnl" w:eastAsia="es-ES"/>
        </w:rPr>
        <w:t>En consecuencia, el diagnóstico no busca reiterar la descripción del mercado realizada previamente, sino analizar cómo las condiciones de abastecimiento, infraestructura, logística, disponibilidad de información, prestación del servicio y funcionamiento del mercado inciden sobre dichas dimensiones, permitiendo identificar los principales síntomas observados y los elementos que explican su ocurrencia.</w:t>
      </w:r>
    </w:p>
    <w:p w14:paraId="7FD61460" w14:textId="77777777" w:rsidR="009E35E6" w:rsidRPr="009E35E6" w:rsidRDefault="009E35E6" w:rsidP="002F1961">
      <w:pPr>
        <w:pStyle w:val="NormalWeb"/>
        <w:spacing w:line="360" w:lineRule="auto"/>
        <w:jc w:val="both"/>
        <w:rPr>
          <w:rFonts w:ascii="Arial" w:hAnsi="Arial" w:cs="Arial"/>
          <w:lang w:val="es-ES_tradnl" w:eastAsia="es-ES"/>
        </w:rPr>
      </w:pPr>
      <w:r w:rsidRPr="009E35E6">
        <w:rPr>
          <w:rFonts w:ascii="Arial" w:hAnsi="Arial" w:cs="Arial"/>
          <w:lang w:val="es-ES_tradnl" w:eastAsia="es-ES"/>
        </w:rPr>
        <w:t xml:space="preserve">El análisis desarrollado en este capítulo constituye la base para la identificación del problema regulatorio objeto del presente AIN, en la medida en que proporciona la evidencia necesaria para establecer los síntomas y las causas estructurales que, de manera individual o conjunta, generan riesgos de afectación a la prestación del servicio, </w:t>
      </w:r>
      <w:r w:rsidRPr="009E35E6">
        <w:rPr>
          <w:rFonts w:ascii="Arial" w:hAnsi="Arial" w:cs="Arial"/>
          <w:lang w:val="es-ES_tradnl" w:eastAsia="es-ES"/>
        </w:rPr>
        <w:lastRenderedPageBreak/>
        <w:t>la continuidad y confiabilidad del suministro, la eficiencia económica y las condiciones de competencia, aspectos que serán desarrollados en el capítulo siguiente.</w:t>
      </w:r>
    </w:p>
    <w:p w14:paraId="1BA97A6D" w14:textId="571342E7" w:rsidR="00F45963" w:rsidRDefault="003658DC" w:rsidP="002F1961">
      <w:pPr>
        <w:pStyle w:val="Ttulo2"/>
        <w:spacing w:before="100" w:beforeAutospacing="1" w:after="100" w:afterAutospacing="1"/>
      </w:pPr>
      <w:bookmarkStart w:id="164" w:name="_Toc235128358"/>
      <w:r w:rsidRPr="003658DC">
        <w:t>Diagnóstico del servicio público domiciliario</w:t>
      </w:r>
      <w:bookmarkEnd w:id="164"/>
    </w:p>
    <w:p w14:paraId="379EE1C9" w14:textId="4E03C9AF" w:rsidR="001A79C4" w:rsidRPr="001A79C4" w:rsidRDefault="001A79C4" w:rsidP="002F1961">
      <w:pPr>
        <w:spacing w:before="100" w:beforeAutospacing="1" w:after="100" w:afterAutospacing="1" w:line="360" w:lineRule="auto"/>
        <w:rPr>
          <w:rFonts w:cs="Arial"/>
          <w:szCs w:val="24"/>
        </w:rPr>
      </w:pPr>
      <w:r w:rsidRPr="001A79C4">
        <w:rPr>
          <w:rFonts w:cs="Arial"/>
          <w:szCs w:val="24"/>
        </w:rPr>
        <w:t>El presente apartado analiza las principales condiciones bajo las cuales se presta el servicio público domiciliario de GLP en Colombia, con énfasis en aquellos aspectos que inciden sobre la experiencia de los usuarios y en el cumplimiento de los principios de eficiencia, continuidad, calidad y seguridad que orientan la prestación de los servicios públicos domiciliarios. Para ello, se examinan diferentes dimensiones del servicio, tales como la cobertura, la continuidad y confiabilidad del suministro, la calidad del producto, la infraestructura disponible, la atención a los usuarios y las condiciones de competencia del mercado, con el propósito de identificar situaciones que puedan afectar la adecuada prestación del servicio.</w:t>
      </w:r>
    </w:p>
    <w:p w14:paraId="339DAE8B" w14:textId="13630FB1" w:rsidR="003658DC" w:rsidRPr="00424165" w:rsidRDefault="009E2818" w:rsidP="002F1961">
      <w:pPr>
        <w:pStyle w:val="Ttulo3"/>
        <w:spacing w:before="100" w:beforeAutospacing="1" w:after="100" w:afterAutospacing="1"/>
      </w:pPr>
      <w:bookmarkStart w:id="165" w:name="_Toc235128359"/>
      <w:r w:rsidRPr="009E2818">
        <w:t>Cobertura</w:t>
      </w:r>
      <w:bookmarkEnd w:id="165"/>
    </w:p>
    <w:p w14:paraId="13295264" w14:textId="77777777" w:rsidR="00672262" w:rsidRPr="00672262" w:rsidRDefault="00672262" w:rsidP="002F1961">
      <w:pPr>
        <w:pStyle w:val="NormalWeb"/>
        <w:spacing w:line="360" w:lineRule="auto"/>
        <w:jc w:val="both"/>
        <w:rPr>
          <w:rFonts w:ascii="Arial" w:hAnsi="Arial" w:cs="Arial"/>
          <w:lang w:val="es-ES_tradnl" w:eastAsia="es-ES"/>
        </w:rPr>
      </w:pPr>
      <w:r w:rsidRPr="00672262">
        <w:rPr>
          <w:rFonts w:ascii="Arial" w:hAnsi="Arial" w:cs="Arial"/>
          <w:lang w:val="es-ES_tradnl" w:eastAsia="es-ES"/>
        </w:rPr>
        <w:t>La cobertura constituye uno de los principales indicadores para evaluar el acceso de la población al servicio público domiciliario de GLP. No obstante, la existencia de usuarios atendidos o la presencia del servicio en un determinado territorio no implica, por sí sola, que todos los usuarios accedan al energético bajo condiciones homogéneas de prestación. Por esta razón, la cobertura debe analizarse no solo desde la perspectiva del número de usuarios atendidos, sino también considerando las condiciones geográficas, económicas, logísticas, operativas y regulatorias que determinan la posibilidad real de acceder al servicio.</w:t>
      </w:r>
    </w:p>
    <w:p w14:paraId="4E20C3A0" w14:textId="77777777" w:rsidR="00672262" w:rsidRPr="00672262" w:rsidRDefault="00672262" w:rsidP="002F1961">
      <w:pPr>
        <w:pStyle w:val="NormalWeb"/>
        <w:spacing w:line="360" w:lineRule="auto"/>
        <w:jc w:val="both"/>
        <w:rPr>
          <w:rFonts w:ascii="Arial" w:hAnsi="Arial" w:cs="Arial"/>
          <w:lang w:val="es-ES_tradnl" w:eastAsia="es-ES"/>
        </w:rPr>
      </w:pPr>
      <w:r w:rsidRPr="00672262">
        <w:rPr>
          <w:rFonts w:ascii="Arial" w:hAnsi="Arial" w:cs="Arial"/>
          <w:lang w:val="es-ES_tradnl" w:eastAsia="es-ES"/>
        </w:rPr>
        <w:t>Como se expuso en el capítulo anterior, el GLP presenta una amplia cobertura territorial y atiende usuarios a través de diferentes modalidades de prestación, incluyendo la distribución mediante cilindros, tanques estacionarios y redes de tubería. Esta diversidad constituye una de las principales fortalezas del energético, ya que le permite adaptarse a distintas condiciones de demanda y atender mercados donde otras alternativas energéticas enfrentan restricciones técnicas o económicas para su expansión.</w:t>
      </w:r>
    </w:p>
    <w:p w14:paraId="72AEA1BF" w14:textId="77777777" w:rsidR="00672262" w:rsidRPr="00672262" w:rsidRDefault="00672262" w:rsidP="002F1961">
      <w:pPr>
        <w:pStyle w:val="NormalWeb"/>
        <w:spacing w:line="360" w:lineRule="auto"/>
        <w:jc w:val="both"/>
        <w:rPr>
          <w:rFonts w:ascii="Arial" w:hAnsi="Arial" w:cs="Arial"/>
          <w:lang w:val="es-ES_tradnl" w:eastAsia="es-ES"/>
        </w:rPr>
      </w:pPr>
      <w:r w:rsidRPr="00672262">
        <w:rPr>
          <w:rFonts w:ascii="Arial" w:hAnsi="Arial" w:cs="Arial"/>
          <w:lang w:val="es-ES_tradnl" w:eastAsia="es-ES"/>
        </w:rPr>
        <w:lastRenderedPageBreak/>
        <w:t>Particularmente, la distribución mediante cilindros ha permitido extender el acceso al servicio en territorios insulares, municipios apartados, centros poblados y zonas rurales dispersas, donde la construcción de infraestructura de redes no resulta viable o económicamente eficiente. De igual forma, los tanques estacionarios y las redes de GLP han facilitado la atención de usuarios residenciales, comerciales e industriales con características de consumo específicas, ampliando las alternativas disponibles para la prestación del servicio.</w:t>
      </w:r>
    </w:p>
    <w:p w14:paraId="3B6E7A47" w14:textId="77777777" w:rsidR="00672262" w:rsidRPr="00672262" w:rsidRDefault="00672262" w:rsidP="002F1961">
      <w:pPr>
        <w:pStyle w:val="NormalWeb"/>
        <w:spacing w:line="360" w:lineRule="auto"/>
        <w:jc w:val="both"/>
        <w:rPr>
          <w:rFonts w:ascii="Arial" w:hAnsi="Arial" w:cs="Arial"/>
          <w:lang w:val="es-ES_tradnl" w:eastAsia="es-ES"/>
        </w:rPr>
      </w:pPr>
      <w:r w:rsidRPr="00672262">
        <w:rPr>
          <w:rFonts w:ascii="Arial" w:hAnsi="Arial" w:cs="Arial"/>
          <w:lang w:val="es-ES_tradnl" w:eastAsia="es-ES"/>
        </w:rPr>
        <w:t>Sin embargo, la cobertura del servicio continúa condicionada por factores asociados a la dispersión geográfica de la población, las condiciones de acceso a determinados territorios, la disponibilidad de infraestructura logística, las capacidades de almacenamiento y los costos de transporte requeridos para movilizar el producto desde las fuentes de abastecimiento hasta los usuarios finales. Estas condiciones generan diferencias entre regiones respecto de la facilidad de acceso al energético y de las condiciones bajo las cuales se presta el servicio.</w:t>
      </w:r>
    </w:p>
    <w:p w14:paraId="2FF4210D" w14:textId="77777777" w:rsidR="00672262" w:rsidRPr="00672262" w:rsidRDefault="00672262" w:rsidP="002F1961">
      <w:pPr>
        <w:pStyle w:val="NormalWeb"/>
        <w:spacing w:line="360" w:lineRule="auto"/>
        <w:jc w:val="both"/>
        <w:rPr>
          <w:rFonts w:ascii="Arial" w:hAnsi="Arial" w:cs="Arial"/>
          <w:lang w:val="es-ES_tradnl" w:eastAsia="es-ES"/>
        </w:rPr>
      </w:pPr>
      <w:r w:rsidRPr="00672262">
        <w:rPr>
          <w:rFonts w:ascii="Arial" w:hAnsi="Arial" w:cs="Arial"/>
          <w:lang w:val="es-ES_tradnl" w:eastAsia="es-ES"/>
        </w:rPr>
        <w:t>En este sentido, aunque la cobertura nacional del GLP evidencia la capacidad de la cadena para atender una proporción importante de la población colombiana, persisten diferencias regionales en las condiciones de prestación, particularmente en municipios apartados y zonas rurales dispersas, donde las restricciones de infraestructura, logística y abastecimiento pueden incidir sobre la continuidad y confiabilidad del suministro, así como sobre los costos de prestación del servicio.</w:t>
      </w:r>
    </w:p>
    <w:p w14:paraId="1FBC3A31" w14:textId="77777777" w:rsidR="00672262" w:rsidRPr="00672262" w:rsidRDefault="00672262" w:rsidP="002F1961">
      <w:pPr>
        <w:pStyle w:val="NormalWeb"/>
        <w:spacing w:line="360" w:lineRule="auto"/>
        <w:jc w:val="both"/>
        <w:rPr>
          <w:rFonts w:ascii="Arial" w:hAnsi="Arial" w:cs="Arial"/>
          <w:lang w:val="es-ES_tradnl" w:eastAsia="es-ES"/>
        </w:rPr>
      </w:pPr>
      <w:r w:rsidRPr="00672262">
        <w:rPr>
          <w:rFonts w:ascii="Arial" w:hAnsi="Arial" w:cs="Arial"/>
          <w:lang w:val="es-ES_tradnl" w:eastAsia="es-ES"/>
        </w:rPr>
        <w:t xml:space="preserve">Adicionalmente, la cobertura debe analizarse considerando los programas de subsidios implementados por el Gobierno Nacional. Estos mecanismos han contribuido a facilitar el acceso al servicio para poblaciones vulnerables y usuarios localizados en determinadas regiones del país, reduciendo barreras económicas que podrían limitar el uso del energético. No obstante, los esquemas de subsidios aplicables difieren según la modalidad de prestación del servicio, generando condiciones heterogéneas de acceso para los usuarios atendidos mediante cilindros, redes de tubería o tanques estacionarios. En consecuencia, la evolución de la cobertura observada en algunos territorios no puede </w:t>
      </w:r>
      <w:r w:rsidRPr="00672262">
        <w:rPr>
          <w:rFonts w:ascii="Arial" w:hAnsi="Arial" w:cs="Arial"/>
          <w:lang w:val="es-ES_tradnl" w:eastAsia="es-ES"/>
        </w:rPr>
        <w:lastRenderedPageBreak/>
        <w:t>analizarse de manera independiente de los instrumentos de política pública diseñados para promover el acceso al GLP.</w:t>
      </w:r>
    </w:p>
    <w:p w14:paraId="13BF5168" w14:textId="77777777" w:rsidR="00672262" w:rsidRPr="00672262" w:rsidRDefault="00672262" w:rsidP="002F1961">
      <w:pPr>
        <w:pStyle w:val="NormalWeb"/>
        <w:spacing w:line="360" w:lineRule="auto"/>
        <w:jc w:val="both"/>
        <w:rPr>
          <w:rFonts w:ascii="Arial" w:hAnsi="Arial" w:cs="Arial"/>
          <w:lang w:val="es-ES_tradnl" w:eastAsia="es-ES"/>
        </w:rPr>
      </w:pPr>
      <w:r w:rsidRPr="00672262">
        <w:rPr>
          <w:rFonts w:ascii="Arial" w:hAnsi="Arial" w:cs="Arial"/>
          <w:lang w:val="es-ES_tradnl" w:eastAsia="es-ES"/>
        </w:rPr>
        <w:t>Desde la perspectiva de la prestación del servicio, el acceso efectivo al GLP no depende únicamente de la existencia de un prestador o de la disponibilidad del producto en una determinada región. También requiere que la cadena de prestación cuente con condiciones adecuadas de abastecimiento, infraestructura, logística y distribución que permitan suministrar el energético de manera oportuna, continua y en condiciones económicamente eficientes. Asimismo, la existencia de condiciones que favorezcan la participación de los agentes en los diferentes mercados contribuye a ampliar las alternativas disponibles para los usuarios y a fortalecer las condiciones de competencia en la prestación del servicio.</w:t>
      </w:r>
    </w:p>
    <w:p w14:paraId="75537D28" w14:textId="5702EA77" w:rsidR="005E50DE" w:rsidRPr="00672262" w:rsidRDefault="00672262" w:rsidP="002F1961">
      <w:pPr>
        <w:pStyle w:val="NormalWeb"/>
        <w:spacing w:line="360" w:lineRule="auto"/>
        <w:jc w:val="both"/>
        <w:rPr>
          <w:rFonts w:ascii="Arial" w:hAnsi="Arial" w:cs="Arial"/>
          <w:lang w:val="es-ES_tradnl" w:eastAsia="es-ES"/>
        </w:rPr>
      </w:pPr>
      <w:r w:rsidRPr="00672262">
        <w:rPr>
          <w:rFonts w:ascii="Arial" w:hAnsi="Arial" w:cs="Arial"/>
          <w:lang w:val="es-ES_tradnl" w:eastAsia="es-ES"/>
        </w:rPr>
        <w:t>En consecuencia, si bien el GLP ha logrado consolidarse como un energético con amplia presencia en el territorio nacional, el análisis realizado evidencia cuatro aspectos relevantes para el presente AIN. En primer lugar, persisten diferencias en las condiciones de acceso y prestación del servicio entre regiones, particularmente en municipios apartados y zonas rurales dispersas. En segundo lugar, la cobertura efectiva depende no solo de la existencia de demanda, sino también de la disponibilidad de infraestructura, las condiciones de abastecimiento y la logística de distribución que permitan atender oportunamente a los usuarios. En tercer lugar, los distintos esquemas de subsidios generan condiciones heterogéneas de acceso entre las modalidades de prestación del servicio. Finalmente, las diferencias en infraestructura y logística incrementan los costos de prestación y pueden limitar la expansión del servicio en determinados mercados. Estas circunstancias justifican profundizar en el análisis de los factores estructurales que pueden afectar la prestación del servicio, la continuidad y confiabilidad del suministro, la eficiencia económica y las condiciones de competencia, aspectos que constituyen el objeto del presente AIN.</w:t>
      </w:r>
    </w:p>
    <w:p w14:paraId="21C5819F" w14:textId="0B1BD139" w:rsidR="00F45963" w:rsidRPr="00424165" w:rsidRDefault="009E2818" w:rsidP="002F1961">
      <w:pPr>
        <w:pStyle w:val="Ttulo3"/>
        <w:spacing w:before="100" w:beforeAutospacing="1" w:after="100" w:afterAutospacing="1"/>
      </w:pPr>
      <w:bookmarkStart w:id="166" w:name="_Toc235128360"/>
      <w:r w:rsidRPr="009E2818">
        <w:lastRenderedPageBreak/>
        <w:t>Calidad</w:t>
      </w:r>
      <w:r w:rsidR="00B15A64">
        <w:t xml:space="preserve"> ser</w:t>
      </w:r>
      <w:r w:rsidR="00E06A8E">
        <w:t>vicio</w:t>
      </w:r>
      <w:bookmarkEnd w:id="166"/>
    </w:p>
    <w:p w14:paraId="3A686B01" w14:textId="77777777" w:rsidR="003D662B" w:rsidRPr="003D662B" w:rsidRDefault="003D662B" w:rsidP="002F1961">
      <w:pPr>
        <w:spacing w:before="100" w:beforeAutospacing="1" w:after="100" w:afterAutospacing="1" w:line="360" w:lineRule="auto"/>
        <w:rPr>
          <w:rFonts w:cs="Arial"/>
          <w:szCs w:val="24"/>
          <w:lang w:val="es-ES"/>
        </w:rPr>
      </w:pPr>
      <w:r w:rsidRPr="003D662B">
        <w:rPr>
          <w:rFonts w:cs="Arial"/>
          <w:szCs w:val="24"/>
          <w:lang w:val="es-ES"/>
        </w:rPr>
        <w:t>La calidad constituye uno de los elementos fundamentales para evaluar la prestación de cualquier servicio público domiciliario, en la medida en que refleja la capacidad de los agentes para atender las necesidades de los usuarios de manera adecuada, segura y oportuna. En el caso del servicio público domiciliario de GLP, la calidad no se limita exclusivamente a las características físicas o químicas del producto suministrado, sino que comprende también aspectos relacionados con la atención al usuario, la oportunidad en la prestación del servicio, la seguridad de las instalaciones y la capacidad de respuesta de los agentes frente a las necesidades de los consumidores.</w:t>
      </w:r>
    </w:p>
    <w:p w14:paraId="227E39F2" w14:textId="77777777" w:rsidR="003D662B" w:rsidRPr="003D662B" w:rsidRDefault="003D662B" w:rsidP="002F1961">
      <w:pPr>
        <w:spacing w:before="100" w:beforeAutospacing="1" w:after="100" w:afterAutospacing="1" w:line="360" w:lineRule="auto"/>
        <w:rPr>
          <w:rFonts w:cs="Arial"/>
          <w:szCs w:val="24"/>
          <w:lang w:val="es-ES"/>
        </w:rPr>
      </w:pPr>
      <w:r w:rsidRPr="003D662B">
        <w:rPr>
          <w:rFonts w:cs="Arial"/>
          <w:szCs w:val="24"/>
          <w:lang w:val="es-ES"/>
        </w:rPr>
        <w:t>Debido a las particularidades de las diferentes modalidades de prestación del servicio de GLP, la percepción de calidad por parte de los usuarios puede estar influenciada por factores distintos a los observados en otros servicios públicos domiciliarios. En los sistemas de distribución por redes, la calidad suele asociarse principalmente con la continuidad del suministro y el estado de la infraestructura. En la distribución mediante cilindros, en cambio, adquieren especial relevancia aspectos como la disponibilidad del producto, la oportunidad en las entregas, el estado de los recipientes, la atención comercial y la capacidad de respuesta frente a solicitudes, quejas o reclamos. Por su parte, en la prestación del servicio mediante tanques estacionarios, la percepción de calidad se relaciona en mayor medida con la oportunidad en el suministro, la confiabilidad de las recargas, el mantenimiento de las instalaciones y la atención al usuario.</w:t>
      </w:r>
    </w:p>
    <w:p w14:paraId="11EF4E41" w14:textId="77777777" w:rsidR="003D662B" w:rsidRPr="003D662B" w:rsidRDefault="003D662B" w:rsidP="002F1961">
      <w:pPr>
        <w:spacing w:before="100" w:beforeAutospacing="1" w:after="100" w:afterAutospacing="1" w:line="360" w:lineRule="auto"/>
        <w:rPr>
          <w:rFonts w:cs="Arial"/>
          <w:szCs w:val="24"/>
          <w:lang w:val="es-ES"/>
        </w:rPr>
      </w:pPr>
      <w:r w:rsidRPr="003D662B">
        <w:rPr>
          <w:rFonts w:cs="Arial"/>
          <w:szCs w:val="24"/>
          <w:lang w:val="es-ES"/>
        </w:rPr>
        <w:t>En este contexto, la calidad del servicio debe analizarse considerando la capacidad de los prestadores para atender adecuadamente las necesidades de los usuarios, garantizar condiciones seguras de prestación y ofrecer mecanismos efectivos de atención y solución de requerimientos. La existencia de canales de atención adecuados, tiempos razonables de respuesta y procedimientos eficaces para la gestión de peticiones, quejas y reclamos constituyen elementos que inciden directamente sobre la calidad del servicio.</w:t>
      </w:r>
    </w:p>
    <w:p w14:paraId="3C88773B" w14:textId="77777777" w:rsidR="003D662B" w:rsidRPr="003D662B" w:rsidRDefault="003D662B" w:rsidP="002F1961">
      <w:pPr>
        <w:spacing w:before="100" w:beforeAutospacing="1" w:after="100" w:afterAutospacing="1" w:line="360" w:lineRule="auto"/>
        <w:rPr>
          <w:rFonts w:cs="Arial"/>
          <w:szCs w:val="24"/>
          <w:lang w:val="es-ES"/>
        </w:rPr>
      </w:pPr>
      <w:r w:rsidRPr="003D662B">
        <w:rPr>
          <w:rFonts w:cs="Arial"/>
          <w:szCs w:val="24"/>
          <w:lang w:val="es-ES"/>
        </w:rPr>
        <w:t xml:space="preserve">De igual manera, la seguridad desempeña un papel central dentro del concepto de calidad. La prestación del servicio de GLP requiere el cumplimiento de condiciones </w:t>
      </w:r>
      <w:r w:rsidRPr="003D662B">
        <w:rPr>
          <w:rFonts w:cs="Arial"/>
          <w:szCs w:val="24"/>
          <w:lang w:val="es-ES"/>
        </w:rPr>
        <w:lastRenderedPageBreak/>
        <w:t>técnicas y operativas orientadas a proteger la integridad de los usuarios y minimizar los riesgos asociados al almacenamiento, transporte y utilización del producto. En consecuencia, el adecuado mantenimiento de cilindros, tanques e instalaciones, así como el cumplimiento de los requisitos técnicos aplicables a cada actividad de la cadena, constituyen factores determinantes para garantizar una prestación segura y confiable.</w:t>
      </w:r>
    </w:p>
    <w:p w14:paraId="3B86BC5C" w14:textId="77777777" w:rsidR="003D662B" w:rsidRPr="003D662B" w:rsidRDefault="003D662B" w:rsidP="002F1961">
      <w:pPr>
        <w:spacing w:before="100" w:beforeAutospacing="1" w:after="100" w:afterAutospacing="1" w:line="360" w:lineRule="auto"/>
        <w:rPr>
          <w:rFonts w:cs="Arial"/>
          <w:szCs w:val="24"/>
          <w:lang w:val="es-ES"/>
        </w:rPr>
      </w:pPr>
      <w:r w:rsidRPr="003D662B">
        <w:rPr>
          <w:rFonts w:cs="Arial"/>
          <w:szCs w:val="24"/>
          <w:lang w:val="es-ES"/>
        </w:rPr>
        <w:t>Asimismo, la calidad del servicio se encuentra estrechamente relacionada con la disponibilidad de información clara y suficiente para los usuarios. La posibilidad de conocer las condiciones de prestación, los precios aplicables, los mecanismos de atención y los procedimientos para presentar reclamaciones contribuye a reducir asimetrías de información y fortalece la capacidad de los usuarios para ejercer sus derechos dentro del servicio público domiciliario.</w:t>
      </w:r>
    </w:p>
    <w:p w14:paraId="60104015" w14:textId="77777777" w:rsidR="003D662B" w:rsidRPr="003D662B" w:rsidRDefault="003D662B" w:rsidP="002F1961">
      <w:pPr>
        <w:spacing w:before="100" w:beforeAutospacing="1" w:after="100" w:afterAutospacing="1" w:line="360" w:lineRule="auto"/>
        <w:rPr>
          <w:rFonts w:cs="Arial"/>
          <w:szCs w:val="24"/>
          <w:lang w:val="es-ES"/>
        </w:rPr>
      </w:pPr>
      <w:r w:rsidRPr="003D662B">
        <w:rPr>
          <w:rFonts w:cs="Arial"/>
          <w:szCs w:val="24"/>
          <w:lang w:val="es-ES"/>
        </w:rPr>
        <w:t>Desde la perspectiva del presente análisis, la evaluación de la calidad busca identificar si las condiciones actuales de prestación permiten satisfacer adecuadamente las necesidades de los usuarios y si existen elementos que puedan afectar la seguridad, la oportunidad, la atención y la disponibilidad de información durante la prestación del servicio. El diagnóstico realizado evidencia que la calidad del servicio presenta un nivel importante de heterogeneidad entre las distintas modalidades de prestación, debido a que los aspectos que determinan la percepción de calidad difieren entre la distribución mediante cilindros, tanques estacionarios y redes de tubería. Asimismo, se observa que actualmente no existe un conjunto homogéneo de indicadores regulatorios que permita evaluar integralmente la calidad del servicio y comparar el desempeño de las diferentes modalidades desde la perspectiva del usuario.</w:t>
      </w:r>
    </w:p>
    <w:p w14:paraId="08A96CB6" w14:textId="7CC1E524" w:rsidR="009E2818" w:rsidRPr="004D127E" w:rsidRDefault="003D662B" w:rsidP="002F1961">
      <w:pPr>
        <w:spacing w:before="100" w:beforeAutospacing="1" w:after="100" w:afterAutospacing="1" w:line="360" w:lineRule="auto"/>
        <w:rPr>
          <w:rFonts w:cs="Arial"/>
          <w:lang w:val="es-ES"/>
        </w:rPr>
      </w:pPr>
      <w:r w:rsidRPr="003D662B">
        <w:rPr>
          <w:rFonts w:cs="Arial"/>
          <w:szCs w:val="24"/>
          <w:lang w:val="es-ES"/>
        </w:rPr>
        <w:t>En consecuencia, el análisis de la calidad debe orientarse a identificar las condiciones de prestación que puedan afectar la seguridad, la oportunidad del suministro, la atención al usuario y la disponibilidad de información, con el fin de establecer si existen factores estructurales que incidan sobre la prestación del servicio y que ameriten una evaluación más profunda dentro del diagnóstico integral desarrollado en el presente AIN.</w:t>
      </w:r>
    </w:p>
    <w:p w14:paraId="2A39C9DC" w14:textId="6F7056CC" w:rsidR="00E06A8E" w:rsidRPr="00C5776A" w:rsidRDefault="00E06A8E" w:rsidP="002F1961">
      <w:pPr>
        <w:pStyle w:val="Ttulo3"/>
        <w:spacing w:before="100" w:beforeAutospacing="1" w:after="100" w:afterAutospacing="1"/>
      </w:pPr>
      <w:bookmarkStart w:id="167" w:name="_Toc235128361"/>
      <w:r w:rsidRPr="00C5776A">
        <w:lastRenderedPageBreak/>
        <w:t>Calidad del producto</w:t>
      </w:r>
      <w:bookmarkEnd w:id="167"/>
      <w:r w:rsidR="00D45BA0" w:rsidRPr="00C5776A">
        <w:t xml:space="preserve"> </w:t>
      </w:r>
    </w:p>
    <w:p w14:paraId="15E868A6" w14:textId="77777777" w:rsidR="00503E26" w:rsidRPr="00503E26" w:rsidRDefault="00503E26" w:rsidP="002F1961">
      <w:pPr>
        <w:spacing w:before="100" w:beforeAutospacing="1" w:after="100" w:afterAutospacing="1" w:line="360" w:lineRule="auto"/>
        <w:rPr>
          <w:rFonts w:cs="Arial"/>
          <w:szCs w:val="24"/>
        </w:rPr>
      </w:pPr>
      <w:r w:rsidRPr="00503E26">
        <w:rPr>
          <w:rFonts w:cs="Arial"/>
          <w:szCs w:val="24"/>
        </w:rPr>
        <w:t>La calidad del servicio público domiciliario de GLP se encuentra asociada a las características técnicas y energéticas del producto suministrado a los usuarios. En Colombia, el GLP comercializado debe cumplir las especificaciones técnicas establecidas en la regulación y en los reglamentos técnicos aplicables, las cuales buscan garantizar condiciones adecuadas de seguridad, desempeño y aptitud para su utilización en los diferentes usos autorizados.</w:t>
      </w:r>
    </w:p>
    <w:p w14:paraId="6F5191E2" w14:textId="77777777" w:rsidR="00503E26" w:rsidRPr="00503E26" w:rsidRDefault="00503E26" w:rsidP="002F1961">
      <w:pPr>
        <w:spacing w:before="100" w:beforeAutospacing="1" w:after="100" w:afterAutospacing="1" w:line="360" w:lineRule="auto"/>
        <w:rPr>
          <w:rFonts w:cs="Arial"/>
        </w:rPr>
      </w:pPr>
      <w:r w:rsidRPr="247C94E4">
        <w:rPr>
          <w:rFonts w:cs="Arial"/>
        </w:rPr>
        <w:t>El GLP comercializado en el país puede presentar variaciones en su composición, derivadas de las condiciones de producción nacional, de las fuentes de abastecimiento y de las importaciones. Estas variaciones se encuentran previstas dentro de las especificaciones técnicas aplicables y no implican, por sí mismas, diferencias en el cumplimiento de los estándares de calidad exigidos para su comercialización. No obstante, la composición del GLP puede influir en su comportamiento durante la utilización, de manera que, dependiendo de las condiciones de uso, los usuarios pueden percibir diferencias en el desempeño del producto sin que ello implique el incumplimiento de las especificaciones técnicas vigentes.</w:t>
      </w:r>
    </w:p>
    <w:p w14:paraId="39B5D480" w14:textId="77777777" w:rsidR="00503E26" w:rsidRPr="00503E26" w:rsidRDefault="00503E26" w:rsidP="002F1961">
      <w:pPr>
        <w:spacing w:before="100" w:beforeAutospacing="1" w:after="100" w:afterAutospacing="1" w:line="360" w:lineRule="auto"/>
        <w:rPr>
          <w:rFonts w:cs="Arial"/>
        </w:rPr>
      </w:pPr>
      <w:r w:rsidRPr="247C94E4">
        <w:rPr>
          <w:rFonts w:cs="Arial"/>
        </w:rPr>
        <w:t>Desde la perspectiva del usuario final, dichas percepciones pueden asociarse a aspectos como la duración del combustible, la intensidad de la llama, la velocidad de cocción o el comportamiento del producto durante su utilización. En estos casos, aun cuando el GLP suministrado cumpla plenamente los requisitos técnicos establecidos en la regulación, los usuarios pueden percibir diferencias en su rendimiento, particularmente cuando cambian las fuentes de abastecimiento o las mezclas comercializadas en una determinada región. Estas situaciones adquieren especial relevancia debido a que el GLP es una mezcla cuya composición puede variar dentro de los parámetros permitidos por la regulación, sin que los usuarios conozcan necesariamente las características del producto que reciben ni la forma en que dichas variaciones pueden influir sobre su desempeño durante el uso.</w:t>
      </w:r>
    </w:p>
    <w:p w14:paraId="70315767" w14:textId="77777777" w:rsidR="00503E26" w:rsidRPr="00503E26" w:rsidRDefault="00503E26" w:rsidP="002F1961">
      <w:pPr>
        <w:spacing w:before="100" w:beforeAutospacing="1" w:after="100" w:afterAutospacing="1" w:line="360" w:lineRule="auto"/>
        <w:rPr>
          <w:rFonts w:cs="Arial"/>
        </w:rPr>
      </w:pPr>
      <w:r w:rsidRPr="247C94E4">
        <w:rPr>
          <w:rFonts w:cs="Arial"/>
        </w:rPr>
        <w:t xml:space="preserve">Los estudios desarrollados para el presente AIN evidencian que una parte de los usuarios asocia estas diferencias de desempeño con una disminución en la calidad del producto, </w:t>
      </w:r>
      <w:r w:rsidRPr="247C94E4">
        <w:rPr>
          <w:rFonts w:cs="Arial"/>
        </w:rPr>
        <w:lastRenderedPageBreak/>
        <w:t xml:space="preserve">particularmente cuando perciben variaciones en el rendimiento del combustible sin contar con información suficiente sobre su origen, composición o características energéticas. En este contexto, la disponibilidad de información clara y comprensible sobre las características generales del GLP, las razones que pueden explicar diferencias en su comportamiento, los mecanismos de control aplicables al producto y las condiciones bajo las cuales dichas variaciones pueden presentarse </w:t>
      </w:r>
      <w:proofErr w:type="gramStart"/>
      <w:r w:rsidRPr="247C94E4">
        <w:rPr>
          <w:rFonts w:cs="Arial"/>
        </w:rPr>
        <w:t>adquiere</w:t>
      </w:r>
      <w:proofErr w:type="gramEnd"/>
      <w:r w:rsidRPr="247C94E4">
        <w:rPr>
          <w:rFonts w:cs="Arial"/>
        </w:rPr>
        <w:t xml:space="preserve"> especial relevancia para fortalecer la transparencia en la prestación del servicio y reducir las asimetrías de información entre agentes y usuarios.</w:t>
      </w:r>
    </w:p>
    <w:p w14:paraId="1A782119" w14:textId="77777777" w:rsidR="00503E26" w:rsidRPr="00503E26" w:rsidRDefault="00503E26" w:rsidP="002F1961">
      <w:pPr>
        <w:spacing w:before="100" w:beforeAutospacing="1" w:after="100" w:afterAutospacing="1" w:line="360" w:lineRule="auto"/>
        <w:rPr>
          <w:rFonts w:cs="Arial"/>
          <w:szCs w:val="24"/>
        </w:rPr>
      </w:pPr>
      <w:r w:rsidRPr="00503E26">
        <w:rPr>
          <w:rFonts w:cs="Arial"/>
          <w:szCs w:val="24"/>
        </w:rPr>
        <w:t>El diagnóstico realizado evidencia que las diferencias percibidas por los usuarios respecto del desempeño del GLP no necesariamente obedecen a variaciones en la calidad técnica del producto, sino que pueden estar asociadas tanto a las variaciones permitidas en su composición como a la limitada información disponible para comprender sus efectos durante la utilización. En consecuencia, la percepción de calidad del producto depende no solo del cumplimiento de las especificaciones técnicas vigentes, sino también de que los usuarios dispongan de información suficiente para comprender las características del GLP que reciben y las razones que pueden explicar las diferencias observadas en su rendimiento.</w:t>
      </w:r>
    </w:p>
    <w:p w14:paraId="5D96901C" w14:textId="1E3F1134" w:rsidR="00A224EF" w:rsidRPr="0042757E" w:rsidRDefault="00503E26" w:rsidP="002F1961">
      <w:pPr>
        <w:spacing w:before="100" w:beforeAutospacing="1" w:after="100" w:afterAutospacing="1" w:line="360" w:lineRule="auto"/>
        <w:rPr>
          <w:rFonts w:cs="Arial"/>
          <w:szCs w:val="24"/>
        </w:rPr>
      </w:pPr>
      <w:r w:rsidRPr="00503E26">
        <w:rPr>
          <w:rFonts w:cs="Arial"/>
          <w:szCs w:val="24"/>
        </w:rPr>
        <w:t>Por lo anterior, el presente análisis no tiene por objeto evaluar el cumplimiento de las especificaciones técnicas aplicables al GLP comercializado en Colombia, sino analizar cómo las variaciones permitidas en la composición del producto y la información disponible para los usuarios sobre sus características y comportamiento pueden influir en la percepción de su desempeño durante la utilización. Este análisis permitirá evaluar si las condiciones actuales favorecen la transparencia del mercado y proporcionan a los usuarios información suficiente para comprender las diferencias observadas en el rendimiento del energético, así como determinar si existen aspectos que ameriten una evaluación regulatoria más profunda en materia de información al usuario y transparencia durante la prestación del servicio</w:t>
      </w:r>
      <w:r w:rsidR="0042757E" w:rsidRPr="00E50B7B">
        <w:rPr>
          <w:rFonts w:cs="Arial"/>
          <w:szCs w:val="24"/>
        </w:rPr>
        <w:t>.</w:t>
      </w:r>
    </w:p>
    <w:p w14:paraId="5CCA304D" w14:textId="77777777" w:rsidR="00DD0169" w:rsidRPr="00424165" w:rsidRDefault="00DD0169" w:rsidP="002F1961">
      <w:pPr>
        <w:pStyle w:val="Ttulo3"/>
        <w:spacing w:before="100" w:beforeAutospacing="1" w:after="100" w:afterAutospacing="1"/>
      </w:pPr>
      <w:bookmarkStart w:id="168" w:name="_Toc235128362"/>
      <w:r w:rsidRPr="00EB581A">
        <w:lastRenderedPageBreak/>
        <w:t>Abastecimiento</w:t>
      </w:r>
      <w:bookmarkEnd w:id="168"/>
    </w:p>
    <w:p w14:paraId="6AF7668A" w14:textId="77777777" w:rsidR="00C16566" w:rsidRPr="00C16566" w:rsidRDefault="00C16566" w:rsidP="002F1961">
      <w:pPr>
        <w:spacing w:before="100" w:beforeAutospacing="1" w:after="100" w:afterAutospacing="1" w:line="360" w:lineRule="auto"/>
        <w:rPr>
          <w:rFonts w:cs="Arial"/>
          <w:szCs w:val="24"/>
        </w:rPr>
      </w:pPr>
      <w:r w:rsidRPr="00C16566">
        <w:rPr>
          <w:rFonts w:cs="Arial"/>
          <w:szCs w:val="24"/>
        </w:rPr>
        <w:t>El abastecimiento constituye uno de los elementos fundamentales para garantizar la prestación del servicio público domiciliario de GLP, en la medida en que determina la disponibilidad del producto necesaria para atender la demanda de los usuarios. En este contexto, el abastecimiento comprende el conjunto de actividades que permiten disponer del energético y llevarlo desde las fuentes de producción o importación hasta los diferentes mercados de consumo.</w:t>
      </w:r>
    </w:p>
    <w:p w14:paraId="30D416B8" w14:textId="77777777" w:rsidR="00C16566" w:rsidRPr="00C16566" w:rsidRDefault="00C16566" w:rsidP="002F1961">
      <w:pPr>
        <w:spacing w:before="100" w:beforeAutospacing="1" w:after="100" w:afterAutospacing="1" w:line="360" w:lineRule="auto"/>
        <w:rPr>
          <w:rFonts w:cs="Arial"/>
          <w:szCs w:val="24"/>
        </w:rPr>
      </w:pPr>
      <w:r w:rsidRPr="00C16566">
        <w:rPr>
          <w:rFonts w:cs="Arial"/>
          <w:szCs w:val="24"/>
        </w:rPr>
        <w:t>En Colombia, el abastecimiento del mercado se soporta actualmente en una combinación de producción nacional e importaciones. Durante los últimos años, la reducción gradual de la producción nacional ha incrementado la participación de las importaciones dentro de la oferta disponible, modificando la estructura tradicional de abastecimiento y aumentando la dependencia del mercado internacional para atender una proporción creciente de la demanda nacional. Esta evolución ha incrementado la importancia de la infraestructura logística requerida para garantizar el suministro oportuno del producto hacia las diferentes regiones del país y ha expuesto el abastecimiento a factores adicionales asociados a los mercados internacionales y a la cadena logística de importación.</w:t>
      </w:r>
    </w:p>
    <w:p w14:paraId="4920E11B" w14:textId="77777777" w:rsidR="00C16566" w:rsidRPr="00C16566" w:rsidRDefault="00C16566" w:rsidP="002F1961">
      <w:pPr>
        <w:spacing w:before="100" w:beforeAutospacing="1" w:after="100" w:afterAutospacing="1" w:line="360" w:lineRule="auto"/>
        <w:rPr>
          <w:rFonts w:cs="Arial"/>
          <w:szCs w:val="24"/>
        </w:rPr>
      </w:pPr>
      <w:r w:rsidRPr="00C16566">
        <w:rPr>
          <w:rFonts w:cs="Arial"/>
          <w:szCs w:val="24"/>
        </w:rPr>
        <w:t>Adicionalmente, la oferta de GLP presenta una concentración importante en un número limitado de fuentes de producción e importación, circunstancia que puede incrementar la vulnerabilidad del abastecimiento frente a contingencias operativas, variaciones en la disponibilidad del producto o interrupciones en la cadena logística. A ello se suma que la información utilizada para estimar la disponibilidad futura del producto depende, en parte, de las declaraciones de producción realizadas por los productores, las cuales pueden estar sujetas a variaciones derivadas de las condiciones operativas propias de la actividad, generando incertidumbre sobre la evolución del abastecimiento en determinados horizontes de tiempo.</w:t>
      </w:r>
    </w:p>
    <w:p w14:paraId="029367B6" w14:textId="77777777" w:rsidR="00C16566" w:rsidRPr="00C16566" w:rsidRDefault="00C16566" w:rsidP="002F1961">
      <w:pPr>
        <w:spacing w:before="100" w:beforeAutospacing="1" w:after="100" w:afterAutospacing="1" w:line="360" w:lineRule="auto"/>
        <w:rPr>
          <w:rFonts w:cs="Arial"/>
          <w:szCs w:val="24"/>
        </w:rPr>
      </w:pPr>
      <w:r w:rsidRPr="00C16566">
        <w:rPr>
          <w:rFonts w:cs="Arial"/>
          <w:szCs w:val="24"/>
        </w:rPr>
        <w:t xml:space="preserve">El abastecimiento depende del adecuado funcionamiento de las actividades que conforman la cadena de prestación del servicio, incluyendo la producción, la importación, </w:t>
      </w:r>
      <w:r w:rsidRPr="00C16566">
        <w:rPr>
          <w:rFonts w:cs="Arial"/>
          <w:szCs w:val="24"/>
        </w:rPr>
        <w:lastRenderedPageBreak/>
        <w:t>la comercialización mayorista, el transporte por ductos, el almacenamiento, el flete y la distribución. La disponibilidad del producto para atender la demanda de los usuarios está directamente asociada a la articulación de estos eslabones y a la capacidad del sistema para movilizar el energético hasta los distintos mercados.</w:t>
      </w:r>
    </w:p>
    <w:p w14:paraId="1BF26F8A" w14:textId="2279C414" w:rsidR="00C16566" w:rsidRPr="00C16566" w:rsidRDefault="00C16566" w:rsidP="002F1961">
      <w:pPr>
        <w:spacing w:before="100" w:beforeAutospacing="1" w:after="100" w:afterAutospacing="1" w:line="360" w:lineRule="auto"/>
        <w:rPr>
          <w:rFonts w:cs="Arial"/>
          <w:szCs w:val="24"/>
        </w:rPr>
      </w:pPr>
      <w:r w:rsidRPr="00C16566">
        <w:rPr>
          <w:rFonts w:cs="Arial"/>
          <w:szCs w:val="24"/>
        </w:rPr>
        <w:t>Asimismo, la infraestructura de abastecimiento desempeña un papel determinante dentro de este proceso. La existencia de terminales de importación, infraestructura portuaria, plantas de almacenamiento, sistemas de transporte y corredores logísticos facilita el flujo del producto y permite atender las necesidades de los diferentes mercados, aun cuando existan diferencias geográficas, distancias de suministro o condiciones particulares de acceso. No obstante, la limitada disponibilidad de infraestructura destinada al almacenamiento estratégico reduce la capacidad del sistema para responder ante contingencias que afecten el abastecimiento o la logística de suministro, especialmente en regiones apartadas o con mayores restricciones de acceso</w:t>
      </w:r>
      <w:r w:rsidR="009657C3">
        <w:rPr>
          <w:rFonts w:cs="Arial"/>
          <w:szCs w:val="24"/>
        </w:rPr>
        <w:t xml:space="preserve">, </w:t>
      </w:r>
      <w:r w:rsidR="009657C3" w:rsidRPr="009657C3">
        <w:rPr>
          <w:rFonts w:cs="Arial"/>
          <w:szCs w:val="24"/>
        </w:rPr>
        <w:t>disminuyendo la resiliencia del sistema frente a eventos extraordinarios.</w:t>
      </w:r>
    </w:p>
    <w:p w14:paraId="443F6063" w14:textId="39E16DDC" w:rsidR="00DD0169" w:rsidRDefault="00A44B6B" w:rsidP="002F1961">
      <w:pPr>
        <w:spacing w:before="100" w:beforeAutospacing="1" w:after="100" w:afterAutospacing="1" w:line="360" w:lineRule="auto"/>
        <w:rPr>
          <w:rFonts w:cs="Arial"/>
          <w:lang w:val="es-ES"/>
        </w:rPr>
      </w:pPr>
      <w:r w:rsidRPr="00A44B6B">
        <w:rPr>
          <w:rFonts w:cs="Arial"/>
          <w:szCs w:val="24"/>
        </w:rPr>
        <w:t>Desde la perspectiva del servicio público domiciliario, el abastecimiento representa la condición necesaria para que exista disponibilidad física de GLP en el mercado. El diagnóstico realizado evidencia que la creciente dependencia de las importaciones, la reducción de la producción nacional, la concentración de la oferta, la incertidumbre asociada a la disponibilidad futura del producto y las limitaciones en materia de almacenamiento estratégico incrementan la exposición del sistema frente a eventos que puedan afectar la continuidad y confiabilidad del suministro. Por ello, el análisis del abastecimiento se orienta a evaluar la capacidad de la cadena para atender la demanda de los usuarios bajo las condiciones actuales de oferta, infraestructura y logística.</w:t>
      </w:r>
    </w:p>
    <w:p w14:paraId="31832381" w14:textId="77777777" w:rsidR="00FF77CA" w:rsidRPr="00424165" w:rsidRDefault="00FF77CA" w:rsidP="002F1961">
      <w:pPr>
        <w:pStyle w:val="Ttulo3"/>
        <w:spacing w:before="100" w:beforeAutospacing="1" w:after="100" w:afterAutospacing="1"/>
      </w:pPr>
      <w:bookmarkStart w:id="169" w:name="_Toc235128363"/>
      <w:r w:rsidRPr="0040115C">
        <w:t>Confiabilidad</w:t>
      </w:r>
      <w:bookmarkEnd w:id="169"/>
    </w:p>
    <w:p w14:paraId="14EE0E63" w14:textId="77777777" w:rsidR="00B30D84" w:rsidRPr="00B30D84" w:rsidRDefault="00B30D84" w:rsidP="002F1961">
      <w:pPr>
        <w:spacing w:before="100" w:beforeAutospacing="1" w:after="100" w:afterAutospacing="1" w:line="360" w:lineRule="auto"/>
        <w:rPr>
          <w:rFonts w:cs="Arial"/>
          <w:szCs w:val="24"/>
        </w:rPr>
      </w:pPr>
      <w:r w:rsidRPr="00B30D84">
        <w:rPr>
          <w:rFonts w:cs="Arial"/>
          <w:szCs w:val="24"/>
        </w:rPr>
        <w:t xml:space="preserve">La confiabilidad hace referencia a la capacidad de la cadena de abastecimiento para mantener el suministro de GLP o restablecerlo oportunamente cuando se presentan eventos que afectan alguno de sus componentes. A diferencia del abastecimiento, que describe la disponibilidad del producto para atender la demanda, la confiabilidad evalúa </w:t>
      </w:r>
      <w:r w:rsidRPr="00B30D84">
        <w:rPr>
          <w:rFonts w:cs="Arial"/>
          <w:szCs w:val="24"/>
        </w:rPr>
        <w:lastRenderedPageBreak/>
        <w:t>la capacidad del sistema para responder frente a contingencias y reducir el impacto que estas pueden generar sobre el suministro.</w:t>
      </w:r>
    </w:p>
    <w:p w14:paraId="2FDDF3BE" w14:textId="77777777" w:rsidR="00B30D84" w:rsidRPr="00B30D84" w:rsidRDefault="00B30D84" w:rsidP="002F1961">
      <w:pPr>
        <w:spacing w:before="100" w:beforeAutospacing="1" w:after="100" w:afterAutospacing="1" w:line="360" w:lineRule="auto"/>
        <w:rPr>
          <w:rFonts w:cs="Arial"/>
          <w:szCs w:val="24"/>
        </w:rPr>
      </w:pPr>
      <w:r w:rsidRPr="00B30D84">
        <w:rPr>
          <w:rFonts w:cs="Arial"/>
          <w:szCs w:val="24"/>
        </w:rPr>
        <w:t>La confiabilidad depende de la capacidad del sistema para responder frente a contingencias que afecten cualquiera de las actividades que integran la cadena de abastecimiento del GLP. En este contexto, la infraestructura estratégica, la capacidad logística y la posibilidad de mantener el flujo del energético constituyen elementos que fortalecen la respuesta del sistema ante situaciones imprevistas. En la medida en que el abastecimiento nacional incorpora una mayor participación de producto importado, la confiabilidad del sistema depende crecientemente de la infraestructura logística destinada a la importación, el almacenamiento y la distribución del GLP, cuya localización se concentra en un número limitado de puntos de entrada al país. Esta condición incrementa la vulnerabilidad del sistema frente a eventos que puedan afectar dichas instalaciones o los corredores logísticos asociados.</w:t>
      </w:r>
    </w:p>
    <w:p w14:paraId="5ACDDC08" w14:textId="77777777" w:rsidR="00B30D84" w:rsidRPr="00B30D84" w:rsidRDefault="00B30D84" w:rsidP="002F1961">
      <w:pPr>
        <w:spacing w:before="100" w:beforeAutospacing="1" w:after="100" w:afterAutospacing="1" w:line="360" w:lineRule="auto"/>
        <w:rPr>
          <w:rFonts w:cs="Arial"/>
          <w:szCs w:val="24"/>
        </w:rPr>
      </w:pPr>
      <w:r w:rsidRPr="00B30D84">
        <w:rPr>
          <w:rFonts w:cs="Arial"/>
          <w:szCs w:val="24"/>
        </w:rPr>
        <w:t>Las condiciones geográficas del país también inciden sobre la confiabilidad del servicio. Algunas regiones presentan mayores niveles de vulnerabilidad debido a la dependencia de determinados corredores logísticos, a las distancias entre las fuentes de abastecimiento y los mercados de consumo o a la disponibilidad limitada de infraestructura especializada. Estas circunstancias pueden dificultar la recuperación del suministro cuando se presentan contingencias.</w:t>
      </w:r>
    </w:p>
    <w:p w14:paraId="736C62C6" w14:textId="77777777" w:rsidR="00B30D84" w:rsidRPr="00B30D84" w:rsidRDefault="00B30D84" w:rsidP="002F1961">
      <w:pPr>
        <w:spacing w:before="100" w:beforeAutospacing="1" w:after="100" w:afterAutospacing="1" w:line="360" w:lineRule="auto"/>
        <w:rPr>
          <w:rFonts w:cs="Arial"/>
          <w:szCs w:val="24"/>
        </w:rPr>
      </w:pPr>
      <w:r w:rsidRPr="00B30D84">
        <w:rPr>
          <w:rFonts w:cs="Arial"/>
          <w:szCs w:val="24"/>
        </w:rPr>
        <w:t>De igual forma, la creciente participación de las importaciones dentro del abastecimiento nacional ha incrementado la importancia de la infraestructura logística requerida para garantizar el ingreso, almacenamiento y movilización del producto. En consecuencia, la capacidad del sistema para responder frente a eventos que afecten cualquiera de estos procesos adquiere una relevancia cada vez mayor para preservar el suministro, especialmente cuando la disponibilidad de infraestructura alternativa o de almacenamiento estratégico resulta limitada.</w:t>
      </w:r>
    </w:p>
    <w:p w14:paraId="12A70B6D" w14:textId="77777777" w:rsidR="00B30D84" w:rsidRPr="00B30D84" w:rsidRDefault="00B30D84" w:rsidP="002F1961">
      <w:pPr>
        <w:spacing w:before="100" w:beforeAutospacing="1" w:after="100" w:afterAutospacing="1" w:line="360" w:lineRule="auto"/>
        <w:rPr>
          <w:rFonts w:cs="Arial"/>
        </w:rPr>
      </w:pPr>
      <w:r w:rsidRPr="247C94E4">
        <w:rPr>
          <w:rFonts w:cs="Arial"/>
        </w:rPr>
        <w:t xml:space="preserve">Desde la perspectiva del usuario, la confiabilidad normalmente no resulta perceptible durante la operación cotidiana del servicio. Sin embargo, se hace evidente cuando </w:t>
      </w:r>
      <w:r w:rsidRPr="247C94E4">
        <w:rPr>
          <w:rFonts w:cs="Arial"/>
        </w:rPr>
        <w:lastRenderedPageBreak/>
        <w:t>ocurren eventos que afectan el abastecimiento, pues es en estas situaciones donde la capacidad del sistema para responder oportunamente determina la magnitud y duración de las afectaciones que finalmente experimentan los usuarios.</w:t>
      </w:r>
    </w:p>
    <w:p w14:paraId="10B7DCFC" w14:textId="74EA4806" w:rsidR="26714213" w:rsidRPr="00946C9F" w:rsidRDefault="00B30D84" w:rsidP="002F1961">
      <w:pPr>
        <w:spacing w:before="100" w:beforeAutospacing="1" w:after="100" w:afterAutospacing="1" w:line="360" w:lineRule="auto"/>
        <w:rPr>
          <w:rFonts w:eastAsia="Arial" w:cs="Arial"/>
          <w:szCs w:val="24"/>
          <w:lang w:val="es-ES"/>
        </w:rPr>
      </w:pPr>
      <w:r w:rsidRPr="00B30D84">
        <w:rPr>
          <w:rFonts w:cs="Arial"/>
          <w:szCs w:val="24"/>
        </w:rPr>
        <w:t>El diagnóstico realizado evidencia que la creciente dependencia de las importaciones, la concentración de infraestructura logística en un número reducido de puntos de entrada al país, las limitaciones en materia de almacenamiento estratégico y las condiciones geográficas propias del territorio nacional incrementan la vulnerabilidad del sistema frente a eventos que puedan afectar la continuidad del suministro. En consecuencia, la confiabilidad del servicio depende cada vez más de la resiliencia de la infraestructura logística y de la capacidad de la cadena para responder oportunamente ante contingencias.</w:t>
      </w:r>
    </w:p>
    <w:p w14:paraId="66BC24F5" w14:textId="77777777" w:rsidR="009E2818" w:rsidRPr="00424165" w:rsidRDefault="0040115C" w:rsidP="002F1961">
      <w:pPr>
        <w:pStyle w:val="Ttulo3"/>
        <w:spacing w:before="100" w:beforeAutospacing="1" w:after="100" w:afterAutospacing="1"/>
      </w:pPr>
      <w:bookmarkStart w:id="170" w:name="_Toc235128364"/>
      <w:r w:rsidRPr="0040115C">
        <w:t>Continuidad</w:t>
      </w:r>
      <w:bookmarkEnd w:id="170"/>
    </w:p>
    <w:p w14:paraId="2015D6A0" w14:textId="77777777" w:rsidR="00A5423B" w:rsidRPr="00A5423B" w:rsidRDefault="00A5423B" w:rsidP="002F1961">
      <w:pPr>
        <w:spacing w:before="100" w:beforeAutospacing="1" w:after="100" w:afterAutospacing="1" w:line="360" w:lineRule="auto"/>
        <w:rPr>
          <w:rFonts w:cs="Arial"/>
          <w:szCs w:val="24"/>
        </w:rPr>
      </w:pPr>
      <w:r w:rsidRPr="00A5423B">
        <w:rPr>
          <w:rFonts w:cs="Arial"/>
          <w:szCs w:val="24"/>
        </w:rPr>
        <w:t>La continuidad constituye uno de los atributos esenciales del servicio público domiciliario de GLP y representa la manifestación más directa que perciben los usuarios sobre el funcionamiento del sistema de abastecimiento. Se entiende como la posibilidad de acceder al energético cuando se requiere, de manera que las necesidades domésticas, comerciales o productivas puedan ser atendidas sin interrupciones atribuibles a la falta de disponibilidad del producto.</w:t>
      </w:r>
    </w:p>
    <w:p w14:paraId="663322FE" w14:textId="77777777" w:rsidR="00A5423B" w:rsidRPr="00A5423B" w:rsidRDefault="00A5423B" w:rsidP="002F1961">
      <w:pPr>
        <w:spacing w:before="100" w:beforeAutospacing="1" w:after="100" w:afterAutospacing="1" w:line="360" w:lineRule="auto"/>
        <w:rPr>
          <w:rFonts w:cs="Arial"/>
          <w:szCs w:val="24"/>
        </w:rPr>
      </w:pPr>
      <w:r w:rsidRPr="00A5423B">
        <w:rPr>
          <w:rFonts w:cs="Arial"/>
          <w:szCs w:val="24"/>
        </w:rPr>
        <w:t>A diferencia del abastecimiento y de la confiabilidad, que describen condiciones relacionadas con el funcionamiento de la cadena de suministro, la continuidad refleja el resultado que finalmente experimentan los usuarios. En este sentido, la continuidad se materializa cuando el GLP se encuentra disponible en el momento y lugar en que los usuarios lo requieren, independientemente de la modalidad mediante la cual se preste el servicio.</w:t>
      </w:r>
    </w:p>
    <w:p w14:paraId="67E225CA" w14:textId="77777777" w:rsidR="00A5423B" w:rsidRPr="00A5423B" w:rsidRDefault="00A5423B" w:rsidP="002F1961">
      <w:pPr>
        <w:spacing w:before="100" w:beforeAutospacing="1" w:after="100" w:afterAutospacing="1" w:line="360" w:lineRule="auto"/>
        <w:rPr>
          <w:rFonts w:cs="Arial"/>
          <w:szCs w:val="24"/>
        </w:rPr>
      </w:pPr>
      <w:r w:rsidRPr="00A5423B">
        <w:rPr>
          <w:rFonts w:cs="Arial"/>
          <w:szCs w:val="24"/>
        </w:rPr>
        <w:t xml:space="preserve">La continuidad del servicio es el resultado del adecuado funcionamiento de toda la cadena de prestación. Cuando el abastecimiento permite disponer del producto y el sistema cuenta con la capacidad para responder frente a contingencias, los usuarios </w:t>
      </w:r>
      <w:r w:rsidRPr="00A5423B">
        <w:rPr>
          <w:rFonts w:cs="Arial"/>
          <w:szCs w:val="24"/>
        </w:rPr>
        <w:lastRenderedPageBreak/>
        <w:t>pueden acceder al GLP de manera oportuna. Por el contrario, las afectaciones que se presenten en cualquiera de los eslabones de la cadena pueden traducirse en demoras, restricciones o indisponibilidad del servicio.</w:t>
      </w:r>
    </w:p>
    <w:p w14:paraId="046CE786" w14:textId="77777777" w:rsidR="00A5423B" w:rsidRPr="00A5423B" w:rsidRDefault="00A5423B" w:rsidP="002F1961">
      <w:pPr>
        <w:spacing w:before="100" w:beforeAutospacing="1" w:after="100" w:afterAutospacing="1" w:line="360" w:lineRule="auto"/>
        <w:rPr>
          <w:rFonts w:cs="Arial"/>
          <w:szCs w:val="24"/>
        </w:rPr>
      </w:pPr>
      <w:r w:rsidRPr="00A5423B">
        <w:rPr>
          <w:rFonts w:cs="Arial"/>
          <w:szCs w:val="24"/>
        </w:rPr>
        <w:t>Las condiciones geográficas, logísticas y operativas adquieren especial importancia en aquellos mercados donde el suministro depende de corredores específicos de abastecimiento, de infraestructura limitada o de fuentes de suministro con menores alternativas de respaldo. En estos casos, la continuidad del servicio puede verse afectada con mayor facilidad cuando se presentan eventos que alteran el funcionamiento normal de la cadena.</w:t>
      </w:r>
    </w:p>
    <w:p w14:paraId="0EDCDE81" w14:textId="77777777" w:rsidR="00A5423B" w:rsidRPr="00A5423B" w:rsidRDefault="00A5423B" w:rsidP="002F1961">
      <w:pPr>
        <w:spacing w:before="100" w:beforeAutospacing="1" w:after="100" w:afterAutospacing="1" w:line="360" w:lineRule="auto"/>
        <w:rPr>
          <w:rFonts w:cs="Arial"/>
          <w:szCs w:val="24"/>
        </w:rPr>
      </w:pPr>
      <w:r w:rsidRPr="00A5423B">
        <w:rPr>
          <w:rFonts w:cs="Arial"/>
          <w:szCs w:val="24"/>
        </w:rPr>
        <w:t>La experiencia reciente del sector evidencia que, si bien el servicio público domiciliario de GLP ha mantenido en términos generales la continuidad del suministro, se han presentado eventos que han requerido la adopción de medidas extraordinarias para preservar el abastecimiento en determinadas regiones del país. Asimismo, los análisis realizados en el presente AIN identifican que los mercados ubicados en zonas apartadas, de frontera, insulares o con mayores restricciones logísticas presentan una mayor exposición al riesgo de interrupciones, debido a su dependencia de corredores específicos de abastecimiento y a la limitada disponibilidad de infraestructura de respaldo y almacenamiento estratégico. Estas condiciones hacen que la continuidad del servicio no dependa únicamente de la disponibilidad del producto, sino también de la capacidad de la cadena para responder oportunamente frente a contingencias.</w:t>
      </w:r>
    </w:p>
    <w:p w14:paraId="155D9859" w14:textId="16F1D21D" w:rsidR="0040115C" w:rsidRPr="009E7556" w:rsidRDefault="00A5423B" w:rsidP="002F1961">
      <w:pPr>
        <w:spacing w:before="100" w:beforeAutospacing="1" w:after="100" w:afterAutospacing="1" w:line="360" w:lineRule="auto"/>
        <w:rPr>
          <w:rFonts w:cs="Arial"/>
          <w:lang w:val="es-ES"/>
        </w:rPr>
      </w:pPr>
      <w:r w:rsidRPr="00A5423B">
        <w:rPr>
          <w:rFonts w:cs="Arial"/>
          <w:szCs w:val="24"/>
        </w:rPr>
        <w:t>En consecuencia, el análisis de la continuidad se orienta a evaluar si, bajo las condiciones actuales del mercado, los usuarios pueden acceder al GLP cuando lo requieren y si las condiciones de abastecimiento, infraestructura y logística permiten mantener dicha disponibilidad de manera sostenida, constituyéndose en el atributo que refleja de forma más directa la prestación efectiva del servicio para los usuarios.</w:t>
      </w:r>
    </w:p>
    <w:p w14:paraId="2EDEE6E1" w14:textId="1105F029" w:rsidR="0040115C" w:rsidRPr="00424165" w:rsidRDefault="000C52E9" w:rsidP="002F1961">
      <w:pPr>
        <w:pStyle w:val="Ttulo3"/>
        <w:spacing w:before="100" w:beforeAutospacing="1" w:after="100" w:afterAutospacing="1"/>
      </w:pPr>
      <w:bookmarkStart w:id="171" w:name="_Toc235128365"/>
      <w:r w:rsidRPr="000C52E9">
        <w:lastRenderedPageBreak/>
        <w:t>Tarifas</w:t>
      </w:r>
      <w:bookmarkEnd w:id="171"/>
    </w:p>
    <w:p w14:paraId="566EAB5C" w14:textId="77777777" w:rsidR="00051C67" w:rsidRPr="00051C67" w:rsidRDefault="00051C67" w:rsidP="002F1961">
      <w:pPr>
        <w:pStyle w:val="NormalWeb"/>
        <w:spacing w:line="360" w:lineRule="auto"/>
        <w:jc w:val="both"/>
        <w:rPr>
          <w:rFonts w:ascii="Arial" w:hAnsi="Arial" w:cs="Arial"/>
          <w:lang w:val="es-ES_tradnl" w:eastAsia="es-ES"/>
        </w:rPr>
      </w:pPr>
      <w:r w:rsidRPr="00051C67">
        <w:rPr>
          <w:rFonts w:ascii="Arial" w:hAnsi="Arial" w:cs="Arial"/>
          <w:lang w:val="es-ES_tradnl" w:eastAsia="es-ES"/>
        </w:rPr>
        <w:t>Las tarifas constituyen uno de los aspectos de mayor relevancia para los usuarios del servicio público domiciliario de GLP, en la medida en que representan el valor que deben pagar para acceder al energético. Su análisis permite comprender cómo las condiciones de abastecimiento, la infraestructura, la logística, la competencia entre agentes y el marco regulatorio inciden en la formación del valor final pagado por los usuarios, constituyéndose en un elemento fundamental para caracterizar el funcionamiento económico del mercado.</w:t>
      </w:r>
    </w:p>
    <w:p w14:paraId="0CC34568" w14:textId="77777777" w:rsidR="00051C67" w:rsidRPr="00051C67" w:rsidRDefault="00051C67" w:rsidP="002F1961">
      <w:pPr>
        <w:pStyle w:val="NormalWeb"/>
        <w:spacing w:line="360" w:lineRule="auto"/>
        <w:jc w:val="both"/>
        <w:rPr>
          <w:rFonts w:ascii="Arial" w:hAnsi="Arial" w:cs="Arial"/>
          <w:lang w:val="es-ES_tradnl" w:eastAsia="es-ES"/>
        </w:rPr>
      </w:pPr>
      <w:r w:rsidRPr="00051C67">
        <w:rPr>
          <w:rFonts w:ascii="Arial" w:hAnsi="Arial" w:cs="Arial"/>
          <w:lang w:val="es-ES_tradnl" w:eastAsia="es-ES"/>
        </w:rPr>
        <w:t>El servicio público domiciliario de GLP presenta diferentes esquemas para la definición de las tarifas, los cuales varían según la modalidad de prestación, las actividades que integran la cadena y las condiciones particulares de algunos mercados. En las modalidades de distribución mediante cilindros y tanques estacionarios, la mayor parte de los componentes tarifarios se determinan bajo un régimen de libertad vigilada. No obstante, el precio del suministro proveniente de fuentes pertenecientes a Ecopetrol se encuentra sujeto al régimen de libertad regulada establecido por la CREG. Por su parte, en la distribución mediante redes de tubería, además del componente de suministro aplicable, los cargos de distribución y comercialización minorista son regulados por la Comisión. Adicionalmente, en el Archipiélago de San Andrés, Providencia y Santa Catalina, dadas las condiciones particulares de prestación del servicio, también se aplica un esquema tarifario regulado para la distribución mediante cilindros y tanques estacionarios.</w:t>
      </w:r>
    </w:p>
    <w:p w14:paraId="5027F6A6" w14:textId="77777777" w:rsidR="00051C67" w:rsidRPr="00051C67" w:rsidRDefault="00051C67" w:rsidP="002F1961">
      <w:pPr>
        <w:pStyle w:val="NormalWeb"/>
        <w:spacing w:line="360" w:lineRule="auto"/>
        <w:jc w:val="both"/>
        <w:rPr>
          <w:rFonts w:ascii="Arial" w:hAnsi="Arial" w:cs="Arial"/>
          <w:lang w:val="es-ES_tradnl" w:eastAsia="es-ES"/>
        </w:rPr>
      </w:pPr>
      <w:r w:rsidRPr="00051C67">
        <w:rPr>
          <w:rFonts w:ascii="Arial" w:hAnsi="Arial" w:cs="Arial"/>
          <w:lang w:val="es-ES_tradnl" w:eastAsia="es-ES"/>
        </w:rPr>
        <w:t>Independientemente del régimen tarifario aplicable, la tarifa pagada por los usuarios incorpora los costos asociados a las diferentes actividades que conforman la cadena de prestación del servicio. En su formación concurren los costos del suministro del producto, el transporte por ductos cuando corresponde, el almacenamiento, el transporte terrestre o fluvial, la distribución y la comercialización, cuya participación puede variar de acuerdo con las condiciones de abastecimiento, las características de cada mercado y la modalidad de prestación del servicio.</w:t>
      </w:r>
    </w:p>
    <w:p w14:paraId="0DF6375F" w14:textId="77777777" w:rsidR="00051C67" w:rsidRPr="00051C67" w:rsidRDefault="00051C67" w:rsidP="002F1961">
      <w:pPr>
        <w:pStyle w:val="NormalWeb"/>
        <w:spacing w:line="360" w:lineRule="auto"/>
        <w:jc w:val="both"/>
        <w:rPr>
          <w:rFonts w:ascii="Arial" w:hAnsi="Arial" w:cs="Arial"/>
          <w:lang w:val="es-ES_tradnl" w:eastAsia="es-ES"/>
        </w:rPr>
      </w:pPr>
      <w:r w:rsidRPr="00051C67">
        <w:rPr>
          <w:rFonts w:ascii="Arial" w:hAnsi="Arial" w:cs="Arial"/>
          <w:lang w:val="es-ES_tradnl" w:eastAsia="es-ES"/>
        </w:rPr>
        <w:lastRenderedPageBreak/>
        <w:t>Como consecuencia de esta estructura, las tarifas pueden presentar diferencias significativas entre municipios y regiones del país. Estas diferencias obedecen principalmente a las condiciones bajo las cuales se presta el servicio en cada mercado y no, necesariamente, a diferencias en la eficiencia de los distribuidores. Entre los principales factores que explican estas variaciones se encuentran la ubicación y disponibilidad de las fuentes de abastecimiento, las distancias de transporte, la modalidad de prestación del servicio, la infraestructura logística y de almacenamiento disponible, el tamaño y dispersión de la demanda, las condiciones geográficas y de acceso a cada territorio, así como las economías de escala asociadas a cada mercado.</w:t>
      </w:r>
    </w:p>
    <w:p w14:paraId="3AFFAAF6" w14:textId="77777777" w:rsidR="00051C67" w:rsidRPr="00051C67" w:rsidRDefault="00051C67" w:rsidP="002F1961">
      <w:pPr>
        <w:pStyle w:val="NormalWeb"/>
        <w:spacing w:line="360" w:lineRule="auto"/>
        <w:jc w:val="both"/>
        <w:rPr>
          <w:rFonts w:ascii="Arial" w:hAnsi="Arial" w:cs="Arial"/>
          <w:lang w:val="es-ES_tradnl" w:eastAsia="es-ES"/>
        </w:rPr>
      </w:pPr>
      <w:r w:rsidRPr="00051C67">
        <w:rPr>
          <w:rFonts w:ascii="Arial" w:hAnsi="Arial" w:cs="Arial"/>
          <w:lang w:val="es-ES_tradnl" w:eastAsia="es-ES"/>
        </w:rPr>
        <w:t>Las condiciones geográficas, logísticas y de infraestructura del país influyen de manera importante sobre los costos de prestación del servicio. Factores como las distancias de transporte, la dispersión de la demanda, la disponibilidad de infraestructura de almacenamiento, las condiciones de acceso a determinadas regiones y las fuentes de abastecimiento generan costos que, en muchos casos, no dependen directamente de la gestión del distribuidor, sino de las características propias del mercado atendido. Estas condiciones explican una parte importante de las diferencias tarifarias observadas entre municipios y regiones del país.</w:t>
      </w:r>
    </w:p>
    <w:p w14:paraId="43C997BD" w14:textId="77777777" w:rsidR="00051C67" w:rsidRDefault="00051C67" w:rsidP="002F1961">
      <w:pPr>
        <w:pStyle w:val="NormalWeb"/>
        <w:spacing w:line="360" w:lineRule="auto"/>
        <w:jc w:val="both"/>
        <w:rPr>
          <w:rFonts w:ascii="Arial" w:hAnsi="Arial" w:cs="Arial"/>
          <w:lang w:val="es-ES_tradnl" w:eastAsia="es-ES"/>
        </w:rPr>
      </w:pPr>
      <w:r w:rsidRPr="00051C67">
        <w:rPr>
          <w:rFonts w:ascii="Arial" w:hAnsi="Arial" w:cs="Arial"/>
          <w:lang w:val="es-ES_tradnl" w:eastAsia="es-ES"/>
        </w:rPr>
        <w:t>De igual forma, la evolución del mercado, caracterizada por una mayor participación de las importaciones dentro del abastecimiento nacional, ha incrementado la importancia de las actividades logísticas necesarias para garantizar el suministro del producto. En la medida en que el abastecimiento incorpora una mayor proporción de producto importado, adquieren mayor relevancia los costos asociados al transporte marítimo y terrestre, la infraestructura portuaria, el almacenamiento y las demás actividades logísticas requeridas para poner el producto a disposición de los mercados de consumo. En consecuencia, la infraestructura disponible y la eficiencia con la que se desarrollan estas actividades adquieren una mayor relevancia en la formación de las tarifas pagadas por los usuarios.</w:t>
      </w:r>
    </w:p>
    <w:p w14:paraId="1789AE60" w14:textId="37882A19" w:rsidR="00367412" w:rsidRDefault="00367412" w:rsidP="002F1961">
      <w:pPr>
        <w:pStyle w:val="NormalWeb"/>
        <w:spacing w:line="360" w:lineRule="auto"/>
        <w:jc w:val="both"/>
        <w:rPr>
          <w:rFonts w:ascii="Arial" w:hAnsi="Arial" w:cs="Arial"/>
          <w:lang w:val="es-ES" w:eastAsia="es-ES"/>
        </w:rPr>
      </w:pPr>
      <w:r w:rsidRPr="247C94E4">
        <w:rPr>
          <w:rFonts w:ascii="Arial" w:hAnsi="Arial" w:cs="Arial"/>
          <w:lang w:val="es-ES" w:eastAsia="es-ES"/>
        </w:rPr>
        <w:t xml:space="preserve">Desde la perspectiva del usuario, la comprensión del valor pagado por el servicio no depende únicamente de conocer los componentes tarifarios que lo conforman, sino </w:t>
      </w:r>
      <w:r w:rsidRPr="247C94E4">
        <w:rPr>
          <w:rFonts w:ascii="Arial" w:hAnsi="Arial" w:cs="Arial"/>
          <w:lang w:val="es-ES" w:eastAsia="es-ES"/>
        </w:rPr>
        <w:lastRenderedPageBreak/>
        <w:t>también de contar con información suficiente sobre las condiciones bajo las cuales se presta el servicio y sobre las características generales del producto suministrado. En este sentido, cuando el GLP presenta variaciones en su composición dentro de las especificaciones técnicas vigentes, los usuarios pueden percibir diferencias en su rendimiento sin disponer necesariamente de información suficiente para comprender las razones de dichas variaciones o su eventual incidencia sobre el servicio recibido. Esta situación puede dificultar la comprensión de la relación entre el producto suministrado y el valor pagado por el servicio, incrementando las asimetrías de información entre agentes y usuarios durante la prestación del servicio.</w:t>
      </w:r>
      <w:r w:rsidR="00C962C7" w:rsidRPr="247C94E4">
        <w:rPr>
          <w:rFonts w:ascii="Arial" w:hAnsi="Arial" w:cs="Arial"/>
          <w:lang w:val="es-ES" w:eastAsia="es-ES"/>
        </w:rPr>
        <w:t xml:space="preserve"> El usuario paga por un servicio cuyo valor comprende múltiples componentes regulados y de mercado, pero no siempre dispone de información suficiente para comprender cómo las características del producto suministrado y las condiciones de prestación se reflejan en dicho valor.</w:t>
      </w:r>
    </w:p>
    <w:p w14:paraId="44C6CC16" w14:textId="5B48EBC4" w:rsidR="00051C67" w:rsidRPr="00051C67" w:rsidRDefault="00051C67" w:rsidP="002F1961">
      <w:pPr>
        <w:pStyle w:val="NormalWeb"/>
        <w:spacing w:line="360" w:lineRule="auto"/>
        <w:jc w:val="both"/>
        <w:rPr>
          <w:rFonts w:ascii="Arial" w:hAnsi="Arial" w:cs="Arial"/>
          <w:lang w:val="es-ES" w:eastAsia="es-ES"/>
        </w:rPr>
      </w:pPr>
      <w:r w:rsidRPr="247C94E4">
        <w:rPr>
          <w:rFonts w:ascii="Arial" w:hAnsi="Arial" w:cs="Arial"/>
          <w:lang w:val="es-ES" w:eastAsia="es-ES"/>
        </w:rPr>
        <w:t>Adicionalmente, los subsidios constituyen un elemento relevante para facilitar el acceso al servicio por parte de determinados grupos de usuarios, al contribuir a reducir el impacto económico que representa el pago del GLP para los hogares beneficiarios.</w:t>
      </w:r>
    </w:p>
    <w:p w14:paraId="37784F14" w14:textId="77777777" w:rsidR="00E72B9D" w:rsidRDefault="00E72B9D" w:rsidP="002F1961">
      <w:pPr>
        <w:pStyle w:val="NormalWeb"/>
        <w:spacing w:line="360" w:lineRule="auto"/>
        <w:jc w:val="both"/>
        <w:rPr>
          <w:rFonts w:ascii="Arial" w:hAnsi="Arial" w:cs="Arial"/>
          <w:lang w:val="es-ES_tradnl" w:eastAsia="es-ES"/>
        </w:rPr>
      </w:pPr>
      <w:r w:rsidRPr="00E72B9D">
        <w:rPr>
          <w:rFonts w:ascii="Arial" w:hAnsi="Arial" w:cs="Arial"/>
          <w:lang w:val="es-ES_tradnl" w:eastAsia="es-ES"/>
        </w:rPr>
        <w:t>En este contexto, el análisis tarifario tiene por finalidad identificar los factores estructurales que inciden en la formación de las tarifas y comprender cómo las condiciones de abastecimiento, la infraestructura, la logística, la competencia, las características del producto suministrado y el marco regulatorio se reflejan en el valor final pagado por los usuarios. Este análisis constituye un insumo para la caracterización del mercado y para la comprensión de los factores que inciden en la prestación del servicio, así como para evaluar el grado de información disponible para que los usuarios comprendan la formación del valor pagado, sin que ello implique, por sí mismo, la identificación de un problema regulatorio asociado al nivel de las tarifas.</w:t>
      </w:r>
    </w:p>
    <w:p w14:paraId="0DF395BF" w14:textId="2BDAFCD5" w:rsidR="000C52E9" w:rsidRPr="00424165" w:rsidRDefault="00EB581A" w:rsidP="002F1961">
      <w:pPr>
        <w:pStyle w:val="Ttulo3"/>
        <w:spacing w:before="100" w:beforeAutospacing="1" w:after="100" w:afterAutospacing="1"/>
      </w:pPr>
      <w:bookmarkStart w:id="172" w:name="_Toc235128366"/>
      <w:r w:rsidRPr="00EB581A">
        <w:t>Competencia</w:t>
      </w:r>
      <w:bookmarkEnd w:id="172"/>
    </w:p>
    <w:p w14:paraId="0D7266C5" w14:textId="77777777" w:rsidR="00DD424A" w:rsidRPr="00DD424A" w:rsidRDefault="00DD424A" w:rsidP="002F1961">
      <w:pPr>
        <w:pStyle w:val="NormalWeb"/>
        <w:spacing w:line="360" w:lineRule="auto"/>
        <w:jc w:val="both"/>
        <w:rPr>
          <w:rFonts w:ascii="Arial" w:hAnsi="Arial" w:cs="Arial"/>
          <w:lang w:val="es-ES_tradnl" w:eastAsia="es-ES"/>
        </w:rPr>
      </w:pPr>
      <w:r w:rsidRPr="00DD424A">
        <w:rPr>
          <w:rFonts w:ascii="Arial" w:hAnsi="Arial" w:cs="Arial"/>
          <w:lang w:val="es-ES_tradnl" w:eastAsia="es-ES"/>
        </w:rPr>
        <w:t xml:space="preserve">La competencia constituye uno de los mecanismos mediante los cuales los mercados pueden promover la eficiencia económica, incentivar la innovación y generar beneficios para los usuarios. En el servicio público domiciliario de GLP, las condiciones de </w:t>
      </w:r>
      <w:r w:rsidRPr="00DD424A">
        <w:rPr>
          <w:rFonts w:ascii="Arial" w:hAnsi="Arial" w:cs="Arial"/>
          <w:lang w:val="es-ES_tradnl" w:eastAsia="es-ES"/>
        </w:rPr>
        <w:lastRenderedPageBreak/>
        <w:t>competencia desempeñan un papel relevante en la forma como los agentes desarrollan sus actividades y en los incentivos para mejorar la prestación del servicio.</w:t>
      </w:r>
    </w:p>
    <w:p w14:paraId="59FE908F" w14:textId="77777777" w:rsidR="00DD424A" w:rsidRPr="00DD424A" w:rsidRDefault="00DD424A" w:rsidP="002F1961">
      <w:pPr>
        <w:pStyle w:val="NormalWeb"/>
        <w:spacing w:line="360" w:lineRule="auto"/>
        <w:jc w:val="both"/>
        <w:rPr>
          <w:rFonts w:ascii="Arial" w:hAnsi="Arial" w:cs="Arial"/>
          <w:lang w:val="es-ES_tradnl" w:eastAsia="es-ES"/>
        </w:rPr>
      </w:pPr>
      <w:r w:rsidRPr="00DD424A">
        <w:rPr>
          <w:rFonts w:ascii="Arial" w:hAnsi="Arial" w:cs="Arial"/>
          <w:lang w:val="es-ES_tradnl" w:eastAsia="es-ES"/>
        </w:rPr>
        <w:t>Las condiciones de competencia del mercado de GLP presentan particularidades derivadas de la estructura de la cadena de prestación, de las características de las actividades que la conforman y de las condiciones geográficas y logísticas bajo las cuales se desarrolla el servicio. Como consecuencia, la intensidad de la competencia puede variar entre mercados, regiones y modalidades de prestación.</w:t>
      </w:r>
    </w:p>
    <w:p w14:paraId="1ABEBF5D" w14:textId="77777777" w:rsidR="00DD424A" w:rsidRPr="00DD424A" w:rsidRDefault="00DD424A" w:rsidP="002F1961">
      <w:pPr>
        <w:pStyle w:val="NormalWeb"/>
        <w:spacing w:line="360" w:lineRule="auto"/>
        <w:jc w:val="both"/>
        <w:rPr>
          <w:rFonts w:ascii="Arial" w:hAnsi="Arial" w:cs="Arial"/>
          <w:lang w:val="es-ES_tradnl" w:eastAsia="es-ES"/>
        </w:rPr>
      </w:pPr>
      <w:r w:rsidRPr="00DD424A">
        <w:rPr>
          <w:rFonts w:ascii="Arial" w:hAnsi="Arial" w:cs="Arial"/>
          <w:lang w:val="es-ES_tradnl" w:eastAsia="es-ES"/>
        </w:rPr>
        <w:t>Los estudios desarrollados para la caracterización del sector evidencian que las condiciones de competencia no son homogéneas a lo largo de la cadena de prestación del servicio. La existencia de diferencias en el tamaño de los mercados, la distribución de la demanda, la disponibilidad de infraestructura, las condiciones de abastecimiento y la participación de los agentes genera escenarios competitivos diferenciados entre actividades y regiones del país.</w:t>
      </w:r>
    </w:p>
    <w:p w14:paraId="3B0AD208" w14:textId="77777777" w:rsidR="00DD424A" w:rsidRPr="00DD424A" w:rsidRDefault="00DD424A" w:rsidP="002F1961">
      <w:pPr>
        <w:pStyle w:val="NormalWeb"/>
        <w:spacing w:line="360" w:lineRule="auto"/>
        <w:jc w:val="both"/>
        <w:rPr>
          <w:rFonts w:ascii="Arial" w:hAnsi="Arial" w:cs="Arial"/>
          <w:lang w:val="es-ES_tradnl" w:eastAsia="es-ES"/>
        </w:rPr>
      </w:pPr>
      <w:r w:rsidRPr="00DD424A">
        <w:rPr>
          <w:rFonts w:ascii="Arial" w:hAnsi="Arial" w:cs="Arial"/>
          <w:lang w:val="es-ES_tradnl" w:eastAsia="es-ES"/>
        </w:rPr>
        <w:t>Desde la perspectiva de los usuarios, las condiciones de competencia resultan relevantes porque pueden influir sobre los incentivos que enfrentan los agentes para mejorar la calidad del servicio, optimizar sus procesos operativos, desarrollar infraestructura y ofrecer mejores condiciones comerciales. En términos generales, una mayor rivalidad competitiva favorece la eficiencia y puede traducirse en beneficios para los usuarios.</w:t>
      </w:r>
    </w:p>
    <w:p w14:paraId="098F4657" w14:textId="77777777" w:rsidR="00DD424A" w:rsidRPr="00DD424A" w:rsidRDefault="00DD424A" w:rsidP="002F1961">
      <w:pPr>
        <w:pStyle w:val="NormalWeb"/>
        <w:spacing w:line="360" w:lineRule="auto"/>
        <w:jc w:val="both"/>
        <w:rPr>
          <w:rFonts w:ascii="Arial" w:hAnsi="Arial" w:cs="Arial"/>
          <w:lang w:val="es-ES_tradnl" w:eastAsia="es-ES"/>
        </w:rPr>
      </w:pPr>
      <w:r w:rsidRPr="00DD424A">
        <w:rPr>
          <w:rFonts w:ascii="Arial" w:hAnsi="Arial" w:cs="Arial"/>
          <w:lang w:val="es-ES_tradnl" w:eastAsia="es-ES"/>
        </w:rPr>
        <w:t>Por el contrario, en algunos mercados pueden presentarse condiciones estructurales que limitan la intensidad de la competencia, tales como el tamaño de la demanda, la localización geográfica, la disponibilidad de infraestructura o la concentración de la oferta. Estas características pueden reducir los incentivos para la entrada de nuevos agentes, el desarrollo de infraestructura o la adopción de mejoras operativas.</w:t>
      </w:r>
    </w:p>
    <w:p w14:paraId="4980C0D5" w14:textId="77777777" w:rsidR="00DD424A" w:rsidRPr="00DD424A" w:rsidRDefault="00DD424A" w:rsidP="002F1961">
      <w:pPr>
        <w:pStyle w:val="NormalWeb"/>
        <w:spacing w:line="360" w:lineRule="auto"/>
        <w:jc w:val="both"/>
        <w:rPr>
          <w:rFonts w:ascii="Arial" w:hAnsi="Arial" w:cs="Arial"/>
          <w:lang w:val="es-ES_tradnl" w:eastAsia="es-ES"/>
        </w:rPr>
      </w:pPr>
      <w:r w:rsidRPr="00DD424A">
        <w:rPr>
          <w:rFonts w:ascii="Arial" w:hAnsi="Arial" w:cs="Arial"/>
          <w:lang w:val="es-ES_tradnl" w:eastAsia="es-ES"/>
        </w:rPr>
        <w:t xml:space="preserve">Otro aspecto relevante corresponde a la integración existente entre diferentes actividades de la cadena de prestación del servicio. La participación de un mismo agente en varios eslabones puede generar eficiencias operativas y facilitar la coordinación de actividades. </w:t>
      </w:r>
      <w:r w:rsidRPr="00DD424A">
        <w:rPr>
          <w:rFonts w:ascii="Arial" w:hAnsi="Arial" w:cs="Arial"/>
          <w:lang w:val="es-ES_tradnl" w:eastAsia="es-ES"/>
        </w:rPr>
        <w:lastRenderedPageBreak/>
        <w:t>No obstante, dependiendo de las características del mercado, estas condiciones también pueden incidir sobre las posibilidades de participación de otros agentes.</w:t>
      </w:r>
    </w:p>
    <w:p w14:paraId="24537CAC" w14:textId="77777777" w:rsidR="00DD424A" w:rsidRPr="00DD424A" w:rsidRDefault="00DD424A" w:rsidP="002F1961">
      <w:pPr>
        <w:pStyle w:val="NormalWeb"/>
        <w:spacing w:line="360" w:lineRule="auto"/>
        <w:jc w:val="both"/>
        <w:rPr>
          <w:rFonts w:ascii="Arial" w:hAnsi="Arial" w:cs="Arial"/>
          <w:lang w:val="es-ES" w:eastAsia="es-ES"/>
        </w:rPr>
      </w:pPr>
      <w:r w:rsidRPr="247C94E4">
        <w:rPr>
          <w:rFonts w:ascii="Arial" w:hAnsi="Arial" w:cs="Arial"/>
          <w:lang w:val="es-ES" w:eastAsia="es-ES"/>
        </w:rPr>
        <w:t>La competencia también se encuentra estrechamente relacionada con la disponibilidad de información. La transparencia del mercado, el acceso oportuno a información relevante y la reducción de asimetrías de información favorecen la toma de decisiones por parte de usuarios y agentes, y contribuyen al adecuado funcionamiento del mercado.</w:t>
      </w:r>
    </w:p>
    <w:p w14:paraId="22A8C9CB" w14:textId="5049DEFD" w:rsidR="704265FD" w:rsidRPr="0066646F" w:rsidRDefault="00DD424A" w:rsidP="002F1961">
      <w:pPr>
        <w:pStyle w:val="NormalWeb"/>
        <w:spacing w:line="360" w:lineRule="auto"/>
        <w:jc w:val="both"/>
        <w:rPr>
          <w:rFonts w:ascii="Arial" w:hAnsi="Arial" w:cs="Arial"/>
          <w:lang w:val="es-ES" w:eastAsia="es-ES"/>
        </w:rPr>
      </w:pPr>
      <w:r w:rsidRPr="00DD424A">
        <w:rPr>
          <w:rFonts w:ascii="Arial" w:hAnsi="Arial" w:cs="Arial"/>
          <w:lang w:val="es-ES_tradnl" w:eastAsia="es-ES"/>
        </w:rPr>
        <w:t>El diagnóstico realizado evidencia que la intensidad competitiva es heterogénea entre las distintas actividades que conforman la cadena de prestación del servicio. Mientras algunos segmentos presentan condiciones que favorecen una mayor rivalidad entre agentes, en otros la estructura del mercado, la disponibilidad de infraestructura, las economías de escala, las condiciones de abastecimiento y las características propias de la demanda limitan la presión competitiva y reducen los incentivos para la entrada de nuevos participantes. Estas diferencias estructurales explican que las condiciones de competencia varíen entre mercados, regiones y modalidades de prestación, constituyéndose en un elemento relevante para el análisis del problema regulatorio desarrollado en el presente AIN.</w:t>
      </w:r>
    </w:p>
    <w:p w14:paraId="4EC4A889" w14:textId="6F5555B9" w:rsidR="00661663" w:rsidRDefault="00661663" w:rsidP="002F1961">
      <w:pPr>
        <w:pStyle w:val="Ttulo2"/>
        <w:spacing w:before="100" w:beforeAutospacing="1" w:after="100" w:afterAutospacing="1"/>
      </w:pPr>
      <w:bookmarkStart w:id="173" w:name="_Toc235128367"/>
      <w:r w:rsidRPr="003658DC">
        <w:t xml:space="preserve">Diagnóstico </w:t>
      </w:r>
      <w:r>
        <w:t>de otros usos</w:t>
      </w:r>
      <w:bookmarkEnd w:id="173"/>
    </w:p>
    <w:p w14:paraId="57810E87" w14:textId="77777777" w:rsidR="00394F8A" w:rsidRDefault="00394F8A" w:rsidP="002F1961">
      <w:pPr>
        <w:pStyle w:val="NormalWeb"/>
        <w:spacing w:line="360" w:lineRule="auto"/>
        <w:jc w:val="both"/>
        <w:rPr>
          <w:rFonts w:ascii="Arial" w:hAnsi="Arial" w:cs="Arial"/>
          <w:lang w:val="es-ES_tradnl" w:eastAsia="es-ES"/>
        </w:rPr>
      </w:pPr>
      <w:r w:rsidRPr="00394F8A">
        <w:rPr>
          <w:rFonts w:ascii="Arial" w:hAnsi="Arial" w:cs="Arial"/>
          <w:lang w:val="es-ES_tradnl" w:eastAsia="es-ES"/>
        </w:rPr>
        <w:t>Si bien el principal destino del GLP en Colombia corresponde a la prestación del servicio público domiciliario, este energético también tiene aplicaciones en otros sectores de la economía que contribuyen a diversificar su demanda, ampliar las alternativas de utilización y fortalecer su papel dentro de la matriz energética nacional.</w:t>
      </w:r>
    </w:p>
    <w:p w14:paraId="4E47C117" w14:textId="77777777" w:rsidR="00394F8A" w:rsidRDefault="00394F8A" w:rsidP="002F1961">
      <w:pPr>
        <w:pStyle w:val="NormalWeb"/>
        <w:spacing w:line="360" w:lineRule="auto"/>
        <w:jc w:val="both"/>
        <w:rPr>
          <w:rFonts w:ascii="Arial" w:hAnsi="Arial" w:cs="Arial"/>
          <w:lang w:val="es-ES" w:eastAsia="es-ES"/>
        </w:rPr>
      </w:pPr>
      <w:r w:rsidRPr="247C94E4">
        <w:rPr>
          <w:rFonts w:ascii="Arial" w:hAnsi="Arial" w:cs="Arial"/>
          <w:lang w:val="es-ES" w:eastAsia="es-ES"/>
        </w:rPr>
        <w:t>Entre estos usos se destacan su utilización como combustible vehicular (AutoGLP), como combustible para embarcaciones (</w:t>
      </w:r>
      <w:proofErr w:type="spellStart"/>
      <w:r w:rsidRPr="247C94E4">
        <w:rPr>
          <w:rFonts w:ascii="Arial" w:hAnsi="Arial" w:cs="Arial"/>
          <w:lang w:val="es-ES" w:eastAsia="es-ES"/>
        </w:rPr>
        <w:t>NautiGLP</w:t>
      </w:r>
      <w:proofErr w:type="spellEnd"/>
      <w:r w:rsidRPr="247C94E4">
        <w:rPr>
          <w:rFonts w:ascii="Arial" w:hAnsi="Arial" w:cs="Arial"/>
          <w:lang w:val="es-ES" w:eastAsia="es-ES"/>
        </w:rPr>
        <w:t>) y como fuente para la generación de energía eléctrica. Estas aplicaciones aprovechan las características energéticas, logísticas y ambientales del GLP, permitiendo su utilización en diferentes contextos y ampliando las posibilidades de aprovechamiento del energético más allá del servicio público domiciliario.</w:t>
      </w:r>
    </w:p>
    <w:p w14:paraId="4ADC0C2C" w14:textId="5307E08E" w:rsidR="00394F8A" w:rsidRPr="00394F8A" w:rsidRDefault="00394F8A" w:rsidP="002F1961">
      <w:pPr>
        <w:pStyle w:val="NormalWeb"/>
        <w:spacing w:line="360" w:lineRule="auto"/>
        <w:jc w:val="both"/>
        <w:rPr>
          <w:rFonts w:ascii="Arial" w:hAnsi="Arial" w:cs="Arial"/>
          <w:lang w:val="es-ES_tradnl" w:eastAsia="es-ES"/>
        </w:rPr>
      </w:pPr>
      <w:r w:rsidRPr="00394F8A">
        <w:rPr>
          <w:rFonts w:ascii="Arial" w:hAnsi="Arial" w:cs="Arial"/>
          <w:lang w:val="es-ES_tradnl" w:eastAsia="es-ES"/>
        </w:rPr>
        <w:lastRenderedPageBreak/>
        <w:t>El nivel de desarrollo de estos mercados presenta diferencias importantes respecto del servicio público domiciliario y responde a las características propias de cada sector, así como a factores relacionados con la disponibilidad de infraestructura, las condiciones de abastecimiento, el desarrollo tecnológico, la información disponible para los usuarios y la evolución de los esquemas comerciales y regulatorios aplicables.</w:t>
      </w:r>
      <w:r w:rsidR="003C27BC">
        <w:rPr>
          <w:rFonts w:ascii="Arial" w:hAnsi="Arial" w:cs="Arial"/>
          <w:lang w:val="es-ES_tradnl" w:eastAsia="es-ES"/>
        </w:rPr>
        <w:t xml:space="preserve"> </w:t>
      </w:r>
      <w:r w:rsidR="00EF1BE8" w:rsidRPr="00EF1BE8">
        <w:rPr>
          <w:rFonts w:ascii="Arial" w:hAnsi="Arial" w:cs="Arial"/>
          <w:lang w:val="es-ES_tradnl" w:eastAsia="es-ES"/>
        </w:rPr>
        <w:t>En este sentido, el desarrollo de estos usos también depende de la existencia de condiciones adecuadas de abastecimiento, infraestructura, logística y disponibilidad del energético, razón por la cual el fortalecimiento de las condiciones de prestación del servicio público domiciliario y de la cadena de GLP constituye un elemento determinante para su consolidación</w:t>
      </w:r>
      <w:r w:rsidR="003C27BC" w:rsidRPr="003C27BC">
        <w:rPr>
          <w:rFonts w:ascii="Arial" w:hAnsi="Arial" w:cs="Arial"/>
          <w:lang w:val="es-ES_tradnl" w:eastAsia="es-ES"/>
        </w:rPr>
        <w:t>.</w:t>
      </w:r>
    </w:p>
    <w:p w14:paraId="3091075B" w14:textId="0270572B" w:rsidR="002B09B7" w:rsidRPr="002B09B7" w:rsidRDefault="00394F8A" w:rsidP="002F1961">
      <w:pPr>
        <w:pStyle w:val="NormalWeb"/>
        <w:spacing w:line="360" w:lineRule="auto"/>
        <w:jc w:val="both"/>
        <w:rPr>
          <w:rFonts w:ascii="Arial" w:hAnsi="Arial" w:cs="Arial"/>
          <w:lang w:val="es-ES_tradnl" w:eastAsia="es-ES"/>
        </w:rPr>
      </w:pPr>
      <w:r w:rsidRPr="00394F8A">
        <w:rPr>
          <w:rFonts w:ascii="Arial" w:hAnsi="Arial" w:cs="Arial"/>
          <w:lang w:val="es-ES_tradnl" w:eastAsia="es-ES"/>
        </w:rPr>
        <w:t>En este contexto, el presente apartado tiene un carácter descriptivo y busca caracterizar el estado de desarrollo de los principales usos del GLP distintos al servicio público domiciliario, con el propósito de contextualizar el aprovechamiento integral del energético en Colombia y su potencial contribución a la diversificación de la matriz energética. En consecuencia, estos usos no constituyen el objeto del problema regulatorio analizado en el presente AIN.</w:t>
      </w:r>
    </w:p>
    <w:p w14:paraId="69826808" w14:textId="0B67FD3B" w:rsidR="00661663" w:rsidRPr="00424165" w:rsidRDefault="00661663" w:rsidP="002F1961">
      <w:pPr>
        <w:pStyle w:val="Ttulo3"/>
        <w:spacing w:before="100" w:beforeAutospacing="1" w:after="100" w:afterAutospacing="1"/>
      </w:pPr>
      <w:bookmarkStart w:id="174" w:name="_Toc235128368"/>
      <w:r w:rsidRPr="388D1F17">
        <w:rPr>
          <w:lang w:val="es-ES"/>
        </w:rPr>
        <w:t>AutoGLP</w:t>
      </w:r>
      <w:bookmarkEnd w:id="174"/>
    </w:p>
    <w:p w14:paraId="73683975" w14:textId="77777777" w:rsidR="006D18E9" w:rsidRPr="006D18E9" w:rsidRDefault="006D18E9" w:rsidP="002F1961">
      <w:pPr>
        <w:spacing w:before="100" w:beforeAutospacing="1" w:after="100" w:afterAutospacing="1" w:line="360" w:lineRule="auto"/>
        <w:rPr>
          <w:rFonts w:cs="Arial"/>
        </w:rPr>
      </w:pPr>
      <w:r w:rsidRPr="247C94E4">
        <w:rPr>
          <w:rFonts w:cs="Arial"/>
        </w:rPr>
        <w:t>El uso del GLP como combustible vehicular (AutoGLP) constituye una alternativa energética que ha sido desarrollada en diversos países como mecanismo para diversificar las fuentes de energía utilizadas en el transporte, reducir emisiones contaminantes y ampliar las opciones de combustible disponibles para los usuarios.</w:t>
      </w:r>
    </w:p>
    <w:p w14:paraId="12E33FE2" w14:textId="77777777" w:rsidR="006D18E9" w:rsidRPr="006D18E9" w:rsidRDefault="006D18E9" w:rsidP="002F1961">
      <w:pPr>
        <w:spacing w:before="100" w:beforeAutospacing="1" w:after="100" w:afterAutospacing="1" w:line="360" w:lineRule="auto"/>
        <w:rPr>
          <w:rFonts w:cs="Arial"/>
        </w:rPr>
      </w:pPr>
      <w:r w:rsidRPr="247C94E4">
        <w:rPr>
          <w:rFonts w:cs="Arial"/>
        </w:rPr>
        <w:t>Las características técnicas del GLP permiten su utilización en motores de combustión interna mediante adecuaciones específicas de los vehículos y el desarrollo de infraestructura especializada para el suministro del combustible. En comparación con otros combustibles líquidos, el AutoGLP ofrece ventajas asociadas a menores emisiones de determinados contaminantes atmosféricos y contribuye a diversificar las alternativas energéticas disponibles para el sector transporte.</w:t>
      </w:r>
    </w:p>
    <w:p w14:paraId="7E1BDF1A" w14:textId="77777777" w:rsidR="006D18E9" w:rsidRPr="006D18E9" w:rsidRDefault="006D18E9" w:rsidP="002F1961">
      <w:pPr>
        <w:spacing w:before="100" w:beforeAutospacing="1" w:after="100" w:afterAutospacing="1" w:line="360" w:lineRule="auto"/>
        <w:rPr>
          <w:rFonts w:cs="Arial"/>
        </w:rPr>
      </w:pPr>
      <w:r w:rsidRPr="247C94E4">
        <w:rPr>
          <w:rFonts w:cs="Arial"/>
        </w:rPr>
        <w:lastRenderedPageBreak/>
        <w:t>En Colombia, el desarrollo del AutoGLP ha sido gradual y su participación dentro del mercado nacional continúa siendo reducida en comparación con otros usos del energético. No obstante, durante los últimos años se han registrado avances regulatorios y comerciales que han permitido habilitar esta alternativa como una opción adicional para determinados segmentos del parque automotor.</w:t>
      </w:r>
    </w:p>
    <w:p w14:paraId="69A27766" w14:textId="77777777" w:rsidR="006D18E9" w:rsidRPr="006D18E9" w:rsidRDefault="006D18E9" w:rsidP="002F1961">
      <w:pPr>
        <w:spacing w:before="100" w:beforeAutospacing="1" w:after="100" w:afterAutospacing="1" w:line="360" w:lineRule="auto"/>
        <w:rPr>
          <w:rFonts w:cs="Arial"/>
          <w:szCs w:val="24"/>
        </w:rPr>
      </w:pPr>
      <w:r w:rsidRPr="006D18E9">
        <w:rPr>
          <w:rFonts w:cs="Arial"/>
          <w:szCs w:val="24"/>
        </w:rPr>
        <w:t>El nivel de desarrollo de este mercado está asociado, entre otros aspectos, a la disponibilidad de estaciones de servicio habilitadas para el suministro del combustible, la existencia de talleres especializados para la conversión de vehículos, el conocimiento de los usuarios sobre esta alternativa energética, las condiciones económicas frente a otros combustibles utilizados en el sector transporte y la disponibilidad de producto para atender la demanda.</w:t>
      </w:r>
    </w:p>
    <w:p w14:paraId="4E003ECD" w14:textId="77777777" w:rsidR="006D18E9" w:rsidRPr="006D18E9" w:rsidRDefault="006D18E9" w:rsidP="002F1961">
      <w:pPr>
        <w:spacing w:before="100" w:beforeAutospacing="1" w:after="100" w:afterAutospacing="1" w:line="360" w:lineRule="auto"/>
        <w:rPr>
          <w:rFonts w:cs="Arial"/>
        </w:rPr>
      </w:pPr>
      <w:r w:rsidRPr="247C94E4">
        <w:rPr>
          <w:rFonts w:cs="Arial"/>
        </w:rPr>
        <w:t>De igual forma, la expansión del AutoGLP depende de la consolidación de infraestructura suficiente para el abastecimiento del combustible y del desarrollo de esquemas comerciales que faciliten su adopción por parte de los usuarios. Estos elementos contribuyen a generar las condiciones necesarias para el crecimiento gradual de este mercado complementario.</w:t>
      </w:r>
    </w:p>
    <w:p w14:paraId="205B9D8E" w14:textId="77777777" w:rsidR="006D18E9" w:rsidRPr="006D18E9" w:rsidRDefault="006D18E9" w:rsidP="002F1961">
      <w:pPr>
        <w:spacing w:before="100" w:beforeAutospacing="1" w:after="100" w:afterAutospacing="1" w:line="360" w:lineRule="auto"/>
        <w:rPr>
          <w:rFonts w:cs="Arial"/>
        </w:rPr>
      </w:pPr>
      <w:r w:rsidRPr="247C94E4">
        <w:rPr>
          <w:rFonts w:cs="Arial"/>
        </w:rPr>
        <w:t>Desde la perspectiva de la política energética, el AutoGLP constituye una alternativa que contribuye a diversificar las fuentes de energía utilizadas en el transporte y a ampliar las posibilidades de aprovechamiento del GLP en nuevos segmentos de consumo.</w:t>
      </w:r>
    </w:p>
    <w:p w14:paraId="4ADDFA0F" w14:textId="3197536E" w:rsidR="00661663" w:rsidRPr="000B196B" w:rsidRDefault="006D18E9" w:rsidP="002F1961">
      <w:pPr>
        <w:spacing w:before="100" w:beforeAutospacing="1" w:after="100" w:afterAutospacing="1" w:line="360" w:lineRule="auto"/>
        <w:rPr>
          <w:rFonts w:cs="Arial"/>
          <w:lang w:val="es-ES"/>
        </w:rPr>
      </w:pPr>
      <w:r w:rsidRPr="006D18E9">
        <w:rPr>
          <w:rFonts w:cs="Arial"/>
          <w:szCs w:val="24"/>
        </w:rPr>
        <w:t>En consecuencia, la caracterización del AutoGLP permite contextualizar el estado de desarrollo de este mercado y su potencial contribución a la diversificación de la demanda de GLP en Colombia, sin que constituya el objeto del problema regulatorio analizado en el presente AIN.</w:t>
      </w:r>
    </w:p>
    <w:p w14:paraId="40CEF4A8" w14:textId="2F6A8884" w:rsidR="00661663" w:rsidRPr="00424165" w:rsidRDefault="00064AFC" w:rsidP="002F1961">
      <w:pPr>
        <w:pStyle w:val="Ttulo3"/>
        <w:spacing w:before="100" w:beforeAutospacing="1" w:after="100" w:afterAutospacing="1"/>
      </w:pPr>
      <w:bookmarkStart w:id="175" w:name="_Toc235128369"/>
      <w:proofErr w:type="spellStart"/>
      <w:r w:rsidRPr="2CE38B43">
        <w:rPr>
          <w:lang w:val="es-ES"/>
        </w:rPr>
        <w:t>NautiGL</w:t>
      </w:r>
      <w:r w:rsidR="00181FB3">
        <w:rPr>
          <w:lang w:val="es-ES"/>
        </w:rPr>
        <w:t>P</w:t>
      </w:r>
      <w:bookmarkEnd w:id="175"/>
      <w:proofErr w:type="spellEnd"/>
    </w:p>
    <w:p w14:paraId="76E3851E" w14:textId="77777777" w:rsidR="00F44461" w:rsidRPr="00F44461" w:rsidRDefault="00F44461" w:rsidP="002F1961">
      <w:pPr>
        <w:spacing w:before="100" w:beforeAutospacing="1" w:after="100" w:afterAutospacing="1" w:line="360" w:lineRule="auto"/>
        <w:rPr>
          <w:rFonts w:cs="Arial"/>
          <w:szCs w:val="24"/>
        </w:rPr>
      </w:pPr>
      <w:r w:rsidRPr="00F44461">
        <w:rPr>
          <w:rFonts w:cs="Arial"/>
          <w:szCs w:val="24"/>
        </w:rPr>
        <w:t xml:space="preserve">El GLP también puede utilizarse como combustible para embarcaciones, constituyendo una alternativa energética para actividades marítimas, fluviales y portuarias. Este uso ha adquirido relevancia en algunos mercados internacionales debido a sus características </w:t>
      </w:r>
      <w:r w:rsidRPr="00F44461">
        <w:rPr>
          <w:rFonts w:cs="Arial"/>
          <w:szCs w:val="24"/>
        </w:rPr>
        <w:lastRenderedPageBreak/>
        <w:t>ambientales y a la búsqueda de alternativas que contribuyan a reducir las emisiones asociadas al transporte marítimo y fluvial.</w:t>
      </w:r>
    </w:p>
    <w:p w14:paraId="1470DA56" w14:textId="77777777" w:rsidR="00F44461" w:rsidRPr="00F44461" w:rsidRDefault="00F44461" w:rsidP="002F1961">
      <w:pPr>
        <w:spacing w:before="100" w:beforeAutospacing="1" w:after="100" w:afterAutospacing="1" w:line="360" w:lineRule="auto"/>
        <w:rPr>
          <w:rFonts w:cs="Arial"/>
        </w:rPr>
      </w:pPr>
      <w:r w:rsidRPr="247C94E4">
        <w:rPr>
          <w:rFonts w:cs="Arial"/>
        </w:rPr>
        <w:t xml:space="preserve">En Colombia, el </w:t>
      </w:r>
      <w:proofErr w:type="spellStart"/>
      <w:r w:rsidRPr="247C94E4">
        <w:rPr>
          <w:rFonts w:cs="Arial"/>
        </w:rPr>
        <w:t>NautiGLP</w:t>
      </w:r>
      <w:proofErr w:type="spellEnd"/>
      <w:r w:rsidRPr="247C94E4">
        <w:rPr>
          <w:rFonts w:cs="Arial"/>
        </w:rPr>
        <w:t xml:space="preserve"> se encuentra en una etapa incipiente y presenta niveles de adopción inferiores a los observados en otros usos del energético. No obstante, las condiciones geográficas del país, la importancia de las actividades marítimas y fluviales y la infraestructura asociada al GLP permiten identificar esta aplicación como una alternativa para ampliar el aprovechamiento del energético en nuevos segmentos de consumo.</w:t>
      </w:r>
    </w:p>
    <w:p w14:paraId="43A9A7FD" w14:textId="77777777" w:rsidR="00F44461" w:rsidRPr="00F44461" w:rsidRDefault="00F44461" w:rsidP="002F1961">
      <w:pPr>
        <w:spacing w:before="100" w:beforeAutospacing="1" w:after="100" w:afterAutospacing="1" w:line="360" w:lineRule="auto"/>
        <w:rPr>
          <w:rFonts w:cs="Arial"/>
        </w:rPr>
      </w:pPr>
      <w:r w:rsidRPr="247C94E4">
        <w:rPr>
          <w:rFonts w:cs="Arial"/>
        </w:rPr>
        <w:t>El estado de desarrollo de este mercado está asociado, entre otros aspectos, a la disponibilidad de infraestructura de abastecimiento en puertos y marinas, la existencia de embarcaciones compatibles con esta tecnología, el desarrollo de estándares técnicos aplicables, la disponibilidad de información para los potenciales usuarios y la existencia de esquemas comerciales que permitan garantizar un suministro seguro y eficiente del combustible.</w:t>
      </w:r>
    </w:p>
    <w:p w14:paraId="005BDE4C" w14:textId="77777777" w:rsidR="00F44461" w:rsidRPr="00F44461" w:rsidRDefault="00F44461" w:rsidP="002F1961">
      <w:pPr>
        <w:spacing w:before="100" w:beforeAutospacing="1" w:after="100" w:afterAutospacing="1" w:line="360" w:lineRule="auto"/>
        <w:rPr>
          <w:rFonts w:cs="Arial"/>
          <w:szCs w:val="24"/>
        </w:rPr>
      </w:pPr>
      <w:r w:rsidRPr="00F44461">
        <w:rPr>
          <w:rFonts w:cs="Arial"/>
          <w:szCs w:val="24"/>
        </w:rPr>
        <w:t>De igual forma, la evolución de esta aplicación estará determinada por el desarrollo de infraestructura, la incorporación de nuevas tecnologías y las condiciones económicas propias de las actividades marítimas y fluviales en las que el GLP pueda constituir una alternativa de suministro.</w:t>
      </w:r>
    </w:p>
    <w:p w14:paraId="3FEC0D13" w14:textId="77777777" w:rsidR="00F44461" w:rsidRPr="00F44461" w:rsidRDefault="00F44461" w:rsidP="002F1961">
      <w:pPr>
        <w:spacing w:before="100" w:beforeAutospacing="1" w:after="100" w:afterAutospacing="1" w:line="360" w:lineRule="auto"/>
        <w:rPr>
          <w:rFonts w:cs="Arial"/>
        </w:rPr>
      </w:pPr>
      <w:r w:rsidRPr="247C94E4">
        <w:rPr>
          <w:rFonts w:cs="Arial"/>
        </w:rPr>
        <w:t xml:space="preserve">Desde la perspectiva de la política energética, el </w:t>
      </w:r>
      <w:proofErr w:type="spellStart"/>
      <w:r w:rsidRPr="247C94E4">
        <w:rPr>
          <w:rFonts w:cs="Arial"/>
        </w:rPr>
        <w:t>NautiGLP</w:t>
      </w:r>
      <w:proofErr w:type="spellEnd"/>
      <w:r w:rsidRPr="247C94E4">
        <w:rPr>
          <w:rFonts w:cs="Arial"/>
        </w:rPr>
        <w:t xml:space="preserve"> constituye una aplicación que amplía las posibilidades de utilización del GLP y contribuye a diversificar sus mercados de consumo.</w:t>
      </w:r>
    </w:p>
    <w:p w14:paraId="4B77F547" w14:textId="6EC1F7FA" w:rsidR="00064AFC" w:rsidRPr="00410CBC" w:rsidRDefault="00F44461" w:rsidP="002F1961">
      <w:pPr>
        <w:spacing w:before="100" w:beforeAutospacing="1" w:after="100" w:afterAutospacing="1" w:line="360" w:lineRule="auto"/>
        <w:rPr>
          <w:rFonts w:cs="Arial"/>
          <w:lang w:val="es-ES"/>
        </w:rPr>
      </w:pPr>
      <w:r w:rsidRPr="00F44461">
        <w:rPr>
          <w:rFonts w:cs="Arial"/>
          <w:szCs w:val="24"/>
        </w:rPr>
        <w:t xml:space="preserve">En consecuencia, la caracterización del </w:t>
      </w:r>
      <w:proofErr w:type="spellStart"/>
      <w:r w:rsidRPr="00F44461">
        <w:rPr>
          <w:rFonts w:cs="Arial"/>
          <w:szCs w:val="24"/>
        </w:rPr>
        <w:t>NautiGLP</w:t>
      </w:r>
      <w:proofErr w:type="spellEnd"/>
      <w:r w:rsidRPr="00F44461">
        <w:rPr>
          <w:rFonts w:cs="Arial"/>
          <w:szCs w:val="24"/>
        </w:rPr>
        <w:t xml:space="preserve"> permite contextualizar el estado de desarrollo de esta aplicación y su contribución potencial al aprovechamiento integral del GLP en Colombia, sin que constituya el objeto del problema regulatorio analizado en el presente AIN.</w:t>
      </w:r>
    </w:p>
    <w:p w14:paraId="54098706" w14:textId="2503FFC1" w:rsidR="00064AFC" w:rsidRPr="00424165" w:rsidRDefault="00064AFC" w:rsidP="002F1961">
      <w:pPr>
        <w:pStyle w:val="Ttulo3"/>
        <w:spacing w:before="100" w:beforeAutospacing="1" w:after="100" w:afterAutospacing="1"/>
      </w:pPr>
      <w:bookmarkStart w:id="176" w:name="_Toc235128370"/>
      <w:r w:rsidRPr="00064AFC">
        <w:lastRenderedPageBreak/>
        <w:t>Generación</w:t>
      </w:r>
      <w:r>
        <w:t xml:space="preserve"> de energía</w:t>
      </w:r>
      <w:r w:rsidRPr="00064AFC">
        <w:t xml:space="preserve"> eléctrica</w:t>
      </w:r>
      <w:bookmarkEnd w:id="176"/>
    </w:p>
    <w:p w14:paraId="3862249C" w14:textId="77777777" w:rsidR="00851CD2" w:rsidRPr="00851CD2" w:rsidRDefault="00851CD2" w:rsidP="002F1961">
      <w:pPr>
        <w:spacing w:before="100" w:beforeAutospacing="1" w:after="100" w:afterAutospacing="1" w:line="360" w:lineRule="auto"/>
        <w:rPr>
          <w:rFonts w:cs="Arial"/>
          <w:szCs w:val="24"/>
        </w:rPr>
      </w:pPr>
      <w:r w:rsidRPr="00851CD2">
        <w:rPr>
          <w:rFonts w:cs="Arial"/>
          <w:szCs w:val="24"/>
        </w:rPr>
        <w:t>El GLP también puede utilizarse como combustible para la generación de energía eléctrica, constituyendo una alternativa para atender necesidades de suministro en diferentes contextos del sistema energético. Gracias a sus características de almacenamiento, transporte y disponibilidad, el GLP ofrece una solución flexible que puede complementar otras fuentes de energía y contribuir a fortalecer la confiabilidad del abastecimiento energético.</w:t>
      </w:r>
    </w:p>
    <w:p w14:paraId="6BE9DBE2" w14:textId="77777777" w:rsidR="00851CD2" w:rsidRPr="00851CD2" w:rsidRDefault="00851CD2" w:rsidP="002F1961">
      <w:pPr>
        <w:spacing w:before="100" w:beforeAutospacing="1" w:after="100" w:afterAutospacing="1" w:line="360" w:lineRule="auto"/>
        <w:rPr>
          <w:rFonts w:cs="Arial"/>
          <w:szCs w:val="24"/>
        </w:rPr>
      </w:pPr>
      <w:r w:rsidRPr="00851CD2">
        <w:rPr>
          <w:rFonts w:cs="Arial"/>
          <w:szCs w:val="24"/>
        </w:rPr>
        <w:t>En este contexto, el GLP puede desempeñar un papel como combustible de respaldo del Sistema Interconectado Nacional (SIN), apoyar la generación en las Zonas No Interconectadas (ZNI), servir como alternativa de respaldo para la prestación del servicio de gas natural cuando se presentan restricciones de suministro y contribuir a fortalecer la atención de la demanda durante eventos extraordinarios, como el Fenómeno de El Niño, en los cuales resulta necesario disponer de fuentes de generación confiables y de rápida implementación.</w:t>
      </w:r>
    </w:p>
    <w:p w14:paraId="333FFF09" w14:textId="77777777" w:rsidR="00851CD2" w:rsidRPr="00851CD2" w:rsidRDefault="00851CD2" w:rsidP="002F1961">
      <w:pPr>
        <w:spacing w:before="100" w:beforeAutospacing="1" w:after="100" w:afterAutospacing="1" w:line="360" w:lineRule="auto"/>
        <w:rPr>
          <w:rFonts w:cs="Arial"/>
          <w:szCs w:val="24"/>
        </w:rPr>
      </w:pPr>
      <w:r w:rsidRPr="00851CD2">
        <w:rPr>
          <w:rFonts w:cs="Arial"/>
          <w:szCs w:val="24"/>
        </w:rPr>
        <w:t>La posibilidad de que el GLP desempeñe estas funciones depende de la existencia de condiciones adecuadas de abastecimiento y de una infraestructura logística, de almacenamiento y transporte que garanticen la disponibilidad oportuna del energético cuando sea requerido. En este sentido, el fortalecimiento de estas condiciones no solo favorece la prestación del servicio público domiciliario, sino que también amplía las posibilidades de utilización del GLP en aplicaciones estratégicas para el sistema energético nacional.</w:t>
      </w:r>
    </w:p>
    <w:p w14:paraId="487E9FA5" w14:textId="77777777" w:rsidR="00851CD2" w:rsidRPr="00851CD2" w:rsidRDefault="00851CD2" w:rsidP="002F1961">
      <w:pPr>
        <w:spacing w:before="100" w:beforeAutospacing="1" w:after="100" w:afterAutospacing="1" w:line="360" w:lineRule="auto"/>
        <w:rPr>
          <w:rFonts w:cs="Arial"/>
          <w:szCs w:val="24"/>
        </w:rPr>
      </w:pPr>
      <w:r w:rsidRPr="00851CD2">
        <w:rPr>
          <w:rFonts w:cs="Arial"/>
          <w:szCs w:val="24"/>
        </w:rPr>
        <w:t>La utilización del GLP para generación eléctrica ofrece ventajas asociadas a la facilidad de transporte y almacenamiento del combustible, a la posibilidad de desarrollar proyectos de diferente escala y a su capacidad para atender requerimientos de suministro en regiones donde otras alternativas energéticas enfrentan limitaciones técnicas, logísticas o de disponibilidad.</w:t>
      </w:r>
    </w:p>
    <w:p w14:paraId="145F9D99" w14:textId="77777777" w:rsidR="00851CD2" w:rsidRPr="00851CD2" w:rsidRDefault="00851CD2" w:rsidP="002F1961">
      <w:pPr>
        <w:spacing w:before="100" w:beforeAutospacing="1" w:after="100" w:afterAutospacing="1" w:line="360" w:lineRule="auto"/>
        <w:rPr>
          <w:rFonts w:cs="Arial"/>
          <w:szCs w:val="24"/>
        </w:rPr>
      </w:pPr>
      <w:r w:rsidRPr="00851CD2">
        <w:rPr>
          <w:rFonts w:cs="Arial"/>
          <w:szCs w:val="24"/>
        </w:rPr>
        <w:lastRenderedPageBreak/>
        <w:t>El nivel de desarrollo de esta aplicación está asociado, entre otros aspectos, a las condiciones de abastecimiento del energético, la disponibilidad de infraestructura logística y de almacenamiento, las características particulares de la demanda, la competitividad frente a otras alternativas de generación y la existencia de marcos regulatorios que permitan su adecuada integración dentro del sistema energético.</w:t>
      </w:r>
    </w:p>
    <w:p w14:paraId="7A4C2E55" w14:textId="77777777" w:rsidR="00851CD2" w:rsidRPr="00851CD2" w:rsidRDefault="00851CD2" w:rsidP="002F1961">
      <w:pPr>
        <w:spacing w:before="100" w:beforeAutospacing="1" w:after="100" w:afterAutospacing="1" w:line="360" w:lineRule="auto"/>
        <w:rPr>
          <w:rFonts w:cs="Arial"/>
          <w:szCs w:val="24"/>
        </w:rPr>
      </w:pPr>
      <w:r w:rsidRPr="00851CD2">
        <w:rPr>
          <w:rFonts w:cs="Arial"/>
          <w:szCs w:val="24"/>
        </w:rPr>
        <w:t>Desde la perspectiva del aprovechamiento integral del energético, la generación eléctrica constituye una aplicación que amplía las posibilidades de utilización del GLP y fortalece su contribución a la seguridad, confiabilidad y resiliencia del sistema energético, además de diversificar los mercados de consumo del energético.</w:t>
      </w:r>
    </w:p>
    <w:p w14:paraId="3DD12422" w14:textId="77777777" w:rsidR="00851CD2" w:rsidRDefault="00851CD2" w:rsidP="002F1961">
      <w:pPr>
        <w:spacing w:before="100" w:beforeAutospacing="1" w:after="100" w:afterAutospacing="1" w:line="360" w:lineRule="auto"/>
        <w:rPr>
          <w:rFonts w:cs="Arial"/>
          <w:szCs w:val="24"/>
        </w:rPr>
      </w:pPr>
      <w:r w:rsidRPr="00851CD2">
        <w:rPr>
          <w:rFonts w:cs="Arial"/>
          <w:szCs w:val="24"/>
        </w:rPr>
        <w:t>En consecuencia, la caracterización del uso del GLP para generación de energía eléctrica permite contextualizar el papel que este energético puede desempeñar como fuente de respaldo y complemento del sistema energético nacional, así como su contribución al aprovechamiento integral del GLP en Colombia, sin que constituya el objeto del problema regulatorio analizado en el presente AIN.</w:t>
      </w:r>
    </w:p>
    <w:p w14:paraId="062BD64A" w14:textId="7FA13F49" w:rsidR="0080489E" w:rsidRDefault="0080489E" w:rsidP="002F1961">
      <w:pPr>
        <w:pStyle w:val="Ttulo2"/>
        <w:spacing w:before="100" w:beforeAutospacing="1" w:after="100" w:afterAutospacing="1"/>
      </w:pPr>
      <w:bookmarkStart w:id="177" w:name="_Toc235128371"/>
      <w:r w:rsidRPr="003658DC">
        <w:t xml:space="preserve">Diagnóstico </w:t>
      </w:r>
      <w:r>
        <w:t>transversal</w:t>
      </w:r>
      <w:bookmarkEnd w:id="177"/>
    </w:p>
    <w:p w14:paraId="6D605341" w14:textId="77777777" w:rsidR="00B30697" w:rsidRPr="00B30697" w:rsidRDefault="00B30697" w:rsidP="002F1961">
      <w:pPr>
        <w:pStyle w:val="isselectedend"/>
        <w:spacing w:line="360" w:lineRule="auto"/>
        <w:jc w:val="both"/>
        <w:rPr>
          <w:rFonts w:ascii="Arial" w:hAnsi="Arial" w:cs="Arial"/>
          <w:lang w:val="es-ES" w:eastAsia="es-ES"/>
        </w:rPr>
      </w:pPr>
      <w:r w:rsidRPr="00B30697">
        <w:rPr>
          <w:rFonts w:ascii="Arial" w:hAnsi="Arial" w:cs="Arial"/>
          <w:lang w:val="es-ES" w:eastAsia="es-ES"/>
        </w:rPr>
        <w:t>Además de los aspectos específicos asociados a las diferentes modalidades de prestación y usos del GLP, el diagnóstico realizado permitió identificar un conjunto de factores de carácter transversal que inciden sobre el funcionamiento general del mercado y se manifiestan, con diferente intensidad, a lo largo de la cadena de prestación del servicio. Estos factores no se restringen a una modalidad de prestación o a un segmento específico del mercado, sino que afectan simultáneamente actividades relacionadas con el abastecimiento, la logística, la infraestructura, la competencia, la disponibilidad de información, la atención de los usuarios y las condiciones bajo las cuales se presta el servicio.</w:t>
      </w:r>
    </w:p>
    <w:p w14:paraId="3277CFA9" w14:textId="3D1A3B09" w:rsidR="00456EA8" w:rsidRPr="00456EA8" w:rsidRDefault="00B30697" w:rsidP="002F1961">
      <w:pPr>
        <w:pStyle w:val="isselectedend"/>
        <w:spacing w:line="360" w:lineRule="auto"/>
        <w:jc w:val="both"/>
        <w:rPr>
          <w:rFonts w:ascii="Arial" w:hAnsi="Arial" w:cs="Arial"/>
          <w:lang w:val="es-ES" w:eastAsia="es-ES"/>
        </w:rPr>
      </w:pPr>
      <w:r w:rsidRPr="00B30697">
        <w:rPr>
          <w:rFonts w:ascii="Arial" w:hAnsi="Arial" w:cs="Arial"/>
          <w:lang w:val="es-ES" w:eastAsia="es-ES"/>
        </w:rPr>
        <w:t xml:space="preserve">El análisis de estos elementos resulta relevante porque permite identificar patrones comunes que explican varios de los hallazgos observados en el diagnóstico sectorial y comprender cómo determinadas condiciones estructurales pueden incidir </w:t>
      </w:r>
      <w:r w:rsidRPr="00B30697">
        <w:rPr>
          <w:rFonts w:ascii="Arial" w:hAnsi="Arial" w:cs="Arial"/>
          <w:lang w:val="es-ES" w:eastAsia="es-ES"/>
        </w:rPr>
        <w:lastRenderedPageBreak/>
        <w:t>simultáneamente sobre la continuidad y confiabilidad del suministro, la eficiencia en la prestación del servicio, el funcionamiento del mercado y la experiencia de los usuarios. En consecuencia, este apartado constituye el puente entre el diagnóstico desarrollado en el presente capítulo y la identificación del problema regulatorio que se analiza en el capítulo siguiente.</w:t>
      </w:r>
    </w:p>
    <w:p w14:paraId="5AC894A5" w14:textId="257753C0" w:rsidR="0080489E" w:rsidRPr="00424165" w:rsidRDefault="00456EA8" w:rsidP="002F1961">
      <w:pPr>
        <w:pStyle w:val="Ttulo3"/>
        <w:spacing w:before="100" w:beforeAutospacing="1" w:after="100" w:afterAutospacing="1"/>
      </w:pPr>
      <w:bookmarkStart w:id="178" w:name="_Toc235128372"/>
      <w:r w:rsidRPr="00456EA8">
        <w:t>Infraestructura</w:t>
      </w:r>
      <w:bookmarkEnd w:id="178"/>
    </w:p>
    <w:p w14:paraId="5E448012" w14:textId="77777777" w:rsidR="009654B4" w:rsidRPr="009654B4" w:rsidRDefault="009654B4" w:rsidP="002F1961">
      <w:pPr>
        <w:pStyle w:val="NormalWeb"/>
        <w:spacing w:line="360" w:lineRule="auto"/>
        <w:jc w:val="both"/>
        <w:rPr>
          <w:rFonts w:ascii="Arial" w:hAnsi="Arial" w:cs="Arial"/>
          <w:lang w:val="es-ES_tradnl" w:eastAsia="es-ES"/>
        </w:rPr>
      </w:pPr>
      <w:r w:rsidRPr="009654B4">
        <w:rPr>
          <w:rFonts w:ascii="Arial" w:hAnsi="Arial" w:cs="Arial"/>
          <w:lang w:val="es-ES_tradnl" w:eastAsia="es-ES"/>
        </w:rPr>
        <w:t>La infraestructura constituye uno de los elementos fundamentales para el funcionamiento de la cadena de prestación del servicio público domiciliario de GLP. La capacidad de los usuarios para acceder al energético depende de la existencia de instalaciones que permitan desarrollar de manera adecuada las actividades de producción, importación, transporte, almacenamiento, envasado, distribución y comercialización.</w:t>
      </w:r>
    </w:p>
    <w:p w14:paraId="55057495" w14:textId="77777777" w:rsidR="009654B4" w:rsidRPr="009654B4" w:rsidRDefault="009654B4" w:rsidP="002F1961">
      <w:pPr>
        <w:pStyle w:val="NormalWeb"/>
        <w:spacing w:line="360" w:lineRule="auto"/>
        <w:jc w:val="both"/>
        <w:rPr>
          <w:rFonts w:ascii="Arial" w:hAnsi="Arial" w:cs="Arial"/>
          <w:lang w:val="es-ES_tradnl" w:eastAsia="es-ES"/>
        </w:rPr>
      </w:pPr>
      <w:r w:rsidRPr="009654B4">
        <w:rPr>
          <w:rFonts w:ascii="Arial" w:hAnsi="Arial" w:cs="Arial"/>
          <w:lang w:val="es-ES_tradnl" w:eastAsia="es-ES"/>
        </w:rPr>
        <w:t>Debido a las características físicas del GLP y a la diversidad de modalidades mediante las cuales se presta el servicio, la infraestructura requerida para atender la demanda involucra una amplia variedad de activos que cumplen funciones específicas dentro de la cadena. La adecuada articulación entre estos elementos resulta necesaria para garantizar la disponibilidad del producto y la atención oportuna de los usuarios.</w:t>
      </w:r>
    </w:p>
    <w:p w14:paraId="03E3E526" w14:textId="77777777" w:rsidR="009654B4" w:rsidRPr="009654B4" w:rsidRDefault="009654B4" w:rsidP="002F1961">
      <w:pPr>
        <w:pStyle w:val="NormalWeb"/>
        <w:spacing w:line="360" w:lineRule="auto"/>
        <w:jc w:val="both"/>
        <w:rPr>
          <w:rFonts w:ascii="Arial" w:hAnsi="Arial" w:cs="Arial"/>
          <w:lang w:val="es-ES_tradnl" w:eastAsia="es-ES"/>
        </w:rPr>
      </w:pPr>
      <w:r w:rsidRPr="009654B4">
        <w:rPr>
          <w:rFonts w:ascii="Arial" w:hAnsi="Arial" w:cs="Arial"/>
          <w:lang w:val="es-ES_tradnl" w:eastAsia="es-ES"/>
        </w:rPr>
        <w:t>La evolución del mercado durante los últimos años ha incrementado la importancia estratégica de la infraestructura asociada al abastecimiento y distribución del energético. La reducción de la producción nacional, la creciente participación de las importaciones y el desarrollo de nuevos usos del GLP han incrementado la necesidad de fortalecer la infraestructura destinada a la importación, el almacenamiento, el transporte y la distribución del producto, así como la capacidad logística requerida para atender oportunamente la demanda.</w:t>
      </w:r>
    </w:p>
    <w:p w14:paraId="54A75B1F" w14:textId="77777777" w:rsidR="009654B4" w:rsidRPr="009654B4" w:rsidRDefault="009654B4" w:rsidP="002F1961">
      <w:pPr>
        <w:pStyle w:val="NormalWeb"/>
        <w:spacing w:line="360" w:lineRule="auto"/>
        <w:jc w:val="both"/>
        <w:rPr>
          <w:rFonts w:ascii="Arial" w:hAnsi="Arial" w:cs="Arial"/>
          <w:lang w:val="es-ES" w:eastAsia="es-ES"/>
        </w:rPr>
      </w:pPr>
      <w:r w:rsidRPr="247C94E4">
        <w:rPr>
          <w:rFonts w:ascii="Arial" w:hAnsi="Arial" w:cs="Arial"/>
          <w:lang w:val="es-ES" w:eastAsia="es-ES"/>
        </w:rPr>
        <w:t xml:space="preserve">Desde la perspectiva de los usuarios finales, la infraestructura no constituye un elemento visible dentro de la prestación cotidiana del servicio. Sin embargo, su disponibilidad, ubicación y capacidad influyen directamente sobre aspectos como la continuidad del </w:t>
      </w:r>
      <w:r w:rsidRPr="247C94E4">
        <w:rPr>
          <w:rFonts w:ascii="Arial" w:hAnsi="Arial" w:cs="Arial"/>
          <w:lang w:val="es-ES" w:eastAsia="es-ES"/>
        </w:rPr>
        <w:lastRenderedPageBreak/>
        <w:t>suministro, la confiabilidad del sistema, los costos de prestación y la posibilidad de ampliar la cobertura hacia nuevos usuarios y territorios.</w:t>
      </w:r>
    </w:p>
    <w:p w14:paraId="743748FA" w14:textId="77777777" w:rsidR="009654B4" w:rsidRPr="009654B4" w:rsidRDefault="009654B4" w:rsidP="002F1961">
      <w:pPr>
        <w:pStyle w:val="NormalWeb"/>
        <w:spacing w:line="360" w:lineRule="auto"/>
        <w:jc w:val="both"/>
        <w:rPr>
          <w:rFonts w:ascii="Arial" w:hAnsi="Arial" w:cs="Arial"/>
          <w:lang w:val="es-ES_tradnl" w:eastAsia="es-ES"/>
        </w:rPr>
      </w:pPr>
      <w:r w:rsidRPr="009654B4">
        <w:rPr>
          <w:rFonts w:ascii="Arial" w:hAnsi="Arial" w:cs="Arial"/>
          <w:lang w:val="es-ES_tradnl" w:eastAsia="es-ES"/>
        </w:rPr>
        <w:t>La insuficiencia de infraestructura o la existencia de restricciones en determinados eslabones de la cadena pueden generar limitaciones para el desarrollo eficiente del mercado, dificultar la atención de incrementos en la demanda o reducir la capacidad de respuesta frente a eventos que afecten el abastecimiento. Los análisis desarrollados para el presente AIN evidencian que estas limitaciones adquieren especial relevancia en infraestructura asociada al almacenamiento estratégico, la importación, el transporte y la logística de distribución, así como en aquellos mercados donde las alternativas de abastecimiento o de transporte son limitadas. Estas condiciones pueden generar cuellos de botella que restringen la capacidad de respuesta del sistema frente a contingencias o frente al crecimiento de la demanda.</w:t>
      </w:r>
    </w:p>
    <w:p w14:paraId="3F0758AC" w14:textId="77777777" w:rsidR="009654B4" w:rsidRPr="009654B4" w:rsidRDefault="009654B4" w:rsidP="002F1961">
      <w:pPr>
        <w:pStyle w:val="NormalWeb"/>
        <w:spacing w:line="360" w:lineRule="auto"/>
        <w:jc w:val="both"/>
        <w:rPr>
          <w:rFonts w:ascii="Arial" w:hAnsi="Arial" w:cs="Arial"/>
          <w:lang w:val="es-ES_tradnl" w:eastAsia="es-ES"/>
        </w:rPr>
      </w:pPr>
      <w:r w:rsidRPr="009654B4">
        <w:rPr>
          <w:rFonts w:ascii="Arial" w:hAnsi="Arial" w:cs="Arial"/>
          <w:lang w:val="es-ES_tradnl" w:eastAsia="es-ES"/>
        </w:rPr>
        <w:t>Otro aspecto relevante corresponde a la distribución geográfica de la infraestructura. Las diferencias regionales en la disponibilidad de activos logísticos pueden generar condiciones heterogéneas para el acceso al servicio y afectar la capacidad de determinadas zonas para responder adecuadamente ante contingencias o cambios en las condiciones de mercado, especialmente en regiones apartadas, de frontera e insulares.</w:t>
      </w:r>
    </w:p>
    <w:p w14:paraId="43E861F9" w14:textId="77777777" w:rsidR="009654B4" w:rsidRPr="009654B4" w:rsidRDefault="009654B4" w:rsidP="002F1961">
      <w:pPr>
        <w:pStyle w:val="NormalWeb"/>
        <w:spacing w:line="360" w:lineRule="auto"/>
        <w:jc w:val="both"/>
        <w:rPr>
          <w:rFonts w:ascii="Arial" w:hAnsi="Arial" w:cs="Arial"/>
          <w:lang w:val="es-ES_tradnl" w:eastAsia="es-ES"/>
        </w:rPr>
      </w:pPr>
      <w:r w:rsidRPr="009654B4">
        <w:rPr>
          <w:rFonts w:ascii="Arial" w:hAnsi="Arial" w:cs="Arial"/>
          <w:lang w:val="es-ES_tradnl" w:eastAsia="es-ES"/>
        </w:rPr>
        <w:t>En este contexto, la infraestructura debe analizarse no solamente como un conjunto de activos físicos, sino como un elemento habilitador de la prestación eficiente del servicio. Su desarrollo, mantenimiento y expansión resultan determinantes para garantizar que los usuarios actuales y potenciales puedan acceder al energético en condiciones adecuadas de calidad, continuidad y confiabilidad.</w:t>
      </w:r>
    </w:p>
    <w:p w14:paraId="2D375073" w14:textId="77777777" w:rsidR="009654B4" w:rsidRPr="009654B4" w:rsidRDefault="009654B4" w:rsidP="002F1961">
      <w:pPr>
        <w:pStyle w:val="NormalWeb"/>
        <w:spacing w:line="360" w:lineRule="auto"/>
        <w:jc w:val="both"/>
        <w:rPr>
          <w:rFonts w:ascii="Arial" w:hAnsi="Arial" w:cs="Arial"/>
          <w:lang w:val="es-ES_tradnl" w:eastAsia="es-ES"/>
        </w:rPr>
      </w:pPr>
      <w:r w:rsidRPr="009654B4">
        <w:rPr>
          <w:rFonts w:ascii="Arial" w:hAnsi="Arial" w:cs="Arial"/>
          <w:lang w:val="es-ES_tradnl" w:eastAsia="es-ES"/>
        </w:rPr>
        <w:t>El diagnóstico realizado evidencia que las limitaciones en la disponibilidad, localización y capacidad de determinados activos de infraestructura incrementan la vulnerabilidad del sistema, restringen la capacidad para responder oportunamente a contingencias, pueden limitar la expansión del servicio hacia nuevos mercados y afectan las condiciones de competencia y eficiencia observadas en algunos segmentos de la cadena.</w:t>
      </w:r>
    </w:p>
    <w:p w14:paraId="5BFB6DE2" w14:textId="75BDAA8A" w:rsidR="0080489E" w:rsidRPr="00A422E2" w:rsidRDefault="009654B4" w:rsidP="002F1961">
      <w:pPr>
        <w:pStyle w:val="NormalWeb"/>
        <w:spacing w:line="360" w:lineRule="auto"/>
        <w:jc w:val="both"/>
        <w:rPr>
          <w:rFonts w:ascii="Arial" w:hAnsi="Arial" w:cs="Arial"/>
          <w:lang w:val="es-ES" w:eastAsia="es-ES"/>
        </w:rPr>
      </w:pPr>
      <w:r w:rsidRPr="009654B4">
        <w:rPr>
          <w:rFonts w:ascii="Arial" w:hAnsi="Arial" w:cs="Arial"/>
          <w:lang w:val="es-ES_tradnl" w:eastAsia="es-ES"/>
        </w:rPr>
        <w:lastRenderedPageBreak/>
        <w:t>En consecuencia, la evaluación de las condiciones de infraestructura busca identificar aquellas limitaciones que puedan afectar la capacidad de la cadena para atender la demanda de manera eficiente y sostenible en el tiempo, así como los desafíos asociados al fortalecimiento de la infraestructura requerida para garantizar la continuidad, la confiabilidad y el desarrollo futuro del mercado de GLP</w:t>
      </w:r>
      <w:r w:rsidR="006D7494" w:rsidRPr="3B4B40E9">
        <w:rPr>
          <w:rFonts w:ascii="Arial" w:hAnsi="Arial" w:cs="Arial"/>
          <w:lang w:val="es-ES" w:eastAsia="es-ES"/>
        </w:rPr>
        <w:t>.</w:t>
      </w:r>
    </w:p>
    <w:p w14:paraId="57B35F2D" w14:textId="6DD4AEE9" w:rsidR="0080489E" w:rsidRDefault="00007089" w:rsidP="002F1961">
      <w:pPr>
        <w:pStyle w:val="Ttulo3"/>
        <w:spacing w:before="100" w:beforeAutospacing="1" w:after="100" w:afterAutospacing="1"/>
      </w:pPr>
      <w:bookmarkStart w:id="179" w:name="_Toc235128373"/>
      <w:r w:rsidRPr="00007089">
        <w:t>Almacenamiento</w:t>
      </w:r>
      <w:bookmarkEnd w:id="179"/>
    </w:p>
    <w:p w14:paraId="230D5859" w14:textId="77777777" w:rsidR="00A61348" w:rsidRPr="00A61348" w:rsidRDefault="00A61348" w:rsidP="002F1961">
      <w:pPr>
        <w:pStyle w:val="NormalWeb"/>
        <w:spacing w:line="360" w:lineRule="auto"/>
        <w:jc w:val="both"/>
        <w:rPr>
          <w:rFonts w:ascii="Arial" w:hAnsi="Arial" w:cs="Arial"/>
          <w:lang w:val="es-ES" w:eastAsia="es-ES"/>
        </w:rPr>
      </w:pPr>
      <w:r w:rsidRPr="00A61348">
        <w:rPr>
          <w:rFonts w:ascii="Arial" w:hAnsi="Arial" w:cs="Arial"/>
          <w:lang w:val="es-ES" w:eastAsia="es-ES"/>
        </w:rPr>
        <w:t>El almacenamiento constituye uno de los componentes más relevantes de la cadena de prestación del servicio público domiciliario de GLP, debido a su papel en la gestión de la oferta, la atención de la demanda y la respuesta frente a eventos que puedan afectar la disponibilidad del producto. A diferencia de otros energéticos cuya producción y consumo pueden encontrarse estrechamente sincronizados, el GLP requiere infraestructura que permita mantener inventarios y garantizar la disponibilidad permanente del producto a lo largo de la cadena.</w:t>
      </w:r>
    </w:p>
    <w:p w14:paraId="5926EB56" w14:textId="77777777" w:rsidR="00A61348" w:rsidRPr="00A61348" w:rsidRDefault="00A61348" w:rsidP="002F1961">
      <w:pPr>
        <w:pStyle w:val="NormalWeb"/>
        <w:spacing w:line="360" w:lineRule="auto"/>
        <w:jc w:val="both"/>
        <w:rPr>
          <w:rFonts w:ascii="Arial" w:hAnsi="Arial" w:cs="Arial"/>
          <w:lang w:val="es-ES" w:eastAsia="es-ES"/>
        </w:rPr>
      </w:pPr>
      <w:r w:rsidRPr="00A61348">
        <w:rPr>
          <w:rFonts w:ascii="Arial" w:hAnsi="Arial" w:cs="Arial"/>
          <w:lang w:val="es-ES" w:eastAsia="es-ES"/>
        </w:rPr>
        <w:t>La capacidad de almacenamiento cumple múltiples funciones dentro del mercado. Desde una perspectiva operativa, permite gestionar las diferencias temporales entre la oferta y la demanda, facilitando la continuidad del suministro y reduciendo la vulnerabilidad frente a interrupciones de corto plazo. De igual forma, contribuye a optimizar las actividades de transporte, distribución y comercialización, otorgando mayor flexibilidad a la gestión logística del producto.</w:t>
      </w:r>
    </w:p>
    <w:p w14:paraId="54EFAA06" w14:textId="77777777" w:rsidR="00A61348" w:rsidRPr="00A61348" w:rsidRDefault="00A61348" w:rsidP="002F1961">
      <w:pPr>
        <w:pStyle w:val="NormalWeb"/>
        <w:spacing w:line="360" w:lineRule="auto"/>
        <w:jc w:val="both"/>
        <w:rPr>
          <w:rFonts w:ascii="Arial" w:hAnsi="Arial" w:cs="Arial"/>
          <w:lang w:val="es-ES" w:eastAsia="es-ES"/>
        </w:rPr>
      </w:pPr>
      <w:r w:rsidRPr="00A61348">
        <w:rPr>
          <w:rFonts w:ascii="Arial" w:hAnsi="Arial" w:cs="Arial"/>
          <w:lang w:val="es-ES" w:eastAsia="es-ES"/>
        </w:rPr>
        <w:t>La importancia del almacenamiento se ha incrementado a medida que la estructura de abastecimiento del mercado ha evolucionado. La reducción gradual de la producción nacional y la creciente participación de las importaciones han fortalecido la necesidad de contar con infraestructura suficiente para recibir, almacenar y redistribuir el producto de manera eficiente hacia los diferentes mercados de consumo, incrementando el carácter estratégico del almacenamiento para garantizar la seguridad del abastecimiento.</w:t>
      </w:r>
    </w:p>
    <w:p w14:paraId="7387E577" w14:textId="77777777" w:rsidR="00A61348" w:rsidRPr="00A61348" w:rsidRDefault="00A61348" w:rsidP="002F1961">
      <w:pPr>
        <w:pStyle w:val="NormalWeb"/>
        <w:spacing w:line="360" w:lineRule="auto"/>
        <w:jc w:val="both"/>
        <w:rPr>
          <w:rFonts w:ascii="Arial" w:hAnsi="Arial" w:cs="Arial"/>
          <w:lang w:val="es-ES" w:eastAsia="es-ES"/>
        </w:rPr>
      </w:pPr>
      <w:r w:rsidRPr="00A61348">
        <w:rPr>
          <w:rFonts w:ascii="Arial" w:hAnsi="Arial" w:cs="Arial"/>
          <w:lang w:val="es-ES" w:eastAsia="es-ES"/>
        </w:rPr>
        <w:t xml:space="preserve">Desde la perspectiva de los usuarios finales, la disponibilidad de infraestructura de almacenamiento no constituye un elemento visible dentro de la prestación cotidiana del </w:t>
      </w:r>
      <w:r w:rsidRPr="00A61348">
        <w:rPr>
          <w:rFonts w:ascii="Arial" w:hAnsi="Arial" w:cs="Arial"/>
          <w:lang w:val="es-ES" w:eastAsia="es-ES"/>
        </w:rPr>
        <w:lastRenderedPageBreak/>
        <w:t>servicio. Sin embargo, su existencia influye directamente sobre la capacidad del sistema para garantizar la continuidad del suministro, responder oportunamente frente a contingencias y mantener condiciones adecuadas de prestación cuando se presentan afectaciones en la cadena de abastecimiento.</w:t>
      </w:r>
    </w:p>
    <w:p w14:paraId="6A48C962" w14:textId="77777777" w:rsidR="00A61348" w:rsidRPr="00A61348" w:rsidRDefault="00A61348" w:rsidP="002F1961">
      <w:pPr>
        <w:pStyle w:val="NormalWeb"/>
        <w:spacing w:line="360" w:lineRule="auto"/>
        <w:jc w:val="both"/>
        <w:rPr>
          <w:rFonts w:ascii="Arial" w:hAnsi="Arial" w:cs="Arial"/>
          <w:lang w:val="es-ES" w:eastAsia="es-ES"/>
        </w:rPr>
      </w:pPr>
      <w:r w:rsidRPr="00A61348">
        <w:rPr>
          <w:rFonts w:ascii="Arial" w:hAnsi="Arial" w:cs="Arial"/>
          <w:lang w:val="es-ES" w:eastAsia="es-ES"/>
        </w:rPr>
        <w:t>La capacidad de almacenamiento también constituye un mecanismo para fortalecer la resiliencia del mercado frente a situaciones extraordinarias. Eventos asociados a restricciones operativas, dificultades logísticas, afectaciones en la infraestructura de transporte, fenómenos climáticos, alteraciones del orden público o cambios inesperados en las condiciones de oferta pueden generar presiones sobre el abastecimiento que requieren mecanismos de respuesta capaces de mitigar sus efectos sobre los usuarios. En estos escenarios, la disponibilidad de inventarios permite reducir la exposición del sistema frente a interrupciones del suministro y facilita la recuperación de la prestación del servicio.</w:t>
      </w:r>
    </w:p>
    <w:p w14:paraId="35BF4005" w14:textId="77777777" w:rsidR="00A61348" w:rsidRPr="00A61348" w:rsidRDefault="00A61348" w:rsidP="002F1961">
      <w:pPr>
        <w:pStyle w:val="NormalWeb"/>
        <w:spacing w:line="360" w:lineRule="auto"/>
        <w:jc w:val="both"/>
        <w:rPr>
          <w:rFonts w:ascii="Arial" w:hAnsi="Arial" w:cs="Arial"/>
          <w:lang w:val="es-ES" w:eastAsia="es-ES"/>
        </w:rPr>
      </w:pPr>
      <w:r w:rsidRPr="00A61348">
        <w:rPr>
          <w:rFonts w:ascii="Arial" w:hAnsi="Arial" w:cs="Arial"/>
          <w:lang w:val="es-ES" w:eastAsia="es-ES"/>
        </w:rPr>
        <w:t>Asimismo, el almacenamiento desempeña un papel importante en la gestión del crecimiento futuro del mercado. La expansión de la demanda, el desarrollo de nuevos usos del energético y la incorporación de nuevas fuentes de suministro requieren infraestructura que permita acompañar estos procesos y garantizar que el sistema mantenga condiciones adecuadas de operación a medida que evolucionan las necesidades del sector.</w:t>
      </w:r>
    </w:p>
    <w:p w14:paraId="169DD195" w14:textId="77777777" w:rsidR="00A61348" w:rsidRPr="00A61348" w:rsidRDefault="00A61348" w:rsidP="002F1961">
      <w:pPr>
        <w:pStyle w:val="NormalWeb"/>
        <w:spacing w:line="360" w:lineRule="auto"/>
        <w:jc w:val="both"/>
        <w:rPr>
          <w:rFonts w:ascii="Arial" w:hAnsi="Arial" w:cs="Arial"/>
          <w:lang w:val="es-ES" w:eastAsia="es-ES"/>
        </w:rPr>
      </w:pPr>
      <w:r w:rsidRPr="00A61348">
        <w:rPr>
          <w:rFonts w:ascii="Arial" w:hAnsi="Arial" w:cs="Arial"/>
          <w:lang w:val="es-ES" w:eastAsia="es-ES"/>
        </w:rPr>
        <w:t>Otro aspecto relevante corresponde a la distribución geográfica de la infraestructura de almacenamiento. La concentración de capacidad instalada en determinadas regiones y la limitada disponibilidad de infraestructura en otras pueden generar diferencias en la capacidad de respuesta frente a contingencias y en las condiciones de abastecimiento de los distintos mercados. En consecuencia, la suficiencia del almacenamiento no depende únicamente de la capacidad total instalada, sino también de su localización estratégica, de su articulación con la infraestructura logística y de transporte y de su capacidad para atender las necesidades particulares de las diferentes regiones del país.</w:t>
      </w:r>
    </w:p>
    <w:p w14:paraId="5CFB5D0A" w14:textId="77777777" w:rsidR="00A61348" w:rsidRPr="00A61348" w:rsidRDefault="00A61348" w:rsidP="002F1961">
      <w:pPr>
        <w:pStyle w:val="NormalWeb"/>
        <w:spacing w:line="360" w:lineRule="auto"/>
        <w:jc w:val="both"/>
        <w:rPr>
          <w:rFonts w:ascii="Arial" w:hAnsi="Arial" w:cs="Arial"/>
          <w:lang w:val="es-ES" w:eastAsia="es-ES"/>
        </w:rPr>
      </w:pPr>
      <w:r w:rsidRPr="00A61348">
        <w:rPr>
          <w:rFonts w:ascii="Arial" w:hAnsi="Arial" w:cs="Arial"/>
          <w:lang w:val="es-ES" w:eastAsia="es-ES"/>
        </w:rPr>
        <w:lastRenderedPageBreak/>
        <w:t>Desde la perspectiva regulatoria, el almacenamiento adquiere especial relevancia por su relación con la seguridad de abastecimiento, la continuidad y la confiabilidad del servicio. La disponibilidad de inventarios adecuados y de infraestructura suficiente contribuye a reducir la vulnerabilidad del sistema frente a interrupciones del suministro y fortalece la capacidad de respuesta del mercado ante eventos adversos.</w:t>
      </w:r>
    </w:p>
    <w:p w14:paraId="5203DCB7" w14:textId="0D617627" w:rsidR="00007089" w:rsidRDefault="00A61348" w:rsidP="002F1961">
      <w:pPr>
        <w:pStyle w:val="NormalWeb"/>
        <w:spacing w:line="360" w:lineRule="auto"/>
        <w:jc w:val="both"/>
        <w:rPr>
          <w:rFonts w:ascii="Arial" w:hAnsi="Arial" w:cs="Arial"/>
          <w:lang w:val="es-ES" w:eastAsia="es-ES"/>
        </w:rPr>
      </w:pPr>
      <w:r w:rsidRPr="00A61348">
        <w:rPr>
          <w:rFonts w:ascii="Arial" w:hAnsi="Arial" w:cs="Arial"/>
          <w:lang w:val="es-ES" w:eastAsia="es-ES"/>
        </w:rPr>
        <w:t>El diagnóstico realizado evidencia que el almacenamiento constituye un elemento estratégico para garantizar la continuidad y confiabilidad del suministro de GLP. No obstante, la creciente dependencia de las importaciones, la necesidad de fortalecer la infraestructura de almacenamiento estratégico y las diferencias regionales en la disponibilidad de capacidad instalada ponen de manifiesto la importancia de fortalecer este componente de la cadena para mejorar la resiliencia del sistema, reducir la vulnerabilidad frente a contingencias y acompañar la evolución futura del mercado.</w:t>
      </w:r>
    </w:p>
    <w:p w14:paraId="588BCBD9" w14:textId="67BDAAE8" w:rsidR="001E0F2C" w:rsidRPr="004E2032" w:rsidRDefault="001F22B0" w:rsidP="002F1961">
      <w:pPr>
        <w:pStyle w:val="NormalWeb"/>
        <w:spacing w:line="360" w:lineRule="auto"/>
        <w:jc w:val="both"/>
        <w:rPr>
          <w:rFonts w:ascii="Arial" w:hAnsi="Arial" w:cs="Arial"/>
          <w:lang w:val="es-ES_tradnl" w:eastAsia="es-ES"/>
        </w:rPr>
      </w:pPr>
      <w:r w:rsidRPr="001F22B0">
        <w:rPr>
          <w:rFonts w:ascii="Arial" w:hAnsi="Arial" w:cs="Arial"/>
          <w:lang w:val="es-ES_tradnl" w:eastAsia="es-ES"/>
        </w:rPr>
        <w:t>En consecuencia, la evaluación de las condiciones de almacenamiento busca determinar si la infraestructura actualmente disponible resulta suficiente para atender las necesidades operativas del mercado, responder oportunamente a escenarios de contingencia y acompañar el crecimiento de la demanda. Asimismo, permite valorar la capacidad del sistema para gestionar los riesgos asociados al abastecimiento y fortalecer la resiliencia de la cadena de prestación del servicio, constituyéndose en un elemento fundamental para el análisis del problema regulatorio desarrollado en el presente AIN</w:t>
      </w:r>
      <w:r w:rsidR="001E0F2C" w:rsidRPr="001E0F2C">
        <w:rPr>
          <w:rFonts w:ascii="Arial" w:hAnsi="Arial" w:cs="Arial"/>
          <w:lang w:val="es-ES_tradnl" w:eastAsia="es-ES"/>
        </w:rPr>
        <w:t>.</w:t>
      </w:r>
    </w:p>
    <w:p w14:paraId="79373610" w14:textId="13470966" w:rsidR="00007089" w:rsidRPr="00424165" w:rsidRDefault="00A47D03" w:rsidP="002F1961">
      <w:pPr>
        <w:pStyle w:val="Ttulo3"/>
        <w:spacing w:before="100" w:beforeAutospacing="1" w:after="100" w:afterAutospacing="1"/>
      </w:pPr>
      <w:bookmarkStart w:id="180" w:name="_Toc235128374"/>
      <w:r w:rsidRPr="00A47D03">
        <w:t>Información de mercado</w:t>
      </w:r>
      <w:bookmarkEnd w:id="180"/>
    </w:p>
    <w:p w14:paraId="4847C5A6" w14:textId="77777777" w:rsidR="0034521D" w:rsidRPr="0034521D" w:rsidRDefault="0034521D" w:rsidP="002F1961">
      <w:pPr>
        <w:spacing w:before="100" w:beforeAutospacing="1" w:after="100" w:afterAutospacing="1" w:line="360" w:lineRule="auto"/>
      </w:pPr>
      <w:r w:rsidRPr="0034521D">
        <w:t>La información constituye un elemento esencial para el adecuado funcionamiento de los mercados y para la toma de decisiones por parte de los diferentes actores que participan en la cadena de prestación del servicio público domiciliario de GLP. La disponibilidad de información oportuna, confiable, integrada y suficiente contribuye a mejorar la transparencia del mercado, facilita la planeación de inversiones, fortalece la competencia y permite a los usuarios, los agentes y las autoridades adoptar decisiones mejor fundamentadas.</w:t>
      </w:r>
    </w:p>
    <w:p w14:paraId="4BDC9D34" w14:textId="77777777" w:rsidR="0034521D" w:rsidRPr="0034521D" w:rsidRDefault="0034521D" w:rsidP="002F1961">
      <w:pPr>
        <w:spacing w:before="100" w:beforeAutospacing="1" w:after="100" w:afterAutospacing="1" w:line="360" w:lineRule="auto"/>
      </w:pPr>
      <w:r w:rsidRPr="0034521D">
        <w:lastRenderedPageBreak/>
        <w:t>En el caso del GLP, la información desempeña un papel particularmente relevante debido a la complejidad de la cadena de suministro y a la participación de múltiples agentes que desarrollan actividades de producción, importación, comercialización, transporte, almacenamiento y distribución. La coordinación eficiente entre estas actividades requiere mecanismos adecuados de intercambio e integración de información que permitan anticipar cambios en la oferta, la demanda, la disponibilidad del producto y las condiciones operativas del mercado.</w:t>
      </w:r>
    </w:p>
    <w:p w14:paraId="16EF7BC9" w14:textId="77777777" w:rsidR="0034521D" w:rsidRPr="0034521D" w:rsidRDefault="0034521D" w:rsidP="002F1961">
      <w:pPr>
        <w:spacing w:before="100" w:beforeAutospacing="1" w:after="100" w:afterAutospacing="1" w:line="360" w:lineRule="auto"/>
      </w:pPr>
      <w:r w:rsidRPr="0034521D">
        <w:t>Desde la perspectiva de los usuarios finales, la disponibilidad de información resulta fundamental para comprender las condiciones bajo las cuales se presta el servicio, conocer los precios aplicables, identificar sus derechos y obligaciones y evaluar las diferentes alternativas disponibles en el mercado. La existencia de información clara y accesible contribuye a reducir incertidumbres y fortalece la capacidad de los usuarios para ejercer sus derechos dentro del servicio público domiciliario. No obstante, los usuarios no siempre disponen de información suficiente para comprender integralmente la formación del valor pagado por el servicio, las características del producto suministrado o las razones que explican las diferencias percibidas en su desempeño, situación que puede incrementar las asimetrías de información durante la prestación del servicio.</w:t>
      </w:r>
    </w:p>
    <w:p w14:paraId="6DAD28E5" w14:textId="77777777" w:rsidR="0034521D" w:rsidRPr="0034521D" w:rsidRDefault="0034521D" w:rsidP="002F1961">
      <w:pPr>
        <w:spacing w:before="100" w:beforeAutospacing="1" w:after="100" w:afterAutospacing="1" w:line="360" w:lineRule="auto"/>
      </w:pPr>
      <w:r w:rsidRPr="0034521D">
        <w:t>La información también desempeña un papel importante en la formación de expectativas respecto de la calidad y el desempeño del producto. En mercados donde las características técnicas del energético no son fácilmente observables por los usuarios, la disponibilidad de información adecuada permite reducir diferencias entre la calidad percibida y las condiciones efectivas del producto suministrado. De igual forma, facilita la comprensión de aspectos asociados a la composición del GLP, sus condiciones de utilización y las características propias de las diferentes modalidades de prestación del servicio.</w:t>
      </w:r>
    </w:p>
    <w:p w14:paraId="4BFA1302" w14:textId="77777777" w:rsidR="0034521D" w:rsidRPr="0034521D" w:rsidRDefault="0034521D" w:rsidP="002F1961">
      <w:pPr>
        <w:spacing w:before="100" w:beforeAutospacing="1" w:after="100" w:afterAutospacing="1" w:line="360" w:lineRule="auto"/>
      </w:pPr>
      <w:r w:rsidRPr="0034521D">
        <w:t xml:space="preserve">Por otra parte, la información constituye un insumo esencial para la toma de decisiones regulatorias y para el ejercicio de las funciones de inspección, vigilancia y control. La planeación del abastecimiento, la evaluación de las condiciones de competencia, el seguimiento de la evolución del mercado y el diseño de medidas regulatorias requieren </w:t>
      </w:r>
      <w:r w:rsidRPr="0034521D">
        <w:lastRenderedPageBreak/>
        <w:t>información confiable, oportuna e integrada sobre el comportamiento de los diferentes segmentos de la cadena.</w:t>
      </w:r>
    </w:p>
    <w:p w14:paraId="579C9D75" w14:textId="77777777" w:rsidR="0034521D" w:rsidRPr="0034521D" w:rsidRDefault="0034521D" w:rsidP="002F1961">
      <w:pPr>
        <w:spacing w:before="100" w:beforeAutospacing="1" w:after="100" w:afterAutospacing="1" w:line="360" w:lineRule="auto"/>
      </w:pPr>
      <w:r w:rsidRPr="0034521D">
        <w:t>Los estudios realizados para la caracterización del sector evidencian que la disponibilidad, calidad, oportunidad e integración de la información influyen directamente sobre el desempeño del mercado y sobre la capacidad de los diferentes actores para adoptar decisiones eficientes. En este sentido, las asimetrías de información pueden dificultar la evaluación de alternativas, afectar los mecanismos de competencia, limitar la coordinación entre los agentes de la cadena y reducir la capacidad de los usuarios para comprender plenamente las condiciones bajo las cuales reciben el servicio.</w:t>
      </w:r>
    </w:p>
    <w:p w14:paraId="0710E3CE" w14:textId="77777777" w:rsidR="0034521D" w:rsidRPr="0034521D" w:rsidRDefault="0034521D" w:rsidP="002F1961">
      <w:pPr>
        <w:spacing w:before="100" w:beforeAutospacing="1" w:after="100" w:afterAutospacing="1" w:line="360" w:lineRule="auto"/>
      </w:pPr>
      <w:r w:rsidRPr="0034521D">
        <w:t>Asimismo, la evolución del mercado y el desarrollo de nuevos usos del GLP generan necesidades crecientes de información relacionadas con el abastecimiento, la infraestructura, la logística, los inventarios, la demanda, la calidad del producto y las condiciones de prestación del servicio. Estas necesidades adquieren especial importancia en un contexto caracterizado por una mayor participación de las importaciones y por la necesidad de fortalecer la capacidad del sistema para responder oportunamente a cambios estructurales en las condiciones de oferta y demanda.</w:t>
      </w:r>
    </w:p>
    <w:p w14:paraId="52A2F189" w14:textId="77777777" w:rsidR="0034521D" w:rsidRPr="0034521D" w:rsidRDefault="0034521D" w:rsidP="002F1961">
      <w:pPr>
        <w:spacing w:before="100" w:beforeAutospacing="1" w:after="100" w:afterAutospacing="1" w:line="360" w:lineRule="auto"/>
      </w:pPr>
      <w:r w:rsidRPr="0034521D">
        <w:t>Desde una perspectiva sectorial, la transparencia de la información también contribuye a generar señales adecuadas para el desarrollo de inversiones y para la expansión de la infraestructura necesaria para atender la demanda futura. La disponibilidad de información confiable e integrada reduce incertidumbres, facilita la identificación de oportunidades de mercado y favorece una mejor coordinación entre los diferentes agentes que participan en la cadena de prestación del servicio.</w:t>
      </w:r>
    </w:p>
    <w:p w14:paraId="68753D9C" w14:textId="77777777" w:rsidR="0034521D" w:rsidRPr="0034521D" w:rsidRDefault="0034521D" w:rsidP="002F1961">
      <w:pPr>
        <w:spacing w:before="100" w:beforeAutospacing="1" w:after="100" w:afterAutospacing="1" w:line="360" w:lineRule="auto"/>
      </w:pPr>
      <w:r w:rsidRPr="0034521D">
        <w:t xml:space="preserve">El diagnóstico realizado evidencia la existencia de asimetrías de información entre agentes, usuarios y autoridades, así como limitaciones en la integración, disponibilidad y oportunidad de la información relacionada con el abastecimiento, los inventarios, la infraestructura, las condiciones de prestación y la calidad del servicio. Estas circunstancias dificultan la coordinación entre los diferentes actores de la cadena, limitan </w:t>
      </w:r>
      <w:r w:rsidRPr="0034521D">
        <w:lastRenderedPageBreak/>
        <w:t>la transparencia del mercado y reducen la capacidad para adoptar decisiones regulatorias, comerciales y de consumo de manera eficiente.</w:t>
      </w:r>
    </w:p>
    <w:p w14:paraId="5677861B" w14:textId="7D954E1C" w:rsidR="3C72511D" w:rsidRDefault="0034521D" w:rsidP="002F1961">
      <w:pPr>
        <w:spacing w:before="100" w:beforeAutospacing="1" w:after="100" w:afterAutospacing="1" w:line="360" w:lineRule="auto"/>
      </w:pPr>
      <w:r w:rsidRPr="0034521D">
        <w:t>En consecuencia, la evaluación de las condiciones de información de mercado busca identificar los factores que limitan la disponibilidad, integración y aprovechamiento de la información requerida para el adecuado funcionamiento del sector, así como su incidencia sobre la transparencia, la competencia, la prestación del servicio y la protección de los intereses de los usuarios, constituyéndose en un elemento transversal para el análisis del problema regulatorio desarrollado en el presente AIN.</w:t>
      </w:r>
    </w:p>
    <w:p w14:paraId="714047CA" w14:textId="27403F22" w:rsidR="00007089" w:rsidRDefault="00A47D03" w:rsidP="002F1961">
      <w:pPr>
        <w:pStyle w:val="Ttulo3"/>
        <w:spacing w:before="100" w:beforeAutospacing="1" w:after="100" w:afterAutospacing="1"/>
      </w:pPr>
      <w:bookmarkStart w:id="181" w:name="_Toc235128375"/>
      <w:r w:rsidRPr="00A47D03">
        <w:t>Desarrollo tecnológico</w:t>
      </w:r>
      <w:bookmarkEnd w:id="181"/>
    </w:p>
    <w:p w14:paraId="76EDED20" w14:textId="77777777" w:rsidR="00E2746D" w:rsidRDefault="00E2746D" w:rsidP="002F1961">
      <w:pPr>
        <w:spacing w:before="100" w:beforeAutospacing="1" w:after="100" w:afterAutospacing="1" w:line="360" w:lineRule="auto"/>
      </w:pPr>
      <w:r>
        <w:t>El desarrollo tecnológico constituye uno de los principales factores de transformación de los mercados energéticos y desempeña un papel cada vez más relevante en la prestación de los servicios públicos domiciliarios. La incorporación de nuevas tecnologías puede contribuir a mejorar la eficiencia operativa, fortalecer los mecanismos de control, optimizar la gestión de activos, facilitar la toma de decisiones y generar beneficios tanto para los agentes como para los usuarios finales.</w:t>
      </w:r>
    </w:p>
    <w:p w14:paraId="7205F9E5" w14:textId="77777777" w:rsidR="00E2746D" w:rsidRDefault="00E2746D" w:rsidP="002F1961">
      <w:pPr>
        <w:spacing w:before="100" w:beforeAutospacing="1" w:after="100" w:afterAutospacing="1" w:line="360" w:lineRule="auto"/>
      </w:pPr>
      <w:r>
        <w:t>En el caso del GLP, el desarrollo tecnológico se ha incorporado progresivamente en diferentes actividades de la cadena, incluyendo la producción, el transporte, el almacenamiento, la distribución y la comercialización. Estas herramientas han permitido fortalecer los procesos operativos, mejorar la gestión de la información y facilitar el desarrollo de soluciones orientadas a incrementar la eficiencia y la seguridad en la prestación del servicio.</w:t>
      </w:r>
    </w:p>
    <w:p w14:paraId="33B3323C" w14:textId="77777777" w:rsidR="00E2746D" w:rsidRDefault="00E2746D" w:rsidP="002F1961">
      <w:pPr>
        <w:spacing w:before="100" w:beforeAutospacing="1" w:after="100" w:afterAutospacing="1" w:line="360" w:lineRule="auto"/>
      </w:pPr>
      <w:r>
        <w:t>Uno de los ámbitos donde la tecnología adquiere mayor relevancia corresponde a la trazabilidad del producto y de los activos utilizados durante la prestación del servicio. La utilización de herramientas digitales para la identificación, seguimiento y control de cilindros, tanques, infraestructura y operaciones permite fortalecer la gestión operativa, mejorar la disponibilidad de información y facilitar el seguimiento de las diferentes actividades que integran la cadena.</w:t>
      </w:r>
    </w:p>
    <w:p w14:paraId="618C3C88" w14:textId="77777777" w:rsidR="00E2746D" w:rsidRDefault="00E2746D" w:rsidP="002F1961">
      <w:pPr>
        <w:spacing w:before="100" w:beforeAutospacing="1" w:after="100" w:afterAutospacing="1" w:line="360" w:lineRule="auto"/>
      </w:pPr>
      <w:r>
        <w:lastRenderedPageBreak/>
        <w:t>De igual forma, la incorporación de tecnologías de monitoreo y supervisión contribuye a fortalecer la capacidad de respuesta frente a eventos operativos, facilitar la programación de actividades de mantenimiento, mejorar la administración de los activos y reforzar las condiciones de seguridad y confiabilidad de la prestación del servicio.</w:t>
      </w:r>
    </w:p>
    <w:p w14:paraId="4B59EAA4" w14:textId="77777777" w:rsidR="00E2746D" w:rsidRDefault="00E2746D" w:rsidP="002F1961">
      <w:pPr>
        <w:spacing w:before="100" w:beforeAutospacing="1" w:after="100" w:afterAutospacing="1" w:line="360" w:lineRule="auto"/>
      </w:pPr>
      <w:r>
        <w:t>La evolución tecnológica también ofrece oportunidades para fortalecer la integración y el intercambio de información entre los diferentes agentes de la cadena. El desarrollo de plataformas digitales, sistemas de información y herramientas de análisis facilita la coordinación operativa, mejora la disponibilidad de información para la toma de decisiones y fortalece los procesos de seguimiento sectorial.</w:t>
      </w:r>
    </w:p>
    <w:p w14:paraId="27272E94" w14:textId="77777777" w:rsidR="00E2746D" w:rsidRDefault="00E2746D" w:rsidP="002F1961">
      <w:pPr>
        <w:spacing w:before="100" w:beforeAutospacing="1" w:after="100" w:afterAutospacing="1" w:line="360" w:lineRule="auto"/>
      </w:pPr>
      <w:r>
        <w:t>Asimismo, el desarrollo tecnológico favorece la incorporación de nuevos usos del GLP y el desarrollo de soluciones energéticas complementarias, contribuyendo a diversificar la demanda y ampliar las posibilidades de aprovechamiento del energético.</w:t>
      </w:r>
    </w:p>
    <w:p w14:paraId="25C07F12" w14:textId="77777777" w:rsidR="00E2746D" w:rsidRDefault="00E2746D" w:rsidP="002F1961">
      <w:pPr>
        <w:spacing w:before="100" w:beforeAutospacing="1" w:after="100" w:afterAutospacing="1" w:line="360" w:lineRule="auto"/>
      </w:pPr>
      <w:r>
        <w:t>No obstante, la incorporación de estas tecnologías presenta niveles de desarrollo heterogéneos entre los diferentes agentes y actividades de la cadena. Factores como los costos de implementación, la disponibilidad de infraestructura complementaria, la interoperabilidad entre sistemas, la estandarización de procesos y las diferencias en las capacidades operativas pueden limitar el aprovechamiento de las herramientas tecnológicas disponibles y generar diferencias en la eficiencia con que se desarrollan las distintas actividades del mercado.</w:t>
      </w:r>
    </w:p>
    <w:p w14:paraId="3DCC97D0" w14:textId="77777777" w:rsidR="00E2746D" w:rsidRDefault="00E2746D" w:rsidP="002F1961">
      <w:pPr>
        <w:spacing w:before="100" w:beforeAutospacing="1" w:after="100" w:afterAutospacing="1" w:line="360" w:lineRule="auto"/>
      </w:pPr>
      <w:r>
        <w:t>Desde la perspectiva regulatoria, el desarrollo tecnológico constituye una oportunidad para fortalecer la eficiencia, la transparencia y la calidad de la prestación del servicio. Al mismo tiempo, plantea la necesidad de evaluar de manera permanente cómo la regulación puede facilitar la incorporación de nuevas soluciones tecnológicas, promover la interoperabilidad entre los diferentes actores y favorecer procesos de innovación compatibles con las necesidades del sector.</w:t>
      </w:r>
    </w:p>
    <w:p w14:paraId="3BC4EECD" w14:textId="77777777" w:rsidR="00E2746D" w:rsidRDefault="00E2746D" w:rsidP="002F1961">
      <w:pPr>
        <w:spacing w:before="100" w:beforeAutospacing="1" w:after="100" w:afterAutospacing="1" w:line="360" w:lineRule="auto"/>
      </w:pPr>
      <w:r>
        <w:t xml:space="preserve">El diagnóstico realizado evidencia que la incorporación de herramientas tecnológicas dentro de la cadena presenta un nivel heterogéneo entre agentes, observándose </w:t>
      </w:r>
      <w:r>
        <w:lastRenderedPageBreak/>
        <w:t>oportunidades para fortalecer la trazabilidad del producto y de los activos, la integración de los procesos operativos, el intercambio de información y la disponibilidad de información sectorial para la toma de decisiones por parte de agentes, usuarios y autoridades. Estas diferencias limitan la capacidad del sector para aprovechar plenamente las ventajas de la transformación digital y explican parte de las dificultades identificadas en materia de trazabilidad, gestión de activos y disponibilidad de información durante la prestación del servicio.</w:t>
      </w:r>
    </w:p>
    <w:p w14:paraId="42661577" w14:textId="44386139" w:rsidR="11605595" w:rsidRPr="00083E26" w:rsidRDefault="00E2746D" w:rsidP="002F1961">
      <w:pPr>
        <w:spacing w:before="100" w:beforeAutospacing="1" w:after="100" w:afterAutospacing="1" w:line="360" w:lineRule="auto"/>
        <w:rPr>
          <w:rFonts w:eastAsia="Arial" w:cs="Arial"/>
        </w:rPr>
      </w:pPr>
      <w:r>
        <w:t>En consecuencia, el desarrollo tecnológico constituye un elemento transversal para fortalecer la eficiencia, la competitividad y la transparencia del mercado de GLP, así como para mejorar la calidad de la información, la gestión de la infraestructura y la capacidad de respuesta de la cadena frente a los desafíos presentes y futuros del sector, constituyéndose en un insumo fundamental para el análisis del problema regulatorio desarrollado en el presente AIN.</w:t>
      </w:r>
    </w:p>
    <w:p w14:paraId="051B3E04" w14:textId="17D3D0A9" w:rsidR="009B2D15" w:rsidRPr="00BD5A83" w:rsidRDefault="0045454D" w:rsidP="002F1961">
      <w:pPr>
        <w:pStyle w:val="Ttulo1"/>
        <w:keepLines/>
        <w:numPr>
          <w:ilvl w:val="0"/>
          <w:numId w:val="1"/>
        </w:numPr>
        <w:suppressAutoHyphens w:val="0"/>
        <w:spacing w:before="100" w:beforeAutospacing="1" w:after="100" w:afterAutospacing="1" w:line="360" w:lineRule="auto"/>
        <w:rPr>
          <w:rFonts w:cs="Arial"/>
        </w:rPr>
      </w:pPr>
      <w:bookmarkStart w:id="182" w:name="_Toc235128376"/>
      <w:r w:rsidRPr="2452F0DF">
        <w:rPr>
          <w:rFonts w:cs="Arial"/>
        </w:rPr>
        <w:t>IDENTIFICACIÓN</w:t>
      </w:r>
      <w:r w:rsidR="009B2D15" w:rsidRPr="2452F0DF">
        <w:rPr>
          <w:rFonts w:cs="Arial"/>
        </w:rPr>
        <w:t xml:space="preserve"> DEL PROBLEMA</w:t>
      </w:r>
      <w:bookmarkEnd w:id="182"/>
    </w:p>
    <w:p w14:paraId="3CC46F22" w14:textId="77777777" w:rsidR="00B85674" w:rsidRDefault="00B85674" w:rsidP="002F1961">
      <w:pPr>
        <w:spacing w:before="100" w:beforeAutospacing="1" w:after="100" w:afterAutospacing="1" w:line="360" w:lineRule="auto"/>
      </w:pPr>
      <w:r>
        <w:t>De conformidad con la metodología de Análisis de Impacto Normativo (AIN), una vez caracterizadas las condiciones del mercado y desarrollado el diagnóstico del sector, el siguiente paso consiste en determinar si las situaciones identificadas configuran un problema regulatorio que justifique una eventual intervención por parte de la Comisión. Para ello, el análisis debe partir de la evidencia recopilada, identificar los principales síntomas observados en el funcionamiento del mercado y establecer si estos responden a fallas de mercado, fallas regulatorias u otras condiciones estructurales que puedan afectar el cumplimiento de los objetivos de la regulación.</w:t>
      </w:r>
    </w:p>
    <w:p w14:paraId="253AD6ED" w14:textId="77777777" w:rsidR="00B85674" w:rsidRDefault="00B85674" w:rsidP="002F1961">
      <w:pPr>
        <w:spacing w:before="100" w:beforeAutospacing="1" w:after="100" w:afterAutospacing="1" w:line="360" w:lineRule="auto"/>
      </w:pPr>
      <w:r>
        <w:t xml:space="preserve">El diagnóstico desarrollado en el capítulo anterior permitió identificar un conjunto de situaciones que inciden sobre la prestación del servicio público domiciliario de GLP, relacionadas con el abastecimiento, la infraestructura, la logística, la calidad del servicio, la disponibilidad de información, el desarrollo tecnológico, las condiciones de competencia y el funcionamiento general de la cadena de prestación. Asimismo, evidenció que estos elementos no actúan de manera aislada, sino que presentan </w:t>
      </w:r>
      <w:r>
        <w:lastRenderedPageBreak/>
        <w:t>relaciones de interdependencia que generan efectos simultáneos sobre diferentes actividades de la cadena y sobre la experiencia de los usuarios.</w:t>
      </w:r>
    </w:p>
    <w:p w14:paraId="7C92F0F2" w14:textId="77777777" w:rsidR="00B85674" w:rsidRDefault="00B85674" w:rsidP="002F1961">
      <w:pPr>
        <w:spacing w:before="100" w:beforeAutospacing="1" w:after="100" w:afterAutospacing="1" w:line="360" w:lineRule="auto"/>
      </w:pPr>
      <w:r w:rsidRPr="24799D0F">
        <w:rPr>
          <w:lang w:val="es-ES"/>
        </w:rPr>
        <w:t>El análisis del problema regulatorio se desarrolla desde la perspectiva del usuario del servicio público domiciliario de GLP. Desde esta perspectiva, una adecuada prestación del servicio supone el cumplimiento de tres condiciones fundamentales: (i) que el usuario pueda acceder al servicio cuando lo requiere; (</w:t>
      </w:r>
      <w:proofErr w:type="spellStart"/>
      <w:r w:rsidRPr="24799D0F">
        <w:rPr>
          <w:lang w:val="es-ES"/>
        </w:rPr>
        <w:t>ii</w:t>
      </w:r>
      <w:proofErr w:type="spellEnd"/>
      <w:r w:rsidRPr="24799D0F">
        <w:rPr>
          <w:lang w:val="es-ES"/>
        </w:rPr>
        <w:t>) que el servicio sea prestado en condiciones adecuadas de calidad, seguridad, oportunidad y atención; y (</w:t>
      </w:r>
      <w:proofErr w:type="spellStart"/>
      <w:r w:rsidRPr="24799D0F">
        <w:rPr>
          <w:lang w:val="es-ES"/>
        </w:rPr>
        <w:t>iii</w:t>
      </w:r>
      <w:proofErr w:type="spellEnd"/>
      <w:r w:rsidRPr="24799D0F">
        <w:rPr>
          <w:lang w:val="es-ES"/>
        </w:rPr>
        <w:t>) que el servicio se preste bajo condiciones de eficiencia económica, de manera que los costos asumidos por los usuarios reflejen una prestación eficiente. Estas condiciones constituyen las expectativas fundamentales asociadas a la prestación del servicio público domiciliario y orientan la forma en que se estructura el análisis del problema regulatorio.</w:t>
      </w:r>
    </w:p>
    <w:p w14:paraId="25A08007" w14:textId="77777777" w:rsidR="00B85674" w:rsidRDefault="00B85674" w:rsidP="002F1961">
      <w:pPr>
        <w:spacing w:before="100" w:beforeAutospacing="1" w:after="100" w:afterAutospacing="1" w:line="360" w:lineRule="auto"/>
      </w:pPr>
      <w:r>
        <w:t>Con fundamento en lo anterior, el presente capítulo organiza el análisis alrededor de tres ejes temáticos: (i) la prestación del servicio; (</w:t>
      </w:r>
      <w:proofErr w:type="spellStart"/>
      <w:r>
        <w:t>ii</w:t>
      </w:r>
      <w:proofErr w:type="spellEnd"/>
      <w:r>
        <w:t>) la continuidad y confiabilidad del suministro; y (</w:t>
      </w:r>
      <w:proofErr w:type="spellStart"/>
      <w:r>
        <w:t>iii</w:t>
      </w:r>
      <w:proofErr w:type="spellEnd"/>
      <w:r>
        <w:t>) las eficiencias económicas en la prestación del servicio. A través de estos ejes se analizan los principales riesgos identificados durante el diagnóstico, correspondientes a: (i) deficiencias en la prestación del servicio; (</w:t>
      </w:r>
      <w:proofErr w:type="spellStart"/>
      <w:r>
        <w:t>ii</w:t>
      </w:r>
      <w:proofErr w:type="spellEnd"/>
      <w:r>
        <w:t>) interrupciones o limitaciones en el suministro; y (</w:t>
      </w:r>
      <w:proofErr w:type="spellStart"/>
      <w:r>
        <w:t>iii</w:t>
      </w:r>
      <w:proofErr w:type="spellEnd"/>
      <w:r>
        <w:t>) ineficiencias económicas en la prestación del servicio. Esta organización responde exclusivamente a criterios metodológicos orientados a facilitar el análisis, sin perjuicio de que las causas identificadas puedan incidir simultáneamente sobre más de un eje temático o producir efectos concurrentes sobre distintos componentes de la cadena de prestación.</w:t>
      </w:r>
    </w:p>
    <w:p w14:paraId="7D8A4D50" w14:textId="4AC50037" w:rsidR="004B704C" w:rsidRDefault="00B85674" w:rsidP="002F1961">
      <w:pPr>
        <w:spacing w:before="100" w:beforeAutospacing="1" w:after="100" w:afterAutospacing="1" w:line="360" w:lineRule="auto"/>
      </w:pPr>
      <w:r>
        <w:t>Para cada uno de estos riesgos se identifican los principales síntomas observados, se analizan las posibles fallas de mercado y regulatorias que podrían explicarlos y se establecen las causas estructurales que les dan origen, así como los efectos que producen sobre la prestación del servicio, la continuidad y confiabilidad del suministro, la eficiencia económica de la cadena y el bienestar de los usuarios. Este análisis permite formular el problema regulatorio que servirá de fundamento para la evaluación de las alternativas regulatorias en las etapas posteriores del presente AIN.</w:t>
      </w:r>
    </w:p>
    <w:p w14:paraId="2F5BF619" w14:textId="783D656A" w:rsidR="00BF4A27" w:rsidRPr="00BF4A27" w:rsidRDefault="00BF4A27" w:rsidP="002F1961">
      <w:pPr>
        <w:spacing w:before="100" w:beforeAutospacing="1" w:after="100" w:afterAutospacing="1" w:line="360" w:lineRule="auto"/>
        <w:rPr>
          <w:lang w:val="es-CO"/>
        </w:rPr>
      </w:pPr>
      <w:r w:rsidRPr="00BF4A27">
        <w:rPr>
          <w:lang w:val="es-CO"/>
        </w:rPr>
        <w:lastRenderedPageBreak/>
        <w:t xml:space="preserve">La metodología utilizada en el presente </w:t>
      </w:r>
      <w:r w:rsidR="00827934">
        <w:rPr>
          <w:lang w:val="es-CO"/>
        </w:rPr>
        <w:t>documento</w:t>
      </w:r>
      <w:r w:rsidRPr="00BF4A27">
        <w:rPr>
          <w:lang w:val="es-CO"/>
        </w:rPr>
        <w:t xml:space="preserve"> sigue la lógica del Análisis de Impacto Normativo (AIN), partiendo del contexto actual del mercado para identificar los síntomas observados durante el diagnóstico y agruparlos en riesgos que afectan la adecuada prestación del servicio público domiciliario de GLP. A partir de estos riesgos se identifican las causas estructurales que explican su ocurrencia y los efectos que generan sobre el funcionamiento del mercado y los usuarios, permitiendo finalmente formular el problema regulatorio.</w:t>
      </w:r>
    </w:p>
    <w:p w14:paraId="75FCEE00" w14:textId="77777777" w:rsidR="00BF4A27" w:rsidRPr="00BF4A27" w:rsidRDefault="00BF4A27" w:rsidP="002F1961">
      <w:pPr>
        <w:spacing w:before="100" w:beforeAutospacing="1" w:after="100" w:afterAutospacing="1" w:line="360" w:lineRule="auto"/>
        <w:rPr>
          <w:lang w:val="es-CO"/>
        </w:rPr>
      </w:pPr>
      <w:r w:rsidRPr="00BF4A27">
        <w:rPr>
          <w:lang w:val="es-CO"/>
        </w:rPr>
        <w:t>De manera paralela, los síntomas constituyen el punto de partida para identificar las posibles fallas de mercado y fallas regulatorias que podrían explicar las situaciones observadas y justificar, en caso de ser necesario, una intervención regulatoria. Así, el análisis causal y la justificación de la intervención se desarrollan de forma complementaria, garantizando que la formulación del problema regulatorio se sustente tanto en la evidencia observada como en la existencia de fallas que impiden que el mercado alcance por sí solo los objetivos de la regulación.</w:t>
      </w:r>
    </w:p>
    <w:p w14:paraId="3DF153C1" w14:textId="742D1104" w:rsidR="00D53ABC" w:rsidRPr="00D53ABC" w:rsidRDefault="00D53ABC" w:rsidP="00AB03F1">
      <w:pPr>
        <w:pStyle w:val="Descripcin"/>
        <w:keepNext/>
        <w:spacing w:after="0"/>
        <w:jc w:val="center"/>
        <w:rPr>
          <w:b w:val="0"/>
        </w:rPr>
      </w:pPr>
      <w:bookmarkStart w:id="183" w:name="_Toc235118581"/>
      <w:r w:rsidRPr="00FB1609">
        <w:rPr>
          <w:b w:val="0"/>
        </w:rPr>
        <w:t xml:space="preserve">Figura </w:t>
      </w:r>
      <w:r w:rsidR="00FB1609" w:rsidRPr="00FB1609">
        <w:rPr>
          <w:b w:val="0"/>
          <w:bCs/>
        </w:rPr>
        <w:fldChar w:fldCharType="begin"/>
      </w:r>
      <w:r w:rsidR="00FB1609" w:rsidRPr="00FB1609">
        <w:rPr>
          <w:b w:val="0"/>
          <w:bCs/>
        </w:rPr>
        <w:instrText xml:space="preserve"> SEQ Figura \* ARABIC </w:instrText>
      </w:r>
      <w:r w:rsidR="00FB1609" w:rsidRPr="00FB1609">
        <w:rPr>
          <w:b w:val="0"/>
          <w:bCs/>
        </w:rPr>
        <w:fldChar w:fldCharType="separate"/>
      </w:r>
      <w:r w:rsidR="00FB1609">
        <w:rPr>
          <w:b w:val="0"/>
          <w:bCs/>
          <w:noProof/>
        </w:rPr>
        <w:t>41</w:t>
      </w:r>
      <w:r w:rsidR="00FB1609" w:rsidRPr="00FB1609">
        <w:rPr>
          <w:b w:val="0"/>
          <w:bCs/>
        </w:rPr>
        <w:fldChar w:fldCharType="end"/>
      </w:r>
      <w:r w:rsidR="00FB1609" w:rsidRPr="00FB1609">
        <w:rPr>
          <w:b w:val="0"/>
          <w:bCs/>
        </w:rPr>
        <w:t>.</w:t>
      </w:r>
      <w:r w:rsidRPr="006C292A">
        <w:rPr>
          <w:b w:val="0"/>
          <w:lang w:val="es-ES"/>
        </w:rPr>
        <w:t xml:space="preserve"> </w:t>
      </w:r>
      <w:r w:rsidR="00486CE4" w:rsidRPr="00486CE4">
        <w:rPr>
          <w:b w:val="0"/>
        </w:rPr>
        <w:t>Esquema metodológico para la identificación del problema regulatorio</w:t>
      </w:r>
      <w:bookmarkEnd w:id="183"/>
    </w:p>
    <w:p w14:paraId="712127A5" w14:textId="0FBF78F4" w:rsidR="00C30D68" w:rsidRDefault="001A665F" w:rsidP="00AB03F1">
      <w:pPr>
        <w:spacing w:line="360" w:lineRule="auto"/>
        <w:jc w:val="center"/>
      </w:pPr>
      <w:r w:rsidRPr="00BB32B1">
        <w:rPr>
          <w:noProof/>
          <w:szCs w:val="24"/>
        </w:rPr>
        <w:drawing>
          <wp:inline distT="0" distB="0" distL="0" distR="0" wp14:anchorId="3F8FE3C2" wp14:editId="23692598">
            <wp:extent cx="3052565" cy="3604846"/>
            <wp:effectExtent l="0" t="0" r="0" b="0"/>
            <wp:docPr id="106859280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098345" cy="3658909"/>
                    </a:xfrm>
                    <a:prstGeom prst="rect">
                      <a:avLst/>
                    </a:prstGeom>
                    <a:noFill/>
                    <a:ln>
                      <a:noFill/>
                    </a:ln>
                  </pic:spPr>
                </pic:pic>
              </a:graphicData>
            </a:graphic>
          </wp:inline>
        </w:drawing>
      </w:r>
    </w:p>
    <w:p w14:paraId="2969AFBE" w14:textId="43048CFA" w:rsidR="00486CE4" w:rsidRDefault="00486CE4" w:rsidP="00AB03F1">
      <w:pPr>
        <w:spacing w:after="100" w:afterAutospacing="1" w:line="360" w:lineRule="auto"/>
        <w:jc w:val="center"/>
      </w:pPr>
      <w:r w:rsidRPr="0099139D">
        <w:rPr>
          <w:sz w:val="20"/>
          <w:szCs w:val="16"/>
        </w:rPr>
        <w:t>Elaboración</w:t>
      </w:r>
      <w:r w:rsidR="00FB1609">
        <w:rPr>
          <w:sz w:val="20"/>
          <w:szCs w:val="16"/>
        </w:rPr>
        <w:t>: CREG</w:t>
      </w:r>
    </w:p>
    <w:p w14:paraId="4EED4EFF" w14:textId="66474DCD" w:rsidR="00BF1FE8" w:rsidRDefault="001A69DA" w:rsidP="00E43F16">
      <w:pPr>
        <w:pStyle w:val="Ttulo2"/>
        <w:tabs>
          <w:tab w:val="left" w:pos="567"/>
        </w:tabs>
        <w:spacing w:before="100" w:beforeAutospacing="1" w:after="100" w:afterAutospacing="1"/>
        <w:ind w:left="992" w:hanging="992"/>
      </w:pPr>
      <w:bookmarkStart w:id="184" w:name="_Toc235128377"/>
      <w:r>
        <w:lastRenderedPageBreak/>
        <w:t>P</w:t>
      </w:r>
      <w:r w:rsidR="00500D78">
        <w:t>restación del servicio</w:t>
      </w:r>
      <w:bookmarkEnd w:id="184"/>
    </w:p>
    <w:p w14:paraId="06EA307E" w14:textId="77777777" w:rsidR="00251A06" w:rsidRPr="00251A06" w:rsidRDefault="00251A06" w:rsidP="00E43F16">
      <w:pPr>
        <w:pStyle w:val="NormalWeb"/>
        <w:spacing w:line="360" w:lineRule="auto"/>
        <w:jc w:val="both"/>
        <w:rPr>
          <w:rFonts w:ascii="Arial" w:hAnsi="Arial" w:cs="Arial"/>
          <w:lang w:val="es-ES_tradnl" w:eastAsia="es-ES"/>
        </w:rPr>
      </w:pPr>
      <w:r w:rsidRPr="00251A06">
        <w:rPr>
          <w:rFonts w:ascii="Arial" w:hAnsi="Arial" w:cs="Arial"/>
          <w:lang w:val="es-ES_tradnl" w:eastAsia="es-ES"/>
        </w:rPr>
        <w:t>Los síntomas identificados evidencian que la prestación del servicio público domiciliario de GLP puede verse afectada por condiciones relacionadas con la calidad del producto suministrado, la seguridad durante la prestación del servicio, la trazabilidad de la prestación, la disponibilidad de información para los usuarios y la efectividad de los mecanismos de atención y protección. Estos aspectos pueden incidir sobre la transparencia del servicio, el adecuado ejercicio de los derechos de los usuarios y la relación entre usuarios y prestadores.</w:t>
      </w:r>
    </w:p>
    <w:p w14:paraId="5CA080D6" w14:textId="09402859" w:rsidR="00F84514" w:rsidRPr="00F84514" w:rsidRDefault="00251A06" w:rsidP="00E43F16">
      <w:pPr>
        <w:pStyle w:val="NormalWeb"/>
        <w:spacing w:line="360" w:lineRule="auto"/>
        <w:jc w:val="both"/>
        <w:rPr>
          <w:rFonts w:ascii="Arial" w:hAnsi="Arial" w:cs="Arial"/>
          <w:lang w:val="es-ES_tradnl" w:eastAsia="es-ES"/>
        </w:rPr>
      </w:pPr>
      <w:r w:rsidRPr="00251A06">
        <w:rPr>
          <w:rFonts w:ascii="Arial" w:hAnsi="Arial" w:cs="Arial"/>
          <w:lang w:val="es-ES_tradnl" w:eastAsia="es-ES"/>
        </w:rPr>
        <w:t>Estos elementos permiten identificar riesgos que pueden afectar la calidad y seguridad de la prestación del servicio, la transparencia, la oportunidad y el adecuado ejercicio de los derechos de los usuarios. En consecuencia, dichos síntomas justifican avanzar en el análisis de las fallas de mercado y de regulación que podrían explicar su persistencia.</w:t>
      </w:r>
    </w:p>
    <w:p w14:paraId="1131A1FF" w14:textId="5880AB4E" w:rsidR="00821F33" w:rsidRDefault="00821F33" w:rsidP="00E43F16">
      <w:pPr>
        <w:pStyle w:val="Ttulo3"/>
        <w:spacing w:before="100" w:beforeAutospacing="1" w:after="100" w:afterAutospacing="1"/>
        <w:ind w:left="851" w:hanging="851"/>
      </w:pPr>
      <w:bookmarkStart w:id="185" w:name="_Toc235128378"/>
      <w:r w:rsidRPr="00821F33">
        <w:t>Evaluación de los síntomas del problema</w:t>
      </w:r>
      <w:bookmarkEnd w:id="185"/>
    </w:p>
    <w:p w14:paraId="56AABDF0" w14:textId="631D7D7D" w:rsidR="00996A34" w:rsidRPr="00996A34" w:rsidRDefault="00996A34" w:rsidP="00E43F16">
      <w:pPr>
        <w:spacing w:before="100" w:beforeAutospacing="1" w:after="100" w:afterAutospacing="1" w:line="360" w:lineRule="auto"/>
        <w:rPr>
          <w:rFonts w:cs="Arial"/>
          <w:szCs w:val="24"/>
        </w:rPr>
      </w:pPr>
      <w:r w:rsidRPr="000C172B">
        <w:rPr>
          <w:rFonts w:cs="Arial"/>
          <w:szCs w:val="24"/>
        </w:rPr>
        <w:t>A partir del diagnóstico desarrollado y de los estudios adelantados para la caracterización de la cadena de GLP, se identifican varios síntomas que evidencian riesgos sobre la prestación eficiente del servicio público domiciliario de GLP. Estos síntomas no constituyen, por sí mismos, el problema central, sino manifestaciones observables de condiciones que podrían afectar el acceso de los usuarios a un servicio prestado en condiciones de eficiencia, calidad, oportunidad y costos razonables.</w:t>
      </w:r>
    </w:p>
    <w:p w14:paraId="6B116710" w14:textId="58FF94EC" w:rsidR="005447DC" w:rsidRPr="00842608" w:rsidRDefault="00937C3C" w:rsidP="00E43F16">
      <w:pPr>
        <w:pStyle w:val="Ttulo4"/>
        <w:spacing w:before="100" w:beforeAutospacing="1" w:after="100" w:afterAutospacing="1" w:line="360" w:lineRule="auto"/>
        <w:ind w:left="993" w:hanging="993"/>
      </w:pPr>
      <w:r w:rsidRPr="00842608">
        <w:t>Deficiencias en la prestación del servicio en condiciones de calidad y seguridad</w:t>
      </w:r>
    </w:p>
    <w:p w14:paraId="7905EF5B" w14:textId="77777777" w:rsidR="0096460B" w:rsidRPr="0096460B" w:rsidRDefault="0096460B" w:rsidP="00E43F16">
      <w:pPr>
        <w:pStyle w:val="isselectedend"/>
        <w:spacing w:line="360" w:lineRule="auto"/>
        <w:jc w:val="both"/>
        <w:rPr>
          <w:rFonts w:ascii="Arial" w:hAnsi="Arial" w:cs="Arial"/>
          <w:lang w:val="es-ES" w:eastAsia="es-ES"/>
        </w:rPr>
      </w:pPr>
      <w:r w:rsidRPr="0096460B">
        <w:rPr>
          <w:rFonts w:ascii="Arial" w:hAnsi="Arial" w:cs="Arial"/>
          <w:lang w:val="es-ES" w:eastAsia="es-ES"/>
        </w:rPr>
        <w:t xml:space="preserve">La adecuada prestación del servicio público domiciliario de GLP requiere que el producto suministrado cumpla las condiciones de calidad establecidas en la regulación y que las actividades desarrolladas a lo largo de la cadena se realicen bajo condiciones que protejan la seguridad de los usuarios. Estos atributos constituyen elementos esenciales del servicio, dado que el GLP es un combustible cuyo uso exige el cumplimiento de </w:t>
      </w:r>
      <w:r w:rsidRPr="0096460B">
        <w:rPr>
          <w:rFonts w:ascii="Arial" w:hAnsi="Arial" w:cs="Arial"/>
          <w:lang w:val="es-ES" w:eastAsia="es-ES"/>
        </w:rPr>
        <w:lastRenderedPageBreak/>
        <w:t>estándares técnicos y operativos orientados a prevenir riesgos para las personas, los bienes y el entorno.</w:t>
      </w:r>
    </w:p>
    <w:p w14:paraId="1C96A22E" w14:textId="2D441B89" w:rsidR="0096460B" w:rsidRPr="0096460B" w:rsidRDefault="0096460B" w:rsidP="00E43F16">
      <w:pPr>
        <w:pStyle w:val="isselectedend"/>
        <w:spacing w:line="360" w:lineRule="auto"/>
        <w:jc w:val="both"/>
        <w:rPr>
          <w:rFonts w:ascii="Arial" w:hAnsi="Arial" w:cs="Arial"/>
          <w:lang w:val="es-ES" w:eastAsia="es-ES"/>
        </w:rPr>
      </w:pPr>
      <w:r w:rsidRPr="0096460B">
        <w:rPr>
          <w:rFonts w:ascii="Arial" w:hAnsi="Arial" w:cs="Arial"/>
          <w:lang w:val="es-ES" w:eastAsia="es-ES"/>
        </w:rPr>
        <w:t xml:space="preserve">Los análisis realizados evidencian situaciones que pueden afectar tanto la percepción como la verificación de la calidad del producto suministrado, así como condiciones que pueden incidir sobre la seguridad durante la prestación del servicio. Entre ellas se encuentran las limitaciones para que los usuarios conozcan las características del GLP suministrado y comprendan las diferencias percibidas en su desempeño, las dificultades para verificar las operaciones realizadas sobre el producto y los </w:t>
      </w:r>
      <w:r w:rsidR="00D706BC">
        <w:rPr>
          <w:rFonts w:ascii="Arial" w:hAnsi="Arial" w:cs="Arial"/>
          <w:lang w:val="es-ES" w:eastAsia="es-ES"/>
        </w:rPr>
        <w:t>cilindros</w:t>
      </w:r>
      <w:r w:rsidRPr="0096460B">
        <w:rPr>
          <w:rFonts w:ascii="Arial" w:hAnsi="Arial" w:cs="Arial"/>
          <w:lang w:val="es-ES" w:eastAsia="es-ES"/>
        </w:rPr>
        <w:t xml:space="preserve"> mediante mecanismos adecuados de trazabilidad, y la existencia de prácticas informales o no autorizadas que </w:t>
      </w:r>
      <w:r w:rsidR="000B0CFE">
        <w:rPr>
          <w:rFonts w:ascii="Arial" w:hAnsi="Arial" w:cs="Arial"/>
          <w:lang w:val="es-ES" w:eastAsia="es-ES"/>
        </w:rPr>
        <w:t>se apartan</w:t>
      </w:r>
      <w:r w:rsidRPr="0096460B">
        <w:rPr>
          <w:rFonts w:ascii="Arial" w:hAnsi="Arial" w:cs="Arial"/>
          <w:lang w:val="es-ES" w:eastAsia="es-ES"/>
        </w:rPr>
        <w:t xml:space="preserve"> de las condiciones técnicas previstas en la regulación.</w:t>
      </w:r>
    </w:p>
    <w:p w14:paraId="62590DD0" w14:textId="31F27EA7" w:rsidR="0096460B" w:rsidRPr="0096460B" w:rsidRDefault="0096460B" w:rsidP="00E43F16">
      <w:pPr>
        <w:pStyle w:val="isselectedend"/>
        <w:spacing w:line="360" w:lineRule="auto"/>
        <w:jc w:val="both"/>
        <w:rPr>
          <w:rFonts w:ascii="Arial" w:hAnsi="Arial" w:cs="Arial"/>
          <w:lang w:val="es-ES" w:eastAsia="es-ES"/>
        </w:rPr>
      </w:pPr>
      <w:r w:rsidRPr="0096460B">
        <w:rPr>
          <w:rFonts w:ascii="Arial" w:hAnsi="Arial" w:cs="Arial"/>
          <w:lang w:val="es-ES" w:eastAsia="es-ES"/>
        </w:rPr>
        <w:t>La forma en que estas situaciones se manifiestan puede variar según la modalidad de prestación del servicio. En la distribución mediante cilindros y</w:t>
      </w:r>
      <w:r w:rsidR="00E1738A">
        <w:rPr>
          <w:rFonts w:ascii="Arial" w:hAnsi="Arial" w:cs="Arial"/>
          <w:lang w:val="es-ES" w:eastAsia="es-ES"/>
        </w:rPr>
        <w:t xml:space="preserve"> </w:t>
      </w:r>
      <w:r w:rsidRPr="0096460B">
        <w:rPr>
          <w:rFonts w:ascii="Arial" w:hAnsi="Arial" w:cs="Arial"/>
          <w:lang w:val="es-ES" w:eastAsia="es-ES"/>
        </w:rPr>
        <w:t>tanques estacionarios, adquieren especial relevancia aspectos relacionados con la calidad percibida del producto, el estado de los recipientes, la oportunidad en el suministro, la trazabilidad de las operaciones y las condiciones bajo las cuales se realiza la entrega al usuario. Por su parte, en la distribución mediante redes de tubería, las condiciones de calidad y seguridad se encuentran más estrechamente asociadas a la continuidad del suministro, el adecuado funcionamiento y mantenimiento de la infraestructura, la presión del servicio y el cumplimiento de las condiciones técnicas aplicables a la operación de la red.</w:t>
      </w:r>
    </w:p>
    <w:p w14:paraId="2C50C79C" w14:textId="77777777" w:rsidR="0096460B" w:rsidRPr="0096460B" w:rsidRDefault="0096460B" w:rsidP="00E43F16">
      <w:pPr>
        <w:pStyle w:val="isselectedend"/>
        <w:spacing w:line="360" w:lineRule="auto"/>
        <w:jc w:val="both"/>
        <w:rPr>
          <w:rFonts w:ascii="Arial" w:hAnsi="Arial" w:cs="Arial"/>
          <w:lang w:val="es-ES" w:eastAsia="es-ES"/>
        </w:rPr>
      </w:pPr>
      <w:r w:rsidRPr="0096460B">
        <w:rPr>
          <w:rFonts w:ascii="Arial" w:hAnsi="Arial" w:cs="Arial"/>
          <w:lang w:val="es-ES" w:eastAsia="es-ES"/>
        </w:rPr>
        <w:t>Lo anterior no implica necesariamente la existencia de incumplimientos generalizados de los requisitos técnicos o de seguridad aplicables. Sin embargo, sí evidencia la importancia de evaluar las condiciones bajo las cuales se garantiza que el producto suministrado y las actividades desarrolladas durante la prestación del servicio cumplan los estándares de calidad y seguridad establecidos por la regulación, así como la necesidad de que los usuarios dispongan de información suficiente para comprender las condiciones bajo las cuales reciben el servicio.</w:t>
      </w:r>
    </w:p>
    <w:p w14:paraId="7CCCA2D9" w14:textId="2F9DCDE1" w:rsidR="00940957" w:rsidRPr="00940957" w:rsidRDefault="0096460B" w:rsidP="00E43F16">
      <w:pPr>
        <w:pStyle w:val="isselectedend"/>
        <w:spacing w:line="360" w:lineRule="auto"/>
        <w:jc w:val="both"/>
        <w:rPr>
          <w:rFonts w:ascii="Arial" w:hAnsi="Arial" w:cs="Arial"/>
          <w:lang w:val="es-ES" w:eastAsia="es-ES"/>
        </w:rPr>
      </w:pPr>
      <w:r w:rsidRPr="0096460B">
        <w:rPr>
          <w:rFonts w:ascii="Arial" w:hAnsi="Arial" w:cs="Arial"/>
          <w:lang w:val="es-ES" w:eastAsia="es-ES"/>
        </w:rPr>
        <w:t xml:space="preserve">En consecuencia, las condiciones de calidad y seguridad en la prestación del servicio constituyen un síntoma relevante para evaluar los riesgos asociados a la prestación del </w:t>
      </w:r>
      <w:r w:rsidRPr="0096460B">
        <w:rPr>
          <w:rFonts w:ascii="Arial" w:hAnsi="Arial" w:cs="Arial"/>
          <w:lang w:val="es-ES" w:eastAsia="es-ES"/>
        </w:rPr>
        <w:lastRenderedPageBreak/>
        <w:t xml:space="preserve">servicio público domiciliario de GLP, </w:t>
      </w:r>
      <w:r w:rsidR="002C230A" w:rsidRPr="002C230A">
        <w:rPr>
          <w:rFonts w:ascii="Arial" w:hAnsi="Arial" w:cs="Arial"/>
          <w:lang w:val="es-ES_tradnl" w:eastAsia="es-ES"/>
        </w:rPr>
        <w:t>en la medida en que pueden afectar la confianza de los usuarios, el adecuado funcionamiento del servicio y el cumplimiento de las condiciones de calidad y seguridad que la regulación busca garantizar</w:t>
      </w:r>
      <w:r w:rsidR="00940957" w:rsidRPr="00940957">
        <w:rPr>
          <w:rFonts w:ascii="Arial" w:hAnsi="Arial" w:cs="Arial"/>
          <w:lang w:val="es-ES" w:eastAsia="es-ES"/>
        </w:rPr>
        <w:t>.</w:t>
      </w:r>
    </w:p>
    <w:p w14:paraId="1487E6B5" w14:textId="3F9C31D1" w:rsidR="00261023" w:rsidRPr="00842608" w:rsidRDefault="005C10CF" w:rsidP="00D367EF">
      <w:pPr>
        <w:pStyle w:val="Ttulo4"/>
        <w:spacing w:before="100" w:beforeAutospacing="1" w:after="100" w:afterAutospacing="1" w:line="360" w:lineRule="auto"/>
        <w:ind w:left="1134" w:hanging="1134"/>
      </w:pPr>
      <w:r w:rsidRPr="00842608">
        <w:t xml:space="preserve">Limitaciones </w:t>
      </w:r>
      <w:r w:rsidR="00D939EF" w:rsidRPr="00842608">
        <w:t>para hacer seguimiento a la prestación del servicio</w:t>
      </w:r>
    </w:p>
    <w:p w14:paraId="2370A76B" w14:textId="35B68D3C" w:rsidR="00A971DD" w:rsidRDefault="006E7B32" w:rsidP="00D367EF">
      <w:pPr>
        <w:pStyle w:val="isselectedend"/>
        <w:spacing w:line="360" w:lineRule="auto"/>
        <w:jc w:val="both"/>
        <w:rPr>
          <w:rFonts w:ascii="Arial" w:hAnsi="Arial" w:cs="Arial"/>
          <w:lang w:val="es-ES" w:eastAsia="es-ES"/>
        </w:rPr>
      </w:pPr>
      <w:r w:rsidRPr="006E7B32">
        <w:rPr>
          <w:rFonts w:ascii="Arial" w:hAnsi="Arial" w:cs="Arial"/>
          <w:lang w:val="es-ES" w:eastAsia="es-ES"/>
        </w:rPr>
        <w:t xml:space="preserve">La adecuada prestación del servicio público domiciliario de GLP requiere que los usuarios, los prestadores y las autoridades competentes puedan identificar claramente quién presta el servicio, </w:t>
      </w:r>
      <w:r w:rsidR="00D367EF" w:rsidRPr="006E7B32">
        <w:rPr>
          <w:rFonts w:ascii="Arial" w:hAnsi="Arial" w:cs="Arial"/>
          <w:lang w:val="es-ES" w:eastAsia="es-ES"/>
        </w:rPr>
        <w:t>en</w:t>
      </w:r>
      <w:r w:rsidRPr="006E7B32">
        <w:rPr>
          <w:rFonts w:ascii="Arial" w:hAnsi="Arial" w:cs="Arial"/>
          <w:lang w:val="es-ES" w:eastAsia="es-ES"/>
        </w:rPr>
        <w:t xml:space="preserve"> qué condiciones se desarrolla la prestación y cuáles son las operaciones realizadas a lo largo de la cadena. </w:t>
      </w:r>
      <w:r w:rsidR="00A971DD" w:rsidRPr="00A971DD">
        <w:rPr>
          <w:rFonts w:ascii="Arial" w:hAnsi="Arial" w:cs="Arial"/>
          <w:lang w:val="es-ES" w:eastAsia="es-ES"/>
        </w:rPr>
        <w:t>La posibilidad de realizar un seguimiento integral a la prestación del servicio constituye un elemento fundamental para garantizar la transparencia, facilitar el ejercicio de los derechos de los usuarios y permitir la verificación de las obligaciones asociadas a la prestación, así como de los activos y del producto utilizados durante su ejecución.</w:t>
      </w:r>
    </w:p>
    <w:p w14:paraId="04B7BD72" w14:textId="1F52F83D" w:rsidR="006E7B32" w:rsidRPr="006E7B32" w:rsidRDefault="006E7B32" w:rsidP="00D367EF">
      <w:pPr>
        <w:pStyle w:val="isselectedend"/>
        <w:spacing w:line="360" w:lineRule="auto"/>
        <w:jc w:val="both"/>
        <w:rPr>
          <w:rFonts w:ascii="Arial" w:hAnsi="Arial" w:cs="Arial"/>
          <w:lang w:val="es-ES" w:eastAsia="es-ES"/>
        </w:rPr>
      </w:pPr>
      <w:r w:rsidRPr="006E7B32">
        <w:rPr>
          <w:rFonts w:ascii="Arial" w:hAnsi="Arial" w:cs="Arial"/>
          <w:lang w:val="es-ES" w:eastAsia="es-ES"/>
        </w:rPr>
        <w:t xml:space="preserve">Los análisis realizados evidencian situaciones que pueden dificultar </w:t>
      </w:r>
      <w:r w:rsidR="00AE181E">
        <w:rPr>
          <w:rFonts w:ascii="Arial" w:hAnsi="Arial" w:cs="Arial"/>
          <w:lang w:val="es-ES" w:eastAsia="es-ES"/>
        </w:rPr>
        <w:t>el seguimiento</w:t>
      </w:r>
      <w:r w:rsidRPr="006E7B32">
        <w:rPr>
          <w:rFonts w:ascii="Arial" w:hAnsi="Arial" w:cs="Arial"/>
          <w:lang w:val="es-ES" w:eastAsia="es-ES"/>
        </w:rPr>
        <w:t xml:space="preserve"> de algunas actividades desarrolladas durante la prestación del servicio, particularmente en la modalidad de distribución mediante cilindros. En determinados mercados, la entrega del producto al usuario final puede involucrar la participación de terceros o conductores que actúan como intermediarios entre el distribuidor y el usuario, así como mecanismos de registro que no siempre permiten reconstruir de manera integral las operaciones realizadas durante la prestación.</w:t>
      </w:r>
    </w:p>
    <w:p w14:paraId="3ED9055D" w14:textId="77777777" w:rsidR="006E7B32" w:rsidRPr="006E7B32" w:rsidRDefault="006E7B32" w:rsidP="00D367EF">
      <w:pPr>
        <w:pStyle w:val="isselectedend"/>
        <w:spacing w:line="360" w:lineRule="auto"/>
        <w:jc w:val="both"/>
        <w:rPr>
          <w:rFonts w:ascii="Arial" w:hAnsi="Arial" w:cs="Arial"/>
          <w:lang w:val="es-ES" w:eastAsia="es-ES"/>
        </w:rPr>
      </w:pPr>
      <w:r w:rsidRPr="006E7B32">
        <w:rPr>
          <w:rFonts w:ascii="Arial" w:hAnsi="Arial" w:cs="Arial"/>
          <w:lang w:val="es-ES" w:eastAsia="es-ES"/>
        </w:rPr>
        <w:t xml:space="preserve">La incidencia de este síntoma difiere según la modalidad de prestación del servicio. En la distribución mediante cilindros, la movilidad permanente de los recipientes y la participación de diferentes actores durante la comercialización y entrega hacen que la trazabilidad adquiera una especial relevancia. En contraste, en la distribución mediante redes de tubería y, en términos generales, mediante tanques estacionarios, la existencia de una infraestructura fija y de una relación comercial más estable entre el prestador y el usuario facilita la identificación del responsable de la prestación y el seguimiento de las operaciones. No obstante, en estas modalidades también resulta necesario disponer de </w:t>
      </w:r>
      <w:r w:rsidRPr="006E7B32">
        <w:rPr>
          <w:rFonts w:ascii="Arial" w:hAnsi="Arial" w:cs="Arial"/>
          <w:lang w:val="es-ES" w:eastAsia="es-ES"/>
        </w:rPr>
        <w:lastRenderedPageBreak/>
        <w:t>información suficiente que permita verificar el cumplimiento de las condiciones técnicas, comerciales y operativas aplicables al servicio.</w:t>
      </w:r>
    </w:p>
    <w:p w14:paraId="37369B8B" w14:textId="77777777" w:rsidR="006E7B32" w:rsidRPr="006E7B32" w:rsidRDefault="006E7B32" w:rsidP="00D367EF">
      <w:pPr>
        <w:pStyle w:val="isselectedend"/>
        <w:spacing w:line="360" w:lineRule="auto"/>
        <w:jc w:val="both"/>
        <w:rPr>
          <w:rFonts w:ascii="Arial" w:hAnsi="Arial" w:cs="Arial"/>
          <w:lang w:val="es-ES" w:eastAsia="es-ES"/>
        </w:rPr>
      </w:pPr>
      <w:r w:rsidRPr="006E7B32">
        <w:rPr>
          <w:rFonts w:ascii="Arial" w:hAnsi="Arial" w:cs="Arial"/>
          <w:lang w:val="es-ES" w:eastAsia="es-ES"/>
        </w:rPr>
        <w:t>Estas situaciones pueden generar limitaciones para verificar aspectos relacionados con la identidad del prestador responsable, las condiciones comerciales aplicadas al usuario, las operaciones efectuadas sobre el producto y los recipientes, los mecanismos de atención disponibles, la gestión de reclamaciones y la información suministrada durante la prestación del servicio. Como consecuencia, los usuarios pueden enfrentar mayores dificultades para identificar claramente quién responde por el servicio recibido y cuáles son los canales disponibles para ejercer sus derechos.</w:t>
      </w:r>
    </w:p>
    <w:p w14:paraId="43B83217" w14:textId="77777777" w:rsidR="006E7B32" w:rsidRPr="006E7B32" w:rsidRDefault="006E7B32" w:rsidP="00D367EF">
      <w:pPr>
        <w:pStyle w:val="isselectedend"/>
        <w:spacing w:line="360" w:lineRule="auto"/>
        <w:jc w:val="both"/>
        <w:rPr>
          <w:rFonts w:ascii="Arial" w:hAnsi="Arial" w:cs="Arial"/>
          <w:lang w:val="es-ES" w:eastAsia="es-ES"/>
        </w:rPr>
      </w:pPr>
      <w:r w:rsidRPr="006E7B32">
        <w:rPr>
          <w:rFonts w:ascii="Arial" w:hAnsi="Arial" w:cs="Arial"/>
          <w:lang w:val="es-ES" w:eastAsia="es-ES"/>
        </w:rPr>
        <w:t>La trazabilidad también resulta relevante desde la perspectiva de las actividades de inspección, vigilancia y control. Cuando la información sobre las condiciones de prestación, los responsables de las operaciones, los movimientos del producto o de los activos utilizados durante la prestación no se encuentra plenamente disponible o integrada, pueden presentarse dificultades para verificar el cumplimiento de las obligaciones asociadas al servicio, identificar oportunamente desviaciones respecto de las condiciones técnicas previstas en la regulación y detectar prácticas no autorizadas que puedan afectar la prestación del servicio.</w:t>
      </w:r>
    </w:p>
    <w:p w14:paraId="505B7EA6" w14:textId="77777777" w:rsidR="006E7B32" w:rsidRPr="006E7B32" w:rsidRDefault="006E7B32" w:rsidP="00D367EF">
      <w:pPr>
        <w:pStyle w:val="isselectedend"/>
        <w:spacing w:line="360" w:lineRule="auto"/>
        <w:jc w:val="both"/>
        <w:rPr>
          <w:rFonts w:ascii="Arial" w:hAnsi="Arial" w:cs="Arial"/>
          <w:lang w:val="es-ES" w:eastAsia="es-ES"/>
        </w:rPr>
      </w:pPr>
      <w:r w:rsidRPr="006E7B32">
        <w:rPr>
          <w:rFonts w:ascii="Arial" w:hAnsi="Arial" w:cs="Arial"/>
          <w:lang w:val="es-ES" w:eastAsia="es-ES"/>
        </w:rPr>
        <w:t>Adicionalmente, las limitaciones en la trazabilidad pueden afectar la capacidad de los agentes para realizar seguimiento a las operaciones desarrolladas durante la prestación, gestionar adecuadamente los activos utilizados en la actividad, identificar desviaciones frente a los procedimientos establecidos y adoptar medidas correctivas orientadas a mejorar la prestación del servicio.</w:t>
      </w:r>
    </w:p>
    <w:p w14:paraId="36F9E038" w14:textId="77777777" w:rsidR="006E7B32" w:rsidRPr="006E7B32" w:rsidRDefault="006E7B32" w:rsidP="00D367EF">
      <w:pPr>
        <w:pStyle w:val="isselectedend"/>
        <w:spacing w:line="360" w:lineRule="auto"/>
        <w:jc w:val="both"/>
        <w:rPr>
          <w:rFonts w:ascii="Arial" w:hAnsi="Arial" w:cs="Arial"/>
          <w:lang w:val="es-ES" w:eastAsia="es-ES"/>
        </w:rPr>
      </w:pPr>
      <w:r w:rsidRPr="006E7B32">
        <w:rPr>
          <w:rFonts w:ascii="Arial" w:hAnsi="Arial" w:cs="Arial"/>
          <w:lang w:val="es-ES" w:eastAsia="es-ES"/>
        </w:rPr>
        <w:t>Lo anterior no implica necesariamente la existencia de incumplimientos generalizados ni la imposibilidad de identificar a los responsables de la prestación. Sin embargo, sí evidencia la existencia de condiciones que pueden limitar la transparencia de determinadas actividades y afectar la capacidad de los usuarios, los agentes y las autoridades para realizar un seguimiento integral a la prestación del servicio.</w:t>
      </w:r>
    </w:p>
    <w:p w14:paraId="035C82CC" w14:textId="3CFA3057" w:rsidR="0007253A" w:rsidRPr="00884D9D" w:rsidRDefault="006E7B32" w:rsidP="00D367EF">
      <w:pPr>
        <w:pStyle w:val="isselectedend"/>
        <w:spacing w:line="360" w:lineRule="auto"/>
        <w:jc w:val="both"/>
        <w:rPr>
          <w:rFonts w:ascii="Arial" w:hAnsi="Arial" w:cs="Arial"/>
          <w:lang w:val="es-ES" w:eastAsia="es-ES"/>
        </w:rPr>
      </w:pPr>
      <w:r w:rsidRPr="006E7B32">
        <w:rPr>
          <w:rFonts w:ascii="Arial" w:hAnsi="Arial" w:cs="Arial"/>
          <w:lang w:val="es-ES" w:eastAsia="es-ES"/>
        </w:rPr>
        <w:lastRenderedPageBreak/>
        <w:t>En consecuencia, las limitaciones en la trazabilidad de la prestación constituyen un síntoma relevante para evaluar los riesgos asociados a la prestación del servicio público domiciliario de GLP, en la medida en que pueden afectar la transparencia de la relación entre usuarios y prestadores, dificultar el ejercicio de los derechos de los usuarios</w:t>
      </w:r>
      <w:r w:rsidR="00317AB1">
        <w:rPr>
          <w:rFonts w:ascii="Arial" w:hAnsi="Arial" w:cs="Arial"/>
          <w:lang w:val="es-ES" w:eastAsia="es-ES"/>
        </w:rPr>
        <w:t xml:space="preserve">, </w:t>
      </w:r>
      <w:r w:rsidR="00317AB1" w:rsidRPr="00317AB1">
        <w:rPr>
          <w:rFonts w:ascii="Arial" w:hAnsi="Arial" w:cs="Arial"/>
          <w:lang w:val="es-ES" w:eastAsia="es-ES"/>
        </w:rPr>
        <w:t>limitar la adecuada gestión del producto y de los activos utilizados en la prestación</w:t>
      </w:r>
      <w:r w:rsidRPr="006E7B32">
        <w:rPr>
          <w:rFonts w:ascii="Arial" w:hAnsi="Arial" w:cs="Arial"/>
          <w:lang w:val="es-ES" w:eastAsia="es-ES"/>
        </w:rPr>
        <w:t>, y reducir la capacidad de seguimiento sobre las operaciones desarrolladas durante la prestación del servicio</w:t>
      </w:r>
      <w:r w:rsidR="0007253A" w:rsidRPr="00884D9D">
        <w:rPr>
          <w:rFonts w:ascii="Arial" w:hAnsi="Arial" w:cs="Arial"/>
          <w:lang w:val="es-ES" w:eastAsia="es-ES"/>
        </w:rPr>
        <w:t>.</w:t>
      </w:r>
    </w:p>
    <w:p w14:paraId="7ADB8BA3" w14:textId="55BA271C" w:rsidR="00331082" w:rsidRPr="00842608" w:rsidRDefault="0040195F" w:rsidP="00D367EF">
      <w:pPr>
        <w:pStyle w:val="Ttulo4"/>
        <w:spacing w:before="100" w:beforeAutospacing="1" w:after="100" w:afterAutospacing="1" w:line="360" w:lineRule="auto"/>
        <w:ind w:left="1498" w:hanging="1498"/>
      </w:pPr>
      <w:r w:rsidRPr="00842608">
        <w:t>Limitaciones en la disponibilidad de información para los usuarios</w:t>
      </w:r>
    </w:p>
    <w:p w14:paraId="061232AA" w14:textId="77777777" w:rsidR="00D34411" w:rsidRPr="00D34411" w:rsidRDefault="00D34411" w:rsidP="00D367EF">
      <w:pPr>
        <w:pStyle w:val="isselectedend"/>
        <w:spacing w:line="360" w:lineRule="auto"/>
        <w:jc w:val="both"/>
        <w:rPr>
          <w:rFonts w:ascii="Arial" w:hAnsi="Arial" w:cs="Arial"/>
          <w:lang w:val="es-ES_tradnl" w:eastAsia="es-ES"/>
        </w:rPr>
      </w:pPr>
      <w:r w:rsidRPr="00D34411">
        <w:rPr>
          <w:rFonts w:ascii="Arial" w:hAnsi="Arial" w:cs="Arial"/>
          <w:lang w:val="es-ES_tradnl" w:eastAsia="es-ES"/>
        </w:rPr>
        <w:t>La prestación eficiente de un servicio público domiciliario requiere que los usuarios dispongan de información suficiente, clara y oportuna para comprender las condiciones bajo las cuales reciben el servicio, conocer las características del producto suministrado, identificar a los agentes responsables de la prestación y adoptar decisiones informadas sobre su consumo.</w:t>
      </w:r>
    </w:p>
    <w:p w14:paraId="032E4E05" w14:textId="77777777" w:rsidR="00D34411" w:rsidRPr="00D34411" w:rsidRDefault="00D34411" w:rsidP="00D367EF">
      <w:pPr>
        <w:pStyle w:val="isselectedend"/>
        <w:spacing w:line="360" w:lineRule="auto"/>
        <w:jc w:val="both"/>
        <w:rPr>
          <w:rFonts w:ascii="Arial" w:hAnsi="Arial" w:cs="Arial"/>
          <w:lang w:val="es-ES_tradnl" w:eastAsia="es-ES"/>
        </w:rPr>
      </w:pPr>
      <w:r w:rsidRPr="00D34411">
        <w:rPr>
          <w:rFonts w:ascii="Arial" w:hAnsi="Arial" w:cs="Arial"/>
          <w:lang w:val="es-ES_tradnl" w:eastAsia="es-ES"/>
        </w:rPr>
        <w:t>Los análisis realizados evidencian la existencia de limitaciones en la información disponible para los usuarios respecto de distintos aspectos asociados a la prestación del servicio público domiciliario de GLP. Estas limitaciones pueden afectar la capacidad de los usuarios para comprender las condiciones económicas de la prestación, verificar las características del producto recibido, comparar alternativas disponibles en el mercado y ejercer plenamente sus derechos como usuarios del servicio.</w:t>
      </w:r>
    </w:p>
    <w:p w14:paraId="2273DA61" w14:textId="77777777" w:rsidR="00D34411" w:rsidRPr="00D34411" w:rsidRDefault="00D34411" w:rsidP="00D367EF">
      <w:pPr>
        <w:pStyle w:val="isselectedend"/>
        <w:spacing w:line="360" w:lineRule="auto"/>
        <w:jc w:val="both"/>
        <w:rPr>
          <w:rFonts w:ascii="Arial" w:hAnsi="Arial" w:cs="Arial"/>
          <w:lang w:val="es-ES_tradnl" w:eastAsia="es-ES"/>
        </w:rPr>
      </w:pPr>
      <w:r w:rsidRPr="00D34411">
        <w:rPr>
          <w:rFonts w:ascii="Arial" w:hAnsi="Arial" w:cs="Arial"/>
          <w:lang w:val="es-ES_tradnl" w:eastAsia="es-ES"/>
        </w:rPr>
        <w:t>Uno de los aspectos identificados corresponde a la información relacionada con la calidad del producto suministrado. Aunque el GLP debe cumplir las especificaciones técnicas definidas en la regulación y en los reglamentos aplicables, los usuarios no cuentan con herramientas que les permitan verificar directamente las características físicas o energéticas del producto recibido. Como consecuencia, la evaluación de la calidad suele realizarse a partir de percepciones asociadas al desempeño observado durante su utilización, tales como la duración del combustible, la intensidad de la llama o la capacidad de combustión.</w:t>
      </w:r>
    </w:p>
    <w:p w14:paraId="518D766F" w14:textId="77777777" w:rsidR="00D34411" w:rsidRPr="00D34411" w:rsidRDefault="00D34411" w:rsidP="00D367EF">
      <w:pPr>
        <w:pStyle w:val="isselectedend"/>
        <w:spacing w:line="360" w:lineRule="auto"/>
        <w:jc w:val="both"/>
        <w:rPr>
          <w:rFonts w:ascii="Arial" w:hAnsi="Arial" w:cs="Arial"/>
          <w:lang w:val="es-ES_tradnl" w:eastAsia="es-ES"/>
        </w:rPr>
      </w:pPr>
      <w:r w:rsidRPr="00D34411">
        <w:rPr>
          <w:rFonts w:ascii="Arial" w:hAnsi="Arial" w:cs="Arial"/>
          <w:lang w:val="es-ES_tradnl" w:eastAsia="es-ES"/>
        </w:rPr>
        <w:lastRenderedPageBreak/>
        <w:t>De igual manera, los usuarios pueden enfrentar dificultades para comprender plenamente la formación del precio final que pagan por el servicio, especialmente cuando intervienen diferentes actores dentro de la cadena de distribución o cuando las condiciones de prestación varían entre mercados y regiones. Estas circunstancias pueden limitar la capacidad de los usuarios para evaluar las condiciones económicas bajo las cuales reciben el servicio y comparar adecuadamente las alternativas disponibles.</w:t>
      </w:r>
    </w:p>
    <w:p w14:paraId="73F01904" w14:textId="2FFC5B8E" w:rsidR="0094179B" w:rsidRPr="00D34411" w:rsidRDefault="0094179B" w:rsidP="00D367EF">
      <w:pPr>
        <w:pStyle w:val="isselectedend"/>
        <w:spacing w:line="360" w:lineRule="auto"/>
        <w:jc w:val="both"/>
        <w:rPr>
          <w:rFonts w:ascii="Arial" w:hAnsi="Arial" w:cs="Arial"/>
          <w:lang w:val="es-ES" w:eastAsia="es-ES"/>
        </w:rPr>
      </w:pPr>
      <w:r w:rsidRPr="247C94E4">
        <w:rPr>
          <w:rFonts w:ascii="Arial" w:hAnsi="Arial" w:cs="Arial"/>
          <w:lang w:val="es-ES" w:eastAsia="es-ES"/>
        </w:rPr>
        <w:t>La forma en que estas limitaciones se manifiestan también puede variar según la modalidad de prestación del servicio. En la distribución mediante cilindros y tanques estacionarios, adquiere especial relevancia la información relacionada con las características del producto suministrado, la formación del precio, la identificación del prestador responsable y los canales de atención disponibles. Por su parte, en la distribución mediante redes de tubería, las necesidades de información se orientan principalmente a las condiciones de prestación del servicio, la continuidad del suministro, la facturación, los cargos regulados y los mecanismos de atención al usuario. En todas las modalidades, la disponibilidad de información clara, suficiente y oportuna constituye un elemento esencial para reducir las asimetrías de información entre usuarios y prestadores.</w:t>
      </w:r>
    </w:p>
    <w:p w14:paraId="57EDA897" w14:textId="77777777" w:rsidR="00D34411" w:rsidRPr="00D34411" w:rsidRDefault="00D34411" w:rsidP="00D367EF">
      <w:pPr>
        <w:pStyle w:val="isselectedend"/>
        <w:spacing w:line="360" w:lineRule="auto"/>
        <w:jc w:val="both"/>
        <w:rPr>
          <w:rFonts w:ascii="Arial" w:hAnsi="Arial" w:cs="Arial"/>
          <w:lang w:val="es-ES_tradnl" w:eastAsia="es-ES"/>
        </w:rPr>
      </w:pPr>
      <w:r w:rsidRPr="00D34411">
        <w:rPr>
          <w:rFonts w:ascii="Arial" w:hAnsi="Arial" w:cs="Arial"/>
          <w:lang w:val="es-ES_tradnl" w:eastAsia="es-ES"/>
        </w:rPr>
        <w:t>Desde la perspectiva del funcionamiento del mercado, las asimetrías de información pueden afectar la capacidad de los usuarios para adoptar decisiones racionales e introducir señales que incentiven mejoras en la calidad, la eficiencia y la atención comercial por parte de los prestadores. En consecuencia, la disponibilidad y transparencia de la información constituye un elemento fundamental para el adecuado funcionamiento del servicio público domiciliario de GLP.</w:t>
      </w:r>
    </w:p>
    <w:p w14:paraId="53699E7E" w14:textId="77777777" w:rsidR="00D34411" w:rsidRPr="00D34411" w:rsidRDefault="00D34411" w:rsidP="00D367EF">
      <w:pPr>
        <w:pStyle w:val="isselectedend"/>
        <w:spacing w:line="360" w:lineRule="auto"/>
        <w:jc w:val="both"/>
        <w:rPr>
          <w:rFonts w:ascii="Arial" w:hAnsi="Arial" w:cs="Arial"/>
          <w:lang w:val="es-ES" w:eastAsia="es-ES"/>
        </w:rPr>
      </w:pPr>
      <w:r w:rsidRPr="21A5E085">
        <w:rPr>
          <w:rFonts w:ascii="Arial" w:hAnsi="Arial" w:cs="Arial"/>
          <w:lang w:val="es-ES" w:eastAsia="es-ES"/>
        </w:rPr>
        <w:t>Lo anterior no implica necesariamente que los usuarios carezcan por completo de información sobre el servicio recibido. Sin embargo, sí evidencia la existencia de limitaciones que pueden afectar la comprensión de aspectos relevantes de la prestación y dificultar la adopción de decisiones plenamente informadas.</w:t>
      </w:r>
    </w:p>
    <w:p w14:paraId="3CAD81BD" w14:textId="1B5B3EE6" w:rsidR="00331082" w:rsidRPr="00331082" w:rsidRDefault="009840E0" w:rsidP="00D367EF">
      <w:pPr>
        <w:pStyle w:val="NormalWeb"/>
        <w:spacing w:line="360" w:lineRule="auto"/>
        <w:jc w:val="both"/>
      </w:pPr>
      <w:r w:rsidRPr="009840E0">
        <w:rPr>
          <w:rFonts w:ascii="Arial" w:hAnsi="Arial" w:cs="Arial"/>
          <w:lang w:val="es-ES_tradnl" w:eastAsia="es-ES"/>
        </w:rPr>
        <w:lastRenderedPageBreak/>
        <w:t>En consecuencia, las limitaciones en la disponibilidad de información para los usuarios constituyen un síntoma relevante para evaluar los riesgos asociados a la prestación del servicio público domiciliario de GLP, en la medida en que pueden afectar la transparencia de la prestación, limitar el ejercicio efectivo de los derechos de los usuarios, dificultar la adopción de decisiones informadas y reducir los incentivos para mejorar la calidad y eficiencia del servicio</w:t>
      </w:r>
      <w:r w:rsidR="00D34411" w:rsidRPr="00D34411">
        <w:rPr>
          <w:rFonts w:ascii="Arial" w:hAnsi="Arial" w:cs="Arial"/>
          <w:lang w:val="es-ES_tradnl" w:eastAsia="es-ES"/>
        </w:rPr>
        <w:t>.</w:t>
      </w:r>
    </w:p>
    <w:p w14:paraId="5ED0FAA0" w14:textId="10C03ABF" w:rsidR="00634385" w:rsidRPr="00842608" w:rsidRDefault="00140A31" w:rsidP="004C6C5A">
      <w:pPr>
        <w:pStyle w:val="Ttulo4"/>
        <w:spacing w:before="100" w:beforeAutospacing="1" w:after="100" w:afterAutospacing="1" w:line="360" w:lineRule="auto"/>
        <w:ind w:left="993" w:hanging="993"/>
      </w:pPr>
      <w:r w:rsidRPr="00842608">
        <w:t>Limitaciones en los mecanismos de atención y protección de usuarios</w:t>
      </w:r>
    </w:p>
    <w:p w14:paraId="23B2F849" w14:textId="77777777" w:rsidR="0091177C" w:rsidRPr="0091177C" w:rsidRDefault="0091177C" w:rsidP="004C6C5A">
      <w:pPr>
        <w:pStyle w:val="NormalWeb"/>
        <w:spacing w:line="360" w:lineRule="auto"/>
        <w:jc w:val="both"/>
        <w:rPr>
          <w:rFonts w:ascii="Arial" w:hAnsi="Arial" w:cs="Arial"/>
          <w:lang w:val="es-ES_tradnl" w:eastAsia="es-ES"/>
        </w:rPr>
      </w:pPr>
      <w:r w:rsidRPr="0091177C">
        <w:rPr>
          <w:rFonts w:ascii="Arial" w:hAnsi="Arial" w:cs="Arial"/>
          <w:lang w:val="es-ES_tradnl" w:eastAsia="es-ES"/>
        </w:rPr>
        <w:t>La atención de peticiones, quejas, reclamos y recursos constituye uno de los componentes esenciales de la prestación del servicio público domiciliario. A través de estos mecanismos, los usuarios pueden ejercer sus derechos, obtener información sobre el servicio recibido, reportar inconformidades y solicitar la intervención de los prestadores frente a situaciones que afecten sus intereses.</w:t>
      </w:r>
    </w:p>
    <w:p w14:paraId="26588EA5" w14:textId="77777777" w:rsidR="0091177C" w:rsidRPr="0091177C" w:rsidRDefault="0091177C" w:rsidP="004C6C5A">
      <w:pPr>
        <w:pStyle w:val="NormalWeb"/>
        <w:spacing w:line="360" w:lineRule="auto"/>
        <w:jc w:val="both"/>
        <w:rPr>
          <w:rFonts w:ascii="Arial" w:hAnsi="Arial" w:cs="Arial"/>
          <w:lang w:val="es-ES_tradnl" w:eastAsia="es-ES"/>
        </w:rPr>
      </w:pPr>
      <w:r w:rsidRPr="0091177C">
        <w:rPr>
          <w:rFonts w:ascii="Arial" w:hAnsi="Arial" w:cs="Arial"/>
          <w:lang w:val="es-ES_tradnl" w:eastAsia="es-ES"/>
        </w:rPr>
        <w:t>Los análisis realizados evidencian que la efectividad de los mecanismos de atención puede presentar diferencias entre agentes y mercados, particularmente en aspectos relacionados con el registro, seguimiento y gestión de las solicitudes presentadas por los usuarios. Estas situaciones pueden afectar la capacidad de los prestadores para atender oportunamente los requerimientos de los usuarios, realizar seguimiento a las problemáticas recurrentes y utilizar dicha información para fortalecer la prestación del servicio.</w:t>
      </w:r>
    </w:p>
    <w:p w14:paraId="78CD1D2A" w14:textId="77777777" w:rsidR="0091177C" w:rsidRPr="0091177C" w:rsidRDefault="0091177C" w:rsidP="004C6C5A">
      <w:pPr>
        <w:pStyle w:val="NormalWeb"/>
        <w:spacing w:line="360" w:lineRule="auto"/>
        <w:jc w:val="both"/>
        <w:rPr>
          <w:rFonts w:ascii="Arial" w:hAnsi="Arial" w:cs="Arial"/>
          <w:lang w:val="es-ES" w:eastAsia="es-ES"/>
        </w:rPr>
      </w:pPr>
      <w:r w:rsidRPr="247C94E4">
        <w:rPr>
          <w:rFonts w:ascii="Arial" w:hAnsi="Arial" w:cs="Arial"/>
          <w:lang w:val="es-ES" w:eastAsia="es-ES"/>
        </w:rPr>
        <w:t xml:space="preserve">La forma en que estas limitaciones se manifiestan puede variar según la modalidad de prestación del servicio. En la distribución mediante cilindros y tanques estacionarios adquieren especial relevancia la identificación del prestador responsable, la disponibilidad de canales de atención y la posibilidad de realizar seguimiento a las solicitudes presentadas por los usuarios. En la distribución mediante redes de tubería, las necesidades de atención se encuentran más asociadas a la gestión de la facturación, la continuidad del servicio, las revisiones de instalaciones y los demás aspectos propios de una relación comercial permanente. En todas las modalidades, la existencia de </w:t>
      </w:r>
      <w:r w:rsidRPr="247C94E4">
        <w:rPr>
          <w:rFonts w:ascii="Arial" w:hAnsi="Arial" w:cs="Arial"/>
          <w:lang w:val="es-ES" w:eastAsia="es-ES"/>
        </w:rPr>
        <w:lastRenderedPageBreak/>
        <w:t>mecanismos de atención claros, accesibles y oportunos constituye un elemento fundamental para garantizar el ejercicio efectivo de los derechos de los usuarios.</w:t>
      </w:r>
    </w:p>
    <w:p w14:paraId="35BDC6F6" w14:textId="77777777" w:rsidR="0091177C" w:rsidRPr="0091177C" w:rsidRDefault="0091177C" w:rsidP="004C6C5A">
      <w:pPr>
        <w:pStyle w:val="NormalWeb"/>
        <w:spacing w:line="360" w:lineRule="auto"/>
        <w:jc w:val="both"/>
        <w:rPr>
          <w:rFonts w:ascii="Arial" w:hAnsi="Arial" w:cs="Arial"/>
          <w:lang w:val="es-ES" w:eastAsia="es-ES"/>
        </w:rPr>
      </w:pPr>
      <w:r w:rsidRPr="247C94E4">
        <w:rPr>
          <w:rFonts w:ascii="Arial" w:hAnsi="Arial" w:cs="Arial"/>
          <w:lang w:val="es-ES" w:eastAsia="es-ES"/>
        </w:rPr>
        <w:t>Las limitaciones en los mecanismos de atención también pueden dificultar la identificación temprana de problemas asociados a la prestación del servicio, reducir la capacidad de los prestadores para adoptar acciones correctivas y limitar la generación de información útil para mejorar los procesos comerciales y operativos. Como consecuencia, las dificultades en la gestión de las solicitudes de los usuarios pueden trascender la atención individual de cada caso y afectar la capacidad de mejora continua de los agentes.</w:t>
      </w:r>
    </w:p>
    <w:p w14:paraId="63743FD2" w14:textId="77777777" w:rsidR="0091177C" w:rsidRPr="0091177C" w:rsidRDefault="0091177C" w:rsidP="004C6C5A">
      <w:pPr>
        <w:pStyle w:val="NormalWeb"/>
        <w:spacing w:line="360" w:lineRule="auto"/>
        <w:jc w:val="both"/>
        <w:rPr>
          <w:rFonts w:ascii="Arial" w:hAnsi="Arial" w:cs="Arial"/>
          <w:lang w:val="es-ES_tradnl" w:eastAsia="es-ES"/>
        </w:rPr>
      </w:pPr>
      <w:r w:rsidRPr="0091177C">
        <w:rPr>
          <w:rFonts w:ascii="Arial" w:hAnsi="Arial" w:cs="Arial"/>
          <w:lang w:val="es-ES_tradnl" w:eastAsia="es-ES"/>
        </w:rPr>
        <w:t>Desde la perspectiva del usuario, la ausencia de mecanismos claros, accesibles y oportunos para la atención de solicitudes puede traducirse en mayores dificultades para ejercer sus derechos, obtener respuestas satisfactorias y acceder a soluciones efectivas frente a situaciones que afecten la prestación del servicio.</w:t>
      </w:r>
    </w:p>
    <w:p w14:paraId="7D220AFA" w14:textId="77777777" w:rsidR="0091177C" w:rsidRPr="0091177C" w:rsidRDefault="0091177C" w:rsidP="004C6C5A">
      <w:pPr>
        <w:pStyle w:val="NormalWeb"/>
        <w:spacing w:line="360" w:lineRule="auto"/>
        <w:jc w:val="both"/>
        <w:rPr>
          <w:rFonts w:ascii="Arial" w:hAnsi="Arial" w:cs="Arial"/>
          <w:lang w:val="es-ES_tradnl" w:eastAsia="es-ES"/>
        </w:rPr>
      </w:pPr>
      <w:r w:rsidRPr="0091177C">
        <w:rPr>
          <w:rFonts w:ascii="Arial" w:hAnsi="Arial" w:cs="Arial"/>
          <w:lang w:val="es-ES_tradnl" w:eastAsia="es-ES"/>
        </w:rPr>
        <w:t>Lo anterior no implica necesariamente la existencia de incumplimientos generalizados de las obligaciones asociadas a la atención de los usuarios. Sin embargo, sí evidencia la importancia de evaluar la efectividad de los mecanismos disponibles para garantizar que los usuarios puedan interactuar adecuadamente con los agentes responsables de la prestación y ejercer plenamente los derechos reconocidos por el régimen de los servicios públicos domiciliarios.</w:t>
      </w:r>
    </w:p>
    <w:p w14:paraId="5541B648" w14:textId="2E77D6E1" w:rsidR="00634385" w:rsidRDefault="0091177C" w:rsidP="004C6C5A">
      <w:pPr>
        <w:pStyle w:val="NormalWeb"/>
        <w:spacing w:line="360" w:lineRule="auto"/>
        <w:jc w:val="both"/>
        <w:rPr>
          <w:rFonts w:ascii="Arial" w:hAnsi="Arial" w:cs="Arial"/>
          <w:lang w:val="es-ES_tradnl" w:eastAsia="es-ES"/>
        </w:rPr>
      </w:pPr>
      <w:r w:rsidRPr="0091177C">
        <w:rPr>
          <w:rFonts w:ascii="Arial" w:hAnsi="Arial" w:cs="Arial"/>
          <w:lang w:val="es-ES_tradnl" w:eastAsia="es-ES"/>
        </w:rPr>
        <w:t>En consecuencia, las limitaciones en los mecanismos de atención y protección de los usuarios constituyen un síntoma relevante para evaluar los riesgos asociados a la prestación del servicio público domiciliario de GLP, en la medida en que pueden afectar la calidad de la relación entre usuarios y prestadores, limitar el ejercicio efectivo de los derechos de los usuarios y reducir la capacidad de los prestadores para identificar y corregir oportunamente situaciones que afecten la prestación del servicio</w:t>
      </w:r>
      <w:r w:rsidR="000F0108" w:rsidRPr="000F0108">
        <w:rPr>
          <w:rFonts w:ascii="Arial" w:hAnsi="Arial" w:cs="Arial"/>
          <w:lang w:val="es-ES_tradnl" w:eastAsia="es-ES"/>
        </w:rPr>
        <w:t>.</w:t>
      </w:r>
    </w:p>
    <w:p w14:paraId="3C9A2A12" w14:textId="08E8C3CF" w:rsidR="00821F33" w:rsidRDefault="00821F33" w:rsidP="004C6C5A">
      <w:pPr>
        <w:pStyle w:val="Ttulo3"/>
        <w:spacing w:before="100" w:beforeAutospacing="1" w:after="100" w:afterAutospacing="1"/>
        <w:ind w:left="1212" w:hanging="1212"/>
      </w:pPr>
      <w:bookmarkStart w:id="186" w:name="_Toc235128379"/>
      <w:r>
        <w:lastRenderedPageBreak/>
        <w:t>Justificación de la intervención ante la evidencia del problema</w:t>
      </w:r>
      <w:bookmarkEnd w:id="186"/>
    </w:p>
    <w:p w14:paraId="2E7CBE98" w14:textId="1621D054" w:rsidR="008F03FB" w:rsidRPr="008F03FB" w:rsidRDefault="005A249D" w:rsidP="004C6C5A">
      <w:pPr>
        <w:spacing w:before="100" w:beforeAutospacing="1" w:after="100" w:afterAutospacing="1" w:line="360" w:lineRule="auto"/>
        <w:rPr>
          <w:rFonts w:cs="Arial"/>
          <w:szCs w:val="24"/>
        </w:rPr>
      </w:pPr>
      <w:r w:rsidRPr="005A249D">
        <w:rPr>
          <w:rFonts w:cs="Arial"/>
          <w:szCs w:val="24"/>
        </w:rPr>
        <w:t>La identificación de síntomas asociados al funcionamiento del mercado no constituye, por sí sola, una justificación para la intervención regulatoria. En el marco del Análisis de Impacto Normativo (AIN), es necesario establecer si las situaciones observadas responden a fallas de mercado, fallas regulatorias u otras condiciones estructurales que limitan el funcionamiento del mercado o dificultan el cumplimiento de los objetivos de la regulación. Para ello, este apartado analiza la existencia de fallas de mercado y, cuando corresponda, de fallas regulatorias u otras circunstancias que puedan justificar una eventual intervención de la Comisión</w:t>
      </w:r>
      <w:r w:rsidR="008F03FB" w:rsidRPr="008F03FB">
        <w:rPr>
          <w:rFonts w:cs="Arial"/>
          <w:szCs w:val="24"/>
        </w:rPr>
        <w:t>.</w:t>
      </w:r>
    </w:p>
    <w:p w14:paraId="30E27CBC" w14:textId="399A7592" w:rsidR="006019C6" w:rsidRPr="00842608" w:rsidRDefault="00821F33" w:rsidP="00415BF3">
      <w:pPr>
        <w:pStyle w:val="Ttulo4"/>
        <w:spacing w:before="100" w:beforeAutospacing="1" w:after="100" w:afterAutospacing="1" w:line="360" w:lineRule="auto"/>
        <w:ind w:left="1498" w:hanging="1356"/>
      </w:pPr>
      <w:r w:rsidRPr="00842608">
        <w:t>Fallas de mercado</w:t>
      </w:r>
    </w:p>
    <w:p w14:paraId="664FD333" w14:textId="77777777" w:rsidR="00E06653" w:rsidRPr="00E06653" w:rsidRDefault="00E06653" w:rsidP="00415BF3">
      <w:pPr>
        <w:pStyle w:val="pdq2pgselectionanchorcontainer"/>
        <w:spacing w:line="360" w:lineRule="auto"/>
        <w:jc w:val="both"/>
        <w:rPr>
          <w:rFonts w:ascii="Arial" w:hAnsi="Arial" w:cs="Arial"/>
          <w:lang w:val="es-ES" w:eastAsia="es-ES"/>
        </w:rPr>
      </w:pPr>
      <w:r w:rsidRPr="00E06653">
        <w:rPr>
          <w:rFonts w:ascii="Arial" w:hAnsi="Arial" w:cs="Arial"/>
          <w:lang w:val="es-ES" w:eastAsia="es-ES"/>
        </w:rPr>
        <w:t>Las fallas de mercado corresponden a situaciones en las cuales el funcionamiento del mercado, por sí solo, no permite alcanzar resultados eficientes desde el punto de vista económico o social. En el contexto del servicio público domiciliario de GLP, estas fallas pueden manifestarse a través de asimetrías de información, barreras que afectan la competencia, externalidades u otras condiciones que limitan la adecuada asignación de recursos y, en consecuencia, pueden afectar la prestación del servicio, la continuidad y confiabilidad del suministro, las eficiencias económicas en la prestación del servicio y el bienestar de los usuarios.</w:t>
      </w:r>
    </w:p>
    <w:p w14:paraId="6F46302E" w14:textId="66B4AA9B" w:rsidR="00BA3683" w:rsidRPr="00E06653" w:rsidRDefault="00E06653" w:rsidP="00782D0A">
      <w:pPr>
        <w:pStyle w:val="NormalWeb"/>
        <w:spacing w:line="360" w:lineRule="auto"/>
        <w:jc w:val="both"/>
        <w:rPr>
          <w:rFonts w:ascii="Arial" w:hAnsi="Arial" w:cs="Arial"/>
          <w:lang w:val="es-ES" w:eastAsia="es-ES"/>
        </w:rPr>
      </w:pPr>
      <w:r w:rsidRPr="00E06653">
        <w:rPr>
          <w:rFonts w:ascii="Arial" w:hAnsi="Arial" w:cs="Arial"/>
          <w:lang w:val="es-ES" w:eastAsia="es-ES"/>
        </w:rPr>
        <w:t>Con fundamento en el diagnóstico desarrollado en el capítulo anterior y en la evidencia recopilada durante el presente AIN, a continuación</w:t>
      </w:r>
      <w:r>
        <w:rPr>
          <w:rFonts w:ascii="Arial" w:hAnsi="Arial" w:cs="Arial"/>
          <w:lang w:val="es-ES" w:eastAsia="es-ES"/>
        </w:rPr>
        <w:t>,</w:t>
      </w:r>
      <w:r w:rsidRPr="00E06653">
        <w:rPr>
          <w:rFonts w:ascii="Arial" w:hAnsi="Arial" w:cs="Arial"/>
          <w:lang w:val="es-ES" w:eastAsia="es-ES"/>
        </w:rPr>
        <w:t xml:space="preserve"> se analizan las principales fallas de mercado identificadas y la forma en que estas permiten explicar los síntomas observados y justificar, de manera preliminar, una eventual intervención regulatoria.</w:t>
      </w:r>
    </w:p>
    <w:p w14:paraId="0E459A2A" w14:textId="759D471D" w:rsidR="006019C6" w:rsidRPr="00842608" w:rsidRDefault="006019C6" w:rsidP="00782D0A">
      <w:pPr>
        <w:pStyle w:val="Ttulo5"/>
        <w:numPr>
          <w:ilvl w:val="4"/>
          <w:numId w:val="1"/>
        </w:numPr>
        <w:spacing w:before="100" w:beforeAutospacing="1" w:after="100" w:afterAutospacing="1"/>
        <w:ind w:left="1276" w:hanging="1276"/>
      </w:pPr>
      <w:r w:rsidRPr="00842608">
        <w:t>Externalidades</w:t>
      </w:r>
    </w:p>
    <w:p w14:paraId="7533A3B3" w14:textId="77777777" w:rsidR="00B775D4" w:rsidRPr="00B775D4" w:rsidRDefault="00B775D4" w:rsidP="00782D0A">
      <w:pPr>
        <w:pStyle w:val="NormalWeb"/>
        <w:spacing w:line="360" w:lineRule="auto"/>
        <w:jc w:val="both"/>
        <w:rPr>
          <w:rFonts w:ascii="Arial" w:hAnsi="Arial" w:cs="Arial"/>
          <w:lang w:val="es-ES" w:eastAsia="es-ES"/>
        </w:rPr>
      </w:pPr>
      <w:r w:rsidRPr="00B775D4">
        <w:rPr>
          <w:rFonts w:ascii="Arial" w:hAnsi="Arial" w:cs="Arial"/>
          <w:lang w:val="es-ES" w:eastAsia="es-ES"/>
        </w:rPr>
        <w:t xml:space="preserve">Las externalidades se presentan cuando las decisiones o actividades desarrolladas por una persona o una empresa generan costos o beneficios sobre terceros que no participan directamente en la transacción y cuyos efectos no se reflejan completamente en los precios del mercado. Un ejemplo de externalidad es la contaminación generada por una </w:t>
      </w:r>
      <w:r w:rsidRPr="00B775D4">
        <w:rPr>
          <w:rFonts w:ascii="Arial" w:hAnsi="Arial" w:cs="Arial"/>
          <w:lang w:val="es-ES" w:eastAsia="es-ES"/>
        </w:rPr>
        <w:lastRenderedPageBreak/>
        <w:t>fábrica: aunque la empresa produce un bien para sus clientes, la contaminación puede afectar la salud de las personas que viven cerca sin que ese costo sea asumido directamente por quien la genera. También pueden existir externalidades positivas, como ocurre cuando una persona vacuna a su hijo, contribuyendo indirectamente a reducir el riesgo de contagio para otras personas. Debido a estas situaciones, los mercados pueden generar resultados ineficientes y justificar la intervención del Estado.</w:t>
      </w:r>
    </w:p>
    <w:p w14:paraId="20EA0BFA" w14:textId="77777777" w:rsidR="00B775D4" w:rsidRPr="00B775D4" w:rsidRDefault="00B775D4" w:rsidP="00782D0A">
      <w:pPr>
        <w:pStyle w:val="NormalWeb"/>
        <w:spacing w:line="360" w:lineRule="auto"/>
        <w:jc w:val="both"/>
        <w:rPr>
          <w:rFonts w:ascii="Arial" w:hAnsi="Arial" w:cs="Arial"/>
          <w:lang w:val="es-ES" w:eastAsia="es-ES"/>
        </w:rPr>
      </w:pPr>
      <w:r w:rsidRPr="00B775D4">
        <w:rPr>
          <w:rFonts w:ascii="Arial" w:hAnsi="Arial" w:cs="Arial"/>
          <w:lang w:val="es-ES" w:eastAsia="es-ES"/>
        </w:rPr>
        <w:t>En el servicio público domiciliario de GLP, las externalidades se manifiestan principalmente en aquellos aspectos relacionados con la calidad y la seguridad durante la prestación del servicio. Dado que el GLP es un combustible inflamable, las actividades desarrolladas a lo largo de la cadena deben cumplir condiciones técnicas y operativas orientadas a prevenir riesgos para las personas, los bienes y el entorno. En este contexto, prácticas no autorizadas, deficiencias en el manejo del producto o de los recipientes, o limitaciones para realizar seguimiento a la prestación del servicio pueden generar efectos que trascienden la relación entre el prestador y el usuario, afectando a terceros y comprometiendo la seguridad pública.</w:t>
      </w:r>
    </w:p>
    <w:p w14:paraId="4C2662A6" w14:textId="0257E14F" w:rsidR="003D6406" w:rsidRPr="003D6406" w:rsidRDefault="00B775D4" w:rsidP="00782D0A">
      <w:pPr>
        <w:pStyle w:val="NormalWeb"/>
        <w:spacing w:line="360" w:lineRule="auto"/>
        <w:jc w:val="both"/>
        <w:rPr>
          <w:rFonts w:ascii="Arial" w:hAnsi="Arial" w:cs="Arial"/>
          <w:lang w:val="es-ES_tradnl" w:eastAsia="es-ES"/>
        </w:rPr>
      </w:pPr>
      <w:r w:rsidRPr="00B775D4">
        <w:rPr>
          <w:rFonts w:ascii="Arial" w:hAnsi="Arial" w:cs="Arial"/>
          <w:lang w:val="es-ES" w:eastAsia="es-ES"/>
        </w:rPr>
        <w:t>En consecuencia, las externalidades constituyen una falla de mercado que contribuye a explicar el síntoma asociado a las condiciones de calidad y seguridad en la prestación del servicio. No obstante, su capacidad explicativa respecto de los demás síntomas identificados en este eje es limitada, dado que estos se encuentran asociados principalmente a problemas de información, seguimiento a la prestación y atención de los usuarios, los cuales responden de manera predominante a asimetrías de información.</w:t>
      </w:r>
    </w:p>
    <w:p w14:paraId="1F37EBF1" w14:textId="4FA7E9E3" w:rsidR="006019C6" w:rsidRPr="00842608" w:rsidRDefault="006019C6" w:rsidP="00D64435">
      <w:pPr>
        <w:pStyle w:val="Ttulo5"/>
        <w:numPr>
          <w:ilvl w:val="4"/>
          <w:numId w:val="1"/>
        </w:numPr>
        <w:spacing w:before="100" w:beforeAutospacing="1" w:after="100" w:afterAutospacing="1"/>
        <w:ind w:left="1843" w:hanging="1843"/>
      </w:pPr>
      <w:r w:rsidRPr="00842608">
        <w:t>Bienes públicos</w:t>
      </w:r>
    </w:p>
    <w:p w14:paraId="16822857" w14:textId="77777777" w:rsidR="005E065C" w:rsidRPr="005E065C" w:rsidRDefault="005E065C" w:rsidP="00D64435">
      <w:pPr>
        <w:pStyle w:val="NormalWeb"/>
        <w:spacing w:line="360" w:lineRule="auto"/>
        <w:jc w:val="both"/>
        <w:rPr>
          <w:rFonts w:ascii="Arial" w:hAnsi="Arial" w:cs="Arial"/>
          <w:lang w:val="es-ES" w:eastAsia="es-ES"/>
        </w:rPr>
      </w:pPr>
      <w:r w:rsidRPr="005E065C">
        <w:rPr>
          <w:rFonts w:ascii="Arial" w:hAnsi="Arial" w:cs="Arial"/>
          <w:lang w:val="es-ES" w:eastAsia="es-ES"/>
        </w:rPr>
        <w:t xml:space="preserve">Los bienes públicos son aquellos bienes o servicios cuyo consumo por una persona no reduce la posibilidad de que otros también los utilicen y respecto de los cuales resulta difícil excluir a quienes no contribuyen a financiarlos. Un ejemplo de este tipo de bienes es el alumbrado público: todas las personas pueden beneficiarse de la iluminación de una vía sin disminuir el beneficio para los demás y, en la práctica, no es posible impedir que alguien la utilice. Debido a estas características, los mercados pueden generar incentivos </w:t>
      </w:r>
      <w:r w:rsidRPr="005E065C">
        <w:rPr>
          <w:rFonts w:ascii="Arial" w:hAnsi="Arial" w:cs="Arial"/>
          <w:lang w:val="es-ES" w:eastAsia="es-ES"/>
        </w:rPr>
        <w:lastRenderedPageBreak/>
        <w:t>insuficientes para su provisión, dando lugar a una falla de mercado que puede justificar la intervención del Estado.</w:t>
      </w:r>
    </w:p>
    <w:p w14:paraId="60B28DFD" w14:textId="77777777" w:rsidR="005E065C" w:rsidRPr="005E065C" w:rsidRDefault="005E065C" w:rsidP="00D64435">
      <w:pPr>
        <w:pStyle w:val="NormalWeb"/>
        <w:spacing w:line="360" w:lineRule="auto"/>
        <w:jc w:val="both"/>
        <w:rPr>
          <w:rFonts w:ascii="Arial" w:hAnsi="Arial" w:cs="Arial"/>
          <w:lang w:val="es-ES" w:eastAsia="es-ES"/>
        </w:rPr>
      </w:pPr>
      <w:r w:rsidRPr="005E065C">
        <w:rPr>
          <w:rFonts w:ascii="Arial" w:hAnsi="Arial" w:cs="Arial"/>
          <w:lang w:val="es-ES" w:eastAsia="es-ES"/>
        </w:rPr>
        <w:t>En el caso del servicio público domiciliario de GLP, los síntomas identificados en este eje no evidencian problemas asociados a la provisión insuficiente de bienes públicos. Las situaciones observadas se relacionan con la calidad y seguridad en la prestación del servicio, el seguimiento a la prestación, la disponibilidad de información para los usuarios y la efectividad de los mecanismos de atención y protección de los usuarios, aspectos que corresponden a relaciones propias de la prestación de un servicio público domiciliario y no a las características económicas de un bien público.</w:t>
      </w:r>
    </w:p>
    <w:p w14:paraId="60E7BF71" w14:textId="30FFA892" w:rsidR="00BB113E" w:rsidRPr="00A32313" w:rsidRDefault="005E065C" w:rsidP="00D64435">
      <w:pPr>
        <w:pStyle w:val="NormalWeb"/>
        <w:spacing w:line="360" w:lineRule="auto"/>
        <w:jc w:val="both"/>
        <w:rPr>
          <w:rFonts w:ascii="Arial" w:hAnsi="Arial" w:cs="Arial"/>
          <w:lang w:val="es-ES_tradnl" w:eastAsia="es-ES"/>
        </w:rPr>
      </w:pPr>
      <w:r w:rsidRPr="005E065C">
        <w:rPr>
          <w:rFonts w:ascii="Arial" w:hAnsi="Arial" w:cs="Arial"/>
          <w:lang w:val="es-ES" w:eastAsia="es-ES"/>
        </w:rPr>
        <w:t>En consecuencia, no se identifica evidencia que permita considerar la existencia de una falla de mercado asociada a la provisión de bienes públicos como explicación de los síntomas analizados en este eje.</w:t>
      </w:r>
    </w:p>
    <w:p w14:paraId="624855C5" w14:textId="77C49403" w:rsidR="006F5610" w:rsidRPr="00842608" w:rsidRDefault="006F5610" w:rsidP="00D64435">
      <w:pPr>
        <w:pStyle w:val="Ttulo5"/>
        <w:numPr>
          <w:ilvl w:val="4"/>
          <w:numId w:val="1"/>
        </w:numPr>
        <w:spacing w:before="100" w:beforeAutospacing="1" w:after="100" w:afterAutospacing="1"/>
        <w:ind w:left="1418" w:hanging="1418"/>
      </w:pPr>
      <w:r w:rsidRPr="00842608">
        <w:t>Competencia</w:t>
      </w:r>
    </w:p>
    <w:p w14:paraId="51DE2CF0" w14:textId="77777777" w:rsidR="00FD3AF4" w:rsidRPr="00FD3AF4" w:rsidRDefault="00FD3AF4" w:rsidP="00D64435">
      <w:pPr>
        <w:pStyle w:val="NormalWeb"/>
        <w:spacing w:line="360" w:lineRule="auto"/>
        <w:jc w:val="both"/>
        <w:rPr>
          <w:rFonts w:ascii="Arial" w:hAnsi="Arial" w:cs="Arial"/>
          <w:lang w:val="es-ES" w:eastAsia="es-ES"/>
        </w:rPr>
      </w:pPr>
      <w:r w:rsidRPr="00FD3AF4">
        <w:rPr>
          <w:rFonts w:ascii="Arial" w:hAnsi="Arial" w:cs="Arial"/>
          <w:lang w:val="es-ES" w:eastAsia="es-ES"/>
        </w:rPr>
        <w:t>La competencia es uno de los principales mecanismos mediante los cuales los mercados incentivan la eficiencia económica, la innovación, la reducción de costos y la mejora en la calidad de los bienes y servicios ofrecidos a los usuarios. Un ejemplo cotidiano ocurre cuando en una misma zona existen varios establecimientos dedicados a una misma actividad económica; cada uno procura ofrecer mejores precios, mayor variedad de productos o una mejor atención para atraer clientes. Esta presión competitiva incentiva a las empresas a utilizar de manera más eficiente sus recursos y a mejorar continuamente los bienes y servicios que ofrecen.</w:t>
      </w:r>
    </w:p>
    <w:p w14:paraId="5D1B32F2" w14:textId="77777777" w:rsidR="00FD3AF4" w:rsidRPr="00FD3AF4" w:rsidRDefault="00FD3AF4" w:rsidP="00D64435">
      <w:pPr>
        <w:pStyle w:val="NormalWeb"/>
        <w:spacing w:line="360" w:lineRule="auto"/>
        <w:jc w:val="both"/>
        <w:rPr>
          <w:rFonts w:ascii="Arial" w:hAnsi="Arial" w:cs="Arial"/>
          <w:lang w:val="es-ES" w:eastAsia="es-ES"/>
        </w:rPr>
      </w:pPr>
      <w:r w:rsidRPr="00FD3AF4">
        <w:rPr>
          <w:rFonts w:ascii="Arial" w:hAnsi="Arial" w:cs="Arial"/>
          <w:lang w:val="es-ES" w:eastAsia="es-ES"/>
        </w:rPr>
        <w:t>No obstante, cuando existen barreras que dificultan el ingreso de nuevos participantes, altos niveles de concentración o condiciones que limitan la rivalidad entre los agentes, la competencia puede verse restringida. En estos casos, los mercados pueden generar menores incentivos para mejorar la eficiencia, innovar o desarrollar nuevas alternativas para los usuarios, configurándose una falla de mercado que puede justificar la intervención del Estado.</w:t>
      </w:r>
    </w:p>
    <w:p w14:paraId="45200B6E" w14:textId="77777777" w:rsidR="00FD3AF4" w:rsidRPr="00FD3AF4" w:rsidRDefault="00FD3AF4" w:rsidP="00D64435">
      <w:pPr>
        <w:pStyle w:val="NormalWeb"/>
        <w:spacing w:line="360" w:lineRule="auto"/>
        <w:jc w:val="both"/>
        <w:rPr>
          <w:rFonts w:ascii="Arial" w:hAnsi="Arial" w:cs="Arial"/>
          <w:lang w:val="es-ES" w:eastAsia="es-ES"/>
        </w:rPr>
      </w:pPr>
      <w:r w:rsidRPr="00FD3AF4">
        <w:rPr>
          <w:rFonts w:ascii="Arial" w:hAnsi="Arial" w:cs="Arial"/>
          <w:lang w:val="es-ES" w:eastAsia="es-ES"/>
        </w:rPr>
        <w:lastRenderedPageBreak/>
        <w:t>En el caso del servicio público domiciliario de GLP, si bien las condiciones de competencia influyen sobre el funcionamiento general del mercado, los síntomas identificados en este eje se relacionan principalmente con las condiciones de calidad y seguridad durante la prestación del servicio, las limitaciones para realizar seguimiento a la prestación del servicio, la disponibilidad de información para los usuarios y la efectividad de los mecanismos de atención y protección de los usuarios. Estos síntomas no obedecen principalmente a restricciones en la competencia entre los agentes, sino a fallas asociadas a la disponibilidad de información y, de manera complementaria, a las externalidades derivadas de la prestación del servicio.</w:t>
      </w:r>
    </w:p>
    <w:p w14:paraId="608839D5" w14:textId="4C378119" w:rsidR="00EE40ED" w:rsidRDefault="00FD3AF4" w:rsidP="00D64435">
      <w:pPr>
        <w:pStyle w:val="NormalWeb"/>
        <w:spacing w:line="360" w:lineRule="auto"/>
        <w:jc w:val="both"/>
        <w:rPr>
          <w:rFonts w:ascii="Arial" w:hAnsi="Arial" w:cs="Arial"/>
          <w:lang w:val="es-ES_tradnl" w:eastAsia="es-ES"/>
        </w:rPr>
      </w:pPr>
      <w:r w:rsidRPr="00FD3AF4">
        <w:rPr>
          <w:rFonts w:ascii="Arial" w:hAnsi="Arial" w:cs="Arial"/>
          <w:lang w:val="es-ES" w:eastAsia="es-ES"/>
        </w:rPr>
        <w:t>En consecuencia, las restricciones a la competencia no constituyen la principal explicación de los síntomas analizados en este eje. Su incidencia será examinada específicamente en el análisis correspondiente al riesgo de ineficiencias económicas en la prestación del servicio, donde las condiciones de competencia adquieren un papel determinante para explicar las situaciones identificadas</w:t>
      </w:r>
      <w:r w:rsidR="00A24D27" w:rsidRPr="00A24D27">
        <w:rPr>
          <w:rFonts w:ascii="Arial" w:hAnsi="Arial" w:cs="Arial"/>
          <w:lang w:val="es-ES_tradnl" w:eastAsia="es-ES"/>
        </w:rPr>
        <w:t>.</w:t>
      </w:r>
    </w:p>
    <w:p w14:paraId="7793D388" w14:textId="4B6F1C2B" w:rsidR="00D67699" w:rsidRPr="00842608" w:rsidRDefault="006F5610" w:rsidP="00D64435">
      <w:pPr>
        <w:pStyle w:val="Ttulo5"/>
        <w:numPr>
          <w:ilvl w:val="4"/>
          <w:numId w:val="1"/>
        </w:numPr>
        <w:spacing w:before="100" w:beforeAutospacing="1" w:after="100" w:afterAutospacing="1"/>
        <w:ind w:left="1560" w:hanging="1560"/>
      </w:pPr>
      <w:r w:rsidRPr="00842608">
        <w:t>Asimetría de información</w:t>
      </w:r>
    </w:p>
    <w:p w14:paraId="739C6411" w14:textId="77777777" w:rsidR="00AD742B" w:rsidRPr="00AD742B" w:rsidRDefault="00AD742B" w:rsidP="00D64435">
      <w:pPr>
        <w:pStyle w:val="NormalWeb"/>
        <w:spacing w:line="360" w:lineRule="auto"/>
        <w:jc w:val="both"/>
        <w:rPr>
          <w:rFonts w:ascii="Arial" w:hAnsi="Arial" w:cs="Arial"/>
          <w:lang w:val="es-ES_tradnl" w:eastAsia="es-ES"/>
        </w:rPr>
      </w:pPr>
      <w:r w:rsidRPr="00AD742B">
        <w:rPr>
          <w:rFonts w:ascii="Arial" w:hAnsi="Arial" w:cs="Arial"/>
          <w:lang w:val="es-ES_tradnl" w:eastAsia="es-ES"/>
        </w:rPr>
        <w:t>Las asimetrías de información constituyen una de las fallas de mercado más ampliamente reconocidas en la teoría económica. Se presentan cuando algunos participantes del mercado disponen de información más completa, precisa u oportuna que otros, generando diferencias en la capacidad para tomar decisiones informadas. Como resultado, los usuarios pueden enfrentar dificultades para conocer las características de los bienes o servicios que reciben, comprender las condiciones de la prestación o ejercer plenamente sus derechos. Un ejemplo cotidiano ocurre en la compra de un bien usado, donde el vendedor conoce mejor su estado que el comprador, quien debe tomar una decisión con información limitada. En estos casos, las diferencias en el acceso a la información pueden afectar las decisiones de quienes participan en el mercado y justificar la intervención del Estado.</w:t>
      </w:r>
    </w:p>
    <w:p w14:paraId="1638FA36" w14:textId="77777777" w:rsidR="00AD742B" w:rsidRPr="00AD742B" w:rsidRDefault="00AD742B" w:rsidP="00D64435">
      <w:pPr>
        <w:pStyle w:val="NormalWeb"/>
        <w:spacing w:line="360" w:lineRule="auto"/>
        <w:jc w:val="both"/>
        <w:rPr>
          <w:rFonts w:ascii="Arial" w:hAnsi="Arial" w:cs="Arial"/>
          <w:lang w:val="es-ES_tradnl" w:eastAsia="es-ES"/>
        </w:rPr>
      </w:pPr>
      <w:r w:rsidRPr="00AD742B">
        <w:rPr>
          <w:rFonts w:ascii="Arial" w:hAnsi="Arial" w:cs="Arial"/>
          <w:lang w:val="es-ES_tradnl" w:eastAsia="es-ES"/>
        </w:rPr>
        <w:t xml:space="preserve">En el servicio público domiciliario de GLP, la prestación involucra diferentes actividades y agentes, lo que hace especialmente relevante la disponibilidad de información clara, </w:t>
      </w:r>
      <w:r w:rsidRPr="00AD742B">
        <w:rPr>
          <w:rFonts w:ascii="Arial" w:hAnsi="Arial" w:cs="Arial"/>
          <w:lang w:val="es-ES_tradnl" w:eastAsia="es-ES"/>
        </w:rPr>
        <w:lastRenderedPageBreak/>
        <w:t>suficiente y verificable para los usuarios. La posibilidad de comprender las condiciones de prestación del servicio, conocer las características del producto suministrado, identificar al prestador responsable y acceder a mecanismos efectivos de atención depende, en gran medida, de que la información sea accesible y transparente. La naturaleza de esta información puede variar según la modalidad de prestación del servicio. En la distribución mediante cilindros y tanques estacionarios adquiere especial relevancia la información relacionada con las características del producto suministrado, la identificación del prestador responsable y las condiciones bajo las cuales se realiza la entrega. En la distribución mediante redes de tubería, las necesidades de información se orientan principalmente a las condiciones de prestación del servicio, la facturación, la continuidad del suministro y los mecanismos de atención al usuario.</w:t>
      </w:r>
    </w:p>
    <w:p w14:paraId="1413B09B" w14:textId="77777777" w:rsidR="00AD742B" w:rsidRPr="00AD742B" w:rsidRDefault="00AD742B" w:rsidP="00D64435">
      <w:pPr>
        <w:pStyle w:val="NormalWeb"/>
        <w:spacing w:line="360" w:lineRule="auto"/>
        <w:jc w:val="both"/>
        <w:rPr>
          <w:rFonts w:ascii="Arial" w:hAnsi="Arial" w:cs="Arial"/>
          <w:lang w:val="es-ES_tradnl" w:eastAsia="es-ES"/>
        </w:rPr>
      </w:pPr>
      <w:r w:rsidRPr="00AD742B">
        <w:rPr>
          <w:rFonts w:ascii="Arial" w:hAnsi="Arial" w:cs="Arial"/>
          <w:lang w:val="es-ES_tradnl" w:eastAsia="es-ES"/>
        </w:rPr>
        <w:t>Los síntomas identificados en el diagnóstico evidencian la existencia de asimetrías de información entre usuarios, prestadores y demás agentes que participan en la cadena de prestación del servicio. Uno de los casos más representativos corresponde a la calidad del producto suministrado. Aunque el GLP comercializado debe cumplir las especificaciones técnicas establecidas en la regulación y en los reglamentos aplicables, los usuarios no cuentan con la capacidad técnica ni con los mecanismos necesarios para verificar directamente las características físicas y energéticas del combustible que reciben. De igual manera, la verificabilidad de la información sobre la calidad del GLP durante las diferentes etapas de la cadena resulta relevante para asegurar que el producto entregado al usuario final corresponda a las condiciones exigidas por la regulación.</w:t>
      </w:r>
    </w:p>
    <w:p w14:paraId="6952539C" w14:textId="77777777" w:rsidR="00AD742B" w:rsidRPr="00AD742B" w:rsidRDefault="00AD742B" w:rsidP="00D64435">
      <w:pPr>
        <w:pStyle w:val="NormalWeb"/>
        <w:spacing w:line="360" w:lineRule="auto"/>
        <w:jc w:val="both"/>
        <w:rPr>
          <w:rFonts w:ascii="Arial" w:hAnsi="Arial" w:cs="Arial"/>
          <w:lang w:val="es-ES_tradnl" w:eastAsia="es-ES"/>
        </w:rPr>
      </w:pPr>
      <w:r w:rsidRPr="00AD742B">
        <w:rPr>
          <w:rFonts w:ascii="Arial" w:hAnsi="Arial" w:cs="Arial"/>
          <w:lang w:val="es-ES_tradnl" w:eastAsia="es-ES"/>
        </w:rPr>
        <w:t xml:space="preserve">Esta situación resulta particularmente relevante porque el GLP puede provenir de diferentes fuentes de suministro y presentar variaciones en su composición dentro de los parámetros permitidos por la regulación. En este contexto, la disponibilidad de información confiable sobre las características del producto adquiere especial importancia para fortalecer la transparencia, el seguimiento a la prestación del servicio y la disponibilidad de información para los usuarios y los demás agentes de la cadena. En consecuencia, pueden generarse diferencias entre la calidad técnica efectiva del </w:t>
      </w:r>
      <w:r w:rsidRPr="00AD742B">
        <w:rPr>
          <w:rFonts w:ascii="Arial" w:hAnsi="Arial" w:cs="Arial"/>
          <w:lang w:val="es-ES_tradnl" w:eastAsia="es-ES"/>
        </w:rPr>
        <w:lastRenderedPageBreak/>
        <w:t>producto y la calidad percibida por los usuarios, quienes normalmente evalúan su desempeño a partir de elementos observables, como la intensidad de la llama, la duración del combustible o el comportamiento durante la combustión. La imposibilidad de verificar directamente estas características genera una asimetría de información entre quienes suministran el producto y quienes finalmente lo consumen.</w:t>
      </w:r>
    </w:p>
    <w:p w14:paraId="4336520E" w14:textId="77777777" w:rsidR="00AD742B" w:rsidRPr="00AD742B" w:rsidRDefault="00AD742B" w:rsidP="00D64435">
      <w:pPr>
        <w:pStyle w:val="NormalWeb"/>
        <w:spacing w:line="360" w:lineRule="auto"/>
        <w:jc w:val="both"/>
        <w:rPr>
          <w:rFonts w:ascii="Arial" w:hAnsi="Arial" w:cs="Arial"/>
          <w:lang w:val="es-ES_tradnl" w:eastAsia="es-ES"/>
        </w:rPr>
      </w:pPr>
      <w:r w:rsidRPr="00AD742B">
        <w:rPr>
          <w:rFonts w:ascii="Arial" w:hAnsi="Arial" w:cs="Arial"/>
          <w:lang w:val="es-ES_tradnl" w:eastAsia="es-ES"/>
        </w:rPr>
        <w:t>De igual manera, los estudios realizados para la caracterización de la cadena identificaron situaciones asociadas a la atención indirecta de usuarios mediante terceros o conductores que participan en la distribución de cilindros. En estos casos, los usuarios pueden enfrentar dificultades para identificar con claridad quién es el prestador responsable del servicio, cuáles son los canales oficiales de atención disponibles y qué mecanismos pueden utilizar para presentar peticiones, quejas, reclamos o recursos y ejercer los derechos que les reconoce el régimen de los servicios públicos domiciliarios.</w:t>
      </w:r>
    </w:p>
    <w:p w14:paraId="378F2CB1" w14:textId="77777777" w:rsidR="00AD742B" w:rsidRPr="00AD742B" w:rsidRDefault="00AD742B" w:rsidP="00D64435">
      <w:pPr>
        <w:pStyle w:val="NormalWeb"/>
        <w:spacing w:line="360" w:lineRule="auto"/>
        <w:jc w:val="both"/>
        <w:rPr>
          <w:rFonts w:ascii="Arial" w:hAnsi="Arial" w:cs="Arial"/>
          <w:lang w:val="es-ES_tradnl" w:eastAsia="es-ES"/>
        </w:rPr>
      </w:pPr>
      <w:r w:rsidRPr="00AD742B">
        <w:rPr>
          <w:rFonts w:ascii="Arial" w:hAnsi="Arial" w:cs="Arial"/>
          <w:lang w:val="es-ES_tradnl" w:eastAsia="es-ES"/>
        </w:rPr>
        <w:t>Las asimetrías de información también pueden manifestarse en relación con los precios pagados por los usuarios. Debido a que el valor final del servicio incorpora diferentes componentes asociados a la cadena de prestación, los usuarios pueden no disponer de información suficiente para comprender cómo se conforma el precio que pagan ni identificar los factores que explican sus variaciones. Esta situación puede dificultar la adopción de decisiones informadas y afectar la percepción de transparencia durante la prestación del servicio.</w:t>
      </w:r>
    </w:p>
    <w:p w14:paraId="74862547" w14:textId="77777777" w:rsidR="00AD742B" w:rsidRPr="00AD742B" w:rsidRDefault="00AD742B" w:rsidP="00D64435">
      <w:pPr>
        <w:pStyle w:val="NormalWeb"/>
        <w:spacing w:line="360" w:lineRule="auto"/>
        <w:jc w:val="both"/>
        <w:rPr>
          <w:rFonts w:ascii="Arial" w:hAnsi="Arial" w:cs="Arial"/>
          <w:lang w:val="es-ES_tradnl" w:eastAsia="es-ES"/>
        </w:rPr>
      </w:pPr>
      <w:r w:rsidRPr="00AD742B">
        <w:rPr>
          <w:rFonts w:ascii="Arial" w:hAnsi="Arial" w:cs="Arial"/>
          <w:lang w:val="es-ES_tradnl" w:eastAsia="es-ES"/>
        </w:rPr>
        <w:t>Otro aspecto identificado corresponde a las limitaciones para realizar seguimiento a la prestación del servicio. Cuando la información relacionada con la entrega del producto, la identificación del responsable de la prestación o las condiciones bajo las cuales se realizó el suministro no se encuentra plenamente disponible o verificable, se reduce la capacidad de los usuarios, de los prestadores y de las autoridades para conocer las condiciones bajo las cuales se prestó el servicio y verificar el cumplimiento de las obligaciones asociadas a la prestación.</w:t>
      </w:r>
    </w:p>
    <w:p w14:paraId="14B98251" w14:textId="77777777" w:rsidR="00AD742B" w:rsidRPr="00AD742B" w:rsidRDefault="00AD742B" w:rsidP="00D64435">
      <w:pPr>
        <w:pStyle w:val="NormalWeb"/>
        <w:spacing w:line="360" w:lineRule="auto"/>
        <w:jc w:val="both"/>
        <w:rPr>
          <w:rFonts w:ascii="Arial" w:hAnsi="Arial" w:cs="Arial"/>
          <w:lang w:val="es-ES_tradnl" w:eastAsia="es-ES"/>
        </w:rPr>
      </w:pPr>
      <w:r w:rsidRPr="00AD742B">
        <w:rPr>
          <w:rFonts w:ascii="Arial" w:hAnsi="Arial" w:cs="Arial"/>
          <w:lang w:val="es-ES_tradnl" w:eastAsia="es-ES"/>
        </w:rPr>
        <w:t xml:space="preserve">Finalmente, las limitaciones observadas en algunos mecanismos de atención de peticiones, quejas, reclamos y recursos pueden ampliar las asimetrías de información </w:t>
      </w:r>
      <w:r w:rsidRPr="00AD742B">
        <w:rPr>
          <w:rFonts w:ascii="Arial" w:hAnsi="Arial" w:cs="Arial"/>
          <w:lang w:val="es-ES_tradnl" w:eastAsia="es-ES"/>
        </w:rPr>
        <w:lastRenderedPageBreak/>
        <w:t>entre usuarios y prestadores. Cuando no existen procedimientos suficientemente claros para registrar, hacer seguimiento y responder oportunamente las solicitudes de los usuarios, disminuye la transparencia del servicio y se dificulta que los usuarios conozcan el estado de sus requerimientos y las actuaciones adelantadas por el prestador.</w:t>
      </w:r>
    </w:p>
    <w:p w14:paraId="4CB2286A" w14:textId="4C977FAF" w:rsidR="00E50CA6" w:rsidRDefault="00AD742B" w:rsidP="00D64435">
      <w:pPr>
        <w:pStyle w:val="NormalWeb"/>
        <w:spacing w:line="360" w:lineRule="auto"/>
        <w:jc w:val="both"/>
        <w:rPr>
          <w:rFonts w:ascii="Arial" w:hAnsi="Arial" w:cs="Arial"/>
          <w:lang w:val="es-ES_tradnl" w:eastAsia="es-ES"/>
        </w:rPr>
      </w:pPr>
      <w:r w:rsidRPr="00AD742B">
        <w:rPr>
          <w:rFonts w:ascii="Arial" w:hAnsi="Arial" w:cs="Arial"/>
          <w:lang w:val="es-ES_tradnl" w:eastAsia="es-ES"/>
        </w:rPr>
        <w:t>En consecuencia, las asimetrías de información constituyen la principal falla de mercado que explica los síntomas identificados para este eje del análisis. La dificultad de los usuarios para conocer las condiciones de prestación del servicio, verificar la información suministrada, identificar al prestador responsable y acceder a mecanismos efectivos de atención limita su capacidad para ejercer plenamente sus derechos y dificulta que el mercado corrija por sí mismo estas situaciones. Por esta razón, resulta procedente evaluar alternativas regulatorias orientadas a reducir las asimetrías de información, fortalecer la transparencia y mejorar la disponibilidad de información para los usuarios, con el fin de contribuir a una prestación más eficiente y transparente del servicio público domiciliario de GLP</w:t>
      </w:r>
      <w:r w:rsidR="00A260D7" w:rsidRPr="00A260D7">
        <w:rPr>
          <w:rFonts w:ascii="Arial" w:hAnsi="Arial" w:cs="Arial"/>
          <w:lang w:val="es-ES_tradnl" w:eastAsia="es-ES"/>
        </w:rPr>
        <w:t>.</w:t>
      </w:r>
    </w:p>
    <w:p w14:paraId="60E32B64" w14:textId="1CF11E7E" w:rsidR="00F036F0" w:rsidRDefault="00F036F0" w:rsidP="002F1961">
      <w:pPr>
        <w:pStyle w:val="NormalWeb"/>
        <w:spacing w:line="360" w:lineRule="auto"/>
        <w:jc w:val="both"/>
        <w:rPr>
          <w:rFonts w:ascii="Arial" w:hAnsi="Arial" w:cs="Arial"/>
          <w:lang w:val="es-ES_tradnl" w:eastAsia="es-ES"/>
        </w:rPr>
      </w:pPr>
      <w:r w:rsidRPr="00F036F0">
        <w:rPr>
          <w:rFonts w:ascii="Arial" w:hAnsi="Arial" w:cs="Arial"/>
          <w:lang w:val="es-ES_tradnl" w:eastAsia="es-ES"/>
        </w:rPr>
        <w:t xml:space="preserve">En síntesis, el análisis realizado permite establecer que las asimetrías de información constituyen la principal falla de mercado que explica los síntomas identificados en este eje, mientras que las externalidades contribuyen de manera complementaria a explicar aquellos relacionados con las condiciones de calidad y seguridad durante la prestación del servicio y las limitaciones para realizar seguimiento a la prestación. Por su parte, las fallas asociadas a bienes públicos y a restricciones de la competencia no presentan una capacidad explicativa relevante respecto de los síntomas analizados en este eje. </w:t>
      </w:r>
      <w:r w:rsidR="00226EB0" w:rsidRPr="001472B2">
        <w:rPr>
          <w:rFonts w:ascii="Arial" w:hAnsi="Arial" w:cs="Arial"/>
          <w:lang w:val="es-ES_tradnl" w:eastAsia="es-ES"/>
        </w:rPr>
        <w:t xml:space="preserve">La </w:t>
      </w:r>
      <w:r w:rsidR="00226EB0" w:rsidRPr="001472B2">
        <w:rPr>
          <w:rFonts w:ascii="Arial" w:hAnsi="Arial" w:cs="Arial"/>
          <w:lang w:val="es-ES_tradnl" w:eastAsia="es-ES"/>
        </w:rPr>
        <w:fldChar w:fldCharType="begin"/>
      </w:r>
      <w:r w:rsidR="00226EB0" w:rsidRPr="001472B2">
        <w:rPr>
          <w:rFonts w:ascii="Arial" w:hAnsi="Arial" w:cs="Arial"/>
          <w:lang w:val="es-ES_tradnl" w:eastAsia="es-ES"/>
        </w:rPr>
        <w:instrText xml:space="preserve"> REF _Ref235113138 \h </w:instrText>
      </w:r>
      <w:r w:rsidR="001472B2" w:rsidRPr="001472B2">
        <w:rPr>
          <w:rFonts w:ascii="Arial" w:hAnsi="Arial" w:cs="Arial"/>
          <w:lang w:val="es-ES_tradnl" w:eastAsia="es-ES"/>
        </w:rPr>
        <w:instrText xml:space="preserve"> \* MERGEFORMAT </w:instrText>
      </w:r>
      <w:r w:rsidR="00226EB0" w:rsidRPr="001472B2">
        <w:rPr>
          <w:rFonts w:ascii="Arial" w:hAnsi="Arial" w:cs="Arial"/>
          <w:lang w:val="es-ES_tradnl" w:eastAsia="es-ES"/>
        </w:rPr>
      </w:r>
      <w:r w:rsidR="00226EB0" w:rsidRPr="001472B2">
        <w:rPr>
          <w:rFonts w:ascii="Arial" w:hAnsi="Arial" w:cs="Arial"/>
          <w:lang w:val="es-ES_tradnl" w:eastAsia="es-ES"/>
        </w:rPr>
        <w:fldChar w:fldCharType="separate"/>
      </w:r>
      <w:r w:rsidR="001472B2" w:rsidRPr="001472B2">
        <w:rPr>
          <w:rFonts w:ascii="Arial" w:hAnsi="Arial" w:cs="Arial"/>
        </w:rPr>
        <w:t xml:space="preserve">Tabla </w:t>
      </w:r>
      <w:r w:rsidR="001472B2" w:rsidRPr="001472B2">
        <w:rPr>
          <w:rFonts w:ascii="Arial" w:hAnsi="Arial" w:cs="Arial"/>
          <w:noProof/>
        </w:rPr>
        <w:t>9</w:t>
      </w:r>
      <w:r w:rsidR="00226EB0" w:rsidRPr="001472B2">
        <w:rPr>
          <w:rFonts w:ascii="Arial" w:hAnsi="Arial" w:cs="Arial"/>
          <w:lang w:val="es-ES_tradnl" w:eastAsia="es-ES"/>
        </w:rPr>
        <w:fldChar w:fldCharType="end"/>
      </w:r>
      <w:r w:rsidRPr="00F036F0">
        <w:rPr>
          <w:rFonts w:ascii="Arial" w:hAnsi="Arial" w:cs="Arial"/>
          <w:lang w:val="es-ES_tradnl" w:eastAsia="es-ES"/>
        </w:rPr>
        <w:t xml:space="preserve"> </w:t>
      </w:r>
      <w:r w:rsidRPr="00F036F0">
        <w:rPr>
          <w:rFonts w:ascii="Arial" w:hAnsi="Arial" w:cs="Arial"/>
          <w:lang w:val="es-ES_tradnl" w:eastAsia="es-ES"/>
        </w:rPr>
        <w:t>resume la relación entre los síntomas identificados y las fallas de mercado que los explican.</w:t>
      </w:r>
    </w:p>
    <w:p w14:paraId="36562BB9" w14:textId="3C6DEF64" w:rsidR="00287A2E" w:rsidRPr="00226EB0" w:rsidRDefault="00287A2E" w:rsidP="00FC150B">
      <w:pPr>
        <w:pStyle w:val="Descripcin"/>
        <w:spacing w:after="0"/>
        <w:jc w:val="center"/>
        <w:rPr>
          <w:rFonts w:cs="Arial"/>
          <w:b w:val="0"/>
          <w:szCs w:val="24"/>
        </w:rPr>
      </w:pPr>
      <w:bookmarkStart w:id="187" w:name="_Ref235113138"/>
      <w:bookmarkStart w:id="188" w:name="_Toc235128406"/>
      <w:r w:rsidRPr="00226EB0">
        <w:rPr>
          <w:b w:val="0"/>
          <w:szCs w:val="24"/>
        </w:rPr>
        <w:t xml:space="preserve">Tabla </w:t>
      </w:r>
      <w:r w:rsidRPr="00226EB0">
        <w:rPr>
          <w:b w:val="0"/>
          <w:szCs w:val="24"/>
        </w:rPr>
        <w:fldChar w:fldCharType="begin"/>
      </w:r>
      <w:r w:rsidRPr="00226EB0">
        <w:rPr>
          <w:b w:val="0"/>
          <w:szCs w:val="24"/>
        </w:rPr>
        <w:instrText xml:space="preserve"> SEQ Tabla \* ARABIC </w:instrText>
      </w:r>
      <w:r w:rsidRPr="00226EB0">
        <w:rPr>
          <w:b w:val="0"/>
          <w:szCs w:val="24"/>
        </w:rPr>
        <w:fldChar w:fldCharType="separate"/>
      </w:r>
      <w:r w:rsidR="001472B2">
        <w:rPr>
          <w:b w:val="0"/>
          <w:bCs/>
          <w:noProof/>
          <w:szCs w:val="24"/>
        </w:rPr>
        <w:t>9</w:t>
      </w:r>
      <w:r w:rsidRPr="00226EB0">
        <w:rPr>
          <w:b w:val="0"/>
          <w:szCs w:val="24"/>
        </w:rPr>
        <w:fldChar w:fldCharType="end"/>
      </w:r>
      <w:bookmarkEnd w:id="187"/>
      <w:r w:rsidRPr="00226EB0">
        <w:rPr>
          <w:b w:val="0"/>
          <w:szCs w:val="24"/>
        </w:rPr>
        <w:t xml:space="preserve">. </w:t>
      </w:r>
      <w:r w:rsidRPr="00226EB0">
        <w:rPr>
          <w:rFonts w:cs="Arial"/>
          <w:b w:val="0"/>
          <w:szCs w:val="24"/>
        </w:rPr>
        <w:t>Relación entre los síntomas identificados y las fallas de mercado que los explican</w:t>
      </w:r>
      <w:bookmarkEnd w:id="188"/>
    </w:p>
    <w:tbl>
      <w:tblPr>
        <w:tblStyle w:val="Tablaconcuadrcula"/>
        <w:tblW w:w="5275" w:type="pct"/>
        <w:tblLayout w:type="fixed"/>
        <w:tblLook w:val="04A0" w:firstRow="1" w:lastRow="0" w:firstColumn="1" w:lastColumn="0" w:noHBand="0" w:noVBand="1"/>
      </w:tblPr>
      <w:tblGrid>
        <w:gridCol w:w="3879"/>
        <w:gridCol w:w="1509"/>
        <w:gridCol w:w="1509"/>
        <w:gridCol w:w="1509"/>
        <w:gridCol w:w="1507"/>
      </w:tblGrid>
      <w:tr w:rsidR="0065350B" w:rsidRPr="0065350B" w14:paraId="529DF291" w14:textId="77777777" w:rsidTr="00306F63">
        <w:trPr>
          <w:tblHeader/>
        </w:trPr>
        <w:tc>
          <w:tcPr>
            <w:tcW w:w="1957" w:type="pct"/>
            <w:vAlign w:val="center"/>
            <w:hideMark/>
          </w:tcPr>
          <w:p w14:paraId="655935A8" w14:textId="77777777" w:rsidR="0065350B" w:rsidRPr="0065350B" w:rsidRDefault="0065350B" w:rsidP="002F1961">
            <w:pPr>
              <w:pStyle w:val="NormalWeb"/>
              <w:spacing w:line="360" w:lineRule="auto"/>
              <w:ind w:left="31"/>
              <w:jc w:val="center"/>
              <w:rPr>
                <w:rFonts w:ascii="Arial" w:hAnsi="Arial" w:cs="Arial"/>
                <w:b/>
                <w:bCs/>
                <w:sz w:val="18"/>
                <w:szCs w:val="18"/>
              </w:rPr>
            </w:pPr>
            <w:r w:rsidRPr="0065350B">
              <w:rPr>
                <w:rFonts w:ascii="Arial" w:hAnsi="Arial" w:cs="Arial"/>
                <w:b/>
                <w:bCs/>
                <w:sz w:val="18"/>
                <w:szCs w:val="18"/>
              </w:rPr>
              <w:t>Síntoma identificado</w:t>
            </w:r>
          </w:p>
        </w:tc>
        <w:tc>
          <w:tcPr>
            <w:tcW w:w="761" w:type="pct"/>
            <w:vAlign w:val="center"/>
            <w:hideMark/>
          </w:tcPr>
          <w:p w14:paraId="2A6C5848" w14:textId="77777777" w:rsidR="0065350B" w:rsidRPr="0065350B" w:rsidRDefault="0065350B" w:rsidP="002F1961">
            <w:pPr>
              <w:pStyle w:val="NormalWeb"/>
              <w:spacing w:line="360" w:lineRule="auto"/>
              <w:jc w:val="center"/>
              <w:rPr>
                <w:rFonts w:ascii="Arial" w:hAnsi="Arial" w:cs="Arial"/>
                <w:b/>
                <w:bCs/>
                <w:sz w:val="18"/>
                <w:szCs w:val="18"/>
              </w:rPr>
            </w:pPr>
            <w:r w:rsidRPr="0065350B">
              <w:rPr>
                <w:rFonts w:ascii="Arial" w:hAnsi="Arial" w:cs="Arial"/>
                <w:b/>
                <w:bCs/>
                <w:sz w:val="18"/>
                <w:szCs w:val="18"/>
              </w:rPr>
              <w:t>Externalidades</w:t>
            </w:r>
          </w:p>
        </w:tc>
        <w:tc>
          <w:tcPr>
            <w:tcW w:w="761" w:type="pct"/>
            <w:vAlign w:val="center"/>
            <w:hideMark/>
          </w:tcPr>
          <w:p w14:paraId="19838B5D" w14:textId="77777777" w:rsidR="0065350B" w:rsidRPr="0065350B" w:rsidRDefault="0065350B" w:rsidP="002F1961">
            <w:pPr>
              <w:pStyle w:val="NormalWeb"/>
              <w:spacing w:line="360" w:lineRule="auto"/>
              <w:jc w:val="center"/>
              <w:rPr>
                <w:rFonts w:ascii="Arial" w:hAnsi="Arial" w:cs="Arial"/>
                <w:b/>
                <w:bCs/>
                <w:sz w:val="18"/>
                <w:szCs w:val="18"/>
              </w:rPr>
            </w:pPr>
            <w:r w:rsidRPr="0065350B">
              <w:rPr>
                <w:rFonts w:ascii="Arial" w:hAnsi="Arial" w:cs="Arial"/>
                <w:b/>
                <w:bCs/>
                <w:sz w:val="18"/>
                <w:szCs w:val="18"/>
              </w:rPr>
              <w:t>Competencia</w:t>
            </w:r>
          </w:p>
        </w:tc>
        <w:tc>
          <w:tcPr>
            <w:tcW w:w="761" w:type="pct"/>
            <w:vAlign w:val="center"/>
            <w:hideMark/>
          </w:tcPr>
          <w:p w14:paraId="66863404" w14:textId="77777777" w:rsidR="0065350B" w:rsidRPr="0065350B" w:rsidRDefault="0065350B" w:rsidP="002F1961">
            <w:pPr>
              <w:pStyle w:val="NormalWeb"/>
              <w:spacing w:line="360" w:lineRule="auto"/>
              <w:ind w:left="12"/>
              <w:jc w:val="center"/>
              <w:rPr>
                <w:rFonts w:ascii="Arial" w:hAnsi="Arial" w:cs="Arial"/>
                <w:b/>
                <w:bCs/>
                <w:sz w:val="18"/>
                <w:szCs w:val="18"/>
              </w:rPr>
            </w:pPr>
            <w:r w:rsidRPr="0065350B">
              <w:rPr>
                <w:rFonts w:ascii="Arial" w:hAnsi="Arial" w:cs="Arial"/>
                <w:b/>
                <w:bCs/>
                <w:sz w:val="18"/>
                <w:szCs w:val="18"/>
              </w:rPr>
              <w:t>Asimetría de información</w:t>
            </w:r>
          </w:p>
        </w:tc>
        <w:tc>
          <w:tcPr>
            <w:tcW w:w="760" w:type="pct"/>
            <w:vAlign w:val="center"/>
            <w:hideMark/>
          </w:tcPr>
          <w:p w14:paraId="4586775D" w14:textId="77777777" w:rsidR="0065350B" w:rsidRPr="0065350B" w:rsidRDefault="0065350B" w:rsidP="002F1961">
            <w:pPr>
              <w:pStyle w:val="NormalWeb"/>
              <w:spacing w:line="360" w:lineRule="auto"/>
              <w:ind w:left="12"/>
              <w:jc w:val="center"/>
              <w:rPr>
                <w:rFonts w:ascii="Arial" w:hAnsi="Arial" w:cs="Arial"/>
                <w:b/>
                <w:bCs/>
                <w:sz w:val="18"/>
                <w:szCs w:val="18"/>
              </w:rPr>
            </w:pPr>
            <w:r w:rsidRPr="0065350B">
              <w:rPr>
                <w:rFonts w:ascii="Arial" w:hAnsi="Arial" w:cs="Arial"/>
                <w:b/>
                <w:bCs/>
                <w:sz w:val="18"/>
                <w:szCs w:val="18"/>
              </w:rPr>
              <w:t>Bienes públicos</w:t>
            </w:r>
          </w:p>
        </w:tc>
      </w:tr>
      <w:tr w:rsidR="0065350B" w:rsidRPr="0065350B" w14:paraId="299A96A6" w14:textId="77777777" w:rsidTr="00306F63">
        <w:tc>
          <w:tcPr>
            <w:tcW w:w="1957" w:type="pct"/>
            <w:vAlign w:val="center"/>
            <w:hideMark/>
          </w:tcPr>
          <w:p w14:paraId="106F7EF8" w14:textId="77777777" w:rsidR="0065350B" w:rsidRPr="0065350B" w:rsidRDefault="0065350B" w:rsidP="002F1961">
            <w:pPr>
              <w:pStyle w:val="NormalWeb"/>
              <w:spacing w:line="360" w:lineRule="auto"/>
              <w:ind w:left="31"/>
              <w:rPr>
                <w:rFonts w:ascii="Arial" w:hAnsi="Arial" w:cs="Arial"/>
                <w:sz w:val="20"/>
                <w:szCs w:val="20"/>
              </w:rPr>
            </w:pPr>
            <w:r w:rsidRPr="0065350B">
              <w:rPr>
                <w:rFonts w:ascii="Arial" w:hAnsi="Arial" w:cs="Arial"/>
                <w:sz w:val="20"/>
                <w:szCs w:val="20"/>
              </w:rPr>
              <w:t>Deficiencias en la prestación del servicio en condiciones de calidad y seguridad</w:t>
            </w:r>
          </w:p>
        </w:tc>
        <w:tc>
          <w:tcPr>
            <w:tcW w:w="761" w:type="pct"/>
            <w:vAlign w:val="center"/>
            <w:hideMark/>
          </w:tcPr>
          <w:p w14:paraId="20669EDA" w14:textId="77777777" w:rsidR="0065350B" w:rsidRPr="0065350B" w:rsidRDefault="0065350B" w:rsidP="002F1961">
            <w:pPr>
              <w:pStyle w:val="NormalWeb"/>
              <w:spacing w:line="360" w:lineRule="auto"/>
              <w:jc w:val="center"/>
              <w:rPr>
                <w:rFonts w:ascii="Arial" w:hAnsi="Arial" w:cs="Arial"/>
                <w:sz w:val="20"/>
                <w:szCs w:val="20"/>
              </w:rPr>
            </w:pPr>
            <w:r w:rsidRPr="0065350B">
              <w:rPr>
                <w:rFonts w:ascii="Cambria Math" w:hAnsi="Cambria Math" w:cs="Cambria Math"/>
                <w:sz w:val="20"/>
                <w:szCs w:val="20"/>
              </w:rPr>
              <w:t>◐</w:t>
            </w:r>
          </w:p>
        </w:tc>
        <w:tc>
          <w:tcPr>
            <w:tcW w:w="761" w:type="pct"/>
            <w:vAlign w:val="center"/>
            <w:hideMark/>
          </w:tcPr>
          <w:p w14:paraId="1BE8D1DC" w14:textId="77777777" w:rsidR="0065350B" w:rsidRPr="0065350B" w:rsidRDefault="0065350B" w:rsidP="002F1961">
            <w:pPr>
              <w:pStyle w:val="NormalWeb"/>
              <w:spacing w:line="360" w:lineRule="auto"/>
              <w:jc w:val="center"/>
              <w:rPr>
                <w:rFonts w:ascii="Arial" w:hAnsi="Arial" w:cs="Arial"/>
                <w:sz w:val="20"/>
                <w:szCs w:val="20"/>
              </w:rPr>
            </w:pPr>
            <w:r w:rsidRPr="0065350B">
              <w:rPr>
                <w:rFonts w:ascii="Segoe UI Emoji" w:hAnsi="Segoe UI Emoji" w:cs="Segoe UI Emoji"/>
                <w:sz w:val="20"/>
                <w:szCs w:val="20"/>
              </w:rPr>
              <w:t>❌</w:t>
            </w:r>
          </w:p>
        </w:tc>
        <w:tc>
          <w:tcPr>
            <w:tcW w:w="761" w:type="pct"/>
            <w:vAlign w:val="center"/>
            <w:hideMark/>
          </w:tcPr>
          <w:p w14:paraId="4DC7B565" w14:textId="77777777" w:rsidR="0065350B" w:rsidRPr="0065350B" w:rsidRDefault="0065350B" w:rsidP="002F1961">
            <w:pPr>
              <w:pStyle w:val="NormalWeb"/>
              <w:spacing w:line="360" w:lineRule="auto"/>
              <w:jc w:val="center"/>
              <w:rPr>
                <w:rFonts w:ascii="Arial" w:hAnsi="Arial" w:cs="Arial"/>
                <w:sz w:val="20"/>
                <w:szCs w:val="20"/>
              </w:rPr>
            </w:pPr>
            <w:r w:rsidRPr="0065350B">
              <w:rPr>
                <w:rFonts w:ascii="Segoe UI Emoji" w:hAnsi="Segoe UI Emoji" w:cs="Segoe UI Emoji"/>
                <w:sz w:val="20"/>
                <w:szCs w:val="20"/>
              </w:rPr>
              <w:t>✅</w:t>
            </w:r>
          </w:p>
        </w:tc>
        <w:tc>
          <w:tcPr>
            <w:tcW w:w="760" w:type="pct"/>
            <w:vAlign w:val="center"/>
            <w:hideMark/>
          </w:tcPr>
          <w:p w14:paraId="0186C0AE" w14:textId="77777777" w:rsidR="0065350B" w:rsidRPr="0065350B" w:rsidRDefault="0065350B" w:rsidP="002F1961">
            <w:pPr>
              <w:pStyle w:val="NormalWeb"/>
              <w:spacing w:line="360" w:lineRule="auto"/>
              <w:jc w:val="center"/>
              <w:rPr>
                <w:rFonts w:ascii="Arial" w:hAnsi="Arial" w:cs="Arial"/>
                <w:sz w:val="20"/>
                <w:szCs w:val="20"/>
              </w:rPr>
            </w:pPr>
            <w:r w:rsidRPr="0065350B">
              <w:rPr>
                <w:rFonts w:ascii="Segoe UI Emoji" w:hAnsi="Segoe UI Emoji" w:cs="Segoe UI Emoji"/>
                <w:sz w:val="20"/>
                <w:szCs w:val="20"/>
              </w:rPr>
              <w:t>❌</w:t>
            </w:r>
          </w:p>
        </w:tc>
      </w:tr>
      <w:tr w:rsidR="0065350B" w:rsidRPr="0065350B" w14:paraId="1BA1686C" w14:textId="77777777" w:rsidTr="00306F63">
        <w:tc>
          <w:tcPr>
            <w:tcW w:w="1957" w:type="pct"/>
            <w:vAlign w:val="center"/>
            <w:hideMark/>
          </w:tcPr>
          <w:p w14:paraId="2A922411" w14:textId="77777777" w:rsidR="0065350B" w:rsidRPr="0065350B" w:rsidRDefault="0065350B" w:rsidP="002F1961">
            <w:pPr>
              <w:pStyle w:val="NormalWeb"/>
              <w:spacing w:line="360" w:lineRule="auto"/>
              <w:ind w:left="31"/>
              <w:rPr>
                <w:rFonts w:ascii="Arial" w:hAnsi="Arial" w:cs="Arial"/>
                <w:sz w:val="20"/>
                <w:szCs w:val="20"/>
              </w:rPr>
            </w:pPr>
            <w:r w:rsidRPr="0065350B">
              <w:rPr>
                <w:rFonts w:ascii="Arial" w:hAnsi="Arial" w:cs="Arial"/>
                <w:sz w:val="20"/>
                <w:szCs w:val="20"/>
              </w:rPr>
              <w:lastRenderedPageBreak/>
              <w:t>Limitaciones para hacer seguimiento a la prestación del servicio</w:t>
            </w:r>
          </w:p>
        </w:tc>
        <w:tc>
          <w:tcPr>
            <w:tcW w:w="761" w:type="pct"/>
            <w:vAlign w:val="center"/>
            <w:hideMark/>
          </w:tcPr>
          <w:p w14:paraId="437E6346" w14:textId="77777777" w:rsidR="0065350B" w:rsidRPr="0065350B" w:rsidRDefault="0065350B" w:rsidP="002F1961">
            <w:pPr>
              <w:pStyle w:val="NormalWeb"/>
              <w:spacing w:line="360" w:lineRule="auto"/>
              <w:jc w:val="center"/>
              <w:rPr>
                <w:rFonts w:ascii="Arial" w:hAnsi="Arial" w:cs="Arial"/>
                <w:sz w:val="20"/>
                <w:szCs w:val="20"/>
              </w:rPr>
            </w:pPr>
            <w:r w:rsidRPr="0065350B">
              <w:rPr>
                <w:rFonts w:ascii="Cambria Math" w:hAnsi="Cambria Math" w:cs="Cambria Math"/>
                <w:sz w:val="20"/>
                <w:szCs w:val="20"/>
              </w:rPr>
              <w:t>◐</w:t>
            </w:r>
          </w:p>
        </w:tc>
        <w:tc>
          <w:tcPr>
            <w:tcW w:w="761" w:type="pct"/>
            <w:vAlign w:val="center"/>
            <w:hideMark/>
          </w:tcPr>
          <w:p w14:paraId="62B35460" w14:textId="77777777" w:rsidR="0065350B" w:rsidRPr="0065350B" w:rsidRDefault="0065350B" w:rsidP="002F1961">
            <w:pPr>
              <w:pStyle w:val="NormalWeb"/>
              <w:spacing w:line="360" w:lineRule="auto"/>
              <w:jc w:val="center"/>
              <w:rPr>
                <w:rFonts w:ascii="Arial" w:hAnsi="Arial" w:cs="Arial"/>
                <w:sz w:val="20"/>
                <w:szCs w:val="20"/>
              </w:rPr>
            </w:pPr>
            <w:r w:rsidRPr="0065350B">
              <w:rPr>
                <w:rFonts w:ascii="Segoe UI Emoji" w:hAnsi="Segoe UI Emoji" w:cs="Segoe UI Emoji"/>
                <w:sz w:val="20"/>
                <w:szCs w:val="20"/>
              </w:rPr>
              <w:t>❌</w:t>
            </w:r>
          </w:p>
        </w:tc>
        <w:tc>
          <w:tcPr>
            <w:tcW w:w="761" w:type="pct"/>
            <w:vAlign w:val="center"/>
            <w:hideMark/>
          </w:tcPr>
          <w:p w14:paraId="14B8C43D" w14:textId="77777777" w:rsidR="0065350B" w:rsidRPr="0065350B" w:rsidRDefault="0065350B" w:rsidP="002F1961">
            <w:pPr>
              <w:pStyle w:val="NormalWeb"/>
              <w:spacing w:line="360" w:lineRule="auto"/>
              <w:jc w:val="center"/>
              <w:rPr>
                <w:rFonts w:ascii="Arial" w:hAnsi="Arial" w:cs="Arial"/>
                <w:sz w:val="20"/>
                <w:szCs w:val="20"/>
              </w:rPr>
            </w:pPr>
            <w:r w:rsidRPr="0065350B">
              <w:rPr>
                <w:rFonts w:ascii="Segoe UI Emoji" w:hAnsi="Segoe UI Emoji" w:cs="Segoe UI Emoji"/>
                <w:sz w:val="20"/>
                <w:szCs w:val="20"/>
              </w:rPr>
              <w:t>✅</w:t>
            </w:r>
          </w:p>
        </w:tc>
        <w:tc>
          <w:tcPr>
            <w:tcW w:w="760" w:type="pct"/>
            <w:vAlign w:val="center"/>
            <w:hideMark/>
          </w:tcPr>
          <w:p w14:paraId="0F4D1814" w14:textId="77777777" w:rsidR="0065350B" w:rsidRPr="0065350B" w:rsidRDefault="0065350B" w:rsidP="002F1961">
            <w:pPr>
              <w:pStyle w:val="NormalWeb"/>
              <w:spacing w:line="360" w:lineRule="auto"/>
              <w:jc w:val="center"/>
              <w:rPr>
                <w:rFonts w:ascii="Arial" w:hAnsi="Arial" w:cs="Arial"/>
                <w:sz w:val="20"/>
                <w:szCs w:val="20"/>
              </w:rPr>
            </w:pPr>
            <w:r w:rsidRPr="0065350B">
              <w:rPr>
                <w:rFonts w:ascii="Segoe UI Emoji" w:hAnsi="Segoe UI Emoji" w:cs="Segoe UI Emoji"/>
                <w:sz w:val="20"/>
                <w:szCs w:val="20"/>
              </w:rPr>
              <w:t>❌</w:t>
            </w:r>
          </w:p>
        </w:tc>
      </w:tr>
      <w:tr w:rsidR="0065350B" w:rsidRPr="0065350B" w14:paraId="7A839002" w14:textId="77777777" w:rsidTr="00306F63">
        <w:tc>
          <w:tcPr>
            <w:tcW w:w="1957" w:type="pct"/>
            <w:vAlign w:val="center"/>
            <w:hideMark/>
          </w:tcPr>
          <w:p w14:paraId="1A2FB0B5" w14:textId="77777777" w:rsidR="0065350B" w:rsidRPr="0065350B" w:rsidRDefault="0065350B" w:rsidP="002F1961">
            <w:pPr>
              <w:pStyle w:val="NormalWeb"/>
              <w:spacing w:line="360" w:lineRule="auto"/>
              <w:ind w:left="31"/>
              <w:rPr>
                <w:rFonts w:ascii="Arial" w:hAnsi="Arial" w:cs="Arial"/>
                <w:sz w:val="20"/>
                <w:szCs w:val="20"/>
              </w:rPr>
            </w:pPr>
            <w:r w:rsidRPr="0065350B">
              <w:rPr>
                <w:rFonts w:ascii="Arial" w:hAnsi="Arial" w:cs="Arial"/>
                <w:sz w:val="20"/>
                <w:szCs w:val="20"/>
              </w:rPr>
              <w:t>Limitaciones en la disponibilidad de información para los usuarios</w:t>
            </w:r>
          </w:p>
        </w:tc>
        <w:tc>
          <w:tcPr>
            <w:tcW w:w="761" w:type="pct"/>
            <w:vAlign w:val="center"/>
            <w:hideMark/>
          </w:tcPr>
          <w:p w14:paraId="329ACF72" w14:textId="77777777" w:rsidR="0065350B" w:rsidRPr="0065350B" w:rsidRDefault="0065350B" w:rsidP="002F1961">
            <w:pPr>
              <w:pStyle w:val="NormalWeb"/>
              <w:spacing w:line="360" w:lineRule="auto"/>
              <w:jc w:val="center"/>
              <w:rPr>
                <w:rFonts w:ascii="Arial" w:hAnsi="Arial" w:cs="Arial"/>
                <w:sz w:val="20"/>
                <w:szCs w:val="20"/>
              </w:rPr>
            </w:pPr>
            <w:r w:rsidRPr="0065350B">
              <w:rPr>
                <w:rFonts w:ascii="Segoe UI Emoji" w:hAnsi="Segoe UI Emoji" w:cs="Segoe UI Emoji"/>
                <w:sz w:val="20"/>
                <w:szCs w:val="20"/>
              </w:rPr>
              <w:t>❌</w:t>
            </w:r>
          </w:p>
        </w:tc>
        <w:tc>
          <w:tcPr>
            <w:tcW w:w="761" w:type="pct"/>
            <w:vAlign w:val="center"/>
            <w:hideMark/>
          </w:tcPr>
          <w:p w14:paraId="78150B06" w14:textId="77777777" w:rsidR="0065350B" w:rsidRPr="0065350B" w:rsidRDefault="0065350B" w:rsidP="002F1961">
            <w:pPr>
              <w:pStyle w:val="NormalWeb"/>
              <w:spacing w:line="360" w:lineRule="auto"/>
              <w:jc w:val="center"/>
              <w:rPr>
                <w:rFonts w:ascii="Arial" w:hAnsi="Arial" w:cs="Arial"/>
                <w:sz w:val="20"/>
                <w:szCs w:val="20"/>
              </w:rPr>
            </w:pPr>
            <w:r w:rsidRPr="0065350B">
              <w:rPr>
                <w:rFonts w:ascii="Segoe UI Emoji" w:hAnsi="Segoe UI Emoji" w:cs="Segoe UI Emoji"/>
                <w:sz w:val="20"/>
                <w:szCs w:val="20"/>
              </w:rPr>
              <w:t>❌</w:t>
            </w:r>
          </w:p>
        </w:tc>
        <w:tc>
          <w:tcPr>
            <w:tcW w:w="761" w:type="pct"/>
            <w:vAlign w:val="center"/>
            <w:hideMark/>
          </w:tcPr>
          <w:p w14:paraId="5A54D160" w14:textId="77777777" w:rsidR="0065350B" w:rsidRPr="0065350B" w:rsidRDefault="0065350B" w:rsidP="002F1961">
            <w:pPr>
              <w:pStyle w:val="NormalWeb"/>
              <w:spacing w:line="360" w:lineRule="auto"/>
              <w:jc w:val="center"/>
              <w:rPr>
                <w:rFonts w:ascii="Arial" w:hAnsi="Arial" w:cs="Arial"/>
                <w:sz w:val="20"/>
                <w:szCs w:val="20"/>
              </w:rPr>
            </w:pPr>
            <w:r w:rsidRPr="0065350B">
              <w:rPr>
                <w:rFonts w:ascii="Segoe UI Emoji" w:hAnsi="Segoe UI Emoji" w:cs="Segoe UI Emoji"/>
                <w:sz w:val="20"/>
                <w:szCs w:val="20"/>
              </w:rPr>
              <w:t>✅</w:t>
            </w:r>
          </w:p>
        </w:tc>
        <w:tc>
          <w:tcPr>
            <w:tcW w:w="760" w:type="pct"/>
            <w:vAlign w:val="center"/>
            <w:hideMark/>
          </w:tcPr>
          <w:p w14:paraId="02F134CF" w14:textId="77777777" w:rsidR="0065350B" w:rsidRPr="0065350B" w:rsidRDefault="0065350B" w:rsidP="002F1961">
            <w:pPr>
              <w:pStyle w:val="NormalWeb"/>
              <w:spacing w:line="360" w:lineRule="auto"/>
              <w:jc w:val="center"/>
              <w:rPr>
                <w:rFonts w:ascii="Arial" w:hAnsi="Arial" w:cs="Arial"/>
                <w:sz w:val="20"/>
                <w:szCs w:val="20"/>
              </w:rPr>
            </w:pPr>
            <w:r w:rsidRPr="0065350B">
              <w:rPr>
                <w:rFonts w:ascii="Segoe UI Emoji" w:hAnsi="Segoe UI Emoji" w:cs="Segoe UI Emoji"/>
                <w:sz w:val="20"/>
                <w:szCs w:val="20"/>
              </w:rPr>
              <w:t>❌</w:t>
            </w:r>
          </w:p>
        </w:tc>
      </w:tr>
      <w:tr w:rsidR="0065350B" w:rsidRPr="0065350B" w14:paraId="060A5153" w14:textId="77777777" w:rsidTr="00306F63">
        <w:tc>
          <w:tcPr>
            <w:tcW w:w="1957" w:type="pct"/>
            <w:vAlign w:val="center"/>
            <w:hideMark/>
          </w:tcPr>
          <w:p w14:paraId="2438A061" w14:textId="77777777" w:rsidR="0065350B" w:rsidRPr="0065350B" w:rsidRDefault="0065350B" w:rsidP="002F1961">
            <w:pPr>
              <w:pStyle w:val="NormalWeb"/>
              <w:spacing w:line="360" w:lineRule="auto"/>
              <w:ind w:left="31"/>
              <w:rPr>
                <w:rFonts w:ascii="Arial" w:hAnsi="Arial" w:cs="Arial"/>
                <w:sz w:val="20"/>
                <w:szCs w:val="20"/>
              </w:rPr>
            </w:pPr>
            <w:r w:rsidRPr="0065350B">
              <w:rPr>
                <w:rFonts w:ascii="Arial" w:hAnsi="Arial" w:cs="Arial"/>
                <w:sz w:val="20"/>
                <w:szCs w:val="20"/>
              </w:rPr>
              <w:t>Limitaciones en los mecanismos de atención y protección de los usuarios</w:t>
            </w:r>
          </w:p>
        </w:tc>
        <w:tc>
          <w:tcPr>
            <w:tcW w:w="761" w:type="pct"/>
            <w:vAlign w:val="center"/>
            <w:hideMark/>
          </w:tcPr>
          <w:p w14:paraId="2B6D7930" w14:textId="77777777" w:rsidR="0065350B" w:rsidRPr="0065350B" w:rsidRDefault="0065350B" w:rsidP="002F1961">
            <w:pPr>
              <w:pStyle w:val="NormalWeb"/>
              <w:spacing w:line="360" w:lineRule="auto"/>
              <w:jc w:val="center"/>
              <w:rPr>
                <w:rFonts w:ascii="Arial" w:hAnsi="Arial" w:cs="Arial"/>
                <w:sz w:val="20"/>
                <w:szCs w:val="20"/>
              </w:rPr>
            </w:pPr>
            <w:r w:rsidRPr="0065350B">
              <w:rPr>
                <w:rFonts w:ascii="Segoe UI Emoji" w:hAnsi="Segoe UI Emoji" w:cs="Segoe UI Emoji"/>
                <w:sz w:val="20"/>
                <w:szCs w:val="20"/>
              </w:rPr>
              <w:t>❌</w:t>
            </w:r>
          </w:p>
        </w:tc>
        <w:tc>
          <w:tcPr>
            <w:tcW w:w="761" w:type="pct"/>
            <w:vAlign w:val="center"/>
            <w:hideMark/>
          </w:tcPr>
          <w:p w14:paraId="21CEF903" w14:textId="77777777" w:rsidR="0065350B" w:rsidRPr="0065350B" w:rsidRDefault="0065350B" w:rsidP="002F1961">
            <w:pPr>
              <w:pStyle w:val="NormalWeb"/>
              <w:spacing w:line="360" w:lineRule="auto"/>
              <w:jc w:val="center"/>
              <w:rPr>
                <w:rFonts w:ascii="Arial" w:hAnsi="Arial" w:cs="Arial"/>
                <w:sz w:val="20"/>
                <w:szCs w:val="20"/>
              </w:rPr>
            </w:pPr>
            <w:r w:rsidRPr="0065350B">
              <w:rPr>
                <w:rFonts w:ascii="Segoe UI Emoji" w:hAnsi="Segoe UI Emoji" w:cs="Segoe UI Emoji"/>
                <w:sz w:val="20"/>
                <w:szCs w:val="20"/>
              </w:rPr>
              <w:t>❌</w:t>
            </w:r>
          </w:p>
        </w:tc>
        <w:tc>
          <w:tcPr>
            <w:tcW w:w="761" w:type="pct"/>
            <w:vAlign w:val="center"/>
            <w:hideMark/>
          </w:tcPr>
          <w:p w14:paraId="1C33A203" w14:textId="77777777" w:rsidR="0065350B" w:rsidRPr="0065350B" w:rsidRDefault="0065350B" w:rsidP="002F1961">
            <w:pPr>
              <w:pStyle w:val="NormalWeb"/>
              <w:spacing w:line="360" w:lineRule="auto"/>
              <w:jc w:val="center"/>
              <w:rPr>
                <w:rFonts w:ascii="Arial" w:hAnsi="Arial" w:cs="Arial"/>
                <w:sz w:val="20"/>
                <w:szCs w:val="20"/>
              </w:rPr>
            </w:pPr>
            <w:r w:rsidRPr="0065350B">
              <w:rPr>
                <w:rFonts w:ascii="Segoe UI Emoji" w:hAnsi="Segoe UI Emoji" w:cs="Segoe UI Emoji"/>
                <w:sz w:val="20"/>
                <w:szCs w:val="20"/>
              </w:rPr>
              <w:t>✅</w:t>
            </w:r>
          </w:p>
        </w:tc>
        <w:tc>
          <w:tcPr>
            <w:tcW w:w="760" w:type="pct"/>
            <w:vAlign w:val="center"/>
            <w:hideMark/>
          </w:tcPr>
          <w:p w14:paraId="03DB103B" w14:textId="77777777" w:rsidR="0065350B" w:rsidRPr="0065350B" w:rsidRDefault="0065350B" w:rsidP="002F1961">
            <w:pPr>
              <w:pStyle w:val="NormalWeb"/>
              <w:spacing w:line="360" w:lineRule="auto"/>
              <w:jc w:val="center"/>
              <w:rPr>
                <w:rFonts w:ascii="Arial" w:hAnsi="Arial" w:cs="Arial"/>
                <w:sz w:val="20"/>
                <w:szCs w:val="20"/>
              </w:rPr>
            </w:pPr>
            <w:r w:rsidRPr="0065350B">
              <w:rPr>
                <w:rFonts w:ascii="Segoe UI Emoji" w:hAnsi="Segoe UI Emoji" w:cs="Segoe UI Emoji"/>
                <w:sz w:val="20"/>
                <w:szCs w:val="20"/>
              </w:rPr>
              <w:t>❌</w:t>
            </w:r>
          </w:p>
        </w:tc>
      </w:tr>
    </w:tbl>
    <w:p w14:paraId="28FE5784" w14:textId="11112EF7" w:rsidR="00306F63" w:rsidRPr="001472B2" w:rsidRDefault="00306F63" w:rsidP="00FC150B">
      <w:pPr>
        <w:spacing w:after="100" w:afterAutospacing="1" w:line="360" w:lineRule="auto"/>
        <w:jc w:val="center"/>
        <w:rPr>
          <w:sz w:val="22"/>
          <w:szCs w:val="22"/>
        </w:rPr>
      </w:pPr>
      <w:proofErr w:type="spellStart"/>
      <w:proofErr w:type="gramStart"/>
      <w:r w:rsidRPr="001472B2">
        <w:rPr>
          <w:rFonts w:cs="Arial"/>
          <w:sz w:val="22"/>
          <w:szCs w:val="22"/>
        </w:rPr>
        <w:t>Elaboración</w:t>
      </w:r>
      <w:r w:rsidR="001472B2">
        <w:rPr>
          <w:rFonts w:cs="Arial"/>
          <w:sz w:val="22"/>
          <w:szCs w:val="22"/>
        </w:rPr>
        <w:t>:CREG</w:t>
      </w:r>
      <w:proofErr w:type="spellEnd"/>
      <w:proofErr w:type="gramEnd"/>
    </w:p>
    <w:p w14:paraId="5D5B7330" w14:textId="4506DA69" w:rsidR="00383F1B" w:rsidRPr="00BB46F5" w:rsidRDefault="00383F1B" w:rsidP="002F1961">
      <w:pPr>
        <w:pStyle w:val="NormalWeb"/>
        <w:spacing w:line="360" w:lineRule="auto"/>
        <w:jc w:val="both"/>
        <w:rPr>
          <w:rFonts w:ascii="Arial" w:hAnsi="Arial" w:cs="Arial"/>
          <w:b/>
          <w:bCs/>
          <w:sz w:val="20"/>
          <w:szCs w:val="20"/>
        </w:rPr>
      </w:pPr>
      <w:r w:rsidRPr="00BB46F5">
        <w:rPr>
          <w:rFonts w:ascii="Arial" w:hAnsi="Arial" w:cs="Arial"/>
          <w:b/>
          <w:bCs/>
          <w:sz w:val="20"/>
          <w:szCs w:val="20"/>
        </w:rPr>
        <w:t>Convenciones</w:t>
      </w:r>
      <w:r w:rsidR="003446A6" w:rsidRPr="00BB46F5">
        <w:rPr>
          <w:rFonts w:ascii="Arial" w:hAnsi="Arial" w:cs="Arial"/>
          <w:b/>
          <w:bCs/>
          <w:sz w:val="20"/>
          <w:szCs w:val="20"/>
        </w:rPr>
        <w:t>:</w:t>
      </w:r>
    </w:p>
    <w:p w14:paraId="185EE469" w14:textId="77777777" w:rsidR="00383F1B" w:rsidRPr="00BB46F5" w:rsidRDefault="00383F1B" w:rsidP="002F1961">
      <w:pPr>
        <w:pStyle w:val="NormalWeb"/>
        <w:spacing w:line="360" w:lineRule="auto"/>
        <w:ind w:left="720"/>
        <w:jc w:val="both"/>
        <w:rPr>
          <w:rFonts w:ascii="Arial" w:hAnsi="Arial" w:cs="Arial"/>
          <w:sz w:val="20"/>
          <w:szCs w:val="20"/>
        </w:rPr>
      </w:pPr>
      <w:r w:rsidRPr="00BB46F5">
        <w:rPr>
          <w:rFonts w:ascii="Segoe UI Emoji" w:hAnsi="Segoe UI Emoji" w:cs="Segoe UI Emoji"/>
          <w:b/>
          <w:bCs/>
          <w:sz w:val="20"/>
          <w:szCs w:val="20"/>
        </w:rPr>
        <w:t>✅</w:t>
      </w:r>
      <w:r w:rsidRPr="00BB46F5">
        <w:rPr>
          <w:rFonts w:ascii="Arial" w:hAnsi="Arial" w:cs="Arial"/>
          <w:b/>
          <w:bCs/>
          <w:sz w:val="20"/>
          <w:szCs w:val="20"/>
        </w:rPr>
        <w:t xml:space="preserve"> Principal:</w:t>
      </w:r>
      <w:r w:rsidRPr="00BB46F5">
        <w:rPr>
          <w:rFonts w:ascii="Arial" w:hAnsi="Arial" w:cs="Arial"/>
          <w:sz w:val="20"/>
          <w:szCs w:val="20"/>
        </w:rPr>
        <w:t xml:space="preserve"> la falla de mercado constituye la principal explicación del síntoma identificado. </w:t>
      </w:r>
    </w:p>
    <w:p w14:paraId="0B6D602C" w14:textId="77777777" w:rsidR="00383F1B" w:rsidRPr="00BB46F5" w:rsidRDefault="00383F1B" w:rsidP="002F1961">
      <w:pPr>
        <w:pStyle w:val="NormalWeb"/>
        <w:spacing w:line="360" w:lineRule="auto"/>
        <w:ind w:left="720"/>
        <w:jc w:val="both"/>
        <w:rPr>
          <w:rFonts w:ascii="Arial" w:hAnsi="Arial" w:cs="Arial"/>
          <w:sz w:val="20"/>
          <w:szCs w:val="20"/>
        </w:rPr>
      </w:pPr>
      <w:r w:rsidRPr="00BB46F5">
        <w:rPr>
          <w:rFonts w:ascii="Cambria Math" w:hAnsi="Cambria Math" w:cs="Cambria Math"/>
          <w:b/>
          <w:bCs/>
          <w:sz w:val="20"/>
          <w:szCs w:val="20"/>
        </w:rPr>
        <w:t>◐</w:t>
      </w:r>
      <w:r w:rsidRPr="00BB46F5">
        <w:rPr>
          <w:rFonts w:ascii="Arial" w:hAnsi="Arial" w:cs="Arial"/>
          <w:b/>
          <w:bCs/>
          <w:sz w:val="20"/>
          <w:szCs w:val="20"/>
        </w:rPr>
        <w:t xml:space="preserve"> Complementaria:</w:t>
      </w:r>
      <w:r w:rsidRPr="00BB46F5">
        <w:rPr>
          <w:rFonts w:ascii="Arial" w:hAnsi="Arial" w:cs="Arial"/>
          <w:sz w:val="20"/>
          <w:szCs w:val="20"/>
        </w:rPr>
        <w:t xml:space="preserve"> la falla de mercado contribuye a explicar parcialmente el síntoma, pero no constituye su explicación principal. </w:t>
      </w:r>
    </w:p>
    <w:p w14:paraId="7E0F2B28" w14:textId="77777777" w:rsidR="00383F1B" w:rsidRPr="00BB46F5" w:rsidRDefault="00383F1B" w:rsidP="002F1961">
      <w:pPr>
        <w:pStyle w:val="NormalWeb"/>
        <w:spacing w:line="360" w:lineRule="auto"/>
        <w:ind w:left="720"/>
        <w:jc w:val="both"/>
        <w:rPr>
          <w:rFonts w:ascii="Arial" w:hAnsi="Arial" w:cs="Arial"/>
          <w:sz w:val="20"/>
          <w:szCs w:val="20"/>
        </w:rPr>
      </w:pPr>
      <w:r w:rsidRPr="00BB46F5">
        <w:rPr>
          <w:rFonts w:ascii="Segoe UI Emoji" w:hAnsi="Segoe UI Emoji" w:cs="Segoe UI Emoji"/>
          <w:b/>
          <w:bCs/>
          <w:sz w:val="20"/>
          <w:szCs w:val="20"/>
        </w:rPr>
        <w:t>❌</w:t>
      </w:r>
      <w:r w:rsidRPr="00BB46F5">
        <w:rPr>
          <w:rFonts w:ascii="Arial" w:hAnsi="Arial" w:cs="Arial"/>
          <w:b/>
          <w:bCs/>
          <w:sz w:val="20"/>
          <w:szCs w:val="20"/>
        </w:rPr>
        <w:t xml:space="preserve"> No aplicable:</w:t>
      </w:r>
      <w:r w:rsidRPr="00BB46F5">
        <w:rPr>
          <w:rFonts w:ascii="Arial" w:hAnsi="Arial" w:cs="Arial"/>
          <w:sz w:val="20"/>
          <w:szCs w:val="20"/>
        </w:rPr>
        <w:t xml:space="preserve"> la falla de mercado no explica de manera relevante el síntoma identificado.</w:t>
      </w:r>
    </w:p>
    <w:p w14:paraId="661BDCC2" w14:textId="009878D0" w:rsidR="00D67699" w:rsidRDefault="00D67699" w:rsidP="00D64435">
      <w:pPr>
        <w:pStyle w:val="Ttulo4"/>
        <w:spacing w:before="100" w:beforeAutospacing="1" w:after="100" w:afterAutospacing="1" w:line="360" w:lineRule="auto"/>
        <w:ind w:left="1134" w:hanging="1134"/>
      </w:pPr>
      <w:r w:rsidRPr="00821F33">
        <w:t xml:space="preserve">Fallas de </w:t>
      </w:r>
      <w:r>
        <w:t>regulación</w:t>
      </w:r>
    </w:p>
    <w:p w14:paraId="4764DFDC" w14:textId="77777777" w:rsidR="00565FB3" w:rsidRPr="00565FB3" w:rsidRDefault="00565FB3" w:rsidP="00D64435">
      <w:pPr>
        <w:pStyle w:val="NormalWeb"/>
        <w:spacing w:line="360" w:lineRule="auto"/>
        <w:jc w:val="both"/>
        <w:rPr>
          <w:rFonts w:ascii="Arial" w:hAnsi="Arial" w:cs="Arial"/>
          <w:lang w:val="es-ES" w:eastAsia="es-ES"/>
        </w:rPr>
      </w:pPr>
      <w:r w:rsidRPr="247C94E4">
        <w:rPr>
          <w:rFonts w:ascii="Arial" w:hAnsi="Arial" w:cs="Arial"/>
          <w:lang w:val="es-ES" w:eastAsia="es-ES"/>
        </w:rPr>
        <w:t>La existencia de síntomas asociados al riesgo de afectación en la prestación del servicio no implica, por sí sola, la existencia de fallas regulatorias. No obstante, resulta pertinente evaluar si algunos elementos del marco regulatorio vigente, de su implementación o de su capacidad para responder a la evolución del mercado podrían estar contribuyendo a la persistencia de situaciones relacionadas con las condiciones de calidad y seguridad durante la prestación del servicio, las limitaciones para realizar seguimiento a la prestación del servicio, la disponibilidad de información para los usuarios y la efectividad de los mecanismos de atención y protección de los usuarios.</w:t>
      </w:r>
    </w:p>
    <w:p w14:paraId="2E749C7B" w14:textId="77777777" w:rsidR="00565FB3" w:rsidRPr="00565FB3" w:rsidRDefault="00565FB3" w:rsidP="00D64435">
      <w:pPr>
        <w:pStyle w:val="NormalWeb"/>
        <w:spacing w:line="360" w:lineRule="auto"/>
        <w:jc w:val="both"/>
        <w:rPr>
          <w:rFonts w:ascii="Arial" w:hAnsi="Arial" w:cs="Arial"/>
          <w:lang w:val="es-ES_tradnl" w:eastAsia="es-ES"/>
        </w:rPr>
      </w:pPr>
      <w:r w:rsidRPr="00565FB3">
        <w:rPr>
          <w:rFonts w:ascii="Arial" w:hAnsi="Arial" w:cs="Arial"/>
          <w:lang w:val="es-ES_tradnl" w:eastAsia="es-ES"/>
        </w:rPr>
        <w:t xml:space="preserve">Las fallas regulatorias pueden presentarse cuando la regulación no alcanza plenamente los objetivos para los cuales fue diseñada, cuando su implementación resulta insuficiente, cuando las condiciones del mercado evolucionan más rápidamente que las disposiciones vigentes o cuando la intervención regulatoria no responde oportunamente a los nuevos desafíos que enfrenta el sector. En consecuencia, el presente análisis busca determinar </w:t>
      </w:r>
      <w:r w:rsidRPr="00565FB3">
        <w:rPr>
          <w:rFonts w:ascii="Arial" w:hAnsi="Arial" w:cs="Arial"/>
          <w:lang w:val="es-ES_tradnl" w:eastAsia="es-ES"/>
        </w:rPr>
        <w:lastRenderedPageBreak/>
        <w:t>si algunos de los síntomas identificados pueden estar asociados a aspectos regulatorios susceptibles de revisión, actualización o fortalecimiento.</w:t>
      </w:r>
    </w:p>
    <w:p w14:paraId="13FF51D9" w14:textId="3782E22F" w:rsidR="004810B3" w:rsidRDefault="00565FB3" w:rsidP="00D64435">
      <w:pPr>
        <w:pStyle w:val="NormalWeb"/>
        <w:spacing w:line="360" w:lineRule="auto"/>
        <w:jc w:val="both"/>
        <w:rPr>
          <w:rFonts w:ascii="Arial" w:hAnsi="Arial" w:cs="Arial"/>
          <w:lang w:val="es-ES" w:eastAsia="es-ES"/>
        </w:rPr>
      </w:pPr>
      <w:r w:rsidRPr="00565FB3">
        <w:rPr>
          <w:rFonts w:ascii="Arial" w:hAnsi="Arial" w:cs="Arial"/>
          <w:lang w:val="es-ES_tradnl" w:eastAsia="es-ES"/>
        </w:rPr>
        <w:t>En particular, para este eje temático se analizarán las posibles fallas regulatorias relacionadas con el diseño de las disposiciones vigentes, su implementación, su adecuación a las condiciones actuales del mercado y la oportunidad de su actualización, con el fin de establecer si el marco regulatorio vigente responde adecuadamente a las necesidades identificadas en materia de calidad y seguridad en la prestación del servicio, seguimiento a la prestación, disponibilidad de información para los usuarios y mecanismos de atención y protección de los usuarios</w:t>
      </w:r>
      <w:r w:rsidR="00082EDA" w:rsidRPr="035EB2E1">
        <w:rPr>
          <w:rFonts w:ascii="Arial" w:hAnsi="Arial" w:cs="Arial"/>
          <w:lang w:val="es-ES" w:eastAsia="es-ES"/>
        </w:rPr>
        <w:t xml:space="preserve">. </w:t>
      </w:r>
    </w:p>
    <w:p w14:paraId="15717293" w14:textId="54D7BAAC" w:rsidR="00987999" w:rsidRDefault="00C12222" w:rsidP="00D64435">
      <w:pPr>
        <w:pStyle w:val="NormalWeb"/>
        <w:spacing w:line="360" w:lineRule="auto"/>
        <w:jc w:val="both"/>
        <w:rPr>
          <w:rFonts w:ascii="Arial" w:hAnsi="Arial" w:cs="Arial"/>
          <w:lang w:val="es-ES" w:eastAsia="es-ES"/>
        </w:rPr>
      </w:pPr>
      <w:r w:rsidRPr="247C94E4">
        <w:rPr>
          <w:rFonts w:ascii="Arial" w:hAnsi="Arial" w:cs="Arial"/>
          <w:lang w:val="es-ES" w:eastAsia="es-ES"/>
        </w:rPr>
        <w:t>Con el fin de evaluar de manera sistemática la posible existencia de fallas regulatorias, el presente análisis distingue cuatro dimensiones del marco regulatorio: (i) el origen de las disposiciones vigentes, (</w:t>
      </w:r>
      <w:proofErr w:type="spellStart"/>
      <w:r w:rsidRPr="247C94E4">
        <w:rPr>
          <w:rFonts w:ascii="Arial" w:hAnsi="Arial" w:cs="Arial"/>
          <w:lang w:val="es-ES" w:eastAsia="es-ES"/>
        </w:rPr>
        <w:t>ii</w:t>
      </w:r>
      <w:proofErr w:type="spellEnd"/>
      <w:r w:rsidRPr="247C94E4">
        <w:rPr>
          <w:rFonts w:ascii="Arial" w:hAnsi="Arial" w:cs="Arial"/>
          <w:lang w:val="es-ES" w:eastAsia="es-ES"/>
        </w:rPr>
        <w:t>) su implementación, (</w:t>
      </w:r>
      <w:proofErr w:type="spellStart"/>
      <w:r w:rsidRPr="247C94E4">
        <w:rPr>
          <w:rFonts w:ascii="Arial" w:hAnsi="Arial" w:cs="Arial"/>
          <w:lang w:val="es-ES" w:eastAsia="es-ES"/>
        </w:rPr>
        <w:t>iii</w:t>
      </w:r>
      <w:proofErr w:type="spellEnd"/>
      <w:r w:rsidRPr="247C94E4">
        <w:rPr>
          <w:rFonts w:ascii="Arial" w:hAnsi="Arial" w:cs="Arial"/>
          <w:lang w:val="es-ES" w:eastAsia="es-ES"/>
        </w:rPr>
        <w:t>) su adecuación a las condiciones actuales del mercado y (</w:t>
      </w:r>
      <w:proofErr w:type="spellStart"/>
      <w:r w:rsidRPr="247C94E4">
        <w:rPr>
          <w:rFonts w:ascii="Arial" w:hAnsi="Arial" w:cs="Arial"/>
          <w:lang w:val="es-ES" w:eastAsia="es-ES"/>
        </w:rPr>
        <w:t>iv</w:t>
      </w:r>
      <w:proofErr w:type="spellEnd"/>
      <w:r w:rsidRPr="247C94E4">
        <w:rPr>
          <w:rFonts w:ascii="Arial" w:hAnsi="Arial" w:cs="Arial"/>
          <w:lang w:val="es-ES" w:eastAsia="es-ES"/>
        </w:rPr>
        <w:t xml:space="preserve">) la oportunidad de su revisión. Cada una de estas dimensiones responde a una pregunta específica que permite determinar si el marco regulatorio vigente explica, total o parcialmente, los síntomas identificados en este eje del análisis. </w:t>
      </w:r>
      <w:r w:rsidR="00845B51" w:rsidRPr="00845B51">
        <w:rPr>
          <w:rFonts w:ascii="Arial" w:hAnsi="Arial" w:cs="Arial"/>
          <w:lang w:val="es-ES" w:eastAsia="es-ES"/>
        </w:rPr>
        <w:t xml:space="preserve">La </w:t>
      </w:r>
      <w:r w:rsidR="00845B51" w:rsidRPr="00845B51">
        <w:rPr>
          <w:rFonts w:ascii="Arial" w:hAnsi="Arial" w:cs="Arial"/>
          <w:highlight w:val="magenta"/>
          <w:lang w:val="es-ES" w:eastAsia="es-ES"/>
        </w:rPr>
        <w:fldChar w:fldCharType="begin"/>
      </w:r>
      <w:r w:rsidR="00845B51" w:rsidRPr="00845B51">
        <w:rPr>
          <w:rFonts w:ascii="Arial" w:hAnsi="Arial" w:cs="Arial"/>
          <w:highlight w:val="magenta"/>
          <w:lang w:val="es-ES" w:eastAsia="es-ES"/>
        </w:rPr>
        <w:instrText xml:space="preserve"> REF _Ref235113352 \h </w:instrText>
      </w:r>
      <w:r w:rsidR="00845B51">
        <w:rPr>
          <w:rFonts w:ascii="Arial" w:hAnsi="Arial" w:cs="Arial"/>
          <w:highlight w:val="magenta"/>
          <w:lang w:val="es-ES" w:eastAsia="es-ES"/>
        </w:rPr>
        <w:instrText xml:space="preserve"> \* MERGEFORMAT </w:instrText>
      </w:r>
      <w:r w:rsidR="00845B51" w:rsidRPr="00845B51">
        <w:rPr>
          <w:rFonts w:ascii="Arial" w:hAnsi="Arial" w:cs="Arial"/>
          <w:highlight w:val="magenta"/>
          <w:lang w:val="es-ES" w:eastAsia="es-ES"/>
        </w:rPr>
      </w:r>
      <w:r w:rsidR="00845B51" w:rsidRPr="00845B51">
        <w:rPr>
          <w:rFonts w:ascii="Arial" w:hAnsi="Arial" w:cs="Arial"/>
          <w:highlight w:val="magenta"/>
          <w:lang w:val="es-ES" w:eastAsia="es-ES"/>
        </w:rPr>
        <w:fldChar w:fldCharType="separate"/>
      </w:r>
      <w:r w:rsidR="00845B51" w:rsidRPr="00845B51">
        <w:rPr>
          <w:rFonts w:ascii="Arial" w:hAnsi="Arial" w:cs="Arial"/>
        </w:rPr>
        <w:t xml:space="preserve">Tabla </w:t>
      </w:r>
      <w:r w:rsidR="00845B51" w:rsidRPr="00845B51">
        <w:rPr>
          <w:rFonts w:ascii="Arial" w:hAnsi="Arial" w:cs="Arial"/>
          <w:noProof/>
        </w:rPr>
        <w:t>10</w:t>
      </w:r>
      <w:r w:rsidR="00845B51" w:rsidRPr="00845B51">
        <w:rPr>
          <w:rFonts w:ascii="Arial" w:hAnsi="Arial" w:cs="Arial"/>
          <w:highlight w:val="magenta"/>
          <w:lang w:val="es-ES" w:eastAsia="es-ES"/>
        </w:rPr>
        <w:fldChar w:fldCharType="end"/>
      </w:r>
      <w:r w:rsidRPr="247C94E4">
        <w:rPr>
          <w:rFonts w:ascii="Arial" w:hAnsi="Arial" w:cs="Arial"/>
          <w:lang w:val="es-ES" w:eastAsia="es-ES"/>
        </w:rPr>
        <w:t xml:space="preserve"> resume el alcance de cada una de estas dimensiones.</w:t>
      </w:r>
    </w:p>
    <w:p w14:paraId="259A8EB8" w14:textId="385F4379" w:rsidR="00CA53CA" w:rsidRPr="00EE077F" w:rsidRDefault="001472B2" w:rsidP="00237149">
      <w:pPr>
        <w:pStyle w:val="Descripcin"/>
        <w:jc w:val="center"/>
        <w:rPr>
          <w:rFonts w:cs="Arial"/>
          <w:b w:val="0"/>
          <w:szCs w:val="24"/>
        </w:rPr>
      </w:pPr>
      <w:bookmarkStart w:id="189" w:name="_Ref235113352"/>
      <w:bookmarkStart w:id="190" w:name="_Toc235128407"/>
      <w:r w:rsidRPr="00EE077F">
        <w:rPr>
          <w:b w:val="0"/>
          <w:szCs w:val="24"/>
        </w:rPr>
        <w:t xml:space="preserve">Tabla </w:t>
      </w:r>
      <w:r w:rsidRPr="00EE077F">
        <w:rPr>
          <w:b w:val="0"/>
          <w:szCs w:val="24"/>
        </w:rPr>
        <w:fldChar w:fldCharType="begin"/>
      </w:r>
      <w:r w:rsidRPr="00EE077F">
        <w:rPr>
          <w:b w:val="0"/>
          <w:szCs w:val="24"/>
        </w:rPr>
        <w:instrText xml:space="preserve"> SEQ Tabla \* ARABIC </w:instrText>
      </w:r>
      <w:r w:rsidRPr="00EE077F">
        <w:rPr>
          <w:b w:val="0"/>
          <w:szCs w:val="24"/>
        </w:rPr>
        <w:fldChar w:fldCharType="separate"/>
      </w:r>
      <w:r w:rsidRPr="00EE077F">
        <w:rPr>
          <w:b w:val="0"/>
          <w:szCs w:val="24"/>
        </w:rPr>
        <w:t>10</w:t>
      </w:r>
      <w:r w:rsidRPr="00EE077F">
        <w:rPr>
          <w:b w:val="0"/>
          <w:szCs w:val="24"/>
        </w:rPr>
        <w:fldChar w:fldCharType="end"/>
      </w:r>
      <w:bookmarkEnd w:id="189"/>
      <w:r w:rsidR="00237149" w:rsidRPr="00EE077F">
        <w:rPr>
          <w:b w:val="0"/>
          <w:szCs w:val="24"/>
        </w:rPr>
        <w:t xml:space="preserve">. </w:t>
      </w:r>
      <w:r w:rsidR="00160839" w:rsidRPr="00EE077F">
        <w:rPr>
          <w:rFonts w:cs="Arial"/>
          <w:b w:val="0"/>
          <w:szCs w:val="24"/>
        </w:rPr>
        <w:t>Dimensiones para el análisis de las fallas regulatorias</w:t>
      </w:r>
      <w:bookmarkEnd w:id="190"/>
    </w:p>
    <w:tbl>
      <w:tblPr>
        <w:tblStyle w:val="Tablaconcuadrcula"/>
        <w:tblW w:w="4550" w:type="pct"/>
        <w:tblInd w:w="846" w:type="dxa"/>
        <w:tblLook w:val="04A0" w:firstRow="1" w:lastRow="0" w:firstColumn="1" w:lastColumn="0" w:noHBand="0" w:noVBand="1"/>
      </w:tblPr>
      <w:tblGrid>
        <w:gridCol w:w="1518"/>
        <w:gridCol w:w="7032"/>
      </w:tblGrid>
      <w:tr w:rsidR="00987999" w:rsidRPr="008A2A90" w14:paraId="5EDCEBB4" w14:textId="77777777" w:rsidTr="003D5233">
        <w:tc>
          <w:tcPr>
            <w:tcW w:w="644" w:type="pct"/>
            <w:vAlign w:val="center"/>
            <w:hideMark/>
          </w:tcPr>
          <w:p w14:paraId="2A9FBC96" w14:textId="319C546B" w:rsidR="00987999" w:rsidRPr="008A2A90" w:rsidRDefault="00AD2519" w:rsidP="002F1961">
            <w:pPr>
              <w:pStyle w:val="NormalWeb"/>
              <w:spacing w:line="360" w:lineRule="auto"/>
              <w:ind w:left="31"/>
              <w:jc w:val="center"/>
              <w:rPr>
                <w:rFonts w:ascii="Arial" w:hAnsi="Arial" w:cs="Arial"/>
                <w:b/>
                <w:bCs/>
                <w:sz w:val="18"/>
                <w:szCs w:val="18"/>
                <w:lang w:val="es-ES" w:eastAsia="es-ES"/>
              </w:rPr>
            </w:pPr>
            <w:r w:rsidRPr="008A2A90">
              <w:rPr>
                <w:rFonts w:ascii="Arial" w:hAnsi="Arial" w:cs="Arial"/>
                <w:b/>
                <w:bCs/>
                <w:sz w:val="18"/>
                <w:szCs w:val="18"/>
                <w:lang w:val="es-ES" w:eastAsia="es-ES"/>
              </w:rPr>
              <w:t>Dimensión</w:t>
            </w:r>
          </w:p>
        </w:tc>
        <w:tc>
          <w:tcPr>
            <w:tcW w:w="4356" w:type="pct"/>
            <w:vAlign w:val="center"/>
            <w:hideMark/>
          </w:tcPr>
          <w:p w14:paraId="4D12A1FB" w14:textId="3666692B" w:rsidR="00987999" w:rsidRPr="008A2A90" w:rsidRDefault="00AD2519" w:rsidP="002F1961">
            <w:pPr>
              <w:pStyle w:val="NormalWeb"/>
              <w:spacing w:line="360" w:lineRule="auto"/>
              <w:ind w:left="70"/>
              <w:jc w:val="center"/>
              <w:rPr>
                <w:rFonts w:ascii="Arial" w:hAnsi="Arial" w:cs="Arial"/>
                <w:b/>
                <w:bCs/>
                <w:sz w:val="18"/>
                <w:szCs w:val="18"/>
                <w:lang w:val="es-ES" w:eastAsia="es-ES"/>
              </w:rPr>
            </w:pPr>
            <w:r w:rsidRPr="008A2A90">
              <w:rPr>
                <w:rFonts w:ascii="Arial" w:hAnsi="Arial" w:cs="Arial"/>
                <w:b/>
                <w:bCs/>
                <w:sz w:val="18"/>
                <w:szCs w:val="18"/>
                <w:lang w:val="es-ES_tradnl" w:eastAsia="es-ES"/>
              </w:rPr>
              <w:t>Pregunta que orienta el análisis</w:t>
            </w:r>
          </w:p>
        </w:tc>
      </w:tr>
      <w:tr w:rsidR="00987999" w:rsidRPr="008A2A90" w14:paraId="49FDE936" w14:textId="77777777" w:rsidTr="003D5233">
        <w:tc>
          <w:tcPr>
            <w:tcW w:w="644" w:type="pct"/>
            <w:vAlign w:val="center"/>
            <w:hideMark/>
          </w:tcPr>
          <w:p w14:paraId="5C4B4A35" w14:textId="77777777" w:rsidR="00987999" w:rsidRPr="008A2A90" w:rsidRDefault="00987999" w:rsidP="002F1961">
            <w:pPr>
              <w:pStyle w:val="NormalWeb"/>
              <w:spacing w:line="360" w:lineRule="auto"/>
              <w:ind w:left="31"/>
              <w:jc w:val="both"/>
              <w:rPr>
                <w:rFonts w:ascii="Arial" w:hAnsi="Arial" w:cs="Arial"/>
                <w:sz w:val="18"/>
                <w:szCs w:val="18"/>
                <w:lang w:val="es-ES" w:eastAsia="es-ES"/>
              </w:rPr>
            </w:pPr>
            <w:r w:rsidRPr="008A2A90">
              <w:rPr>
                <w:rFonts w:ascii="Arial" w:hAnsi="Arial" w:cs="Arial"/>
                <w:sz w:val="18"/>
                <w:szCs w:val="18"/>
                <w:lang w:val="es-ES" w:eastAsia="es-ES"/>
              </w:rPr>
              <w:t>Origen</w:t>
            </w:r>
          </w:p>
        </w:tc>
        <w:tc>
          <w:tcPr>
            <w:tcW w:w="4356" w:type="pct"/>
            <w:vAlign w:val="center"/>
            <w:hideMark/>
          </w:tcPr>
          <w:p w14:paraId="4F6AA9B8" w14:textId="67628707" w:rsidR="00987999" w:rsidRPr="008A2A90" w:rsidRDefault="00987999" w:rsidP="002F1961">
            <w:pPr>
              <w:pStyle w:val="NormalWeb"/>
              <w:spacing w:line="360" w:lineRule="auto"/>
              <w:ind w:left="70"/>
              <w:jc w:val="both"/>
              <w:rPr>
                <w:rFonts w:ascii="Arial" w:hAnsi="Arial" w:cs="Arial"/>
                <w:sz w:val="18"/>
                <w:szCs w:val="18"/>
                <w:lang w:val="es-ES" w:eastAsia="es-ES"/>
              </w:rPr>
            </w:pPr>
            <w:r w:rsidRPr="008A2A90">
              <w:rPr>
                <w:rFonts w:ascii="Arial" w:hAnsi="Arial" w:cs="Arial"/>
                <w:sz w:val="18"/>
                <w:szCs w:val="18"/>
                <w:lang w:val="es-ES" w:eastAsia="es-ES"/>
              </w:rPr>
              <w:t>¿Por qué surgieron estas normas y qué problema buscaban resolver?</w:t>
            </w:r>
          </w:p>
        </w:tc>
      </w:tr>
      <w:tr w:rsidR="00987999" w:rsidRPr="008A2A90" w14:paraId="26CA6BB0" w14:textId="77777777" w:rsidTr="003D5233">
        <w:tc>
          <w:tcPr>
            <w:tcW w:w="644" w:type="pct"/>
            <w:vAlign w:val="center"/>
            <w:hideMark/>
          </w:tcPr>
          <w:p w14:paraId="2CE88FA4" w14:textId="77777777" w:rsidR="00987999" w:rsidRPr="008A2A90" w:rsidRDefault="00987999" w:rsidP="002F1961">
            <w:pPr>
              <w:pStyle w:val="NormalWeb"/>
              <w:spacing w:line="360" w:lineRule="auto"/>
              <w:ind w:left="31"/>
              <w:jc w:val="both"/>
              <w:rPr>
                <w:rFonts w:ascii="Arial" w:hAnsi="Arial" w:cs="Arial"/>
                <w:sz w:val="18"/>
                <w:szCs w:val="18"/>
                <w:lang w:val="es-ES" w:eastAsia="es-ES"/>
              </w:rPr>
            </w:pPr>
            <w:r w:rsidRPr="008A2A90">
              <w:rPr>
                <w:rFonts w:ascii="Arial" w:hAnsi="Arial" w:cs="Arial"/>
                <w:sz w:val="18"/>
                <w:szCs w:val="18"/>
                <w:lang w:val="es-ES" w:eastAsia="es-ES"/>
              </w:rPr>
              <w:t>Implementación</w:t>
            </w:r>
          </w:p>
        </w:tc>
        <w:tc>
          <w:tcPr>
            <w:tcW w:w="4356" w:type="pct"/>
            <w:vAlign w:val="center"/>
            <w:hideMark/>
          </w:tcPr>
          <w:p w14:paraId="70DB43F1" w14:textId="49E2F833" w:rsidR="00987999" w:rsidRPr="008A2A90" w:rsidRDefault="00987999" w:rsidP="002F1961">
            <w:pPr>
              <w:pStyle w:val="NormalWeb"/>
              <w:spacing w:line="360" w:lineRule="auto"/>
              <w:ind w:left="70"/>
              <w:jc w:val="both"/>
              <w:rPr>
                <w:rFonts w:ascii="Arial" w:hAnsi="Arial" w:cs="Arial"/>
                <w:sz w:val="18"/>
                <w:szCs w:val="18"/>
                <w:lang w:val="es-ES" w:eastAsia="es-ES"/>
              </w:rPr>
            </w:pPr>
            <w:r w:rsidRPr="008A2A90">
              <w:rPr>
                <w:rFonts w:ascii="Arial" w:hAnsi="Arial" w:cs="Arial"/>
                <w:sz w:val="18"/>
                <w:szCs w:val="18"/>
                <w:lang w:val="es-ES" w:eastAsia="es-ES"/>
              </w:rPr>
              <w:t>¿Las normas vigentes se están aplicando y cumpliendo adecuadamente?</w:t>
            </w:r>
          </w:p>
        </w:tc>
      </w:tr>
      <w:tr w:rsidR="00987999" w:rsidRPr="008A2A90" w14:paraId="57E6369D" w14:textId="77777777" w:rsidTr="003D5233">
        <w:tc>
          <w:tcPr>
            <w:tcW w:w="644" w:type="pct"/>
            <w:vAlign w:val="center"/>
            <w:hideMark/>
          </w:tcPr>
          <w:p w14:paraId="3E921195" w14:textId="77777777" w:rsidR="00987999" w:rsidRPr="008A2A90" w:rsidRDefault="00987999" w:rsidP="002F1961">
            <w:pPr>
              <w:pStyle w:val="NormalWeb"/>
              <w:spacing w:line="360" w:lineRule="auto"/>
              <w:ind w:left="31"/>
              <w:jc w:val="both"/>
              <w:rPr>
                <w:rFonts w:ascii="Arial" w:hAnsi="Arial" w:cs="Arial"/>
                <w:sz w:val="18"/>
                <w:szCs w:val="18"/>
                <w:lang w:val="es-ES" w:eastAsia="es-ES"/>
              </w:rPr>
            </w:pPr>
            <w:r w:rsidRPr="008A2A90">
              <w:rPr>
                <w:rFonts w:ascii="Arial" w:hAnsi="Arial" w:cs="Arial"/>
                <w:sz w:val="18"/>
                <w:szCs w:val="18"/>
                <w:lang w:val="es-ES" w:eastAsia="es-ES"/>
              </w:rPr>
              <w:t>Adecuación</w:t>
            </w:r>
          </w:p>
        </w:tc>
        <w:tc>
          <w:tcPr>
            <w:tcW w:w="4356" w:type="pct"/>
            <w:vAlign w:val="center"/>
            <w:hideMark/>
          </w:tcPr>
          <w:p w14:paraId="04B96862" w14:textId="2358A282" w:rsidR="00987999" w:rsidRPr="008A2A90" w:rsidRDefault="00987999" w:rsidP="002F1961">
            <w:pPr>
              <w:pStyle w:val="NormalWeb"/>
              <w:spacing w:line="360" w:lineRule="auto"/>
              <w:ind w:left="70"/>
              <w:jc w:val="both"/>
              <w:rPr>
                <w:rFonts w:ascii="Arial" w:hAnsi="Arial" w:cs="Arial"/>
                <w:sz w:val="18"/>
                <w:szCs w:val="18"/>
                <w:lang w:val="es-ES" w:eastAsia="es-ES"/>
              </w:rPr>
            </w:pPr>
            <w:r w:rsidRPr="008A2A90">
              <w:rPr>
                <w:rFonts w:ascii="Arial" w:hAnsi="Arial" w:cs="Arial"/>
                <w:sz w:val="18"/>
                <w:szCs w:val="18"/>
                <w:lang w:val="es-ES" w:eastAsia="es-ES"/>
              </w:rPr>
              <w:t>¿El contenido de las normas sigue siendo suficiente para responder a las condiciones actuales del mercado?</w:t>
            </w:r>
          </w:p>
        </w:tc>
      </w:tr>
      <w:tr w:rsidR="00987999" w:rsidRPr="008A2A90" w14:paraId="4CB7F237" w14:textId="77777777" w:rsidTr="003D5233">
        <w:tc>
          <w:tcPr>
            <w:tcW w:w="644" w:type="pct"/>
            <w:vAlign w:val="center"/>
            <w:hideMark/>
          </w:tcPr>
          <w:p w14:paraId="35CA1C06" w14:textId="77777777" w:rsidR="00987999" w:rsidRPr="008A2A90" w:rsidRDefault="00987999" w:rsidP="002F1961">
            <w:pPr>
              <w:pStyle w:val="NormalWeb"/>
              <w:spacing w:line="360" w:lineRule="auto"/>
              <w:ind w:left="31"/>
              <w:jc w:val="both"/>
              <w:rPr>
                <w:rFonts w:ascii="Arial" w:hAnsi="Arial" w:cs="Arial"/>
                <w:sz w:val="18"/>
                <w:szCs w:val="18"/>
                <w:lang w:val="es-ES" w:eastAsia="es-ES"/>
              </w:rPr>
            </w:pPr>
            <w:r w:rsidRPr="008A2A90">
              <w:rPr>
                <w:rFonts w:ascii="Arial" w:hAnsi="Arial" w:cs="Arial"/>
                <w:sz w:val="18"/>
                <w:szCs w:val="18"/>
                <w:lang w:val="es-ES" w:eastAsia="es-ES"/>
              </w:rPr>
              <w:t>Oportunidad</w:t>
            </w:r>
          </w:p>
        </w:tc>
        <w:tc>
          <w:tcPr>
            <w:tcW w:w="4356" w:type="pct"/>
            <w:vAlign w:val="center"/>
            <w:hideMark/>
          </w:tcPr>
          <w:p w14:paraId="25A1D6BE" w14:textId="77777777" w:rsidR="00987999" w:rsidRPr="008A2A90" w:rsidRDefault="00987999" w:rsidP="002F1961">
            <w:pPr>
              <w:pStyle w:val="NormalWeb"/>
              <w:spacing w:line="360" w:lineRule="auto"/>
              <w:ind w:left="70"/>
              <w:jc w:val="both"/>
              <w:rPr>
                <w:rFonts w:ascii="Arial" w:hAnsi="Arial" w:cs="Arial"/>
                <w:sz w:val="18"/>
                <w:szCs w:val="18"/>
                <w:lang w:val="es-ES" w:eastAsia="es-ES"/>
              </w:rPr>
            </w:pPr>
            <w:r w:rsidRPr="008A2A90">
              <w:rPr>
                <w:rFonts w:ascii="Arial" w:hAnsi="Arial" w:cs="Arial"/>
                <w:sz w:val="18"/>
                <w:szCs w:val="18"/>
                <w:lang w:val="es-ES" w:eastAsia="es-ES"/>
              </w:rPr>
              <w:t>¿Existen razones que justifiquen revisar el marco regulatorio en este momento?</w:t>
            </w:r>
          </w:p>
        </w:tc>
      </w:tr>
    </w:tbl>
    <w:p w14:paraId="451CE79F" w14:textId="23DE7C41" w:rsidR="00160839" w:rsidRPr="003D5233" w:rsidRDefault="00160839" w:rsidP="003D5233">
      <w:pPr>
        <w:spacing w:before="100" w:beforeAutospacing="1" w:after="100" w:afterAutospacing="1" w:line="360" w:lineRule="auto"/>
        <w:jc w:val="center"/>
        <w:rPr>
          <w:sz w:val="22"/>
          <w:szCs w:val="22"/>
        </w:rPr>
      </w:pPr>
      <w:r w:rsidRPr="003D5233">
        <w:rPr>
          <w:rFonts w:cs="Arial"/>
          <w:sz w:val="22"/>
          <w:szCs w:val="22"/>
        </w:rPr>
        <w:t>Elaboración</w:t>
      </w:r>
      <w:r w:rsidR="00EE077F">
        <w:rPr>
          <w:rFonts w:cs="Arial"/>
          <w:sz w:val="22"/>
          <w:szCs w:val="22"/>
        </w:rPr>
        <w:t>: CREG</w:t>
      </w:r>
    </w:p>
    <w:p w14:paraId="5D7713E2" w14:textId="745F7935" w:rsidR="00D67699" w:rsidRPr="00FC150B" w:rsidRDefault="00D67699" w:rsidP="00C177AE">
      <w:pPr>
        <w:pStyle w:val="Ttulo5"/>
        <w:numPr>
          <w:ilvl w:val="4"/>
          <w:numId w:val="1"/>
        </w:numPr>
        <w:spacing w:before="100" w:beforeAutospacing="1" w:after="100" w:afterAutospacing="1"/>
        <w:ind w:left="1985" w:hanging="1985"/>
        <w:rPr>
          <w:b w:val="0"/>
          <w:bCs w:val="0"/>
        </w:rPr>
      </w:pPr>
      <w:r w:rsidRPr="00FC150B">
        <w:rPr>
          <w:b w:val="0"/>
          <w:bCs w:val="0"/>
        </w:rPr>
        <w:t>Origen de las normas</w:t>
      </w:r>
    </w:p>
    <w:p w14:paraId="7D3205E4" w14:textId="77777777" w:rsidR="008B4BBA" w:rsidRPr="008B4BBA" w:rsidRDefault="008B4BBA" w:rsidP="00C177AE">
      <w:pPr>
        <w:pStyle w:val="NormalWeb"/>
        <w:spacing w:line="360" w:lineRule="auto"/>
        <w:jc w:val="both"/>
        <w:rPr>
          <w:rFonts w:ascii="Arial" w:hAnsi="Arial" w:cs="Arial"/>
          <w:lang w:val="es-ES" w:eastAsia="es-ES"/>
        </w:rPr>
      </w:pPr>
      <w:r w:rsidRPr="008B4BBA">
        <w:rPr>
          <w:rFonts w:ascii="Arial" w:hAnsi="Arial" w:cs="Arial"/>
          <w:lang w:val="es-ES" w:eastAsia="es-ES"/>
        </w:rPr>
        <w:t xml:space="preserve">El marco regulatorio aplicable al servicio público domiciliario de GLP ha evolucionado de manera progresiva para responder a los diferentes desafíos que históricamente ha enfrentado el sector y garantizar el cumplimiento de los principios previstos en la Ley 142 </w:t>
      </w:r>
      <w:r w:rsidRPr="008B4BBA">
        <w:rPr>
          <w:rFonts w:ascii="Arial" w:hAnsi="Arial" w:cs="Arial"/>
          <w:lang w:val="es-ES" w:eastAsia="es-ES"/>
        </w:rPr>
        <w:lastRenderedPageBreak/>
        <w:t>de 1994. Dentro de este proceso, la regulación ha incorporado disposiciones orientadas a garantizar la calidad y seguridad del servicio, fortalecer la protección de los usuarios, mejorar la transparencia, establecer mecanismos para identificar a los prestadores y definir procedimientos para la atención de peticiones, quejas, reclamos y recursos.</w:t>
      </w:r>
    </w:p>
    <w:p w14:paraId="031906F9" w14:textId="77777777" w:rsidR="008B4BBA" w:rsidRPr="008B4BBA" w:rsidRDefault="008B4BBA" w:rsidP="00C177AE">
      <w:pPr>
        <w:pStyle w:val="NormalWeb"/>
        <w:spacing w:line="360" w:lineRule="auto"/>
        <w:jc w:val="both"/>
        <w:rPr>
          <w:rFonts w:ascii="Arial" w:hAnsi="Arial" w:cs="Arial"/>
          <w:lang w:val="es-ES" w:eastAsia="es-ES"/>
        </w:rPr>
      </w:pPr>
      <w:r w:rsidRPr="008B4BBA">
        <w:rPr>
          <w:rFonts w:ascii="Arial" w:hAnsi="Arial" w:cs="Arial"/>
          <w:lang w:val="es-ES" w:eastAsia="es-ES"/>
        </w:rPr>
        <w:t>En particular, una parte importante de la regulación vigente surgió para atender problemáticas relacionadas con la necesidad de garantizar condiciones adecuadas de calidad y seguridad, facilitar la identificación del prestador responsable, fortalecer la disponibilidad de información para los usuarios, mejorar los mecanismos de atención comercial y facilitar el seguimiento a la prestación del servicio durante las actividades de distribución y comercialización del GLP. Estas disposiciones buscaron fortalecer la relación entre usuarios y prestadores, facilitar el ejercicio de los derechos reconocidos en el régimen de los servicios públicos domiciliarios y promover una prestación del servicio acorde con las condiciones técnicas y de seguridad previstas en la regulación.</w:t>
      </w:r>
    </w:p>
    <w:p w14:paraId="722D3DC5" w14:textId="77777777" w:rsidR="008B4BBA" w:rsidRPr="008B4BBA" w:rsidRDefault="008B4BBA" w:rsidP="00C177AE">
      <w:pPr>
        <w:pStyle w:val="NormalWeb"/>
        <w:spacing w:line="360" w:lineRule="auto"/>
        <w:jc w:val="both"/>
        <w:rPr>
          <w:rFonts w:ascii="Arial" w:hAnsi="Arial" w:cs="Arial"/>
          <w:lang w:val="es-ES" w:eastAsia="es-ES"/>
        </w:rPr>
      </w:pPr>
      <w:r w:rsidRPr="008B4BBA">
        <w:rPr>
          <w:rFonts w:ascii="Arial" w:hAnsi="Arial" w:cs="Arial"/>
          <w:lang w:val="es-ES" w:eastAsia="es-ES"/>
        </w:rPr>
        <w:t>Como resultado de este proceso, la regulación fue incorporando instrumentos dirigidos a garantizar la calidad y seguridad del servicio, mejorar la transparencia, fortalecer la disponibilidad de información para los usuarios, establecer obligaciones relacionadas con la identificación de los prestadores y definir mecanismos para la gestión de peticiones, quejas, reclamos y recursos. Estas medidas respondieron a las condiciones existentes al momento de su expedición y contribuyeron a consolidar el esquema actual de protección de los usuarios del servicio público domiciliario de GLP.</w:t>
      </w:r>
    </w:p>
    <w:p w14:paraId="4CA79B11" w14:textId="77777777" w:rsidR="008B4BBA" w:rsidRPr="008B4BBA" w:rsidRDefault="008B4BBA" w:rsidP="00C177AE">
      <w:pPr>
        <w:pStyle w:val="NormalWeb"/>
        <w:spacing w:line="360" w:lineRule="auto"/>
        <w:jc w:val="both"/>
        <w:rPr>
          <w:rFonts w:ascii="Arial" w:hAnsi="Arial" w:cs="Arial"/>
          <w:lang w:val="es-ES" w:eastAsia="es-ES"/>
        </w:rPr>
      </w:pPr>
      <w:r w:rsidRPr="008B4BBA">
        <w:rPr>
          <w:rFonts w:ascii="Arial" w:hAnsi="Arial" w:cs="Arial"/>
          <w:lang w:val="es-ES" w:eastAsia="es-ES"/>
        </w:rPr>
        <w:t>No obstante, las condiciones bajo las cuales actualmente se presta el servicio público domiciliario de GLP han evolucionado respecto de aquellas existentes cuando fueron expedidas varias de las disposiciones regulatorias vigentes. La mayor participación de las importaciones, los cambios en la estructura del mercado, la incorporación de nuevas herramientas tecnológicas y la evolución de las modalidades de prestación han generado nuevos retos para la regulación y para los agentes que participan en la cadena.</w:t>
      </w:r>
    </w:p>
    <w:p w14:paraId="54F4A654" w14:textId="77777777" w:rsidR="008B4BBA" w:rsidRPr="008B4BBA" w:rsidRDefault="008B4BBA" w:rsidP="00C177AE">
      <w:pPr>
        <w:pStyle w:val="NormalWeb"/>
        <w:spacing w:line="360" w:lineRule="auto"/>
        <w:jc w:val="both"/>
        <w:rPr>
          <w:rFonts w:ascii="Arial" w:hAnsi="Arial" w:cs="Arial"/>
          <w:lang w:val="es-ES" w:eastAsia="es-ES"/>
        </w:rPr>
      </w:pPr>
      <w:r w:rsidRPr="008B4BBA">
        <w:rPr>
          <w:rFonts w:ascii="Arial" w:hAnsi="Arial" w:cs="Arial"/>
          <w:lang w:val="es-ES" w:eastAsia="es-ES"/>
        </w:rPr>
        <w:t xml:space="preserve">En este contexto, los síntomas identificados en el diagnóstico, particularmente aquellos relacionados con las condiciones de calidad y seguridad, las limitaciones para realizar </w:t>
      </w:r>
      <w:r w:rsidRPr="008B4BBA">
        <w:rPr>
          <w:rFonts w:ascii="Arial" w:hAnsi="Arial" w:cs="Arial"/>
          <w:lang w:val="es-ES" w:eastAsia="es-ES"/>
        </w:rPr>
        <w:lastRenderedPageBreak/>
        <w:t>seguimiento a la prestación del servicio, la disponibilidad de información para los usuarios y la efectividad de los mecanismos de atención y protección de los usuarios, permiten evaluar si las problemáticas que dieron origen a la regulación corresponden con las situaciones actualmente observadas en el sector o si la evolución del mercado ha generado nuevos desafíos que justifican revisar el alcance del marco regulatorio vigente.</w:t>
      </w:r>
    </w:p>
    <w:p w14:paraId="489DC579" w14:textId="77777777" w:rsidR="008B4BBA" w:rsidRPr="008B4BBA" w:rsidRDefault="008B4BBA" w:rsidP="00C177AE">
      <w:pPr>
        <w:pStyle w:val="NormalWeb"/>
        <w:spacing w:line="360" w:lineRule="auto"/>
        <w:jc w:val="both"/>
        <w:rPr>
          <w:rFonts w:ascii="Arial" w:hAnsi="Arial" w:cs="Arial"/>
          <w:lang w:val="es-ES" w:eastAsia="es-ES"/>
        </w:rPr>
      </w:pPr>
      <w:r w:rsidRPr="008B4BBA">
        <w:rPr>
          <w:rFonts w:ascii="Arial" w:hAnsi="Arial" w:cs="Arial"/>
          <w:lang w:val="es-ES" w:eastAsia="es-ES"/>
        </w:rPr>
        <w:t>En consecuencia, el análisis del origen de las normas permite establecer si las razones que motivaron la expedición de la regulación continúan siendo pertinentes frente a las condiciones actuales del mercado y si los síntomas identificados corresponden a problemáticas ya previstas por el regulador o evidencian la necesidad de revisar el marco regulatorio para responder a la evolución del sector.</w:t>
      </w:r>
    </w:p>
    <w:p w14:paraId="28AD00A4" w14:textId="0DB9E88F" w:rsidR="00D67699" w:rsidRPr="00842608" w:rsidRDefault="00D67699" w:rsidP="00C177AE">
      <w:pPr>
        <w:pStyle w:val="Ttulo5"/>
        <w:numPr>
          <w:ilvl w:val="4"/>
          <w:numId w:val="1"/>
        </w:numPr>
        <w:spacing w:before="100" w:beforeAutospacing="1" w:after="100" w:afterAutospacing="1"/>
        <w:ind w:left="1701" w:hanging="1701"/>
      </w:pPr>
      <w:r w:rsidRPr="00842608">
        <w:t>Regulación no implementada o con riesgo de incumplimiento</w:t>
      </w:r>
    </w:p>
    <w:p w14:paraId="7E0438B1" w14:textId="77777777" w:rsidR="008A5767" w:rsidRPr="008A5767" w:rsidRDefault="008A5767" w:rsidP="00C177AE">
      <w:pPr>
        <w:pStyle w:val="NormalWeb"/>
        <w:spacing w:line="360" w:lineRule="auto"/>
        <w:jc w:val="both"/>
        <w:rPr>
          <w:rFonts w:ascii="Arial" w:hAnsi="Arial" w:cs="Arial"/>
          <w:lang w:val="es-ES" w:eastAsia="es-ES"/>
        </w:rPr>
      </w:pPr>
      <w:r w:rsidRPr="008A5767">
        <w:rPr>
          <w:rFonts w:ascii="Arial" w:hAnsi="Arial" w:cs="Arial"/>
          <w:lang w:val="es-ES" w:eastAsia="es-ES"/>
        </w:rPr>
        <w:t>La efectividad de una regulación no depende exclusivamente de la existencia de normas que definan obligaciones, procedimientos o condiciones para la prestación del servicio. También requiere que dichas disposiciones sean implementadas de manera adecuada por los agentes y que existan mecanismos suficientes para verificar su cumplimiento y promover su aplicación efectiva.</w:t>
      </w:r>
    </w:p>
    <w:p w14:paraId="02FFD238" w14:textId="77777777" w:rsidR="008A5767" w:rsidRPr="008A5767" w:rsidRDefault="008A5767" w:rsidP="00C177AE">
      <w:pPr>
        <w:pStyle w:val="NormalWeb"/>
        <w:spacing w:line="360" w:lineRule="auto"/>
        <w:jc w:val="both"/>
        <w:rPr>
          <w:rFonts w:ascii="Arial" w:hAnsi="Arial" w:cs="Arial"/>
          <w:lang w:val="es-ES" w:eastAsia="es-ES"/>
        </w:rPr>
      </w:pPr>
      <w:r w:rsidRPr="008A5767">
        <w:rPr>
          <w:rFonts w:ascii="Arial" w:hAnsi="Arial" w:cs="Arial"/>
          <w:lang w:val="es-ES" w:eastAsia="es-ES"/>
        </w:rPr>
        <w:t>Los síntomas identificados en el diagnóstico evidencian situaciones que podrían estar asociadas a diferencias entre las condiciones previstas por el marco regulatorio y las prácticas observadas en algunos segmentos del mercado. En particular, los aspectos relacionados con las condiciones de calidad y seguridad durante la prestación del servicio, las limitaciones para realizar seguimiento a la prestación del servicio, la disponibilidad de información para los usuarios y la atención de peticiones, quejas, reclamos y recursos sugieren la conveniencia de evaluar el grado de implementación de las disposiciones regulatorias vigentes.</w:t>
      </w:r>
    </w:p>
    <w:p w14:paraId="2B3061D2" w14:textId="77777777" w:rsidR="008A5767" w:rsidRPr="008A5767" w:rsidRDefault="008A5767" w:rsidP="00C177AE">
      <w:pPr>
        <w:pStyle w:val="NormalWeb"/>
        <w:spacing w:line="360" w:lineRule="auto"/>
        <w:jc w:val="both"/>
        <w:rPr>
          <w:rFonts w:ascii="Arial" w:hAnsi="Arial" w:cs="Arial"/>
          <w:lang w:val="es-ES" w:eastAsia="es-ES"/>
        </w:rPr>
      </w:pPr>
      <w:r w:rsidRPr="008A5767">
        <w:rPr>
          <w:rFonts w:ascii="Arial" w:hAnsi="Arial" w:cs="Arial"/>
          <w:lang w:val="es-ES" w:eastAsia="es-ES"/>
        </w:rPr>
        <w:t xml:space="preserve">La incidencia de estas situaciones puede variar según la modalidad de prestación del servicio. En la distribución mediante cilindros, la participación de diferentes actores durante la comercialización y entrega del producto puede generar mayores desafíos para </w:t>
      </w:r>
      <w:r w:rsidRPr="008A5767">
        <w:rPr>
          <w:rFonts w:ascii="Arial" w:hAnsi="Arial" w:cs="Arial"/>
          <w:lang w:val="es-ES" w:eastAsia="es-ES"/>
        </w:rPr>
        <w:lastRenderedPageBreak/>
        <w:t>la implementación y verificación de algunas obligaciones relacionadas con la identificación del prestador responsable, el seguimiento a la prestación del servicio y la disponibilidad de información para los usuarios. En las modalidades de distribución mediante tanques estacionarios y redes de tubería, aunque las relaciones comerciales y operativas suelen ser más estables, también resulta necesario verificar la adecuada implementación de las obligaciones regulatorias aplicables en materia de calidad, seguridad, atención al usuario y suministro de información.</w:t>
      </w:r>
    </w:p>
    <w:p w14:paraId="7A2586F6" w14:textId="77777777" w:rsidR="008A5767" w:rsidRPr="008A5767" w:rsidRDefault="008A5767" w:rsidP="00C177AE">
      <w:pPr>
        <w:pStyle w:val="NormalWeb"/>
        <w:spacing w:line="360" w:lineRule="auto"/>
        <w:jc w:val="both"/>
        <w:rPr>
          <w:rFonts w:ascii="Arial" w:hAnsi="Arial" w:cs="Arial"/>
          <w:lang w:val="es-ES" w:eastAsia="es-ES"/>
        </w:rPr>
      </w:pPr>
      <w:r w:rsidRPr="008A5767">
        <w:rPr>
          <w:rFonts w:ascii="Arial" w:hAnsi="Arial" w:cs="Arial"/>
          <w:lang w:val="es-ES" w:eastAsia="es-ES"/>
        </w:rPr>
        <w:t>Particularmente, las limitaciones identificadas para garantizar el cumplimiento de las condiciones técnicas y de seguridad previstas en la regulación, así como aquellas relacionadas con el seguimiento a la prestación del servicio y la disponibilidad de información para los usuarios, pueden indicar diferencias en la forma como algunos agentes implementan los mecanismos orientados a asegurar dichas condiciones, garantizar la identificación del prestador responsable, fortalecer la transparencia de la prestación y facilitar una adecuada comunicación con los usuarios.</w:t>
      </w:r>
    </w:p>
    <w:p w14:paraId="0CB77BC3" w14:textId="77777777" w:rsidR="008A5767" w:rsidRPr="008A5767" w:rsidRDefault="008A5767" w:rsidP="00C177AE">
      <w:pPr>
        <w:pStyle w:val="NormalWeb"/>
        <w:spacing w:line="360" w:lineRule="auto"/>
        <w:jc w:val="both"/>
        <w:rPr>
          <w:rFonts w:ascii="Arial" w:hAnsi="Arial" w:cs="Arial"/>
          <w:lang w:val="es-ES" w:eastAsia="es-ES"/>
        </w:rPr>
      </w:pPr>
      <w:r w:rsidRPr="008A5767">
        <w:rPr>
          <w:rFonts w:ascii="Arial" w:hAnsi="Arial" w:cs="Arial"/>
          <w:lang w:val="es-ES" w:eastAsia="es-ES"/>
        </w:rPr>
        <w:t>Lo anterior no implica necesariamente la existencia de incumplimientos generalizados del marco regulatorio. Sin embargo, sí evidencia la necesidad de analizar si algunos de los síntomas observados pueden estar asociados a diferencias en la implementación de las disposiciones vigentes, a dificultades para su aplicación en determinadas modalidades de prestación del servicio o contextos operativos, o a limitaciones para verificar de manera efectiva su cumplimiento.</w:t>
      </w:r>
    </w:p>
    <w:p w14:paraId="0F5D0661" w14:textId="65B8A7F4" w:rsidR="008A5767" w:rsidRPr="008A5767" w:rsidRDefault="008A5767" w:rsidP="00C177AE">
      <w:pPr>
        <w:pStyle w:val="NormalWeb"/>
        <w:spacing w:line="360" w:lineRule="auto"/>
        <w:jc w:val="both"/>
        <w:rPr>
          <w:rFonts w:ascii="Arial" w:hAnsi="Arial" w:cs="Arial"/>
          <w:lang w:val="es-ES" w:eastAsia="es-ES"/>
        </w:rPr>
      </w:pPr>
      <w:r w:rsidRPr="008A5767">
        <w:rPr>
          <w:rFonts w:ascii="Arial" w:hAnsi="Arial" w:cs="Arial"/>
          <w:lang w:val="es-ES" w:eastAsia="es-ES"/>
        </w:rPr>
        <w:t>En consecuencia, resulta pertinente evaluar si parte de los riesgos identificados en materia de prestación del servicio se encuentran asociados a problemas de implementación de la regulación vigente, más que a la ausencia de instrumentos regulatorios o a deficiencias en su diseño.</w:t>
      </w:r>
    </w:p>
    <w:p w14:paraId="0FFE60E8" w14:textId="301B702B" w:rsidR="00D67699" w:rsidRPr="00842608" w:rsidRDefault="002D4442" w:rsidP="00C177AE">
      <w:pPr>
        <w:pStyle w:val="Ttulo5"/>
        <w:numPr>
          <w:ilvl w:val="4"/>
          <w:numId w:val="1"/>
        </w:numPr>
        <w:spacing w:before="100" w:beforeAutospacing="1" w:after="100" w:afterAutospacing="1"/>
        <w:ind w:left="1701" w:hanging="1559"/>
      </w:pPr>
      <w:r w:rsidRPr="00842608">
        <w:t>Adecuación de las normas a las condiciones actuales del mercado</w:t>
      </w:r>
    </w:p>
    <w:p w14:paraId="598C660E" w14:textId="77777777" w:rsidR="006942F9" w:rsidRPr="006942F9" w:rsidRDefault="006942F9" w:rsidP="00C177AE">
      <w:pPr>
        <w:pStyle w:val="NormalWeb"/>
        <w:spacing w:line="360" w:lineRule="auto"/>
        <w:jc w:val="both"/>
        <w:rPr>
          <w:rFonts w:ascii="Arial" w:hAnsi="Arial" w:cs="Arial"/>
          <w:lang w:val="es-ES" w:eastAsia="es-ES"/>
        </w:rPr>
      </w:pPr>
      <w:r w:rsidRPr="006942F9">
        <w:rPr>
          <w:rFonts w:ascii="Arial" w:hAnsi="Arial" w:cs="Arial"/>
          <w:lang w:val="es-ES" w:eastAsia="es-ES"/>
        </w:rPr>
        <w:t xml:space="preserve">La regulación debe mantenerse alineada con la realidad del sector que busca regular. Por esta razón, aun cuando las disposiciones regulatorias hayan sido diseñadas </w:t>
      </w:r>
      <w:r w:rsidRPr="006942F9">
        <w:rPr>
          <w:rFonts w:ascii="Arial" w:hAnsi="Arial" w:cs="Arial"/>
          <w:lang w:val="es-ES" w:eastAsia="es-ES"/>
        </w:rPr>
        <w:lastRenderedPageBreak/>
        <w:t>adecuadamente para atender las problemáticas existentes al momento de su expedición, resulta necesario evaluar periódicamente si su contenido continúa siendo suficiente para responder a las condiciones actuales de prestación del servicio y a los objetivos previstos en la Ley 142 de 1994.</w:t>
      </w:r>
    </w:p>
    <w:p w14:paraId="7A340E1C" w14:textId="77777777" w:rsidR="006942F9" w:rsidRPr="006942F9" w:rsidRDefault="006942F9" w:rsidP="00C177AE">
      <w:pPr>
        <w:pStyle w:val="NormalWeb"/>
        <w:spacing w:line="360" w:lineRule="auto"/>
        <w:jc w:val="both"/>
        <w:rPr>
          <w:rFonts w:ascii="Arial" w:hAnsi="Arial" w:cs="Arial"/>
          <w:lang w:val="es-ES" w:eastAsia="es-ES"/>
        </w:rPr>
      </w:pPr>
      <w:r w:rsidRPr="006942F9">
        <w:rPr>
          <w:rFonts w:ascii="Arial" w:hAnsi="Arial" w:cs="Arial"/>
          <w:lang w:val="es-ES" w:eastAsia="es-ES"/>
        </w:rPr>
        <w:t>En este contexto, el análisis de la adecuación de las normas no busca determinar si la regulación vigente fue correcta al momento de su expedición, sino establecer si los instrumentos regulatorios actualmente disponibles continúan siendo los más apropiados para atender los desafíos identificados en la prestación del servicio público domiciliario de GLP. En otras palabras, se trata de evaluar si las disposiciones vigentes conservan su capacidad para alcanzar los resultados esperados o si requieren ajustes para responder de manera más efectiva a las necesidades actuales de los usuarios y a la evolución del mercado.</w:t>
      </w:r>
    </w:p>
    <w:p w14:paraId="3A0E3F02" w14:textId="77777777" w:rsidR="006942F9" w:rsidRPr="006942F9" w:rsidRDefault="006942F9" w:rsidP="00C177AE">
      <w:pPr>
        <w:pStyle w:val="NormalWeb"/>
        <w:spacing w:line="360" w:lineRule="auto"/>
        <w:jc w:val="both"/>
        <w:rPr>
          <w:rFonts w:ascii="Arial" w:hAnsi="Arial" w:cs="Arial"/>
          <w:lang w:val="es-ES" w:eastAsia="es-ES"/>
        </w:rPr>
      </w:pPr>
      <w:r w:rsidRPr="006942F9">
        <w:rPr>
          <w:rFonts w:ascii="Arial" w:hAnsi="Arial" w:cs="Arial"/>
          <w:lang w:val="es-ES" w:eastAsia="es-ES"/>
        </w:rPr>
        <w:t>Los síntomas identificados en el diagnóstico permiten plantear este análisis. Las dificultades observadas para garantizar el cumplimiento de las condiciones técnicas y de seguridad previstas en la regulación, las limitaciones para realizar seguimiento a la prestación del servicio, la disponibilidad de información para los usuarios, la identificación del prestador responsable y la atención de peticiones, quejas, reclamos y recursos sugieren la conveniencia de evaluar si las obligaciones actualmente previstas continúan siendo suficientes para garantizar los niveles de calidad, seguridad, transparencia, información y protección que hoy requieren los usuarios.</w:t>
      </w:r>
    </w:p>
    <w:p w14:paraId="4F940CDD" w14:textId="77777777" w:rsidR="006942F9" w:rsidRPr="006942F9" w:rsidRDefault="006942F9" w:rsidP="00C177AE">
      <w:pPr>
        <w:pStyle w:val="NormalWeb"/>
        <w:spacing w:line="360" w:lineRule="auto"/>
        <w:jc w:val="both"/>
        <w:rPr>
          <w:rFonts w:ascii="Arial" w:hAnsi="Arial" w:cs="Arial"/>
          <w:lang w:val="es-ES" w:eastAsia="es-ES"/>
        </w:rPr>
      </w:pPr>
      <w:r w:rsidRPr="006942F9">
        <w:rPr>
          <w:rFonts w:ascii="Arial" w:hAnsi="Arial" w:cs="Arial"/>
          <w:lang w:val="es-ES" w:eastAsia="es-ES"/>
        </w:rPr>
        <w:t xml:space="preserve">Asimismo, las condiciones bajo las cuales actualmente se presta el servicio han evolucionado de manera significativa respecto de aquellas existentes cuando fueron expedidas varias de las disposiciones regulatorias vigentes. La mayor participación de las importaciones en el abastecimiento, los cambios en la estructura del mercado, el desarrollo de nuevas herramientas tecnológicas y la disponibilidad de mecanismos para el intercambio, gestión y verificación de información generan oportunidades para fortalecer el seguimiento a la prestación del servicio, mejorar la disponibilidad de información para los usuarios y robustecer los mecanismos de control y supervisión. En este sentido, resulta pertinente analizar si el marco regulatorio vigente incorpora de </w:t>
      </w:r>
      <w:r w:rsidRPr="006942F9">
        <w:rPr>
          <w:rFonts w:ascii="Arial" w:hAnsi="Arial" w:cs="Arial"/>
          <w:lang w:val="es-ES" w:eastAsia="es-ES"/>
        </w:rPr>
        <w:lastRenderedPageBreak/>
        <w:t>manera suficiente estas capacidades o si existen oportunidades para actualizar algunos de sus instrumentos.</w:t>
      </w:r>
    </w:p>
    <w:p w14:paraId="7DBE4BA7" w14:textId="77777777" w:rsidR="006942F9" w:rsidRPr="006942F9" w:rsidRDefault="006942F9" w:rsidP="00C177AE">
      <w:pPr>
        <w:pStyle w:val="NormalWeb"/>
        <w:spacing w:line="360" w:lineRule="auto"/>
        <w:jc w:val="both"/>
        <w:rPr>
          <w:rFonts w:ascii="Arial" w:hAnsi="Arial" w:cs="Arial"/>
          <w:lang w:val="es-ES" w:eastAsia="es-ES"/>
        </w:rPr>
      </w:pPr>
      <w:r w:rsidRPr="006942F9">
        <w:rPr>
          <w:rFonts w:ascii="Arial" w:hAnsi="Arial" w:cs="Arial"/>
          <w:lang w:val="es-ES" w:eastAsia="es-ES"/>
        </w:rPr>
        <w:t>Lo anterior no implica que las disposiciones regulatorias vigentes sean insuficientes o inadecuadas. Sin embargo, sí pone de manifiesto la conveniencia de evaluar si los instrumentos actualmente previstos por la regulación continúan siendo los más apropiados para responder a las necesidades actuales de los usuarios y a las condiciones bajo las cuales hoy se presta el servicio público domiciliario de GLP.</w:t>
      </w:r>
    </w:p>
    <w:p w14:paraId="08694FEA" w14:textId="77777777" w:rsidR="006942F9" w:rsidRPr="006942F9" w:rsidRDefault="006942F9" w:rsidP="00C177AE">
      <w:pPr>
        <w:pStyle w:val="NormalWeb"/>
        <w:spacing w:line="360" w:lineRule="auto"/>
        <w:jc w:val="both"/>
        <w:rPr>
          <w:rFonts w:ascii="Arial" w:hAnsi="Arial" w:cs="Arial"/>
          <w:lang w:val="es-ES" w:eastAsia="es-ES"/>
        </w:rPr>
      </w:pPr>
      <w:r w:rsidRPr="006942F9">
        <w:rPr>
          <w:rFonts w:ascii="Arial" w:hAnsi="Arial" w:cs="Arial"/>
          <w:lang w:val="es-ES" w:eastAsia="es-ES"/>
        </w:rPr>
        <w:t>En consecuencia, la adecuación de las normas a las condiciones actuales del mercado constituye un aspecto relevante dentro del análisis de las posibles fallas regulatorias, en la medida en que permite establecer si el marco regulatorio vigente continúa respondiendo de manera efectiva a las necesidades del sector o si requiere ajustes para atender la evolución del mercado y fortalecer la prestación del servicio.</w:t>
      </w:r>
    </w:p>
    <w:p w14:paraId="3C429F3E" w14:textId="27AB00A2" w:rsidR="00D67699" w:rsidRPr="00842608" w:rsidRDefault="00261023" w:rsidP="0066182C">
      <w:pPr>
        <w:pStyle w:val="Ttulo5"/>
        <w:numPr>
          <w:ilvl w:val="4"/>
          <w:numId w:val="1"/>
        </w:numPr>
        <w:spacing w:before="100" w:beforeAutospacing="1" w:after="100" w:afterAutospacing="1"/>
        <w:ind w:left="1985" w:hanging="1985"/>
      </w:pPr>
      <w:r w:rsidRPr="00842608">
        <w:t>Oportunidad de la regulación</w:t>
      </w:r>
    </w:p>
    <w:p w14:paraId="152E4CA8" w14:textId="77777777" w:rsidR="002166E5" w:rsidRPr="002166E5" w:rsidRDefault="002166E5" w:rsidP="0066182C">
      <w:pPr>
        <w:pStyle w:val="NormalWeb"/>
        <w:spacing w:line="360" w:lineRule="auto"/>
        <w:jc w:val="both"/>
        <w:rPr>
          <w:rFonts w:ascii="Arial" w:hAnsi="Arial" w:cs="Arial"/>
          <w:lang w:val="es-ES" w:eastAsia="es-ES"/>
        </w:rPr>
      </w:pPr>
      <w:r w:rsidRPr="002166E5">
        <w:rPr>
          <w:rFonts w:ascii="Arial" w:hAnsi="Arial" w:cs="Arial"/>
          <w:lang w:val="es-ES" w:eastAsia="es-ES"/>
        </w:rPr>
        <w:t>La revisión del marco regulatorio debe realizarse cuando exista evidencia suficiente para considerar que determinados instrumentos pueden requerir ajustes, actualización o una nueva evaluación frente a las condiciones actuales del sector. En este sentido, la oportunidad de la regulación no depende únicamente de la existencia de un problema identificado, sino también de que se cuente con información técnica y evidencia suficiente para valorar si una eventual revisión del marco regulatorio podría generar mejoras en la prestación del servicio y en la protección de los usuarios.</w:t>
      </w:r>
    </w:p>
    <w:p w14:paraId="2C3F8C2B" w14:textId="77777777" w:rsidR="002166E5" w:rsidRPr="002166E5" w:rsidRDefault="002166E5" w:rsidP="0066182C">
      <w:pPr>
        <w:pStyle w:val="NormalWeb"/>
        <w:spacing w:line="360" w:lineRule="auto"/>
        <w:jc w:val="both"/>
        <w:rPr>
          <w:rFonts w:ascii="Arial" w:hAnsi="Arial" w:cs="Arial"/>
          <w:lang w:val="es-ES" w:eastAsia="es-ES"/>
        </w:rPr>
      </w:pPr>
      <w:r w:rsidRPr="002166E5">
        <w:rPr>
          <w:rFonts w:ascii="Arial" w:hAnsi="Arial" w:cs="Arial"/>
          <w:lang w:val="es-ES" w:eastAsia="es-ES"/>
        </w:rPr>
        <w:t xml:space="preserve">En el caso del servicio público domiciliario de GLP, el presente Análisis de Impacto Normativo permitió recopilar información sobre las condiciones actuales de prestación del servicio, identificar síntomas asociados a las condiciones de calidad y seguridad, las limitaciones para realizar seguimiento a la prestación del servicio, la disponibilidad de información para los usuarios y la efectividad de los mecanismos de atención y protección de los usuarios, así como analizar las posibles fallas de mercado y regulatorias </w:t>
      </w:r>
      <w:r w:rsidRPr="002166E5">
        <w:rPr>
          <w:rFonts w:ascii="Arial" w:hAnsi="Arial" w:cs="Arial"/>
          <w:lang w:val="es-ES" w:eastAsia="es-ES"/>
        </w:rPr>
        <w:lastRenderedPageBreak/>
        <w:t>relacionadas con estos aspectos. Esta evidencia constituye un insumo relevante para valorar el desempeño de los instrumentos regulatorios actualmente vigentes.</w:t>
      </w:r>
    </w:p>
    <w:p w14:paraId="1CF11DDF" w14:textId="77777777" w:rsidR="002166E5" w:rsidRPr="002166E5" w:rsidRDefault="002166E5" w:rsidP="0066182C">
      <w:pPr>
        <w:pStyle w:val="NormalWeb"/>
        <w:spacing w:line="360" w:lineRule="auto"/>
        <w:jc w:val="both"/>
        <w:rPr>
          <w:rFonts w:ascii="Arial" w:hAnsi="Arial" w:cs="Arial"/>
          <w:lang w:val="es-ES" w:eastAsia="es-ES"/>
        </w:rPr>
      </w:pPr>
      <w:r w:rsidRPr="002166E5">
        <w:rPr>
          <w:rFonts w:ascii="Arial" w:hAnsi="Arial" w:cs="Arial"/>
          <w:lang w:val="es-ES" w:eastAsia="es-ES"/>
        </w:rPr>
        <w:t>La oportunidad de la revisión regulatoria también se sustenta en la experiencia acumulada durante la aplicación del marco regulatorio, en la información obtenida mediante los estudios técnicos desarrollados para la caracterización de la cadena de prestación del servicio público domiciliario de GLP y en la evolución que ha experimentado el mercado durante los últimos años. Estos elementos permiten evaluar de manera objetiva el funcionamiento de los instrumentos regulatorios, identificar oportunidades de mejora y valorar la conveniencia de su eventual actualización frente a las condiciones actuales del sector.</w:t>
      </w:r>
    </w:p>
    <w:p w14:paraId="6913BC17" w14:textId="77777777" w:rsidR="002166E5" w:rsidRPr="002166E5" w:rsidRDefault="002166E5" w:rsidP="0066182C">
      <w:pPr>
        <w:pStyle w:val="NormalWeb"/>
        <w:spacing w:line="360" w:lineRule="auto"/>
        <w:jc w:val="both"/>
        <w:rPr>
          <w:rFonts w:ascii="Arial" w:hAnsi="Arial" w:cs="Arial"/>
          <w:lang w:val="es-ES" w:eastAsia="es-ES"/>
        </w:rPr>
      </w:pPr>
      <w:r w:rsidRPr="002166E5">
        <w:rPr>
          <w:rFonts w:ascii="Arial" w:hAnsi="Arial" w:cs="Arial"/>
          <w:lang w:val="es-ES" w:eastAsia="es-ES"/>
        </w:rPr>
        <w:t>De igual manera, la Comisión adelanta actualmente una revisión integral de la cadena de prestación del servicio público domiciliario de GLP. Este ejercicio ofrece la posibilidad de analizar de manera articulada los diferentes componentes de la regulación, evaluar la interacción entre los distintos instrumentos regulatorios y fortalecer la coherencia del marco normativo aplicable al sector.</w:t>
      </w:r>
    </w:p>
    <w:p w14:paraId="3523B485" w14:textId="77777777" w:rsidR="002166E5" w:rsidRPr="002166E5" w:rsidRDefault="002166E5" w:rsidP="0066182C">
      <w:pPr>
        <w:pStyle w:val="NormalWeb"/>
        <w:spacing w:line="360" w:lineRule="auto"/>
        <w:jc w:val="both"/>
        <w:rPr>
          <w:rFonts w:ascii="Arial" w:hAnsi="Arial" w:cs="Arial"/>
          <w:lang w:val="es-ES" w:eastAsia="es-ES"/>
        </w:rPr>
      </w:pPr>
      <w:r w:rsidRPr="002166E5">
        <w:rPr>
          <w:rFonts w:ascii="Arial" w:hAnsi="Arial" w:cs="Arial"/>
          <w:lang w:val="es-ES" w:eastAsia="es-ES"/>
        </w:rPr>
        <w:t>Lo anterior no implica que las disposiciones regulatorias vigentes hayan perdido su validez o resulten insuficientes para cumplir los objetivos para los cuales fueron expedidas. Sin embargo, la evidencia recopilada durante el presente AIN permite concluir que existen elementos suficientes para evaluar si algunos instrumentos regulatorios pueden fortalecerse o ajustarse con el propósito de responder de manera más efectiva a las necesidades actuales de los usuarios y a la evolución del mercado.</w:t>
      </w:r>
    </w:p>
    <w:p w14:paraId="35D116F4" w14:textId="77777777" w:rsidR="002166E5" w:rsidRPr="002166E5" w:rsidRDefault="002166E5" w:rsidP="0066182C">
      <w:pPr>
        <w:pStyle w:val="NormalWeb"/>
        <w:spacing w:line="360" w:lineRule="auto"/>
        <w:jc w:val="both"/>
        <w:rPr>
          <w:rFonts w:ascii="Arial" w:hAnsi="Arial" w:cs="Arial"/>
          <w:lang w:val="es-ES" w:eastAsia="es-ES"/>
        </w:rPr>
      </w:pPr>
      <w:r w:rsidRPr="002166E5">
        <w:rPr>
          <w:rFonts w:ascii="Arial" w:hAnsi="Arial" w:cs="Arial"/>
          <w:lang w:val="es-ES" w:eastAsia="es-ES"/>
        </w:rPr>
        <w:t>En consecuencia, la evidencia técnica recopilada, la experiencia acumulada durante la aplicación del marco regulatorio, la evolución observada en el sector y el análisis integral que actualmente desarrolla la Comisión constituyen elementos suficientes para justificar la evaluación de alternativas regulatorias orientadas a fortalecer las condiciones de calidad y seguridad en la prestación del servicio, el seguimiento a la prestación del servicio, la disponibilidad de información para los usuarios y los mecanismos de atención y protección de los usuarios.</w:t>
      </w:r>
    </w:p>
    <w:p w14:paraId="38C0B09F" w14:textId="0B686C6B" w:rsidR="00862104" w:rsidRDefault="009B083A" w:rsidP="002F1961">
      <w:pPr>
        <w:pStyle w:val="isselectedend"/>
        <w:spacing w:line="360" w:lineRule="auto"/>
        <w:ind w:hanging="1"/>
        <w:jc w:val="both"/>
        <w:rPr>
          <w:rFonts w:ascii="Arial" w:hAnsi="Arial" w:cs="Arial"/>
          <w:lang w:val="es-ES_tradnl" w:eastAsia="es-ES"/>
        </w:rPr>
      </w:pPr>
      <w:r w:rsidRPr="009B083A">
        <w:rPr>
          <w:rFonts w:ascii="Arial" w:hAnsi="Arial" w:cs="Arial"/>
          <w:lang w:val="es-ES_tradnl" w:eastAsia="es-ES"/>
        </w:rPr>
        <w:lastRenderedPageBreak/>
        <w:t xml:space="preserve">A diferencia de las fallas de mercado, cuyo análisis se orientó a explicar cada uno de los síntomas identificados, las fallas regulatorias se evalúan respecto del conjunto del eje temático, en la medida en que se relacionan con el diseño, implementación y actualización del marco regulatorio que rige la prestación del servicio. Por esta razón, su análisis tiene un carácter transversal y no se limita a un síntoma en particular. </w:t>
      </w:r>
      <w:r w:rsidRPr="007533C2">
        <w:rPr>
          <w:rFonts w:ascii="Arial" w:hAnsi="Arial" w:cs="Arial"/>
          <w:lang w:val="es-ES_tradnl" w:eastAsia="es-ES"/>
        </w:rPr>
        <w:t>La</w:t>
      </w:r>
      <w:r w:rsidR="007533C2" w:rsidRPr="007533C2">
        <w:rPr>
          <w:rFonts w:ascii="Arial" w:hAnsi="Arial" w:cs="Arial"/>
          <w:lang w:val="es-ES_tradnl" w:eastAsia="es-ES"/>
        </w:rPr>
        <w:t xml:space="preserve"> </w:t>
      </w:r>
      <w:r w:rsidR="007533C2" w:rsidRPr="007533C2">
        <w:rPr>
          <w:rFonts w:ascii="Arial" w:hAnsi="Arial" w:cs="Arial"/>
          <w:lang w:val="es-ES_tradnl" w:eastAsia="es-ES"/>
        </w:rPr>
        <w:fldChar w:fldCharType="begin"/>
      </w:r>
      <w:r w:rsidR="007533C2" w:rsidRPr="007533C2">
        <w:rPr>
          <w:rFonts w:ascii="Arial" w:hAnsi="Arial" w:cs="Arial"/>
          <w:lang w:val="es-ES_tradnl" w:eastAsia="es-ES"/>
        </w:rPr>
        <w:instrText xml:space="preserve"> REF _Ref235113495 \h  \* MERGEFORMAT </w:instrText>
      </w:r>
      <w:r w:rsidR="007533C2" w:rsidRPr="007533C2">
        <w:rPr>
          <w:rFonts w:ascii="Arial" w:hAnsi="Arial" w:cs="Arial"/>
          <w:lang w:val="es-ES_tradnl" w:eastAsia="es-ES"/>
        </w:rPr>
      </w:r>
      <w:r w:rsidR="007533C2" w:rsidRPr="007533C2">
        <w:rPr>
          <w:rFonts w:ascii="Arial" w:hAnsi="Arial" w:cs="Arial"/>
          <w:lang w:val="es-ES_tradnl" w:eastAsia="es-ES"/>
        </w:rPr>
        <w:fldChar w:fldCharType="separate"/>
      </w:r>
      <w:r w:rsidR="007533C2" w:rsidRPr="007533C2">
        <w:rPr>
          <w:rFonts w:ascii="Arial" w:hAnsi="Arial" w:cs="Arial"/>
        </w:rPr>
        <w:t xml:space="preserve">Tabla </w:t>
      </w:r>
      <w:r w:rsidR="007533C2" w:rsidRPr="007533C2">
        <w:rPr>
          <w:rFonts w:ascii="Arial" w:hAnsi="Arial" w:cs="Arial"/>
          <w:noProof/>
        </w:rPr>
        <w:t>11</w:t>
      </w:r>
      <w:r w:rsidR="007533C2" w:rsidRPr="007533C2">
        <w:rPr>
          <w:rFonts w:ascii="Arial" w:hAnsi="Arial" w:cs="Arial"/>
          <w:lang w:val="es-ES_tradnl" w:eastAsia="es-ES"/>
        </w:rPr>
        <w:fldChar w:fldCharType="end"/>
      </w:r>
      <w:r w:rsidRPr="009B083A">
        <w:rPr>
          <w:rFonts w:ascii="Arial" w:hAnsi="Arial" w:cs="Arial"/>
          <w:lang w:val="es-ES_tradnl" w:eastAsia="es-ES"/>
        </w:rPr>
        <w:t xml:space="preserve"> resume los principales resultados de esta evaluación</w:t>
      </w:r>
      <w:r w:rsidR="00862104" w:rsidRPr="00862104">
        <w:rPr>
          <w:rFonts w:ascii="Arial" w:hAnsi="Arial" w:cs="Arial"/>
          <w:lang w:val="es-ES_tradnl" w:eastAsia="es-ES"/>
        </w:rPr>
        <w:t>.</w:t>
      </w:r>
    </w:p>
    <w:p w14:paraId="2AE8531A" w14:textId="5FBC4269" w:rsidR="008426AC" w:rsidRPr="007533C2" w:rsidRDefault="008426AC" w:rsidP="007533C2">
      <w:pPr>
        <w:pStyle w:val="Descripcin"/>
        <w:jc w:val="center"/>
        <w:rPr>
          <w:rFonts w:cs="Arial"/>
          <w:b w:val="0"/>
          <w:szCs w:val="24"/>
        </w:rPr>
      </w:pPr>
      <w:bookmarkStart w:id="191" w:name="_Ref235113495"/>
      <w:bookmarkStart w:id="192" w:name="_Toc235128408"/>
      <w:r w:rsidRPr="007533C2">
        <w:rPr>
          <w:b w:val="0"/>
          <w:szCs w:val="24"/>
        </w:rPr>
        <w:t xml:space="preserve">Tabla </w:t>
      </w:r>
      <w:r w:rsidR="007533C2" w:rsidRPr="007533C2">
        <w:rPr>
          <w:b w:val="0"/>
          <w:bCs/>
          <w:szCs w:val="24"/>
        </w:rPr>
        <w:fldChar w:fldCharType="begin"/>
      </w:r>
      <w:r w:rsidR="007533C2" w:rsidRPr="007533C2">
        <w:rPr>
          <w:b w:val="0"/>
          <w:bCs/>
          <w:szCs w:val="24"/>
        </w:rPr>
        <w:instrText xml:space="preserve"> SEQ Tabla \* ARABIC </w:instrText>
      </w:r>
      <w:r w:rsidR="007533C2" w:rsidRPr="007533C2">
        <w:rPr>
          <w:b w:val="0"/>
          <w:bCs/>
          <w:szCs w:val="24"/>
        </w:rPr>
        <w:fldChar w:fldCharType="separate"/>
      </w:r>
      <w:r w:rsidR="007533C2" w:rsidRPr="007533C2">
        <w:rPr>
          <w:b w:val="0"/>
          <w:bCs/>
          <w:noProof/>
          <w:szCs w:val="24"/>
        </w:rPr>
        <w:t>11</w:t>
      </w:r>
      <w:r w:rsidR="007533C2" w:rsidRPr="007533C2">
        <w:rPr>
          <w:b w:val="0"/>
          <w:bCs/>
          <w:szCs w:val="24"/>
        </w:rPr>
        <w:fldChar w:fldCharType="end"/>
      </w:r>
      <w:bookmarkEnd w:id="191"/>
      <w:r w:rsidR="007533C2" w:rsidRPr="007533C2">
        <w:rPr>
          <w:b w:val="0"/>
          <w:bCs/>
          <w:szCs w:val="24"/>
        </w:rPr>
        <w:t>.</w:t>
      </w:r>
      <w:r w:rsidRPr="007533C2">
        <w:rPr>
          <w:b w:val="0"/>
          <w:szCs w:val="24"/>
        </w:rPr>
        <w:t xml:space="preserve"> </w:t>
      </w:r>
      <w:r w:rsidRPr="007533C2">
        <w:rPr>
          <w:rFonts w:cs="Arial"/>
          <w:b w:val="0"/>
          <w:szCs w:val="24"/>
        </w:rPr>
        <w:t>Resultados del análisis de las fallas regulatorias para el eje de prestación del servicio</w:t>
      </w:r>
      <w:bookmarkEnd w:id="192"/>
    </w:p>
    <w:tbl>
      <w:tblPr>
        <w:tblStyle w:val="Tablaconcuadrcula"/>
        <w:tblW w:w="0" w:type="auto"/>
        <w:tblLook w:val="04A0" w:firstRow="1" w:lastRow="0" w:firstColumn="1" w:lastColumn="0" w:noHBand="0" w:noVBand="1"/>
      </w:tblPr>
      <w:tblGrid>
        <w:gridCol w:w="1722"/>
        <w:gridCol w:w="1375"/>
        <w:gridCol w:w="6299"/>
      </w:tblGrid>
      <w:tr w:rsidR="00A92EA3" w:rsidRPr="009D7D8B" w14:paraId="7367E0F2" w14:textId="77777777" w:rsidTr="009D7D8B">
        <w:trPr>
          <w:tblHeader/>
        </w:trPr>
        <w:tc>
          <w:tcPr>
            <w:tcW w:w="0" w:type="auto"/>
            <w:vAlign w:val="center"/>
            <w:hideMark/>
          </w:tcPr>
          <w:p w14:paraId="342EC691" w14:textId="77777777" w:rsidR="00A92EA3" w:rsidRPr="009D7D8B" w:rsidRDefault="00A92EA3" w:rsidP="002F1961">
            <w:pPr>
              <w:pStyle w:val="isselectedend"/>
              <w:spacing w:line="360" w:lineRule="auto"/>
              <w:ind w:hanging="1"/>
              <w:jc w:val="center"/>
              <w:rPr>
                <w:rFonts w:ascii="Arial" w:hAnsi="Arial" w:cs="Arial"/>
                <w:b/>
                <w:bCs/>
                <w:sz w:val="20"/>
                <w:szCs w:val="20"/>
              </w:rPr>
            </w:pPr>
            <w:r w:rsidRPr="009D7D8B">
              <w:rPr>
                <w:rFonts w:ascii="Arial" w:hAnsi="Arial" w:cs="Arial"/>
                <w:b/>
                <w:bCs/>
                <w:sz w:val="20"/>
                <w:szCs w:val="20"/>
              </w:rPr>
              <w:t>Falla regulatoria</w:t>
            </w:r>
          </w:p>
        </w:tc>
        <w:tc>
          <w:tcPr>
            <w:tcW w:w="0" w:type="auto"/>
            <w:vAlign w:val="center"/>
            <w:hideMark/>
          </w:tcPr>
          <w:p w14:paraId="018478A1" w14:textId="77777777" w:rsidR="00A92EA3" w:rsidRPr="009D7D8B" w:rsidRDefault="00A92EA3" w:rsidP="002F1961">
            <w:pPr>
              <w:pStyle w:val="isselectedend"/>
              <w:spacing w:line="360" w:lineRule="auto"/>
              <w:ind w:hanging="1"/>
              <w:jc w:val="center"/>
              <w:rPr>
                <w:rFonts w:ascii="Arial" w:hAnsi="Arial" w:cs="Arial"/>
                <w:b/>
                <w:bCs/>
                <w:sz w:val="20"/>
                <w:szCs w:val="20"/>
              </w:rPr>
            </w:pPr>
            <w:r w:rsidRPr="009D7D8B">
              <w:rPr>
                <w:rFonts w:ascii="Arial" w:hAnsi="Arial" w:cs="Arial"/>
                <w:b/>
                <w:bCs/>
                <w:sz w:val="20"/>
                <w:szCs w:val="20"/>
              </w:rPr>
              <w:t>Resultado del análisis</w:t>
            </w:r>
          </w:p>
        </w:tc>
        <w:tc>
          <w:tcPr>
            <w:tcW w:w="0" w:type="auto"/>
            <w:vAlign w:val="center"/>
            <w:hideMark/>
          </w:tcPr>
          <w:p w14:paraId="521464B2" w14:textId="77777777" w:rsidR="00A92EA3" w:rsidRPr="009D7D8B" w:rsidRDefault="00A92EA3" w:rsidP="002F1961">
            <w:pPr>
              <w:pStyle w:val="isselectedend"/>
              <w:spacing w:line="360" w:lineRule="auto"/>
              <w:ind w:hanging="1"/>
              <w:jc w:val="center"/>
              <w:rPr>
                <w:rFonts w:ascii="Arial" w:hAnsi="Arial" w:cs="Arial"/>
                <w:b/>
                <w:bCs/>
                <w:sz w:val="20"/>
                <w:szCs w:val="20"/>
              </w:rPr>
            </w:pPr>
            <w:r w:rsidRPr="009D7D8B">
              <w:rPr>
                <w:rFonts w:ascii="Arial" w:hAnsi="Arial" w:cs="Arial"/>
                <w:b/>
                <w:bCs/>
                <w:sz w:val="20"/>
                <w:szCs w:val="20"/>
              </w:rPr>
              <w:t>Justificación</w:t>
            </w:r>
          </w:p>
        </w:tc>
      </w:tr>
      <w:tr w:rsidR="00A92EA3" w:rsidRPr="009D7D8B" w14:paraId="6A952B88" w14:textId="77777777" w:rsidTr="009D7D8B">
        <w:tc>
          <w:tcPr>
            <w:tcW w:w="0" w:type="auto"/>
            <w:vAlign w:val="center"/>
            <w:hideMark/>
          </w:tcPr>
          <w:p w14:paraId="732D98E0" w14:textId="77777777" w:rsidR="00A92EA3" w:rsidRPr="009D7D8B" w:rsidRDefault="00A92EA3" w:rsidP="002F1961">
            <w:pPr>
              <w:pStyle w:val="isselectedend"/>
              <w:spacing w:line="360" w:lineRule="auto"/>
              <w:ind w:hanging="1"/>
              <w:rPr>
                <w:rFonts w:ascii="Arial" w:hAnsi="Arial" w:cs="Arial"/>
                <w:sz w:val="20"/>
                <w:szCs w:val="20"/>
              </w:rPr>
            </w:pPr>
            <w:r w:rsidRPr="009D7D8B">
              <w:rPr>
                <w:rFonts w:ascii="Arial" w:hAnsi="Arial" w:cs="Arial"/>
                <w:sz w:val="20"/>
                <w:szCs w:val="20"/>
              </w:rPr>
              <w:t>Origen de las normas</w:t>
            </w:r>
          </w:p>
        </w:tc>
        <w:tc>
          <w:tcPr>
            <w:tcW w:w="0" w:type="auto"/>
            <w:vAlign w:val="center"/>
            <w:hideMark/>
          </w:tcPr>
          <w:p w14:paraId="374EB80C" w14:textId="77777777" w:rsidR="00A92EA3" w:rsidRPr="009D7D8B" w:rsidRDefault="00A92EA3" w:rsidP="002F1961">
            <w:pPr>
              <w:pStyle w:val="isselectedend"/>
              <w:spacing w:line="360" w:lineRule="auto"/>
              <w:ind w:hanging="1"/>
              <w:jc w:val="center"/>
              <w:rPr>
                <w:rFonts w:ascii="Arial" w:hAnsi="Arial" w:cs="Arial"/>
                <w:sz w:val="20"/>
                <w:szCs w:val="20"/>
              </w:rPr>
            </w:pPr>
            <w:r w:rsidRPr="009D7D8B">
              <w:rPr>
                <w:rFonts w:ascii="Segoe UI Emoji" w:hAnsi="Segoe UI Emoji" w:cs="Segoe UI Emoji"/>
                <w:sz w:val="20"/>
                <w:szCs w:val="20"/>
              </w:rPr>
              <w:t>✅</w:t>
            </w:r>
          </w:p>
        </w:tc>
        <w:tc>
          <w:tcPr>
            <w:tcW w:w="0" w:type="auto"/>
            <w:vAlign w:val="center"/>
            <w:hideMark/>
          </w:tcPr>
          <w:p w14:paraId="61F762C6" w14:textId="77777777" w:rsidR="00A92EA3" w:rsidRPr="009D7D8B" w:rsidRDefault="00A92EA3" w:rsidP="002F1961">
            <w:pPr>
              <w:pStyle w:val="isselectedend"/>
              <w:spacing w:line="360" w:lineRule="auto"/>
              <w:ind w:hanging="1"/>
              <w:jc w:val="both"/>
              <w:rPr>
                <w:rFonts w:ascii="Arial" w:hAnsi="Arial" w:cs="Arial"/>
                <w:sz w:val="20"/>
                <w:szCs w:val="20"/>
              </w:rPr>
            </w:pPr>
            <w:r w:rsidRPr="009D7D8B">
              <w:rPr>
                <w:rFonts w:ascii="Arial" w:hAnsi="Arial" w:cs="Arial"/>
                <w:sz w:val="20"/>
                <w:szCs w:val="20"/>
              </w:rPr>
              <w:t>Las problemáticas que dieron origen a la regulación guardan relación con los síntomas actualmente identificados, particularmente aquellos relacionados con las condiciones de calidad y seguridad, el seguimiento a la prestación del servicio, la disponibilidad de información para los usuarios y los mecanismos de atención y protección de los usuarios.</w:t>
            </w:r>
          </w:p>
        </w:tc>
      </w:tr>
      <w:tr w:rsidR="00A92EA3" w:rsidRPr="009D7D8B" w14:paraId="07A55635" w14:textId="77777777" w:rsidTr="009D7D8B">
        <w:tc>
          <w:tcPr>
            <w:tcW w:w="0" w:type="auto"/>
            <w:vAlign w:val="center"/>
            <w:hideMark/>
          </w:tcPr>
          <w:p w14:paraId="77B3E5EE" w14:textId="77777777" w:rsidR="00A92EA3" w:rsidRPr="009D7D8B" w:rsidRDefault="00A92EA3" w:rsidP="002F1961">
            <w:pPr>
              <w:pStyle w:val="isselectedend"/>
              <w:spacing w:line="360" w:lineRule="auto"/>
              <w:ind w:hanging="1"/>
              <w:rPr>
                <w:rFonts w:ascii="Arial" w:hAnsi="Arial" w:cs="Arial"/>
                <w:sz w:val="20"/>
                <w:szCs w:val="20"/>
              </w:rPr>
            </w:pPr>
            <w:r w:rsidRPr="009D7D8B">
              <w:rPr>
                <w:rFonts w:ascii="Arial" w:hAnsi="Arial" w:cs="Arial"/>
                <w:sz w:val="20"/>
                <w:szCs w:val="20"/>
              </w:rPr>
              <w:t>Implementación</w:t>
            </w:r>
          </w:p>
        </w:tc>
        <w:tc>
          <w:tcPr>
            <w:tcW w:w="0" w:type="auto"/>
            <w:vAlign w:val="center"/>
            <w:hideMark/>
          </w:tcPr>
          <w:p w14:paraId="4B88E062" w14:textId="77777777" w:rsidR="00A92EA3" w:rsidRPr="009D7D8B" w:rsidRDefault="00A92EA3" w:rsidP="002F1961">
            <w:pPr>
              <w:pStyle w:val="isselectedend"/>
              <w:spacing w:line="360" w:lineRule="auto"/>
              <w:ind w:hanging="1"/>
              <w:jc w:val="center"/>
              <w:rPr>
                <w:rFonts w:ascii="Arial" w:hAnsi="Arial" w:cs="Arial"/>
                <w:sz w:val="20"/>
                <w:szCs w:val="20"/>
              </w:rPr>
            </w:pPr>
            <w:r w:rsidRPr="009D7D8B">
              <w:rPr>
                <w:rFonts w:ascii="Cambria Math" w:hAnsi="Cambria Math" w:cs="Cambria Math"/>
                <w:sz w:val="20"/>
                <w:szCs w:val="20"/>
              </w:rPr>
              <w:t>◐</w:t>
            </w:r>
          </w:p>
        </w:tc>
        <w:tc>
          <w:tcPr>
            <w:tcW w:w="0" w:type="auto"/>
            <w:vAlign w:val="center"/>
            <w:hideMark/>
          </w:tcPr>
          <w:p w14:paraId="5D14F26E" w14:textId="77777777" w:rsidR="00A92EA3" w:rsidRPr="009D7D8B" w:rsidRDefault="00A92EA3" w:rsidP="002F1961">
            <w:pPr>
              <w:pStyle w:val="isselectedend"/>
              <w:spacing w:line="360" w:lineRule="auto"/>
              <w:ind w:hanging="1"/>
              <w:jc w:val="both"/>
              <w:rPr>
                <w:rFonts w:ascii="Arial" w:hAnsi="Arial" w:cs="Arial"/>
                <w:sz w:val="20"/>
                <w:szCs w:val="20"/>
              </w:rPr>
            </w:pPr>
            <w:r w:rsidRPr="009D7D8B">
              <w:rPr>
                <w:rFonts w:ascii="Arial" w:hAnsi="Arial" w:cs="Arial"/>
                <w:sz w:val="20"/>
                <w:szCs w:val="20"/>
              </w:rPr>
              <w:t>Existen elementos que justifican revisar el grado de implementación de algunas obligaciones regulatorias, particularmente aquellas relacionadas con las condiciones de calidad y seguridad, el seguimiento a la prestación del servicio, la disponibilidad de información para los usuarios y los mecanismos de atención y protección, sin que la evidencia permita concluir la existencia de incumplimientos generalizados del marco regulatorio.</w:t>
            </w:r>
          </w:p>
        </w:tc>
      </w:tr>
      <w:tr w:rsidR="00A92EA3" w:rsidRPr="009D7D8B" w14:paraId="30E46B64" w14:textId="77777777" w:rsidTr="009D7D8B">
        <w:tc>
          <w:tcPr>
            <w:tcW w:w="0" w:type="auto"/>
            <w:vAlign w:val="center"/>
            <w:hideMark/>
          </w:tcPr>
          <w:p w14:paraId="6CE8E679" w14:textId="77777777" w:rsidR="00A92EA3" w:rsidRPr="009D7D8B" w:rsidRDefault="00A92EA3" w:rsidP="002F1961">
            <w:pPr>
              <w:pStyle w:val="isselectedend"/>
              <w:spacing w:line="360" w:lineRule="auto"/>
              <w:ind w:hanging="1"/>
              <w:rPr>
                <w:rFonts w:ascii="Arial" w:hAnsi="Arial" w:cs="Arial"/>
                <w:sz w:val="20"/>
                <w:szCs w:val="20"/>
              </w:rPr>
            </w:pPr>
            <w:r w:rsidRPr="009D7D8B">
              <w:rPr>
                <w:rFonts w:ascii="Arial" w:hAnsi="Arial" w:cs="Arial"/>
                <w:sz w:val="20"/>
                <w:szCs w:val="20"/>
              </w:rPr>
              <w:t>Adecuación</w:t>
            </w:r>
          </w:p>
        </w:tc>
        <w:tc>
          <w:tcPr>
            <w:tcW w:w="0" w:type="auto"/>
            <w:vAlign w:val="center"/>
            <w:hideMark/>
          </w:tcPr>
          <w:p w14:paraId="3DDEAB24" w14:textId="77777777" w:rsidR="00A92EA3" w:rsidRPr="009D7D8B" w:rsidRDefault="00A92EA3" w:rsidP="002F1961">
            <w:pPr>
              <w:pStyle w:val="isselectedend"/>
              <w:spacing w:line="360" w:lineRule="auto"/>
              <w:ind w:hanging="1"/>
              <w:jc w:val="center"/>
              <w:rPr>
                <w:rFonts w:ascii="Arial" w:hAnsi="Arial" w:cs="Arial"/>
                <w:sz w:val="20"/>
                <w:szCs w:val="20"/>
              </w:rPr>
            </w:pPr>
            <w:r w:rsidRPr="009D7D8B">
              <w:rPr>
                <w:rFonts w:ascii="Segoe UI Emoji" w:hAnsi="Segoe UI Emoji" w:cs="Segoe UI Emoji"/>
                <w:sz w:val="20"/>
                <w:szCs w:val="20"/>
              </w:rPr>
              <w:t>✅</w:t>
            </w:r>
          </w:p>
        </w:tc>
        <w:tc>
          <w:tcPr>
            <w:tcW w:w="0" w:type="auto"/>
            <w:vAlign w:val="center"/>
            <w:hideMark/>
          </w:tcPr>
          <w:p w14:paraId="22584F3C" w14:textId="77777777" w:rsidR="00A92EA3" w:rsidRPr="009D7D8B" w:rsidRDefault="00A92EA3" w:rsidP="002F1961">
            <w:pPr>
              <w:pStyle w:val="isselectedend"/>
              <w:spacing w:line="360" w:lineRule="auto"/>
              <w:ind w:hanging="1"/>
              <w:jc w:val="both"/>
              <w:rPr>
                <w:rFonts w:ascii="Arial" w:hAnsi="Arial" w:cs="Arial"/>
                <w:sz w:val="20"/>
                <w:szCs w:val="20"/>
              </w:rPr>
            </w:pPr>
            <w:r w:rsidRPr="009D7D8B">
              <w:rPr>
                <w:rFonts w:ascii="Arial" w:hAnsi="Arial" w:cs="Arial"/>
                <w:sz w:val="20"/>
                <w:szCs w:val="20"/>
              </w:rPr>
              <w:t>La evolución del mercado, de las modalidades de prestación y de las tecnologías hace pertinente evaluar si las obligaciones vigentes continúan siendo suficientes para responder a las condiciones actuales del sector y garantizar la calidad, la seguridad, la transparencia y la protección de los usuarios.</w:t>
            </w:r>
          </w:p>
        </w:tc>
      </w:tr>
      <w:tr w:rsidR="00A92EA3" w:rsidRPr="009D7D8B" w14:paraId="209241FA" w14:textId="77777777" w:rsidTr="009D7D8B">
        <w:tc>
          <w:tcPr>
            <w:tcW w:w="0" w:type="auto"/>
            <w:vAlign w:val="center"/>
            <w:hideMark/>
          </w:tcPr>
          <w:p w14:paraId="45F8B6D1" w14:textId="77777777" w:rsidR="00A92EA3" w:rsidRPr="009D7D8B" w:rsidRDefault="00A92EA3" w:rsidP="002F1961">
            <w:pPr>
              <w:pStyle w:val="isselectedend"/>
              <w:spacing w:line="360" w:lineRule="auto"/>
              <w:ind w:hanging="1"/>
              <w:rPr>
                <w:rFonts w:ascii="Arial" w:hAnsi="Arial" w:cs="Arial"/>
                <w:sz w:val="20"/>
                <w:szCs w:val="20"/>
              </w:rPr>
            </w:pPr>
            <w:r w:rsidRPr="009D7D8B">
              <w:rPr>
                <w:rFonts w:ascii="Arial" w:hAnsi="Arial" w:cs="Arial"/>
                <w:sz w:val="20"/>
                <w:szCs w:val="20"/>
              </w:rPr>
              <w:t>Oportunidad</w:t>
            </w:r>
          </w:p>
        </w:tc>
        <w:tc>
          <w:tcPr>
            <w:tcW w:w="0" w:type="auto"/>
            <w:vAlign w:val="center"/>
            <w:hideMark/>
          </w:tcPr>
          <w:p w14:paraId="718A4172" w14:textId="77777777" w:rsidR="00A92EA3" w:rsidRPr="009D7D8B" w:rsidRDefault="00A92EA3" w:rsidP="002F1961">
            <w:pPr>
              <w:pStyle w:val="isselectedend"/>
              <w:spacing w:line="360" w:lineRule="auto"/>
              <w:ind w:hanging="1"/>
              <w:jc w:val="center"/>
              <w:rPr>
                <w:rFonts w:ascii="Arial" w:hAnsi="Arial" w:cs="Arial"/>
                <w:sz w:val="20"/>
                <w:szCs w:val="20"/>
              </w:rPr>
            </w:pPr>
            <w:r w:rsidRPr="009D7D8B">
              <w:rPr>
                <w:rFonts w:ascii="Segoe UI Emoji" w:hAnsi="Segoe UI Emoji" w:cs="Segoe UI Emoji"/>
                <w:sz w:val="20"/>
                <w:szCs w:val="20"/>
              </w:rPr>
              <w:t>✅</w:t>
            </w:r>
          </w:p>
        </w:tc>
        <w:tc>
          <w:tcPr>
            <w:tcW w:w="0" w:type="auto"/>
            <w:vAlign w:val="center"/>
            <w:hideMark/>
          </w:tcPr>
          <w:p w14:paraId="5FFDA43B" w14:textId="77777777" w:rsidR="00A92EA3" w:rsidRPr="009D7D8B" w:rsidRDefault="00A92EA3" w:rsidP="002F1961">
            <w:pPr>
              <w:pStyle w:val="isselectedend"/>
              <w:spacing w:line="360" w:lineRule="auto"/>
              <w:ind w:hanging="1"/>
              <w:jc w:val="both"/>
              <w:rPr>
                <w:rFonts w:ascii="Arial" w:hAnsi="Arial" w:cs="Arial"/>
                <w:sz w:val="20"/>
                <w:szCs w:val="20"/>
              </w:rPr>
            </w:pPr>
            <w:r w:rsidRPr="009D7D8B">
              <w:rPr>
                <w:rFonts w:ascii="Arial" w:hAnsi="Arial" w:cs="Arial"/>
                <w:sz w:val="20"/>
                <w:szCs w:val="20"/>
              </w:rPr>
              <w:t>La evidencia recopilada durante el presente AIN, junto con la evolución del mercado y la revisión integral adelantada por la Comisión, justifican la evaluación de posibles ajustes al marco regulatorio vigente.</w:t>
            </w:r>
          </w:p>
        </w:tc>
      </w:tr>
    </w:tbl>
    <w:p w14:paraId="3D40077D" w14:textId="5892DFB5" w:rsidR="008426AC" w:rsidRPr="0066182C" w:rsidRDefault="008426AC" w:rsidP="002B6122">
      <w:pPr>
        <w:spacing w:before="100" w:beforeAutospacing="1" w:after="100" w:afterAutospacing="1" w:line="360" w:lineRule="auto"/>
        <w:jc w:val="center"/>
        <w:rPr>
          <w:sz w:val="22"/>
          <w:szCs w:val="22"/>
        </w:rPr>
      </w:pPr>
      <w:r w:rsidRPr="0066182C">
        <w:rPr>
          <w:rFonts w:cs="Arial"/>
          <w:sz w:val="22"/>
          <w:szCs w:val="22"/>
        </w:rPr>
        <w:t>Elaboración</w:t>
      </w:r>
      <w:r w:rsidR="0091118A" w:rsidRPr="0066182C">
        <w:rPr>
          <w:rFonts w:cs="Arial"/>
          <w:sz w:val="22"/>
          <w:szCs w:val="22"/>
        </w:rPr>
        <w:t>: CREG</w:t>
      </w:r>
    </w:p>
    <w:p w14:paraId="21B225EA" w14:textId="347FEA34" w:rsidR="005768C1" w:rsidRPr="00BB46F5" w:rsidRDefault="005768C1" w:rsidP="002F1961">
      <w:pPr>
        <w:pStyle w:val="NormalWeb"/>
        <w:spacing w:line="360" w:lineRule="auto"/>
        <w:jc w:val="both"/>
        <w:rPr>
          <w:rFonts w:ascii="Arial" w:hAnsi="Arial" w:cs="Arial"/>
          <w:b/>
          <w:bCs/>
          <w:sz w:val="20"/>
          <w:szCs w:val="20"/>
        </w:rPr>
      </w:pPr>
      <w:r w:rsidRPr="00BB46F5">
        <w:rPr>
          <w:rFonts w:ascii="Arial" w:hAnsi="Arial" w:cs="Arial"/>
          <w:b/>
          <w:bCs/>
          <w:sz w:val="20"/>
          <w:szCs w:val="20"/>
        </w:rPr>
        <w:lastRenderedPageBreak/>
        <w:t>Convenciones:</w:t>
      </w:r>
    </w:p>
    <w:p w14:paraId="4A65424C" w14:textId="3ECDBD37" w:rsidR="005768C1" w:rsidRPr="00BB46F5" w:rsidRDefault="005768C1" w:rsidP="00F6359B">
      <w:pPr>
        <w:pStyle w:val="NormalWeb"/>
        <w:spacing w:after="0" w:afterAutospacing="0" w:line="360" w:lineRule="auto"/>
        <w:ind w:left="720"/>
        <w:jc w:val="both"/>
        <w:rPr>
          <w:rFonts w:ascii="Arial" w:hAnsi="Arial" w:cs="Arial"/>
          <w:sz w:val="20"/>
          <w:szCs w:val="20"/>
        </w:rPr>
      </w:pPr>
      <w:r w:rsidRPr="00BB46F5">
        <w:rPr>
          <w:rFonts w:ascii="Segoe UI Emoji" w:hAnsi="Segoe UI Emoji" w:cs="Segoe UI Emoji"/>
          <w:b/>
          <w:bCs/>
          <w:sz w:val="20"/>
          <w:szCs w:val="20"/>
        </w:rPr>
        <w:t>✅</w:t>
      </w:r>
      <w:r w:rsidRPr="00BB46F5">
        <w:rPr>
          <w:rFonts w:ascii="Arial" w:hAnsi="Arial" w:cs="Arial"/>
          <w:b/>
          <w:bCs/>
          <w:sz w:val="20"/>
          <w:szCs w:val="20"/>
        </w:rPr>
        <w:t xml:space="preserve"> </w:t>
      </w:r>
      <w:r w:rsidRPr="005768C1">
        <w:rPr>
          <w:rFonts w:ascii="Arial" w:hAnsi="Arial" w:cs="Arial"/>
          <w:sz w:val="20"/>
          <w:szCs w:val="20"/>
        </w:rPr>
        <w:t>Se identifica evidencia suficiente para considerar la existencia de la falla regulatoria o justificar su evaluación.</w:t>
      </w:r>
      <w:r w:rsidRPr="00BB46F5">
        <w:rPr>
          <w:rFonts w:ascii="Arial" w:hAnsi="Arial" w:cs="Arial"/>
          <w:sz w:val="20"/>
          <w:szCs w:val="20"/>
        </w:rPr>
        <w:t xml:space="preserve"> </w:t>
      </w:r>
    </w:p>
    <w:p w14:paraId="29AD319B" w14:textId="7D1648C6" w:rsidR="005768C1" w:rsidRPr="005768C1" w:rsidRDefault="005768C1" w:rsidP="00F6359B">
      <w:pPr>
        <w:pStyle w:val="NormalWeb"/>
        <w:spacing w:before="0" w:beforeAutospacing="0" w:after="0" w:afterAutospacing="0" w:line="360" w:lineRule="auto"/>
        <w:ind w:left="720"/>
        <w:jc w:val="both"/>
        <w:rPr>
          <w:rFonts w:ascii="Arial" w:hAnsi="Arial" w:cs="Arial"/>
          <w:sz w:val="20"/>
          <w:szCs w:val="20"/>
        </w:rPr>
      </w:pPr>
      <w:r w:rsidRPr="005768C1">
        <w:rPr>
          <w:rFonts w:ascii="Cambria Math" w:hAnsi="Cambria Math" w:cs="Cambria Math"/>
          <w:sz w:val="20"/>
          <w:szCs w:val="20"/>
        </w:rPr>
        <w:t>◐</w:t>
      </w:r>
      <w:r w:rsidRPr="005768C1">
        <w:rPr>
          <w:rFonts w:ascii="Arial" w:hAnsi="Arial" w:cs="Arial"/>
          <w:sz w:val="20"/>
          <w:szCs w:val="20"/>
        </w:rPr>
        <w:t xml:space="preserve"> Se identifican elementos que justifican su revisión, aunque la evidencia disponible no permite concluir que constituya la explicación principal del problema. </w:t>
      </w:r>
    </w:p>
    <w:p w14:paraId="7454D289" w14:textId="2D1BA22A" w:rsidR="005768C1" w:rsidRPr="005768C1" w:rsidRDefault="005768C1" w:rsidP="00F6359B">
      <w:pPr>
        <w:pStyle w:val="NormalWeb"/>
        <w:spacing w:before="0" w:beforeAutospacing="0" w:after="0" w:afterAutospacing="0" w:line="360" w:lineRule="auto"/>
        <w:ind w:left="720"/>
        <w:jc w:val="both"/>
        <w:rPr>
          <w:rFonts w:ascii="Arial" w:hAnsi="Arial" w:cs="Arial"/>
          <w:sz w:val="20"/>
          <w:szCs w:val="20"/>
        </w:rPr>
      </w:pPr>
      <w:r w:rsidRPr="005768C1">
        <w:rPr>
          <w:rFonts w:ascii="Segoe UI Emoji" w:hAnsi="Segoe UI Emoji" w:cs="Segoe UI Emoji"/>
          <w:sz w:val="20"/>
          <w:szCs w:val="20"/>
        </w:rPr>
        <w:t>❌</w:t>
      </w:r>
      <w:r w:rsidRPr="005768C1">
        <w:rPr>
          <w:rFonts w:ascii="Arial" w:hAnsi="Arial" w:cs="Arial"/>
          <w:sz w:val="20"/>
          <w:szCs w:val="20"/>
        </w:rPr>
        <w:t xml:space="preserve"> No se identifica evidencia que permita considerar la existencia de la falla regulatoria.</w:t>
      </w:r>
    </w:p>
    <w:p w14:paraId="33B1301C" w14:textId="26E09D60" w:rsidR="0025321D" w:rsidRPr="002F57FD" w:rsidRDefault="00227DBC" w:rsidP="007474D1">
      <w:pPr>
        <w:pStyle w:val="Ttulo2"/>
        <w:spacing w:before="100" w:beforeAutospacing="1" w:after="100" w:afterAutospacing="1"/>
        <w:ind w:left="993" w:hanging="993"/>
      </w:pPr>
      <w:bookmarkStart w:id="193" w:name="_Toc235128380"/>
      <w:r w:rsidRPr="002F57FD">
        <w:t>C</w:t>
      </w:r>
      <w:r w:rsidR="00000209" w:rsidRPr="002F57FD">
        <w:t>ontinuidad y confiabilidad del suministro</w:t>
      </w:r>
      <w:bookmarkEnd w:id="193"/>
    </w:p>
    <w:p w14:paraId="3CE574AD" w14:textId="77777777" w:rsidR="00793872" w:rsidRPr="00793872" w:rsidRDefault="00793872" w:rsidP="007474D1">
      <w:pPr>
        <w:pStyle w:val="NormalWeb"/>
        <w:spacing w:line="360" w:lineRule="auto"/>
        <w:jc w:val="both"/>
        <w:rPr>
          <w:rFonts w:ascii="Arial" w:hAnsi="Arial" w:cs="Arial"/>
          <w:lang w:val="es-ES" w:eastAsia="es-ES"/>
        </w:rPr>
      </w:pPr>
      <w:r w:rsidRPr="00793872">
        <w:rPr>
          <w:rFonts w:ascii="Arial" w:hAnsi="Arial" w:cs="Arial"/>
          <w:lang w:val="es-ES" w:eastAsia="es-ES"/>
        </w:rPr>
        <w:t>La continuidad y la confiabilidad del suministro constituyen condiciones fundamentales para garantizar que los usuarios del servicio público domiciliario de GLP puedan acceder al energético cuando lo requieren y bajo condiciones que permitan atender de manera oportuna sus necesidades de consumo. Estas condiciones dependen del adecuado funcionamiento de la cadena de abastecimiento, la disponibilidad de infraestructura, la diversificación de las fuentes de suministro y la capacidad del sistema para responder frente a eventos que puedan afectar el abastecimiento.</w:t>
      </w:r>
    </w:p>
    <w:p w14:paraId="49B9E0AF" w14:textId="77777777" w:rsidR="00793872" w:rsidRPr="00793872" w:rsidRDefault="00793872" w:rsidP="007474D1">
      <w:pPr>
        <w:pStyle w:val="NormalWeb"/>
        <w:spacing w:line="360" w:lineRule="auto"/>
        <w:jc w:val="both"/>
        <w:rPr>
          <w:rFonts w:ascii="Arial" w:hAnsi="Arial" w:cs="Arial"/>
          <w:lang w:val="es-ES" w:eastAsia="es-ES"/>
        </w:rPr>
      </w:pPr>
      <w:r w:rsidRPr="00793872">
        <w:rPr>
          <w:rFonts w:ascii="Arial" w:hAnsi="Arial" w:cs="Arial"/>
          <w:lang w:val="es-ES" w:eastAsia="es-ES"/>
        </w:rPr>
        <w:t>Con fundamento en el diagnóstico desarrollado en el capítulo anterior, en este apartado se analiza el riesgo de interrupciones o limitaciones en el suministro de GLP, a partir de los síntomas observados, las posibles fallas de mercado y regulatorias que podrían explicarlos, las causas estructurales que los originan y los efectos que generan sobre los usuarios y el funcionamiento del mercado. Este análisis permitirá formular el problema regulatorio asociado a la continuidad y confiabilidad del suministro y servirá de base para la posterior evaluación de alternativas regulatorias.</w:t>
      </w:r>
    </w:p>
    <w:p w14:paraId="2F8F6143" w14:textId="1EDBCA6A" w:rsidR="0025321D" w:rsidRPr="00DA3166" w:rsidRDefault="0025321D" w:rsidP="007474D1">
      <w:pPr>
        <w:pStyle w:val="Ttulo3"/>
        <w:spacing w:before="100" w:beforeAutospacing="1" w:after="100" w:afterAutospacing="1"/>
        <w:ind w:left="1134" w:hanging="1134"/>
        <w:rPr>
          <w:b w:val="0"/>
          <w:lang w:val="es-ES"/>
        </w:rPr>
      </w:pPr>
      <w:bookmarkStart w:id="194" w:name="_Toc235128381"/>
      <w:r w:rsidRPr="00821F33">
        <w:t>Evaluación de los síntomas del problema</w:t>
      </w:r>
      <w:bookmarkEnd w:id="194"/>
    </w:p>
    <w:p w14:paraId="1E49F801" w14:textId="77777777" w:rsidR="00DA3166" w:rsidRPr="00DA3166" w:rsidRDefault="00DA3166" w:rsidP="007474D1">
      <w:pPr>
        <w:pStyle w:val="pdq2pgselectionanchorcontainer"/>
        <w:spacing w:line="360" w:lineRule="auto"/>
        <w:rPr>
          <w:rFonts w:ascii="Arial" w:hAnsi="Arial" w:cs="Arial"/>
          <w:lang w:val="es-ES" w:eastAsia="es-ES"/>
        </w:rPr>
      </w:pPr>
      <w:r w:rsidRPr="00DA3166">
        <w:rPr>
          <w:rFonts w:ascii="Arial" w:hAnsi="Arial" w:cs="Arial"/>
          <w:lang w:val="es-ES" w:eastAsia="es-ES"/>
        </w:rPr>
        <w:t xml:space="preserve">De conformidad con la metodología del Análisis de Impacto Normativo (AIN), el análisis inicia con la identificación de los síntomas que evidencian la existencia del riesgo de interrupciones o limitaciones en el suministro de GLP. Estos síntomas corresponden a manifestaciones observables derivadas del diagnóstico del sector y permiten identificar </w:t>
      </w:r>
      <w:r w:rsidRPr="00DA3166">
        <w:rPr>
          <w:rFonts w:ascii="Arial" w:hAnsi="Arial" w:cs="Arial"/>
          <w:lang w:val="es-ES" w:eastAsia="es-ES"/>
        </w:rPr>
        <w:lastRenderedPageBreak/>
        <w:t>aquellas situaciones que pueden comprometer la capacidad del sistema para abastecer de manera continua y confiable a los usuarios del servicio público domiciliario.</w:t>
      </w:r>
    </w:p>
    <w:p w14:paraId="33687874" w14:textId="09FCCC3C" w:rsidR="00A658C0" w:rsidRPr="00496484" w:rsidRDefault="00DA3166" w:rsidP="007474D1">
      <w:pPr>
        <w:pStyle w:val="NormalWeb"/>
        <w:spacing w:line="360" w:lineRule="auto"/>
        <w:rPr>
          <w:rFonts w:ascii="Arial" w:hAnsi="Arial" w:cs="Arial"/>
          <w:lang w:val="es-ES" w:eastAsia="es-ES"/>
        </w:rPr>
      </w:pPr>
      <w:r w:rsidRPr="00DA3166">
        <w:rPr>
          <w:rFonts w:ascii="Arial" w:hAnsi="Arial" w:cs="Arial"/>
          <w:lang w:val="es-ES" w:eastAsia="es-ES"/>
        </w:rPr>
        <w:t xml:space="preserve">A continuación, se presentan los principales síntomas identificados para este </w:t>
      </w:r>
      <w:r w:rsidRPr="00496484">
        <w:rPr>
          <w:rFonts w:ascii="Arial" w:hAnsi="Arial" w:cs="Arial"/>
          <w:lang w:val="es-ES" w:eastAsia="es-ES"/>
        </w:rPr>
        <w:t>riesgo y la evidencia que sustenta su ocurrencia.</w:t>
      </w:r>
    </w:p>
    <w:p w14:paraId="2A931EEF" w14:textId="70F10F35" w:rsidR="0025321D" w:rsidRPr="00842608" w:rsidRDefault="00B32F62" w:rsidP="007474D1">
      <w:pPr>
        <w:pStyle w:val="Ttulo4"/>
        <w:spacing w:before="100" w:beforeAutospacing="1" w:after="100" w:afterAutospacing="1" w:line="360" w:lineRule="auto"/>
        <w:ind w:left="1276" w:hanging="1276"/>
      </w:pPr>
      <w:r w:rsidRPr="00842608">
        <w:t>Dependencia de un número limitado de fuentes de abastecimiento</w:t>
      </w:r>
    </w:p>
    <w:p w14:paraId="2247D6BF" w14:textId="77777777" w:rsidR="005D075A" w:rsidRPr="005D075A" w:rsidRDefault="005D075A" w:rsidP="007474D1">
      <w:pPr>
        <w:pStyle w:val="pdq2pgselectionanchorcontainer"/>
        <w:spacing w:line="360" w:lineRule="auto"/>
        <w:jc w:val="both"/>
        <w:rPr>
          <w:rFonts w:ascii="Arial" w:hAnsi="Arial" w:cs="Arial"/>
          <w:lang w:val="es-ES" w:eastAsia="es-ES"/>
        </w:rPr>
      </w:pPr>
      <w:r w:rsidRPr="00496484">
        <w:rPr>
          <w:rFonts w:ascii="Arial" w:hAnsi="Arial" w:cs="Arial"/>
          <w:lang w:val="es-ES" w:eastAsia="es-ES"/>
        </w:rPr>
        <w:t>La continuidad y confiabilidad del suministro de GLP dependen de la capacidad de la cadena para disponer de producto suficiente que permita atender oportunamente la demanda de</w:t>
      </w:r>
      <w:r w:rsidRPr="005D075A">
        <w:rPr>
          <w:rFonts w:ascii="Arial" w:hAnsi="Arial" w:cs="Arial"/>
          <w:lang w:val="es-ES" w:eastAsia="es-ES"/>
        </w:rPr>
        <w:t xml:space="preserve"> los diferentes usuarios. En este contexto, la diversidad de fuentes de abastecimiento constituye un elemento fundamental para reducir la exposición del mercado frente a eventos que puedan afectar la disponibilidad del energético.</w:t>
      </w:r>
    </w:p>
    <w:p w14:paraId="39062BC3" w14:textId="77777777" w:rsidR="005D075A" w:rsidRPr="005D075A" w:rsidRDefault="005D075A" w:rsidP="007474D1">
      <w:pPr>
        <w:pStyle w:val="NormalWeb"/>
        <w:spacing w:line="360" w:lineRule="auto"/>
        <w:jc w:val="both"/>
        <w:rPr>
          <w:rFonts w:ascii="Arial" w:hAnsi="Arial" w:cs="Arial"/>
          <w:lang w:val="es-ES" w:eastAsia="es-ES"/>
        </w:rPr>
      </w:pPr>
      <w:r w:rsidRPr="005D075A">
        <w:rPr>
          <w:rFonts w:ascii="Arial" w:hAnsi="Arial" w:cs="Arial"/>
          <w:lang w:val="es-ES" w:eastAsia="es-ES"/>
        </w:rPr>
        <w:t>Los análisis realizados evidencian que el abastecimiento nacional de GLP depende de un número limitado de fuentes de producción e importación. Esta condición ha adquirido mayor relevancia como consecuencia de la reducción gradual de la producción nacional y del incremento en la participación de las importaciones dentro de la oferta disponible. Como resultado, una parte importante del abastecimiento se concentra en un número reducido de fuentes y puntos de ingreso al país, de manera que eventos que afecten la operación de alguno de estos pueden repercutir sobre la disponibilidad del producto para los diferentes agentes que participan en la cadena de suministro.</w:t>
      </w:r>
    </w:p>
    <w:p w14:paraId="3CC9B188" w14:textId="77777777" w:rsidR="005D075A" w:rsidRPr="005D075A" w:rsidRDefault="005D075A" w:rsidP="007474D1">
      <w:pPr>
        <w:pStyle w:val="NormalWeb"/>
        <w:spacing w:line="360" w:lineRule="auto"/>
        <w:jc w:val="both"/>
        <w:rPr>
          <w:rFonts w:ascii="Arial" w:hAnsi="Arial" w:cs="Arial"/>
          <w:lang w:val="es-ES" w:eastAsia="es-ES"/>
        </w:rPr>
      </w:pPr>
      <w:r w:rsidRPr="005D075A">
        <w:rPr>
          <w:rFonts w:ascii="Arial" w:hAnsi="Arial" w:cs="Arial"/>
          <w:lang w:val="es-ES" w:eastAsia="es-ES"/>
        </w:rPr>
        <w:t>Esta situación adquiere especial relevancia debido a que las actividades posteriores de comercialización, transporte y distribución dependen de la disponibilidad efectiva del producto en las etapas iniciales de la cadena. En consecuencia, afectaciones en alguna de las fuentes de abastecimiento pueden trasladarse progresivamente a los demás eslabones de la cadena y eventualmente impactar las condiciones bajo las cuales los usuarios acceden al servicio.</w:t>
      </w:r>
    </w:p>
    <w:p w14:paraId="20AC7225" w14:textId="77777777" w:rsidR="005D075A" w:rsidRPr="005D075A" w:rsidRDefault="005D075A" w:rsidP="005538C1">
      <w:pPr>
        <w:pStyle w:val="NormalWeb"/>
        <w:spacing w:line="360" w:lineRule="auto"/>
        <w:jc w:val="both"/>
        <w:rPr>
          <w:rFonts w:ascii="Arial" w:hAnsi="Arial" w:cs="Arial"/>
          <w:lang w:val="es-ES" w:eastAsia="es-ES"/>
        </w:rPr>
      </w:pPr>
      <w:r w:rsidRPr="005D075A">
        <w:rPr>
          <w:rFonts w:ascii="Arial" w:hAnsi="Arial" w:cs="Arial"/>
          <w:lang w:val="es-ES" w:eastAsia="es-ES"/>
        </w:rPr>
        <w:t xml:space="preserve">La dependencia de un número limitado de fuentes también puede reducir la capacidad del sistema para responder ante eventos que afecten simultáneamente una porción significativa de la oferta disponible. En estos escenarios, la continuidad del suministro </w:t>
      </w:r>
      <w:r w:rsidRPr="005D075A">
        <w:rPr>
          <w:rFonts w:ascii="Arial" w:hAnsi="Arial" w:cs="Arial"/>
          <w:lang w:val="es-ES" w:eastAsia="es-ES"/>
        </w:rPr>
        <w:lastRenderedPageBreak/>
        <w:t>dependerá de la disponibilidad de fuentes alternativas, de la capacidad logística para movilizar el producto y de la posibilidad de sustituir oportunamente las cantidades afectadas.</w:t>
      </w:r>
    </w:p>
    <w:p w14:paraId="12A3B0B6" w14:textId="77777777" w:rsidR="005D075A" w:rsidRPr="005D075A" w:rsidRDefault="005D075A" w:rsidP="005538C1">
      <w:pPr>
        <w:pStyle w:val="NormalWeb"/>
        <w:spacing w:line="360" w:lineRule="auto"/>
        <w:jc w:val="both"/>
        <w:rPr>
          <w:rFonts w:ascii="Arial" w:hAnsi="Arial" w:cs="Arial"/>
          <w:lang w:val="es-ES" w:eastAsia="es-ES"/>
        </w:rPr>
      </w:pPr>
      <w:r w:rsidRPr="005D075A">
        <w:rPr>
          <w:rFonts w:ascii="Arial" w:hAnsi="Arial" w:cs="Arial"/>
          <w:lang w:val="es-ES" w:eastAsia="es-ES"/>
        </w:rPr>
        <w:t>Lo anterior no implica necesariamente la existencia de problemas actuales de desabastecimiento ni que las fuentes disponibles sean insuficientes para atender la demanda. Sin embargo, sí evidencia una condición estructural del mercado que puede incrementar la vulnerabilidad del sistema frente a contingencias y afectar su capacidad para mantener el suministro bajo diferentes escenarios operativos.</w:t>
      </w:r>
    </w:p>
    <w:p w14:paraId="6EB27331" w14:textId="05CA5E57" w:rsidR="00E9522A" w:rsidRPr="003601FE" w:rsidRDefault="005D075A" w:rsidP="005538C1">
      <w:pPr>
        <w:pStyle w:val="NormalWeb"/>
        <w:spacing w:line="360" w:lineRule="auto"/>
        <w:jc w:val="both"/>
        <w:rPr>
          <w:rFonts w:ascii="Arial" w:hAnsi="Arial" w:cs="Arial"/>
          <w:lang w:val="es-ES" w:eastAsia="es-ES"/>
        </w:rPr>
      </w:pPr>
      <w:r w:rsidRPr="005D075A">
        <w:rPr>
          <w:rFonts w:ascii="Arial" w:hAnsi="Arial" w:cs="Arial"/>
          <w:lang w:val="es-ES" w:eastAsia="es-ES"/>
        </w:rPr>
        <w:t xml:space="preserve">En consecuencia, la dependencia de un número limitado de fuentes de abastecimiento constituye un síntoma relevante para evaluar los riesgos asociados a la continuidad y confiabilidad del suministro de GLP, en la medida en que puede afectar la capacidad del sistema para mantener la disponibilidad del producto ante eventos que impacten las </w:t>
      </w:r>
      <w:r w:rsidRPr="003601FE">
        <w:rPr>
          <w:rFonts w:ascii="Arial" w:hAnsi="Arial" w:cs="Arial"/>
          <w:lang w:val="es-ES" w:eastAsia="es-ES"/>
        </w:rPr>
        <w:t>principales fuentes de abastecimiento que soportan el suministro nacional</w:t>
      </w:r>
      <w:r w:rsidR="003D3192" w:rsidRPr="003601FE">
        <w:rPr>
          <w:rFonts w:ascii="Arial" w:hAnsi="Arial" w:cs="Arial"/>
          <w:lang w:val="es-ES" w:eastAsia="es-ES"/>
        </w:rPr>
        <w:t>.</w:t>
      </w:r>
    </w:p>
    <w:p w14:paraId="115EAEDC" w14:textId="6AE16820" w:rsidR="00E9522A" w:rsidRPr="00842608" w:rsidRDefault="004751EA" w:rsidP="005538C1">
      <w:pPr>
        <w:pStyle w:val="Ttulo4"/>
        <w:spacing w:before="100" w:beforeAutospacing="1" w:after="100" w:afterAutospacing="1" w:line="360" w:lineRule="auto"/>
        <w:ind w:left="1560" w:hanging="1560"/>
      </w:pPr>
      <w:r w:rsidRPr="00842608">
        <w:t>Exposición del abastecimiento a factores externos</w:t>
      </w:r>
    </w:p>
    <w:p w14:paraId="173C1B38" w14:textId="77777777" w:rsidR="007F0BEC" w:rsidRPr="003601FE" w:rsidRDefault="007F0BEC" w:rsidP="005538C1">
      <w:pPr>
        <w:pStyle w:val="pdq2pgselectionanchorcontainer"/>
        <w:spacing w:line="360" w:lineRule="auto"/>
        <w:jc w:val="both"/>
        <w:rPr>
          <w:rFonts w:ascii="Arial" w:hAnsi="Arial" w:cs="Arial"/>
          <w:lang w:val="es-ES" w:eastAsia="es-ES"/>
        </w:rPr>
      </w:pPr>
      <w:r w:rsidRPr="003601FE">
        <w:rPr>
          <w:rFonts w:ascii="Arial" w:hAnsi="Arial" w:cs="Arial"/>
          <w:lang w:val="es-ES" w:eastAsia="es-ES"/>
        </w:rPr>
        <w:t>La continuidad y confiabilidad del suministro de GLP dependen de la capacidad de la cadena para disponer oportunamente de los volúmenes requeridos para atender la demanda nacional. En este contexto, la composición de las fuentes de abastecimiento adquiere una importancia particular, en la medida en que determina el grado de exposición del mercado a factores que pueden afectar la disponibilidad del producto.</w:t>
      </w:r>
    </w:p>
    <w:p w14:paraId="77ECF342" w14:textId="77777777" w:rsidR="007F0BEC" w:rsidRPr="003601FE" w:rsidRDefault="007F0BEC" w:rsidP="005538C1">
      <w:pPr>
        <w:pStyle w:val="NormalWeb"/>
        <w:spacing w:line="360" w:lineRule="auto"/>
        <w:jc w:val="both"/>
        <w:rPr>
          <w:rFonts w:ascii="Arial" w:hAnsi="Arial" w:cs="Arial"/>
          <w:lang w:val="es-ES" w:eastAsia="es-ES"/>
        </w:rPr>
      </w:pPr>
      <w:r w:rsidRPr="003601FE">
        <w:rPr>
          <w:rFonts w:ascii="Arial" w:hAnsi="Arial" w:cs="Arial"/>
          <w:lang w:val="es-ES" w:eastAsia="es-ES"/>
        </w:rPr>
        <w:t>Los análisis realizados evidencian que, durante los últimos años, las importaciones han adquirido una participación cada vez más relevante dentro del abastecimiento nacional de GLP. Esta evolución ha permitido complementar la producción doméstica y atender el crecimiento de la demanda, contribuyendo a mantener la disponibilidad del energético para los diferentes segmentos de consumo.</w:t>
      </w:r>
    </w:p>
    <w:p w14:paraId="583D1026" w14:textId="77777777" w:rsidR="007F0BEC" w:rsidRPr="003601FE" w:rsidRDefault="007F0BEC" w:rsidP="005538C1">
      <w:pPr>
        <w:pStyle w:val="NormalWeb"/>
        <w:spacing w:line="360" w:lineRule="auto"/>
        <w:jc w:val="both"/>
        <w:rPr>
          <w:rFonts w:ascii="Arial" w:hAnsi="Arial" w:cs="Arial"/>
          <w:lang w:val="es-ES" w:eastAsia="es-ES"/>
        </w:rPr>
      </w:pPr>
      <w:r w:rsidRPr="003601FE">
        <w:rPr>
          <w:rFonts w:ascii="Arial" w:hAnsi="Arial" w:cs="Arial"/>
          <w:lang w:val="es-ES" w:eastAsia="es-ES"/>
        </w:rPr>
        <w:t xml:space="preserve">La incorporación de volúmenes importados ha generado beneficios importantes para el mercado al ampliar las alternativas de suministro y reducir la dependencia exclusiva de la producción nacional. Sin embargo, también implica que una porción creciente del </w:t>
      </w:r>
      <w:r w:rsidRPr="003601FE">
        <w:rPr>
          <w:rFonts w:ascii="Arial" w:hAnsi="Arial" w:cs="Arial"/>
          <w:lang w:val="es-ES" w:eastAsia="es-ES"/>
        </w:rPr>
        <w:lastRenderedPageBreak/>
        <w:t>abastecimiento se encuentra expuesta a factores que trascienden las condiciones operativas del mercado colombiano.</w:t>
      </w:r>
    </w:p>
    <w:p w14:paraId="39A15C18" w14:textId="77777777" w:rsidR="007F0BEC" w:rsidRPr="003601FE" w:rsidRDefault="007F0BEC" w:rsidP="005538C1">
      <w:pPr>
        <w:pStyle w:val="NormalWeb"/>
        <w:spacing w:line="360" w:lineRule="auto"/>
        <w:jc w:val="both"/>
        <w:rPr>
          <w:rFonts w:ascii="Arial" w:hAnsi="Arial" w:cs="Arial"/>
          <w:lang w:val="es-ES" w:eastAsia="es-ES"/>
        </w:rPr>
      </w:pPr>
      <w:r w:rsidRPr="003601FE">
        <w:rPr>
          <w:rFonts w:ascii="Arial" w:hAnsi="Arial" w:cs="Arial"/>
          <w:lang w:val="es-ES" w:eastAsia="es-ES"/>
        </w:rPr>
        <w:t>Entre estos factores se encuentran las variaciones en los precios internacionales del GLP, la disponibilidad de producto en los mercados de origen, las condiciones de contratación internacional, las dinámicas del comercio exterior, las restricciones logísticas, las condiciones climáticas y eventuales situaciones geopolíticas que puedan afectar las cadenas globales de suministro. De igual forma, la incertidumbre asociada a la disponibilidad futura de la producción nacional y a las declaraciones de producción realizadas por los agentes puede incidir sobre la planeación del abastecimiento y la capacidad del mercado para anticipar oportunamente sus necesidades de suministro.</w:t>
      </w:r>
    </w:p>
    <w:p w14:paraId="7E56D9D5" w14:textId="77777777" w:rsidR="007F0BEC" w:rsidRPr="003601FE" w:rsidRDefault="007F0BEC" w:rsidP="005538C1">
      <w:pPr>
        <w:pStyle w:val="NormalWeb"/>
        <w:spacing w:line="360" w:lineRule="auto"/>
        <w:jc w:val="both"/>
        <w:rPr>
          <w:rFonts w:ascii="Arial" w:hAnsi="Arial" w:cs="Arial"/>
          <w:lang w:val="es-ES" w:eastAsia="es-ES"/>
        </w:rPr>
      </w:pPr>
      <w:r w:rsidRPr="003601FE">
        <w:rPr>
          <w:rFonts w:ascii="Arial" w:hAnsi="Arial" w:cs="Arial"/>
          <w:lang w:val="es-ES" w:eastAsia="es-ES"/>
        </w:rPr>
        <w:t>A diferencia de la producción nacional, cuya gestión depende principalmente de condiciones internas asociadas a la operación de campos, refinerías o plantas de procesamiento, el abastecimiento mediante fuentes externas incorpora elementos adicionales de incertidumbre relacionados con la evolución de los mercados internacionales. Como consecuencia, la disponibilidad de producto para atender la demanda nacional puede verse influenciada por factores sobre los cuales los agentes del mercado colombiano tienen una capacidad limitada de control.</w:t>
      </w:r>
    </w:p>
    <w:p w14:paraId="64EFCDC4" w14:textId="77777777" w:rsidR="007F0BEC" w:rsidRPr="003601FE" w:rsidRDefault="007F0BEC" w:rsidP="005538C1">
      <w:pPr>
        <w:pStyle w:val="NormalWeb"/>
        <w:spacing w:line="360" w:lineRule="auto"/>
        <w:jc w:val="both"/>
        <w:rPr>
          <w:rFonts w:ascii="Arial" w:hAnsi="Arial" w:cs="Arial"/>
          <w:lang w:val="es-ES" w:eastAsia="es-ES"/>
        </w:rPr>
      </w:pPr>
      <w:r w:rsidRPr="003601FE">
        <w:rPr>
          <w:rFonts w:ascii="Arial" w:hAnsi="Arial" w:cs="Arial"/>
          <w:lang w:val="es-ES" w:eastAsia="es-ES"/>
        </w:rPr>
        <w:t>Lo anterior no implica que la participación de fuentes externas constituya una condición indeseable para el mercado. Por el contrario, estas fuentes han desempeñado un papel importante para complementar la oferta nacional y fortalecer el abastecimiento. Sin embargo, su creciente participación evidencia una característica del mercado que incrementa la exposición del sistema a factores externos y que resulta pertinente considerar al evaluar la continuidad y confiabilidad del suministro.</w:t>
      </w:r>
    </w:p>
    <w:p w14:paraId="52FF7A51" w14:textId="1AA4C096" w:rsidR="00440140" w:rsidRPr="003601FE" w:rsidRDefault="007F0BEC" w:rsidP="005538C1">
      <w:pPr>
        <w:pStyle w:val="NormalWeb"/>
        <w:spacing w:line="360" w:lineRule="auto"/>
        <w:jc w:val="both"/>
        <w:rPr>
          <w:rFonts w:ascii="Arial" w:hAnsi="Arial" w:cs="Arial"/>
          <w:lang w:val="es-ES" w:eastAsia="es-ES"/>
        </w:rPr>
      </w:pPr>
      <w:r w:rsidRPr="003601FE">
        <w:rPr>
          <w:rFonts w:ascii="Arial" w:hAnsi="Arial" w:cs="Arial"/>
          <w:lang w:val="es-ES" w:eastAsia="es-ES"/>
        </w:rPr>
        <w:t xml:space="preserve">En consecuencia, la exposición del abastecimiento a factores externos, tales como las variaciones en los mercados internacionales, las restricciones logísticas, las condiciones geopolíticas, los fenómenos climáticos y la incertidumbre sobre la disponibilidad futura de la oferta, constituye un síntoma relevante para evaluar los riesgos asociados a la continuidad y confiabilidad del suministro de GLP, en la medida en que puede influir sobre </w:t>
      </w:r>
      <w:r w:rsidRPr="003601FE">
        <w:rPr>
          <w:rFonts w:ascii="Arial" w:hAnsi="Arial" w:cs="Arial"/>
          <w:lang w:val="es-ES" w:eastAsia="es-ES"/>
        </w:rPr>
        <w:lastRenderedPageBreak/>
        <w:t>la disponibilidad del producto a partir de circunstancias que trascienden el ámbito operativo y de control de los agentes que participan en el mercado nacional</w:t>
      </w:r>
      <w:r w:rsidR="00440140" w:rsidRPr="00440140">
        <w:rPr>
          <w:rFonts w:ascii="Arial" w:hAnsi="Arial" w:cs="Arial"/>
          <w:lang w:val="es-ES" w:eastAsia="es-ES"/>
        </w:rPr>
        <w:t>.</w:t>
      </w:r>
    </w:p>
    <w:p w14:paraId="78DC033C" w14:textId="646487D6" w:rsidR="0054114B" w:rsidRPr="00842608" w:rsidRDefault="00280645" w:rsidP="005538C1">
      <w:pPr>
        <w:pStyle w:val="Ttulo4"/>
        <w:spacing w:before="100" w:beforeAutospacing="1" w:after="100" w:afterAutospacing="1" w:line="360" w:lineRule="auto"/>
        <w:ind w:left="1560" w:hanging="1560"/>
      </w:pPr>
      <w:r w:rsidRPr="00842608">
        <w:t>Limitaciones en la capacidad de almacenamiento</w:t>
      </w:r>
    </w:p>
    <w:p w14:paraId="5CE6DC25" w14:textId="77777777" w:rsidR="002F7C81" w:rsidRPr="002F7C81" w:rsidRDefault="002F7C81" w:rsidP="005538C1">
      <w:pPr>
        <w:pStyle w:val="pdq2pgselectionanchorcontainer"/>
        <w:spacing w:line="360" w:lineRule="auto"/>
        <w:jc w:val="both"/>
        <w:rPr>
          <w:rFonts w:ascii="Arial" w:hAnsi="Arial" w:cs="Arial"/>
          <w:lang w:val="es-ES" w:eastAsia="es-ES"/>
        </w:rPr>
      </w:pPr>
      <w:r w:rsidRPr="002F7C81">
        <w:rPr>
          <w:rFonts w:ascii="Arial" w:hAnsi="Arial" w:cs="Arial"/>
          <w:lang w:val="es-ES" w:eastAsia="es-ES"/>
        </w:rPr>
        <w:t>La continuidad y confiabilidad del suministro de GLP no dependen únicamente de la disponibilidad de fuentes de abastecimiento. También requieren la existencia de infraestructura de almacenamiento que permita gestionar adecuadamente las variaciones normales de la oferta y la demanda, responder a contingencias operativas y garantizar la disponibilidad del energético ante eventos que afecten temporalmente alguna de las etapas de la cadena.</w:t>
      </w:r>
    </w:p>
    <w:p w14:paraId="1F985687" w14:textId="77777777" w:rsidR="002F7C81" w:rsidRPr="002F7C81" w:rsidRDefault="002F7C81" w:rsidP="005538C1">
      <w:pPr>
        <w:pStyle w:val="NormalWeb"/>
        <w:spacing w:line="360" w:lineRule="auto"/>
        <w:jc w:val="both"/>
        <w:rPr>
          <w:rFonts w:ascii="Arial" w:hAnsi="Arial" w:cs="Arial"/>
          <w:lang w:val="es-ES" w:eastAsia="es-ES"/>
        </w:rPr>
      </w:pPr>
      <w:r w:rsidRPr="002F7C81">
        <w:rPr>
          <w:rFonts w:ascii="Arial" w:hAnsi="Arial" w:cs="Arial"/>
          <w:lang w:val="es-ES" w:eastAsia="es-ES"/>
        </w:rPr>
        <w:t>El almacenamiento constituye uno de los principales mecanismos que fortalecen la seguridad del abastecimiento. La existencia de inventarios permite absorber interrupciones temporales en la producción o las importaciones, compensar retrasos en el suministro, gestionar mantenimientos programados de infraestructura crítica y responder a eventos inesperados que puedan afectar la disponibilidad inmediata del producto. En ausencia de capacidades suficientes de almacenamiento, la cadena presenta una mayor dependencia de las condiciones instantáneas de abastecimiento y una menor capacidad para enfrentar contingencias.</w:t>
      </w:r>
    </w:p>
    <w:p w14:paraId="323C3FC7" w14:textId="77777777" w:rsidR="002F7C81" w:rsidRPr="002F7C81" w:rsidRDefault="002F7C81" w:rsidP="005538C1">
      <w:pPr>
        <w:pStyle w:val="NormalWeb"/>
        <w:spacing w:line="360" w:lineRule="auto"/>
        <w:jc w:val="both"/>
        <w:rPr>
          <w:rFonts w:ascii="Arial" w:hAnsi="Arial" w:cs="Arial"/>
          <w:lang w:val="es-ES" w:eastAsia="es-ES"/>
        </w:rPr>
      </w:pPr>
      <w:r w:rsidRPr="002F7C81">
        <w:rPr>
          <w:rFonts w:ascii="Arial" w:hAnsi="Arial" w:cs="Arial"/>
          <w:lang w:val="es-ES" w:eastAsia="es-ES"/>
        </w:rPr>
        <w:t>Los análisis realizados evidencian la importancia que tiene la infraestructura de almacenamiento dentro del funcionamiento del mercado de GLP. Las facilidades de almacenamiento cumplen un papel fundamental no solo en la recepción y manejo del producto proveniente de distintas fuentes de suministro, sino también en la administración de inventarios que permitan garantizar la continuidad del abastecimiento hacia los diferentes mercados atendidos por la cadena. Asimismo, la disponibilidad y localización de esta infraestructura inciden sobre la capacidad del sistema para responder de manera oportuna ante interrupciones del suministro y otras situaciones extraordinarias.</w:t>
      </w:r>
    </w:p>
    <w:p w14:paraId="4C677AC0" w14:textId="77777777" w:rsidR="002F7C81" w:rsidRPr="002F7C81" w:rsidRDefault="002F7C81" w:rsidP="005538C1">
      <w:pPr>
        <w:pStyle w:val="NormalWeb"/>
        <w:spacing w:line="360" w:lineRule="auto"/>
        <w:jc w:val="both"/>
        <w:rPr>
          <w:rFonts w:ascii="Arial" w:hAnsi="Arial" w:cs="Arial"/>
          <w:lang w:val="es-ES" w:eastAsia="es-ES"/>
        </w:rPr>
      </w:pPr>
      <w:r w:rsidRPr="002F7C81">
        <w:rPr>
          <w:rFonts w:ascii="Arial" w:hAnsi="Arial" w:cs="Arial"/>
          <w:lang w:val="es-ES" w:eastAsia="es-ES"/>
        </w:rPr>
        <w:t xml:space="preserve">En este contexto, la capacidad de almacenamiento adquiere especial relevancia frente al incremento de la participación de las importaciones y a la mayor exposición del mercado </w:t>
      </w:r>
      <w:r w:rsidRPr="002F7C81">
        <w:rPr>
          <w:rFonts w:ascii="Arial" w:hAnsi="Arial" w:cs="Arial"/>
          <w:lang w:val="es-ES" w:eastAsia="es-ES"/>
        </w:rPr>
        <w:lastRenderedPageBreak/>
        <w:t>a factores externos, en la medida en que permite fortalecer la resiliencia del sistema y reducir los efectos de eventuales interrupciones en el abastecimiento. De igual forma, la ausencia de infraestructura destinada al almacenamiento estratégico limita la capacidad del sistema para atender contingencias de mayor duración que puedan comprometer la continuidad del suministro.</w:t>
      </w:r>
    </w:p>
    <w:p w14:paraId="38DD0033" w14:textId="77777777" w:rsidR="002F7C81" w:rsidRPr="002F7C81" w:rsidRDefault="002F7C81" w:rsidP="005538C1">
      <w:pPr>
        <w:pStyle w:val="NormalWeb"/>
        <w:spacing w:line="360" w:lineRule="auto"/>
        <w:jc w:val="both"/>
        <w:rPr>
          <w:rFonts w:ascii="Arial" w:hAnsi="Arial" w:cs="Arial"/>
          <w:lang w:val="es-ES" w:eastAsia="es-ES"/>
        </w:rPr>
      </w:pPr>
      <w:r w:rsidRPr="002F7C81">
        <w:rPr>
          <w:rFonts w:ascii="Arial" w:hAnsi="Arial" w:cs="Arial"/>
          <w:lang w:val="es-ES" w:eastAsia="es-ES"/>
        </w:rPr>
        <w:t>Lo anterior no implica necesariamente que la infraestructura actualmente disponible resulte insuficiente para atender las condiciones normales de operación del mercado. Sin embargo, sí evidencia que la capacidad de almacenamiento constituye un elemento crítico para la continuidad y confiabilidad del suministro y que su disponibilidad influye directamente sobre la capacidad del sistema para gestionar contingencias y mantener condiciones adecuadas de abastecimiento.</w:t>
      </w:r>
    </w:p>
    <w:p w14:paraId="44778AF8" w14:textId="2A5BC4AC" w:rsidR="003429D0" w:rsidRPr="00B471D0" w:rsidRDefault="002F7C81" w:rsidP="005538C1">
      <w:pPr>
        <w:pStyle w:val="NormalWeb"/>
        <w:spacing w:line="360" w:lineRule="auto"/>
        <w:jc w:val="both"/>
        <w:rPr>
          <w:rFonts w:ascii="Arial" w:hAnsi="Arial" w:cs="Arial"/>
          <w:lang w:val="es-ES" w:eastAsia="es-ES"/>
        </w:rPr>
      </w:pPr>
      <w:r w:rsidRPr="002F7C81">
        <w:rPr>
          <w:rFonts w:ascii="Arial" w:hAnsi="Arial" w:cs="Arial"/>
          <w:lang w:val="es-ES" w:eastAsia="es-ES"/>
        </w:rPr>
        <w:t>En consecuencia, las limitaciones en la capacidad de almacenamiento constituyen un síntoma relevante para evaluar los riesgos asociados a la continuidad y confiabilidad del suministro de GLP, en la medida en que pueden afectar la capacidad del sistema para responder ante interrupciones temporales o prolongadas del abastecimiento y garantizar la disponibilidad oportuna del producto para los usuarios finales.</w:t>
      </w:r>
    </w:p>
    <w:p w14:paraId="3594616B" w14:textId="7FBC1273" w:rsidR="003429D0" w:rsidRPr="00225A26" w:rsidRDefault="00CD6989" w:rsidP="005538C1">
      <w:pPr>
        <w:pStyle w:val="Ttulo4"/>
        <w:spacing w:before="100" w:beforeAutospacing="1" w:after="100" w:afterAutospacing="1" w:line="360" w:lineRule="auto"/>
        <w:ind w:left="1560" w:hanging="1560"/>
      </w:pPr>
      <w:r w:rsidRPr="00225A26">
        <w:t>Vulnerabilidad de la infraestructura logística y de transporte</w:t>
      </w:r>
    </w:p>
    <w:p w14:paraId="07343B4C" w14:textId="77777777" w:rsidR="00CF28A2" w:rsidRPr="00CF28A2" w:rsidRDefault="00CF28A2" w:rsidP="005538C1">
      <w:pPr>
        <w:pStyle w:val="NormalWeb"/>
        <w:spacing w:line="360" w:lineRule="auto"/>
        <w:jc w:val="both"/>
        <w:rPr>
          <w:rFonts w:ascii="Arial" w:hAnsi="Arial" w:cs="Arial"/>
          <w:lang w:val="es-ES" w:eastAsia="es-ES"/>
        </w:rPr>
      </w:pPr>
      <w:r w:rsidRPr="247C94E4">
        <w:rPr>
          <w:rFonts w:ascii="Arial" w:hAnsi="Arial" w:cs="Arial"/>
          <w:lang w:val="es-ES" w:eastAsia="es-ES"/>
        </w:rPr>
        <w:t>La continuidad y confiabilidad del suministro de GLP dependen no solamente de la disponibilidad de producto en las fuentes de abastecimiento, sino también de la capacidad de movilizarlo oportunamente hacia los diferentes mercados y usuarios finales. En consecuencia, la infraestructura logística y de transporte constituye un elemento fundamental para garantizar que el energético pueda desplazarse de manera segura y eficiente a lo largo de la cadena de suministro.</w:t>
      </w:r>
    </w:p>
    <w:p w14:paraId="79D38B7A" w14:textId="77777777" w:rsidR="00CF28A2" w:rsidRPr="00CF28A2" w:rsidRDefault="00CF28A2" w:rsidP="005538C1">
      <w:pPr>
        <w:pStyle w:val="NormalWeb"/>
        <w:spacing w:line="360" w:lineRule="auto"/>
        <w:jc w:val="both"/>
        <w:rPr>
          <w:rFonts w:ascii="Arial" w:hAnsi="Arial" w:cs="Arial"/>
          <w:lang w:val="es-ES_tradnl" w:eastAsia="es-ES"/>
        </w:rPr>
      </w:pPr>
      <w:r w:rsidRPr="00CF28A2">
        <w:rPr>
          <w:rFonts w:ascii="Arial" w:hAnsi="Arial" w:cs="Arial"/>
          <w:lang w:val="es-ES_tradnl" w:eastAsia="es-ES"/>
        </w:rPr>
        <w:t xml:space="preserve">A diferencia de otros energéticos que cuentan con sistemas de transporte continuo mediante redes, una parte importante del GLP requiere ser movilizada a través de diferentes modos de transporte y mediante una cadena logística que involucra múltiples actores e infraestructuras. Como resultado, el abastecimiento del mercado depende del </w:t>
      </w:r>
      <w:r w:rsidRPr="00CF28A2">
        <w:rPr>
          <w:rFonts w:ascii="Arial" w:hAnsi="Arial" w:cs="Arial"/>
          <w:lang w:val="es-ES_tradnl" w:eastAsia="es-ES"/>
        </w:rPr>
        <w:lastRenderedPageBreak/>
        <w:t>adecuado funcionamiento de actividades de cargue, descargue, almacenamiento temporal, transporte terrestre, transporte marítimo y distribución del producto.</w:t>
      </w:r>
    </w:p>
    <w:p w14:paraId="5EE43EEC" w14:textId="77777777" w:rsidR="00CF28A2" w:rsidRPr="00CF28A2" w:rsidRDefault="00CF28A2" w:rsidP="005538C1">
      <w:pPr>
        <w:pStyle w:val="NormalWeb"/>
        <w:spacing w:line="360" w:lineRule="auto"/>
        <w:jc w:val="both"/>
        <w:rPr>
          <w:rFonts w:ascii="Arial" w:hAnsi="Arial" w:cs="Arial"/>
          <w:lang w:val="es-ES_tradnl" w:eastAsia="es-ES"/>
        </w:rPr>
      </w:pPr>
      <w:r w:rsidRPr="00CF28A2">
        <w:rPr>
          <w:rFonts w:ascii="Arial" w:hAnsi="Arial" w:cs="Arial"/>
          <w:lang w:val="es-ES_tradnl" w:eastAsia="es-ES"/>
        </w:rPr>
        <w:t>Los análisis realizados evidencian que la disponibilidad del GLP para los usuarios puede verse influenciada por eventos que afecten el funcionamiento normal de esta infraestructura logística. Restricciones en corredores de transporte, interrupciones en vías de comunicación, limitaciones operativas en puertos o terminales, eventos climáticos extremos, bloqueos, fallas mecánicas o contingencias asociadas a la movilización del producto pueden afectar temporalmente la capacidad de la cadena para abastecer determinados mercados.</w:t>
      </w:r>
    </w:p>
    <w:p w14:paraId="231EDA6D" w14:textId="2B4706FF" w:rsidR="00CF28A2" w:rsidRPr="00CF28A2" w:rsidRDefault="00CF28A2" w:rsidP="005538C1">
      <w:pPr>
        <w:pStyle w:val="NormalWeb"/>
        <w:spacing w:line="360" w:lineRule="auto"/>
        <w:jc w:val="both"/>
        <w:rPr>
          <w:rFonts w:ascii="Arial" w:hAnsi="Arial" w:cs="Arial"/>
          <w:lang w:val="es-ES_tradnl" w:eastAsia="es-ES"/>
        </w:rPr>
      </w:pPr>
      <w:r w:rsidRPr="00CF28A2">
        <w:rPr>
          <w:rFonts w:ascii="Arial" w:hAnsi="Arial" w:cs="Arial"/>
          <w:lang w:val="es-ES_tradnl" w:eastAsia="es-ES"/>
        </w:rPr>
        <w:t>Esta situación adquiere mayor relevancia debido a que una parte importante del abastecimiento nacional depende de infraestructura logística localizada en un número reducido de puntos de ingreso y de corredores estratégicos para la movilización del producto. En consecuencia, afectaciones sobre alguno de estos componentes pueden trasladarse a los demás eslabones de la cadena y comprometer la capacidad del sistema para abastecer oportunamente los diferentes mercados.</w:t>
      </w:r>
    </w:p>
    <w:p w14:paraId="71AE585E" w14:textId="77777777" w:rsidR="00CF28A2" w:rsidRPr="00CF28A2" w:rsidRDefault="00CF28A2" w:rsidP="005538C1">
      <w:pPr>
        <w:pStyle w:val="NormalWeb"/>
        <w:spacing w:line="360" w:lineRule="auto"/>
        <w:jc w:val="both"/>
        <w:rPr>
          <w:rFonts w:ascii="Arial" w:hAnsi="Arial" w:cs="Arial"/>
          <w:lang w:val="es-ES_tradnl" w:eastAsia="es-ES"/>
        </w:rPr>
      </w:pPr>
      <w:r w:rsidRPr="00CF28A2">
        <w:rPr>
          <w:rFonts w:ascii="Arial" w:hAnsi="Arial" w:cs="Arial"/>
          <w:lang w:val="es-ES_tradnl" w:eastAsia="es-ES"/>
        </w:rPr>
        <w:t>Lo anterior no implica necesariamente la existencia de deficiencias en la infraestructura logística o de transporte actualmente disponible. Sin embargo, sí evidencia que la continuidad y confiabilidad del suministro dependen de la capacidad de esta infraestructura para operar de manera permanente, responder adecuadamente ante contingencias y soportar las condiciones requeridas para la movilización eficiente del producto.</w:t>
      </w:r>
    </w:p>
    <w:p w14:paraId="48810702" w14:textId="77777777" w:rsidR="00CF28A2" w:rsidRPr="00CF28A2" w:rsidRDefault="00CF28A2" w:rsidP="005538C1">
      <w:pPr>
        <w:pStyle w:val="NormalWeb"/>
        <w:spacing w:line="360" w:lineRule="auto"/>
        <w:jc w:val="both"/>
        <w:rPr>
          <w:rFonts w:ascii="Arial" w:hAnsi="Arial" w:cs="Arial"/>
          <w:lang w:val="es-ES_tradnl" w:eastAsia="es-ES"/>
        </w:rPr>
      </w:pPr>
      <w:r w:rsidRPr="00CF28A2">
        <w:rPr>
          <w:rFonts w:ascii="Arial" w:hAnsi="Arial" w:cs="Arial"/>
          <w:lang w:val="es-ES_tradnl" w:eastAsia="es-ES"/>
        </w:rPr>
        <w:t>En consecuencia, la vulnerabilidad de la infraestructura logística y de transporte constituye un síntoma relevante para evaluar los riesgos asociados a la continuidad y confiabilidad del suministro de GLP, en la medida en que puede afectar la capacidad de la cadena para garantizar que el producto llegue oportunamente a los diferentes mercados y usuarios finales bajo diversas condiciones operativas.</w:t>
      </w:r>
    </w:p>
    <w:p w14:paraId="5C99C7B2" w14:textId="6D1CD3B0" w:rsidR="00D147A1" w:rsidRPr="00225A26" w:rsidRDefault="00CE108A" w:rsidP="00F66254">
      <w:pPr>
        <w:pStyle w:val="Ttulo4"/>
        <w:spacing w:before="100" w:beforeAutospacing="1" w:after="100" w:afterAutospacing="1" w:line="360" w:lineRule="auto"/>
        <w:ind w:left="1134" w:hanging="1134"/>
      </w:pPr>
      <w:r w:rsidRPr="00225A26">
        <w:lastRenderedPageBreak/>
        <w:t xml:space="preserve">Diferencias regionales en las condiciones de </w:t>
      </w:r>
      <w:r w:rsidR="00DB1EA6" w:rsidRPr="00225A26">
        <w:t>suministro</w:t>
      </w:r>
    </w:p>
    <w:p w14:paraId="45502CDE" w14:textId="77777777" w:rsidR="00C94135" w:rsidRPr="00C94135" w:rsidRDefault="00C94135" w:rsidP="00F66254">
      <w:pPr>
        <w:pStyle w:val="isselectedend"/>
        <w:spacing w:line="360" w:lineRule="auto"/>
        <w:jc w:val="both"/>
        <w:rPr>
          <w:rFonts w:ascii="Arial" w:hAnsi="Arial" w:cs="Arial"/>
          <w:lang w:val="es-ES_tradnl" w:eastAsia="es-ES"/>
        </w:rPr>
      </w:pPr>
      <w:r w:rsidRPr="00C94135">
        <w:rPr>
          <w:rFonts w:ascii="Arial" w:hAnsi="Arial" w:cs="Arial"/>
          <w:lang w:val="es-ES_tradnl" w:eastAsia="es-ES"/>
        </w:rPr>
        <w:t>La continuidad y confiabilidad del suministro de GLP no dependen únicamente de las condiciones generales de abastecimiento observadas a nivel nacional. También se encuentran influenciadas por las particularidades territoriales que caracterizan la prestación del servicio en los diferentes mercados atendidos por la cadena.</w:t>
      </w:r>
    </w:p>
    <w:p w14:paraId="2FD61C96" w14:textId="77777777" w:rsidR="00C94135" w:rsidRPr="00C94135" w:rsidRDefault="00C94135" w:rsidP="00F66254">
      <w:pPr>
        <w:pStyle w:val="isselectedend"/>
        <w:spacing w:line="360" w:lineRule="auto"/>
        <w:jc w:val="both"/>
        <w:rPr>
          <w:rFonts w:ascii="Arial" w:hAnsi="Arial" w:cs="Arial"/>
          <w:lang w:val="es-ES_tradnl" w:eastAsia="es-ES"/>
        </w:rPr>
      </w:pPr>
      <w:r w:rsidRPr="00C94135">
        <w:rPr>
          <w:rFonts w:ascii="Arial" w:hAnsi="Arial" w:cs="Arial"/>
          <w:lang w:val="es-ES_tradnl" w:eastAsia="es-ES"/>
        </w:rPr>
        <w:t>Los análisis realizados evidencian que las condiciones bajo las cuales se abastecen los usuarios pueden variar significativamente entre regiones. Factores como la proximidad a las fuentes de suministro, la disponibilidad de infraestructura logística y de almacenamiento, las características geográficas del territorio, los costos de transporte y las alternativas de abastecimiento disponibles generan diferencias en la forma como cada mercado enfrenta los riesgos asociados a la continuidad del suministro.</w:t>
      </w:r>
    </w:p>
    <w:p w14:paraId="44137B76" w14:textId="77777777" w:rsidR="00C94135" w:rsidRPr="00C94135" w:rsidRDefault="00C94135" w:rsidP="00F66254">
      <w:pPr>
        <w:pStyle w:val="isselectedend"/>
        <w:spacing w:line="360" w:lineRule="auto"/>
        <w:jc w:val="both"/>
        <w:rPr>
          <w:rFonts w:ascii="Arial" w:hAnsi="Arial" w:cs="Arial"/>
          <w:lang w:val="es-ES_tradnl" w:eastAsia="es-ES"/>
        </w:rPr>
      </w:pPr>
      <w:r w:rsidRPr="00C94135">
        <w:rPr>
          <w:rFonts w:ascii="Arial" w:hAnsi="Arial" w:cs="Arial"/>
          <w:lang w:val="es-ES_tradnl" w:eastAsia="es-ES"/>
        </w:rPr>
        <w:t>Algunos mercados cuentan con acceso relativamente cercano a centros de producción, instalaciones de importación o infraestructura de almacenamiento que facilitan la reposición oportuna del producto ante contingencias. En contraste, otros dependen de recorridos logísticos más extensos o de un número limitado de alternativas de abastecimiento, lo que puede incrementar su exposición frente a eventos que afecten la disponibilidad del producto o la operación normal de la cadena.</w:t>
      </w:r>
    </w:p>
    <w:p w14:paraId="3A7436F5" w14:textId="77777777" w:rsidR="00C94135" w:rsidRPr="00C94135" w:rsidRDefault="00C94135" w:rsidP="00F66254">
      <w:pPr>
        <w:pStyle w:val="isselectedend"/>
        <w:spacing w:line="360" w:lineRule="auto"/>
        <w:jc w:val="both"/>
        <w:rPr>
          <w:rFonts w:ascii="Arial" w:hAnsi="Arial" w:cs="Arial"/>
          <w:lang w:val="es-ES_tradnl" w:eastAsia="es-ES"/>
        </w:rPr>
      </w:pPr>
      <w:r w:rsidRPr="00C94135">
        <w:rPr>
          <w:rFonts w:ascii="Arial" w:hAnsi="Arial" w:cs="Arial"/>
          <w:lang w:val="es-ES_tradnl" w:eastAsia="es-ES"/>
        </w:rPr>
        <w:t>Estas diferencias adquieren especial relevancia en regiones apartadas, zonas de difícil acceso o mercados que dependen de corredores logísticos específicos para garantizar el suministro. Un ejemplo de ello es el Archipiélago de San Andrés, Providencia y Santa Catalina, donde las condiciones insulares hacen que la continuidad del suministro dependa de una infraestructura logística y de abastecimiento con características particulares. En estos casos, interrupciones temporales en la infraestructura de transporte, restricciones operativas o eventos extraordinarios pueden generar impactos más significativos que en mercados con mayores alternativas de abastecimiento o capacidades de respaldo.</w:t>
      </w:r>
    </w:p>
    <w:p w14:paraId="176D2DB9" w14:textId="77777777" w:rsidR="00C94135" w:rsidRPr="00C94135" w:rsidRDefault="00C94135" w:rsidP="00F66254">
      <w:pPr>
        <w:pStyle w:val="isselectedend"/>
        <w:spacing w:line="360" w:lineRule="auto"/>
        <w:jc w:val="both"/>
        <w:rPr>
          <w:rFonts w:ascii="Arial" w:hAnsi="Arial" w:cs="Arial"/>
          <w:lang w:val="es-ES" w:eastAsia="es-ES"/>
        </w:rPr>
      </w:pPr>
      <w:r w:rsidRPr="247C94E4">
        <w:rPr>
          <w:rFonts w:ascii="Arial" w:hAnsi="Arial" w:cs="Arial"/>
          <w:lang w:val="es-ES" w:eastAsia="es-ES"/>
        </w:rPr>
        <w:lastRenderedPageBreak/>
        <w:t>Las diferencias regionales también pueden influir sobre los tiempos requeridos para restablecer las condiciones normales de suministro cuando se presentan eventos que afectan alguna de las etapas de la cadena. Como consecuencia, los efectos de una misma contingencia pueden manifestarse de manera diferente entre mercados, dependiendo de sus condiciones particulares de abastecimiento, infraestructura y acceso al producto.</w:t>
      </w:r>
    </w:p>
    <w:p w14:paraId="527FC814" w14:textId="77777777" w:rsidR="00C94135" w:rsidRPr="00C94135" w:rsidRDefault="00C94135" w:rsidP="00F66254">
      <w:pPr>
        <w:pStyle w:val="isselectedend"/>
        <w:spacing w:line="360" w:lineRule="auto"/>
        <w:jc w:val="both"/>
        <w:rPr>
          <w:rFonts w:ascii="Arial" w:hAnsi="Arial" w:cs="Arial"/>
          <w:lang w:val="es-ES_tradnl" w:eastAsia="es-ES"/>
        </w:rPr>
      </w:pPr>
      <w:r w:rsidRPr="00C94135">
        <w:rPr>
          <w:rFonts w:ascii="Arial" w:hAnsi="Arial" w:cs="Arial"/>
          <w:lang w:val="es-ES_tradnl" w:eastAsia="es-ES"/>
        </w:rPr>
        <w:t>Lo anterior no implica necesariamente que existan problemas actuales de continuidad en regiones específicas del país. Sin embargo, sí evidencia que las condiciones de suministro no son homogéneas y que determinados mercados pueden presentar niveles de exposición diferenciados frente a riesgos asociados al abastecimiento, la logística y la infraestructura.</w:t>
      </w:r>
    </w:p>
    <w:p w14:paraId="238A1E0D" w14:textId="2BE2BDDB" w:rsidR="005C4EBE" w:rsidRPr="00C94135" w:rsidRDefault="00C94135" w:rsidP="00F66254">
      <w:pPr>
        <w:pStyle w:val="isselectedend"/>
        <w:spacing w:line="360" w:lineRule="auto"/>
        <w:jc w:val="both"/>
        <w:rPr>
          <w:rFonts w:ascii="Arial" w:hAnsi="Arial" w:cs="Arial"/>
          <w:lang w:val="es-ES_tradnl" w:eastAsia="es-ES"/>
        </w:rPr>
      </w:pPr>
      <w:r w:rsidRPr="00C94135">
        <w:rPr>
          <w:rFonts w:ascii="Arial" w:hAnsi="Arial" w:cs="Arial"/>
          <w:lang w:val="es-ES_tradnl" w:eastAsia="es-ES"/>
        </w:rPr>
        <w:t>En consecuencia, las diferencias regionales en las condiciones de suministro constituyen un síntoma relevante para evaluar los riesgos asociados a la continuidad y confiabilidad del servicio de GLP, en la medida en que pueden influir sobre la capacidad de los distintos mercados para mantener condiciones adecuadas de abastecimiento y garantizar la disponibilidad oportuna del energético para los usuarios finales</w:t>
      </w:r>
      <w:r w:rsidR="005C4EBE" w:rsidRPr="005C4EBE">
        <w:rPr>
          <w:rFonts w:ascii="Arial" w:hAnsi="Arial" w:cs="Arial"/>
          <w:lang w:val="es-ES_tradnl" w:eastAsia="es-ES"/>
        </w:rPr>
        <w:t>.</w:t>
      </w:r>
    </w:p>
    <w:p w14:paraId="1DEA2746" w14:textId="77777777" w:rsidR="0025321D" w:rsidRDefault="0025321D" w:rsidP="00F66254">
      <w:pPr>
        <w:pStyle w:val="Ttulo3"/>
        <w:spacing w:before="100" w:beforeAutospacing="1" w:after="100" w:afterAutospacing="1"/>
        <w:ind w:left="1276" w:hanging="1276"/>
      </w:pPr>
      <w:bookmarkStart w:id="195" w:name="_Toc235128382"/>
      <w:r>
        <w:t>Justificación de la intervención ante la evidencia del problema</w:t>
      </w:r>
      <w:bookmarkEnd w:id="195"/>
    </w:p>
    <w:p w14:paraId="7E571E11" w14:textId="64E1DEFB" w:rsidR="0016053E" w:rsidRPr="0016053E" w:rsidRDefault="0016053E" w:rsidP="00F66254">
      <w:pPr>
        <w:spacing w:before="100" w:beforeAutospacing="1" w:after="100" w:afterAutospacing="1" w:line="360" w:lineRule="auto"/>
      </w:pPr>
      <w:r w:rsidRPr="0016053E">
        <w:t>La identificación de síntomas asociados al riesgo de interrupciones o limitaciones en el suministro no constituye, por sí sola, una justificación para la intervención regulatoria. En el marco del Análisis de Impacto Normativo (AIN), es necesario establecer si las situaciones observadas responden a fallas de mercado, fallas regulatorias u otras condiciones estructurales que limitan la capacidad del sistema para garantizar la continuidad y confiabilidad del suministro o dificultan el cumplimiento de los objetivos de la regulación. Para ello, este apartado analiza la existencia de fallas de mercado y, cuando corresponda, de fallas regulatorias u otras circunstancias que puedan justificar una eventual intervención de la Comisión.</w:t>
      </w:r>
    </w:p>
    <w:p w14:paraId="3AF16B6B" w14:textId="05F20858" w:rsidR="0025321D" w:rsidRDefault="0025321D" w:rsidP="00F66254">
      <w:pPr>
        <w:pStyle w:val="Ttulo4"/>
        <w:spacing w:before="100" w:beforeAutospacing="1" w:after="100" w:afterAutospacing="1" w:line="360" w:lineRule="auto"/>
        <w:ind w:left="1560" w:hanging="1560"/>
      </w:pPr>
      <w:r w:rsidRPr="00821F33">
        <w:lastRenderedPageBreak/>
        <w:t>Fallas de mercado</w:t>
      </w:r>
    </w:p>
    <w:p w14:paraId="12209121" w14:textId="77777777" w:rsidR="000D0516" w:rsidRPr="00E06653" w:rsidRDefault="000D0516" w:rsidP="00F66254">
      <w:pPr>
        <w:pStyle w:val="pdq2pgselectionanchorcontainer"/>
        <w:spacing w:line="360" w:lineRule="auto"/>
        <w:jc w:val="both"/>
        <w:rPr>
          <w:rFonts w:ascii="Arial" w:hAnsi="Arial" w:cs="Arial"/>
          <w:lang w:val="es-ES" w:eastAsia="es-ES"/>
        </w:rPr>
      </w:pPr>
      <w:r w:rsidRPr="00E06653">
        <w:rPr>
          <w:rFonts w:ascii="Arial" w:hAnsi="Arial" w:cs="Arial"/>
          <w:lang w:val="es-ES" w:eastAsia="es-ES"/>
        </w:rPr>
        <w:t>Las fallas de mercado corresponden a situaciones en las cuales el funcionamiento del mercado, por sí solo, no permite alcanzar resultados eficientes desde el punto de vista económico o social. En el contexto del servicio público domiciliario de GLP, estas fallas pueden manifestarse a través de asimetrías de información, barreras que afectan la competencia, externalidades u otras condiciones que limitan la adecuada asignación de recursos y, en consecuencia, pueden afectar la prestación del servicio, la continuidad y confiabilidad del suministro, las eficiencias económicas en la prestación del servicio y el bienestar de los usuarios.</w:t>
      </w:r>
    </w:p>
    <w:p w14:paraId="6E6E2223" w14:textId="066C4E92" w:rsidR="000D0516" w:rsidRPr="000D0516" w:rsidRDefault="000D0516" w:rsidP="00F66254">
      <w:pPr>
        <w:spacing w:before="100" w:beforeAutospacing="1" w:after="100" w:afterAutospacing="1" w:line="360" w:lineRule="auto"/>
        <w:rPr>
          <w:rFonts w:cs="Arial"/>
          <w:szCs w:val="24"/>
          <w:lang w:val="es-ES"/>
        </w:rPr>
      </w:pPr>
      <w:r w:rsidRPr="000D0516">
        <w:rPr>
          <w:rFonts w:cs="Arial"/>
          <w:szCs w:val="24"/>
          <w:lang w:val="es-ES"/>
        </w:rPr>
        <w:t>Con fundamento en el diagnóstico desarrollado en el capítulo anterior y en la evidencia recopilada durante el presente AIN, a continuación, se analizan las principales fallas de mercado identificadas y la forma en que estas permiten explicar los síntomas observados y justificar, de manera preliminar, una eventual intervención regulatoria.</w:t>
      </w:r>
    </w:p>
    <w:p w14:paraId="5AB2AA2E" w14:textId="3136BFC2" w:rsidR="0025321D" w:rsidRDefault="0025321D" w:rsidP="00F66254">
      <w:pPr>
        <w:pStyle w:val="Ttulo5"/>
        <w:numPr>
          <w:ilvl w:val="4"/>
          <w:numId w:val="1"/>
        </w:numPr>
        <w:spacing w:before="100" w:beforeAutospacing="1" w:after="100" w:afterAutospacing="1"/>
        <w:ind w:left="1560" w:hanging="1560"/>
      </w:pPr>
      <w:r>
        <w:t>Externalidades</w:t>
      </w:r>
    </w:p>
    <w:p w14:paraId="7F8593A7" w14:textId="7A2EDA46" w:rsidR="0054379F" w:rsidRPr="0054379F" w:rsidRDefault="0054379F" w:rsidP="00F66254">
      <w:pPr>
        <w:pStyle w:val="NormalWeb"/>
        <w:spacing w:line="360" w:lineRule="auto"/>
        <w:jc w:val="both"/>
        <w:rPr>
          <w:rFonts w:ascii="Arial" w:hAnsi="Arial" w:cs="Arial"/>
          <w:lang w:val="es-ES" w:eastAsia="es-ES"/>
        </w:rPr>
      </w:pPr>
      <w:r w:rsidRPr="0054379F">
        <w:rPr>
          <w:rFonts w:ascii="Arial" w:hAnsi="Arial" w:cs="Arial"/>
          <w:lang w:val="es-ES" w:eastAsia="es-ES"/>
        </w:rPr>
        <w:t>En materia de continuidad y confiabilidad del suministro de GLP, los síntomas identificados sugieren la existencia de externalidades asociadas a las inversiones que fortalecen la seguridad del abastecimiento. En particular, la infraestructura de almacenamiento, las capacidades de respaldo, la infraestructura logística y otras medidas orientadas a incrementar la resiliencia de la cadena pueden generar beneficios que trascienden al agente que realiza la inversión y favorecen el funcionamiento del mercado en su conjunto.</w:t>
      </w:r>
    </w:p>
    <w:p w14:paraId="07441605" w14:textId="6B7307CF" w:rsidR="0054379F" w:rsidRPr="0054379F" w:rsidRDefault="0054379F" w:rsidP="00F66254">
      <w:pPr>
        <w:pStyle w:val="NormalWeb"/>
        <w:spacing w:line="360" w:lineRule="auto"/>
        <w:jc w:val="both"/>
        <w:rPr>
          <w:rFonts w:ascii="Arial" w:hAnsi="Arial" w:cs="Arial"/>
          <w:lang w:val="es-ES" w:eastAsia="es-ES"/>
        </w:rPr>
      </w:pPr>
      <w:r w:rsidRPr="0054379F">
        <w:rPr>
          <w:rFonts w:ascii="Arial" w:hAnsi="Arial" w:cs="Arial"/>
          <w:lang w:val="es-ES" w:eastAsia="es-ES"/>
        </w:rPr>
        <w:t xml:space="preserve">Por ejemplo, la disponibilidad de mayores capacidades de almacenamiento no solo beneficia al propietario de la infraestructura, sino que también contribuye a reducir los efectos de interrupciones temporales en el abastecimiento, facilitar la atención de contingencias, mejorar la capacidad de respuesta del sistema frente a eventos extraordinarios y disminuir los riesgos de desabastecimiento para otros agentes y usuarios. De igual forma, determinadas inversiones en infraestructura logística pueden </w:t>
      </w:r>
      <w:r w:rsidRPr="0054379F">
        <w:rPr>
          <w:rFonts w:ascii="Arial" w:hAnsi="Arial" w:cs="Arial"/>
          <w:lang w:val="es-ES" w:eastAsia="es-ES"/>
        </w:rPr>
        <w:lastRenderedPageBreak/>
        <w:t>ampliar las alternativas de suministro y mejorar las condiciones de abastecimiento de regiones que dependen de un número limitado de fuentes.</w:t>
      </w:r>
    </w:p>
    <w:p w14:paraId="52F66271" w14:textId="2C76C56F" w:rsidR="0054379F" w:rsidRPr="0054379F" w:rsidRDefault="0054379F" w:rsidP="00F66254">
      <w:pPr>
        <w:pStyle w:val="NormalWeb"/>
        <w:spacing w:line="360" w:lineRule="auto"/>
        <w:jc w:val="both"/>
        <w:rPr>
          <w:rFonts w:ascii="Arial" w:hAnsi="Arial" w:cs="Arial"/>
          <w:lang w:val="es-ES" w:eastAsia="es-ES"/>
        </w:rPr>
      </w:pPr>
      <w:r w:rsidRPr="0054379F">
        <w:rPr>
          <w:rFonts w:ascii="Arial" w:hAnsi="Arial" w:cs="Arial"/>
          <w:lang w:val="es-ES" w:eastAsia="es-ES"/>
        </w:rPr>
        <w:t>Estas circunstancias pueden generar diferencias entre los incentivos privados para realizar inversiones destinadas a fortalecer la continuidad y confiabilidad del suministro y los beneficios que dichas inversiones producen para el mercado en su conjunto. Como consecuencia, el nivel de inversión que resulta eficiente desde la perspectiva de cada agente puede ser inferior al que contribuiría a fortalecer la seguridad del abastecimiento desde una perspectiva sectorial.</w:t>
      </w:r>
    </w:p>
    <w:p w14:paraId="077DC204" w14:textId="211A7F3A" w:rsidR="0054379F" w:rsidRPr="0054379F" w:rsidRDefault="0054379F" w:rsidP="00F66254">
      <w:pPr>
        <w:pStyle w:val="NormalWeb"/>
        <w:spacing w:line="360" w:lineRule="auto"/>
        <w:jc w:val="both"/>
        <w:rPr>
          <w:rFonts w:ascii="Arial" w:hAnsi="Arial" w:cs="Arial"/>
          <w:lang w:val="es-ES" w:eastAsia="es-ES"/>
        </w:rPr>
      </w:pPr>
      <w:r w:rsidRPr="0054379F">
        <w:rPr>
          <w:rFonts w:ascii="Arial" w:hAnsi="Arial" w:cs="Arial"/>
          <w:lang w:val="es-ES" w:eastAsia="es-ES"/>
        </w:rPr>
        <w:t>Los síntomas identificados también evidencian que determinados mercados presentan mayores niveles de exposición frente a contingencias asociadas a las fuentes de suministro, la infraestructura logística o las condiciones geográficas. En estos casos, las inversiones realizadas por algunos agentes para fortalecer la disponibilidad de producto o mejorar las condiciones de abastecimiento pueden generar beneficios que se extienden más allá de los usuarios directamente atendidos.</w:t>
      </w:r>
    </w:p>
    <w:p w14:paraId="5C2F2D76" w14:textId="0D5A0E5D" w:rsidR="00A30FAE" w:rsidRPr="00A30FAE" w:rsidRDefault="0054379F" w:rsidP="00F66254">
      <w:pPr>
        <w:pStyle w:val="NormalWeb"/>
        <w:spacing w:line="360" w:lineRule="auto"/>
        <w:jc w:val="both"/>
        <w:rPr>
          <w:rFonts w:ascii="Arial" w:hAnsi="Arial" w:cs="Arial"/>
          <w:lang w:val="es-ES_tradnl" w:eastAsia="es-ES"/>
        </w:rPr>
      </w:pPr>
      <w:r w:rsidRPr="0054379F">
        <w:rPr>
          <w:rFonts w:ascii="Arial" w:hAnsi="Arial" w:cs="Arial"/>
          <w:lang w:val="es-ES" w:eastAsia="es-ES"/>
        </w:rPr>
        <w:t>En consecuencia, las externalidades asociadas a las inversiones que fortalecen el abastecimiento, la infraestructura de respaldo y la capacidad de respuesta de la cadena constituyen una explicación relevante de los síntomas identificados para este eje temático y justifican evaluar si el marco regulatorio genera incentivos adecuados para promover este tipo de inversiones</w:t>
      </w:r>
      <w:r w:rsidR="00A30FAE" w:rsidRPr="00A30FAE">
        <w:rPr>
          <w:rFonts w:ascii="Arial" w:hAnsi="Arial" w:cs="Arial"/>
          <w:lang w:val="es-ES_tradnl" w:eastAsia="es-ES"/>
        </w:rPr>
        <w:t>.</w:t>
      </w:r>
    </w:p>
    <w:p w14:paraId="13379D67" w14:textId="1C673A43" w:rsidR="0025321D" w:rsidRDefault="0025321D" w:rsidP="00275C7F">
      <w:pPr>
        <w:pStyle w:val="Ttulo5"/>
        <w:numPr>
          <w:ilvl w:val="4"/>
          <w:numId w:val="1"/>
        </w:numPr>
        <w:spacing w:before="100" w:beforeAutospacing="1" w:after="100" w:afterAutospacing="1"/>
        <w:ind w:left="1276" w:hanging="1276"/>
      </w:pPr>
      <w:r>
        <w:t>Bienes públicos</w:t>
      </w:r>
    </w:p>
    <w:p w14:paraId="009EABE8" w14:textId="77777777" w:rsidR="00B4791A" w:rsidRPr="00B4791A" w:rsidRDefault="00B4791A" w:rsidP="00275C7F">
      <w:pPr>
        <w:pStyle w:val="isselectedend"/>
        <w:spacing w:line="360" w:lineRule="auto"/>
        <w:jc w:val="both"/>
        <w:rPr>
          <w:rFonts w:ascii="Arial" w:hAnsi="Arial" w:cs="Arial"/>
          <w:lang w:val="es-ES_tradnl" w:eastAsia="es-ES"/>
        </w:rPr>
      </w:pPr>
      <w:r w:rsidRPr="00B4791A">
        <w:rPr>
          <w:rFonts w:ascii="Arial" w:hAnsi="Arial" w:cs="Arial"/>
          <w:lang w:val="es-ES_tradnl" w:eastAsia="es-ES"/>
        </w:rPr>
        <w:t>En materia de continuidad y confiabilidad del suministro de GLP, los síntomas identificados no evidencian la existencia de problemas asociados a la provisión insuficiente de bienes públicos. Las actividades que conforman la cadena de abastecimiento, incluyendo la producción, importación, almacenamiento, transporte, flete y distribución del producto, corresponden a actividades desarrolladas por agentes identificables que pueden apropiarse de los beneficios derivados de las inversiones realizadas y recuperar sus costos mediante los mecanismos propios del mercado.</w:t>
      </w:r>
    </w:p>
    <w:p w14:paraId="3A953CCB" w14:textId="77777777" w:rsidR="00B4791A" w:rsidRPr="00B4791A" w:rsidRDefault="00B4791A" w:rsidP="00275C7F">
      <w:pPr>
        <w:pStyle w:val="isselectedend"/>
        <w:spacing w:line="360" w:lineRule="auto"/>
        <w:jc w:val="both"/>
        <w:rPr>
          <w:rFonts w:ascii="Arial" w:hAnsi="Arial" w:cs="Arial"/>
          <w:lang w:val="es-ES_tradnl" w:eastAsia="es-ES"/>
        </w:rPr>
      </w:pPr>
      <w:r w:rsidRPr="00B4791A">
        <w:rPr>
          <w:rFonts w:ascii="Arial" w:hAnsi="Arial" w:cs="Arial"/>
          <w:lang w:val="es-ES_tradnl" w:eastAsia="es-ES"/>
        </w:rPr>
        <w:lastRenderedPageBreak/>
        <w:t>En este sentido, los síntomas asociados a la dependencia de fuentes de abastecimiento, la exposición a factores externos, las limitaciones en la capacidad de almacenamiento, la infraestructura logística y las diferencias regionales en las condiciones de suministro no parecen originarse en una insuficiente provisión de bienes públicos, sino en las características propias del mercado, la estructura de la cadena de abastecimiento y los incentivos económicos que enfrentan los agentes para realizar inversiones orientadas a fortalecer la continuidad y confiabilidad del suministro.</w:t>
      </w:r>
    </w:p>
    <w:p w14:paraId="5335FFD5" w14:textId="77777777" w:rsidR="00B4791A" w:rsidRPr="00B4791A" w:rsidRDefault="00B4791A" w:rsidP="00275C7F">
      <w:pPr>
        <w:pStyle w:val="isselectedend"/>
        <w:spacing w:line="360" w:lineRule="auto"/>
        <w:jc w:val="both"/>
        <w:rPr>
          <w:rFonts w:ascii="Arial" w:hAnsi="Arial" w:cs="Arial"/>
          <w:lang w:val="es-ES_tradnl" w:eastAsia="es-ES"/>
        </w:rPr>
      </w:pPr>
      <w:r w:rsidRPr="00B4791A">
        <w:rPr>
          <w:rFonts w:ascii="Arial" w:hAnsi="Arial" w:cs="Arial"/>
          <w:lang w:val="es-ES_tradnl" w:eastAsia="es-ES"/>
        </w:rPr>
        <w:t>Si bien algunos elementos relacionados con la generación y disponibilidad de información sectorial sobre el abastecimiento pueden presentar características cercanas a las de un bien público, estas circunstancias no constituyen la explicación principal de los síntomas identificados para este eje temático.</w:t>
      </w:r>
    </w:p>
    <w:p w14:paraId="495C4BA6" w14:textId="34468538" w:rsidR="004B7F11" w:rsidRPr="004B7F11" w:rsidRDefault="00B4791A" w:rsidP="00275C7F">
      <w:pPr>
        <w:pStyle w:val="isselectedend"/>
        <w:spacing w:line="360" w:lineRule="auto"/>
        <w:jc w:val="both"/>
        <w:rPr>
          <w:rFonts w:ascii="Arial" w:hAnsi="Arial" w:cs="Arial"/>
          <w:lang w:val="es-ES_tradnl" w:eastAsia="es-ES"/>
        </w:rPr>
      </w:pPr>
      <w:r w:rsidRPr="00B4791A">
        <w:rPr>
          <w:rFonts w:ascii="Arial" w:hAnsi="Arial" w:cs="Arial"/>
          <w:lang w:val="es-ES_tradnl" w:eastAsia="es-ES"/>
        </w:rPr>
        <w:t>En consecuencia, la falla de mercado asociada a la provisión de bienes públicos no constituye una explicación determinante de los riesgos identificados en materia de continuidad y confiabilidad del suministro de GLP.</w:t>
      </w:r>
    </w:p>
    <w:p w14:paraId="579E211A" w14:textId="3F32EC70" w:rsidR="0025321D" w:rsidRDefault="0025321D" w:rsidP="00275C7F">
      <w:pPr>
        <w:pStyle w:val="Ttulo5"/>
        <w:numPr>
          <w:ilvl w:val="4"/>
          <w:numId w:val="1"/>
        </w:numPr>
        <w:spacing w:before="100" w:beforeAutospacing="1" w:after="100" w:afterAutospacing="1"/>
        <w:ind w:left="1560" w:hanging="1560"/>
      </w:pPr>
      <w:r>
        <w:t>Competencia</w:t>
      </w:r>
    </w:p>
    <w:p w14:paraId="4F2848E7" w14:textId="77777777" w:rsidR="00C1125F" w:rsidRPr="00C1125F" w:rsidRDefault="00C1125F" w:rsidP="00275C7F">
      <w:pPr>
        <w:pStyle w:val="isselectedend"/>
        <w:spacing w:line="360" w:lineRule="auto"/>
        <w:jc w:val="both"/>
        <w:rPr>
          <w:rFonts w:ascii="Arial" w:hAnsi="Arial" w:cs="Arial"/>
          <w:lang w:val="es-ES_tradnl" w:eastAsia="es-ES"/>
        </w:rPr>
      </w:pPr>
      <w:r w:rsidRPr="00C1125F">
        <w:rPr>
          <w:rFonts w:ascii="Arial" w:hAnsi="Arial" w:cs="Arial"/>
          <w:lang w:val="es-ES_tradnl" w:eastAsia="es-ES"/>
        </w:rPr>
        <w:t>En materia de continuidad y confiabilidad del suministro de GLP, los síntomas identificados sugieren que algunas condiciones estructurales del mercado pueden influir sobre la disponibilidad de alternativas de abastecimiento y sobre los incentivos para desarrollar infraestructura que fortalezca la seguridad del suministro. La necesidad de realizar inversiones significativas, la existencia de economías de escala, las restricciones geográficas y los costos asociados al desarrollo de capacidades de almacenamiento, flete e infraestructura logística pueden dificultar el ingreso de nuevos participantes o la expansión de los existentes en determinados segmentos de la cadena.</w:t>
      </w:r>
    </w:p>
    <w:p w14:paraId="258108A1" w14:textId="77777777" w:rsidR="00C1125F" w:rsidRPr="00C1125F" w:rsidRDefault="00C1125F" w:rsidP="00275C7F">
      <w:pPr>
        <w:pStyle w:val="isselectedend"/>
        <w:spacing w:line="360" w:lineRule="auto"/>
        <w:jc w:val="both"/>
        <w:rPr>
          <w:rFonts w:ascii="Arial" w:hAnsi="Arial" w:cs="Arial"/>
          <w:lang w:val="es-ES_tradnl" w:eastAsia="es-ES"/>
        </w:rPr>
      </w:pPr>
      <w:r w:rsidRPr="00C1125F">
        <w:rPr>
          <w:rFonts w:ascii="Arial" w:hAnsi="Arial" w:cs="Arial"/>
          <w:lang w:val="es-ES_tradnl" w:eastAsia="es-ES"/>
        </w:rPr>
        <w:t xml:space="preserve">Estas condiciones resultan especialmente relevantes en las actividades asociadas al abastecimiento y la logística, donde la disponibilidad de infraestructura especializada y el acceso a determinadas instalaciones pueden limitar las alternativas efectivamente disponibles para algunos agentes. Como consecuencia, la capacidad del mercado para </w:t>
      </w:r>
      <w:r w:rsidRPr="00C1125F">
        <w:rPr>
          <w:rFonts w:ascii="Arial" w:hAnsi="Arial" w:cs="Arial"/>
          <w:lang w:val="es-ES_tradnl" w:eastAsia="es-ES"/>
        </w:rPr>
        <w:lastRenderedPageBreak/>
        <w:t>diversificar las fuentes de suministro, desarrollar infraestructura de respaldo y responder oportunamente ante contingencias puede verse condicionada por estas características estructurales.</w:t>
      </w:r>
    </w:p>
    <w:p w14:paraId="1FC4DA3F" w14:textId="21BFF0CB" w:rsidR="00C1125F" w:rsidRPr="00C1125F" w:rsidRDefault="006752E7" w:rsidP="00275C7F">
      <w:pPr>
        <w:pStyle w:val="isselectedend"/>
        <w:spacing w:line="360" w:lineRule="auto"/>
        <w:jc w:val="both"/>
        <w:rPr>
          <w:rFonts w:ascii="Arial" w:hAnsi="Arial" w:cs="Arial"/>
          <w:lang w:val="es-ES_tradnl" w:eastAsia="es-ES"/>
        </w:rPr>
      </w:pPr>
      <w:r w:rsidRPr="006752E7">
        <w:rPr>
          <w:rFonts w:ascii="Arial" w:hAnsi="Arial" w:cs="Arial"/>
          <w:lang w:val="es-ES_tradnl" w:eastAsia="es-ES"/>
        </w:rPr>
        <w:t>Los síntomas asociados a la dependencia de un número limitado de fuentes de abastecimiento, las limitaciones en la capacidad de almacenamiento y las diferencias regionales en las condiciones de suministro evidencian que las características estructurales del mercado no son homogéneas en todos los territorios. En determinadas regiones, las condiciones geográficas, logísticas o económicas pueden reducir las alternativas disponibles para garantizar el abastecimiento de los usuarios y limitar los incentivos para desarrollar capacidades adicionales de respaldo</w:t>
      </w:r>
      <w:r w:rsidR="00C1125F" w:rsidRPr="00C1125F">
        <w:rPr>
          <w:rFonts w:ascii="Arial" w:hAnsi="Arial" w:cs="Arial"/>
          <w:lang w:val="es-ES_tradnl" w:eastAsia="es-ES"/>
        </w:rPr>
        <w:t>.</w:t>
      </w:r>
    </w:p>
    <w:p w14:paraId="27D10187" w14:textId="77777777" w:rsidR="00C1125F" w:rsidRPr="00C1125F" w:rsidRDefault="00C1125F" w:rsidP="00275C7F">
      <w:pPr>
        <w:pStyle w:val="isselectedend"/>
        <w:spacing w:line="360" w:lineRule="auto"/>
        <w:jc w:val="both"/>
        <w:rPr>
          <w:rFonts w:ascii="Arial" w:hAnsi="Arial" w:cs="Arial"/>
          <w:lang w:val="es-ES_tradnl" w:eastAsia="es-ES"/>
        </w:rPr>
      </w:pPr>
      <w:r w:rsidRPr="00C1125F">
        <w:rPr>
          <w:rFonts w:ascii="Arial" w:hAnsi="Arial" w:cs="Arial"/>
          <w:lang w:val="es-ES_tradnl" w:eastAsia="es-ES"/>
        </w:rPr>
        <w:t>Lo anterior no implica necesariamente la existencia de conductas anticompetitivas o de un funcionamiento inadecuado del mercado. Sin embargo, sí evidencia que determinadas características estructurales pueden influir sobre las decisiones de inversión y sobre la capacidad del sistema para fortalecer la continuidad y confiabilidad del suministro.</w:t>
      </w:r>
    </w:p>
    <w:p w14:paraId="439AE7DF" w14:textId="785E29D2" w:rsidR="001656BC" w:rsidRDefault="00C1125F" w:rsidP="00275C7F">
      <w:pPr>
        <w:pStyle w:val="isselectedend"/>
        <w:spacing w:line="360" w:lineRule="auto"/>
        <w:jc w:val="both"/>
        <w:rPr>
          <w:rFonts w:ascii="Arial" w:hAnsi="Arial" w:cs="Arial"/>
          <w:lang w:val="es-ES_tradnl" w:eastAsia="es-ES"/>
        </w:rPr>
      </w:pPr>
      <w:r w:rsidRPr="00C1125F">
        <w:rPr>
          <w:rFonts w:ascii="Arial" w:hAnsi="Arial" w:cs="Arial"/>
          <w:lang w:val="es-ES_tradnl" w:eastAsia="es-ES"/>
        </w:rPr>
        <w:t>En consecuencia, las condiciones de competencia constituyen una explicación complementaria de los síntomas identificados para este eje temático, en la medida en que pueden incidir sobre la diversificación de las fuentes de abastecimiento, el desarrollo de infraestructura de respaldo y la capacidad de respuesta del sistema frente a contingencias.</w:t>
      </w:r>
    </w:p>
    <w:p w14:paraId="6868D47C" w14:textId="1FA56533" w:rsidR="0025321D" w:rsidRDefault="0025321D" w:rsidP="00275C7F">
      <w:pPr>
        <w:pStyle w:val="Ttulo5"/>
        <w:numPr>
          <w:ilvl w:val="4"/>
          <w:numId w:val="1"/>
        </w:numPr>
        <w:spacing w:before="100" w:beforeAutospacing="1" w:after="100" w:afterAutospacing="1"/>
        <w:ind w:left="1418" w:hanging="1418"/>
      </w:pPr>
      <w:r>
        <w:t>Asimetría de información</w:t>
      </w:r>
    </w:p>
    <w:p w14:paraId="3BDEB16A" w14:textId="77777777" w:rsidR="003D3D42" w:rsidRPr="003D3D42" w:rsidRDefault="003D3D42" w:rsidP="00275C7F">
      <w:pPr>
        <w:pStyle w:val="isselectedend"/>
        <w:spacing w:line="360" w:lineRule="auto"/>
        <w:jc w:val="both"/>
        <w:rPr>
          <w:rFonts w:ascii="Arial" w:hAnsi="Arial" w:cs="Arial"/>
          <w:lang w:val="es-ES" w:eastAsia="es-ES"/>
        </w:rPr>
      </w:pPr>
      <w:r w:rsidRPr="07F0F678">
        <w:rPr>
          <w:rFonts w:ascii="Arial" w:hAnsi="Arial" w:cs="Arial"/>
          <w:lang w:val="es-ES" w:eastAsia="es-ES"/>
        </w:rPr>
        <w:t>En materia de continuidad y confiabilidad del suministro de GLP, la información relacionada con la disponibilidad de producto, los niveles de inventario, las condiciones de abastecimiento, la capacidad de almacenamiento y las posibles restricciones operativas resulta relevante para la planeación y coordinación de las actividades que conforman la cadena de suministro. La adecuada toma de decisiones por parte de los agentes depende, en buena medida, del acceso oportuno a esta información.</w:t>
      </w:r>
    </w:p>
    <w:p w14:paraId="2F0D0EA1" w14:textId="6ABC79B0" w:rsidR="003D3D42" w:rsidRPr="003D3D42" w:rsidRDefault="003D3D42" w:rsidP="00275C7F">
      <w:pPr>
        <w:pStyle w:val="isselectedend"/>
        <w:spacing w:line="360" w:lineRule="auto"/>
        <w:jc w:val="both"/>
        <w:rPr>
          <w:rFonts w:ascii="Arial" w:hAnsi="Arial" w:cs="Arial"/>
          <w:lang w:val="es-ES" w:eastAsia="es-ES"/>
        </w:rPr>
      </w:pPr>
      <w:r w:rsidRPr="07F0F678">
        <w:rPr>
          <w:rFonts w:ascii="Arial" w:hAnsi="Arial" w:cs="Arial"/>
          <w:lang w:val="es-ES" w:eastAsia="es-ES"/>
        </w:rPr>
        <w:lastRenderedPageBreak/>
        <w:t>Los síntomas identificados sugieren que pueden existir diferencias en la disponibilidad y acceso a información relevante para la gestión del abastecimiento. En particular, la información relacionada con las condiciones de suministro, la evolución de las fuentes de abastecimiento, la disponibilidad de infraestructura o la ocurrencia de contingencias puede no encontrarse distribuida de manera uniforme entre los diferentes participantes de la cadena, dificultando la planeación y la coordinación de sus actividades.</w:t>
      </w:r>
      <w:r w:rsidR="00541282" w:rsidRPr="00541282">
        <w:rPr>
          <w:rFonts w:ascii="Arial" w:hAnsi="Arial"/>
          <w:szCs w:val="20"/>
          <w:lang w:val="es-ES_tradnl" w:eastAsia="es-ES"/>
        </w:rPr>
        <w:t xml:space="preserve"> </w:t>
      </w:r>
      <w:r w:rsidR="00541282" w:rsidRPr="00541282">
        <w:rPr>
          <w:rFonts w:ascii="Arial" w:hAnsi="Arial" w:cs="Arial"/>
          <w:lang w:val="es-ES_tradnl" w:eastAsia="es-ES"/>
        </w:rPr>
        <w:t>De igual forma, la oportunidad con la que los agentes conocen la disponibilidad efectiva de producto proveniente de las distintas fuentes de abastecimiento puede incidir en la planeación del suministro y en la adopción oportuna de decisiones para complementar la oferta cuando ello resulte necesario.</w:t>
      </w:r>
    </w:p>
    <w:p w14:paraId="7AC17D9E" w14:textId="77777777" w:rsidR="003D3D42" w:rsidRPr="003D3D42" w:rsidRDefault="003D3D42" w:rsidP="00275C7F">
      <w:pPr>
        <w:pStyle w:val="isselectedend"/>
        <w:spacing w:line="360" w:lineRule="auto"/>
        <w:jc w:val="both"/>
        <w:rPr>
          <w:rFonts w:ascii="Arial" w:hAnsi="Arial" w:cs="Arial"/>
          <w:lang w:val="es-ES_tradnl" w:eastAsia="es-ES"/>
        </w:rPr>
      </w:pPr>
      <w:r w:rsidRPr="003D3D42">
        <w:rPr>
          <w:rFonts w:ascii="Arial" w:hAnsi="Arial" w:cs="Arial"/>
          <w:lang w:val="es-ES_tradnl" w:eastAsia="es-ES"/>
        </w:rPr>
        <w:t>No obstante, los síntomas identificados en materia de continuidad y confiabilidad del suministro parecen estar asociados principalmente a condiciones estructurales relacionadas con las fuentes de abastecimiento, la infraestructura disponible, el almacenamiento y la logística de la cadena, más que a problemas derivados de la disponibilidad de información.</w:t>
      </w:r>
    </w:p>
    <w:p w14:paraId="1F6A87B5" w14:textId="45A635CB" w:rsidR="00B26ACB" w:rsidRDefault="003D3D42" w:rsidP="00275C7F">
      <w:pPr>
        <w:pStyle w:val="isselectedend"/>
        <w:spacing w:line="360" w:lineRule="auto"/>
        <w:jc w:val="both"/>
        <w:rPr>
          <w:rFonts w:ascii="Arial" w:hAnsi="Arial" w:cs="Arial"/>
          <w:lang w:val="es-ES_tradnl" w:eastAsia="es-ES"/>
        </w:rPr>
      </w:pPr>
      <w:r w:rsidRPr="003D3D42">
        <w:rPr>
          <w:rFonts w:ascii="Arial" w:hAnsi="Arial" w:cs="Arial"/>
          <w:lang w:val="es-ES_tradnl" w:eastAsia="es-ES"/>
        </w:rPr>
        <w:t>En consecuencia, si bien las asimetrías de información pueden contribuir a explicar algunos aspectos relacionados con la gestión del abastecimiento y la coordinación entre los agentes, esta falla de mercado no constituye la explicación principal de los síntomas identificados para este eje temático.</w:t>
      </w:r>
    </w:p>
    <w:p w14:paraId="16B4CD50" w14:textId="01D8CC7B" w:rsidR="00CD7CEB" w:rsidRDefault="00CD7CEB" w:rsidP="002F1961">
      <w:pPr>
        <w:pStyle w:val="isselectedend"/>
        <w:spacing w:line="360" w:lineRule="auto"/>
        <w:jc w:val="both"/>
        <w:rPr>
          <w:rFonts w:ascii="Arial" w:hAnsi="Arial" w:cs="Arial"/>
          <w:lang w:val="es-ES_tradnl" w:eastAsia="es-ES"/>
        </w:rPr>
      </w:pPr>
      <w:r w:rsidRPr="00CD7CEB">
        <w:rPr>
          <w:rFonts w:ascii="Arial" w:hAnsi="Arial" w:cs="Arial"/>
          <w:lang w:val="es-ES_tradnl" w:eastAsia="es-ES"/>
        </w:rPr>
        <w:t xml:space="preserve">En síntesis, el análisis realizado evidencia que los síntomas identificados para este eje se explican principalmente por condiciones asociadas a la estructura del mercado de abastecimiento y por externalidades relacionadas con la seguridad y resiliencia del sistema de suministro. Mientras las restricciones de competencia explican principalmente la dependencia de un número limitado de fuentes de abastecimiento y la creciente exposición a factores externos, las externalidades constituyen la principal explicación de los síntomas asociados a la capacidad de almacenamiento, la infraestructura logística y las diferencias regionales en las condiciones de suministro. </w:t>
      </w:r>
      <w:r w:rsidR="00345C7E" w:rsidRPr="00015102">
        <w:rPr>
          <w:rFonts w:ascii="Arial" w:hAnsi="Arial" w:cs="Arial"/>
          <w:lang w:val="es-ES_tradnl" w:eastAsia="es-ES"/>
        </w:rPr>
        <w:t>La</w:t>
      </w:r>
      <w:r w:rsidRPr="00015102">
        <w:rPr>
          <w:rFonts w:ascii="Arial" w:hAnsi="Arial" w:cs="Arial"/>
          <w:lang w:val="es-ES_tradnl" w:eastAsia="es-ES"/>
        </w:rPr>
        <w:t xml:space="preserve"> </w:t>
      </w:r>
      <w:r w:rsidR="00345C7E" w:rsidRPr="00015102">
        <w:rPr>
          <w:rFonts w:ascii="Arial" w:hAnsi="Arial" w:cs="Arial"/>
          <w:lang w:val="es-ES_tradnl" w:eastAsia="es-ES"/>
        </w:rPr>
        <w:fldChar w:fldCharType="begin"/>
      </w:r>
      <w:r w:rsidR="00345C7E" w:rsidRPr="00015102">
        <w:rPr>
          <w:rFonts w:ascii="Arial" w:hAnsi="Arial" w:cs="Arial"/>
          <w:lang w:val="es-ES_tradnl" w:eastAsia="es-ES"/>
        </w:rPr>
        <w:instrText xml:space="preserve"> REF _Ref235114626 \h </w:instrText>
      </w:r>
      <w:r w:rsidR="00121542" w:rsidRPr="00015102">
        <w:rPr>
          <w:rFonts w:ascii="Arial" w:hAnsi="Arial" w:cs="Arial"/>
          <w:lang w:val="es-ES_tradnl" w:eastAsia="es-ES"/>
        </w:rPr>
        <w:instrText xml:space="preserve"> \* MERGEFORMAT </w:instrText>
      </w:r>
      <w:r w:rsidR="00345C7E" w:rsidRPr="00015102">
        <w:rPr>
          <w:rFonts w:ascii="Arial" w:hAnsi="Arial" w:cs="Arial"/>
          <w:lang w:val="es-ES_tradnl" w:eastAsia="es-ES"/>
        </w:rPr>
      </w:r>
      <w:r w:rsidR="00345C7E" w:rsidRPr="00015102">
        <w:rPr>
          <w:rFonts w:ascii="Arial" w:hAnsi="Arial" w:cs="Arial"/>
          <w:lang w:val="es-ES_tradnl" w:eastAsia="es-ES"/>
        </w:rPr>
        <w:fldChar w:fldCharType="separate"/>
      </w:r>
      <w:r w:rsidR="00015102" w:rsidRPr="00015102">
        <w:rPr>
          <w:rFonts w:ascii="Arial" w:hAnsi="Arial" w:cs="Arial"/>
        </w:rPr>
        <w:t xml:space="preserve">Tabla </w:t>
      </w:r>
      <w:r w:rsidR="00015102" w:rsidRPr="00015102">
        <w:rPr>
          <w:rFonts w:ascii="Arial" w:hAnsi="Arial" w:cs="Arial"/>
          <w:noProof/>
        </w:rPr>
        <w:t>12</w:t>
      </w:r>
      <w:r w:rsidR="00345C7E" w:rsidRPr="00015102">
        <w:rPr>
          <w:rFonts w:ascii="Arial" w:hAnsi="Arial" w:cs="Arial"/>
          <w:lang w:val="es-ES_tradnl" w:eastAsia="es-ES"/>
        </w:rPr>
        <w:fldChar w:fldCharType="end"/>
      </w:r>
      <w:r w:rsidRPr="00CD7CEB">
        <w:rPr>
          <w:rFonts w:ascii="Arial" w:hAnsi="Arial" w:cs="Arial"/>
          <w:lang w:val="es-ES_tradnl" w:eastAsia="es-ES"/>
        </w:rPr>
        <w:t xml:space="preserve"> resume la relación entre los síntomas identificados y las fallas de mercado que los explican.</w:t>
      </w:r>
    </w:p>
    <w:p w14:paraId="5F2D9C19" w14:textId="6A21D421" w:rsidR="004C53F9" w:rsidRPr="00345C7E" w:rsidRDefault="004C53F9" w:rsidP="00345C7E">
      <w:pPr>
        <w:pStyle w:val="Descripcin"/>
        <w:jc w:val="center"/>
        <w:rPr>
          <w:rFonts w:cs="Arial"/>
          <w:b w:val="0"/>
          <w:szCs w:val="24"/>
        </w:rPr>
      </w:pPr>
      <w:bookmarkStart w:id="196" w:name="_Ref235114626"/>
      <w:bookmarkStart w:id="197" w:name="_Toc235128409"/>
      <w:r w:rsidRPr="00345C7E">
        <w:rPr>
          <w:b w:val="0"/>
          <w:szCs w:val="24"/>
        </w:rPr>
        <w:lastRenderedPageBreak/>
        <w:t xml:space="preserve">Tabla </w:t>
      </w:r>
      <w:r w:rsidR="00711FAF" w:rsidRPr="00345C7E">
        <w:rPr>
          <w:b w:val="0"/>
          <w:bCs/>
          <w:szCs w:val="24"/>
        </w:rPr>
        <w:fldChar w:fldCharType="begin"/>
      </w:r>
      <w:r w:rsidR="00711FAF" w:rsidRPr="00345C7E">
        <w:rPr>
          <w:b w:val="0"/>
          <w:bCs/>
          <w:szCs w:val="24"/>
        </w:rPr>
        <w:instrText xml:space="preserve"> SEQ Tabla \* ARABIC </w:instrText>
      </w:r>
      <w:r w:rsidR="00711FAF" w:rsidRPr="00345C7E">
        <w:rPr>
          <w:b w:val="0"/>
          <w:bCs/>
          <w:szCs w:val="24"/>
        </w:rPr>
        <w:fldChar w:fldCharType="separate"/>
      </w:r>
      <w:r w:rsidR="001C42C8">
        <w:rPr>
          <w:b w:val="0"/>
          <w:bCs/>
          <w:noProof/>
          <w:szCs w:val="24"/>
        </w:rPr>
        <w:t>12</w:t>
      </w:r>
      <w:r w:rsidR="00711FAF" w:rsidRPr="00345C7E">
        <w:rPr>
          <w:b w:val="0"/>
          <w:bCs/>
          <w:szCs w:val="24"/>
        </w:rPr>
        <w:fldChar w:fldCharType="end"/>
      </w:r>
      <w:bookmarkEnd w:id="196"/>
      <w:r w:rsidR="00711FAF" w:rsidRPr="00345C7E">
        <w:rPr>
          <w:b w:val="0"/>
          <w:bCs/>
          <w:szCs w:val="24"/>
        </w:rPr>
        <w:t>.</w:t>
      </w:r>
      <w:r w:rsidRPr="00345C7E">
        <w:rPr>
          <w:b w:val="0"/>
          <w:szCs w:val="24"/>
        </w:rPr>
        <w:t xml:space="preserve"> </w:t>
      </w:r>
      <w:r w:rsidRPr="00345C7E">
        <w:rPr>
          <w:rFonts w:cs="Arial"/>
          <w:b w:val="0"/>
          <w:szCs w:val="24"/>
        </w:rPr>
        <w:t>Relación entre los síntomas identificados y las fallas de mercado que los explican</w:t>
      </w:r>
      <w:bookmarkEnd w:id="197"/>
    </w:p>
    <w:tbl>
      <w:tblPr>
        <w:tblStyle w:val="Tablaconcuadrcula"/>
        <w:tblW w:w="9918" w:type="dxa"/>
        <w:tblLayout w:type="fixed"/>
        <w:tblLook w:val="04A0" w:firstRow="1" w:lastRow="0" w:firstColumn="1" w:lastColumn="0" w:noHBand="0" w:noVBand="1"/>
      </w:tblPr>
      <w:tblGrid>
        <w:gridCol w:w="3964"/>
        <w:gridCol w:w="1488"/>
        <w:gridCol w:w="1489"/>
        <w:gridCol w:w="1488"/>
        <w:gridCol w:w="1489"/>
      </w:tblGrid>
      <w:tr w:rsidR="004C53F9" w:rsidRPr="004C53F9" w14:paraId="5382E2DD" w14:textId="77777777" w:rsidTr="009B35A8">
        <w:trPr>
          <w:tblHeader/>
        </w:trPr>
        <w:tc>
          <w:tcPr>
            <w:tcW w:w="3964" w:type="dxa"/>
            <w:vAlign w:val="center"/>
            <w:hideMark/>
          </w:tcPr>
          <w:p w14:paraId="2E53B013" w14:textId="44CFA098" w:rsidR="004C53F9" w:rsidRPr="004C53F9" w:rsidRDefault="004C53F9" w:rsidP="002F1961">
            <w:pPr>
              <w:pStyle w:val="NormalWeb"/>
              <w:spacing w:line="360" w:lineRule="auto"/>
              <w:ind w:left="31"/>
              <w:jc w:val="center"/>
              <w:rPr>
                <w:rFonts w:ascii="Arial" w:hAnsi="Arial" w:cs="Arial"/>
                <w:b/>
                <w:bCs/>
                <w:sz w:val="18"/>
                <w:szCs w:val="18"/>
              </w:rPr>
            </w:pPr>
            <w:r w:rsidRPr="0065350B">
              <w:rPr>
                <w:rFonts w:ascii="Arial" w:hAnsi="Arial" w:cs="Arial"/>
                <w:b/>
                <w:bCs/>
                <w:sz w:val="18"/>
                <w:szCs w:val="18"/>
              </w:rPr>
              <w:t>Síntoma identificado</w:t>
            </w:r>
          </w:p>
        </w:tc>
        <w:tc>
          <w:tcPr>
            <w:tcW w:w="1488" w:type="dxa"/>
            <w:vAlign w:val="center"/>
            <w:hideMark/>
          </w:tcPr>
          <w:p w14:paraId="5B96A224" w14:textId="6EDD8735" w:rsidR="004C53F9" w:rsidRPr="004C53F9" w:rsidRDefault="004C53F9" w:rsidP="002F1961">
            <w:pPr>
              <w:pStyle w:val="isselectedend"/>
              <w:spacing w:line="360" w:lineRule="auto"/>
              <w:ind w:left="-110"/>
              <w:jc w:val="center"/>
              <w:rPr>
                <w:rFonts w:ascii="Arial" w:hAnsi="Arial" w:cs="Arial"/>
                <w:b/>
                <w:bCs/>
                <w:sz w:val="22"/>
                <w:szCs w:val="22"/>
              </w:rPr>
            </w:pPr>
            <w:r w:rsidRPr="0065350B">
              <w:rPr>
                <w:rFonts w:ascii="Arial" w:hAnsi="Arial" w:cs="Arial"/>
                <w:b/>
                <w:bCs/>
                <w:sz w:val="18"/>
                <w:szCs w:val="18"/>
              </w:rPr>
              <w:t>Externalidades</w:t>
            </w:r>
          </w:p>
        </w:tc>
        <w:tc>
          <w:tcPr>
            <w:tcW w:w="1489" w:type="dxa"/>
            <w:vAlign w:val="center"/>
            <w:hideMark/>
          </w:tcPr>
          <w:p w14:paraId="3CD725BB" w14:textId="5E1CF1A1" w:rsidR="004C53F9" w:rsidRPr="004C53F9" w:rsidRDefault="004C53F9" w:rsidP="002F1961">
            <w:pPr>
              <w:pStyle w:val="isselectedend"/>
              <w:spacing w:line="360" w:lineRule="auto"/>
              <w:jc w:val="center"/>
              <w:rPr>
                <w:rFonts w:ascii="Arial" w:hAnsi="Arial" w:cs="Arial"/>
                <w:b/>
                <w:bCs/>
                <w:sz w:val="22"/>
                <w:szCs w:val="22"/>
              </w:rPr>
            </w:pPr>
            <w:r w:rsidRPr="0065350B">
              <w:rPr>
                <w:rFonts w:ascii="Arial" w:hAnsi="Arial" w:cs="Arial"/>
                <w:b/>
                <w:bCs/>
                <w:sz w:val="18"/>
                <w:szCs w:val="18"/>
              </w:rPr>
              <w:t>Competencia</w:t>
            </w:r>
          </w:p>
        </w:tc>
        <w:tc>
          <w:tcPr>
            <w:tcW w:w="1488" w:type="dxa"/>
            <w:vAlign w:val="center"/>
            <w:hideMark/>
          </w:tcPr>
          <w:p w14:paraId="24CF4AEE" w14:textId="09DF69F0" w:rsidR="004C53F9" w:rsidRPr="004C53F9" w:rsidRDefault="004C53F9" w:rsidP="002F1961">
            <w:pPr>
              <w:pStyle w:val="isselectedend"/>
              <w:spacing w:line="360" w:lineRule="auto"/>
              <w:jc w:val="center"/>
              <w:rPr>
                <w:rFonts w:ascii="Arial" w:hAnsi="Arial" w:cs="Arial"/>
                <w:b/>
                <w:bCs/>
                <w:sz w:val="22"/>
                <w:szCs w:val="22"/>
              </w:rPr>
            </w:pPr>
            <w:r w:rsidRPr="0065350B">
              <w:rPr>
                <w:rFonts w:ascii="Arial" w:hAnsi="Arial" w:cs="Arial"/>
                <w:b/>
                <w:bCs/>
                <w:sz w:val="18"/>
                <w:szCs w:val="18"/>
              </w:rPr>
              <w:t>Asimetría de información</w:t>
            </w:r>
          </w:p>
        </w:tc>
        <w:tc>
          <w:tcPr>
            <w:tcW w:w="1489" w:type="dxa"/>
            <w:vAlign w:val="center"/>
            <w:hideMark/>
          </w:tcPr>
          <w:p w14:paraId="3F7A57B0" w14:textId="3B6370ED" w:rsidR="004C53F9" w:rsidRPr="004C53F9" w:rsidRDefault="004C53F9" w:rsidP="002F1961">
            <w:pPr>
              <w:pStyle w:val="isselectedend"/>
              <w:spacing w:line="360" w:lineRule="auto"/>
              <w:jc w:val="center"/>
              <w:rPr>
                <w:rFonts w:ascii="Arial" w:hAnsi="Arial" w:cs="Arial"/>
                <w:b/>
                <w:bCs/>
                <w:sz w:val="22"/>
                <w:szCs w:val="22"/>
              </w:rPr>
            </w:pPr>
            <w:r w:rsidRPr="0065350B">
              <w:rPr>
                <w:rFonts w:ascii="Arial" w:hAnsi="Arial" w:cs="Arial"/>
                <w:b/>
                <w:bCs/>
                <w:sz w:val="18"/>
                <w:szCs w:val="18"/>
              </w:rPr>
              <w:t>Bienes públicos</w:t>
            </w:r>
          </w:p>
        </w:tc>
      </w:tr>
      <w:tr w:rsidR="004C53F9" w:rsidRPr="004C53F9" w14:paraId="231B9CDE" w14:textId="77777777" w:rsidTr="00134636">
        <w:tc>
          <w:tcPr>
            <w:tcW w:w="3964" w:type="dxa"/>
            <w:vAlign w:val="center"/>
            <w:hideMark/>
          </w:tcPr>
          <w:p w14:paraId="5F460FA6" w14:textId="77777777" w:rsidR="004C53F9" w:rsidRPr="004C53F9" w:rsidRDefault="004C53F9" w:rsidP="002F1961">
            <w:pPr>
              <w:pStyle w:val="isselectedend"/>
              <w:spacing w:line="360" w:lineRule="auto"/>
              <w:rPr>
                <w:rFonts w:ascii="Arial" w:hAnsi="Arial" w:cs="Arial"/>
                <w:sz w:val="20"/>
                <w:szCs w:val="20"/>
              </w:rPr>
            </w:pPr>
            <w:r w:rsidRPr="004C53F9">
              <w:rPr>
                <w:rFonts w:ascii="Arial" w:hAnsi="Arial" w:cs="Arial"/>
                <w:sz w:val="20"/>
                <w:szCs w:val="20"/>
              </w:rPr>
              <w:t>Dependencia de un número limitado de fuentes de abastecimiento</w:t>
            </w:r>
          </w:p>
        </w:tc>
        <w:tc>
          <w:tcPr>
            <w:tcW w:w="1488" w:type="dxa"/>
            <w:vAlign w:val="center"/>
            <w:hideMark/>
          </w:tcPr>
          <w:p w14:paraId="1DD34B91" w14:textId="77777777" w:rsidR="004C53F9" w:rsidRPr="004C53F9" w:rsidRDefault="004C53F9" w:rsidP="002F1961">
            <w:pPr>
              <w:pStyle w:val="isselectedend"/>
              <w:spacing w:line="360" w:lineRule="auto"/>
              <w:jc w:val="center"/>
              <w:rPr>
                <w:rFonts w:ascii="Arial" w:hAnsi="Arial" w:cs="Arial"/>
                <w:sz w:val="22"/>
                <w:szCs w:val="22"/>
              </w:rPr>
            </w:pPr>
            <w:r w:rsidRPr="004C53F9">
              <w:rPr>
                <w:rFonts w:ascii="Cambria Math" w:hAnsi="Cambria Math" w:cs="Cambria Math"/>
                <w:sz w:val="22"/>
                <w:szCs w:val="22"/>
              </w:rPr>
              <w:t>◐</w:t>
            </w:r>
          </w:p>
        </w:tc>
        <w:tc>
          <w:tcPr>
            <w:tcW w:w="1489" w:type="dxa"/>
            <w:vAlign w:val="center"/>
            <w:hideMark/>
          </w:tcPr>
          <w:p w14:paraId="4E06C19B" w14:textId="77777777" w:rsidR="004C53F9" w:rsidRPr="004C53F9" w:rsidRDefault="004C53F9" w:rsidP="002F1961">
            <w:pPr>
              <w:pStyle w:val="isselectedend"/>
              <w:spacing w:line="360" w:lineRule="auto"/>
              <w:jc w:val="center"/>
              <w:rPr>
                <w:rFonts w:ascii="Arial" w:hAnsi="Arial" w:cs="Arial"/>
                <w:sz w:val="22"/>
                <w:szCs w:val="22"/>
              </w:rPr>
            </w:pPr>
            <w:r w:rsidRPr="004C53F9">
              <w:rPr>
                <w:rFonts w:ascii="Segoe UI Emoji" w:hAnsi="Segoe UI Emoji" w:cs="Segoe UI Emoji"/>
                <w:sz w:val="22"/>
                <w:szCs w:val="22"/>
              </w:rPr>
              <w:t>✅</w:t>
            </w:r>
          </w:p>
        </w:tc>
        <w:tc>
          <w:tcPr>
            <w:tcW w:w="1488" w:type="dxa"/>
            <w:vAlign w:val="center"/>
            <w:hideMark/>
          </w:tcPr>
          <w:p w14:paraId="743E3F88" w14:textId="77777777" w:rsidR="004C53F9" w:rsidRPr="004C53F9" w:rsidRDefault="004C53F9" w:rsidP="002F1961">
            <w:pPr>
              <w:pStyle w:val="isselectedend"/>
              <w:spacing w:line="360" w:lineRule="auto"/>
              <w:jc w:val="center"/>
              <w:rPr>
                <w:rFonts w:ascii="Arial" w:hAnsi="Arial" w:cs="Arial"/>
                <w:sz w:val="22"/>
                <w:szCs w:val="22"/>
              </w:rPr>
            </w:pPr>
            <w:r w:rsidRPr="004C53F9">
              <w:rPr>
                <w:rFonts w:ascii="Segoe UI Emoji" w:hAnsi="Segoe UI Emoji" w:cs="Segoe UI Emoji"/>
                <w:sz w:val="22"/>
                <w:szCs w:val="22"/>
              </w:rPr>
              <w:t>❌</w:t>
            </w:r>
          </w:p>
        </w:tc>
        <w:tc>
          <w:tcPr>
            <w:tcW w:w="1489" w:type="dxa"/>
            <w:vAlign w:val="center"/>
            <w:hideMark/>
          </w:tcPr>
          <w:p w14:paraId="131837A6" w14:textId="77777777" w:rsidR="004C53F9" w:rsidRPr="004C53F9" w:rsidRDefault="004C53F9" w:rsidP="002F1961">
            <w:pPr>
              <w:pStyle w:val="isselectedend"/>
              <w:spacing w:line="360" w:lineRule="auto"/>
              <w:jc w:val="center"/>
              <w:rPr>
                <w:rFonts w:ascii="Arial" w:hAnsi="Arial" w:cs="Arial"/>
                <w:sz w:val="22"/>
                <w:szCs w:val="22"/>
              </w:rPr>
            </w:pPr>
            <w:r w:rsidRPr="004C53F9">
              <w:rPr>
                <w:rFonts w:ascii="Segoe UI Emoji" w:hAnsi="Segoe UI Emoji" w:cs="Segoe UI Emoji"/>
                <w:sz w:val="22"/>
                <w:szCs w:val="22"/>
              </w:rPr>
              <w:t>❌</w:t>
            </w:r>
          </w:p>
        </w:tc>
      </w:tr>
      <w:tr w:rsidR="004C53F9" w:rsidRPr="004C53F9" w14:paraId="71F7E704" w14:textId="77777777" w:rsidTr="00134636">
        <w:tc>
          <w:tcPr>
            <w:tcW w:w="3964" w:type="dxa"/>
            <w:vAlign w:val="center"/>
            <w:hideMark/>
          </w:tcPr>
          <w:p w14:paraId="755DC803" w14:textId="77777777" w:rsidR="004C53F9" w:rsidRPr="004C53F9" w:rsidRDefault="004C53F9" w:rsidP="002F1961">
            <w:pPr>
              <w:pStyle w:val="isselectedend"/>
              <w:spacing w:line="360" w:lineRule="auto"/>
              <w:rPr>
                <w:rFonts w:ascii="Arial" w:hAnsi="Arial" w:cs="Arial"/>
                <w:sz w:val="20"/>
                <w:szCs w:val="20"/>
              </w:rPr>
            </w:pPr>
            <w:r w:rsidRPr="004C53F9">
              <w:rPr>
                <w:rFonts w:ascii="Arial" w:hAnsi="Arial" w:cs="Arial"/>
                <w:sz w:val="20"/>
                <w:szCs w:val="20"/>
              </w:rPr>
              <w:t>Exposición del abastecimiento a factores externos</w:t>
            </w:r>
          </w:p>
        </w:tc>
        <w:tc>
          <w:tcPr>
            <w:tcW w:w="1488" w:type="dxa"/>
            <w:vAlign w:val="center"/>
            <w:hideMark/>
          </w:tcPr>
          <w:p w14:paraId="29CF135A" w14:textId="77777777" w:rsidR="004C53F9" w:rsidRPr="004C53F9" w:rsidRDefault="004C53F9" w:rsidP="002F1961">
            <w:pPr>
              <w:pStyle w:val="isselectedend"/>
              <w:spacing w:line="360" w:lineRule="auto"/>
              <w:jc w:val="center"/>
              <w:rPr>
                <w:rFonts w:ascii="Arial" w:hAnsi="Arial" w:cs="Arial"/>
                <w:sz w:val="22"/>
                <w:szCs w:val="22"/>
              </w:rPr>
            </w:pPr>
            <w:r w:rsidRPr="004C53F9">
              <w:rPr>
                <w:rFonts w:ascii="Cambria Math" w:hAnsi="Cambria Math" w:cs="Cambria Math"/>
                <w:sz w:val="22"/>
                <w:szCs w:val="22"/>
              </w:rPr>
              <w:t>◐</w:t>
            </w:r>
          </w:p>
        </w:tc>
        <w:tc>
          <w:tcPr>
            <w:tcW w:w="1489" w:type="dxa"/>
            <w:vAlign w:val="center"/>
            <w:hideMark/>
          </w:tcPr>
          <w:p w14:paraId="08262BB5" w14:textId="77777777" w:rsidR="004C53F9" w:rsidRPr="004C53F9" w:rsidRDefault="004C53F9" w:rsidP="002F1961">
            <w:pPr>
              <w:pStyle w:val="isselectedend"/>
              <w:spacing w:line="360" w:lineRule="auto"/>
              <w:jc w:val="center"/>
              <w:rPr>
                <w:rFonts w:ascii="Arial" w:hAnsi="Arial" w:cs="Arial"/>
                <w:sz w:val="22"/>
                <w:szCs w:val="22"/>
              </w:rPr>
            </w:pPr>
            <w:r w:rsidRPr="004C53F9">
              <w:rPr>
                <w:rFonts w:ascii="Segoe UI Emoji" w:hAnsi="Segoe UI Emoji" w:cs="Segoe UI Emoji"/>
                <w:sz w:val="22"/>
                <w:szCs w:val="22"/>
              </w:rPr>
              <w:t>✅</w:t>
            </w:r>
          </w:p>
        </w:tc>
        <w:tc>
          <w:tcPr>
            <w:tcW w:w="1488" w:type="dxa"/>
            <w:vAlign w:val="center"/>
            <w:hideMark/>
          </w:tcPr>
          <w:p w14:paraId="3B676139" w14:textId="77777777" w:rsidR="004C53F9" w:rsidRPr="004C53F9" w:rsidRDefault="004C53F9" w:rsidP="002F1961">
            <w:pPr>
              <w:pStyle w:val="isselectedend"/>
              <w:spacing w:line="360" w:lineRule="auto"/>
              <w:jc w:val="center"/>
              <w:rPr>
                <w:rFonts w:ascii="Arial" w:hAnsi="Arial" w:cs="Arial"/>
                <w:sz w:val="22"/>
                <w:szCs w:val="22"/>
              </w:rPr>
            </w:pPr>
            <w:r w:rsidRPr="004C53F9">
              <w:rPr>
                <w:rFonts w:ascii="Segoe UI Emoji" w:hAnsi="Segoe UI Emoji" w:cs="Segoe UI Emoji"/>
                <w:sz w:val="22"/>
                <w:szCs w:val="22"/>
              </w:rPr>
              <w:t>❌</w:t>
            </w:r>
          </w:p>
        </w:tc>
        <w:tc>
          <w:tcPr>
            <w:tcW w:w="1489" w:type="dxa"/>
            <w:vAlign w:val="center"/>
            <w:hideMark/>
          </w:tcPr>
          <w:p w14:paraId="08099077" w14:textId="77777777" w:rsidR="004C53F9" w:rsidRPr="004C53F9" w:rsidRDefault="004C53F9" w:rsidP="002F1961">
            <w:pPr>
              <w:pStyle w:val="isselectedend"/>
              <w:spacing w:line="360" w:lineRule="auto"/>
              <w:jc w:val="center"/>
              <w:rPr>
                <w:rFonts w:ascii="Arial" w:hAnsi="Arial" w:cs="Arial"/>
                <w:sz w:val="22"/>
                <w:szCs w:val="22"/>
              </w:rPr>
            </w:pPr>
            <w:r w:rsidRPr="004C53F9">
              <w:rPr>
                <w:rFonts w:ascii="Segoe UI Emoji" w:hAnsi="Segoe UI Emoji" w:cs="Segoe UI Emoji"/>
                <w:sz w:val="22"/>
                <w:szCs w:val="22"/>
              </w:rPr>
              <w:t>❌</w:t>
            </w:r>
          </w:p>
        </w:tc>
      </w:tr>
      <w:tr w:rsidR="004C53F9" w:rsidRPr="004C53F9" w14:paraId="5A3F76CA" w14:textId="77777777" w:rsidTr="00134636">
        <w:tc>
          <w:tcPr>
            <w:tcW w:w="3964" w:type="dxa"/>
            <w:vAlign w:val="center"/>
            <w:hideMark/>
          </w:tcPr>
          <w:p w14:paraId="4E6670B9" w14:textId="77777777" w:rsidR="004C53F9" w:rsidRPr="004C53F9" w:rsidRDefault="004C53F9" w:rsidP="002F1961">
            <w:pPr>
              <w:pStyle w:val="isselectedend"/>
              <w:spacing w:line="360" w:lineRule="auto"/>
              <w:rPr>
                <w:rFonts w:ascii="Arial" w:hAnsi="Arial" w:cs="Arial"/>
                <w:sz w:val="20"/>
                <w:szCs w:val="20"/>
              </w:rPr>
            </w:pPr>
            <w:r w:rsidRPr="004C53F9">
              <w:rPr>
                <w:rFonts w:ascii="Arial" w:hAnsi="Arial" w:cs="Arial"/>
                <w:sz w:val="20"/>
                <w:szCs w:val="20"/>
              </w:rPr>
              <w:t>Limitaciones en la capacidad de almacenamiento</w:t>
            </w:r>
          </w:p>
        </w:tc>
        <w:tc>
          <w:tcPr>
            <w:tcW w:w="1488" w:type="dxa"/>
            <w:vAlign w:val="center"/>
            <w:hideMark/>
          </w:tcPr>
          <w:p w14:paraId="4AFF552E" w14:textId="77777777" w:rsidR="004C53F9" w:rsidRPr="004C53F9" w:rsidRDefault="004C53F9" w:rsidP="002F1961">
            <w:pPr>
              <w:pStyle w:val="isselectedend"/>
              <w:spacing w:line="360" w:lineRule="auto"/>
              <w:jc w:val="center"/>
              <w:rPr>
                <w:rFonts w:ascii="Arial" w:hAnsi="Arial" w:cs="Arial"/>
                <w:sz w:val="22"/>
                <w:szCs w:val="22"/>
              </w:rPr>
            </w:pPr>
            <w:r w:rsidRPr="004C53F9">
              <w:rPr>
                <w:rFonts w:ascii="Segoe UI Emoji" w:hAnsi="Segoe UI Emoji" w:cs="Segoe UI Emoji"/>
                <w:sz w:val="22"/>
                <w:szCs w:val="22"/>
              </w:rPr>
              <w:t>✅</w:t>
            </w:r>
          </w:p>
        </w:tc>
        <w:tc>
          <w:tcPr>
            <w:tcW w:w="1489" w:type="dxa"/>
            <w:vAlign w:val="center"/>
            <w:hideMark/>
          </w:tcPr>
          <w:p w14:paraId="407395BC" w14:textId="77777777" w:rsidR="004C53F9" w:rsidRPr="004C53F9" w:rsidRDefault="004C53F9" w:rsidP="002F1961">
            <w:pPr>
              <w:pStyle w:val="isselectedend"/>
              <w:spacing w:line="360" w:lineRule="auto"/>
              <w:jc w:val="center"/>
              <w:rPr>
                <w:rFonts w:ascii="Arial" w:hAnsi="Arial" w:cs="Arial"/>
                <w:sz w:val="22"/>
                <w:szCs w:val="22"/>
              </w:rPr>
            </w:pPr>
            <w:r w:rsidRPr="004C53F9">
              <w:rPr>
                <w:rFonts w:ascii="Cambria Math" w:hAnsi="Cambria Math" w:cs="Cambria Math"/>
                <w:sz w:val="22"/>
                <w:szCs w:val="22"/>
              </w:rPr>
              <w:t>◐</w:t>
            </w:r>
          </w:p>
        </w:tc>
        <w:tc>
          <w:tcPr>
            <w:tcW w:w="1488" w:type="dxa"/>
            <w:vAlign w:val="center"/>
            <w:hideMark/>
          </w:tcPr>
          <w:p w14:paraId="2D4426D6" w14:textId="77777777" w:rsidR="004C53F9" w:rsidRPr="004C53F9" w:rsidRDefault="004C53F9" w:rsidP="002F1961">
            <w:pPr>
              <w:pStyle w:val="isselectedend"/>
              <w:spacing w:line="360" w:lineRule="auto"/>
              <w:jc w:val="center"/>
              <w:rPr>
                <w:rFonts w:ascii="Arial" w:hAnsi="Arial" w:cs="Arial"/>
                <w:sz w:val="22"/>
                <w:szCs w:val="22"/>
              </w:rPr>
            </w:pPr>
            <w:r w:rsidRPr="004C53F9">
              <w:rPr>
                <w:rFonts w:ascii="Segoe UI Emoji" w:hAnsi="Segoe UI Emoji" w:cs="Segoe UI Emoji"/>
                <w:sz w:val="22"/>
                <w:szCs w:val="22"/>
              </w:rPr>
              <w:t>❌</w:t>
            </w:r>
          </w:p>
        </w:tc>
        <w:tc>
          <w:tcPr>
            <w:tcW w:w="1489" w:type="dxa"/>
            <w:vAlign w:val="center"/>
            <w:hideMark/>
          </w:tcPr>
          <w:p w14:paraId="2A92BBE8" w14:textId="77777777" w:rsidR="004C53F9" w:rsidRPr="004C53F9" w:rsidRDefault="004C53F9" w:rsidP="002F1961">
            <w:pPr>
              <w:pStyle w:val="isselectedend"/>
              <w:spacing w:line="360" w:lineRule="auto"/>
              <w:jc w:val="center"/>
              <w:rPr>
                <w:rFonts w:ascii="Arial" w:hAnsi="Arial" w:cs="Arial"/>
                <w:sz w:val="22"/>
                <w:szCs w:val="22"/>
              </w:rPr>
            </w:pPr>
            <w:r w:rsidRPr="004C53F9">
              <w:rPr>
                <w:rFonts w:ascii="Segoe UI Emoji" w:hAnsi="Segoe UI Emoji" w:cs="Segoe UI Emoji"/>
                <w:sz w:val="22"/>
                <w:szCs w:val="22"/>
              </w:rPr>
              <w:t>❌</w:t>
            </w:r>
          </w:p>
        </w:tc>
      </w:tr>
      <w:tr w:rsidR="004C53F9" w:rsidRPr="004C53F9" w14:paraId="5DA4523E" w14:textId="77777777" w:rsidTr="00134636">
        <w:tc>
          <w:tcPr>
            <w:tcW w:w="3964" w:type="dxa"/>
            <w:vAlign w:val="center"/>
            <w:hideMark/>
          </w:tcPr>
          <w:p w14:paraId="4FBD1679" w14:textId="77777777" w:rsidR="004C53F9" w:rsidRPr="004C53F9" w:rsidRDefault="004C53F9" w:rsidP="002F1961">
            <w:pPr>
              <w:pStyle w:val="isselectedend"/>
              <w:spacing w:line="360" w:lineRule="auto"/>
              <w:rPr>
                <w:rFonts w:ascii="Arial" w:hAnsi="Arial" w:cs="Arial"/>
                <w:sz w:val="20"/>
                <w:szCs w:val="20"/>
              </w:rPr>
            </w:pPr>
            <w:r w:rsidRPr="004C53F9">
              <w:rPr>
                <w:rFonts w:ascii="Arial" w:hAnsi="Arial" w:cs="Arial"/>
                <w:sz w:val="20"/>
                <w:szCs w:val="20"/>
              </w:rPr>
              <w:t>Vulnerabilidad de la infraestructura logística y de flete</w:t>
            </w:r>
          </w:p>
        </w:tc>
        <w:tc>
          <w:tcPr>
            <w:tcW w:w="1488" w:type="dxa"/>
            <w:vAlign w:val="center"/>
            <w:hideMark/>
          </w:tcPr>
          <w:p w14:paraId="2413F9CC" w14:textId="77777777" w:rsidR="004C53F9" w:rsidRPr="004C53F9" w:rsidRDefault="004C53F9" w:rsidP="002F1961">
            <w:pPr>
              <w:pStyle w:val="isselectedend"/>
              <w:spacing w:line="360" w:lineRule="auto"/>
              <w:jc w:val="center"/>
              <w:rPr>
                <w:rFonts w:ascii="Arial" w:hAnsi="Arial" w:cs="Arial"/>
                <w:sz w:val="22"/>
                <w:szCs w:val="22"/>
              </w:rPr>
            </w:pPr>
            <w:r w:rsidRPr="004C53F9">
              <w:rPr>
                <w:rFonts w:ascii="Segoe UI Emoji" w:hAnsi="Segoe UI Emoji" w:cs="Segoe UI Emoji"/>
                <w:sz w:val="22"/>
                <w:szCs w:val="22"/>
              </w:rPr>
              <w:t>✅</w:t>
            </w:r>
          </w:p>
        </w:tc>
        <w:tc>
          <w:tcPr>
            <w:tcW w:w="1489" w:type="dxa"/>
            <w:vAlign w:val="center"/>
            <w:hideMark/>
          </w:tcPr>
          <w:p w14:paraId="2D62D8C8" w14:textId="77777777" w:rsidR="004C53F9" w:rsidRPr="004C53F9" w:rsidRDefault="004C53F9" w:rsidP="002F1961">
            <w:pPr>
              <w:pStyle w:val="isselectedend"/>
              <w:spacing w:line="360" w:lineRule="auto"/>
              <w:jc w:val="center"/>
              <w:rPr>
                <w:rFonts w:ascii="Arial" w:hAnsi="Arial" w:cs="Arial"/>
                <w:sz w:val="22"/>
                <w:szCs w:val="22"/>
              </w:rPr>
            </w:pPr>
            <w:r w:rsidRPr="004C53F9">
              <w:rPr>
                <w:rFonts w:ascii="Cambria Math" w:hAnsi="Cambria Math" w:cs="Cambria Math"/>
                <w:sz w:val="22"/>
                <w:szCs w:val="22"/>
              </w:rPr>
              <w:t>◐</w:t>
            </w:r>
          </w:p>
        </w:tc>
        <w:tc>
          <w:tcPr>
            <w:tcW w:w="1488" w:type="dxa"/>
            <w:vAlign w:val="center"/>
            <w:hideMark/>
          </w:tcPr>
          <w:p w14:paraId="44234A0C" w14:textId="77777777" w:rsidR="004C53F9" w:rsidRPr="004C53F9" w:rsidRDefault="004C53F9" w:rsidP="002F1961">
            <w:pPr>
              <w:pStyle w:val="isselectedend"/>
              <w:spacing w:line="360" w:lineRule="auto"/>
              <w:jc w:val="center"/>
              <w:rPr>
                <w:rFonts w:ascii="Arial" w:hAnsi="Arial" w:cs="Arial"/>
                <w:sz w:val="22"/>
                <w:szCs w:val="22"/>
              </w:rPr>
            </w:pPr>
            <w:r w:rsidRPr="004C53F9">
              <w:rPr>
                <w:rFonts w:ascii="Segoe UI Emoji" w:hAnsi="Segoe UI Emoji" w:cs="Segoe UI Emoji"/>
                <w:sz w:val="22"/>
                <w:szCs w:val="22"/>
              </w:rPr>
              <w:t>❌</w:t>
            </w:r>
          </w:p>
        </w:tc>
        <w:tc>
          <w:tcPr>
            <w:tcW w:w="1489" w:type="dxa"/>
            <w:vAlign w:val="center"/>
            <w:hideMark/>
          </w:tcPr>
          <w:p w14:paraId="18DC7C96" w14:textId="77777777" w:rsidR="004C53F9" w:rsidRPr="004C53F9" w:rsidRDefault="004C53F9" w:rsidP="002F1961">
            <w:pPr>
              <w:pStyle w:val="isselectedend"/>
              <w:spacing w:line="360" w:lineRule="auto"/>
              <w:jc w:val="center"/>
              <w:rPr>
                <w:rFonts w:ascii="Arial" w:hAnsi="Arial" w:cs="Arial"/>
                <w:sz w:val="22"/>
                <w:szCs w:val="22"/>
              </w:rPr>
            </w:pPr>
            <w:r w:rsidRPr="004C53F9">
              <w:rPr>
                <w:rFonts w:ascii="Segoe UI Emoji" w:hAnsi="Segoe UI Emoji" w:cs="Segoe UI Emoji"/>
                <w:sz w:val="22"/>
                <w:szCs w:val="22"/>
              </w:rPr>
              <w:t>❌</w:t>
            </w:r>
          </w:p>
        </w:tc>
      </w:tr>
      <w:tr w:rsidR="004C53F9" w:rsidRPr="00637BEA" w14:paraId="44116382" w14:textId="77777777" w:rsidTr="00134636">
        <w:tc>
          <w:tcPr>
            <w:tcW w:w="3964" w:type="dxa"/>
            <w:vAlign w:val="center"/>
            <w:hideMark/>
          </w:tcPr>
          <w:p w14:paraId="03F406DE" w14:textId="77777777" w:rsidR="004C53F9" w:rsidRPr="004C53F9" w:rsidRDefault="004C53F9" w:rsidP="002F1961">
            <w:pPr>
              <w:pStyle w:val="isselectedend"/>
              <w:spacing w:line="360" w:lineRule="auto"/>
              <w:rPr>
                <w:rFonts w:ascii="Arial" w:hAnsi="Arial" w:cs="Arial"/>
                <w:sz w:val="20"/>
                <w:szCs w:val="20"/>
              </w:rPr>
            </w:pPr>
            <w:r w:rsidRPr="004C53F9">
              <w:rPr>
                <w:rFonts w:ascii="Arial" w:hAnsi="Arial" w:cs="Arial"/>
                <w:sz w:val="20"/>
                <w:szCs w:val="20"/>
              </w:rPr>
              <w:t>Diferencias regionales en las condiciones de suministro</w:t>
            </w:r>
          </w:p>
        </w:tc>
        <w:tc>
          <w:tcPr>
            <w:tcW w:w="1488" w:type="dxa"/>
            <w:vAlign w:val="center"/>
            <w:hideMark/>
          </w:tcPr>
          <w:p w14:paraId="43B82D2B" w14:textId="77777777" w:rsidR="004C53F9" w:rsidRPr="004C53F9" w:rsidRDefault="004C53F9" w:rsidP="002F1961">
            <w:pPr>
              <w:pStyle w:val="isselectedend"/>
              <w:spacing w:line="360" w:lineRule="auto"/>
              <w:jc w:val="center"/>
              <w:rPr>
                <w:rFonts w:ascii="Arial" w:hAnsi="Arial" w:cs="Arial"/>
                <w:sz w:val="22"/>
                <w:szCs w:val="22"/>
              </w:rPr>
            </w:pPr>
            <w:r w:rsidRPr="004C53F9">
              <w:rPr>
                <w:rFonts w:ascii="Segoe UI Emoji" w:hAnsi="Segoe UI Emoji" w:cs="Segoe UI Emoji"/>
                <w:b/>
                <w:bCs/>
                <w:sz w:val="22"/>
                <w:szCs w:val="22"/>
              </w:rPr>
              <w:t>✅</w:t>
            </w:r>
          </w:p>
        </w:tc>
        <w:tc>
          <w:tcPr>
            <w:tcW w:w="1489" w:type="dxa"/>
            <w:vAlign w:val="center"/>
            <w:hideMark/>
          </w:tcPr>
          <w:p w14:paraId="0BA99F25" w14:textId="77777777" w:rsidR="004C53F9" w:rsidRPr="004C53F9" w:rsidRDefault="004C53F9" w:rsidP="002F1961">
            <w:pPr>
              <w:pStyle w:val="isselectedend"/>
              <w:spacing w:line="360" w:lineRule="auto"/>
              <w:jc w:val="center"/>
              <w:rPr>
                <w:rFonts w:ascii="Arial" w:hAnsi="Arial" w:cs="Arial"/>
                <w:sz w:val="22"/>
                <w:szCs w:val="22"/>
              </w:rPr>
            </w:pPr>
            <w:r w:rsidRPr="004C53F9">
              <w:rPr>
                <w:rFonts w:ascii="Cambria Math" w:hAnsi="Cambria Math" w:cs="Cambria Math"/>
                <w:b/>
                <w:bCs/>
                <w:sz w:val="22"/>
                <w:szCs w:val="22"/>
              </w:rPr>
              <w:t>◐</w:t>
            </w:r>
          </w:p>
        </w:tc>
        <w:tc>
          <w:tcPr>
            <w:tcW w:w="1488" w:type="dxa"/>
            <w:vAlign w:val="center"/>
            <w:hideMark/>
          </w:tcPr>
          <w:p w14:paraId="054AFDBA" w14:textId="77777777" w:rsidR="004C53F9" w:rsidRPr="004C53F9" w:rsidRDefault="004C53F9" w:rsidP="002F1961">
            <w:pPr>
              <w:pStyle w:val="isselectedend"/>
              <w:spacing w:line="360" w:lineRule="auto"/>
              <w:jc w:val="center"/>
              <w:rPr>
                <w:rFonts w:ascii="Arial" w:hAnsi="Arial" w:cs="Arial"/>
                <w:sz w:val="22"/>
                <w:szCs w:val="22"/>
              </w:rPr>
            </w:pPr>
            <w:r w:rsidRPr="004C53F9">
              <w:rPr>
                <w:rFonts w:ascii="Segoe UI Emoji" w:hAnsi="Segoe UI Emoji" w:cs="Segoe UI Emoji"/>
                <w:sz w:val="22"/>
                <w:szCs w:val="22"/>
              </w:rPr>
              <w:t>❌</w:t>
            </w:r>
          </w:p>
        </w:tc>
        <w:tc>
          <w:tcPr>
            <w:tcW w:w="1489" w:type="dxa"/>
            <w:vAlign w:val="center"/>
            <w:hideMark/>
          </w:tcPr>
          <w:p w14:paraId="28F46D49" w14:textId="77777777" w:rsidR="004C53F9" w:rsidRPr="00637BEA" w:rsidRDefault="004C53F9" w:rsidP="002F1961">
            <w:pPr>
              <w:pStyle w:val="isselectedend"/>
              <w:spacing w:line="360" w:lineRule="auto"/>
              <w:jc w:val="center"/>
              <w:rPr>
                <w:rFonts w:ascii="Arial" w:hAnsi="Arial" w:cs="Arial"/>
                <w:sz w:val="22"/>
                <w:szCs w:val="22"/>
              </w:rPr>
            </w:pPr>
            <w:r w:rsidRPr="004C53F9">
              <w:rPr>
                <w:rFonts w:ascii="Segoe UI Emoji" w:hAnsi="Segoe UI Emoji" w:cs="Segoe UI Emoji"/>
                <w:sz w:val="22"/>
                <w:szCs w:val="22"/>
              </w:rPr>
              <w:t>❌</w:t>
            </w:r>
          </w:p>
        </w:tc>
      </w:tr>
    </w:tbl>
    <w:p w14:paraId="2CE93865" w14:textId="3F891ABD" w:rsidR="004C53F9" w:rsidRPr="00015102" w:rsidRDefault="004C53F9" w:rsidP="00015102">
      <w:pPr>
        <w:spacing w:before="100" w:beforeAutospacing="1" w:after="100" w:afterAutospacing="1" w:line="360" w:lineRule="auto"/>
        <w:jc w:val="center"/>
        <w:rPr>
          <w:sz w:val="22"/>
          <w:szCs w:val="22"/>
        </w:rPr>
      </w:pPr>
      <w:r w:rsidRPr="00015102">
        <w:rPr>
          <w:rFonts w:cs="Arial"/>
          <w:sz w:val="22"/>
          <w:szCs w:val="22"/>
        </w:rPr>
        <w:t>Elaboración</w:t>
      </w:r>
      <w:r w:rsidR="00015102" w:rsidRPr="00015102">
        <w:rPr>
          <w:rFonts w:cs="Arial"/>
          <w:sz w:val="22"/>
          <w:szCs w:val="22"/>
        </w:rPr>
        <w:t>: CREG</w:t>
      </w:r>
    </w:p>
    <w:p w14:paraId="0A254E17" w14:textId="77777777" w:rsidR="004C53F9" w:rsidRPr="00BB46F5" w:rsidRDefault="004C53F9" w:rsidP="002F1961">
      <w:pPr>
        <w:pStyle w:val="NormalWeb"/>
        <w:spacing w:line="360" w:lineRule="auto"/>
        <w:jc w:val="both"/>
        <w:rPr>
          <w:rFonts w:ascii="Arial" w:hAnsi="Arial" w:cs="Arial"/>
          <w:b/>
          <w:bCs/>
          <w:sz w:val="20"/>
          <w:szCs w:val="20"/>
        </w:rPr>
      </w:pPr>
      <w:r w:rsidRPr="00BB46F5">
        <w:rPr>
          <w:rFonts w:ascii="Arial" w:hAnsi="Arial" w:cs="Arial"/>
          <w:b/>
          <w:bCs/>
          <w:sz w:val="20"/>
          <w:szCs w:val="20"/>
        </w:rPr>
        <w:t>Convenciones:</w:t>
      </w:r>
    </w:p>
    <w:p w14:paraId="54318233" w14:textId="77777777" w:rsidR="004C53F9" w:rsidRPr="00BB46F5" w:rsidRDefault="004C53F9" w:rsidP="002F1961">
      <w:pPr>
        <w:pStyle w:val="NormalWeb"/>
        <w:spacing w:line="360" w:lineRule="auto"/>
        <w:ind w:left="720"/>
        <w:jc w:val="both"/>
        <w:rPr>
          <w:rFonts w:ascii="Arial" w:hAnsi="Arial" w:cs="Arial"/>
          <w:sz w:val="20"/>
          <w:szCs w:val="20"/>
        </w:rPr>
      </w:pPr>
      <w:r w:rsidRPr="00BB46F5">
        <w:rPr>
          <w:rFonts w:ascii="Segoe UI Emoji" w:hAnsi="Segoe UI Emoji" w:cs="Segoe UI Emoji"/>
          <w:b/>
          <w:bCs/>
          <w:sz w:val="20"/>
          <w:szCs w:val="20"/>
        </w:rPr>
        <w:t>✅</w:t>
      </w:r>
      <w:r w:rsidRPr="00BB46F5">
        <w:rPr>
          <w:rFonts w:ascii="Arial" w:hAnsi="Arial" w:cs="Arial"/>
          <w:b/>
          <w:bCs/>
          <w:sz w:val="20"/>
          <w:szCs w:val="20"/>
        </w:rPr>
        <w:t xml:space="preserve"> Principal:</w:t>
      </w:r>
      <w:r w:rsidRPr="00BB46F5">
        <w:rPr>
          <w:rFonts w:ascii="Arial" w:hAnsi="Arial" w:cs="Arial"/>
          <w:sz w:val="20"/>
          <w:szCs w:val="20"/>
        </w:rPr>
        <w:t xml:space="preserve"> la falla de mercado constituye la principal explicación del síntoma identificado. </w:t>
      </w:r>
    </w:p>
    <w:p w14:paraId="0A5CC110" w14:textId="77777777" w:rsidR="004C53F9" w:rsidRPr="00BB46F5" w:rsidRDefault="004C53F9" w:rsidP="002F1961">
      <w:pPr>
        <w:pStyle w:val="NormalWeb"/>
        <w:spacing w:line="360" w:lineRule="auto"/>
        <w:ind w:left="720"/>
        <w:jc w:val="both"/>
        <w:rPr>
          <w:rFonts w:ascii="Arial" w:hAnsi="Arial" w:cs="Arial"/>
          <w:sz w:val="20"/>
          <w:szCs w:val="20"/>
        </w:rPr>
      </w:pPr>
      <w:r w:rsidRPr="00BB46F5">
        <w:rPr>
          <w:rFonts w:ascii="Cambria Math" w:hAnsi="Cambria Math" w:cs="Cambria Math"/>
          <w:b/>
          <w:bCs/>
          <w:sz w:val="20"/>
          <w:szCs w:val="20"/>
        </w:rPr>
        <w:t>◐</w:t>
      </w:r>
      <w:r w:rsidRPr="00BB46F5">
        <w:rPr>
          <w:rFonts w:ascii="Arial" w:hAnsi="Arial" w:cs="Arial"/>
          <w:b/>
          <w:bCs/>
          <w:sz w:val="20"/>
          <w:szCs w:val="20"/>
        </w:rPr>
        <w:t xml:space="preserve"> Complementaria:</w:t>
      </w:r>
      <w:r w:rsidRPr="00BB46F5">
        <w:rPr>
          <w:rFonts w:ascii="Arial" w:hAnsi="Arial" w:cs="Arial"/>
          <w:sz w:val="20"/>
          <w:szCs w:val="20"/>
        </w:rPr>
        <w:t xml:space="preserve"> la falla de mercado contribuye a explicar parcialmente el síntoma, pero no constituye su explicación principal. </w:t>
      </w:r>
    </w:p>
    <w:p w14:paraId="236730D2" w14:textId="77777777" w:rsidR="004C53F9" w:rsidRPr="00BB46F5" w:rsidRDefault="004C53F9" w:rsidP="002F1961">
      <w:pPr>
        <w:pStyle w:val="NormalWeb"/>
        <w:spacing w:line="360" w:lineRule="auto"/>
        <w:ind w:left="720"/>
        <w:jc w:val="both"/>
        <w:rPr>
          <w:rFonts w:ascii="Arial" w:hAnsi="Arial" w:cs="Arial"/>
          <w:sz w:val="20"/>
          <w:szCs w:val="20"/>
        </w:rPr>
      </w:pPr>
      <w:r w:rsidRPr="00BB46F5">
        <w:rPr>
          <w:rFonts w:ascii="Segoe UI Emoji" w:hAnsi="Segoe UI Emoji" w:cs="Segoe UI Emoji"/>
          <w:b/>
          <w:bCs/>
          <w:sz w:val="20"/>
          <w:szCs w:val="20"/>
        </w:rPr>
        <w:t>❌</w:t>
      </w:r>
      <w:r w:rsidRPr="00BB46F5">
        <w:rPr>
          <w:rFonts w:ascii="Arial" w:hAnsi="Arial" w:cs="Arial"/>
          <w:b/>
          <w:bCs/>
          <w:sz w:val="20"/>
          <w:szCs w:val="20"/>
        </w:rPr>
        <w:t xml:space="preserve"> No aplicable:</w:t>
      </w:r>
      <w:r w:rsidRPr="00BB46F5">
        <w:rPr>
          <w:rFonts w:ascii="Arial" w:hAnsi="Arial" w:cs="Arial"/>
          <w:sz w:val="20"/>
          <w:szCs w:val="20"/>
        </w:rPr>
        <w:t xml:space="preserve"> la falla de mercado no explica de manera relevante el síntoma identificado.</w:t>
      </w:r>
    </w:p>
    <w:p w14:paraId="18AC846C" w14:textId="37C0EACA" w:rsidR="0025321D" w:rsidRDefault="0025321D" w:rsidP="00645519">
      <w:pPr>
        <w:pStyle w:val="Ttulo4"/>
        <w:spacing w:before="100" w:beforeAutospacing="1" w:after="100" w:afterAutospacing="1" w:line="360" w:lineRule="auto"/>
        <w:ind w:left="1134" w:hanging="1134"/>
      </w:pPr>
      <w:r w:rsidRPr="00821F33">
        <w:t xml:space="preserve">Fallas de </w:t>
      </w:r>
      <w:r>
        <w:t>regulación</w:t>
      </w:r>
    </w:p>
    <w:p w14:paraId="50AB84B6" w14:textId="77777777" w:rsidR="001D7838" w:rsidRPr="001D7838" w:rsidRDefault="001D7838" w:rsidP="00645519">
      <w:pPr>
        <w:pStyle w:val="NormalWeb"/>
        <w:spacing w:line="360" w:lineRule="auto"/>
        <w:jc w:val="both"/>
        <w:rPr>
          <w:rFonts w:ascii="Arial" w:hAnsi="Arial" w:cs="Arial"/>
          <w:lang w:val="es-ES_tradnl" w:eastAsia="es-ES"/>
        </w:rPr>
      </w:pPr>
      <w:r w:rsidRPr="001D7838">
        <w:rPr>
          <w:rFonts w:ascii="Arial" w:hAnsi="Arial" w:cs="Arial"/>
          <w:lang w:val="es-ES_tradnl" w:eastAsia="es-ES"/>
        </w:rPr>
        <w:t xml:space="preserve">La existencia de síntomas asociados al riesgo de interrupciones o limitaciones en el suministro no implica, por sí sola, la existencia de fallas regulatorias. No obstante, resulta pertinente evaluar si algunos elementos del marco regulatorio vigente, de su implementación o de su capacidad para responder a la evolución del mercado podrían estar contribuyendo a la persistencia de situaciones relacionadas con la dependencia de un número limitado de fuentes de abastecimiento, la exposición del abastecimiento a factores externos, las limitaciones en la capacidad de almacenamiento, la vulnerabilidad </w:t>
      </w:r>
      <w:r w:rsidRPr="001D7838">
        <w:rPr>
          <w:rFonts w:ascii="Arial" w:hAnsi="Arial" w:cs="Arial"/>
          <w:lang w:val="es-ES_tradnl" w:eastAsia="es-ES"/>
        </w:rPr>
        <w:lastRenderedPageBreak/>
        <w:t>de la infraestructura logística y de transporte y las diferencias regionales en las condiciones de suministro.</w:t>
      </w:r>
    </w:p>
    <w:p w14:paraId="5F0F26FD" w14:textId="77777777" w:rsidR="001D7838" w:rsidRPr="001D7838" w:rsidRDefault="001D7838" w:rsidP="00645519">
      <w:pPr>
        <w:pStyle w:val="NormalWeb"/>
        <w:spacing w:line="360" w:lineRule="auto"/>
        <w:jc w:val="both"/>
        <w:rPr>
          <w:rFonts w:ascii="Arial" w:hAnsi="Arial" w:cs="Arial"/>
          <w:lang w:val="es-ES_tradnl" w:eastAsia="es-ES"/>
        </w:rPr>
      </w:pPr>
      <w:r w:rsidRPr="001D7838">
        <w:rPr>
          <w:rFonts w:ascii="Arial" w:hAnsi="Arial" w:cs="Arial"/>
          <w:lang w:val="es-ES_tradnl" w:eastAsia="es-ES"/>
        </w:rPr>
        <w:t>Las fallas regulatorias pueden presentarse cuando la regulación no alcanza plenamente los objetivos para los cuales fue diseñada, cuando su implementación resulta insuficiente, cuando las condiciones del mercado evolucionan más rápidamente que las disposiciones vigentes o cuando la intervención regulatoria no responde oportunamente a los nuevos desafíos que enfrenta el sector. En consecuencia, el presente análisis busca determinar si algunos de los síntomas identificados pueden estar asociados a aspectos regulatorios susceptibles de revisión, actualización o fortalecimiento.</w:t>
      </w:r>
    </w:p>
    <w:p w14:paraId="0B8566FB" w14:textId="17678BCF" w:rsidR="001D7838" w:rsidRDefault="001D7838" w:rsidP="00645519">
      <w:pPr>
        <w:pStyle w:val="NormalWeb"/>
        <w:spacing w:line="360" w:lineRule="auto"/>
        <w:jc w:val="both"/>
        <w:rPr>
          <w:rFonts w:ascii="Arial" w:hAnsi="Arial" w:cs="Arial"/>
          <w:lang w:val="es-ES_tradnl" w:eastAsia="es-ES"/>
        </w:rPr>
      </w:pPr>
      <w:r w:rsidRPr="001D7838">
        <w:rPr>
          <w:rFonts w:ascii="Arial" w:hAnsi="Arial" w:cs="Arial"/>
          <w:lang w:val="es-ES_tradnl" w:eastAsia="es-ES"/>
        </w:rPr>
        <w:t>En particular, para este eje temático se analizarán las posibles fallas regulatorias relacionadas con el diseño de las disposiciones vigentes, su implementación, su adecuación a las condiciones actuales del mercado y la oportunidad de su actualización, con el fin de establecer si el marco regulatorio vigente responde adecuadamente a las necesidades identificadas en materia de abastecimiento, almacenamiento, infraestructura logística, diversificación de las fuentes de suministro y demás condiciones necesarias para fortalecer la continuidad y confiabilidad del suministro de GLP.</w:t>
      </w:r>
    </w:p>
    <w:p w14:paraId="2D60E1E0" w14:textId="01ABD2C1" w:rsidR="0025321D" w:rsidRDefault="0025321D" w:rsidP="00645519">
      <w:pPr>
        <w:pStyle w:val="Ttulo5"/>
        <w:numPr>
          <w:ilvl w:val="4"/>
          <w:numId w:val="1"/>
        </w:numPr>
        <w:spacing w:before="100" w:beforeAutospacing="1" w:after="100" w:afterAutospacing="1"/>
        <w:ind w:left="1134" w:hanging="1134"/>
      </w:pPr>
      <w:r>
        <w:t>Origen de las normas</w:t>
      </w:r>
    </w:p>
    <w:p w14:paraId="3C888360" w14:textId="77777777" w:rsidR="00666C67" w:rsidRPr="00666C67" w:rsidRDefault="00666C67" w:rsidP="00645519">
      <w:pPr>
        <w:pStyle w:val="NormalWeb"/>
        <w:spacing w:line="360" w:lineRule="auto"/>
        <w:jc w:val="both"/>
        <w:rPr>
          <w:rFonts w:ascii="Arial" w:hAnsi="Arial" w:cs="Arial"/>
          <w:lang w:val="es-ES" w:eastAsia="es-ES"/>
        </w:rPr>
      </w:pPr>
      <w:r w:rsidRPr="00666C67">
        <w:rPr>
          <w:rFonts w:ascii="Arial" w:hAnsi="Arial" w:cs="Arial"/>
          <w:lang w:val="es-ES" w:eastAsia="es-ES"/>
        </w:rPr>
        <w:t>El marco regulatorio aplicable al abastecimiento y a la prestación del servicio público domiciliario de GLP ha evolucionado progresivamente para responder a los desafíos que históricamente ha enfrentado el sector y garantizar condiciones adecuadas de continuidad y confiabilidad del suministro. En este proceso, la regulación ha incorporado disposiciones relacionadas con la comercialización mayorista, el transporte, el almacenamiento, la distribución y las condiciones de prestación del servicio, atendiendo las características de oferta, demanda e infraestructura existentes al momento de su expedición.</w:t>
      </w:r>
    </w:p>
    <w:p w14:paraId="5C24D92F" w14:textId="77777777" w:rsidR="00666C67" w:rsidRPr="00666C67" w:rsidRDefault="00666C67" w:rsidP="00645519">
      <w:pPr>
        <w:pStyle w:val="NormalWeb"/>
        <w:spacing w:line="360" w:lineRule="auto"/>
        <w:jc w:val="both"/>
        <w:rPr>
          <w:rFonts w:ascii="Arial" w:hAnsi="Arial" w:cs="Arial"/>
          <w:lang w:val="es-ES" w:eastAsia="es-ES"/>
        </w:rPr>
      </w:pPr>
      <w:r w:rsidRPr="00666C67">
        <w:rPr>
          <w:rFonts w:ascii="Arial" w:hAnsi="Arial" w:cs="Arial"/>
          <w:lang w:val="es-ES" w:eastAsia="es-ES"/>
        </w:rPr>
        <w:t xml:space="preserve">Los síntomas identificados evidencian que la estructura del abastecimiento ha experimentado transformaciones importantes durante los últimos años. Entre ellas se </w:t>
      </w:r>
      <w:r w:rsidRPr="00666C67">
        <w:rPr>
          <w:rFonts w:ascii="Arial" w:hAnsi="Arial" w:cs="Arial"/>
          <w:lang w:val="es-ES" w:eastAsia="es-ES"/>
        </w:rPr>
        <w:lastRenderedPageBreak/>
        <w:t>destacan la reducción gradual de la producción nacional, la creciente participación de las importaciones, la importancia estratégica del almacenamiento, la necesidad de contar con infraestructura logística robusta y las diferencias regionales observadas en las condiciones de suministro.</w:t>
      </w:r>
    </w:p>
    <w:p w14:paraId="0CACBBB7" w14:textId="77777777" w:rsidR="00666C67" w:rsidRPr="00666C67" w:rsidRDefault="00666C67" w:rsidP="00645519">
      <w:pPr>
        <w:pStyle w:val="NormalWeb"/>
        <w:spacing w:line="360" w:lineRule="auto"/>
        <w:jc w:val="both"/>
        <w:rPr>
          <w:rFonts w:ascii="Arial" w:hAnsi="Arial" w:cs="Arial"/>
          <w:lang w:val="es-ES" w:eastAsia="es-ES"/>
        </w:rPr>
      </w:pPr>
      <w:r w:rsidRPr="00666C67">
        <w:rPr>
          <w:rFonts w:ascii="Arial" w:hAnsi="Arial" w:cs="Arial"/>
          <w:lang w:val="es-ES" w:eastAsia="es-ES"/>
        </w:rPr>
        <w:t>En este contexto, resulta pertinente analizar si las problemáticas que dieron origen a las disposiciones regulatorias corresponden con las condiciones actualmente observadas en el mercado y si la evolución del sector ha dado lugar a desafíos que no fueron plenamente considerados cuando se diseñaron algunos de los instrumentos regulatorios vigentes.</w:t>
      </w:r>
    </w:p>
    <w:p w14:paraId="1D876A77" w14:textId="3E141FE6" w:rsidR="00A56139" w:rsidRPr="00666C67" w:rsidRDefault="00666C67" w:rsidP="00645519">
      <w:pPr>
        <w:pStyle w:val="NormalWeb"/>
        <w:spacing w:line="360" w:lineRule="auto"/>
        <w:jc w:val="both"/>
        <w:rPr>
          <w:rFonts w:ascii="Arial" w:hAnsi="Arial" w:cs="Arial"/>
          <w:lang w:val="es-ES" w:eastAsia="es-ES"/>
        </w:rPr>
      </w:pPr>
      <w:r w:rsidRPr="00666C67">
        <w:rPr>
          <w:rFonts w:ascii="Arial" w:hAnsi="Arial" w:cs="Arial"/>
          <w:lang w:val="es-ES" w:eastAsia="es-ES"/>
        </w:rPr>
        <w:t>En consecuencia, el análisis del origen de las normas permite establecer si las razones que motivaron la expedición del marco regulatorio continúan siendo pertinentes frente a las condiciones actuales del mercado y si los síntomas identificados corresponden a problemáticas ya previstas por el regulador o evidencian la necesidad de revisar el marco regulatorio para responder a la evolución del sector</w:t>
      </w:r>
      <w:r w:rsidR="00420D98" w:rsidRPr="00666C67">
        <w:rPr>
          <w:rFonts w:ascii="Arial" w:hAnsi="Arial" w:cs="Arial"/>
          <w:lang w:val="es-ES" w:eastAsia="es-ES"/>
        </w:rPr>
        <w:t>.</w:t>
      </w:r>
    </w:p>
    <w:p w14:paraId="78C62284" w14:textId="6E4900AD" w:rsidR="0025321D" w:rsidRDefault="0025321D" w:rsidP="00645519">
      <w:pPr>
        <w:pStyle w:val="Ttulo5"/>
        <w:numPr>
          <w:ilvl w:val="4"/>
          <w:numId w:val="1"/>
        </w:numPr>
        <w:spacing w:before="100" w:beforeAutospacing="1" w:after="100" w:afterAutospacing="1"/>
        <w:ind w:left="1134" w:hanging="1134"/>
      </w:pPr>
      <w:r>
        <w:t>Regulación no implementada o con riesgo de incumplimiento</w:t>
      </w:r>
    </w:p>
    <w:p w14:paraId="5C015339" w14:textId="77777777" w:rsidR="00D500CC" w:rsidRPr="00D500CC" w:rsidRDefault="00D500CC" w:rsidP="00645519">
      <w:pPr>
        <w:pStyle w:val="NormalWeb"/>
        <w:spacing w:line="360" w:lineRule="auto"/>
        <w:jc w:val="both"/>
        <w:rPr>
          <w:rFonts w:ascii="Arial" w:hAnsi="Arial" w:cs="Arial"/>
          <w:lang w:val="es-ES" w:eastAsia="es-ES"/>
        </w:rPr>
      </w:pPr>
      <w:r w:rsidRPr="00D500CC">
        <w:rPr>
          <w:rFonts w:ascii="Arial" w:hAnsi="Arial" w:cs="Arial"/>
          <w:lang w:val="es-ES" w:eastAsia="es-ES"/>
        </w:rPr>
        <w:t>La efectividad del marco regulatorio aplicable a la continuidad y confiabilidad del suministro no depende únicamente de la existencia de disposiciones orientadas a garantizar el abastecimiento del mercado. También requiere que las obligaciones relacionadas con la gestión del abastecimiento, la administración de inventarios, la operación de la infraestructura y los mecanismos previstos para atender contingencias sean implementadas adecuadamente por los agentes y cuenten con mecanismos que permitan verificar su cumplimiento.</w:t>
      </w:r>
    </w:p>
    <w:p w14:paraId="39E2A420" w14:textId="77777777" w:rsidR="00D500CC" w:rsidRPr="00D500CC" w:rsidRDefault="00D500CC" w:rsidP="00645519">
      <w:pPr>
        <w:pStyle w:val="NormalWeb"/>
        <w:spacing w:line="360" w:lineRule="auto"/>
        <w:jc w:val="both"/>
        <w:rPr>
          <w:rFonts w:ascii="Arial" w:hAnsi="Arial" w:cs="Arial"/>
          <w:lang w:val="es-ES" w:eastAsia="es-ES"/>
        </w:rPr>
      </w:pPr>
      <w:r w:rsidRPr="00D500CC">
        <w:rPr>
          <w:rFonts w:ascii="Arial" w:hAnsi="Arial" w:cs="Arial"/>
          <w:lang w:val="es-ES" w:eastAsia="es-ES"/>
        </w:rPr>
        <w:t>Los síntomas identificados en este eje podrían estar asociados, en algunos casos, a diferencias entre las condiciones previstas por el marco regulatorio y su implementación por parte de los agentes. Aspectos relacionados con la gestión del abastecimiento, la administración de inventarios y la aplicación de mecanismos orientados a fortalecer la continuidad del suministro pueden presentar niveles de implementación diferenciados entre mercados o agentes.</w:t>
      </w:r>
    </w:p>
    <w:p w14:paraId="46BF211D" w14:textId="77777777" w:rsidR="00D500CC" w:rsidRPr="00D500CC" w:rsidRDefault="00D500CC" w:rsidP="00645519">
      <w:pPr>
        <w:pStyle w:val="NormalWeb"/>
        <w:spacing w:line="360" w:lineRule="auto"/>
        <w:jc w:val="both"/>
        <w:rPr>
          <w:rFonts w:ascii="Arial" w:hAnsi="Arial" w:cs="Arial"/>
          <w:lang w:val="es-ES" w:eastAsia="es-ES"/>
        </w:rPr>
      </w:pPr>
      <w:r w:rsidRPr="00D500CC">
        <w:rPr>
          <w:rFonts w:ascii="Arial" w:hAnsi="Arial" w:cs="Arial"/>
          <w:lang w:val="es-ES" w:eastAsia="es-ES"/>
        </w:rPr>
        <w:lastRenderedPageBreak/>
        <w:t>No obstante, los síntomas analizados responden principalmente a condiciones estructurales asociadas a la configuración del abastecimiento, la creciente participación de las importaciones, la disponibilidad de infraestructura logística y de almacenamiento y las características territoriales bajo las cuales se presta el servicio. En consecuencia, la evidencia recopilada durante el presente AIN no permite concluir que estos síntomas tengan como explicación principal incumplimientos generalizados del marco regulatorio vigente o problemas asociados a su implementación.</w:t>
      </w:r>
    </w:p>
    <w:p w14:paraId="3B90ED8C" w14:textId="1B9E1D7B" w:rsidR="00F434D1" w:rsidRPr="004E50A4" w:rsidRDefault="00D500CC" w:rsidP="00EF7E47">
      <w:pPr>
        <w:pStyle w:val="NormalWeb"/>
        <w:spacing w:line="360" w:lineRule="auto"/>
        <w:jc w:val="both"/>
        <w:rPr>
          <w:rFonts w:ascii="Arial" w:hAnsi="Arial" w:cs="Arial"/>
          <w:lang w:val="es-ES" w:eastAsia="es-ES"/>
        </w:rPr>
      </w:pPr>
      <w:r w:rsidRPr="00D500CC">
        <w:rPr>
          <w:rFonts w:ascii="Arial" w:hAnsi="Arial" w:cs="Arial"/>
          <w:lang w:val="es-ES" w:eastAsia="es-ES"/>
        </w:rPr>
        <w:t>Lo anterior no excluye la conveniencia de evaluar el grado de implementación de las disposiciones regulatorias aplicables al abastecimiento y a la prestación del servicio. Sin embargo, a partir de la evidencia disponible, esta no constituye la principal explicación de los síntomas identificados para este eje temático.</w:t>
      </w:r>
    </w:p>
    <w:p w14:paraId="6427217B" w14:textId="306A04DB" w:rsidR="0025321D" w:rsidRDefault="00CC26AA" w:rsidP="00EF7E47">
      <w:pPr>
        <w:pStyle w:val="Ttulo5"/>
        <w:numPr>
          <w:ilvl w:val="4"/>
          <w:numId w:val="1"/>
        </w:numPr>
        <w:spacing w:before="100" w:beforeAutospacing="1" w:after="100" w:afterAutospacing="1"/>
        <w:ind w:left="1418" w:hanging="1418"/>
      </w:pPr>
      <w:r w:rsidRPr="002D4442">
        <w:t>Adecuación de las normas a las condiciones actuales del mercado</w:t>
      </w:r>
    </w:p>
    <w:p w14:paraId="28C74950" w14:textId="77777777" w:rsidR="009B41A7" w:rsidRPr="009B41A7" w:rsidRDefault="009B41A7" w:rsidP="00427524">
      <w:pPr>
        <w:pStyle w:val="NormalWeb"/>
        <w:spacing w:line="360" w:lineRule="auto"/>
        <w:jc w:val="both"/>
        <w:rPr>
          <w:rFonts w:ascii="Arial" w:hAnsi="Arial" w:cs="Arial"/>
          <w:lang w:val="es-ES" w:eastAsia="es-ES"/>
        </w:rPr>
      </w:pPr>
      <w:r w:rsidRPr="009B41A7">
        <w:rPr>
          <w:rFonts w:ascii="Arial" w:hAnsi="Arial" w:cs="Arial"/>
          <w:lang w:val="es-ES" w:eastAsia="es-ES"/>
        </w:rPr>
        <w:t>La regulación debe mantenerse alineada con la realidad del sector que busca regular. En este sentido, los síntomas identificados evidencian que la estructura del abastecimiento del GLP ha evolucionado de manera significativa durante los últimos años. La reducción gradual de la producción nacional, la creciente participación de las importaciones, la concentración de una parte importante del abastecimiento en un número limitado de fuentes, la importancia estratégica del almacenamiento, la necesidad de fortalecer la resiliencia de la cadena logística y las diferencias observadas entre regiones hacen pertinente evaluar si los instrumentos regulatorios actualmente vigentes continúan siendo los más apropiados para responder a las condiciones actuales del mercado.</w:t>
      </w:r>
    </w:p>
    <w:p w14:paraId="00545697" w14:textId="77777777" w:rsidR="009B41A7" w:rsidRPr="009B41A7" w:rsidRDefault="009B41A7" w:rsidP="00427524">
      <w:pPr>
        <w:pStyle w:val="NormalWeb"/>
        <w:spacing w:line="360" w:lineRule="auto"/>
        <w:jc w:val="both"/>
        <w:rPr>
          <w:rFonts w:ascii="Arial" w:hAnsi="Arial" w:cs="Arial"/>
          <w:lang w:val="es-ES" w:eastAsia="es-ES"/>
        </w:rPr>
      </w:pPr>
      <w:r w:rsidRPr="009B41A7">
        <w:rPr>
          <w:rFonts w:ascii="Arial" w:hAnsi="Arial" w:cs="Arial"/>
          <w:lang w:val="es-ES" w:eastAsia="es-ES"/>
        </w:rPr>
        <w:t xml:space="preserve">En este contexto, el análisis de la adecuación de las normas no busca determinar si la regulación vigente fue correcta al momento de su expedición, sino establecer si los instrumentos regulatorios actualmente disponibles continúan siendo suficientes para promover la continuidad y confiabilidad del suministro bajo las condiciones actuales del sector. En otras palabras, se trata de evaluar si las disposiciones vigentes conservan su capacidad para generar los incentivos necesarios para fortalecer la seguridad del </w:t>
      </w:r>
      <w:r w:rsidRPr="009B41A7">
        <w:rPr>
          <w:rFonts w:ascii="Arial" w:hAnsi="Arial" w:cs="Arial"/>
          <w:lang w:val="es-ES" w:eastAsia="es-ES"/>
        </w:rPr>
        <w:lastRenderedPageBreak/>
        <w:t>abastecimiento, mejorar la capacidad de respuesta frente a contingencias y atender la evolución del mercado.</w:t>
      </w:r>
    </w:p>
    <w:p w14:paraId="102EC9F4" w14:textId="0933C11A" w:rsidR="00780509" w:rsidRPr="009B41A7" w:rsidRDefault="009B41A7" w:rsidP="00427524">
      <w:pPr>
        <w:pStyle w:val="NormalWeb"/>
        <w:spacing w:line="360" w:lineRule="auto"/>
        <w:jc w:val="both"/>
        <w:rPr>
          <w:rFonts w:ascii="Arial" w:hAnsi="Arial" w:cs="Arial"/>
          <w:lang w:val="es-ES" w:eastAsia="es-ES"/>
        </w:rPr>
      </w:pPr>
      <w:r w:rsidRPr="009B41A7">
        <w:rPr>
          <w:rFonts w:ascii="Arial" w:hAnsi="Arial" w:cs="Arial"/>
          <w:lang w:val="es-ES" w:eastAsia="es-ES"/>
        </w:rPr>
        <w:t>Lo anterior no implica que la regulación vigente haya dejado de cumplir los objetivos para los cuales fue expedida. Sin embargo, sí pone de manifiesto la conveniencia de analizar si los instrumentos regulatorios continúan siendo suficientes para responder a los desafíos actuales del abastecimiento y fortalecer la capacidad del sistema para garantizar la continuidad y confiabilidad del suministro en un mercado que ha experimentado cambios importantes en sus fuentes de abastecimiento, su infraestructura y sus condiciones de operación.</w:t>
      </w:r>
    </w:p>
    <w:p w14:paraId="508546E4" w14:textId="228055D8" w:rsidR="0025321D" w:rsidRDefault="0025321D" w:rsidP="00427524">
      <w:pPr>
        <w:pStyle w:val="Ttulo5"/>
        <w:numPr>
          <w:ilvl w:val="4"/>
          <w:numId w:val="1"/>
        </w:numPr>
        <w:spacing w:before="100" w:beforeAutospacing="1" w:after="100" w:afterAutospacing="1"/>
        <w:ind w:left="1418" w:hanging="1418"/>
      </w:pPr>
      <w:r>
        <w:t>Oportunidad de la regulación</w:t>
      </w:r>
    </w:p>
    <w:p w14:paraId="42D3CB63" w14:textId="77777777" w:rsidR="004D194F" w:rsidRPr="004D194F" w:rsidRDefault="004D194F" w:rsidP="00427524">
      <w:pPr>
        <w:pStyle w:val="NormalWeb"/>
        <w:spacing w:line="360" w:lineRule="auto"/>
        <w:jc w:val="both"/>
        <w:rPr>
          <w:rFonts w:ascii="Arial" w:hAnsi="Arial" w:cs="Arial"/>
          <w:lang w:val="es-ES" w:eastAsia="es-ES"/>
        </w:rPr>
      </w:pPr>
      <w:r w:rsidRPr="004D194F">
        <w:rPr>
          <w:rFonts w:ascii="Arial" w:hAnsi="Arial" w:cs="Arial"/>
          <w:lang w:val="es-ES" w:eastAsia="es-ES"/>
        </w:rPr>
        <w:t>La revisión del marco regulatorio debe realizarse cuando exista evidencia suficiente para considerar que determinados instrumentos pueden requerir ajustes, actualización o una nueva evaluación frente a las condiciones actuales del sector. En este sentido, la oportunidad de la regulación no depende únicamente de la existencia de un problema identificado, sino también de que se cuente con información técnica que permita valorar si una eventual revisión del marco regulatorio puede contribuir a fortalecer la continuidad y confiabilidad del suministro.</w:t>
      </w:r>
    </w:p>
    <w:p w14:paraId="522E7639" w14:textId="77777777" w:rsidR="004D194F" w:rsidRPr="004D194F" w:rsidRDefault="004D194F" w:rsidP="00427524">
      <w:pPr>
        <w:pStyle w:val="NormalWeb"/>
        <w:spacing w:line="360" w:lineRule="auto"/>
        <w:jc w:val="both"/>
        <w:rPr>
          <w:rFonts w:ascii="Arial" w:hAnsi="Arial" w:cs="Arial"/>
          <w:lang w:val="es-ES" w:eastAsia="es-ES"/>
        </w:rPr>
      </w:pPr>
      <w:r w:rsidRPr="004D194F">
        <w:rPr>
          <w:rFonts w:ascii="Arial" w:hAnsi="Arial" w:cs="Arial"/>
          <w:lang w:val="es-ES" w:eastAsia="es-ES"/>
        </w:rPr>
        <w:t>En el caso del servicio público domiciliario de GLP, el presente Análisis de Impacto Normativo permitió recopilar información sobre las condiciones actuales de abastecimiento, identificar síntomas relacionados con la dependencia de un número limitado de fuentes de suministro, la creciente exposición a factores externos, la capacidad de almacenamiento, la infraestructura logística y las diferencias regionales en las condiciones de suministro, así como analizar las posibles fallas de mercado y regulatorias asociadas a estos aspectos. Esta evidencia constituye un insumo relevante para valorar el desempeño de los instrumentos regulatorios actualmente vigentes.</w:t>
      </w:r>
    </w:p>
    <w:p w14:paraId="5B7A39B4" w14:textId="77777777" w:rsidR="004D194F" w:rsidRPr="004D194F" w:rsidRDefault="004D194F" w:rsidP="008A6FF2">
      <w:pPr>
        <w:pStyle w:val="NormalWeb"/>
        <w:spacing w:line="360" w:lineRule="auto"/>
        <w:jc w:val="both"/>
        <w:rPr>
          <w:rFonts w:ascii="Arial" w:hAnsi="Arial" w:cs="Arial"/>
          <w:lang w:val="es-ES" w:eastAsia="es-ES"/>
        </w:rPr>
      </w:pPr>
      <w:r w:rsidRPr="004D194F">
        <w:rPr>
          <w:rFonts w:ascii="Arial" w:hAnsi="Arial" w:cs="Arial"/>
          <w:lang w:val="es-ES" w:eastAsia="es-ES"/>
        </w:rPr>
        <w:t xml:space="preserve">La oportunidad de la revisión regulatoria también se sustenta en la evolución que ha experimentado el mercado durante los últimos años, particularmente por la reducción de </w:t>
      </w:r>
      <w:r w:rsidRPr="004D194F">
        <w:rPr>
          <w:rFonts w:ascii="Arial" w:hAnsi="Arial" w:cs="Arial"/>
          <w:lang w:val="es-ES" w:eastAsia="es-ES"/>
        </w:rPr>
        <w:lastRenderedPageBreak/>
        <w:t>la producción nacional, la creciente participación de las importaciones y la mayor relevancia que han adquirido la infraestructura logística y el almacenamiento para garantizar la continuidad del suministro. Estos cambios hacen pertinente evaluar si el marco regulatorio vigente continúa respondiendo adecuadamente a las necesidades actuales del sector.</w:t>
      </w:r>
    </w:p>
    <w:p w14:paraId="7B0495CA" w14:textId="77777777" w:rsidR="004D194F" w:rsidRPr="004D194F" w:rsidRDefault="004D194F" w:rsidP="008A6FF2">
      <w:pPr>
        <w:pStyle w:val="NormalWeb"/>
        <w:spacing w:line="360" w:lineRule="auto"/>
        <w:jc w:val="both"/>
        <w:rPr>
          <w:rFonts w:ascii="Arial" w:hAnsi="Arial" w:cs="Arial"/>
          <w:lang w:val="es-ES" w:eastAsia="es-ES"/>
        </w:rPr>
      </w:pPr>
      <w:r w:rsidRPr="004D194F">
        <w:rPr>
          <w:rFonts w:ascii="Arial" w:hAnsi="Arial" w:cs="Arial"/>
          <w:lang w:val="es-ES" w:eastAsia="es-ES"/>
        </w:rPr>
        <w:t>Lo anterior no implica que las disposiciones regulatorias vigentes hayan perdido su validez o resulten insuficientes para cumplir los objetivos para los cuales fueron expedidas. Sin embargo, la evidencia recopilada durante el presente AIN permite concluir que existen elementos suficientes para evaluar si algunos instrumentos regulatorios pueden fortalecerse o ajustarse con el propósito de responder de manera más efectiva a los riesgos identificados en materia de continuidad y confiabilidad del suministro.</w:t>
      </w:r>
    </w:p>
    <w:p w14:paraId="390EAA58" w14:textId="5C582050" w:rsidR="008022A2" w:rsidRDefault="004D194F" w:rsidP="008A6FF2">
      <w:pPr>
        <w:pStyle w:val="NormalWeb"/>
        <w:spacing w:line="360" w:lineRule="auto"/>
        <w:jc w:val="both"/>
        <w:rPr>
          <w:rFonts w:ascii="Arial" w:hAnsi="Arial" w:cs="Arial"/>
          <w:lang w:val="es-ES" w:eastAsia="es-ES"/>
        </w:rPr>
      </w:pPr>
      <w:r w:rsidRPr="004D194F">
        <w:rPr>
          <w:rFonts w:ascii="Arial" w:hAnsi="Arial" w:cs="Arial"/>
          <w:lang w:val="es-ES" w:eastAsia="es-ES"/>
        </w:rPr>
        <w:t>En consecuencia, la evidencia técnica recopilada, la evolución observada en la estructura del abastecimiento y el análisis desarrollado durante el presente AIN constituyen elementos suficientes para justificar la evaluación de alternativas regulatorias orientadas a fortalecer la continuidad y confiabilidad del suministro de GLP.</w:t>
      </w:r>
    </w:p>
    <w:p w14:paraId="7D34F82B" w14:textId="46B5E7F0" w:rsidR="00C83F9C" w:rsidRDefault="00C83F9C" w:rsidP="002F1961">
      <w:pPr>
        <w:pStyle w:val="NormalWeb"/>
        <w:spacing w:line="360" w:lineRule="auto"/>
        <w:jc w:val="both"/>
        <w:rPr>
          <w:rFonts w:ascii="Arial" w:hAnsi="Arial" w:cs="Arial"/>
          <w:lang w:val="es-ES_tradnl" w:eastAsia="es-ES"/>
        </w:rPr>
      </w:pPr>
      <w:r w:rsidRPr="00C83F9C">
        <w:rPr>
          <w:rFonts w:ascii="Arial" w:hAnsi="Arial" w:cs="Arial"/>
          <w:lang w:val="es-ES_tradnl" w:eastAsia="es-ES"/>
        </w:rPr>
        <w:t xml:space="preserve">A diferencia de las fallas de mercado, cuyo análisis se orientó a explicar cada uno de los síntomas identificados, las fallas regulatorias se evalúan respecto del conjunto del eje temático, en la medida en que se relacionan con el diseño, la implementación y la actualización del marco regulatorio aplicable a la continuidad y confiabilidad del suministro de GLP. Por esta razón, su análisis tiene un carácter transversal y no se limita a un síntoma en particular. </w:t>
      </w:r>
      <w:r w:rsidR="00F85477" w:rsidRPr="00F85477">
        <w:rPr>
          <w:rFonts w:ascii="Arial" w:hAnsi="Arial" w:cs="Arial"/>
          <w:lang w:val="es-ES_tradnl" w:eastAsia="es-ES"/>
        </w:rPr>
        <w:t xml:space="preserve">La </w:t>
      </w:r>
      <w:r w:rsidR="00F85477" w:rsidRPr="00F85477">
        <w:rPr>
          <w:rFonts w:ascii="Arial" w:hAnsi="Arial" w:cs="Arial"/>
          <w:highlight w:val="magenta"/>
          <w:lang w:val="es-ES_tradnl" w:eastAsia="es-ES"/>
        </w:rPr>
        <w:fldChar w:fldCharType="begin"/>
      </w:r>
      <w:r w:rsidR="00F85477" w:rsidRPr="00F85477">
        <w:rPr>
          <w:rFonts w:ascii="Arial" w:hAnsi="Arial" w:cs="Arial"/>
          <w:highlight w:val="magenta"/>
          <w:lang w:val="es-ES_tradnl" w:eastAsia="es-ES"/>
        </w:rPr>
        <w:instrText xml:space="preserve"> REF _Ref235116223 \h  \* MERGEFORMAT </w:instrText>
      </w:r>
      <w:r w:rsidR="00F85477" w:rsidRPr="00F85477">
        <w:rPr>
          <w:rFonts w:ascii="Arial" w:hAnsi="Arial" w:cs="Arial"/>
          <w:highlight w:val="magenta"/>
          <w:lang w:val="es-ES_tradnl" w:eastAsia="es-ES"/>
        </w:rPr>
      </w:r>
      <w:r w:rsidR="00F85477" w:rsidRPr="00F85477">
        <w:rPr>
          <w:rFonts w:ascii="Arial" w:hAnsi="Arial" w:cs="Arial"/>
          <w:highlight w:val="magenta"/>
          <w:lang w:val="es-ES_tradnl" w:eastAsia="es-ES"/>
        </w:rPr>
        <w:fldChar w:fldCharType="separate"/>
      </w:r>
      <w:r w:rsidR="00F85477" w:rsidRPr="00F85477">
        <w:rPr>
          <w:rFonts w:ascii="Arial" w:hAnsi="Arial" w:cs="Arial"/>
        </w:rPr>
        <w:t xml:space="preserve">Tabla </w:t>
      </w:r>
      <w:r w:rsidR="00F85477" w:rsidRPr="00F85477">
        <w:rPr>
          <w:rFonts w:ascii="Arial" w:hAnsi="Arial" w:cs="Arial"/>
          <w:noProof/>
        </w:rPr>
        <w:t>13</w:t>
      </w:r>
      <w:r w:rsidR="00F85477" w:rsidRPr="00F85477">
        <w:rPr>
          <w:rFonts w:ascii="Arial" w:hAnsi="Arial" w:cs="Arial"/>
          <w:highlight w:val="magenta"/>
          <w:lang w:val="es-ES_tradnl" w:eastAsia="es-ES"/>
        </w:rPr>
        <w:fldChar w:fldCharType="end"/>
      </w:r>
      <w:r w:rsidRPr="00C83F9C">
        <w:rPr>
          <w:rFonts w:ascii="Arial" w:hAnsi="Arial" w:cs="Arial"/>
          <w:lang w:val="es-ES_tradnl" w:eastAsia="es-ES"/>
        </w:rPr>
        <w:t xml:space="preserve"> resume los principales resultados de esta evaluación.</w:t>
      </w:r>
    </w:p>
    <w:p w14:paraId="74218DA4" w14:textId="6068F079" w:rsidR="00C83F9C" w:rsidRPr="00F85477" w:rsidRDefault="00C83F9C" w:rsidP="00F85477">
      <w:pPr>
        <w:pStyle w:val="Descripcin"/>
        <w:jc w:val="center"/>
        <w:rPr>
          <w:rFonts w:cs="Arial"/>
          <w:b w:val="0"/>
          <w:szCs w:val="24"/>
        </w:rPr>
      </w:pPr>
      <w:bookmarkStart w:id="198" w:name="_Ref235116223"/>
      <w:bookmarkStart w:id="199" w:name="_Toc235128410"/>
      <w:r w:rsidRPr="00F85477">
        <w:rPr>
          <w:b w:val="0"/>
          <w:szCs w:val="24"/>
        </w:rPr>
        <w:t xml:space="preserve">Tabla </w:t>
      </w:r>
      <w:r w:rsidR="008A6FF2" w:rsidRPr="00F85477">
        <w:rPr>
          <w:b w:val="0"/>
          <w:bCs/>
          <w:szCs w:val="24"/>
        </w:rPr>
        <w:fldChar w:fldCharType="begin"/>
      </w:r>
      <w:r w:rsidR="008A6FF2" w:rsidRPr="00F85477">
        <w:rPr>
          <w:b w:val="0"/>
          <w:bCs/>
          <w:szCs w:val="24"/>
        </w:rPr>
        <w:instrText xml:space="preserve"> SEQ Tabla \* ARABIC </w:instrText>
      </w:r>
      <w:r w:rsidR="008A6FF2" w:rsidRPr="00F85477">
        <w:rPr>
          <w:b w:val="0"/>
          <w:bCs/>
          <w:szCs w:val="24"/>
        </w:rPr>
        <w:fldChar w:fldCharType="separate"/>
      </w:r>
      <w:r w:rsidR="001C42C8">
        <w:rPr>
          <w:b w:val="0"/>
          <w:bCs/>
          <w:noProof/>
          <w:szCs w:val="24"/>
        </w:rPr>
        <w:t>13</w:t>
      </w:r>
      <w:r w:rsidR="008A6FF2" w:rsidRPr="00F85477">
        <w:rPr>
          <w:b w:val="0"/>
          <w:bCs/>
          <w:szCs w:val="24"/>
        </w:rPr>
        <w:fldChar w:fldCharType="end"/>
      </w:r>
      <w:bookmarkEnd w:id="198"/>
      <w:r w:rsidR="008A6FF2" w:rsidRPr="00F85477">
        <w:rPr>
          <w:b w:val="0"/>
          <w:bCs/>
          <w:szCs w:val="24"/>
        </w:rPr>
        <w:t>.</w:t>
      </w:r>
      <w:r w:rsidRPr="00F85477">
        <w:rPr>
          <w:b w:val="0"/>
          <w:szCs w:val="24"/>
        </w:rPr>
        <w:t xml:space="preserve"> </w:t>
      </w:r>
      <w:r w:rsidRPr="00F85477">
        <w:rPr>
          <w:rFonts w:cs="Arial"/>
          <w:b w:val="0"/>
          <w:szCs w:val="24"/>
        </w:rPr>
        <w:t>Resultados del análisis de las fallas regulatorias para el eje de continuidad y confiabilidad</w:t>
      </w:r>
      <w:r w:rsidR="00D03E67" w:rsidRPr="00F85477">
        <w:rPr>
          <w:rFonts w:cs="Arial"/>
          <w:b w:val="0"/>
          <w:szCs w:val="24"/>
        </w:rPr>
        <w:t xml:space="preserve"> del suministro</w:t>
      </w:r>
      <w:bookmarkEnd w:id="199"/>
    </w:p>
    <w:tbl>
      <w:tblPr>
        <w:tblStyle w:val="Tablaconcuadrcula"/>
        <w:tblW w:w="0" w:type="auto"/>
        <w:tblLook w:val="04A0" w:firstRow="1" w:lastRow="0" w:firstColumn="1" w:lastColumn="0" w:noHBand="0" w:noVBand="1"/>
      </w:tblPr>
      <w:tblGrid>
        <w:gridCol w:w="1720"/>
        <w:gridCol w:w="1372"/>
        <w:gridCol w:w="6304"/>
      </w:tblGrid>
      <w:tr w:rsidR="00D03E67" w:rsidRPr="009D7D8B" w14:paraId="4AF28101" w14:textId="77777777">
        <w:trPr>
          <w:tblHeader/>
        </w:trPr>
        <w:tc>
          <w:tcPr>
            <w:tcW w:w="0" w:type="auto"/>
            <w:vAlign w:val="center"/>
            <w:hideMark/>
          </w:tcPr>
          <w:p w14:paraId="5233FAE3" w14:textId="77777777" w:rsidR="00D03E67" w:rsidRPr="009D7D8B" w:rsidRDefault="00D03E67" w:rsidP="002F1961">
            <w:pPr>
              <w:pStyle w:val="isselectedend"/>
              <w:spacing w:line="360" w:lineRule="auto"/>
              <w:ind w:hanging="1"/>
              <w:jc w:val="center"/>
              <w:rPr>
                <w:rFonts w:ascii="Arial" w:hAnsi="Arial" w:cs="Arial"/>
                <w:b/>
                <w:bCs/>
                <w:sz w:val="20"/>
                <w:szCs w:val="20"/>
              </w:rPr>
            </w:pPr>
            <w:r w:rsidRPr="009D7D8B">
              <w:rPr>
                <w:rFonts w:ascii="Arial" w:hAnsi="Arial" w:cs="Arial"/>
                <w:b/>
                <w:bCs/>
                <w:sz w:val="20"/>
                <w:szCs w:val="20"/>
              </w:rPr>
              <w:t>Falla regulatoria</w:t>
            </w:r>
          </w:p>
        </w:tc>
        <w:tc>
          <w:tcPr>
            <w:tcW w:w="0" w:type="auto"/>
            <w:vAlign w:val="center"/>
            <w:hideMark/>
          </w:tcPr>
          <w:p w14:paraId="2F2CAB96" w14:textId="77777777" w:rsidR="00D03E67" w:rsidRPr="009D7D8B" w:rsidRDefault="00D03E67" w:rsidP="002F1961">
            <w:pPr>
              <w:pStyle w:val="isselectedend"/>
              <w:spacing w:line="360" w:lineRule="auto"/>
              <w:ind w:hanging="1"/>
              <w:jc w:val="center"/>
              <w:rPr>
                <w:rFonts w:ascii="Arial" w:hAnsi="Arial" w:cs="Arial"/>
                <w:b/>
                <w:bCs/>
                <w:sz w:val="20"/>
                <w:szCs w:val="20"/>
              </w:rPr>
            </w:pPr>
            <w:r w:rsidRPr="009D7D8B">
              <w:rPr>
                <w:rFonts w:ascii="Arial" w:hAnsi="Arial" w:cs="Arial"/>
                <w:b/>
                <w:bCs/>
                <w:sz w:val="20"/>
                <w:szCs w:val="20"/>
              </w:rPr>
              <w:t>Resultado del análisis</w:t>
            </w:r>
          </w:p>
        </w:tc>
        <w:tc>
          <w:tcPr>
            <w:tcW w:w="0" w:type="auto"/>
            <w:vAlign w:val="center"/>
            <w:hideMark/>
          </w:tcPr>
          <w:p w14:paraId="5FBF5A27" w14:textId="77777777" w:rsidR="00D03E67" w:rsidRPr="009D7D8B" w:rsidRDefault="00D03E67" w:rsidP="002F1961">
            <w:pPr>
              <w:pStyle w:val="isselectedend"/>
              <w:spacing w:line="360" w:lineRule="auto"/>
              <w:ind w:hanging="1"/>
              <w:jc w:val="center"/>
              <w:rPr>
                <w:rFonts w:ascii="Arial" w:hAnsi="Arial" w:cs="Arial"/>
                <w:b/>
                <w:bCs/>
                <w:sz w:val="20"/>
                <w:szCs w:val="20"/>
              </w:rPr>
            </w:pPr>
            <w:r w:rsidRPr="009D7D8B">
              <w:rPr>
                <w:rFonts w:ascii="Arial" w:hAnsi="Arial" w:cs="Arial"/>
                <w:b/>
                <w:bCs/>
                <w:sz w:val="20"/>
                <w:szCs w:val="20"/>
              </w:rPr>
              <w:t>Justificación</w:t>
            </w:r>
          </w:p>
        </w:tc>
      </w:tr>
      <w:tr w:rsidR="00D03E67" w:rsidRPr="009D7D8B" w14:paraId="0CDA5636" w14:textId="77777777">
        <w:tc>
          <w:tcPr>
            <w:tcW w:w="0" w:type="auto"/>
            <w:vAlign w:val="center"/>
            <w:hideMark/>
          </w:tcPr>
          <w:p w14:paraId="544BE059" w14:textId="77777777" w:rsidR="00D03E67" w:rsidRPr="009D7D8B" w:rsidRDefault="00D03E67" w:rsidP="002F1961">
            <w:pPr>
              <w:pStyle w:val="isselectedend"/>
              <w:spacing w:line="360" w:lineRule="auto"/>
              <w:ind w:hanging="1"/>
              <w:rPr>
                <w:rFonts w:ascii="Arial" w:hAnsi="Arial" w:cs="Arial"/>
                <w:sz w:val="20"/>
                <w:szCs w:val="20"/>
              </w:rPr>
            </w:pPr>
            <w:r w:rsidRPr="009D7D8B">
              <w:rPr>
                <w:rFonts w:ascii="Arial" w:hAnsi="Arial" w:cs="Arial"/>
                <w:sz w:val="20"/>
                <w:szCs w:val="20"/>
              </w:rPr>
              <w:t>Origen de las normas</w:t>
            </w:r>
          </w:p>
        </w:tc>
        <w:tc>
          <w:tcPr>
            <w:tcW w:w="0" w:type="auto"/>
            <w:vAlign w:val="center"/>
            <w:hideMark/>
          </w:tcPr>
          <w:p w14:paraId="7DEAA021" w14:textId="77777777" w:rsidR="00D03E67" w:rsidRPr="009D7D8B" w:rsidRDefault="00D03E67" w:rsidP="002F1961">
            <w:pPr>
              <w:pStyle w:val="isselectedend"/>
              <w:spacing w:line="360" w:lineRule="auto"/>
              <w:ind w:hanging="1"/>
              <w:jc w:val="center"/>
              <w:rPr>
                <w:rFonts w:ascii="Arial" w:hAnsi="Arial" w:cs="Arial"/>
                <w:sz w:val="20"/>
                <w:szCs w:val="20"/>
              </w:rPr>
            </w:pPr>
            <w:r w:rsidRPr="009D7D8B">
              <w:rPr>
                <w:rFonts w:ascii="Segoe UI Emoji" w:hAnsi="Segoe UI Emoji" w:cs="Segoe UI Emoji"/>
                <w:sz w:val="20"/>
                <w:szCs w:val="20"/>
              </w:rPr>
              <w:t>✅</w:t>
            </w:r>
          </w:p>
        </w:tc>
        <w:tc>
          <w:tcPr>
            <w:tcW w:w="0" w:type="auto"/>
            <w:vAlign w:val="center"/>
            <w:hideMark/>
          </w:tcPr>
          <w:p w14:paraId="2D0DFE1C" w14:textId="3386F58C" w:rsidR="00D03E67" w:rsidRPr="009D7D8B" w:rsidRDefault="00742EF0" w:rsidP="002F1961">
            <w:pPr>
              <w:pStyle w:val="isselectedend"/>
              <w:spacing w:line="360" w:lineRule="auto"/>
              <w:ind w:hanging="1"/>
              <w:jc w:val="both"/>
              <w:rPr>
                <w:rFonts w:ascii="Arial" w:hAnsi="Arial" w:cs="Arial"/>
                <w:sz w:val="20"/>
                <w:szCs w:val="20"/>
              </w:rPr>
            </w:pPr>
            <w:r w:rsidRPr="00742EF0">
              <w:rPr>
                <w:rFonts w:ascii="Arial" w:hAnsi="Arial" w:cs="Arial"/>
                <w:sz w:val="20"/>
                <w:szCs w:val="20"/>
              </w:rPr>
              <w:t xml:space="preserve">Las normas sobre abastecimiento, transporte, almacenamiento y prestación del servicio fueron diseñadas para responder a las </w:t>
            </w:r>
            <w:r w:rsidRPr="00742EF0">
              <w:rPr>
                <w:rFonts w:ascii="Arial" w:hAnsi="Arial" w:cs="Arial"/>
                <w:sz w:val="20"/>
                <w:szCs w:val="20"/>
              </w:rPr>
              <w:lastRenderedPageBreak/>
              <w:t>condiciones del mercado existentes al momento de su expedición. Sin embargo, la evolución de la estructura de abastecimiento, la reducción de la producción nacional, la creciente participación de las importaciones y la mayor relevancia de la infraestructura logística hacen pertinente evaluar si las problemáticas que dieron origen a la regulación corresponden con las condiciones actuales del sector</w:t>
            </w:r>
            <w:r w:rsidR="00D03E67" w:rsidRPr="009D7D8B">
              <w:rPr>
                <w:rFonts w:ascii="Arial" w:hAnsi="Arial" w:cs="Arial"/>
                <w:sz w:val="20"/>
                <w:szCs w:val="20"/>
              </w:rPr>
              <w:t>.</w:t>
            </w:r>
          </w:p>
        </w:tc>
      </w:tr>
      <w:tr w:rsidR="00D03E67" w:rsidRPr="009D7D8B" w14:paraId="729F94CF" w14:textId="77777777">
        <w:tc>
          <w:tcPr>
            <w:tcW w:w="0" w:type="auto"/>
            <w:vAlign w:val="center"/>
            <w:hideMark/>
          </w:tcPr>
          <w:p w14:paraId="2F2A0785" w14:textId="77777777" w:rsidR="00D03E67" w:rsidRPr="009D7D8B" w:rsidRDefault="00D03E67" w:rsidP="002F1961">
            <w:pPr>
              <w:pStyle w:val="isselectedend"/>
              <w:spacing w:line="360" w:lineRule="auto"/>
              <w:ind w:hanging="1"/>
              <w:rPr>
                <w:rFonts w:ascii="Arial" w:hAnsi="Arial" w:cs="Arial"/>
                <w:sz w:val="20"/>
                <w:szCs w:val="20"/>
              </w:rPr>
            </w:pPr>
            <w:r w:rsidRPr="009D7D8B">
              <w:rPr>
                <w:rFonts w:ascii="Arial" w:hAnsi="Arial" w:cs="Arial"/>
                <w:sz w:val="20"/>
                <w:szCs w:val="20"/>
              </w:rPr>
              <w:lastRenderedPageBreak/>
              <w:t>Implementación</w:t>
            </w:r>
          </w:p>
        </w:tc>
        <w:tc>
          <w:tcPr>
            <w:tcW w:w="0" w:type="auto"/>
            <w:vAlign w:val="center"/>
            <w:hideMark/>
          </w:tcPr>
          <w:p w14:paraId="7A6F521A" w14:textId="77777777" w:rsidR="00D03E67" w:rsidRPr="009D7D8B" w:rsidRDefault="00D03E67" w:rsidP="002F1961">
            <w:pPr>
              <w:pStyle w:val="isselectedend"/>
              <w:spacing w:line="360" w:lineRule="auto"/>
              <w:ind w:hanging="1"/>
              <w:jc w:val="center"/>
              <w:rPr>
                <w:rFonts w:ascii="Arial" w:hAnsi="Arial" w:cs="Arial"/>
                <w:sz w:val="20"/>
                <w:szCs w:val="20"/>
              </w:rPr>
            </w:pPr>
            <w:r w:rsidRPr="009D7D8B">
              <w:rPr>
                <w:rFonts w:ascii="Cambria Math" w:hAnsi="Cambria Math" w:cs="Cambria Math"/>
                <w:sz w:val="20"/>
                <w:szCs w:val="20"/>
              </w:rPr>
              <w:t>◐</w:t>
            </w:r>
          </w:p>
        </w:tc>
        <w:tc>
          <w:tcPr>
            <w:tcW w:w="0" w:type="auto"/>
            <w:vAlign w:val="center"/>
            <w:hideMark/>
          </w:tcPr>
          <w:p w14:paraId="1BADB904" w14:textId="36E4C615" w:rsidR="00D03E67" w:rsidRPr="009D7D8B" w:rsidRDefault="00D70368" w:rsidP="002F1961">
            <w:pPr>
              <w:pStyle w:val="isselectedend"/>
              <w:spacing w:line="360" w:lineRule="auto"/>
              <w:ind w:hanging="1"/>
              <w:jc w:val="both"/>
              <w:rPr>
                <w:rFonts w:ascii="Arial" w:hAnsi="Arial" w:cs="Arial"/>
                <w:sz w:val="20"/>
                <w:szCs w:val="20"/>
              </w:rPr>
            </w:pPr>
            <w:r w:rsidRPr="00D70368">
              <w:rPr>
                <w:rFonts w:ascii="Arial" w:hAnsi="Arial" w:cs="Arial"/>
                <w:sz w:val="20"/>
                <w:szCs w:val="20"/>
                <w:lang w:val="es-ES_tradnl"/>
              </w:rPr>
              <w:t>Si bien resulta pertinente evaluar el grado de implementación de las disposiciones regulatorias aplicables al abastecimiento y a la prestación del servicio, la evidencia recopilada durante el presente AIN no permite concluir que los síntomas identificados tengan como explicación principal incumplimientos generalizados del marco regulatorio o problemas asociados a su implementación.</w:t>
            </w:r>
          </w:p>
        </w:tc>
      </w:tr>
      <w:tr w:rsidR="00D03E67" w:rsidRPr="009D7D8B" w14:paraId="4977D8A4" w14:textId="77777777">
        <w:tc>
          <w:tcPr>
            <w:tcW w:w="0" w:type="auto"/>
            <w:vAlign w:val="center"/>
            <w:hideMark/>
          </w:tcPr>
          <w:p w14:paraId="6F1CB88A" w14:textId="77777777" w:rsidR="00D03E67" w:rsidRPr="009D7D8B" w:rsidRDefault="00D03E67" w:rsidP="002F1961">
            <w:pPr>
              <w:pStyle w:val="isselectedend"/>
              <w:spacing w:line="360" w:lineRule="auto"/>
              <w:ind w:hanging="1"/>
              <w:rPr>
                <w:rFonts w:ascii="Arial" w:hAnsi="Arial" w:cs="Arial"/>
                <w:sz w:val="20"/>
                <w:szCs w:val="20"/>
              </w:rPr>
            </w:pPr>
            <w:r w:rsidRPr="009D7D8B">
              <w:rPr>
                <w:rFonts w:ascii="Arial" w:hAnsi="Arial" w:cs="Arial"/>
                <w:sz w:val="20"/>
                <w:szCs w:val="20"/>
              </w:rPr>
              <w:t>Adecuación</w:t>
            </w:r>
          </w:p>
        </w:tc>
        <w:tc>
          <w:tcPr>
            <w:tcW w:w="0" w:type="auto"/>
            <w:vAlign w:val="center"/>
            <w:hideMark/>
          </w:tcPr>
          <w:p w14:paraId="3BE08357" w14:textId="77777777" w:rsidR="00D03E67" w:rsidRPr="009D7D8B" w:rsidRDefault="00D03E67" w:rsidP="002F1961">
            <w:pPr>
              <w:pStyle w:val="isselectedend"/>
              <w:spacing w:line="360" w:lineRule="auto"/>
              <w:ind w:hanging="1"/>
              <w:jc w:val="center"/>
              <w:rPr>
                <w:rFonts w:ascii="Arial" w:hAnsi="Arial" w:cs="Arial"/>
                <w:sz w:val="20"/>
                <w:szCs w:val="20"/>
              </w:rPr>
            </w:pPr>
            <w:r w:rsidRPr="009D7D8B">
              <w:rPr>
                <w:rFonts w:ascii="Segoe UI Emoji" w:hAnsi="Segoe UI Emoji" w:cs="Segoe UI Emoji"/>
                <w:sz w:val="20"/>
                <w:szCs w:val="20"/>
              </w:rPr>
              <w:t>✅</w:t>
            </w:r>
          </w:p>
        </w:tc>
        <w:tc>
          <w:tcPr>
            <w:tcW w:w="0" w:type="auto"/>
            <w:vAlign w:val="center"/>
            <w:hideMark/>
          </w:tcPr>
          <w:p w14:paraId="2F1B682A" w14:textId="7910B3E5" w:rsidR="00D03E67" w:rsidRPr="009D7D8B" w:rsidRDefault="00567DDB" w:rsidP="002F1961">
            <w:pPr>
              <w:pStyle w:val="isselectedend"/>
              <w:spacing w:line="360" w:lineRule="auto"/>
              <w:ind w:hanging="1"/>
              <w:jc w:val="both"/>
              <w:rPr>
                <w:rFonts w:ascii="Arial" w:hAnsi="Arial" w:cs="Arial"/>
                <w:sz w:val="20"/>
                <w:szCs w:val="20"/>
              </w:rPr>
            </w:pPr>
            <w:r w:rsidRPr="00567DDB">
              <w:rPr>
                <w:rFonts w:ascii="Arial" w:hAnsi="Arial" w:cs="Arial"/>
                <w:sz w:val="20"/>
                <w:szCs w:val="20"/>
                <w:lang w:val="es-ES_tradnl"/>
              </w:rPr>
              <w:t>La evolución de la estructura de abastecimiento, la reducción de la producción nacional, la creciente participación de las importaciones, la importancia estratégica del almacenamiento y la necesidad de fortalecer la resiliencia de la cadena logística justifican evaluar si los instrumentos regulatorios continúan siendo adecuados para promover la continuidad y confiabilidad del suministro bajo las condiciones actuales del mercado.</w:t>
            </w:r>
          </w:p>
        </w:tc>
      </w:tr>
      <w:tr w:rsidR="00D03E67" w:rsidRPr="009D7D8B" w14:paraId="51BC435F" w14:textId="77777777">
        <w:tc>
          <w:tcPr>
            <w:tcW w:w="0" w:type="auto"/>
            <w:vAlign w:val="center"/>
            <w:hideMark/>
          </w:tcPr>
          <w:p w14:paraId="15BEED10" w14:textId="77777777" w:rsidR="00D03E67" w:rsidRPr="009D7D8B" w:rsidRDefault="00D03E67" w:rsidP="002F1961">
            <w:pPr>
              <w:pStyle w:val="isselectedend"/>
              <w:spacing w:line="360" w:lineRule="auto"/>
              <w:ind w:hanging="1"/>
              <w:rPr>
                <w:rFonts w:ascii="Arial" w:hAnsi="Arial" w:cs="Arial"/>
                <w:sz w:val="20"/>
                <w:szCs w:val="20"/>
              </w:rPr>
            </w:pPr>
            <w:r w:rsidRPr="009D7D8B">
              <w:rPr>
                <w:rFonts w:ascii="Arial" w:hAnsi="Arial" w:cs="Arial"/>
                <w:sz w:val="20"/>
                <w:szCs w:val="20"/>
              </w:rPr>
              <w:t>Oportunidad</w:t>
            </w:r>
          </w:p>
        </w:tc>
        <w:tc>
          <w:tcPr>
            <w:tcW w:w="0" w:type="auto"/>
            <w:vAlign w:val="center"/>
            <w:hideMark/>
          </w:tcPr>
          <w:p w14:paraId="58993E5A" w14:textId="77777777" w:rsidR="00D03E67" w:rsidRPr="009D7D8B" w:rsidRDefault="00D03E67" w:rsidP="002F1961">
            <w:pPr>
              <w:pStyle w:val="isselectedend"/>
              <w:spacing w:line="360" w:lineRule="auto"/>
              <w:ind w:hanging="1"/>
              <w:jc w:val="center"/>
              <w:rPr>
                <w:rFonts w:ascii="Arial" w:hAnsi="Arial" w:cs="Arial"/>
                <w:sz w:val="20"/>
                <w:szCs w:val="20"/>
              </w:rPr>
            </w:pPr>
            <w:r w:rsidRPr="009D7D8B">
              <w:rPr>
                <w:rFonts w:ascii="Segoe UI Emoji" w:hAnsi="Segoe UI Emoji" w:cs="Segoe UI Emoji"/>
                <w:sz w:val="20"/>
                <w:szCs w:val="20"/>
              </w:rPr>
              <w:t>✅</w:t>
            </w:r>
          </w:p>
        </w:tc>
        <w:tc>
          <w:tcPr>
            <w:tcW w:w="0" w:type="auto"/>
            <w:vAlign w:val="center"/>
            <w:hideMark/>
          </w:tcPr>
          <w:p w14:paraId="09F9DDBD" w14:textId="5FA9A72C" w:rsidR="00D03E67" w:rsidRPr="009D7D8B" w:rsidRDefault="00D22DA2" w:rsidP="002F1961">
            <w:pPr>
              <w:pStyle w:val="isselectedend"/>
              <w:spacing w:line="360" w:lineRule="auto"/>
              <w:ind w:hanging="1"/>
              <w:jc w:val="both"/>
              <w:rPr>
                <w:rFonts w:ascii="Arial" w:hAnsi="Arial" w:cs="Arial"/>
                <w:sz w:val="20"/>
                <w:szCs w:val="20"/>
              </w:rPr>
            </w:pPr>
            <w:r w:rsidRPr="00D22DA2">
              <w:rPr>
                <w:rFonts w:ascii="Arial" w:hAnsi="Arial" w:cs="Arial"/>
                <w:sz w:val="20"/>
                <w:szCs w:val="20"/>
                <w:lang w:val="es-ES_tradnl"/>
              </w:rPr>
              <w:t>El presente AIN recopiló evidencia técnica suficiente sobre la evolución del abastecimiento, la infraestructura logística, el almacenamiento, la dependencia de un número limitado de fuentes y la creciente exposición a factores externos, lo que justifica evaluar si los instrumentos regulatorios vigentes continúan siendo los más adecuados para fortalecer la continuidad y confiabilidad del suministro de GLP.</w:t>
            </w:r>
          </w:p>
        </w:tc>
      </w:tr>
    </w:tbl>
    <w:p w14:paraId="2DE8F7B1" w14:textId="30E09272" w:rsidR="00D22DA2" w:rsidRPr="00F85477" w:rsidRDefault="00D22DA2" w:rsidP="00F85477">
      <w:pPr>
        <w:spacing w:before="100" w:beforeAutospacing="1" w:after="100" w:afterAutospacing="1" w:line="360" w:lineRule="auto"/>
        <w:jc w:val="center"/>
        <w:rPr>
          <w:sz w:val="22"/>
          <w:szCs w:val="22"/>
        </w:rPr>
      </w:pPr>
      <w:r w:rsidRPr="00F85477">
        <w:rPr>
          <w:rFonts w:cs="Arial"/>
          <w:sz w:val="22"/>
          <w:szCs w:val="22"/>
        </w:rPr>
        <w:t>Elaboración</w:t>
      </w:r>
      <w:r w:rsidR="00F85477" w:rsidRPr="00F85477">
        <w:rPr>
          <w:rFonts w:cs="Arial"/>
          <w:sz w:val="22"/>
          <w:szCs w:val="22"/>
        </w:rPr>
        <w:t>: CREG</w:t>
      </w:r>
    </w:p>
    <w:p w14:paraId="5D731811" w14:textId="77777777" w:rsidR="00D22DA2" w:rsidRPr="00BB46F5" w:rsidRDefault="00D22DA2" w:rsidP="002F1961">
      <w:pPr>
        <w:pStyle w:val="NormalWeb"/>
        <w:spacing w:line="360" w:lineRule="auto"/>
        <w:jc w:val="both"/>
        <w:rPr>
          <w:rFonts w:ascii="Arial" w:hAnsi="Arial" w:cs="Arial"/>
          <w:b/>
          <w:bCs/>
          <w:sz w:val="20"/>
          <w:szCs w:val="20"/>
        </w:rPr>
      </w:pPr>
      <w:r w:rsidRPr="00BB46F5">
        <w:rPr>
          <w:rFonts w:ascii="Arial" w:hAnsi="Arial" w:cs="Arial"/>
          <w:b/>
          <w:bCs/>
          <w:sz w:val="20"/>
          <w:szCs w:val="20"/>
        </w:rPr>
        <w:t>Convenciones:</w:t>
      </w:r>
    </w:p>
    <w:p w14:paraId="236F2B0E" w14:textId="77777777" w:rsidR="00D22DA2" w:rsidRPr="00BB46F5" w:rsidRDefault="00D22DA2" w:rsidP="002F1961">
      <w:pPr>
        <w:pStyle w:val="NormalWeb"/>
        <w:spacing w:line="360" w:lineRule="auto"/>
        <w:ind w:left="720"/>
        <w:jc w:val="both"/>
        <w:rPr>
          <w:rFonts w:ascii="Arial" w:hAnsi="Arial" w:cs="Arial"/>
          <w:sz w:val="20"/>
          <w:szCs w:val="20"/>
        </w:rPr>
      </w:pPr>
      <w:r w:rsidRPr="00BB46F5">
        <w:rPr>
          <w:rFonts w:ascii="Segoe UI Emoji" w:hAnsi="Segoe UI Emoji" w:cs="Segoe UI Emoji"/>
          <w:b/>
          <w:bCs/>
          <w:sz w:val="20"/>
          <w:szCs w:val="20"/>
        </w:rPr>
        <w:t>✅</w:t>
      </w:r>
      <w:r w:rsidRPr="00BB46F5">
        <w:rPr>
          <w:rFonts w:ascii="Arial" w:hAnsi="Arial" w:cs="Arial"/>
          <w:b/>
          <w:bCs/>
          <w:sz w:val="20"/>
          <w:szCs w:val="20"/>
        </w:rPr>
        <w:t xml:space="preserve"> </w:t>
      </w:r>
      <w:r w:rsidRPr="005768C1">
        <w:rPr>
          <w:rFonts w:ascii="Arial" w:hAnsi="Arial" w:cs="Arial"/>
          <w:sz w:val="20"/>
          <w:szCs w:val="20"/>
        </w:rPr>
        <w:t>Se identifica evidencia suficiente para considerar la existencia de la falla regulatoria o justificar su evaluación.</w:t>
      </w:r>
      <w:r w:rsidRPr="00BB46F5">
        <w:rPr>
          <w:rFonts w:ascii="Arial" w:hAnsi="Arial" w:cs="Arial"/>
          <w:sz w:val="20"/>
          <w:szCs w:val="20"/>
        </w:rPr>
        <w:t xml:space="preserve"> </w:t>
      </w:r>
    </w:p>
    <w:p w14:paraId="7AD37A9E" w14:textId="77777777" w:rsidR="00D22DA2" w:rsidRPr="005768C1" w:rsidRDefault="00D22DA2" w:rsidP="002F1961">
      <w:pPr>
        <w:pStyle w:val="NormalWeb"/>
        <w:spacing w:line="360" w:lineRule="auto"/>
        <w:ind w:left="720"/>
        <w:jc w:val="both"/>
        <w:rPr>
          <w:rFonts w:ascii="Arial" w:hAnsi="Arial" w:cs="Arial"/>
          <w:sz w:val="20"/>
          <w:szCs w:val="20"/>
        </w:rPr>
      </w:pPr>
      <w:r w:rsidRPr="005768C1">
        <w:rPr>
          <w:rFonts w:ascii="Cambria Math" w:hAnsi="Cambria Math" w:cs="Cambria Math"/>
          <w:sz w:val="20"/>
          <w:szCs w:val="20"/>
        </w:rPr>
        <w:lastRenderedPageBreak/>
        <w:t>◐</w:t>
      </w:r>
      <w:r w:rsidRPr="005768C1">
        <w:rPr>
          <w:rFonts w:ascii="Arial" w:hAnsi="Arial" w:cs="Arial"/>
          <w:sz w:val="20"/>
          <w:szCs w:val="20"/>
        </w:rPr>
        <w:t xml:space="preserve"> Se identifican elementos que justifican su revisión, aunque la evidencia disponible no permite concluir que constituya la explicación principal del problema. </w:t>
      </w:r>
    </w:p>
    <w:p w14:paraId="1E140AFE" w14:textId="77777777" w:rsidR="00D22DA2" w:rsidRPr="005768C1" w:rsidRDefault="00D22DA2" w:rsidP="002F1961">
      <w:pPr>
        <w:pStyle w:val="NormalWeb"/>
        <w:spacing w:line="360" w:lineRule="auto"/>
        <w:ind w:left="720"/>
        <w:jc w:val="both"/>
        <w:rPr>
          <w:rFonts w:ascii="Arial" w:hAnsi="Arial" w:cs="Arial"/>
          <w:sz w:val="20"/>
          <w:szCs w:val="20"/>
        </w:rPr>
      </w:pPr>
      <w:r w:rsidRPr="005768C1">
        <w:rPr>
          <w:rFonts w:ascii="Segoe UI Emoji" w:hAnsi="Segoe UI Emoji" w:cs="Segoe UI Emoji"/>
          <w:sz w:val="20"/>
          <w:szCs w:val="20"/>
        </w:rPr>
        <w:t>❌</w:t>
      </w:r>
      <w:r w:rsidRPr="005768C1">
        <w:rPr>
          <w:rFonts w:ascii="Arial" w:hAnsi="Arial" w:cs="Arial"/>
          <w:sz w:val="20"/>
          <w:szCs w:val="20"/>
        </w:rPr>
        <w:t xml:space="preserve"> No se identifica evidencia que permita considerar la existencia de la falla regulatoria.</w:t>
      </w:r>
    </w:p>
    <w:p w14:paraId="4EB189F2" w14:textId="344BDB47" w:rsidR="0025321D" w:rsidRDefault="002B41B7" w:rsidP="00F85477">
      <w:pPr>
        <w:pStyle w:val="Ttulo2"/>
        <w:spacing w:before="100" w:beforeAutospacing="1" w:after="100" w:afterAutospacing="1"/>
        <w:ind w:left="709" w:hanging="709"/>
      </w:pPr>
      <w:bookmarkStart w:id="200" w:name="_Toc235128383"/>
      <w:r w:rsidRPr="00C9460B">
        <w:t xml:space="preserve">Eficiencia económica de </w:t>
      </w:r>
      <w:r w:rsidR="00524BD2" w:rsidRPr="00C9460B">
        <w:t>la prestación del servicio</w:t>
      </w:r>
      <w:bookmarkEnd w:id="200"/>
    </w:p>
    <w:p w14:paraId="13042B5B" w14:textId="77777777" w:rsidR="00E53595" w:rsidRPr="00E53595" w:rsidRDefault="00E53595" w:rsidP="00F85477">
      <w:pPr>
        <w:pStyle w:val="NormalWeb"/>
        <w:spacing w:line="360" w:lineRule="auto"/>
        <w:jc w:val="both"/>
        <w:rPr>
          <w:rFonts w:ascii="Arial" w:hAnsi="Arial" w:cs="Arial"/>
          <w:lang w:val="es-ES" w:eastAsia="es-ES"/>
        </w:rPr>
      </w:pPr>
      <w:r w:rsidRPr="00E53595">
        <w:rPr>
          <w:rFonts w:ascii="Arial" w:hAnsi="Arial" w:cs="Arial"/>
          <w:lang w:val="es-ES" w:eastAsia="es-ES"/>
        </w:rPr>
        <w:t>Las eficiencias económicas en la prestación del servicio constituyen una condición fundamental para garantizar que los usuarios del servicio público domiciliario de GLP reciban el energético al menor costo compatible con una prestación eficiente, continua y confiable. Estas eficiencias dependen del adecuado funcionamiento de la cadena de prestación, de la disponibilidad y utilización eficiente de la infraestructura, de las condiciones de competencia presentes en los diferentes segmentos del mercado y de la existencia de incentivos que promuevan una asignación eficiente de los recursos.</w:t>
      </w:r>
    </w:p>
    <w:p w14:paraId="2108152A" w14:textId="03C18DFD" w:rsidR="00E53595" w:rsidRPr="00E53595" w:rsidRDefault="00E53595" w:rsidP="00F85477">
      <w:pPr>
        <w:pStyle w:val="NormalWeb"/>
        <w:spacing w:line="360" w:lineRule="auto"/>
        <w:jc w:val="both"/>
        <w:rPr>
          <w:rFonts w:ascii="Arial" w:hAnsi="Arial" w:cs="Arial"/>
          <w:lang w:val="es-ES" w:eastAsia="es-ES"/>
        </w:rPr>
      </w:pPr>
      <w:r w:rsidRPr="00E53595">
        <w:rPr>
          <w:rFonts w:ascii="Arial" w:hAnsi="Arial" w:cs="Arial"/>
          <w:lang w:val="es-ES" w:eastAsia="es-ES"/>
        </w:rPr>
        <w:t>Con fundamento en el diagnóstico desarrollado en el capítulo anterior, en este apartado se analiza el riesgo de ineficiencias económicas en la prestación del servicio, a partir de los síntomas observados, las posibles fallas de mercado y regulatorias que podrían explicarlos, las causas estructurales que los originan y los efectos que generan sobre los usuarios y el funcionamiento del mercado. Este análisis permitirá formular el problema regulatorio asociado a las eficiencias económicas en la prestación del servicio y servirá de base para la posterior evaluación de alternativas regulatorias.</w:t>
      </w:r>
    </w:p>
    <w:p w14:paraId="0C05E90D" w14:textId="3CE45585" w:rsidR="0025321D" w:rsidRDefault="0025321D" w:rsidP="00F85477">
      <w:pPr>
        <w:pStyle w:val="Ttulo3"/>
        <w:spacing w:before="100" w:beforeAutospacing="1" w:after="100" w:afterAutospacing="1"/>
        <w:ind w:left="1134" w:hanging="1134"/>
      </w:pPr>
      <w:bookmarkStart w:id="201" w:name="_Toc235128384"/>
      <w:r w:rsidRPr="00821F33">
        <w:t>Evaluación de los síntomas del problema</w:t>
      </w:r>
      <w:bookmarkEnd w:id="201"/>
    </w:p>
    <w:p w14:paraId="34AFB096" w14:textId="77777777" w:rsidR="00F42FA7" w:rsidRPr="00F42FA7" w:rsidRDefault="00F42FA7" w:rsidP="00F85477">
      <w:pPr>
        <w:pStyle w:val="pdq2pgselectionanchorcontainer"/>
        <w:spacing w:line="360" w:lineRule="auto"/>
        <w:rPr>
          <w:rFonts w:ascii="Arial" w:hAnsi="Arial" w:cs="Arial"/>
          <w:lang w:val="es-ES" w:eastAsia="es-ES"/>
        </w:rPr>
      </w:pPr>
      <w:r w:rsidRPr="00F42FA7">
        <w:rPr>
          <w:rFonts w:ascii="Arial" w:hAnsi="Arial" w:cs="Arial"/>
          <w:lang w:val="es-ES" w:eastAsia="es-ES"/>
        </w:rPr>
        <w:t>De conformidad con la metodología del Análisis de Impacto Normativo (AIN), el análisis inicia con la identificación de los síntomas que evidencian la existencia del riesgo de ineficiencias económicas en la prestación del servicio de GLP. Estos síntomas corresponden a manifestaciones observables derivadas del diagnóstico del sector y permiten identificar aquellas situaciones que pueden afectar la utilización eficiente de los recursos, el desarrollo de la infraestructura, el funcionamiento competitivo del mercado y, en consecuencia, las condiciones económicas bajo las cuales los usuarios acceden al servicio.</w:t>
      </w:r>
    </w:p>
    <w:p w14:paraId="53164B13" w14:textId="77777777" w:rsidR="00F42FA7" w:rsidRPr="00F42FA7" w:rsidRDefault="00F42FA7" w:rsidP="00F85477">
      <w:pPr>
        <w:pStyle w:val="pdq2pgselectionanchorcontainer"/>
        <w:spacing w:line="360" w:lineRule="auto"/>
        <w:rPr>
          <w:rFonts w:ascii="Arial" w:hAnsi="Arial" w:cs="Arial"/>
          <w:lang w:val="es-ES" w:eastAsia="es-ES"/>
        </w:rPr>
      </w:pPr>
      <w:r w:rsidRPr="00F42FA7">
        <w:rPr>
          <w:rFonts w:ascii="Arial" w:hAnsi="Arial" w:cs="Arial"/>
          <w:lang w:val="es-ES" w:eastAsia="es-ES"/>
        </w:rPr>
        <w:lastRenderedPageBreak/>
        <w:t>A continuación, se presentan los principales síntomas identificados para este riesgo y la evidencia que sustenta su ocurrencia.</w:t>
      </w:r>
    </w:p>
    <w:p w14:paraId="54939406" w14:textId="1EB19CDF" w:rsidR="00A05930" w:rsidRPr="00225A26" w:rsidRDefault="00A05930" w:rsidP="00F85477">
      <w:pPr>
        <w:pStyle w:val="Ttulo4"/>
        <w:spacing w:before="100" w:beforeAutospacing="1" w:after="100" w:afterAutospacing="1" w:line="360" w:lineRule="auto"/>
        <w:ind w:left="851" w:hanging="851"/>
      </w:pPr>
      <w:r w:rsidRPr="00225A26">
        <w:t>Restricciones para el desarrollo y disponibilidad de infraestructura requerida para la prestación</w:t>
      </w:r>
    </w:p>
    <w:p w14:paraId="32A05C1F" w14:textId="77777777" w:rsidR="000605AA" w:rsidRPr="000605AA" w:rsidRDefault="000605AA" w:rsidP="00F85477">
      <w:pPr>
        <w:pStyle w:val="pdq2pgselectionanchorcontainer"/>
        <w:spacing w:line="360" w:lineRule="auto"/>
        <w:jc w:val="both"/>
        <w:rPr>
          <w:rFonts w:ascii="Arial" w:hAnsi="Arial" w:cs="Arial"/>
          <w:lang w:val="es-ES" w:eastAsia="es-ES"/>
        </w:rPr>
      </w:pPr>
      <w:r w:rsidRPr="000605AA">
        <w:rPr>
          <w:rFonts w:ascii="Arial" w:hAnsi="Arial" w:cs="Arial"/>
          <w:lang w:val="es-ES" w:eastAsia="es-ES"/>
        </w:rPr>
        <w:t>La prestación eficiente del servicio público domiciliario de GLP requiere la existencia de infraestructura adecuada para desarrollar las actividades de almacenamiento, envasado, distribución y comercialización del producto. La disponibilidad de plantas de envasado, depósitos, expendios, puntos de venta y demás instalaciones asociadas a la prestación del servicio constituye un elemento fundamental para garantizar que los usuarios puedan acceder al energético en condiciones de eficiencia, calidad y seguridad.</w:t>
      </w:r>
    </w:p>
    <w:p w14:paraId="4CFADDFD" w14:textId="77777777" w:rsidR="000605AA" w:rsidRDefault="000605AA" w:rsidP="00F85477">
      <w:pPr>
        <w:pStyle w:val="pdq2pgselectionanchorcontainer"/>
        <w:spacing w:line="360" w:lineRule="auto"/>
        <w:jc w:val="both"/>
        <w:rPr>
          <w:rFonts w:ascii="Arial" w:hAnsi="Arial" w:cs="Arial"/>
          <w:lang w:val="es-ES" w:eastAsia="es-ES"/>
        </w:rPr>
      </w:pPr>
      <w:r w:rsidRPr="000605AA">
        <w:rPr>
          <w:rFonts w:ascii="Arial" w:hAnsi="Arial" w:cs="Arial"/>
          <w:lang w:val="es-ES" w:eastAsia="es-ES"/>
        </w:rPr>
        <w:t>Los análisis realizados evidencian que el desarrollo, permanencia y expansión de esta infraestructura puede enfrentar restricciones asociadas a factores normativos, territoriales, operativos y administrativos. En particular, la localización de las instalaciones requeridas para la prestación del servicio puede verse condicionada por las disposiciones contenidas en los instrumentos de ordenamiento territorial, los requisitos aplicables al desarrollo de determinadas actividades y las condiciones propias de cada mercado.</w:t>
      </w:r>
    </w:p>
    <w:p w14:paraId="28ACE916" w14:textId="62EAC772" w:rsidR="0050653F" w:rsidRPr="000605AA" w:rsidRDefault="0050653F" w:rsidP="00F85477">
      <w:pPr>
        <w:pStyle w:val="pdq2pgselectionanchorcontainer"/>
        <w:spacing w:line="360" w:lineRule="auto"/>
        <w:jc w:val="both"/>
        <w:rPr>
          <w:rFonts w:ascii="Arial" w:hAnsi="Arial" w:cs="Arial"/>
          <w:lang w:val="es-ES" w:eastAsia="es-ES"/>
        </w:rPr>
      </w:pPr>
      <w:r w:rsidRPr="0050653F">
        <w:rPr>
          <w:rFonts w:ascii="Arial" w:hAnsi="Arial" w:cs="Arial"/>
          <w:lang w:val="es-ES_tradnl" w:eastAsia="es-ES"/>
        </w:rPr>
        <w:t>La infraestructura requerida presenta particularidades según la modalidad de prestación del servicio. Mientras que la distribución mediante cilindros y tanques estacionarios depende principalmente de plantas de envasado, depósitos, expendios y demás instalaciones de apoyo a la distribución, la prestación mediante redes requiere adicionalmente infraestructura de distribución por tubería y las instalaciones necesarias para su operación. No obstante, en todas las modalidades, la disponibilidad, localización y expansión de la infraestructura constituye un elemento determinante para promover una prestación eficiente del servicio.</w:t>
      </w:r>
    </w:p>
    <w:p w14:paraId="4F230CC0" w14:textId="77777777" w:rsidR="000605AA" w:rsidRPr="000605AA" w:rsidRDefault="000605AA" w:rsidP="00F85477">
      <w:pPr>
        <w:pStyle w:val="pdq2pgselectionanchorcontainer"/>
        <w:spacing w:line="360" w:lineRule="auto"/>
        <w:jc w:val="both"/>
        <w:rPr>
          <w:rFonts w:ascii="Arial" w:hAnsi="Arial" w:cs="Arial"/>
          <w:lang w:val="es-ES" w:eastAsia="es-ES"/>
        </w:rPr>
      </w:pPr>
      <w:r w:rsidRPr="000605AA">
        <w:rPr>
          <w:rFonts w:ascii="Arial" w:hAnsi="Arial" w:cs="Arial"/>
          <w:lang w:val="es-ES" w:eastAsia="es-ES"/>
        </w:rPr>
        <w:t xml:space="preserve">Estas restricciones adquieren especial relevancia en territorios donde la disponibilidad de suelo apto para el desarrollo de infraestructura es limitada o donde existen dificultades para compatibilizar la prestación del servicio con otros usos del suelo. Como </w:t>
      </w:r>
      <w:r w:rsidRPr="000605AA">
        <w:rPr>
          <w:rFonts w:ascii="Arial" w:hAnsi="Arial" w:cs="Arial"/>
          <w:lang w:val="es-ES" w:eastAsia="es-ES"/>
        </w:rPr>
        <w:lastRenderedPageBreak/>
        <w:t>consecuencia, algunos agentes pueden enfrentar mayores dificultades para desarrollar nuevas instalaciones, ampliar la capacidad de las existentes o mantener la infraestructura necesaria para atender la demanda en condiciones eficientes.</w:t>
      </w:r>
    </w:p>
    <w:p w14:paraId="0EACF36D" w14:textId="77777777" w:rsidR="000605AA" w:rsidRPr="000605AA" w:rsidRDefault="000605AA" w:rsidP="00F85477">
      <w:pPr>
        <w:pStyle w:val="pdq2pgselectionanchorcontainer"/>
        <w:spacing w:line="360" w:lineRule="auto"/>
        <w:jc w:val="both"/>
        <w:rPr>
          <w:rFonts w:ascii="Arial" w:hAnsi="Arial" w:cs="Arial"/>
          <w:lang w:val="es-ES" w:eastAsia="es-ES"/>
        </w:rPr>
      </w:pPr>
      <w:r w:rsidRPr="000605AA">
        <w:rPr>
          <w:rFonts w:ascii="Arial" w:hAnsi="Arial" w:cs="Arial"/>
          <w:lang w:val="es-ES" w:eastAsia="es-ES"/>
        </w:rPr>
        <w:t>La disponibilidad de infraestructura también influye sobre la eficiencia con la que se presta el servicio. La limitada presencia de instalaciones en determinadas regiones, las restricciones para ampliar capacidades o la necesidad de recorrer mayores distancias para atender a los usuarios pueden incrementar los costos operativos y afectar la eficiencia económica de la prestación.</w:t>
      </w:r>
    </w:p>
    <w:p w14:paraId="1C034FA0" w14:textId="77777777" w:rsidR="000605AA" w:rsidRPr="000605AA" w:rsidRDefault="000605AA" w:rsidP="00F85477">
      <w:pPr>
        <w:pStyle w:val="pdq2pgselectionanchorcontainer"/>
        <w:spacing w:line="360" w:lineRule="auto"/>
        <w:jc w:val="both"/>
        <w:rPr>
          <w:rFonts w:ascii="Arial" w:hAnsi="Arial" w:cs="Arial"/>
          <w:lang w:val="es-ES" w:eastAsia="es-ES"/>
        </w:rPr>
      </w:pPr>
      <w:r w:rsidRPr="000605AA">
        <w:rPr>
          <w:rFonts w:ascii="Arial" w:hAnsi="Arial" w:cs="Arial"/>
          <w:lang w:val="es-ES" w:eastAsia="es-ES"/>
        </w:rPr>
        <w:t>Adicionalmente, las características geográficas y logísticas de algunas regiones generan condiciones diferenciadas para el desarrollo de infraestructura, lo que puede traducirse en distintos niveles de disponibilidad de instalaciones de apoyo a la prestación del servicio. Estas diferencias pueden afectar la eficiencia operativa de los agentes y limitar su capacidad para responder al crecimiento de la demanda o para incorporar nuevos usuarios.</w:t>
      </w:r>
    </w:p>
    <w:p w14:paraId="46127B5A" w14:textId="77777777" w:rsidR="000605AA" w:rsidRPr="000605AA" w:rsidRDefault="000605AA" w:rsidP="00F85477">
      <w:pPr>
        <w:pStyle w:val="pdq2pgselectionanchorcontainer"/>
        <w:spacing w:line="360" w:lineRule="auto"/>
        <w:jc w:val="both"/>
        <w:rPr>
          <w:rFonts w:ascii="Arial" w:hAnsi="Arial" w:cs="Arial"/>
          <w:lang w:val="es-ES" w:eastAsia="es-ES"/>
        </w:rPr>
      </w:pPr>
      <w:r w:rsidRPr="000605AA">
        <w:rPr>
          <w:rFonts w:ascii="Arial" w:hAnsi="Arial" w:cs="Arial"/>
          <w:lang w:val="es-ES" w:eastAsia="es-ES"/>
        </w:rPr>
        <w:t>Lo anterior no implica necesariamente que exista una insuficiencia generalizada de infraestructura para la prestación del servicio. Sin embargo, sí evidencia que la disponibilidad, localización y expansión de las instalaciones requeridas para desarrollar las actividades de la cadena constituyen factores relevantes para promover una prestación eficiente y facilitar el acceso de los usuarios al servicio en condiciones económicas adecuadas.</w:t>
      </w:r>
    </w:p>
    <w:p w14:paraId="48CDEC0D" w14:textId="22805625" w:rsidR="00A05930" w:rsidRPr="000605AA" w:rsidRDefault="000605AA" w:rsidP="00DE2803">
      <w:pPr>
        <w:pStyle w:val="pdq2pgselectionanchorcontainer"/>
        <w:spacing w:line="360" w:lineRule="auto"/>
        <w:jc w:val="both"/>
        <w:rPr>
          <w:rFonts w:ascii="Arial" w:hAnsi="Arial" w:cs="Arial"/>
          <w:lang w:val="es-ES" w:eastAsia="es-ES"/>
        </w:rPr>
      </w:pPr>
      <w:r w:rsidRPr="000605AA">
        <w:rPr>
          <w:rFonts w:ascii="Arial" w:hAnsi="Arial" w:cs="Arial"/>
          <w:lang w:val="es-ES" w:eastAsia="es-ES"/>
        </w:rPr>
        <w:t>En consecuencia, las restricciones para el desarrollo y disponibilidad de infraestructura requerida para la prestación constituyen un síntoma relevante para evaluar los riesgos asociados a las eficiencias económicas en la prestación del servicio público domiciliario de GLP, en la medida en que pueden afectar la capacidad de los agentes para operar de manera eficiente, desarrollar nuevas capacidades y prestar el servicio a los usuarios al menor costo compatible con una prestación adecuada.</w:t>
      </w:r>
    </w:p>
    <w:p w14:paraId="596596C4" w14:textId="27280735" w:rsidR="00907DAE" w:rsidRPr="00225A26" w:rsidRDefault="00907DAE" w:rsidP="00DE2803">
      <w:pPr>
        <w:pStyle w:val="Ttulo4"/>
        <w:spacing w:before="100" w:beforeAutospacing="1" w:after="100" w:afterAutospacing="1" w:line="360" w:lineRule="auto"/>
        <w:ind w:left="1134" w:hanging="1134"/>
      </w:pPr>
      <w:r w:rsidRPr="00225A26">
        <w:lastRenderedPageBreak/>
        <w:t>Dificultades en la gestión y disponibilidad de activos utilizados para la prestación</w:t>
      </w:r>
    </w:p>
    <w:p w14:paraId="3BAAC19A" w14:textId="77777777" w:rsidR="00F444C1" w:rsidRPr="00F444C1" w:rsidRDefault="00F444C1" w:rsidP="00DE2803">
      <w:pPr>
        <w:pStyle w:val="pdq2pgselectionanchorcontainer"/>
        <w:spacing w:line="360" w:lineRule="auto"/>
        <w:jc w:val="both"/>
        <w:rPr>
          <w:rFonts w:ascii="Arial" w:hAnsi="Arial" w:cs="Arial"/>
          <w:lang w:val="es-ES" w:eastAsia="es-ES"/>
        </w:rPr>
      </w:pPr>
      <w:r w:rsidRPr="00F444C1">
        <w:rPr>
          <w:rFonts w:ascii="Arial" w:hAnsi="Arial" w:cs="Arial"/>
          <w:lang w:val="es-ES" w:eastAsia="es-ES"/>
        </w:rPr>
        <w:t>La prestación del servicio público domiciliario de GLP requiere la utilización de activos especializados que permiten desarrollar las actividades de almacenamiento, transporte, distribución y entrega segura del producto a los usuarios finales. La naturaleza de estos activos varía según la modalidad de prestación del servicio. Mientras que en la distribución mediante cilindros los recipientes constituyen el principal activo operativo, en la prestación mediante tanques estacionarios y redes adquieren mayor relevancia la infraestructura y los equipos requeridos para la operación del servicio. En todos los casos, su adecuada gestión resulta fundamental para garantizar la eficiencia operativa de la cadena y optimizar la utilización de los recursos empleados en la prestación.</w:t>
      </w:r>
    </w:p>
    <w:p w14:paraId="20D1F85B" w14:textId="77777777" w:rsidR="00F444C1" w:rsidRPr="00F444C1" w:rsidRDefault="00F444C1" w:rsidP="00DE2803">
      <w:pPr>
        <w:pStyle w:val="pdq2pgselectionanchorcontainer"/>
        <w:spacing w:line="360" w:lineRule="auto"/>
        <w:jc w:val="both"/>
        <w:rPr>
          <w:rFonts w:ascii="Arial" w:hAnsi="Arial" w:cs="Arial"/>
          <w:lang w:val="es-ES" w:eastAsia="es-ES"/>
        </w:rPr>
      </w:pPr>
      <w:r w:rsidRPr="00F444C1">
        <w:rPr>
          <w:rFonts w:ascii="Arial" w:hAnsi="Arial" w:cs="Arial"/>
          <w:lang w:val="es-ES" w:eastAsia="es-ES"/>
        </w:rPr>
        <w:t>Los análisis realizados evidencian situaciones asociadas a la administración, recuperación y disponibilidad de los activos utilizados en la prestación del servicio, particularmente en relación con los cilindros empleados para la distribución del producto. Estas situaciones pueden influir sobre la capacidad de los agentes para mantener inventarios suficientes, realizar oportunamente las actividades de mantenimiento y reposición y optimizar la utilización de los activos necesarios para la prestación del servicio.</w:t>
      </w:r>
    </w:p>
    <w:p w14:paraId="32317282" w14:textId="77777777" w:rsidR="00F444C1" w:rsidRPr="00F444C1" w:rsidRDefault="00F444C1" w:rsidP="00DE2803">
      <w:pPr>
        <w:pStyle w:val="pdq2pgselectionanchorcontainer"/>
        <w:spacing w:line="360" w:lineRule="auto"/>
        <w:jc w:val="both"/>
        <w:rPr>
          <w:rFonts w:ascii="Arial" w:hAnsi="Arial" w:cs="Arial"/>
          <w:lang w:val="es-ES" w:eastAsia="es-ES"/>
        </w:rPr>
      </w:pPr>
      <w:r w:rsidRPr="00F444C1">
        <w:rPr>
          <w:rFonts w:ascii="Arial" w:hAnsi="Arial" w:cs="Arial"/>
          <w:lang w:val="es-ES" w:eastAsia="es-ES"/>
        </w:rPr>
        <w:t>Entre los aspectos identificados se encuentran prácticas relacionadas con la pérdida, hurto, intercambio informal o dificultades en la recuperación de cilindros, las cuales pueden afectar la disponibilidad efectiva de los activos requeridos para la prestación. Cuando los recipientes salen del ciclo normal de operación o no retornan oportunamente a los agentes responsables de su administración, pueden generarse mayores costos asociados a su reposición, mantenimiento y renovación, afectando la eficiencia operativa de la cadena.</w:t>
      </w:r>
    </w:p>
    <w:p w14:paraId="2E02A897" w14:textId="77777777" w:rsidR="00F444C1" w:rsidRPr="00F444C1" w:rsidRDefault="00F444C1" w:rsidP="00DE2803">
      <w:pPr>
        <w:pStyle w:val="pdq2pgselectionanchorcontainer"/>
        <w:spacing w:line="360" w:lineRule="auto"/>
        <w:jc w:val="both"/>
        <w:rPr>
          <w:rFonts w:ascii="Arial" w:hAnsi="Arial" w:cs="Arial"/>
          <w:lang w:val="es-ES" w:eastAsia="es-ES"/>
        </w:rPr>
      </w:pPr>
      <w:r w:rsidRPr="00F444C1">
        <w:rPr>
          <w:rFonts w:ascii="Arial" w:hAnsi="Arial" w:cs="Arial"/>
          <w:lang w:val="es-ES" w:eastAsia="es-ES"/>
        </w:rPr>
        <w:t xml:space="preserve">La adecuada gestión de los activos también permite optimizar su utilización a lo largo de su vida útil, facilitar la programación de actividades de mantenimiento y disponer de información que contribuya a mejorar su administración. De esta manera, una gestión </w:t>
      </w:r>
      <w:r w:rsidRPr="00F444C1">
        <w:rPr>
          <w:rFonts w:ascii="Arial" w:hAnsi="Arial" w:cs="Arial"/>
          <w:lang w:val="es-ES" w:eastAsia="es-ES"/>
        </w:rPr>
        <w:lastRenderedPageBreak/>
        <w:t>eficiente de los activos favorece el aprovechamiento de la infraestructura existente y contribuye a reducir costos innecesarios durante la prestación del servicio.</w:t>
      </w:r>
    </w:p>
    <w:p w14:paraId="370A67A5" w14:textId="77777777" w:rsidR="00F444C1" w:rsidRPr="00F444C1" w:rsidRDefault="00F444C1" w:rsidP="00DE2803">
      <w:pPr>
        <w:pStyle w:val="pdq2pgselectionanchorcontainer"/>
        <w:spacing w:line="360" w:lineRule="auto"/>
        <w:jc w:val="both"/>
        <w:rPr>
          <w:rFonts w:ascii="Arial" w:hAnsi="Arial" w:cs="Arial"/>
          <w:lang w:val="es-ES" w:eastAsia="es-ES"/>
        </w:rPr>
      </w:pPr>
      <w:r w:rsidRPr="00F444C1">
        <w:rPr>
          <w:rFonts w:ascii="Arial" w:hAnsi="Arial" w:cs="Arial"/>
          <w:lang w:val="es-ES" w:eastAsia="es-ES"/>
        </w:rPr>
        <w:t>Adicionalmente, las dificultades asociadas a la gestión de activos adquieren una mayor relevancia en mercados donde la disponibilidad de cilindros constituye un factor determinante para atender eficientemente la demanda de los usuarios. En estos casos, la indisponibilidad de recipientes puede afectar la productividad de los agentes y generar mayores costos de operación.</w:t>
      </w:r>
    </w:p>
    <w:p w14:paraId="25370706" w14:textId="77777777" w:rsidR="00F444C1" w:rsidRPr="00F444C1" w:rsidRDefault="00F444C1" w:rsidP="00DE2803">
      <w:pPr>
        <w:pStyle w:val="pdq2pgselectionanchorcontainer"/>
        <w:spacing w:line="360" w:lineRule="auto"/>
        <w:jc w:val="both"/>
        <w:rPr>
          <w:rFonts w:ascii="Arial" w:hAnsi="Arial" w:cs="Arial"/>
          <w:lang w:val="es-ES" w:eastAsia="es-ES"/>
        </w:rPr>
      </w:pPr>
      <w:r w:rsidRPr="00F444C1">
        <w:rPr>
          <w:rFonts w:ascii="Arial" w:hAnsi="Arial" w:cs="Arial"/>
          <w:lang w:val="es-ES" w:eastAsia="es-ES"/>
        </w:rPr>
        <w:t>Lo anterior no implica necesariamente la existencia de deficiencias generalizadas en la gestión de activos dentro del sector. Sin embargo, sí evidencia la importancia de evaluar las condiciones bajo las cuales se administran, recuperan y mantienen los activos utilizados para la prestación del servicio, así como los efectos que determinadas prácticas pueden generar sobre la eficiencia económica de la cadena.</w:t>
      </w:r>
    </w:p>
    <w:p w14:paraId="1433197B" w14:textId="4E3B62D7" w:rsidR="00907DAE" w:rsidRPr="00CB4F88" w:rsidRDefault="00F444C1" w:rsidP="00DE2803">
      <w:pPr>
        <w:pStyle w:val="pdq2pgselectionanchorcontainer"/>
        <w:spacing w:line="360" w:lineRule="auto"/>
        <w:jc w:val="both"/>
        <w:rPr>
          <w:rFonts w:ascii="Arial" w:hAnsi="Arial" w:cs="Arial"/>
          <w:lang w:val="es-ES" w:eastAsia="es-ES"/>
        </w:rPr>
      </w:pPr>
      <w:r w:rsidRPr="00F444C1">
        <w:rPr>
          <w:rFonts w:ascii="Arial" w:hAnsi="Arial" w:cs="Arial"/>
          <w:lang w:val="es-ES" w:eastAsia="es-ES"/>
        </w:rPr>
        <w:t>En consecuencia, las dificultades en la gestión y disponibilidad de activos utilizados para la prestación constituyen un síntoma relevante para evaluar los riesgos asociados a las eficiencias económicas en la prestación del servicio público domiciliario de GLP, en la medida en que pueden afectar la capacidad operativa de los agentes, incrementar los costos de prestación y limitar el aprovechamiento eficiente de los activos requeridos para atender a los usuarios.</w:t>
      </w:r>
    </w:p>
    <w:p w14:paraId="7E1B1C97" w14:textId="45A94024" w:rsidR="0025321D" w:rsidRDefault="00B8736B" w:rsidP="00DE2803">
      <w:pPr>
        <w:pStyle w:val="Ttulo4"/>
        <w:spacing w:before="100" w:beforeAutospacing="1" w:after="100" w:afterAutospacing="1" w:line="360" w:lineRule="auto"/>
        <w:ind w:left="1560" w:hanging="1560"/>
      </w:pPr>
      <w:r w:rsidRPr="00B8736B">
        <w:t xml:space="preserve">Diferencias en la </w:t>
      </w:r>
      <w:r w:rsidR="001A6AA9" w:rsidRPr="001A6AA9">
        <w:t>intensidad</w:t>
      </w:r>
      <w:r w:rsidRPr="00B8736B">
        <w:t xml:space="preserve"> de </w:t>
      </w:r>
      <w:r w:rsidR="001A6AA9" w:rsidRPr="001A6AA9">
        <w:t>la competencia</w:t>
      </w:r>
      <w:r w:rsidRPr="00B8736B">
        <w:t xml:space="preserve"> entre mercados</w:t>
      </w:r>
    </w:p>
    <w:p w14:paraId="36EE8C84" w14:textId="77777777" w:rsidR="00D303A6" w:rsidRPr="00D303A6" w:rsidRDefault="00D303A6" w:rsidP="00DE2803">
      <w:pPr>
        <w:pStyle w:val="pdq2pgselectionanchorcontainer"/>
        <w:spacing w:line="360" w:lineRule="auto"/>
        <w:jc w:val="both"/>
        <w:rPr>
          <w:rFonts w:ascii="Arial" w:hAnsi="Arial" w:cs="Arial"/>
          <w:lang w:val="es-ES" w:eastAsia="es-ES"/>
        </w:rPr>
      </w:pPr>
      <w:r w:rsidRPr="00D303A6">
        <w:rPr>
          <w:rFonts w:ascii="Arial" w:hAnsi="Arial" w:cs="Arial"/>
          <w:lang w:val="es-ES" w:eastAsia="es-ES"/>
        </w:rPr>
        <w:t>La competencia en el mercado de GLP no se desarrolla de manera uniforme en todos los segmentos de la cadena ni en todos los mercados geográficos donde se presta el servicio. Las condiciones bajo las cuales interactúan los agentes pueden variar significativamente dependiendo de factores como la ubicación de los mercados, las características de la demanda, la infraestructura disponible, los costos de operación y las particularidades propias de cada actividad económica.</w:t>
      </w:r>
    </w:p>
    <w:p w14:paraId="7891747F" w14:textId="77777777" w:rsidR="00D303A6" w:rsidRPr="00D303A6" w:rsidRDefault="00D303A6" w:rsidP="00DE2803">
      <w:pPr>
        <w:pStyle w:val="pdq2pgselectionanchorcontainer"/>
        <w:spacing w:line="360" w:lineRule="auto"/>
        <w:jc w:val="both"/>
        <w:rPr>
          <w:rFonts w:ascii="Arial" w:hAnsi="Arial" w:cs="Arial"/>
          <w:lang w:val="es-ES" w:eastAsia="es-ES"/>
        </w:rPr>
      </w:pPr>
      <w:r w:rsidRPr="00D303A6">
        <w:rPr>
          <w:rFonts w:ascii="Arial" w:hAnsi="Arial" w:cs="Arial"/>
          <w:lang w:val="es-ES" w:eastAsia="es-ES"/>
        </w:rPr>
        <w:t xml:space="preserve">Los análisis realizados sobre los distintos mercados relevantes evidencian que la intensidad de la competencia presenta diferencias entre actividades, regiones y </w:t>
      </w:r>
      <w:r w:rsidRPr="00D303A6">
        <w:rPr>
          <w:rFonts w:ascii="Arial" w:hAnsi="Arial" w:cs="Arial"/>
          <w:lang w:val="es-ES" w:eastAsia="es-ES"/>
        </w:rPr>
        <w:lastRenderedPageBreak/>
        <w:t>modalidades de prestación del servicio. Mientras algunos mercados cuentan con la participación de múltiples agentes y ofrecen mayores posibilidades de interacción competitiva, otros presentan una presencia más limitada de participantes o condiciones que reducen las alternativas efectivamente disponibles para competir. Estas diferencias se observan tanto en actividades asociadas al abastecimiento como en las etapas de transporte, distribución y comercialización del producto. De igual forma, la presión competitiva puede variar entre la distribución mediante cilindros y tanques estacionarios, donde normalmente existen mayores posibilidades de elección para los usuarios, y la prestación mediante redes de distribución, cuyas características responden a una dinámica diferente.</w:t>
      </w:r>
    </w:p>
    <w:p w14:paraId="7F2F3673" w14:textId="77777777" w:rsidR="00D303A6" w:rsidRPr="00D303A6" w:rsidRDefault="00D303A6" w:rsidP="00DE2803">
      <w:pPr>
        <w:pStyle w:val="pdq2pgselectionanchorcontainer"/>
        <w:spacing w:line="360" w:lineRule="auto"/>
        <w:jc w:val="both"/>
        <w:rPr>
          <w:rFonts w:ascii="Arial" w:hAnsi="Arial" w:cs="Arial"/>
          <w:lang w:val="es-ES" w:eastAsia="es-ES"/>
        </w:rPr>
      </w:pPr>
      <w:r w:rsidRPr="00D303A6">
        <w:rPr>
          <w:rFonts w:ascii="Arial" w:hAnsi="Arial" w:cs="Arial"/>
          <w:lang w:val="es-ES" w:eastAsia="es-ES"/>
        </w:rPr>
        <w:t>La existencia de niveles diferenciados de competencia no implica necesariamente la presencia de conductas anticompetitivas ni constituye, por sí misma, una falla de mercado. Sin embargo, sí evidencia que las condiciones competitivas no son homogéneas a lo largo de la cadena y que determinados mercados pueden presentar una menor presión competitiva que otros.</w:t>
      </w:r>
    </w:p>
    <w:p w14:paraId="5148E5F8" w14:textId="77777777" w:rsidR="00D303A6" w:rsidRPr="00D303A6" w:rsidRDefault="00D303A6" w:rsidP="00DE2803">
      <w:pPr>
        <w:pStyle w:val="pdq2pgselectionanchorcontainer"/>
        <w:spacing w:line="360" w:lineRule="auto"/>
        <w:jc w:val="both"/>
        <w:rPr>
          <w:rFonts w:ascii="Arial" w:hAnsi="Arial" w:cs="Arial"/>
          <w:lang w:val="es-ES" w:eastAsia="es-ES"/>
        </w:rPr>
      </w:pPr>
      <w:r w:rsidRPr="00D303A6">
        <w:rPr>
          <w:rFonts w:ascii="Arial" w:hAnsi="Arial" w:cs="Arial"/>
          <w:lang w:val="es-ES" w:eastAsia="es-ES"/>
        </w:rPr>
        <w:t>Estas diferencias pueden influir sobre los incentivos que enfrentan los agentes para mejorar la eficiencia operativa, innovar, optimizar sus costos y ofrecer mejores condiciones a los usuarios. Como consecuencia, los resultados observados pueden variar entre mercados, aun cuando todos formen parte del mismo sector económico.</w:t>
      </w:r>
    </w:p>
    <w:p w14:paraId="74AB2F3C" w14:textId="77777777" w:rsidR="00D303A6" w:rsidRPr="00D303A6" w:rsidRDefault="00D303A6" w:rsidP="00DE2803">
      <w:pPr>
        <w:pStyle w:val="pdq2pgselectionanchorcontainer"/>
        <w:spacing w:line="360" w:lineRule="auto"/>
        <w:jc w:val="both"/>
        <w:rPr>
          <w:rFonts w:ascii="Arial" w:hAnsi="Arial" w:cs="Arial"/>
          <w:lang w:val="es-ES" w:eastAsia="es-ES"/>
        </w:rPr>
      </w:pPr>
      <w:r w:rsidRPr="00D303A6">
        <w:rPr>
          <w:rFonts w:ascii="Arial" w:hAnsi="Arial" w:cs="Arial"/>
          <w:lang w:val="es-ES" w:eastAsia="es-ES"/>
        </w:rPr>
        <w:t>Lo anterior no implica que existan problemas generalizados de competencia en el mercado de GLP. Sin embargo, sí pone de manifiesto que la intensidad de la competencia constituye una característica que puede diferir entre mercados y modalidades de prestación, y que resulta relevante para evaluar las condiciones bajo las cuales se desarrolla la actividad económica dentro de la cadena.</w:t>
      </w:r>
    </w:p>
    <w:p w14:paraId="6935E867" w14:textId="640BD0BF" w:rsidR="00BA2CB6" w:rsidRPr="00BA2CB6" w:rsidRDefault="00D303A6" w:rsidP="00DE2803">
      <w:pPr>
        <w:pStyle w:val="pdq2pgselectionanchorcontainer"/>
        <w:spacing w:line="360" w:lineRule="auto"/>
        <w:jc w:val="both"/>
        <w:rPr>
          <w:rFonts w:ascii="Arial" w:hAnsi="Arial" w:cs="Arial"/>
          <w:lang w:val="es-ES" w:eastAsia="es-ES"/>
        </w:rPr>
      </w:pPr>
      <w:r w:rsidRPr="00D303A6">
        <w:rPr>
          <w:rFonts w:ascii="Arial" w:hAnsi="Arial" w:cs="Arial"/>
          <w:lang w:val="es-ES" w:eastAsia="es-ES"/>
        </w:rPr>
        <w:t xml:space="preserve">En consecuencia, las diferencias en la intensidad de la competencia entre mercados constituyen un síntoma relevante para evaluar los riesgos asociados a las eficiencias económicas en la prestación del servicio público domiciliario de GLP, en la medida en </w:t>
      </w:r>
      <w:r w:rsidRPr="00D303A6">
        <w:rPr>
          <w:rFonts w:ascii="Arial" w:hAnsi="Arial" w:cs="Arial"/>
          <w:lang w:val="es-ES" w:eastAsia="es-ES"/>
        </w:rPr>
        <w:lastRenderedPageBreak/>
        <w:t>que pueden influir sobre los incentivos para mejorar la eficiencia operativa, optimizar los costos de prestación y generar beneficios económicos para los usuarios finales.</w:t>
      </w:r>
    </w:p>
    <w:p w14:paraId="4CB13DC7" w14:textId="090E6E49" w:rsidR="0015448A" w:rsidRDefault="00AB5A83" w:rsidP="00DE2803">
      <w:pPr>
        <w:pStyle w:val="Ttulo4"/>
        <w:spacing w:before="100" w:beforeAutospacing="1" w:after="100" w:afterAutospacing="1" w:line="360" w:lineRule="auto"/>
        <w:ind w:left="1560" w:hanging="1560"/>
      </w:pPr>
      <w:r w:rsidRPr="00AB5A83">
        <w:t xml:space="preserve">Participación </w:t>
      </w:r>
      <w:r w:rsidR="0005263A" w:rsidRPr="0005263A">
        <w:t>concentrada</w:t>
      </w:r>
      <w:r w:rsidRPr="00AB5A83">
        <w:t xml:space="preserve"> de agentes </w:t>
      </w:r>
      <w:r w:rsidR="0015448A" w:rsidRPr="0015448A">
        <w:t xml:space="preserve">en </w:t>
      </w:r>
      <w:r w:rsidR="0005263A" w:rsidRPr="0005263A">
        <w:t>determinados segmentos del mercado</w:t>
      </w:r>
    </w:p>
    <w:p w14:paraId="74FBBE07" w14:textId="77777777" w:rsidR="009221C8" w:rsidRPr="009221C8" w:rsidRDefault="009221C8" w:rsidP="00DE2803">
      <w:pPr>
        <w:pStyle w:val="pdq2pgselectionanchorcontainer"/>
        <w:spacing w:line="360" w:lineRule="auto"/>
        <w:jc w:val="both"/>
        <w:rPr>
          <w:rFonts w:ascii="Arial" w:hAnsi="Arial" w:cs="Arial"/>
          <w:lang w:val="es-ES" w:eastAsia="es-ES"/>
        </w:rPr>
      </w:pPr>
      <w:r w:rsidRPr="009221C8">
        <w:rPr>
          <w:rFonts w:ascii="Arial" w:hAnsi="Arial" w:cs="Arial"/>
          <w:lang w:val="es-ES" w:eastAsia="es-ES"/>
        </w:rPr>
        <w:t>Los análisis realizados evidencian que la participación de los agentes no se distribuye de manera homogénea entre las distintas actividades que conforman la cadena de prestación del servicio público domiciliario de GLP. Mientras algunos segmentos cuentan con la presencia de múltiples participantes, otros presentan una participación más reducida de agentes o una mayor concentración de la actividad económica en un número limitado de empresas. Esta situación se observa, con distintos niveles de intensidad, en actividades asociadas al abastecimiento, transporte, almacenamiento, distribución y comercialización del producto.</w:t>
      </w:r>
    </w:p>
    <w:p w14:paraId="78B6081A" w14:textId="77777777" w:rsidR="009221C8" w:rsidRPr="009221C8" w:rsidRDefault="009221C8" w:rsidP="00DE2803">
      <w:pPr>
        <w:pStyle w:val="pdq2pgselectionanchorcontainer"/>
        <w:spacing w:line="360" w:lineRule="auto"/>
        <w:jc w:val="both"/>
        <w:rPr>
          <w:rFonts w:ascii="Arial" w:hAnsi="Arial" w:cs="Arial"/>
          <w:lang w:val="es-ES" w:eastAsia="es-ES"/>
        </w:rPr>
      </w:pPr>
      <w:r w:rsidRPr="009221C8">
        <w:rPr>
          <w:rFonts w:ascii="Arial" w:hAnsi="Arial" w:cs="Arial"/>
          <w:lang w:val="es-ES" w:eastAsia="es-ES"/>
        </w:rPr>
        <w:t>La concentración de la participación en determinados segmentos no implica necesariamente la existencia de conductas anticompetitivas ni constituye, por sí misma, una falla de mercado. Sin embargo, sí evidencia que la estructura del mercado no es homogénea a lo largo de la cadena y que algunos segmentos presentan mayores niveles de concentración que otros.</w:t>
      </w:r>
    </w:p>
    <w:p w14:paraId="7A61CD7F" w14:textId="77777777" w:rsidR="009221C8" w:rsidRPr="009221C8" w:rsidRDefault="009221C8" w:rsidP="00DE2803">
      <w:pPr>
        <w:pStyle w:val="pdq2pgselectionanchorcontainer"/>
        <w:spacing w:line="360" w:lineRule="auto"/>
        <w:jc w:val="both"/>
        <w:rPr>
          <w:rFonts w:ascii="Arial" w:hAnsi="Arial" w:cs="Arial"/>
          <w:lang w:val="es-ES" w:eastAsia="es-ES"/>
        </w:rPr>
      </w:pPr>
      <w:r w:rsidRPr="009221C8">
        <w:rPr>
          <w:rFonts w:ascii="Arial" w:hAnsi="Arial" w:cs="Arial"/>
          <w:lang w:val="es-ES" w:eastAsia="es-ES"/>
        </w:rPr>
        <w:t>La relevancia de este aspecto radica en que una participación concentrada puede influir sobre las posibilidades de acceso de otros agentes a determinadas actividades de la cadena, afectar los incentivos para el ingreso de nuevos participantes y condicionar el desarrollo de inversiones e infraestructura. Como consecuencia, la dinámica competitiva puede diferir entre segmentos y territorios, generando condiciones económicas distintas para la prestación del servicio.</w:t>
      </w:r>
    </w:p>
    <w:p w14:paraId="15156B50" w14:textId="77777777" w:rsidR="009221C8" w:rsidRPr="009221C8" w:rsidRDefault="009221C8" w:rsidP="00DE2803">
      <w:pPr>
        <w:pStyle w:val="pdq2pgselectionanchorcontainer"/>
        <w:spacing w:line="360" w:lineRule="auto"/>
        <w:jc w:val="both"/>
        <w:rPr>
          <w:rFonts w:ascii="Arial" w:hAnsi="Arial" w:cs="Arial"/>
          <w:lang w:val="es-ES" w:eastAsia="es-ES"/>
        </w:rPr>
      </w:pPr>
      <w:r w:rsidRPr="009221C8">
        <w:rPr>
          <w:rFonts w:ascii="Arial" w:hAnsi="Arial" w:cs="Arial"/>
          <w:lang w:val="es-ES" w:eastAsia="es-ES"/>
        </w:rPr>
        <w:t xml:space="preserve">Estas condiciones pueden manifestarse de manera diferente según la modalidad de prestación. Mientras que en la distribución mediante cilindros y tanques estacionarios puede existir una mayor participación de agentes en determinadas etapas de la cadena, la prestación mediante redes presenta características estructurales propias que inciden </w:t>
      </w:r>
      <w:r w:rsidRPr="009221C8">
        <w:rPr>
          <w:rFonts w:ascii="Arial" w:hAnsi="Arial" w:cs="Arial"/>
          <w:lang w:val="es-ES" w:eastAsia="es-ES"/>
        </w:rPr>
        <w:lastRenderedPageBreak/>
        <w:t>sobre la forma en que se desarrolla la actividad económica. En consecuencia, el grado de concentración debe analizarse considerando las particularidades de cada segmento y modalidad de prestación.</w:t>
      </w:r>
    </w:p>
    <w:p w14:paraId="71C29E5F" w14:textId="77777777" w:rsidR="009221C8" w:rsidRPr="009221C8" w:rsidRDefault="009221C8" w:rsidP="00DE2803">
      <w:pPr>
        <w:pStyle w:val="pdq2pgselectionanchorcontainer"/>
        <w:spacing w:line="360" w:lineRule="auto"/>
        <w:jc w:val="both"/>
        <w:rPr>
          <w:rFonts w:ascii="Arial" w:hAnsi="Arial" w:cs="Arial"/>
          <w:lang w:val="es-ES" w:eastAsia="es-ES"/>
        </w:rPr>
      </w:pPr>
      <w:r w:rsidRPr="009221C8">
        <w:rPr>
          <w:rFonts w:ascii="Arial" w:hAnsi="Arial" w:cs="Arial"/>
          <w:lang w:val="es-ES" w:eastAsia="es-ES"/>
        </w:rPr>
        <w:t>Lo anterior no implica que la participación concentrada genere necesariamente resultados adversos para el mercado. Sin embargo, sí constituye una característica observable que resulta relevante para analizar las condiciones bajo las cuales se desarrolla la actividad económica y evaluar si la estructura del mercado puede estar incidiendo sobre las eficiencias económicas de la prestación del servicio.</w:t>
      </w:r>
    </w:p>
    <w:p w14:paraId="7E791A2C" w14:textId="794D594E" w:rsidR="008B2E4B" w:rsidRPr="009221C8" w:rsidRDefault="009221C8" w:rsidP="00DE2803">
      <w:pPr>
        <w:pStyle w:val="pdq2pgselectionanchorcontainer"/>
        <w:spacing w:line="360" w:lineRule="auto"/>
        <w:jc w:val="both"/>
        <w:rPr>
          <w:rFonts w:ascii="Arial" w:hAnsi="Arial" w:cs="Arial"/>
          <w:lang w:val="es-ES" w:eastAsia="es-ES"/>
        </w:rPr>
      </w:pPr>
      <w:r w:rsidRPr="009221C8">
        <w:rPr>
          <w:rFonts w:ascii="Arial" w:hAnsi="Arial" w:cs="Arial"/>
          <w:lang w:val="es-ES" w:eastAsia="es-ES"/>
        </w:rPr>
        <w:t>En consecuencia, la participación concentrada de agentes en determinados segmentos del mercado constituye un síntoma relevante para evaluar los riesgos asociados a las eficiencias económicas en la prestación del servicio público domiciliario de GLP, en la medida en que puede influir sobre los incentivos para desarrollar infraestructura, realizar inversiones, promover la entrada de nuevos participantes y mejorar la eficiencia de las actividades que conforman la cadena</w:t>
      </w:r>
      <w:r w:rsidR="008B2E4B" w:rsidRPr="008B2E4B">
        <w:rPr>
          <w:rFonts w:ascii="Arial" w:hAnsi="Arial" w:cs="Arial"/>
          <w:lang w:val="es-ES" w:eastAsia="es-ES"/>
        </w:rPr>
        <w:t>.</w:t>
      </w:r>
    </w:p>
    <w:p w14:paraId="13DCA4CD" w14:textId="09A9ABC2" w:rsidR="00944CC3" w:rsidRDefault="00B319DD" w:rsidP="00DE2803">
      <w:pPr>
        <w:pStyle w:val="Ttulo4"/>
        <w:spacing w:before="100" w:beforeAutospacing="1" w:after="100" w:afterAutospacing="1" w:line="360" w:lineRule="auto"/>
        <w:ind w:left="1134" w:hanging="1134"/>
      </w:pPr>
      <w:r w:rsidRPr="00B319DD">
        <w:t>Limitada disponibilidad de alternativas para algunos usuarios y agentes</w:t>
      </w:r>
    </w:p>
    <w:p w14:paraId="37F0BD3F" w14:textId="77777777" w:rsidR="00635EB9" w:rsidRPr="00330ED0" w:rsidRDefault="00635EB9" w:rsidP="00DE2803">
      <w:pPr>
        <w:pStyle w:val="isselectedend"/>
        <w:spacing w:line="360" w:lineRule="auto"/>
        <w:jc w:val="both"/>
        <w:rPr>
          <w:rFonts w:ascii="Arial" w:hAnsi="Arial" w:cs="Arial"/>
          <w:lang w:val="es-ES_tradnl" w:eastAsia="es-ES"/>
        </w:rPr>
      </w:pPr>
      <w:r w:rsidRPr="00330ED0">
        <w:rPr>
          <w:rFonts w:ascii="Arial" w:hAnsi="Arial" w:cs="Arial"/>
          <w:lang w:val="es-ES_tradnl" w:eastAsia="es-ES"/>
        </w:rPr>
        <w:t>La competencia genera beneficios cuando los usuarios y los distintos participantes del mercado cuentan con alternativas reales para adquirir, comercializar, transportar o distribuir bienes y servicios. La existencia de múltiples opciones permite comparar condiciones comerciales, facilita la sustitución entre proveedores y contribuye a que los agentes compitan por atraer y conservar usuarios y clientes.</w:t>
      </w:r>
    </w:p>
    <w:p w14:paraId="2998EA10" w14:textId="77777777" w:rsidR="00635EB9" w:rsidRPr="00330ED0" w:rsidRDefault="00635EB9" w:rsidP="00DE2803">
      <w:pPr>
        <w:pStyle w:val="isselectedend"/>
        <w:spacing w:line="360" w:lineRule="auto"/>
        <w:jc w:val="both"/>
        <w:rPr>
          <w:rFonts w:ascii="Arial" w:hAnsi="Arial" w:cs="Arial"/>
          <w:lang w:val="es-ES" w:eastAsia="es-ES"/>
        </w:rPr>
      </w:pPr>
      <w:r w:rsidRPr="247C94E4">
        <w:rPr>
          <w:rFonts w:ascii="Arial" w:hAnsi="Arial" w:cs="Arial"/>
          <w:lang w:val="es-ES" w:eastAsia="es-ES"/>
        </w:rPr>
        <w:t>Los análisis realizados evidencian que la disponibilidad de alternativas no es homogénea para todos los participantes del mercado de GLP. Mientras algunos usuarios y agentes cuentan con diversas opciones para adquirir productos o contratar servicios asociados a la cadena, otros desarrollan sus actividades en entornos donde las alternativas efectivamente disponibles son más limitadas. Estas diferencias pueden observarse tanto entre regiones como entre actividades específicas de la cadena de prestación del servicio.</w:t>
      </w:r>
    </w:p>
    <w:p w14:paraId="52C5A589" w14:textId="77777777" w:rsidR="00635EB9" w:rsidRPr="00330ED0" w:rsidRDefault="00635EB9" w:rsidP="00DE2803">
      <w:pPr>
        <w:pStyle w:val="isselectedend"/>
        <w:spacing w:line="360" w:lineRule="auto"/>
        <w:jc w:val="both"/>
        <w:rPr>
          <w:rFonts w:ascii="Arial" w:hAnsi="Arial" w:cs="Arial"/>
          <w:lang w:val="es-ES_tradnl" w:eastAsia="es-ES"/>
        </w:rPr>
      </w:pPr>
      <w:r w:rsidRPr="00330ED0">
        <w:rPr>
          <w:rFonts w:ascii="Arial" w:hAnsi="Arial" w:cs="Arial"/>
          <w:lang w:val="es-ES_tradnl" w:eastAsia="es-ES"/>
        </w:rPr>
        <w:lastRenderedPageBreak/>
        <w:t>La disponibilidad de alternativas también varía según la modalidad de prestación. En la distribución mediante cilindros y, en algunos casos, mediante tanques estacionarios, los usuarios pueden contar con diferentes opciones para seleccionar el prestador del servicio, dependiendo de las condiciones del mercado donde se encuentren. En contraste, la prestación mediante redes de distribución responde a características estructurales propias que limitan las posibilidades de elección directa por parte del usuario. De igual forma, los agentes que participan en la cadena pueden enfrentar condiciones diferenciadas para acceder a proveedores, infraestructura o servicios requeridos para el desarrollo de sus actividades.</w:t>
      </w:r>
    </w:p>
    <w:p w14:paraId="5326E004" w14:textId="7B504DCD" w:rsidR="00635EB9" w:rsidRPr="00DE2803" w:rsidRDefault="00635EB9" w:rsidP="00DE2803">
      <w:pPr>
        <w:pStyle w:val="isselectedend"/>
        <w:spacing w:line="360" w:lineRule="auto"/>
        <w:jc w:val="both"/>
        <w:rPr>
          <w:rFonts w:ascii="Arial" w:hAnsi="Arial" w:cs="Arial"/>
          <w:lang w:val="es-ES_tradnl" w:eastAsia="es-ES"/>
        </w:rPr>
      </w:pPr>
      <w:r w:rsidRPr="247C94E4">
        <w:rPr>
          <w:rFonts w:ascii="Arial" w:hAnsi="Arial" w:cs="Arial"/>
          <w:lang w:val="es-ES" w:eastAsia="es-ES"/>
        </w:rPr>
        <w:t>La limitada disponibilidad de alternativas puede influir sobre las decisiones económicas de los agentes y sobre las opciones efectivamente disponibles para los usuarios. En algunos casos, las posibilidades de sustitución entre proveedores, prestadores o socios comerciales pueden ser reducidas, lo que limita la capacidad de los participantes para comparar condiciones, negociar términos contractuales o cambiar de proveedor cuando lo consideren conveniente.</w:t>
      </w:r>
    </w:p>
    <w:p w14:paraId="156CE414" w14:textId="77777777" w:rsidR="00635EB9" w:rsidRPr="00330ED0" w:rsidRDefault="00635EB9" w:rsidP="00DE2803">
      <w:pPr>
        <w:pStyle w:val="isselectedend"/>
        <w:spacing w:line="360" w:lineRule="auto"/>
        <w:jc w:val="both"/>
        <w:rPr>
          <w:rFonts w:ascii="Arial" w:hAnsi="Arial" w:cs="Arial"/>
          <w:lang w:val="es-ES" w:eastAsia="es-ES"/>
        </w:rPr>
      </w:pPr>
      <w:r w:rsidRPr="247C94E4">
        <w:rPr>
          <w:rFonts w:ascii="Arial" w:hAnsi="Arial" w:cs="Arial"/>
          <w:lang w:val="es-ES" w:eastAsia="es-ES"/>
        </w:rPr>
        <w:t>Estas situaciones no implican necesariamente la existencia de prácticas restrictivas de la competencia ni constituyen por sí mismas una falla de mercado. Sin embargo, sí evidencian que las condiciones bajo las cuales interactúan los agentes no son uniformes y que la capacidad de elección puede variar significativamente entre segmentos, modalidades de prestación y territorios.</w:t>
      </w:r>
    </w:p>
    <w:p w14:paraId="0D7698F4" w14:textId="77777777" w:rsidR="00635EB9" w:rsidRPr="00330ED0" w:rsidRDefault="00635EB9" w:rsidP="00DE2803">
      <w:pPr>
        <w:pStyle w:val="isselectedend"/>
        <w:spacing w:line="360" w:lineRule="auto"/>
        <w:jc w:val="both"/>
        <w:rPr>
          <w:rFonts w:ascii="Arial" w:hAnsi="Arial" w:cs="Arial"/>
          <w:lang w:val="es-ES_tradnl" w:eastAsia="es-ES"/>
        </w:rPr>
      </w:pPr>
      <w:r w:rsidRPr="00330ED0">
        <w:rPr>
          <w:rFonts w:ascii="Arial" w:hAnsi="Arial" w:cs="Arial"/>
          <w:lang w:val="es-ES_tradnl" w:eastAsia="es-ES"/>
        </w:rPr>
        <w:t>La relevancia de este aspecto radica en que la disponibilidad de alternativas constituye uno de los principales mecanismos mediante los cuales la competencia genera incentivos para mejorar la eficiencia, promover la innovación y ofrecer mejores condiciones a los usuarios y participantes del mercado. Como consecuencia, las diferencias observadas en las alternativas efectivamente disponibles pueden influir sobre los resultados competitivos alcanzados en distintos mercados.</w:t>
      </w:r>
    </w:p>
    <w:p w14:paraId="22A9CBAA" w14:textId="4C6B8505" w:rsidR="00171BB0" w:rsidRPr="00DE2803" w:rsidRDefault="00635EB9" w:rsidP="002F1961">
      <w:pPr>
        <w:pStyle w:val="isselectedend"/>
        <w:spacing w:line="360" w:lineRule="auto"/>
        <w:jc w:val="both"/>
        <w:rPr>
          <w:rFonts w:ascii="Arial" w:hAnsi="Arial" w:cs="Arial"/>
          <w:lang w:val="es-ES_tradnl" w:eastAsia="es-ES"/>
        </w:rPr>
      </w:pPr>
      <w:r w:rsidRPr="00330ED0">
        <w:rPr>
          <w:rFonts w:ascii="Arial" w:hAnsi="Arial" w:cs="Arial"/>
          <w:lang w:val="es-ES_tradnl" w:eastAsia="es-ES"/>
        </w:rPr>
        <w:t xml:space="preserve">En consecuencia, la limitada disponibilidad de alternativas para algunos usuarios y agentes constituye un síntoma relevante para evaluar los riesgos asociados a las </w:t>
      </w:r>
      <w:r w:rsidRPr="00330ED0">
        <w:rPr>
          <w:rFonts w:ascii="Arial" w:hAnsi="Arial" w:cs="Arial"/>
          <w:lang w:val="es-ES_tradnl" w:eastAsia="es-ES"/>
        </w:rPr>
        <w:lastRenderedPageBreak/>
        <w:t>eficiencias económicas en la prestación del servicio público domiciliario de GLP, en la medida en que puede limitar los incentivos para mejorar la eficiencia, optimizar los costos de prestación y ofrecer mejores condiciones económicas a los usuarios y demás participantes del mercado.</w:t>
      </w:r>
    </w:p>
    <w:p w14:paraId="318EC267" w14:textId="77777777" w:rsidR="0025321D" w:rsidRDefault="0025321D" w:rsidP="00DE2803">
      <w:pPr>
        <w:pStyle w:val="Ttulo3"/>
        <w:spacing w:before="100" w:beforeAutospacing="1" w:after="100" w:afterAutospacing="1"/>
        <w:ind w:left="851" w:hanging="851"/>
      </w:pPr>
      <w:bookmarkStart w:id="202" w:name="_Toc235128385"/>
      <w:r>
        <w:t>Justificación de la intervención ante la evidencia del problema</w:t>
      </w:r>
      <w:bookmarkEnd w:id="202"/>
    </w:p>
    <w:p w14:paraId="686B759E" w14:textId="5580D565" w:rsidR="002436A1" w:rsidRPr="002436A1" w:rsidRDefault="002436A1" w:rsidP="00DE2803">
      <w:pPr>
        <w:spacing w:before="100" w:beforeAutospacing="1" w:after="100" w:afterAutospacing="1" w:line="360" w:lineRule="auto"/>
        <w:rPr>
          <w:rFonts w:cs="Arial"/>
          <w:szCs w:val="24"/>
        </w:rPr>
      </w:pPr>
      <w:r w:rsidRPr="002436A1">
        <w:rPr>
          <w:rFonts w:cs="Arial"/>
          <w:szCs w:val="24"/>
        </w:rPr>
        <w:t>La identificación de síntomas asociados al funcionamiento del mercado no constituye, por sí sola, una justificación para la intervención regulatoria. En el marco del Análisis de Impacto Normativo (AIN), es necesario establecer si las situaciones observadas responden a fallas de mercado, fallas regulatorias u otras condiciones estructurales que limitan el funcionamiento eficiente del mercado o dificultan el cumplimiento de los objetivos de la regulación. Para ello, este apartado analiza la existencia de fallas de mercado y, cuando corresponda, de fallas regulatorias u otras circunstancias que puedan justificar una eventual intervención de la Comisión.</w:t>
      </w:r>
    </w:p>
    <w:p w14:paraId="4CC4C042" w14:textId="4D2EDEA8" w:rsidR="0025321D" w:rsidRDefault="0025321D" w:rsidP="00DE2803">
      <w:pPr>
        <w:pStyle w:val="Ttulo4"/>
        <w:spacing w:before="100" w:beforeAutospacing="1" w:after="100" w:afterAutospacing="1" w:line="360" w:lineRule="auto"/>
        <w:ind w:left="1134" w:hanging="1134"/>
      </w:pPr>
      <w:r w:rsidRPr="00821F33">
        <w:t>Fallas de mercado</w:t>
      </w:r>
    </w:p>
    <w:p w14:paraId="02A5E038" w14:textId="77777777" w:rsidR="00DC13B0" w:rsidRPr="00DC13B0" w:rsidRDefault="00DC13B0" w:rsidP="00DE2803">
      <w:pPr>
        <w:pStyle w:val="pdq2pgselectionanchorcontainer"/>
        <w:spacing w:line="360" w:lineRule="auto"/>
        <w:jc w:val="both"/>
        <w:rPr>
          <w:rFonts w:ascii="Arial" w:hAnsi="Arial" w:cs="Arial"/>
          <w:lang w:val="es-ES" w:eastAsia="es-ES"/>
        </w:rPr>
      </w:pPr>
      <w:r w:rsidRPr="00DC13B0">
        <w:rPr>
          <w:rFonts w:ascii="Arial" w:hAnsi="Arial" w:cs="Arial"/>
          <w:lang w:val="es-ES" w:eastAsia="es-ES"/>
        </w:rPr>
        <w:t>Las fallas de mercado corresponden a situaciones en las cuales el funcionamiento del mercado, por sí solo, no permite alcanzar resultados eficientes desde el punto de vista económico o social. En el contexto del servicio público domiciliario de GLP, estas fallas pueden manifestarse mediante restricciones a la competencia, asimetrías de información, externalidades u otras condiciones que limitan la asignación eficiente de los recursos y, en consecuencia, pueden afectar las eficiencias económicas en la prestación del servicio y el bienestar de los usuarios.</w:t>
      </w:r>
    </w:p>
    <w:p w14:paraId="30977473" w14:textId="657F0A7A" w:rsidR="00DC13B0" w:rsidRPr="00DC13B0" w:rsidRDefault="00DC13B0" w:rsidP="00DE2803">
      <w:pPr>
        <w:pStyle w:val="pdq2pgselectionanchorcontainer"/>
        <w:spacing w:line="360" w:lineRule="auto"/>
        <w:jc w:val="both"/>
        <w:rPr>
          <w:rFonts w:ascii="Arial" w:hAnsi="Arial" w:cs="Arial"/>
          <w:lang w:val="es-ES" w:eastAsia="es-ES"/>
        </w:rPr>
      </w:pPr>
      <w:r w:rsidRPr="00DC13B0">
        <w:rPr>
          <w:rFonts w:ascii="Arial" w:hAnsi="Arial" w:cs="Arial"/>
          <w:lang w:val="es-ES" w:eastAsia="es-ES"/>
        </w:rPr>
        <w:t>Con fundamento en el diagnóstico desarrollado en el capítulo anterior y en la evidencia recopilada durante el presente AIN, a continuación</w:t>
      </w:r>
      <w:r>
        <w:rPr>
          <w:rFonts w:ascii="Arial" w:hAnsi="Arial" w:cs="Arial"/>
          <w:lang w:val="es-ES" w:eastAsia="es-ES"/>
        </w:rPr>
        <w:t>,</w:t>
      </w:r>
      <w:r w:rsidRPr="00DC13B0">
        <w:rPr>
          <w:rFonts w:ascii="Arial" w:hAnsi="Arial" w:cs="Arial"/>
          <w:lang w:val="es-ES" w:eastAsia="es-ES"/>
        </w:rPr>
        <w:t xml:space="preserve"> se analizan las principales fallas de mercado identificadas y su relación con los síntomas observados en materia de infraestructura, gestión de activos, condiciones de competencia y disponibilidad de alternativas para los usuarios y los agentes que participan en la cadena de prestación del servicio público domiciliario de GLP.</w:t>
      </w:r>
    </w:p>
    <w:p w14:paraId="331091D3" w14:textId="1A20C12E" w:rsidR="0025321D" w:rsidRDefault="0025321D" w:rsidP="00DE2803">
      <w:pPr>
        <w:pStyle w:val="Ttulo5"/>
        <w:numPr>
          <w:ilvl w:val="4"/>
          <w:numId w:val="1"/>
        </w:numPr>
        <w:spacing w:before="100" w:beforeAutospacing="1" w:after="100" w:afterAutospacing="1"/>
        <w:ind w:left="1560" w:hanging="1418"/>
      </w:pPr>
      <w:r>
        <w:lastRenderedPageBreak/>
        <w:t>Externalidades</w:t>
      </w:r>
    </w:p>
    <w:p w14:paraId="1BB48E34" w14:textId="77777777" w:rsidR="007A005B" w:rsidRPr="007A005B" w:rsidRDefault="007A005B" w:rsidP="00DE2803">
      <w:pPr>
        <w:pStyle w:val="NormalWeb"/>
        <w:spacing w:line="360" w:lineRule="auto"/>
        <w:jc w:val="both"/>
        <w:rPr>
          <w:rFonts w:ascii="Arial" w:hAnsi="Arial" w:cs="Arial"/>
          <w:lang w:val="es-ES" w:eastAsia="es-ES"/>
        </w:rPr>
      </w:pPr>
      <w:r w:rsidRPr="007A005B">
        <w:rPr>
          <w:rFonts w:ascii="Arial" w:hAnsi="Arial" w:cs="Arial"/>
          <w:lang w:val="es-ES" w:eastAsia="es-ES"/>
        </w:rPr>
        <w:t>En materia de eficiencias económicas en la prestación del servicio público domiciliario de GLP, las externalidades pueden presentarse, por ejemplo, cuando las inversiones realizadas por un agente en infraestructura o en activos generan beneficios que también son aprovechados por otros participantes del mercado, o cuando determinadas decisiones relacionadas con la gestión de estos activos producen efectos sobre el funcionamiento general de la cadena.</w:t>
      </w:r>
    </w:p>
    <w:p w14:paraId="78C023A6" w14:textId="77777777" w:rsidR="007A005B" w:rsidRPr="007A005B" w:rsidRDefault="007A005B" w:rsidP="00DE2803">
      <w:pPr>
        <w:pStyle w:val="NormalWeb"/>
        <w:spacing w:line="360" w:lineRule="auto"/>
        <w:jc w:val="both"/>
        <w:rPr>
          <w:rFonts w:ascii="Arial" w:hAnsi="Arial" w:cs="Arial"/>
          <w:lang w:val="es-ES" w:eastAsia="es-ES"/>
        </w:rPr>
      </w:pPr>
      <w:r w:rsidRPr="007A005B">
        <w:rPr>
          <w:rFonts w:ascii="Arial" w:hAnsi="Arial" w:cs="Arial"/>
          <w:lang w:val="es-ES" w:eastAsia="es-ES"/>
        </w:rPr>
        <w:t>No obstante, los síntomas identificados para este eje temático se encuentran asociados principalmente a las condiciones de competencia, la disponibilidad de infraestructura, la gestión de activos y la existencia de incentivos para realizar inversiones que mejoren la eficiencia de la prestación. Si bien algunos de estos aspectos pueden generar efectos indirectos sobre otros participantes del mercado, dichos efectos no constituyen el elemento central que explica las situaciones observadas.</w:t>
      </w:r>
    </w:p>
    <w:p w14:paraId="7F29EF30" w14:textId="61FDBADB" w:rsidR="002E3F98" w:rsidRPr="00B801E4" w:rsidRDefault="007A005B" w:rsidP="00DE2803">
      <w:pPr>
        <w:pStyle w:val="NormalWeb"/>
        <w:spacing w:line="360" w:lineRule="auto"/>
        <w:jc w:val="both"/>
        <w:rPr>
          <w:rFonts w:ascii="Arial" w:hAnsi="Arial" w:cs="Arial"/>
          <w:lang w:val="es-ES" w:eastAsia="es-ES"/>
        </w:rPr>
      </w:pPr>
      <w:r w:rsidRPr="007A005B">
        <w:rPr>
          <w:rFonts w:ascii="Arial" w:hAnsi="Arial" w:cs="Arial"/>
          <w:lang w:val="es-ES" w:eastAsia="es-ES"/>
        </w:rPr>
        <w:t>En consecuencia, las externalidades constituyen una explicación complementaria para algunos de los síntomas identificados, particularmente aquellos relacionados con la infraestructura y la gestión de activos. Sin embargo, no representan la principal falla de mercado asociada a las eficiencias económicas en la prestación del servicio público domiciliario de GLP.</w:t>
      </w:r>
    </w:p>
    <w:p w14:paraId="1DB70A12" w14:textId="759FB5A2" w:rsidR="0025321D" w:rsidRDefault="0025321D" w:rsidP="00DE2803">
      <w:pPr>
        <w:pStyle w:val="Ttulo5"/>
        <w:numPr>
          <w:ilvl w:val="4"/>
          <w:numId w:val="1"/>
        </w:numPr>
        <w:spacing w:before="100" w:beforeAutospacing="1" w:after="100" w:afterAutospacing="1"/>
        <w:ind w:left="1560" w:hanging="1560"/>
      </w:pPr>
      <w:r>
        <w:t>Bienes públicos</w:t>
      </w:r>
    </w:p>
    <w:p w14:paraId="55454574" w14:textId="77777777" w:rsidR="00B64AA7" w:rsidRPr="00042ED1" w:rsidRDefault="00B64AA7" w:rsidP="00DE2803">
      <w:pPr>
        <w:pStyle w:val="NormalWeb"/>
        <w:spacing w:line="360" w:lineRule="auto"/>
        <w:jc w:val="both"/>
        <w:rPr>
          <w:rFonts w:ascii="Arial" w:hAnsi="Arial" w:cs="Arial"/>
          <w:lang w:val="es-ES" w:eastAsia="es-ES"/>
        </w:rPr>
      </w:pPr>
      <w:r w:rsidRPr="00042ED1">
        <w:rPr>
          <w:rFonts w:ascii="Arial" w:hAnsi="Arial" w:cs="Arial"/>
          <w:lang w:val="es-ES" w:eastAsia="es-ES"/>
        </w:rPr>
        <w:t>En el caso de las eficiencias económicas en la prestación del servicio público domiciliario de GLP, las actividades que conforman la cadena de prestación son desarrolladas por agentes claramente identificables que realizan inversiones, administran infraestructura y recuperan sus costos mediante transacciones privadas. En este contexto, los síntomas relacionados con la disponibilidad de infraestructura, la gestión de activos, las diferencias en la intensidad de la competencia, la participación concentrada de agentes y la disponibilidad de alternativas para usuarios y agentes no obedecen a problemas asociados con la provisión insuficiente de bienes públicos.</w:t>
      </w:r>
    </w:p>
    <w:p w14:paraId="3A5AF216" w14:textId="03C45836" w:rsidR="009A486F" w:rsidRPr="00042ED1" w:rsidRDefault="00B64AA7" w:rsidP="00DE2803">
      <w:pPr>
        <w:pStyle w:val="NormalWeb"/>
        <w:spacing w:line="360" w:lineRule="auto"/>
        <w:jc w:val="both"/>
        <w:rPr>
          <w:rFonts w:ascii="Arial" w:hAnsi="Arial" w:cs="Arial"/>
          <w:lang w:val="es-ES" w:eastAsia="es-ES"/>
        </w:rPr>
      </w:pPr>
      <w:r w:rsidRPr="00042ED1">
        <w:rPr>
          <w:rFonts w:ascii="Arial" w:hAnsi="Arial" w:cs="Arial"/>
          <w:lang w:val="es-ES" w:eastAsia="es-ES"/>
        </w:rPr>
        <w:lastRenderedPageBreak/>
        <w:t>En consecuencia, la falla de mercado relacionada con los bienes públicos no constituye una explicación relevante de los síntomas identificados para este eje temático, por cuanto las situaciones observadas responden principalmente a la estructura del mercado, los incentivos económicos de los agentes y las condiciones bajo las cuales se desarrolla la competencia en la cadena de prestación del servicio público domiciliario de GLP.</w:t>
      </w:r>
    </w:p>
    <w:p w14:paraId="120A13C8" w14:textId="0B080356" w:rsidR="0025321D" w:rsidRDefault="0025321D" w:rsidP="00DE2803">
      <w:pPr>
        <w:pStyle w:val="Ttulo5"/>
        <w:numPr>
          <w:ilvl w:val="4"/>
          <w:numId w:val="1"/>
        </w:numPr>
        <w:spacing w:before="100" w:beforeAutospacing="1" w:after="100" w:afterAutospacing="1"/>
        <w:ind w:left="1843" w:hanging="1843"/>
      </w:pPr>
      <w:r>
        <w:t>Competencia</w:t>
      </w:r>
    </w:p>
    <w:p w14:paraId="580E404F" w14:textId="77777777" w:rsidR="00913B7E" w:rsidRPr="00042ED1" w:rsidRDefault="00913B7E" w:rsidP="00DE2803">
      <w:pPr>
        <w:pStyle w:val="NormalWeb"/>
        <w:spacing w:line="360" w:lineRule="auto"/>
        <w:jc w:val="both"/>
        <w:rPr>
          <w:rFonts w:ascii="Arial" w:hAnsi="Arial" w:cs="Arial"/>
          <w:lang w:val="es-ES" w:eastAsia="es-ES"/>
        </w:rPr>
      </w:pPr>
      <w:r w:rsidRPr="00042ED1">
        <w:rPr>
          <w:rFonts w:ascii="Arial" w:hAnsi="Arial" w:cs="Arial"/>
          <w:lang w:val="es-ES" w:eastAsia="es-ES"/>
        </w:rPr>
        <w:t xml:space="preserve">La competencia constituye uno de los principales mecanismos mediante los cuales los mercados promueven la </w:t>
      </w:r>
      <w:r w:rsidR="009220B5" w:rsidRPr="009220B5">
        <w:rPr>
          <w:rFonts w:ascii="Arial" w:hAnsi="Arial" w:cs="Arial"/>
          <w:lang w:val="es-ES" w:eastAsia="es-ES"/>
        </w:rPr>
        <w:t>eficiencia económica</w:t>
      </w:r>
      <w:r w:rsidRPr="00042ED1">
        <w:rPr>
          <w:rFonts w:ascii="Arial" w:hAnsi="Arial" w:cs="Arial"/>
          <w:lang w:val="es-ES" w:eastAsia="es-ES"/>
        </w:rPr>
        <w:t>, incentivan la innovación, favorecen el desarrollo de infraestructura y generan beneficios para los usuarios. Cuando los agentes enfrentan condiciones adecuadas de rivalidad y los usuarios cuentan con alternativas reales de elección, se fortalecen los incentivos para reducir costos, mejorar la productividad y ofrecer mejores condiciones de prestación. En contraste, cuando existen restricciones que limitan la competencia, los mercados pueden generar resultados menos eficientes, configurándose una falla de mercado que puede justificar la intervención del Estado.</w:t>
      </w:r>
    </w:p>
    <w:p w14:paraId="35C5E8D2" w14:textId="77777777" w:rsidR="009220B5" w:rsidRPr="009220B5" w:rsidRDefault="00913B7E" w:rsidP="00DE2803">
      <w:pPr>
        <w:pStyle w:val="NormalWeb"/>
        <w:spacing w:line="360" w:lineRule="auto"/>
        <w:jc w:val="both"/>
        <w:rPr>
          <w:rFonts w:ascii="Arial" w:hAnsi="Arial" w:cs="Arial"/>
          <w:lang w:val="es-ES" w:eastAsia="es-ES"/>
        </w:rPr>
      </w:pPr>
      <w:r w:rsidRPr="00042ED1">
        <w:rPr>
          <w:rFonts w:ascii="Arial" w:hAnsi="Arial" w:cs="Arial"/>
          <w:lang w:val="es-ES" w:eastAsia="es-ES"/>
        </w:rPr>
        <w:t>En materia de eficiencias económicas en</w:t>
      </w:r>
      <w:r w:rsidR="009220B5" w:rsidRPr="009220B5">
        <w:rPr>
          <w:rFonts w:ascii="Arial" w:hAnsi="Arial" w:cs="Arial"/>
          <w:lang w:val="es-ES" w:eastAsia="es-ES"/>
        </w:rPr>
        <w:t xml:space="preserve"> la prestación del servicio público domiciliario de GLP, los síntomas identificados guardan una relación directa con las condiciones de competencia presentes en los diferentes segmentos de la cadena. Los estudios de mercados relevantes desarrollados para el sector evidencian diferencias importantes en el número de participantes, los niveles de concentración y la intensidad de la competencia entre actividades, mercados</w:t>
      </w:r>
      <w:r w:rsidRPr="00042ED1">
        <w:rPr>
          <w:rFonts w:ascii="Arial" w:hAnsi="Arial" w:cs="Arial"/>
          <w:lang w:val="es-ES" w:eastAsia="es-ES"/>
        </w:rPr>
        <w:t xml:space="preserve">, </w:t>
      </w:r>
      <w:r w:rsidR="009220B5" w:rsidRPr="009220B5">
        <w:rPr>
          <w:rFonts w:ascii="Arial" w:hAnsi="Arial" w:cs="Arial"/>
          <w:lang w:val="es-ES" w:eastAsia="es-ES"/>
        </w:rPr>
        <w:t>regiones</w:t>
      </w:r>
      <w:r w:rsidRPr="00042ED1">
        <w:rPr>
          <w:rFonts w:ascii="Arial" w:hAnsi="Arial" w:cs="Arial"/>
          <w:lang w:val="es-ES" w:eastAsia="es-ES"/>
        </w:rPr>
        <w:t xml:space="preserve"> y modalidades de prestación del servicio.</w:t>
      </w:r>
      <w:r w:rsidR="009220B5" w:rsidRPr="009220B5">
        <w:rPr>
          <w:rFonts w:ascii="Arial" w:hAnsi="Arial" w:cs="Arial"/>
          <w:lang w:val="es-ES" w:eastAsia="es-ES"/>
        </w:rPr>
        <w:t xml:space="preserve"> Asimismo, se identifican situaciones en las cuales determinados mercados presentan una participación más concentrada o una menor disponibilidad de alternativas para usuarios y agentes.</w:t>
      </w:r>
    </w:p>
    <w:p w14:paraId="04819D21" w14:textId="77777777" w:rsidR="009220B5" w:rsidRPr="009220B5" w:rsidRDefault="009220B5" w:rsidP="00DE2803">
      <w:pPr>
        <w:pStyle w:val="NormalWeb"/>
        <w:spacing w:line="360" w:lineRule="auto"/>
        <w:jc w:val="both"/>
        <w:rPr>
          <w:rFonts w:ascii="Arial" w:hAnsi="Arial" w:cs="Arial"/>
          <w:lang w:val="es-ES" w:eastAsia="es-ES"/>
        </w:rPr>
      </w:pPr>
      <w:r w:rsidRPr="009220B5">
        <w:rPr>
          <w:rFonts w:ascii="Arial" w:hAnsi="Arial" w:cs="Arial"/>
          <w:lang w:val="es-ES" w:eastAsia="es-ES"/>
        </w:rPr>
        <w:t xml:space="preserve">Los síntomas identificados en el diagnóstico reflejan estas condiciones. </w:t>
      </w:r>
      <w:r w:rsidR="00913B7E" w:rsidRPr="00042ED1">
        <w:rPr>
          <w:rFonts w:ascii="Arial" w:hAnsi="Arial" w:cs="Arial"/>
          <w:lang w:val="es-ES" w:eastAsia="es-ES"/>
        </w:rPr>
        <w:t>Las diferencias en la intensidad de la competencia entre mercados, la participación concentrada de agentes en determinados segmentos y la limitada disponibilidad de alternativas</w:t>
      </w:r>
      <w:r w:rsidRPr="009220B5">
        <w:rPr>
          <w:rFonts w:ascii="Arial" w:hAnsi="Arial" w:cs="Arial"/>
          <w:lang w:val="es-ES" w:eastAsia="es-ES"/>
        </w:rPr>
        <w:t xml:space="preserve"> pueden </w:t>
      </w:r>
      <w:r w:rsidRPr="009220B5">
        <w:rPr>
          <w:rFonts w:ascii="Arial" w:hAnsi="Arial" w:cs="Arial"/>
          <w:lang w:val="es-ES" w:eastAsia="es-ES"/>
        </w:rPr>
        <w:lastRenderedPageBreak/>
        <w:t>afectar los incentivos para mejorar la eficiencia operativa, desarrollar infraestructura, realizar inversiones y optimizar los costos de prestación del servicio.</w:t>
      </w:r>
    </w:p>
    <w:p w14:paraId="7B75B07C" w14:textId="77777777" w:rsidR="00913B7E" w:rsidRPr="00042ED1" w:rsidRDefault="00913B7E" w:rsidP="00DE2803">
      <w:pPr>
        <w:pStyle w:val="NormalWeb"/>
        <w:spacing w:line="360" w:lineRule="auto"/>
        <w:jc w:val="both"/>
        <w:rPr>
          <w:rFonts w:ascii="Arial" w:hAnsi="Arial" w:cs="Arial"/>
          <w:lang w:val="es-ES" w:eastAsia="es-ES"/>
        </w:rPr>
      </w:pPr>
      <w:r w:rsidRPr="00042ED1">
        <w:rPr>
          <w:rFonts w:ascii="Arial" w:hAnsi="Arial" w:cs="Arial"/>
          <w:lang w:val="es-ES" w:eastAsia="es-ES"/>
        </w:rPr>
        <w:t>Estas condiciones pueden estar asociadas a factores estructurales propios de la cadena de GLP, entre los cuales se encuentran las economías de escala presentes en algunas actividades, la necesidad de realizar inversiones significativas en infraestructura y activos especializados, las diferencias regionales en el tamaño y las características de los mercados, así como las condiciones de acceso a determinados activos o facilidades necesarias para desarrollar actividades dentro de la cadena. Asimismo, cuando la oferta o las alternativas de abastecimiento son limitadas, pueden presentarse diferencias en la capacidad de negociación entre los agentes, lo que puede influir sobre las condiciones comerciales bajo las cuales se desarrollan las transacciones. En conjunto, estos elementos pueden limitar la entrada de nuevos participantes, reducir la intensidad de la competencia y afectar los incentivos para alcanzar mayores niveles de eficiencia económica.</w:t>
      </w:r>
    </w:p>
    <w:p w14:paraId="6D007968" w14:textId="77777777" w:rsidR="00913B7E" w:rsidRPr="00042ED1" w:rsidRDefault="00913B7E" w:rsidP="00916790">
      <w:pPr>
        <w:pStyle w:val="NormalWeb"/>
        <w:spacing w:line="360" w:lineRule="auto"/>
        <w:jc w:val="both"/>
        <w:rPr>
          <w:rFonts w:ascii="Arial" w:hAnsi="Arial" w:cs="Arial"/>
          <w:lang w:val="es-ES" w:eastAsia="es-ES"/>
        </w:rPr>
      </w:pPr>
      <w:r w:rsidRPr="00042ED1">
        <w:rPr>
          <w:rFonts w:ascii="Arial" w:hAnsi="Arial" w:cs="Arial"/>
          <w:lang w:val="es-ES" w:eastAsia="es-ES"/>
        </w:rPr>
        <w:t>Lo anterior no implica necesariamente la existencia de conductas anticompetitivas ni permite concluir que exista un ejercicio indebido de poder de mercado. Sin embargo, sí evidencia la conveniencia de evaluar si determinadas características estructurales del mercado están limitando la competencia y reduciendo los incentivos para mejorar la eficiencia económica de la prestación del servicio.</w:t>
      </w:r>
    </w:p>
    <w:p w14:paraId="4EE4348E" w14:textId="7FF8870D" w:rsidR="005D6CCD" w:rsidRPr="005D6CCD" w:rsidRDefault="009220B5" w:rsidP="00916790">
      <w:pPr>
        <w:pStyle w:val="NormalWeb"/>
        <w:spacing w:line="360" w:lineRule="auto"/>
        <w:jc w:val="both"/>
        <w:rPr>
          <w:rFonts w:ascii="Arial" w:hAnsi="Arial" w:cs="Arial"/>
          <w:lang w:val="es-ES" w:eastAsia="es-ES"/>
        </w:rPr>
      </w:pPr>
      <w:r w:rsidRPr="009220B5">
        <w:rPr>
          <w:rFonts w:ascii="Arial" w:hAnsi="Arial" w:cs="Arial"/>
          <w:lang w:val="es-ES" w:eastAsia="es-ES"/>
        </w:rPr>
        <w:t xml:space="preserve">En consecuencia, </w:t>
      </w:r>
      <w:r w:rsidR="00913B7E" w:rsidRPr="00042ED1">
        <w:rPr>
          <w:rFonts w:ascii="Arial" w:hAnsi="Arial" w:cs="Arial"/>
          <w:lang w:val="es-ES" w:eastAsia="es-ES"/>
        </w:rPr>
        <w:t>la competencia imperfecta constituye</w:t>
      </w:r>
      <w:r w:rsidRPr="009220B5">
        <w:rPr>
          <w:rFonts w:ascii="Arial" w:hAnsi="Arial" w:cs="Arial"/>
          <w:lang w:val="es-ES" w:eastAsia="es-ES"/>
        </w:rPr>
        <w:t xml:space="preserve"> la principal </w:t>
      </w:r>
      <w:r w:rsidR="00913B7E" w:rsidRPr="00042ED1">
        <w:rPr>
          <w:rFonts w:ascii="Arial" w:hAnsi="Arial" w:cs="Arial"/>
          <w:lang w:val="es-ES" w:eastAsia="es-ES"/>
        </w:rPr>
        <w:t>falla de mercado que explica</w:t>
      </w:r>
      <w:r w:rsidRPr="009220B5">
        <w:rPr>
          <w:rFonts w:ascii="Arial" w:hAnsi="Arial" w:cs="Arial"/>
          <w:lang w:val="es-ES" w:eastAsia="es-ES"/>
        </w:rPr>
        <w:t xml:space="preserve"> los síntomas identificados para este eje temático, en la medida en que </w:t>
      </w:r>
      <w:r w:rsidR="00913B7E" w:rsidRPr="00042ED1">
        <w:rPr>
          <w:rFonts w:ascii="Arial" w:hAnsi="Arial" w:cs="Arial"/>
          <w:lang w:val="es-ES" w:eastAsia="es-ES"/>
        </w:rPr>
        <w:t>puede</w:t>
      </w:r>
      <w:r w:rsidRPr="009220B5">
        <w:rPr>
          <w:rFonts w:ascii="Arial" w:hAnsi="Arial" w:cs="Arial"/>
          <w:lang w:val="es-ES" w:eastAsia="es-ES"/>
        </w:rPr>
        <w:t xml:space="preserve"> influir sobre la eficiencia operativa de la cadena, el desarrollo de infraestructura, la gestión de activos y, en última instancia, sobre </w:t>
      </w:r>
      <w:r w:rsidR="00733134" w:rsidRPr="00042ED1">
        <w:rPr>
          <w:rFonts w:ascii="Arial" w:hAnsi="Arial" w:cs="Arial"/>
          <w:lang w:val="es-ES" w:eastAsia="es-ES"/>
        </w:rPr>
        <w:t>los costos eficientes de prestación y las tarifas que finalmente pagan los usuarios</w:t>
      </w:r>
      <w:r w:rsidR="00D725B1" w:rsidRPr="00042ED1">
        <w:rPr>
          <w:rFonts w:ascii="Arial" w:hAnsi="Arial" w:cs="Arial"/>
          <w:lang w:val="es-ES" w:eastAsia="es-ES"/>
        </w:rPr>
        <w:t>.</w:t>
      </w:r>
    </w:p>
    <w:p w14:paraId="27A59ED3" w14:textId="4D74BAE8" w:rsidR="0025321D" w:rsidRDefault="0025321D" w:rsidP="00916790">
      <w:pPr>
        <w:pStyle w:val="Ttulo5"/>
        <w:numPr>
          <w:ilvl w:val="4"/>
          <w:numId w:val="1"/>
        </w:numPr>
        <w:spacing w:before="100" w:beforeAutospacing="1" w:after="100" w:afterAutospacing="1"/>
        <w:ind w:left="1418" w:hanging="1418"/>
      </w:pPr>
      <w:r>
        <w:t>Asimetría de información</w:t>
      </w:r>
    </w:p>
    <w:p w14:paraId="1B691747" w14:textId="77777777" w:rsidR="00DF7C8D" w:rsidRPr="00042ED1" w:rsidRDefault="00DF7C8D" w:rsidP="00916790">
      <w:pPr>
        <w:pStyle w:val="NormalWeb"/>
        <w:spacing w:line="360" w:lineRule="auto"/>
        <w:jc w:val="both"/>
        <w:rPr>
          <w:rFonts w:ascii="Arial" w:hAnsi="Arial" w:cs="Arial"/>
          <w:lang w:val="es-ES_tradnl" w:eastAsia="es-ES"/>
        </w:rPr>
      </w:pPr>
      <w:r w:rsidRPr="00042ED1">
        <w:rPr>
          <w:rFonts w:ascii="Arial" w:hAnsi="Arial" w:cs="Arial"/>
          <w:lang w:val="es-ES_tradnl" w:eastAsia="es-ES"/>
        </w:rPr>
        <w:t xml:space="preserve">Las asimetrías de información se presentan cuando algunos participantes del mercado disponen de información más completa, precisa u oportuna que otros, generando </w:t>
      </w:r>
      <w:r w:rsidRPr="00042ED1">
        <w:rPr>
          <w:rFonts w:ascii="Arial" w:hAnsi="Arial" w:cs="Arial"/>
          <w:lang w:val="es-ES_tradnl" w:eastAsia="es-ES"/>
        </w:rPr>
        <w:lastRenderedPageBreak/>
        <w:t>diferencias en la capacidad para adoptar decisiones económicas eficientes. En mercados donde la inversión, la contratación y la asignación de recursos dependen de información confiable y verificable, estas diferencias pueden afectar el funcionamiento del mercado y justificar la intervención del Estado.</w:t>
      </w:r>
    </w:p>
    <w:p w14:paraId="29AEC4B4" w14:textId="77777777" w:rsidR="00DF7C8D" w:rsidRPr="00042ED1" w:rsidRDefault="00DF7C8D" w:rsidP="00916790">
      <w:pPr>
        <w:pStyle w:val="NormalWeb"/>
        <w:spacing w:line="360" w:lineRule="auto"/>
        <w:jc w:val="both"/>
        <w:rPr>
          <w:rFonts w:ascii="Arial" w:hAnsi="Arial" w:cs="Arial"/>
          <w:lang w:val="es-ES_tradnl" w:eastAsia="es-ES"/>
        </w:rPr>
      </w:pPr>
      <w:r w:rsidRPr="00042ED1">
        <w:rPr>
          <w:rFonts w:ascii="Arial" w:hAnsi="Arial" w:cs="Arial"/>
          <w:lang w:val="es-ES_tradnl" w:eastAsia="es-ES"/>
        </w:rPr>
        <w:t>En materia de eficiencias económicas en la prestación del servicio público domiciliario de GLP, la disponibilidad de información sobre infraestructura, condiciones de acceso a los mercados, participación de los agentes, capacidades operativas y alternativas comerciales puede influir sobre las decisiones de inversión y participación dentro de la cadena. Cuando esta información no se encuentra distribuida de manera uniforme, algunos agentes pueden enfrentar mayores dificultades para identificar oportunidades de negocio, evaluar alternativas de inversión o participar en igualdad de condiciones en determinados segmentos del mercado.</w:t>
      </w:r>
    </w:p>
    <w:p w14:paraId="30BCF2ED" w14:textId="77777777" w:rsidR="00DF7C8D" w:rsidRPr="00042ED1" w:rsidRDefault="00DF7C8D" w:rsidP="00916790">
      <w:pPr>
        <w:pStyle w:val="NormalWeb"/>
        <w:spacing w:line="360" w:lineRule="auto"/>
        <w:jc w:val="both"/>
        <w:rPr>
          <w:rFonts w:ascii="Arial" w:hAnsi="Arial" w:cs="Arial"/>
          <w:lang w:val="es-ES" w:eastAsia="es-ES"/>
        </w:rPr>
      </w:pPr>
      <w:r w:rsidRPr="247C94E4">
        <w:rPr>
          <w:rFonts w:ascii="Arial" w:hAnsi="Arial" w:cs="Arial"/>
          <w:lang w:val="es-ES" w:eastAsia="es-ES"/>
        </w:rPr>
        <w:t>De igual manera, la disponibilidad de información puede influir sobre la capacidad de los usuarios para conocer las alternativas existentes, comparar condiciones comerciales y adoptar decisiones informadas cuando existan diferentes opciones de suministro. Asimismo, en aquellos mecanismos regulatorios cuya operación depende de la información reportada por los agentes, la calidad, consistencia y verificabilidad de dicha información adquieren especial relevancia para promover una asignación eficiente de los recursos y el adecuado funcionamiento del mercado.</w:t>
      </w:r>
    </w:p>
    <w:p w14:paraId="5BC03727" w14:textId="77777777" w:rsidR="00DF7C8D" w:rsidRPr="00042ED1" w:rsidRDefault="00DF7C8D" w:rsidP="00916790">
      <w:pPr>
        <w:pStyle w:val="NormalWeb"/>
        <w:spacing w:line="360" w:lineRule="auto"/>
        <w:jc w:val="both"/>
        <w:rPr>
          <w:rFonts w:ascii="Arial" w:hAnsi="Arial" w:cs="Arial"/>
          <w:lang w:val="es-ES_tradnl" w:eastAsia="es-ES"/>
        </w:rPr>
      </w:pPr>
      <w:r w:rsidRPr="00042ED1">
        <w:rPr>
          <w:rFonts w:ascii="Arial" w:hAnsi="Arial" w:cs="Arial"/>
          <w:lang w:val="es-ES_tradnl" w:eastAsia="es-ES"/>
        </w:rPr>
        <w:t>No obstante, los síntomas identificados para este eje temático se encuentran asociados principalmente a características estructurales relacionadas con la intensidad de la competencia, la concentración de la participación y la disponibilidad de alternativas para usuarios y agentes. En consecuencia, si bien las asimetrías de información pueden influir sobre las decisiones de inversión, contratación y participación en el mercado, no constituyen la explicación principal de las situaciones observadas.</w:t>
      </w:r>
    </w:p>
    <w:p w14:paraId="622140D2" w14:textId="4DAA82F2" w:rsidR="007858CF" w:rsidRDefault="00DA095F" w:rsidP="00916790">
      <w:pPr>
        <w:pStyle w:val="NormalWeb"/>
        <w:spacing w:line="360" w:lineRule="auto"/>
        <w:jc w:val="both"/>
        <w:rPr>
          <w:rFonts w:ascii="Arial" w:hAnsi="Arial" w:cs="Arial"/>
          <w:lang w:val="es-ES_tradnl" w:eastAsia="es-ES"/>
        </w:rPr>
      </w:pPr>
      <w:r w:rsidRPr="00042ED1">
        <w:rPr>
          <w:rFonts w:ascii="Arial" w:hAnsi="Arial" w:cs="Arial"/>
          <w:lang w:val="es-ES_tradnl" w:eastAsia="es-ES"/>
        </w:rPr>
        <w:t xml:space="preserve">En consecuencia, la asimetría de información constituye una explicación complementaria de los síntomas identificados para este eje temático, en la medida en que las diferencias en el acceso y disponibilidad de información pueden afectar la toma de decisiones </w:t>
      </w:r>
      <w:r w:rsidR="00DF7C8D" w:rsidRPr="00042ED1">
        <w:rPr>
          <w:rFonts w:ascii="Arial" w:hAnsi="Arial" w:cs="Arial"/>
          <w:lang w:val="es-ES_tradnl" w:eastAsia="es-ES"/>
        </w:rPr>
        <w:lastRenderedPageBreak/>
        <w:t>económicas de los agentes y</w:t>
      </w:r>
      <w:r w:rsidRPr="00042ED1">
        <w:rPr>
          <w:rFonts w:ascii="Arial" w:hAnsi="Arial" w:cs="Arial"/>
          <w:lang w:val="es-ES_tradnl" w:eastAsia="es-ES"/>
        </w:rPr>
        <w:t xml:space="preserve"> usuarios y, con ello, la eficiencia económica de la prestación del servicio</w:t>
      </w:r>
      <w:r w:rsidR="00DF7C8D" w:rsidRPr="00042ED1">
        <w:rPr>
          <w:rFonts w:ascii="Arial" w:hAnsi="Arial" w:cs="Arial"/>
          <w:lang w:val="es-ES_tradnl" w:eastAsia="es-ES"/>
        </w:rPr>
        <w:t xml:space="preserve"> público domiciliario de GLP</w:t>
      </w:r>
      <w:r w:rsidR="007858CF" w:rsidRPr="00042ED1">
        <w:rPr>
          <w:rFonts w:ascii="Arial" w:hAnsi="Arial" w:cs="Arial"/>
          <w:lang w:val="es-ES_tradnl" w:eastAsia="es-ES"/>
        </w:rPr>
        <w:t>.</w:t>
      </w:r>
    </w:p>
    <w:p w14:paraId="633E7625" w14:textId="0B3F2119" w:rsidR="00284079" w:rsidRDefault="00803A3F" w:rsidP="00284079">
      <w:pPr>
        <w:pStyle w:val="isselectedend"/>
        <w:spacing w:line="360" w:lineRule="auto"/>
        <w:jc w:val="both"/>
        <w:rPr>
          <w:rFonts w:ascii="Arial" w:hAnsi="Arial" w:cs="Arial"/>
          <w:lang w:val="es-ES_tradnl" w:eastAsia="es-ES"/>
        </w:rPr>
      </w:pPr>
      <w:r w:rsidRPr="00182DD8">
        <w:rPr>
          <w:rFonts w:ascii="Arial" w:hAnsi="Arial" w:cs="Arial"/>
          <w:lang w:val="es-ES_tradnl" w:eastAsia="es-ES"/>
        </w:rPr>
        <w:t xml:space="preserve">En síntesis, el análisis realizado evidencia que los síntomas identificados para este eje se explican principalmente por condiciones asociadas a la competencia y a la estructura del mercado. Las diferencias en la intensidad de la competencia, la participación concentrada de agentes y la limitada disponibilidad de alternativas constituyen las principales manifestaciones de esta falla de mercado, mientras que las restricciones para el desarrollo y disponibilidad de infraestructura y las dificultades en la gestión de activos también se encuentran influenciadas por los incentivos económicos presentes en la cadena de prestación del servicio. Por su parte, las externalidades y las asimetrías de información desempeñan un papel complementario en algunos de los síntomas identificados, sin constituir su explicación predominante. </w:t>
      </w:r>
      <w:r w:rsidRPr="00916790">
        <w:rPr>
          <w:rFonts w:ascii="Arial" w:hAnsi="Arial" w:cs="Arial"/>
          <w:lang w:val="es-ES_tradnl" w:eastAsia="es-ES"/>
        </w:rPr>
        <w:t xml:space="preserve">La </w:t>
      </w:r>
      <w:r w:rsidR="00916790" w:rsidRPr="00916790">
        <w:rPr>
          <w:rFonts w:ascii="Arial" w:hAnsi="Arial" w:cs="Arial"/>
          <w:lang w:val="es-ES_tradnl" w:eastAsia="es-ES"/>
        </w:rPr>
        <w:fldChar w:fldCharType="begin"/>
      </w:r>
      <w:r w:rsidR="00916790" w:rsidRPr="00916790">
        <w:rPr>
          <w:rFonts w:ascii="Arial" w:hAnsi="Arial" w:cs="Arial"/>
          <w:lang w:val="es-ES_tradnl" w:eastAsia="es-ES"/>
        </w:rPr>
        <w:instrText xml:space="preserve"> REF _Ref235116506 \h  \* MERGEFORMAT </w:instrText>
      </w:r>
      <w:r w:rsidR="00916790" w:rsidRPr="00916790">
        <w:rPr>
          <w:rFonts w:ascii="Arial" w:hAnsi="Arial" w:cs="Arial"/>
          <w:lang w:val="es-ES_tradnl" w:eastAsia="es-ES"/>
        </w:rPr>
      </w:r>
      <w:r w:rsidR="00916790" w:rsidRPr="00916790">
        <w:rPr>
          <w:rFonts w:ascii="Arial" w:hAnsi="Arial" w:cs="Arial"/>
          <w:lang w:val="es-ES_tradnl" w:eastAsia="es-ES"/>
        </w:rPr>
        <w:fldChar w:fldCharType="separate"/>
      </w:r>
      <w:r w:rsidR="00916790" w:rsidRPr="00916790">
        <w:rPr>
          <w:rFonts w:ascii="Arial" w:hAnsi="Arial" w:cs="Arial"/>
        </w:rPr>
        <w:t xml:space="preserve">Tabla </w:t>
      </w:r>
      <w:r w:rsidR="00916790" w:rsidRPr="00916790">
        <w:rPr>
          <w:rFonts w:ascii="Arial" w:hAnsi="Arial" w:cs="Arial"/>
          <w:noProof/>
        </w:rPr>
        <w:t>14</w:t>
      </w:r>
      <w:r w:rsidR="00916790" w:rsidRPr="00916790">
        <w:rPr>
          <w:rFonts w:ascii="Arial" w:hAnsi="Arial" w:cs="Arial"/>
          <w:lang w:val="es-ES_tradnl" w:eastAsia="es-ES"/>
        </w:rPr>
        <w:fldChar w:fldCharType="end"/>
      </w:r>
      <w:r w:rsidRPr="00182DD8">
        <w:rPr>
          <w:rFonts w:ascii="Arial" w:hAnsi="Arial" w:cs="Arial"/>
          <w:lang w:val="es-ES_tradnl" w:eastAsia="es-ES"/>
        </w:rPr>
        <w:t xml:space="preserve"> resume la relación entre los síntomas identificados y las fallas de mercado que los explican.</w:t>
      </w:r>
    </w:p>
    <w:p w14:paraId="1402D01D" w14:textId="1FACA66C" w:rsidR="006128A1" w:rsidRPr="00916790" w:rsidRDefault="006128A1" w:rsidP="00916790">
      <w:pPr>
        <w:pStyle w:val="Descripcin"/>
        <w:jc w:val="center"/>
        <w:rPr>
          <w:rFonts w:cs="Arial"/>
          <w:b w:val="0"/>
          <w:szCs w:val="24"/>
        </w:rPr>
      </w:pPr>
      <w:bookmarkStart w:id="203" w:name="_Ref235116506"/>
      <w:bookmarkStart w:id="204" w:name="_Toc235128411"/>
      <w:r w:rsidRPr="00916790">
        <w:rPr>
          <w:b w:val="0"/>
          <w:szCs w:val="24"/>
        </w:rPr>
        <w:t xml:space="preserve">Tabla </w:t>
      </w:r>
      <w:r w:rsidR="00916790" w:rsidRPr="00916790">
        <w:rPr>
          <w:b w:val="0"/>
          <w:bCs/>
          <w:szCs w:val="24"/>
        </w:rPr>
        <w:fldChar w:fldCharType="begin"/>
      </w:r>
      <w:r w:rsidR="00916790" w:rsidRPr="00916790">
        <w:rPr>
          <w:b w:val="0"/>
          <w:bCs/>
          <w:szCs w:val="24"/>
        </w:rPr>
        <w:instrText xml:space="preserve"> SEQ Tabla \* ARABIC </w:instrText>
      </w:r>
      <w:r w:rsidR="00916790" w:rsidRPr="00916790">
        <w:rPr>
          <w:b w:val="0"/>
          <w:bCs/>
          <w:szCs w:val="24"/>
        </w:rPr>
        <w:fldChar w:fldCharType="separate"/>
      </w:r>
      <w:r w:rsidR="001C42C8">
        <w:rPr>
          <w:b w:val="0"/>
          <w:bCs/>
          <w:noProof/>
          <w:szCs w:val="24"/>
        </w:rPr>
        <w:t>14</w:t>
      </w:r>
      <w:r w:rsidR="00916790" w:rsidRPr="00916790">
        <w:rPr>
          <w:b w:val="0"/>
          <w:bCs/>
          <w:szCs w:val="24"/>
        </w:rPr>
        <w:fldChar w:fldCharType="end"/>
      </w:r>
      <w:bookmarkEnd w:id="203"/>
      <w:r w:rsidR="00916790" w:rsidRPr="00916790">
        <w:rPr>
          <w:b w:val="0"/>
          <w:bCs/>
          <w:szCs w:val="24"/>
        </w:rPr>
        <w:t>.</w:t>
      </w:r>
      <w:r w:rsidRPr="00916790">
        <w:rPr>
          <w:b w:val="0"/>
          <w:szCs w:val="24"/>
        </w:rPr>
        <w:t xml:space="preserve"> </w:t>
      </w:r>
      <w:r w:rsidRPr="00916790">
        <w:rPr>
          <w:rFonts w:cs="Arial"/>
          <w:b w:val="0"/>
          <w:szCs w:val="24"/>
        </w:rPr>
        <w:t>Relación entre los síntomas identificados y las fallas de mercado que los explican</w:t>
      </w:r>
      <w:bookmarkEnd w:id="204"/>
    </w:p>
    <w:tbl>
      <w:tblPr>
        <w:tblStyle w:val="Tablaconcuadrcula"/>
        <w:tblW w:w="0" w:type="auto"/>
        <w:tblLook w:val="04A0" w:firstRow="1" w:lastRow="0" w:firstColumn="1" w:lastColumn="0" w:noHBand="0" w:noVBand="1"/>
      </w:tblPr>
      <w:tblGrid>
        <w:gridCol w:w="3215"/>
        <w:gridCol w:w="1639"/>
        <w:gridCol w:w="1472"/>
        <w:gridCol w:w="1789"/>
        <w:gridCol w:w="1281"/>
      </w:tblGrid>
      <w:tr w:rsidR="00284079" w:rsidRPr="00103405" w14:paraId="3F761072" w14:textId="77777777" w:rsidTr="00D52DE4">
        <w:trPr>
          <w:tblHeader/>
        </w:trPr>
        <w:tc>
          <w:tcPr>
            <w:tcW w:w="0" w:type="auto"/>
            <w:vAlign w:val="center"/>
            <w:hideMark/>
          </w:tcPr>
          <w:p w14:paraId="6E474560" w14:textId="77777777" w:rsidR="00284079" w:rsidRPr="00103405" w:rsidRDefault="00284079" w:rsidP="00D52DE4">
            <w:pPr>
              <w:pStyle w:val="isselectedend"/>
              <w:spacing w:line="360" w:lineRule="auto"/>
              <w:jc w:val="center"/>
              <w:rPr>
                <w:rFonts w:ascii="Arial" w:hAnsi="Arial" w:cs="Arial"/>
                <w:b/>
                <w:bCs/>
                <w:sz w:val="20"/>
                <w:szCs w:val="20"/>
              </w:rPr>
            </w:pPr>
            <w:r w:rsidRPr="00103405">
              <w:rPr>
                <w:rFonts w:ascii="Arial" w:hAnsi="Arial" w:cs="Arial"/>
                <w:b/>
                <w:bCs/>
                <w:sz w:val="20"/>
                <w:szCs w:val="20"/>
              </w:rPr>
              <w:t>Síntoma</w:t>
            </w:r>
          </w:p>
        </w:tc>
        <w:tc>
          <w:tcPr>
            <w:tcW w:w="0" w:type="auto"/>
            <w:vAlign w:val="center"/>
            <w:hideMark/>
          </w:tcPr>
          <w:p w14:paraId="3F3D6F35" w14:textId="77777777" w:rsidR="00284079" w:rsidRPr="00103405" w:rsidRDefault="00284079" w:rsidP="00D52DE4">
            <w:pPr>
              <w:pStyle w:val="isselectedend"/>
              <w:spacing w:line="360" w:lineRule="auto"/>
              <w:jc w:val="center"/>
              <w:rPr>
                <w:rFonts w:ascii="Arial" w:hAnsi="Arial" w:cs="Arial"/>
                <w:b/>
                <w:bCs/>
                <w:sz w:val="20"/>
                <w:szCs w:val="20"/>
              </w:rPr>
            </w:pPr>
            <w:r w:rsidRPr="00103405">
              <w:rPr>
                <w:rFonts w:ascii="Arial" w:hAnsi="Arial" w:cs="Arial"/>
                <w:b/>
                <w:bCs/>
                <w:sz w:val="20"/>
                <w:szCs w:val="20"/>
              </w:rPr>
              <w:t>Externalidades</w:t>
            </w:r>
          </w:p>
        </w:tc>
        <w:tc>
          <w:tcPr>
            <w:tcW w:w="0" w:type="auto"/>
            <w:vAlign w:val="center"/>
            <w:hideMark/>
          </w:tcPr>
          <w:p w14:paraId="32E01D7F" w14:textId="77777777" w:rsidR="00284079" w:rsidRPr="00103405" w:rsidRDefault="00284079" w:rsidP="00D52DE4">
            <w:pPr>
              <w:pStyle w:val="isselectedend"/>
              <w:spacing w:line="360" w:lineRule="auto"/>
              <w:jc w:val="center"/>
              <w:rPr>
                <w:rFonts w:ascii="Arial" w:hAnsi="Arial" w:cs="Arial"/>
                <w:b/>
                <w:bCs/>
                <w:sz w:val="20"/>
                <w:szCs w:val="20"/>
              </w:rPr>
            </w:pPr>
            <w:r w:rsidRPr="00103405">
              <w:rPr>
                <w:rFonts w:ascii="Arial" w:hAnsi="Arial" w:cs="Arial"/>
                <w:b/>
                <w:bCs/>
                <w:sz w:val="20"/>
                <w:szCs w:val="20"/>
              </w:rPr>
              <w:t>Competencia</w:t>
            </w:r>
          </w:p>
        </w:tc>
        <w:tc>
          <w:tcPr>
            <w:tcW w:w="0" w:type="auto"/>
            <w:vAlign w:val="center"/>
            <w:hideMark/>
          </w:tcPr>
          <w:p w14:paraId="5AD8516D" w14:textId="77777777" w:rsidR="00284079" w:rsidRPr="00103405" w:rsidRDefault="00284079" w:rsidP="00D52DE4">
            <w:pPr>
              <w:pStyle w:val="isselectedend"/>
              <w:spacing w:line="360" w:lineRule="auto"/>
              <w:jc w:val="center"/>
              <w:rPr>
                <w:rFonts w:ascii="Arial" w:hAnsi="Arial" w:cs="Arial"/>
                <w:b/>
                <w:bCs/>
                <w:sz w:val="20"/>
                <w:szCs w:val="20"/>
              </w:rPr>
            </w:pPr>
            <w:r w:rsidRPr="00103405">
              <w:rPr>
                <w:rFonts w:ascii="Arial" w:hAnsi="Arial" w:cs="Arial"/>
                <w:b/>
                <w:bCs/>
                <w:sz w:val="20"/>
                <w:szCs w:val="20"/>
              </w:rPr>
              <w:t>Asimetría de información</w:t>
            </w:r>
          </w:p>
        </w:tc>
        <w:tc>
          <w:tcPr>
            <w:tcW w:w="0" w:type="auto"/>
            <w:vAlign w:val="center"/>
            <w:hideMark/>
          </w:tcPr>
          <w:p w14:paraId="37B89698" w14:textId="77777777" w:rsidR="00284079" w:rsidRPr="00103405" w:rsidRDefault="00284079" w:rsidP="00D52DE4">
            <w:pPr>
              <w:pStyle w:val="isselectedend"/>
              <w:spacing w:line="360" w:lineRule="auto"/>
              <w:jc w:val="center"/>
              <w:rPr>
                <w:rFonts w:ascii="Arial" w:hAnsi="Arial" w:cs="Arial"/>
                <w:b/>
                <w:bCs/>
                <w:sz w:val="20"/>
                <w:szCs w:val="20"/>
              </w:rPr>
            </w:pPr>
            <w:r w:rsidRPr="00103405">
              <w:rPr>
                <w:rFonts w:ascii="Arial" w:hAnsi="Arial" w:cs="Arial"/>
                <w:b/>
                <w:bCs/>
                <w:sz w:val="20"/>
                <w:szCs w:val="20"/>
              </w:rPr>
              <w:t>Bienes públicos</w:t>
            </w:r>
          </w:p>
        </w:tc>
      </w:tr>
      <w:tr w:rsidR="00284079" w:rsidRPr="00103405" w14:paraId="2D94E298" w14:textId="77777777" w:rsidTr="009C1D1F">
        <w:tc>
          <w:tcPr>
            <w:tcW w:w="0" w:type="auto"/>
            <w:vAlign w:val="center"/>
            <w:hideMark/>
          </w:tcPr>
          <w:p w14:paraId="2F61CD57" w14:textId="77777777" w:rsidR="00284079" w:rsidRPr="00103405" w:rsidRDefault="00284079" w:rsidP="009C1D1F">
            <w:pPr>
              <w:pStyle w:val="isselectedend"/>
              <w:spacing w:line="360" w:lineRule="auto"/>
              <w:rPr>
                <w:rFonts w:ascii="Arial" w:hAnsi="Arial" w:cs="Arial"/>
                <w:sz w:val="20"/>
                <w:szCs w:val="20"/>
              </w:rPr>
            </w:pPr>
            <w:r w:rsidRPr="00103405">
              <w:rPr>
                <w:rFonts w:ascii="Arial" w:hAnsi="Arial" w:cs="Arial"/>
                <w:sz w:val="20"/>
                <w:szCs w:val="20"/>
              </w:rPr>
              <w:t>Restricciones para el desarrollo y disponibilidad de infraestructura</w:t>
            </w:r>
          </w:p>
        </w:tc>
        <w:tc>
          <w:tcPr>
            <w:tcW w:w="0" w:type="auto"/>
            <w:vAlign w:val="center"/>
            <w:hideMark/>
          </w:tcPr>
          <w:p w14:paraId="560F59F9" w14:textId="77777777" w:rsidR="00284079" w:rsidRPr="00103405" w:rsidRDefault="00284079" w:rsidP="009C1D1F">
            <w:pPr>
              <w:pStyle w:val="isselectedend"/>
              <w:spacing w:line="360" w:lineRule="auto"/>
              <w:jc w:val="center"/>
              <w:rPr>
                <w:rFonts w:ascii="Arial" w:hAnsi="Arial" w:cs="Arial"/>
                <w:sz w:val="20"/>
                <w:szCs w:val="20"/>
              </w:rPr>
            </w:pPr>
            <w:r w:rsidRPr="00103405">
              <w:rPr>
                <w:rFonts w:ascii="Cambria Math" w:hAnsi="Cambria Math" w:cs="Cambria Math"/>
                <w:sz w:val="20"/>
                <w:szCs w:val="20"/>
              </w:rPr>
              <w:t>◐</w:t>
            </w:r>
          </w:p>
        </w:tc>
        <w:tc>
          <w:tcPr>
            <w:tcW w:w="0" w:type="auto"/>
            <w:vAlign w:val="center"/>
            <w:hideMark/>
          </w:tcPr>
          <w:p w14:paraId="25FB775B" w14:textId="77777777" w:rsidR="00284079" w:rsidRPr="00103405" w:rsidRDefault="00284079" w:rsidP="009C1D1F">
            <w:pPr>
              <w:pStyle w:val="isselectedend"/>
              <w:spacing w:line="360" w:lineRule="auto"/>
              <w:jc w:val="center"/>
              <w:rPr>
                <w:rFonts w:ascii="Arial" w:hAnsi="Arial" w:cs="Arial"/>
                <w:sz w:val="20"/>
                <w:szCs w:val="20"/>
              </w:rPr>
            </w:pPr>
            <w:r w:rsidRPr="00103405">
              <w:rPr>
                <w:rFonts w:ascii="Segoe UI Emoji" w:hAnsi="Segoe UI Emoji" w:cs="Segoe UI Emoji"/>
                <w:sz w:val="20"/>
                <w:szCs w:val="20"/>
              </w:rPr>
              <w:t>✅</w:t>
            </w:r>
          </w:p>
        </w:tc>
        <w:tc>
          <w:tcPr>
            <w:tcW w:w="0" w:type="auto"/>
            <w:vAlign w:val="center"/>
            <w:hideMark/>
          </w:tcPr>
          <w:p w14:paraId="3B1EA5FE" w14:textId="77777777" w:rsidR="00284079" w:rsidRPr="00103405" w:rsidRDefault="00284079" w:rsidP="009C1D1F">
            <w:pPr>
              <w:pStyle w:val="isselectedend"/>
              <w:spacing w:line="360" w:lineRule="auto"/>
              <w:jc w:val="center"/>
              <w:rPr>
                <w:rFonts w:ascii="Arial" w:hAnsi="Arial" w:cs="Arial"/>
                <w:sz w:val="20"/>
                <w:szCs w:val="20"/>
              </w:rPr>
            </w:pPr>
            <w:r w:rsidRPr="00103405">
              <w:rPr>
                <w:rFonts w:ascii="Segoe UI Emoji" w:hAnsi="Segoe UI Emoji" w:cs="Segoe UI Emoji"/>
                <w:sz w:val="20"/>
                <w:szCs w:val="20"/>
              </w:rPr>
              <w:t>❌</w:t>
            </w:r>
          </w:p>
        </w:tc>
        <w:tc>
          <w:tcPr>
            <w:tcW w:w="0" w:type="auto"/>
            <w:vAlign w:val="center"/>
            <w:hideMark/>
          </w:tcPr>
          <w:p w14:paraId="21D2C323" w14:textId="77777777" w:rsidR="00284079" w:rsidRPr="00103405" w:rsidRDefault="00284079" w:rsidP="009C1D1F">
            <w:pPr>
              <w:pStyle w:val="isselectedend"/>
              <w:spacing w:line="360" w:lineRule="auto"/>
              <w:jc w:val="center"/>
              <w:rPr>
                <w:rFonts w:ascii="Arial" w:hAnsi="Arial" w:cs="Arial"/>
                <w:sz w:val="20"/>
                <w:szCs w:val="20"/>
              </w:rPr>
            </w:pPr>
            <w:r w:rsidRPr="00103405">
              <w:rPr>
                <w:rFonts w:ascii="Segoe UI Emoji" w:hAnsi="Segoe UI Emoji" w:cs="Segoe UI Emoji"/>
                <w:sz w:val="20"/>
                <w:szCs w:val="20"/>
              </w:rPr>
              <w:t>❌</w:t>
            </w:r>
          </w:p>
        </w:tc>
      </w:tr>
      <w:tr w:rsidR="00284079" w:rsidRPr="00103405" w14:paraId="11C7B223" w14:textId="77777777" w:rsidTr="009C1D1F">
        <w:tc>
          <w:tcPr>
            <w:tcW w:w="0" w:type="auto"/>
            <w:vAlign w:val="center"/>
            <w:hideMark/>
          </w:tcPr>
          <w:p w14:paraId="43C5A2A2" w14:textId="77777777" w:rsidR="00284079" w:rsidRPr="00103405" w:rsidRDefault="00284079" w:rsidP="009C1D1F">
            <w:pPr>
              <w:pStyle w:val="isselectedend"/>
              <w:spacing w:line="360" w:lineRule="auto"/>
              <w:rPr>
                <w:rFonts w:ascii="Arial" w:hAnsi="Arial" w:cs="Arial"/>
                <w:sz w:val="20"/>
                <w:szCs w:val="20"/>
              </w:rPr>
            </w:pPr>
            <w:r w:rsidRPr="00103405">
              <w:rPr>
                <w:rFonts w:ascii="Arial" w:hAnsi="Arial" w:cs="Arial"/>
                <w:sz w:val="20"/>
                <w:szCs w:val="20"/>
              </w:rPr>
              <w:t>Dificultades en la gestión y disponibilidad de activos</w:t>
            </w:r>
          </w:p>
        </w:tc>
        <w:tc>
          <w:tcPr>
            <w:tcW w:w="0" w:type="auto"/>
            <w:vAlign w:val="center"/>
            <w:hideMark/>
          </w:tcPr>
          <w:p w14:paraId="0FFCEA49" w14:textId="77777777" w:rsidR="00284079" w:rsidRPr="00103405" w:rsidRDefault="00284079" w:rsidP="009C1D1F">
            <w:pPr>
              <w:pStyle w:val="isselectedend"/>
              <w:spacing w:line="360" w:lineRule="auto"/>
              <w:jc w:val="center"/>
              <w:rPr>
                <w:rFonts w:ascii="Arial" w:hAnsi="Arial" w:cs="Arial"/>
                <w:sz w:val="20"/>
                <w:szCs w:val="20"/>
              </w:rPr>
            </w:pPr>
            <w:r w:rsidRPr="00103405">
              <w:rPr>
                <w:rFonts w:ascii="Cambria Math" w:hAnsi="Cambria Math" w:cs="Cambria Math"/>
                <w:sz w:val="20"/>
                <w:szCs w:val="20"/>
              </w:rPr>
              <w:t>◐</w:t>
            </w:r>
          </w:p>
        </w:tc>
        <w:tc>
          <w:tcPr>
            <w:tcW w:w="0" w:type="auto"/>
            <w:vAlign w:val="center"/>
            <w:hideMark/>
          </w:tcPr>
          <w:p w14:paraId="74B4A64B" w14:textId="77777777" w:rsidR="00284079" w:rsidRPr="00103405" w:rsidRDefault="00284079" w:rsidP="009C1D1F">
            <w:pPr>
              <w:pStyle w:val="isselectedend"/>
              <w:spacing w:line="360" w:lineRule="auto"/>
              <w:jc w:val="center"/>
              <w:rPr>
                <w:rFonts w:ascii="Arial" w:hAnsi="Arial" w:cs="Arial"/>
                <w:sz w:val="20"/>
                <w:szCs w:val="20"/>
              </w:rPr>
            </w:pPr>
            <w:r w:rsidRPr="00103405">
              <w:rPr>
                <w:rFonts w:ascii="Cambria Math" w:hAnsi="Cambria Math" w:cs="Cambria Math"/>
                <w:sz w:val="20"/>
                <w:szCs w:val="20"/>
              </w:rPr>
              <w:t>◐</w:t>
            </w:r>
          </w:p>
        </w:tc>
        <w:tc>
          <w:tcPr>
            <w:tcW w:w="0" w:type="auto"/>
            <w:vAlign w:val="center"/>
            <w:hideMark/>
          </w:tcPr>
          <w:p w14:paraId="515C78CA" w14:textId="77777777" w:rsidR="00284079" w:rsidRPr="00103405" w:rsidRDefault="00284079" w:rsidP="009C1D1F">
            <w:pPr>
              <w:pStyle w:val="isselectedend"/>
              <w:spacing w:line="360" w:lineRule="auto"/>
              <w:jc w:val="center"/>
              <w:rPr>
                <w:rFonts w:ascii="Arial" w:hAnsi="Arial" w:cs="Arial"/>
                <w:sz w:val="20"/>
                <w:szCs w:val="20"/>
              </w:rPr>
            </w:pPr>
            <w:r w:rsidRPr="00103405">
              <w:rPr>
                <w:rFonts w:ascii="Segoe UI Emoji" w:hAnsi="Segoe UI Emoji" w:cs="Segoe UI Emoji"/>
                <w:sz w:val="20"/>
                <w:szCs w:val="20"/>
              </w:rPr>
              <w:t>❌</w:t>
            </w:r>
          </w:p>
        </w:tc>
        <w:tc>
          <w:tcPr>
            <w:tcW w:w="0" w:type="auto"/>
            <w:vAlign w:val="center"/>
            <w:hideMark/>
          </w:tcPr>
          <w:p w14:paraId="6392CCCD" w14:textId="77777777" w:rsidR="00284079" w:rsidRPr="00103405" w:rsidRDefault="00284079" w:rsidP="009C1D1F">
            <w:pPr>
              <w:pStyle w:val="isselectedend"/>
              <w:spacing w:line="360" w:lineRule="auto"/>
              <w:jc w:val="center"/>
              <w:rPr>
                <w:rFonts w:ascii="Arial" w:hAnsi="Arial" w:cs="Arial"/>
                <w:sz w:val="20"/>
                <w:szCs w:val="20"/>
              </w:rPr>
            </w:pPr>
            <w:r w:rsidRPr="00103405">
              <w:rPr>
                <w:rFonts w:ascii="Segoe UI Emoji" w:hAnsi="Segoe UI Emoji" w:cs="Segoe UI Emoji"/>
                <w:sz w:val="20"/>
                <w:szCs w:val="20"/>
              </w:rPr>
              <w:t>❌</w:t>
            </w:r>
          </w:p>
        </w:tc>
      </w:tr>
      <w:tr w:rsidR="00284079" w:rsidRPr="00103405" w14:paraId="7AA655EF" w14:textId="77777777" w:rsidTr="009C1D1F">
        <w:tc>
          <w:tcPr>
            <w:tcW w:w="0" w:type="auto"/>
            <w:vAlign w:val="center"/>
            <w:hideMark/>
          </w:tcPr>
          <w:p w14:paraId="35099E24" w14:textId="77777777" w:rsidR="00284079" w:rsidRPr="00103405" w:rsidRDefault="00284079" w:rsidP="009C1D1F">
            <w:pPr>
              <w:pStyle w:val="isselectedend"/>
              <w:spacing w:line="360" w:lineRule="auto"/>
              <w:rPr>
                <w:rFonts w:ascii="Arial" w:hAnsi="Arial" w:cs="Arial"/>
                <w:sz w:val="20"/>
                <w:szCs w:val="20"/>
              </w:rPr>
            </w:pPr>
            <w:r w:rsidRPr="00103405">
              <w:rPr>
                <w:rFonts w:ascii="Arial" w:hAnsi="Arial" w:cs="Arial"/>
                <w:sz w:val="20"/>
                <w:szCs w:val="20"/>
              </w:rPr>
              <w:t>Diferencias en la intensidad de la competencia entre mercados</w:t>
            </w:r>
          </w:p>
        </w:tc>
        <w:tc>
          <w:tcPr>
            <w:tcW w:w="0" w:type="auto"/>
            <w:vAlign w:val="center"/>
            <w:hideMark/>
          </w:tcPr>
          <w:p w14:paraId="4D04921C" w14:textId="77777777" w:rsidR="00284079" w:rsidRPr="00103405" w:rsidRDefault="00284079" w:rsidP="009C1D1F">
            <w:pPr>
              <w:pStyle w:val="isselectedend"/>
              <w:spacing w:line="360" w:lineRule="auto"/>
              <w:jc w:val="center"/>
              <w:rPr>
                <w:rFonts w:ascii="Arial" w:hAnsi="Arial" w:cs="Arial"/>
                <w:sz w:val="20"/>
                <w:szCs w:val="20"/>
              </w:rPr>
            </w:pPr>
            <w:r w:rsidRPr="00103405">
              <w:rPr>
                <w:rFonts w:ascii="Segoe UI Emoji" w:hAnsi="Segoe UI Emoji" w:cs="Segoe UI Emoji"/>
                <w:sz w:val="20"/>
                <w:szCs w:val="20"/>
              </w:rPr>
              <w:t>❌</w:t>
            </w:r>
          </w:p>
        </w:tc>
        <w:tc>
          <w:tcPr>
            <w:tcW w:w="0" w:type="auto"/>
            <w:vAlign w:val="center"/>
            <w:hideMark/>
          </w:tcPr>
          <w:p w14:paraId="43661D81" w14:textId="77777777" w:rsidR="00284079" w:rsidRPr="00103405" w:rsidRDefault="00284079" w:rsidP="009C1D1F">
            <w:pPr>
              <w:pStyle w:val="isselectedend"/>
              <w:spacing w:line="360" w:lineRule="auto"/>
              <w:jc w:val="center"/>
              <w:rPr>
                <w:rFonts w:ascii="Arial" w:hAnsi="Arial" w:cs="Arial"/>
                <w:sz w:val="20"/>
                <w:szCs w:val="20"/>
              </w:rPr>
            </w:pPr>
            <w:r w:rsidRPr="00103405">
              <w:rPr>
                <w:rFonts w:ascii="Segoe UI Emoji" w:hAnsi="Segoe UI Emoji" w:cs="Segoe UI Emoji"/>
                <w:sz w:val="20"/>
                <w:szCs w:val="20"/>
              </w:rPr>
              <w:t>✅</w:t>
            </w:r>
          </w:p>
        </w:tc>
        <w:tc>
          <w:tcPr>
            <w:tcW w:w="0" w:type="auto"/>
            <w:vAlign w:val="center"/>
            <w:hideMark/>
          </w:tcPr>
          <w:p w14:paraId="3F86B5D4" w14:textId="77777777" w:rsidR="00284079" w:rsidRPr="00103405" w:rsidRDefault="00284079" w:rsidP="009C1D1F">
            <w:pPr>
              <w:pStyle w:val="isselectedend"/>
              <w:spacing w:line="360" w:lineRule="auto"/>
              <w:jc w:val="center"/>
              <w:rPr>
                <w:rFonts w:ascii="Arial" w:hAnsi="Arial" w:cs="Arial"/>
                <w:sz w:val="20"/>
                <w:szCs w:val="20"/>
              </w:rPr>
            </w:pPr>
            <w:r w:rsidRPr="00103405">
              <w:rPr>
                <w:rFonts w:ascii="Cambria Math" w:hAnsi="Cambria Math" w:cs="Cambria Math"/>
                <w:sz w:val="20"/>
                <w:szCs w:val="20"/>
              </w:rPr>
              <w:t>◐</w:t>
            </w:r>
          </w:p>
        </w:tc>
        <w:tc>
          <w:tcPr>
            <w:tcW w:w="0" w:type="auto"/>
            <w:vAlign w:val="center"/>
            <w:hideMark/>
          </w:tcPr>
          <w:p w14:paraId="2DFA694C" w14:textId="77777777" w:rsidR="00284079" w:rsidRPr="00103405" w:rsidRDefault="00284079" w:rsidP="009C1D1F">
            <w:pPr>
              <w:pStyle w:val="isselectedend"/>
              <w:spacing w:line="360" w:lineRule="auto"/>
              <w:jc w:val="center"/>
              <w:rPr>
                <w:rFonts w:ascii="Arial" w:hAnsi="Arial" w:cs="Arial"/>
                <w:sz w:val="20"/>
                <w:szCs w:val="20"/>
              </w:rPr>
            </w:pPr>
            <w:r w:rsidRPr="00103405">
              <w:rPr>
                <w:rFonts w:ascii="Segoe UI Emoji" w:hAnsi="Segoe UI Emoji" w:cs="Segoe UI Emoji"/>
                <w:sz w:val="20"/>
                <w:szCs w:val="20"/>
              </w:rPr>
              <w:t>❌</w:t>
            </w:r>
          </w:p>
        </w:tc>
      </w:tr>
      <w:tr w:rsidR="00284079" w:rsidRPr="00103405" w14:paraId="5BE6930D" w14:textId="77777777" w:rsidTr="009C1D1F">
        <w:tc>
          <w:tcPr>
            <w:tcW w:w="0" w:type="auto"/>
            <w:vAlign w:val="center"/>
            <w:hideMark/>
          </w:tcPr>
          <w:p w14:paraId="5A3B9D0C" w14:textId="77777777" w:rsidR="00284079" w:rsidRPr="00103405" w:rsidRDefault="00284079" w:rsidP="009C1D1F">
            <w:pPr>
              <w:pStyle w:val="isselectedend"/>
              <w:spacing w:line="360" w:lineRule="auto"/>
              <w:rPr>
                <w:rFonts w:ascii="Arial" w:hAnsi="Arial" w:cs="Arial"/>
                <w:sz w:val="20"/>
                <w:szCs w:val="20"/>
              </w:rPr>
            </w:pPr>
            <w:r w:rsidRPr="00103405">
              <w:rPr>
                <w:rFonts w:ascii="Arial" w:hAnsi="Arial" w:cs="Arial"/>
                <w:sz w:val="20"/>
                <w:szCs w:val="20"/>
              </w:rPr>
              <w:t>Participación concentrada de agentes en determinados segmentos</w:t>
            </w:r>
          </w:p>
        </w:tc>
        <w:tc>
          <w:tcPr>
            <w:tcW w:w="0" w:type="auto"/>
            <w:vAlign w:val="center"/>
            <w:hideMark/>
          </w:tcPr>
          <w:p w14:paraId="3C04AC80" w14:textId="77777777" w:rsidR="00284079" w:rsidRPr="00103405" w:rsidRDefault="00284079" w:rsidP="009C1D1F">
            <w:pPr>
              <w:pStyle w:val="isselectedend"/>
              <w:spacing w:line="360" w:lineRule="auto"/>
              <w:jc w:val="center"/>
              <w:rPr>
                <w:rFonts w:ascii="Arial" w:hAnsi="Arial" w:cs="Arial"/>
                <w:sz w:val="20"/>
                <w:szCs w:val="20"/>
              </w:rPr>
            </w:pPr>
            <w:r w:rsidRPr="00103405">
              <w:rPr>
                <w:rFonts w:ascii="Segoe UI Emoji" w:hAnsi="Segoe UI Emoji" w:cs="Segoe UI Emoji"/>
                <w:sz w:val="20"/>
                <w:szCs w:val="20"/>
              </w:rPr>
              <w:t>❌</w:t>
            </w:r>
          </w:p>
        </w:tc>
        <w:tc>
          <w:tcPr>
            <w:tcW w:w="0" w:type="auto"/>
            <w:vAlign w:val="center"/>
            <w:hideMark/>
          </w:tcPr>
          <w:p w14:paraId="1A5A8DDC" w14:textId="77777777" w:rsidR="00284079" w:rsidRPr="00103405" w:rsidRDefault="00284079" w:rsidP="009C1D1F">
            <w:pPr>
              <w:pStyle w:val="isselectedend"/>
              <w:spacing w:line="360" w:lineRule="auto"/>
              <w:jc w:val="center"/>
              <w:rPr>
                <w:rFonts w:ascii="Arial" w:hAnsi="Arial" w:cs="Arial"/>
                <w:sz w:val="20"/>
                <w:szCs w:val="20"/>
              </w:rPr>
            </w:pPr>
            <w:r w:rsidRPr="00103405">
              <w:rPr>
                <w:rFonts w:ascii="Segoe UI Emoji" w:hAnsi="Segoe UI Emoji" w:cs="Segoe UI Emoji"/>
                <w:sz w:val="20"/>
                <w:szCs w:val="20"/>
              </w:rPr>
              <w:t>✅</w:t>
            </w:r>
          </w:p>
        </w:tc>
        <w:tc>
          <w:tcPr>
            <w:tcW w:w="0" w:type="auto"/>
            <w:vAlign w:val="center"/>
            <w:hideMark/>
          </w:tcPr>
          <w:p w14:paraId="1F00DEDB" w14:textId="77777777" w:rsidR="00284079" w:rsidRPr="00103405" w:rsidRDefault="00284079" w:rsidP="009C1D1F">
            <w:pPr>
              <w:pStyle w:val="isselectedend"/>
              <w:spacing w:line="360" w:lineRule="auto"/>
              <w:jc w:val="center"/>
              <w:rPr>
                <w:rFonts w:ascii="Arial" w:hAnsi="Arial" w:cs="Arial"/>
                <w:sz w:val="20"/>
                <w:szCs w:val="20"/>
              </w:rPr>
            </w:pPr>
            <w:r w:rsidRPr="00103405">
              <w:rPr>
                <w:rFonts w:ascii="Cambria Math" w:hAnsi="Cambria Math" w:cs="Cambria Math"/>
                <w:sz w:val="20"/>
                <w:szCs w:val="20"/>
              </w:rPr>
              <w:t>◐</w:t>
            </w:r>
          </w:p>
        </w:tc>
        <w:tc>
          <w:tcPr>
            <w:tcW w:w="0" w:type="auto"/>
            <w:vAlign w:val="center"/>
            <w:hideMark/>
          </w:tcPr>
          <w:p w14:paraId="7F72384B" w14:textId="77777777" w:rsidR="00284079" w:rsidRPr="00103405" w:rsidRDefault="00284079" w:rsidP="009C1D1F">
            <w:pPr>
              <w:pStyle w:val="isselectedend"/>
              <w:spacing w:line="360" w:lineRule="auto"/>
              <w:jc w:val="center"/>
              <w:rPr>
                <w:rFonts w:ascii="Arial" w:hAnsi="Arial" w:cs="Arial"/>
                <w:sz w:val="20"/>
                <w:szCs w:val="20"/>
              </w:rPr>
            </w:pPr>
            <w:r w:rsidRPr="00103405">
              <w:rPr>
                <w:rFonts w:ascii="Segoe UI Emoji" w:hAnsi="Segoe UI Emoji" w:cs="Segoe UI Emoji"/>
                <w:sz w:val="20"/>
                <w:szCs w:val="20"/>
              </w:rPr>
              <w:t>❌</w:t>
            </w:r>
          </w:p>
        </w:tc>
      </w:tr>
      <w:tr w:rsidR="00284079" w:rsidRPr="00103405" w14:paraId="2D524E71" w14:textId="77777777" w:rsidTr="009C1D1F">
        <w:tc>
          <w:tcPr>
            <w:tcW w:w="0" w:type="auto"/>
            <w:vAlign w:val="center"/>
            <w:hideMark/>
          </w:tcPr>
          <w:p w14:paraId="37A432AA" w14:textId="77777777" w:rsidR="00284079" w:rsidRPr="00103405" w:rsidRDefault="00284079" w:rsidP="009C1D1F">
            <w:pPr>
              <w:pStyle w:val="isselectedend"/>
              <w:spacing w:line="360" w:lineRule="auto"/>
              <w:rPr>
                <w:rFonts w:ascii="Arial" w:hAnsi="Arial" w:cs="Arial"/>
                <w:sz w:val="20"/>
                <w:szCs w:val="20"/>
              </w:rPr>
            </w:pPr>
            <w:r w:rsidRPr="00103405">
              <w:rPr>
                <w:rFonts w:ascii="Arial" w:hAnsi="Arial" w:cs="Arial"/>
                <w:sz w:val="20"/>
                <w:szCs w:val="20"/>
              </w:rPr>
              <w:t>Limitada disponibilidad de alternativas para algunos usuarios y agentes</w:t>
            </w:r>
          </w:p>
        </w:tc>
        <w:tc>
          <w:tcPr>
            <w:tcW w:w="0" w:type="auto"/>
            <w:vAlign w:val="center"/>
            <w:hideMark/>
          </w:tcPr>
          <w:p w14:paraId="31386E8A" w14:textId="77777777" w:rsidR="00284079" w:rsidRPr="00103405" w:rsidRDefault="00284079" w:rsidP="009C1D1F">
            <w:pPr>
              <w:pStyle w:val="isselectedend"/>
              <w:spacing w:line="360" w:lineRule="auto"/>
              <w:jc w:val="center"/>
              <w:rPr>
                <w:rFonts w:ascii="Arial" w:hAnsi="Arial" w:cs="Arial"/>
                <w:sz w:val="20"/>
                <w:szCs w:val="20"/>
              </w:rPr>
            </w:pPr>
            <w:r w:rsidRPr="00103405">
              <w:rPr>
                <w:rFonts w:ascii="Segoe UI Emoji" w:hAnsi="Segoe UI Emoji" w:cs="Segoe UI Emoji"/>
                <w:sz w:val="20"/>
                <w:szCs w:val="20"/>
              </w:rPr>
              <w:t>❌</w:t>
            </w:r>
          </w:p>
        </w:tc>
        <w:tc>
          <w:tcPr>
            <w:tcW w:w="0" w:type="auto"/>
            <w:vAlign w:val="center"/>
            <w:hideMark/>
          </w:tcPr>
          <w:p w14:paraId="5CF5623F" w14:textId="77777777" w:rsidR="00284079" w:rsidRPr="00103405" w:rsidRDefault="00284079" w:rsidP="009C1D1F">
            <w:pPr>
              <w:pStyle w:val="isselectedend"/>
              <w:spacing w:line="360" w:lineRule="auto"/>
              <w:jc w:val="center"/>
              <w:rPr>
                <w:rFonts w:ascii="Arial" w:hAnsi="Arial" w:cs="Arial"/>
                <w:sz w:val="20"/>
                <w:szCs w:val="20"/>
              </w:rPr>
            </w:pPr>
            <w:r w:rsidRPr="00103405">
              <w:rPr>
                <w:rFonts w:ascii="Segoe UI Emoji" w:hAnsi="Segoe UI Emoji" w:cs="Segoe UI Emoji"/>
                <w:sz w:val="20"/>
                <w:szCs w:val="20"/>
              </w:rPr>
              <w:t>✅</w:t>
            </w:r>
          </w:p>
        </w:tc>
        <w:tc>
          <w:tcPr>
            <w:tcW w:w="0" w:type="auto"/>
            <w:vAlign w:val="center"/>
            <w:hideMark/>
          </w:tcPr>
          <w:p w14:paraId="4CC6FAFB" w14:textId="77777777" w:rsidR="00284079" w:rsidRPr="00103405" w:rsidRDefault="00284079" w:rsidP="009C1D1F">
            <w:pPr>
              <w:pStyle w:val="isselectedend"/>
              <w:spacing w:line="360" w:lineRule="auto"/>
              <w:jc w:val="center"/>
              <w:rPr>
                <w:rFonts w:ascii="Arial" w:hAnsi="Arial" w:cs="Arial"/>
                <w:sz w:val="20"/>
                <w:szCs w:val="20"/>
              </w:rPr>
            </w:pPr>
            <w:r w:rsidRPr="00103405">
              <w:rPr>
                <w:rFonts w:ascii="Cambria Math" w:hAnsi="Cambria Math" w:cs="Cambria Math"/>
                <w:sz w:val="20"/>
                <w:szCs w:val="20"/>
              </w:rPr>
              <w:t>◐</w:t>
            </w:r>
          </w:p>
        </w:tc>
        <w:tc>
          <w:tcPr>
            <w:tcW w:w="0" w:type="auto"/>
            <w:vAlign w:val="center"/>
            <w:hideMark/>
          </w:tcPr>
          <w:p w14:paraId="08973ED6" w14:textId="77777777" w:rsidR="00284079" w:rsidRPr="00103405" w:rsidRDefault="00284079" w:rsidP="009C1D1F">
            <w:pPr>
              <w:pStyle w:val="isselectedend"/>
              <w:spacing w:line="360" w:lineRule="auto"/>
              <w:jc w:val="center"/>
              <w:rPr>
                <w:rFonts w:ascii="Arial" w:hAnsi="Arial" w:cs="Arial"/>
                <w:sz w:val="20"/>
                <w:szCs w:val="20"/>
              </w:rPr>
            </w:pPr>
            <w:r w:rsidRPr="00103405">
              <w:rPr>
                <w:rFonts w:ascii="Segoe UI Emoji" w:hAnsi="Segoe UI Emoji" w:cs="Segoe UI Emoji"/>
                <w:sz w:val="20"/>
                <w:szCs w:val="20"/>
              </w:rPr>
              <w:t>❌</w:t>
            </w:r>
          </w:p>
        </w:tc>
      </w:tr>
    </w:tbl>
    <w:p w14:paraId="68C24920" w14:textId="66873D7E" w:rsidR="00D56A52" w:rsidRPr="00916790" w:rsidRDefault="00D56A52" w:rsidP="00916790">
      <w:pPr>
        <w:spacing w:before="100" w:beforeAutospacing="1" w:after="100" w:afterAutospacing="1" w:line="360" w:lineRule="auto"/>
        <w:jc w:val="center"/>
        <w:rPr>
          <w:sz w:val="22"/>
          <w:szCs w:val="22"/>
        </w:rPr>
      </w:pPr>
      <w:r>
        <w:rPr>
          <w:rFonts w:cs="Arial"/>
          <w:sz w:val="22"/>
          <w:szCs w:val="22"/>
        </w:rPr>
        <w:t>Elaboración</w:t>
      </w:r>
      <w:r w:rsidR="00916790">
        <w:rPr>
          <w:rFonts w:cs="Arial"/>
          <w:sz w:val="22"/>
          <w:szCs w:val="22"/>
        </w:rPr>
        <w:t>: CREG</w:t>
      </w:r>
    </w:p>
    <w:p w14:paraId="17CABCDA" w14:textId="4F629719" w:rsidR="0025321D" w:rsidRPr="00A902AE" w:rsidRDefault="0025321D" w:rsidP="00916790">
      <w:pPr>
        <w:pStyle w:val="Ttulo4"/>
        <w:spacing w:before="100" w:beforeAutospacing="1" w:after="100" w:afterAutospacing="1" w:line="360" w:lineRule="auto"/>
        <w:ind w:left="1276" w:hanging="1276"/>
      </w:pPr>
      <w:r w:rsidRPr="00A902AE">
        <w:lastRenderedPageBreak/>
        <w:t>Fallas de regulación</w:t>
      </w:r>
    </w:p>
    <w:p w14:paraId="2A15B850" w14:textId="77777777" w:rsidR="00A902AE" w:rsidRPr="00A902AE" w:rsidRDefault="00A902AE" w:rsidP="00916790">
      <w:pPr>
        <w:pStyle w:val="NormalWeb"/>
        <w:spacing w:line="360" w:lineRule="auto"/>
        <w:jc w:val="both"/>
        <w:rPr>
          <w:rFonts w:ascii="Arial" w:hAnsi="Arial" w:cs="Arial"/>
          <w:lang w:val="es-ES_tradnl" w:eastAsia="es-ES"/>
        </w:rPr>
      </w:pPr>
      <w:r w:rsidRPr="00A902AE">
        <w:rPr>
          <w:rFonts w:ascii="Arial" w:hAnsi="Arial" w:cs="Arial"/>
          <w:lang w:val="es-ES_tradnl" w:eastAsia="es-ES"/>
        </w:rPr>
        <w:t>La existencia de síntomas asociados al riesgo de ineficiencias económicas en la prestación del servicio no implica, por sí sola, la existencia de fallas regulatorias. No obstante, resulta pertinente evaluar si algunos elementos del marco regulatorio vigente, de su implementación o de su capacidad para responder a la evolución del mercado podrían estar contribuyendo a la persistencia de situaciones relacionadas con las restricciones para el desarrollo y disponibilidad de infraestructura requerida para la prestación, las dificultades en la gestión y disponibilidad de activos utilizados para la prestación, las diferencias en la intensidad de la competencia entre mercados, la participación concentrada de agentes en determinados segmentos del mercado y la limitada disponibilidad de alternativas para algunos usuarios y agentes.</w:t>
      </w:r>
    </w:p>
    <w:p w14:paraId="1E4C9055" w14:textId="77777777" w:rsidR="00A902AE" w:rsidRPr="00A902AE" w:rsidRDefault="00A902AE" w:rsidP="00916790">
      <w:pPr>
        <w:pStyle w:val="NormalWeb"/>
        <w:spacing w:line="360" w:lineRule="auto"/>
        <w:jc w:val="both"/>
        <w:rPr>
          <w:rFonts w:ascii="Arial" w:hAnsi="Arial" w:cs="Arial"/>
          <w:lang w:val="es-ES_tradnl" w:eastAsia="es-ES"/>
        </w:rPr>
      </w:pPr>
      <w:r w:rsidRPr="00A902AE">
        <w:rPr>
          <w:rFonts w:ascii="Arial" w:hAnsi="Arial" w:cs="Arial"/>
          <w:lang w:val="es-ES_tradnl" w:eastAsia="es-ES"/>
        </w:rPr>
        <w:t>Las fallas regulatorias pueden presentarse cuando la regulación no alcanza plenamente los objetivos para los cuales fue diseñada, cuando su implementación resulta insuficiente, cuando las condiciones del mercado evolucionan más rápidamente que las disposiciones vigentes o cuando la intervención regulatoria no responde oportunamente a los nuevos desafíos que enfrenta el sector. En consecuencia, el presente análisis busca determinar si algunos de los síntomas identificados pueden estar asociados a aspectos regulatorios susceptibles de revisión, actualización o fortalecimiento.</w:t>
      </w:r>
    </w:p>
    <w:p w14:paraId="7A49DA5A" w14:textId="77777777" w:rsidR="00A902AE" w:rsidRPr="00A902AE" w:rsidRDefault="00A902AE" w:rsidP="00916790">
      <w:pPr>
        <w:pStyle w:val="NormalWeb"/>
        <w:spacing w:line="360" w:lineRule="auto"/>
        <w:jc w:val="both"/>
        <w:rPr>
          <w:rFonts w:ascii="Arial" w:hAnsi="Arial" w:cs="Arial"/>
          <w:lang w:val="es-ES_tradnl" w:eastAsia="es-ES"/>
        </w:rPr>
      </w:pPr>
      <w:r w:rsidRPr="00A902AE">
        <w:rPr>
          <w:rFonts w:ascii="Arial" w:hAnsi="Arial" w:cs="Arial"/>
          <w:lang w:val="es-ES_tradnl" w:eastAsia="es-ES"/>
        </w:rPr>
        <w:t>En particular, para este eje temático se analizarán las posibles fallas regulatorias relacionadas con el diseño de las disposiciones vigentes, su implementación, su adecuación a las condiciones actuales del mercado y la oportunidad de su actualización, con el fin de establecer si el marco regulatorio vigente responde adecuadamente a las necesidades identificadas en materia de desarrollo de infraestructura, gestión de activos, condiciones de competencia y disponibilidad de alternativas para usuarios y agentes.</w:t>
      </w:r>
    </w:p>
    <w:p w14:paraId="57BBB383" w14:textId="123326C2" w:rsidR="0025321D" w:rsidRDefault="0025321D" w:rsidP="00916790">
      <w:pPr>
        <w:pStyle w:val="Ttulo5"/>
        <w:numPr>
          <w:ilvl w:val="4"/>
          <w:numId w:val="1"/>
        </w:numPr>
        <w:spacing w:before="100" w:beforeAutospacing="1" w:after="100" w:afterAutospacing="1"/>
        <w:ind w:left="1276" w:hanging="1276"/>
      </w:pPr>
      <w:r>
        <w:t>Origen de las normas</w:t>
      </w:r>
    </w:p>
    <w:p w14:paraId="71551A1E" w14:textId="77777777" w:rsidR="004636D8" w:rsidRPr="004636D8" w:rsidRDefault="004636D8" w:rsidP="00916790">
      <w:pPr>
        <w:pStyle w:val="NormalWeb"/>
        <w:spacing w:line="360" w:lineRule="auto"/>
        <w:jc w:val="both"/>
        <w:rPr>
          <w:rFonts w:ascii="Arial" w:hAnsi="Arial" w:cs="Arial"/>
          <w:lang w:val="es-ES" w:eastAsia="es-ES"/>
        </w:rPr>
      </w:pPr>
      <w:r w:rsidRPr="004636D8">
        <w:rPr>
          <w:rFonts w:ascii="Arial" w:hAnsi="Arial" w:cs="Arial"/>
          <w:lang w:val="es-ES" w:eastAsia="es-ES"/>
        </w:rPr>
        <w:t xml:space="preserve">El marco regulatorio aplicable al servicio público domiciliario de GLP ha evolucionado de manera progresiva para responder a los diferentes desafíos que históricamente ha </w:t>
      </w:r>
      <w:r w:rsidRPr="004636D8">
        <w:rPr>
          <w:rFonts w:ascii="Arial" w:hAnsi="Arial" w:cs="Arial"/>
          <w:lang w:val="es-ES" w:eastAsia="es-ES"/>
        </w:rPr>
        <w:lastRenderedPageBreak/>
        <w:t>enfrentado el sector y promover una prestación eficiente del servicio, conforme a los principios previstos en la Ley 142 de 1994. En este proceso, la regulación ha incorporado disposiciones orientadas a establecer las condiciones de participación de los agentes, regular el acceso a la infraestructura, definir mecanismos para la gestión de activos y crear incentivos que favorezcan la eficiencia económica en las distintas actividades de la cadena.</w:t>
      </w:r>
    </w:p>
    <w:p w14:paraId="68D7D84C" w14:textId="77777777" w:rsidR="004636D8" w:rsidRPr="004636D8" w:rsidRDefault="004636D8" w:rsidP="00916790">
      <w:pPr>
        <w:pStyle w:val="NormalWeb"/>
        <w:spacing w:line="360" w:lineRule="auto"/>
        <w:jc w:val="both"/>
        <w:rPr>
          <w:rFonts w:ascii="Arial" w:hAnsi="Arial" w:cs="Arial"/>
          <w:lang w:val="es-ES" w:eastAsia="es-ES"/>
        </w:rPr>
      </w:pPr>
      <w:r w:rsidRPr="004636D8">
        <w:rPr>
          <w:rFonts w:ascii="Arial" w:hAnsi="Arial" w:cs="Arial"/>
          <w:lang w:val="es-ES" w:eastAsia="es-ES"/>
        </w:rPr>
        <w:t>En particular, una parte importante de la regulación vigente surgió para atender problemáticas relacionadas con el desarrollo de la infraestructura requerida para la prestación del servicio, la administración y disponibilidad de los activos utilizados en la operación, las condiciones de competencia entre los agentes y la necesidad de promover un funcionamiento eficiente del mercado. Estas disposiciones respondieron a las condiciones existentes al momento de su expedición y contribuyeron a consolidar el esquema regulatorio actualmente aplicable al sector.</w:t>
      </w:r>
    </w:p>
    <w:p w14:paraId="3B91CEED" w14:textId="77777777" w:rsidR="004636D8" w:rsidRPr="004636D8" w:rsidRDefault="004636D8" w:rsidP="00916790">
      <w:pPr>
        <w:pStyle w:val="NormalWeb"/>
        <w:spacing w:line="360" w:lineRule="auto"/>
        <w:jc w:val="both"/>
        <w:rPr>
          <w:rFonts w:ascii="Arial" w:hAnsi="Arial" w:cs="Arial"/>
          <w:lang w:val="es-ES" w:eastAsia="es-ES"/>
        </w:rPr>
      </w:pPr>
      <w:r w:rsidRPr="004636D8">
        <w:rPr>
          <w:rFonts w:ascii="Arial" w:hAnsi="Arial" w:cs="Arial"/>
          <w:lang w:val="es-ES" w:eastAsia="es-ES"/>
        </w:rPr>
        <w:t>No obstante, las condiciones bajo las cuales actualmente se desarrolla la prestación del servicio público domiciliario de GLP difieren de aquellas existentes cuando fueron expedidas varias de las disposiciones regulatorias vigentes. En particular, la evolución de la estructura del mercado, las diferencias observadas en la intensidad de la competencia, la participación de los agentes y las condiciones para el desarrollo de infraestructura hacen pertinente evaluar si las problemáticas que dieron origen a dichos instrumentos regulatorios corresponden con las situaciones actualmente observadas.</w:t>
      </w:r>
    </w:p>
    <w:p w14:paraId="7AF06AF3" w14:textId="5E4B96E0" w:rsidR="00446F1D" w:rsidRPr="00446F1D" w:rsidRDefault="004636D8" w:rsidP="00916790">
      <w:pPr>
        <w:pStyle w:val="NormalWeb"/>
        <w:spacing w:line="360" w:lineRule="auto"/>
        <w:jc w:val="both"/>
        <w:rPr>
          <w:rFonts w:ascii="Arial" w:hAnsi="Arial" w:cs="Arial"/>
          <w:lang w:val="es-ES" w:eastAsia="es-ES"/>
        </w:rPr>
      </w:pPr>
      <w:r w:rsidRPr="004636D8">
        <w:rPr>
          <w:rFonts w:ascii="Arial" w:hAnsi="Arial" w:cs="Arial"/>
          <w:lang w:val="es-ES" w:eastAsia="es-ES"/>
        </w:rPr>
        <w:t>En consecuencia, el análisis del origen de las normas permite comprender las problemáticas que motivaron su expedición y verificar si estas corresponden con los síntomas actualmente identificados en materia de eficiencias económicas en la prestación del servicio público domiciliario de GLP.</w:t>
      </w:r>
    </w:p>
    <w:p w14:paraId="56E28AE5" w14:textId="144B83E2" w:rsidR="0025321D" w:rsidRDefault="0025321D" w:rsidP="00916790">
      <w:pPr>
        <w:pStyle w:val="Ttulo5"/>
        <w:numPr>
          <w:ilvl w:val="4"/>
          <w:numId w:val="1"/>
        </w:numPr>
        <w:spacing w:before="100" w:beforeAutospacing="1" w:after="100" w:afterAutospacing="1"/>
        <w:ind w:left="1560" w:hanging="1560"/>
      </w:pPr>
      <w:r>
        <w:t>Regulación no implementada o con riesgo de incumplimiento</w:t>
      </w:r>
    </w:p>
    <w:p w14:paraId="5F58A149" w14:textId="77777777" w:rsidR="0017719C" w:rsidRPr="0017719C" w:rsidRDefault="0017719C" w:rsidP="00916790">
      <w:pPr>
        <w:pStyle w:val="NormalWeb"/>
        <w:spacing w:line="360" w:lineRule="auto"/>
        <w:jc w:val="both"/>
        <w:rPr>
          <w:rFonts w:ascii="Arial" w:hAnsi="Arial" w:cs="Arial"/>
          <w:lang w:val="es-ES" w:eastAsia="es-ES"/>
        </w:rPr>
      </w:pPr>
      <w:r w:rsidRPr="0017719C">
        <w:rPr>
          <w:rFonts w:ascii="Arial" w:hAnsi="Arial" w:cs="Arial"/>
          <w:lang w:val="es-ES" w:eastAsia="es-ES"/>
        </w:rPr>
        <w:t xml:space="preserve">Los síntomas identificados en materia de eficiencias económicas en la prestación del servicio pueden estar asociados, en algunos casos, a diferencias entre las condiciones </w:t>
      </w:r>
      <w:r w:rsidRPr="0017719C">
        <w:rPr>
          <w:rFonts w:ascii="Arial" w:hAnsi="Arial" w:cs="Arial"/>
          <w:lang w:val="es-ES" w:eastAsia="es-ES"/>
        </w:rPr>
        <w:lastRenderedPageBreak/>
        <w:t>previstas por el marco regulatorio y su implementación por parte de los agentes. Aspectos relacionados con el acceso y desarrollo de infraestructura, la gestión de activos o la aplicación de determinadas reglas que inciden sobre el funcionamiento de la cadena pueden presentar niveles de implementación diferenciados entre mercados o entre los distintos agentes que participan en la prestación del servicio.</w:t>
      </w:r>
    </w:p>
    <w:p w14:paraId="6630651A" w14:textId="77777777" w:rsidR="0017719C" w:rsidRPr="0017719C" w:rsidRDefault="0017719C" w:rsidP="00916790">
      <w:pPr>
        <w:pStyle w:val="NormalWeb"/>
        <w:spacing w:line="360" w:lineRule="auto"/>
        <w:jc w:val="both"/>
        <w:rPr>
          <w:rFonts w:ascii="Arial" w:hAnsi="Arial" w:cs="Arial"/>
          <w:lang w:val="es-ES" w:eastAsia="es-ES"/>
        </w:rPr>
      </w:pPr>
      <w:r w:rsidRPr="0017719C">
        <w:rPr>
          <w:rFonts w:ascii="Arial" w:hAnsi="Arial" w:cs="Arial"/>
          <w:lang w:val="es-ES" w:eastAsia="es-ES"/>
        </w:rPr>
        <w:t>No obstante, los síntomas identificados parecen responder principalmente a características estructurales relacionadas con el desarrollo y disponibilidad de infraestructura, la gestión de activos, la intensidad de la competencia, la participación concentrada de agentes en determinados segmentos del mercado y la disponibilidad de alternativas para usuarios y agentes. En consecuencia, no evidencian de manera directa incumplimientos generalizados de la regulación vigente ni permiten concluir que su origen se encuentre asociado principalmente a problemas de implementación normativa.</w:t>
      </w:r>
    </w:p>
    <w:p w14:paraId="71EEC698" w14:textId="526B6584" w:rsidR="00650908" w:rsidRPr="00650908" w:rsidRDefault="00251DAF" w:rsidP="00916790">
      <w:pPr>
        <w:pStyle w:val="NormalWeb"/>
        <w:spacing w:line="360" w:lineRule="auto"/>
        <w:jc w:val="both"/>
        <w:rPr>
          <w:rFonts w:ascii="Arial" w:hAnsi="Arial" w:cs="Arial"/>
          <w:lang w:val="es-ES" w:eastAsia="es-ES"/>
        </w:rPr>
      </w:pPr>
      <w:r w:rsidRPr="00251DAF">
        <w:rPr>
          <w:rFonts w:ascii="Arial" w:hAnsi="Arial" w:cs="Arial"/>
          <w:lang w:val="es-ES" w:eastAsia="es-ES"/>
        </w:rPr>
        <w:t xml:space="preserve">En consecuencia, si bien resulta pertinente evaluar el grado de implementación de las disposiciones regulatorias aplicables a </w:t>
      </w:r>
      <w:r w:rsidR="0017719C" w:rsidRPr="0017719C">
        <w:rPr>
          <w:rFonts w:ascii="Arial" w:hAnsi="Arial" w:cs="Arial"/>
          <w:lang w:val="es-ES" w:eastAsia="es-ES"/>
        </w:rPr>
        <w:t>las diferentes actividades de la cadena</w:t>
      </w:r>
      <w:r w:rsidRPr="00251DAF">
        <w:rPr>
          <w:rFonts w:ascii="Arial" w:hAnsi="Arial" w:cs="Arial"/>
          <w:lang w:val="es-ES" w:eastAsia="es-ES"/>
        </w:rPr>
        <w:t xml:space="preserve"> de </w:t>
      </w:r>
      <w:r w:rsidR="0017719C" w:rsidRPr="0017719C">
        <w:rPr>
          <w:rFonts w:ascii="Arial" w:hAnsi="Arial" w:cs="Arial"/>
          <w:lang w:val="es-ES" w:eastAsia="es-ES"/>
        </w:rPr>
        <w:t>prestación del servicio público domiciliario de GLP</w:t>
      </w:r>
      <w:r w:rsidRPr="00251DAF">
        <w:rPr>
          <w:rFonts w:ascii="Arial" w:hAnsi="Arial" w:cs="Arial"/>
          <w:lang w:val="es-ES" w:eastAsia="es-ES"/>
        </w:rPr>
        <w:t>, esta no constituye la principal explicación de los síntomas identificados para este eje temático.</w:t>
      </w:r>
    </w:p>
    <w:p w14:paraId="4BF75905" w14:textId="300F3ADC" w:rsidR="0025321D" w:rsidRDefault="009E4766" w:rsidP="00916790">
      <w:pPr>
        <w:pStyle w:val="Ttulo5"/>
        <w:numPr>
          <w:ilvl w:val="4"/>
          <w:numId w:val="1"/>
        </w:numPr>
        <w:spacing w:before="100" w:beforeAutospacing="1" w:after="100" w:afterAutospacing="1"/>
        <w:ind w:left="1134" w:hanging="1134"/>
      </w:pPr>
      <w:r w:rsidRPr="009E4766">
        <w:t>Adecuación de las normas a las condiciones actuales del mercado</w:t>
      </w:r>
    </w:p>
    <w:p w14:paraId="401C4660" w14:textId="77777777" w:rsidR="000F6B74" w:rsidRPr="000F6B74" w:rsidRDefault="000F6B74" w:rsidP="00916790">
      <w:pPr>
        <w:pStyle w:val="NormalWeb"/>
        <w:spacing w:line="360" w:lineRule="auto"/>
        <w:jc w:val="both"/>
        <w:rPr>
          <w:rFonts w:ascii="Arial" w:hAnsi="Arial" w:cs="Arial"/>
          <w:lang w:val="es-ES" w:eastAsia="es-ES"/>
        </w:rPr>
      </w:pPr>
      <w:r w:rsidRPr="000F6B74">
        <w:rPr>
          <w:rFonts w:ascii="Arial" w:hAnsi="Arial" w:cs="Arial"/>
          <w:lang w:val="es-ES" w:eastAsia="es-ES"/>
        </w:rPr>
        <w:t>Los síntomas identificados evidencian que las condiciones bajo las cuales se desarrolla la prestación del servicio público domiciliario de GLP no son homogéneas entre actividades, mercados, regiones y modalidades de prestación. Asimismo, el análisis realizado muestra diferencias en el desarrollo y disponibilidad de infraestructura, la gestión de activos, la intensidad de la competencia, la participación de los agentes y la disponibilidad de alternativas para usuarios y agentes.</w:t>
      </w:r>
    </w:p>
    <w:p w14:paraId="17C49FA1" w14:textId="77777777" w:rsidR="000F6B74" w:rsidRPr="000F6B74" w:rsidRDefault="000F6B74" w:rsidP="00916790">
      <w:pPr>
        <w:pStyle w:val="NormalWeb"/>
        <w:spacing w:line="360" w:lineRule="auto"/>
        <w:jc w:val="both"/>
        <w:rPr>
          <w:rFonts w:ascii="Arial" w:hAnsi="Arial" w:cs="Arial"/>
          <w:lang w:val="es-ES" w:eastAsia="es-ES"/>
        </w:rPr>
      </w:pPr>
      <w:r w:rsidRPr="000F6B74">
        <w:rPr>
          <w:rFonts w:ascii="Arial" w:hAnsi="Arial" w:cs="Arial"/>
          <w:lang w:val="es-ES" w:eastAsia="es-ES"/>
        </w:rPr>
        <w:t xml:space="preserve">Estas circunstancias sugieren la conveniencia de evaluar si los instrumentos regulatorios vigentes continúan generando incentivos adecuados para promover una prestación eficiente del servicio, facilitar el desarrollo de infraestructura, incentivar una gestión eficiente de los activos y favorecer condiciones que contribuyan a mejorar las eficiencias </w:t>
      </w:r>
      <w:r w:rsidRPr="000F6B74">
        <w:rPr>
          <w:rFonts w:ascii="Arial" w:hAnsi="Arial" w:cs="Arial"/>
          <w:lang w:val="es-ES" w:eastAsia="es-ES"/>
        </w:rPr>
        <w:lastRenderedPageBreak/>
        <w:t>económicas en la prestación del servicio. De igual forma, resulta pertinente analizar si las herramientas regulatorias existentes continúan respondiendo adecuadamente a las diferencias observadas entre mercados y a las particularidades de las distintas actividades que conforman la cadena de prestación del servicio público domiciliario de GLP.</w:t>
      </w:r>
    </w:p>
    <w:p w14:paraId="6D2C934A" w14:textId="77777777" w:rsidR="00F30C48" w:rsidRDefault="000F6B74" w:rsidP="00916790">
      <w:pPr>
        <w:pStyle w:val="NormalWeb"/>
        <w:spacing w:line="360" w:lineRule="auto"/>
        <w:jc w:val="both"/>
        <w:rPr>
          <w:rFonts w:ascii="Arial" w:hAnsi="Arial" w:cs="Arial"/>
          <w:lang w:val="es-ES" w:eastAsia="es-ES"/>
        </w:rPr>
      </w:pPr>
      <w:r w:rsidRPr="000F6B74">
        <w:rPr>
          <w:rFonts w:ascii="Arial" w:hAnsi="Arial" w:cs="Arial"/>
          <w:lang w:val="es-ES" w:eastAsia="es-ES"/>
        </w:rPr>
        <w:t>Adicionalmente</w:t>
      </w:r>
      <w:r w:rsidR="0050332E" w:rsidRPr="000F6B74">
        <w:rPr>
          <w:rFonts w:ascii="Arial" w:hAnsi="Arial" w:cs="Arial"/>
          <w:lang w:val="es-ES" w:eastAsia="es-ES"/>
        </w:rPr>
        <w:t xml:space="preserve">, resulta pertinente evaluar si el diseño y la periodicidad de algunos mecanismos regulatorios continúan siendo adecuados para facilitar la planeación operativa, las decisiones de inversión y </w:t>
      </w:r>
      <w:r w:rsidRPr="000F6B74">
        <w:rPr>
          <w:rFonts w:ascii="Arial" w:hAnsi="Arial" w:cs="Arial"/>
          <w:lang w:val="es-ES" w:eastAsia="es-ES"/>
        </w:rPr>
        <w:t>el desarrollo</w:t>
      </w:r>
      <w:r w:rsidR="0050332E" w:rsidRPr="000F6B74">
        <w:rPr>
          <w:rFonts w:ascii="Arial" w:hAnsi="Arial" w:cs="Arial"/>
          <w:lang w:val="es-ES" w:eastAsia="es-ES"/>
        </w:rPr>
        <w:t xml:space="preserve"> de las actividades </w:t>
      </w:r>
      <w:r w:rsidRPr="000F6B74">
        <w:rPr>
          <w:rFonts w:ascii="Arial" w:hAnsi="Arial" w:cs="Arial"/>
          <w:lang w:val="es-ES" w:eastAsia="es-ES"/>
        </w:rPr>
        <w:t>adelantadas por los agentes.</w:t>
      </w:r>
      <w:r w:rsidR="0050332E" w:rsidRPr="000F6B74">
        <w:rPr>
          <w:rFonts w:ascii="Arial" w:hAnsi="Arial" w:cs="Arial"/>
          <w:lang w:val="es-ES" w:eastAsia="es-ES"/>
        </w:rPr>
        <w:t xml:space="preserve"> La configuración de estos instrumentos puede incidir sobre los costos administrativos asociados a su implementación y sobre la capacidad de los participantes para planificar sus actividades en horizontes de mediano y largo plazo.</w:t>
      </w:r>
    </w:p>
    <w:p w14:paraId="621B79BD" w14:textId="77777777" w:rsidR="0032539F" w:rsidRPr="0032539F" w:rsidRDefault="0032539F" w:rsidP="00916790">
      <w:pPr>
        <w:pStyle w:val="NormalWeb"/>
        <w:spacing w:line="360" w:lineRule="auto"/>
        <w:jc w:val="both"/>
        <w:rPr>
          <w:rFonts w:ascii="Arial" w:hAnsi="Arial" w:cs="Arial"/>
          <w:lang w:val="es-ES" w:eastAsia="es-ES"/>
        </w:rPr>
      </w:pPr>
      <w:r w:rsidRPr="0032539F">
        <w:rPr>
          <w:rFonts w:ascii="Arial" w:hAnsi="Arial" w:cs="Arial"/>
          <w:lang w:val="es-ES" w:eastAsia="es-ES"/>
        </w:rPr>
        <w:t xml:space="preserve">Lo anterior no implica que la regulación vigente sea insuficiente o que haya dejado de cumplir los objetivos para los cuales fue expedida. Sin embargo, sí pone de manifiesto la conveniencia de evaluar si los instrumentos regulatorios continúan siendo los más apropiados para responder a las condiciones actuales del sector y promover </w:t>
      </w:r>
      <w:r w:rsidR="000F6B74" w:rsidRPr="000F6B74">
        <w:rPr>
          <w:rFonts w:ascii="Arial" w:hAnsi="Arial" w:cs="Arial"/>
          <w:lang w:val="es-ES" w:eastAsia="es-ES"/>
        </w:rPr>
        <w:t>las eficiencias económicas en la prestación del servicio público domiciliario de GLP</w:t>
      </w:r>
      <w:r w:rsidRPr="0032539F">
        <w:rPr>
          <w:rFonts w:ascii="Arial" w:hAnsi="Arial" w:cs="Arial"/>
          <w:lang w:val="es-ES" w:eastAsia="es-ES"/>
        </w:rPr>
        <w:t>.</w:t>
      </w:r>
    </w:p>
    <w:p w14:paraId="48A73578" w14:textId="4D9E11A7" w:rsidR="006735C1" w:rsidRPr="004F3098" w:rsidRDefault="0032539F" w:rsidP="00916790">
      <w:pPr>
        <w:pStyle w:val="NormalWeb"/>
        <w:spacing w:line="360" w:lineRule="auto"/>
        <w:jc w:val="both"/>
        <w:rPr>
          <w:rFonts w:ascii="Arial" w:hAnsi="Arial" w:cs="Arial"/>
          <w:lang w:val="es-ES" w:eastAsia="es-ES"/>
        </w:rPr>
      </w:pPr>
      <w:r w:rsidRPr="0032539F">
        <w:rPr>
          <w:rFonts w:ascii="Arial" w:hAnsi="Arial" w:cs="Arial"/>
          <w:lang w:val="es-ES" w:eastAsia="es-ES"/>
        </w:rPr>
        <w:t xml:space="preserve">En consecuencia, la adecuación de las normas a las condiciones actuales del mercado constituye un aspecto relevante </w:t>
      </w:r>
      <w:r w:rsidR="000F6B74" w:rsidRPr="000F6B74">
        <w:rPr>
          <w:rFonts w:ascii="Arial" w:hAnsi="Arial" w:cs="Arial"/>
          <w:lang w:val="es-ES" w:eastAsia="es-ES"/>
        </w:rPr>
        <w:t>dentro del análisis de las posibles fallas regulatorias asociadas al riesgo de ineficiencias económicas en la prestación del servicio público domiciliario de GLP</w:t>
      </w:r>
      <w:r w:rsidRPr="0032539F">
        <w:rPr>
          <w:rFonts w:ascii="Arial" w:hAnsi="Arial" w:cs="Arial"/>
          <w:lang w:val="es-ES" w:eastAsia="es-ES"/>
        </w:rPr>
        <w:t>.</w:t>
      </w:r>
    </w:p>
    <w:p w14:paraId="6B1EE8E2" w14:textId="5351E7E2" w:rsidR="0025321D" w:rsidRDefault="0025321D" w:rsidP="00916790">
      <w:pPr>
        <w:pStyle w:val="Ttulo5"/>
        <w:numPr>
          <w:ilvl w:val="4"/>
          <w:numId w:val="1"/>
        </w:numPr>
        <w:spacing w:before="100" w:beforeAutospacing="1" w:after="100" w:afterAutospacing="1"/>
        <w:ind w:left="1276" w:hanging="1276"/>
      </w:pPr>
      <w:r>
        <w:t>Oportunidad de la regulación</w:t>
      </w:r>
    </w:p>
    <w:p w14:paraId="7F65D50F" w14:textId="77777777" w:rsidR="0041726B" w:rsidRPr="0041726B" w:rsidRDefault="0041726B" w:rsidP="00916790">
      <w:pPr>
        <w:pStyle w:val="NormalWeb"/>
        <w:spacing w:line="360" w:lineRule="auto"/>
        <w:jc w:val="both"/>
        <w:rPr>
          <w:rFonts w:ascii="Arial" w:hAnsi="Arial" w:cs="Arial"/>
          <w:lang w:val="es-ES" w:eastAsia="es-ES"/>
        </w:rPr>
      </w:pPr>
      <w:r w:rsidRPr="0041726B">
        <w:rPr>
          <w:rFonts w:ascii="Arial" w:hAnsi="Arial" w:cs="Arial"/>
          <w:lang w:val="es-ES" w:eastAsia="es-ES"/>
        </w:rPr>
        <w:t xml:space="preserve">La oportunidad de la revisión regulatoria se sustenta en la evidencia técnica recopilada durante el presente Análisis de Impacto Normativo. El diagnóstico permitió identificar síntomas relacionados con el desarrollo y disponibilidad de infraestructura requerida para la prestación, la gestión y disponibilidad de activos, las diferencias en la intensidad de la competencia entre mercados, la participación concentrada de agentes en determinados </w:t>
      </w:r>
      <w:r w:rsidRPr="0041726B">
        <w:rPr>
          <w:rFonts w:ascii="Arial" w:hAnsi="Arial" w:cs="Arial"/>
          <w:lang w:val="es-ES" w:eastAsia="es-ES"/>
        </w:rPr>
        <w:lastRenderedPageBreak/>
        <w:t>segmentos del mercado y la disponibilidad de alternativas para usuarios y agentes, así como analizar las posibles fallas de mercado y de regulación asociadas a estos aspectos.</w:t>
      </w:r>
    </w:p>
    <w:p w14:paraId="00ABA84C" w14:textId="77777777" w:rsidR="0041726B" w:rsidRPr="0041726B" w:rsidRDefault="0041726B" w:rsidP="00916790">
      <w:pPr>
        <w:pStyle w:val="NormalWeb"/>
        <w:spacing w:line="360" w:lineRule="auto"/>
        <w:jc w:val="both"/>
        <w:rPr>
          <w:rFonts w:ascii="Arial" w:hAnsi="Arial" w:cs="Arial"/>
          <w:lang w:val="es-ES" w:eastAsia="es-ES"/>
        </w:rPr>
      </w:pPr>
      <w:r w:rsidRPr="0041726B">
        <w:rPr>
          <w:rFonts w:ascii="Arial" w:hAnsi="Arial" w:cs="Arial"/>
          <w:lang w:val="es-ES" w:eastAsia="es-ES"/>
        </w:rPr>
        <w:t>Lo anterior no implica que las disposiciones regulatorias vigentes sean insuficientes o que deban ser modificadas. Sin embargo, la evidencia recopilada permite concluir que existen elementos suficientes para evaluar si los instrumentos regulatorios actualmente vigentes continúan siendo los más adecuados para promover las eficiencias económicas en la prestación del servicio público domiciliario de GLP.</w:t>
      </w:r>
    </w:p>
    <w:p w14:paraId="54642B39" w14:textId="77777777" w:rsidR="0041726B" w:rsidRPr="0041726B" w:rsidRDefault="0041726B" w:rsidP="00916790">
      <w:pPr>
        <w:pStyle w:val="NormalWeb"/>
        <w:spacing w:line="360" w:lineRule="auto"/>
        <w:jc w:val="both"/>
        <w:rPr>
          <w:rFonts w:ascii="Arial" w:hAnsi="Arial" w:cs="Arial"/>
          <w:lang w:val="es-ES" w:eastAsia="es-ES"/>
        </w:rPr>
      </w:pPr>
      <w:r w:rsidRPr="0041726B">
        <w:rPr>
          <w:rFonts w:ascii="Arial" w:hAnsi="Arial" w:cs="Arial"/>
          <w:lang w:val="es-ES" w:eastAsia="es-ES"/>
        </w:rPr>
        <w:t>En consecuencia, la evidencia técnica recopilada, el análisis de las condiciones actuales del mercado y la evaluación desarrollada durante el presente AIN constituyen elementos que justifican evaluar la oportunidad de revisar los instrumentos regulatorios asociados al desarrollo de infraestructura, la gestión de activos y las condiciones de competencia, con el fin de fortalecer las eficiencias económicas en la prestación del servicio público domiciliario de GLP.</w:t>
      </w:r>
    </w:p>
    <w:p w14:paraId="22D07C86" w14:textId="7ED4340E" w:rsidR="00583BF8" w:rsidRDefault="00583BF8" w:rsidP="002F1961">
      <w:pPr>
        <w:pStyle w:val="isselectedend"/>
        <w:spacing w:line="360" w:lineRule="auto"/>
        <w:ind w:hanging="1"/>
        <w:jc w:val="both"/>
        <w:rPr>
          <w:rFonts w:ascii="Arial" w:hAnsi="Arial" w:cs="Arial"/>
          <w:lang w:val="es-ES_tradnl" w:eastAsia="es-ES"/>
        </w:rPr>
      </w:pPr>
      <w:r w:rsidRPr="009B083A">
        <w:rPr>
          <w:rFonts w:ascii="Arial" w:hAnsi="Arial" w:cs="Arial"/>
          <w:lang w:val="es-ES_tradnl" w:eastAsia="es-ES"/>
        </w:rPr>
        <w:t xml:space="preserve">A diferencia de las fallas de mercado, cuyo análisis se orientó a explicar cada uno de los síntomas identificados, las fallas regulatorias se evalúan respecto del conjunto del eje temático, en la medida en que se relacionan con el diseño, implementación y actualización del marco regulatorio que rige la </w:t>
      </w:r>
      <w:r>
        <w:rPr>
          <w:rFonts w:ascii="Arial" w:hAnsi="Arial" w:cs="Arial"/>
          <w:lang w:val="es-ES_tradnl" w:eastAsia="es-ES"/>
        </w:rPr>
        <w:t>eficiencia económica de la prestación del servicio</w:t>
      </w:r>
      <w:r w:rsidRPr="009B083A">
        <w:rPr>
          <w:rFonts w:ascii="Arial" w:hAnsi="Arial" w:cs="Arial"/>
          <w:lang w:val="es-ES_tradnl" w:eastAsia="es-ES"/>
        </w:rPr>
        <w:t xml:space="preserve">. Por esta razón, su análisis tiene un carácter transversal y no se limita a un síntoma en particular. </w:t>
      </w:r>
      <w:r w:rsidRPr="00B609C5">
        <w:rPr>
          <w:rFonts w:ascii="Arial" w:hAnsi="Arial" w:cs="Arial"/>
          <w:lang w:val="es-ES_tradnl" w:eastAsia="es-ES"/>
        </w:rPr>
        <w:t xml:space="preserve">La </w:t>
      </w:r>
      <w:r w:rsidR="00B609C5" w:rsidRPr="00B609C5">
        <w:rPr>
          <w:rFonts w:ascii="Arial" w:hAnsi="Arial" w:cs="Arial"/>
          <w:lang w:val="es-ES_tradnl" w:eastAsia="es-ES"/>
        </w:rPr>
        <w:fldChar w:fldCharType="begin"/>
      </w:r>
      <w:r w:rsidR="00B609C5" w:rsidRPr="00B609C5">
        <w:rPr>
          <w:rFonts w:ascii="Arial" w:hAnsi="Arial" w:cs="Arial"/>
          <w:lang w:val="es-ES_tradnl" w:eastAsia="es-ES"/>
        </w:rPr>
        <w:instrText xml:space="preserve"> REF _Ref235116648 \h  \* MERGEFORMAT </w:instrText>
      </w:r>
      <w:r w:rsidR="00B609C5" w:rsidRPr="00B609C5">
        <w:rPr>
          <w:rFonts w:ascii="Arial" w:hAnsi="Arial" w:cs="Arial"/>
          <w:lang w:val="es-ES_tradnl" w:eastAsia="es-ES"/>
        </w:rPr>
      </w:r>
      <w:r w:rsidR="00B609C5" w:rsidRPr="00B609C5">
        <w:rPr>
          <w:rFonts w:ascii="Arial" w:hAnsi="Arial" w:cs="Arial"/>
          <w:lang w:val="es-ES_tradnl" w:eastAsia="es-ES"/>
        </w:rPr>
        <w:fldChar w:fldCharType="separate"/>
      </w:r>
      <w:r w:rsidR="00B609C5" w:rsidRPr="00B609C5">
        <w:rPr>
          <w:rFonts w:ascii="Arial" w:hAnsi="Arial" w:cs="Arial"/>
        </w:rPr>
        <w:t xml:space="preserve">Tabla </w:t>
      </w:r>
      <w:r w:rsidR="00B609C5" w:rsidRPr="00B609C5">
        <w:rPr>
          <w:rFonts w:ascii="Arial" w:hAnsi="Arial" w:cs="Arial"/>
          <w:noProof/>
        </w:rPr>
        <w:t>15</w:t>
      </w:r>
      <w:r w:rsidR="00B609C5" w:rsidRPr="00B609C5">
        <w:rPr>
          <w:rFonts w:ascii="Arial" w:hAnsi="Arial" w:cs="Arial"/>
          <w:lang w:val="es-ES_tradnl" w:eastAsia="es-ES"/>
        </w:rPr>
        <w:fldChar w:fldCharType="end"/>
      </w:r>
      <w:r w:rsidRPr="009B083A">
        <w:rPr>
          <w:rFonts w:ascii="Arial" w:hAnsi="Arial" w:cs="Arial"/>
          <w:lang w:val="es-ES_tradnl" w:eastAsia="es-ES"/>
        </w:rPr>
        <w:t xml:space="preserve"> resume los principales resultados de esta evaluación</w:t>
      </w:r>
      <w:r w:rsidRPr="00862104">
        <w:rPr>
          <w:rFonts w:ascii="Arial" w:hAnsi="Arial" w:cs="Arial"/>
          <w:lang w:val="es-ES_tradnl" w:eastAsia="es-ES"/>
        </w:rPr>
        <w:t>.</w:t>
      </w:r>
    </w:p>
    <w:p w14:paraId="0E0B1696" w14:textId="5A4AC637" w:rsidR="00153F9B" w:rsidRPr="00B609C5" w:rsidRDefault="00701A80" w:rsidP="00B609C5">
      <w:pPr>
        <w:pStyle w:val="Descripcin"/>
        <w:jc w:val="center"/>
        <w:rPr>
          <w:rFonts w:cs="Arial"/>
          <w:b w:val="0"/>
          <w:szCs w:val="24"/>
        </w:rPr>
      </w:pPr>
      <w:bookmarkStart w:id="205" w:name="_Ref235116648"/>
      <w:bookmarkStart w:id="206" w:name="_Toc235128412"/>
      <w:r w:rsidRPr="00B609C5">
        <w:rPr>
          <w:b w:val="0"/>
          <w:szCs w:val="24"/>
        </w:rPr>
        <w:t xml:space="preserve">Tabla </w:t>
      </w:r>
      <w:r w:rsidR="00B609C5" w:rsidRPr="00B609C5">
        <w:rPr>
          <w:b w:val="0"/>
          <w:bCs/>
          <w:szCs w:val="24"/>
        </w:rPr>
        <w:fldChar w:fldCharType="begin"/>
      </w:r>
      <w:r w:rsidR="00B609C5" w:rsidRPr="00B609C5">
        <w:rPr>
          <w:b w:val="0"/>
          <w:bCs/>
          <w:szCs w:val="24"/>
        </w:rPr>
        <w:instrText xml:space="preserve"> SEQ Tabla \* ARABIC </w:instrText>
      </w:r>
      <w:r w:rsidR="00B609C5" w:rsidRPr="00B609C5">
        <w:rPr>
          <w:b w:val="0"/>
          <w:bCs/>
          <w:szCs w:val="24"/>
        </w:rPr>
        <w:fldChar w:fldCharType="separate"/>
      </w:r>
      <w:r w:rsidR="001C42C8">
        <w:rPr>
          <w:b w:val="0"/>
          <w:bCs/>
          <w:noProof/>
          <w:szCs w:val="24"/>
        </w:rPr>
        <w:t>15</w:t>
      </w:r>
      <w:r w:rsidR="00B609C5" w:rsidRPr="00B609C5">
        <w:rPr>
          <w:b w:val="0"/>
          <w:bCs/>
          <w:szCs w:val="24"/>
        </w:rPr>
        <w:fldChar w:fldCharType="end"/>
      </w:r>
      <w:bookmarkEnd w:id="205"/>
      <w:r w:rsidR="00B609C5" w:rsidRPr="00B609C5">
        <w:rPr>
          <w:b w:val="0"/>
          <w:bCs/>
          <w:szCs w:val="24"/>
        </w:rPr>
        <w:t>.</w:t>
      </w:r>
      <w:r w:rsidRPr="00B609C5">
        <w:rPr>
          <w:b w:val="0"/>
          <w:szCs w:val="24"/>
        </w:rPr>
        <w:t xml:space="preserve"> </w:t>
      </w:r>
      <w:r w:rsidRPr="00B609C5">
        <w:rPr>
          <w:rFonts w:cs="Arial"/>
          <w:b w:val="0"/>
          <w:szCs w:val="24"/>
        </w:rPr>
        <w:t xml:space="preserve">Resultados del análisis de las fallas regulatorias para el eje de </w:t>
      </w:r>
      <w:r w:rsidR="00247123" w:rsidRPr="00B609C5">
        <w:rPr>
          <w:rFonts w:cs="Arial"/>
          <w:b w:val="0"/>
          <w:szCs w:val="24"/>
        </w:rPr>
        <w:t>eficiencia económica en la prestación del servicio</w:t>
      </w:r>
      <w:bookmarkEnd w:id="206"/>
    </w:p>
    <w:tbl>
      <w:tblPr>
        <w:tblStyle w:val="Tablaconcuadrcula"/>
        <w:tblW w:w="0" w:type="auto"/>
        <w:tblLook w:val="04A0" w:firstRow="1" w:lastRow="0" w:firstColumn="1" w:lastColumn="0" w:noHBand="0" w:noVBand="1"/>
      </w:tblPr>
      <w:tblGrid>
        <w:gridCol w:w="1822"/>
        <w:gridCol w:w="1288"/>
        <w:gridCol w:w="6286"/>
      </w:tblGrid>
      <w:tr w:rsidR="005771B6" w:rsidRPr="005771B6" w14:paraId="3B606A7C" w14:textId="77777777" w:rsidTr="003A7C28">
        <w:trPr>
          <w:tblHeader/>
        </w:trPr>
        <w:tc>
          <w:tcPr>
            <w:tcW w:w="0" w:type="auto"/>
            <w:vAlign w:val="center"/>
            <w:hideMark/>
          </w:tcPr>
          <w:p w14:paraId="0D401A62" w14:textId="77777777" w:rsidR="005771B6" w:rsidRPr="005771B6" w:rsidRDefault="005771B6" w:rsidP="00217AB4">
            <w:pPr>
              <w:pStyle w:val="isselectedend"/>
              <w:spacing w:line="360" w:lineRule="auto"/>
              <w:ind w:hanging="1"/>
              <w:jc w:val="center"/>
              <w:rPr>
                <w:rFonts w:cs="Arial"/>
                <w:b/>
                <w:sz w:val="22"/>
                <w:szCs w:val="22"/>
              </w:rPr>
            </w:pPr>
            <w:r w:rsidRPr="00C35ACE">
              <w:rPr>
                <w:rFonts w:ascii="Arial" w:hAnsi="Arial" w:cs="Arial"/>
                <w:b/>
                <w:bCs/>
                <w:sz w:val="20"/>
                <w:szCs w:val="20"/>
              </w:rPr>
              <w:t>Falla regulatoria</w:t>
            </w:r>
          </w:p>
        </w:tc>
        <w:tc>
          <w:tcPr>
            <w:tcW w:w="0" w:type="auto"/>
            <w:vAlign w:val="center"/>
            <w:hideMark/>
          </w:tcPr>
          <w:p w14:paraId="6F40E243" w14:textId="77777777" w:rsidR="005771B6" w:rsidRPr="005771B6" w:rsidRDefault="005771B6" w:rsidP="00217AB4">
            <w:pPr>
              <w:pStyle w:val="isselectedend"/>
              <w:spacing w:line="360" w:lineRule="auto"/>
              <w:ind w:hanging="1"/>
              <w:jc w:val="center"/>
              <w:rPr>
                <w:rFonts w:cs="Arial"/>
                <w:b/>
                <w:sz w:val="22"/>
                <w:szCs w:val="22"/>
              </w:rPr>
            </w:pPr>
            <w:r w:rsidRPr="00C35ACE">
              <w:rPr>
                <w:rFonts w:ascii="Arial" w:hAnsi="Arial" w:cs="Arial"/>
                <w:b/>
                <w:bCs/>
                <w:sz w:val="20"/>
                <w:szCs w:val="20"/>
              </w:rPr>
              <w:t>Evaluación</w:t>
            </w:r>
          </w:p>
        </w:tc>
        <w:tc>
          <w:tcPr>
            <w:tcW w:w="0" w:type="auto"/>
            <w:vAlign w:val="center"/>
            <w:hideMark/>
          </w:tcPr>
          <w:p w14:paraId="27351B2E" w14:textId="77777777" w:rsidR="005771B6" w:rsidRPr="005771B6" w:rsidRDefault="005771B6" w:rsidP="00217AB4">
            <w:pPr>
              <w:pStyle w:val="isselectedend"/>
              <w:spacing w:line="360" w:lineRule="auto"/>
              <w:ind w:hanging="1"/>
              <w:jc w:val="center"/>
              <w:rPr>
                <w:rFonts w:cs="Arial"/>
                <w:b/>
                <w:sz w:val="22"/>
                <w:szCs w:val="22"/>
              </w:rPr>
            </w:pPr>
            <w:r w:rsidRPr="00C35ACE">
              <w:rPr>
                <w:rFonts w:ascii="Arial" w:hAnsi="Arial" w:cs="Arial"/>
                <w:b/>
                <w:bCs/>
                <w:sz w:val="20"/>
                <w:szCs w:val="20"/>
              </w:rPr>
              <w:t>Justificación</w:t>
            </w:r>
          </w:p>
        </w:tc>
      </w:tr>
      <w:tr w:rsidR="005771B6" w:rsidRPr="005771B6" w14:paraId="0534C0FF" w14:textId="77777777" w:rsidTr="00217AB4">
        <w:tc>
          <w:tcPr>
            <w:tcW w:w="0" w:type="auto"/>
            <w:vAlign w:val="center"/>
            <w:hideMark/>
          </w:tcPr>
          <w:p w14:paraId="7CE1E86A" w14:textId="77777777" w:rsidR="005771B6" w:rsidRPr="005771B6" w:rsidRDefault="005771B6" w:rsidP="00C35ACE">
            <w:pPr>
              <w:pStyle w:val="isselectedend"/>
              <w:spacing w:line="360" w:lineRule="auto"/>
              <w:ind w:hanging="1"/>
              <w:rPr>
                <w:rFonts w:cs="Arial"/>
                <w:sz w:val="22"/>
                <w:szCs w:val="22"/>
              </w:rPr>
            </w:pPr>
            <w:r w:rsidRPr="00C35ACE">
              <w:rPr>
                <w:rFonts w:ascii="Arial" w:hAnsi="Arial" w:cs="Arial"/>
                <w:sz w:val="20"/>
                <w:szCs w:val="20"/>
              </w:rPr>
              <w:t>Origen de las normas</w:t>
            </w:r>
          </w:p>
        </w:tc>
        <w:tc>
          <w:tcPr>
            <w:tcW w:w="0" w:type="auto"/>
            <w:vAlign w:val="center"/>
            <w:hideMark/>
          </w:tcPr>
          <w:p w14:paraId="019E34C1" w14:textId="77777777" w:rsidR="005771B6" w:rsidRPr="005771B6" w:rsidRDefault="005771B6" w:rsidP="00C35ACE">
            <w:pPr>
              <w:pStyle w:val="isselectedend"/>
              <w:spacing w:line="360" w:lineRule="auto"/>
              <w:ind w:hanging="1"/>
              <w:jc w:val="center"/>
              <w:rPr>
                <w:rFonts w:cs="Arial"/>
                <w:sz w:val="22"/>
                <w:szCs w:val="22"/>
              </w:rPr>
            </w:pPr>
            <w:r w:rsidRPr="00C35ACE">
              <w:rPr>
                <w:rFonts w:ascii="Segoe UI Emoji" w:hAnsi="Segoe UI Emoji" w:cs="Segoe UI Emoji"/>
                <w:b/>
                <w:bCs/>
                <w:sz w:val="20"/>
                <w:szCs w:val="20"/>
              </w:rPr>
              <w:t>✅</w:t>
            </w:r>
          </w:p>
        </w:tc>
        <w:tc>
          <w:tcPr>
            <w:tcW w:w="0" w:type="auto"/>
            <w:vAlign w:val="center"/>
            <w:hideMark/>
          </w:tcPr>
          <w:p w14:paraId="2D5A8889" w14:textId="6EA84CEB" w:rsidR="005771B6" w:rsidRPr="001D6EB8" w:rsidRDefault="00A74FB8" w:rsidP="001D6EB8">
            <w:pPr>
              <w:pStyle w:val="isselectedend"/>
              <w:spacing w:line="360" w:lineRule="auto"/>
              <w:ind w:hanging="1"/>
              <w:rPr>
                <w:rFonts w:ascii="Arial" w:hAnsi="Arial" w:cs="Arial"/>
                <w:sz w:val="20"/>
                <w:szCs w:val="20"/>
              </w:rPr>
            </w:pPr>
            <w:r w:rsidRPr="001D6EB8">
              <w:rPr>
                <w:rFonts w:ascii="Arial" w:hAnsi="Arial" w:cs="Arial"/>
                <w:sz w:val="20"/>
                <w:szCs w:val="20"/>
              </w:rPr>
              <w:t xml:space="preserve">Las disposiciones regulatorias fueron diseñadas para organizar las actividades de la cadena, promover una prestación eficiente del servicio y establecer incentivos para la eficiencia económica del mercado. Sin embargo, la evolución de la estructura del mercado, las diferencias en la intensidad de la competencia, la participación de los agentes y las condiciones para el desarrollo de infraestructura hacen pertinente evaluar si las problemáticas que </w:t>
            </w:r>
            <w:r w:rsidRPr="001D6EB8">
              <w:rPr>
                <w:rFonts w:ascii="Arial" w:hAnsi="Arial" w:cs="Arial"/>
                <w:sz w:val="20"/>
                <w:szCs w:val="20"/>
              </w:rPr>
              <w:lastRenderedPageBreak/>
              <w:t>dieron origen a estos instrumentos corresponden con las condiciones actualmente observadas en el sector.</w:t>
            </w:r>
          </w:p>
        </w:tc>
      </w:tr>
      <w:tr w:rsidR="005771B6" w:rsidRPr="005771B6" w14:paraId="7F0A92CF" w14:textId="77777777" w:rsidTr="00217AB4">
        <w:tc>
          <w:tcPr>
            <w:tcW w:w="0" w:type="auto"/>
            <w:vAlign w:val="center"/>
            <w:hideMark/>
          </w:tcPr>
          <w:p w14:paraId="53DCB1B7" w14:textId="77777777" w:rsidR="005771B6" w:rsidRPr="005771B6" w:rsidRDefault="005771B6" w:rsidP="00C35ACE">
            <w:pPr>
              <w:pStyle w:val="isselectedend"/>
              <w:spacing w:line="360" w:lineRule="auto"/>
              <w:ind w:hanging="1"/>
              <w:rPr>
                <w:rFonts w:cs="Arial"/>
                <w:sz w:val="22"/>
                <w:szCs w:val="22"/>
              </w:rPr>
            </w:pPr>
            <w:r w:rsidRPr="00C35ACE">
              <w:rPr>
                <w:rFonts w:ascii="Arial" w:hAnsi="Arial" w:cs="Arial"/>
                <w:sz w:val="20"/>
                <w:szCs w:val="20"/>
              </w:rPr>
              <w:t>Implementación</w:t>
            </w:r>
          </w:p>
        </w:tc>
        <w:tc>
          <w:tcPr>
            <w:tcW w:w="0" w:type="auto"/>
            <w:vAlign w:val="center"/>
            <w:hideMark/>
          </w:tcPr>
          <w:p w14:paraId="549AAF14" w14:textId="77777777" w:rsidR="005771B6" w:rsidRPr="005771B6" w:rsidRDefault="005771B6" w:rsidP="00C35ACE">
            <w:pPr>
              <w:pStyle w:val="isselectedend"/>
              <w:spacing w:line="360" w:lineRule="auto"/>
              <w:ind w:hanging="1"/>
              <w:jc w:val="center"/>
              <w:rPr>
                <w:rFonts w:cs="Arial"/>
                <w:sz w:val="22"/>
                <w:szCs w:val="22"/>
              </w:rPr>
            </w:pPr>
            <w:r w:rsidRPr="00C35ACE">
              <w:rPr>
                <w:rFonts w:ascii="Cambria Math" w:hAnsi="Cambria Math" w:cs="Cambria Math"/>
                <w:b/>
                <w:bCs/>
                <w:sz w:val="20"/>
                <w:szCs w:val="20"/>
              </w:rPr>
              <w:t>◐</w:t>
            </w:r>
          </w:p>
        </w:tc>
        <w:tc>
          <w:tcPr>
            <w:tcW w:w="0" w:type="auto"/>
            <w:vAlign w:val="center"/>
            <w:hideMark/>
          </w:tcPr>
          <w:p w14:paraId="4D3B8282" w14:textId="6E0C5D5D" w:rsidR="005771B6" w:rsidRPr="001D6EB8" w:rsidRDefault="00E110B4" w:rsidP="001D6EB8">
            <w:pPr>
              <w:pStyle w:val="isselectedend"/>
              <w:spacing w:line="360" w:lineRule="auto"/>
              <w:ind w:hanging="1"/>
              <w:rPr>
                <w:rFonts w:ascii="Arial" w:hAnsi="Arial" w:cs="Arial"/>
                <w:sz w:val="20"/>
                <w:szCs w:val="20"/>
              </w:rPr>
            </w:pPr>
            <w:r w:rsidRPr="00E110B4">
              <w:rPr>
                <w:rFonts w:ascii="Arial" w:hAnsi="Arial" w:cs="Arial"/>
                <w:sz w:val="20"/>
                <w:szCs w:val="20"/>
                <w:lang w:val="es-ES_tradnl"/>
              </w:rPr>
              <w:t>Resulta pertinente evaluar el grado de implementación de las disposiciones regulatorias aplicables a las diferentes actividades de la cadena de prestación del servicio. No obstante, la evidencia recopilada no permite concluir que los síntomas identificados tengan como explicación principal incumplimientos generalizados de la regulación vigente o problemas asociados a su implementación.</w:t>
            </w:r>
          </w:p>
        </w:tc>
      </w:tr>
      <w:tr w:rsidR="005771B6" w:rsidRPr="005771B6" w14:paraId="658D032D" w14:textId="77777777" w:rsidTr="00217AB4">
        <w:tc>
          <w:tcPr>
            <w:tcW w:w="0" w:type="auto"/>
            <w:vAlign w:val="center"/>
            <w:hideMark/>
          </w:tcPr>
          <w:p w14:paraId="53AF0A61" w14:textId="77777777" w:rsidR="005771B6" w:rsidRPr="005771B6" w:rsidRDefault="005771B6" w:rsidP="00C35ACE">
            <w:pPr>
              <w:pStyle w:val="isselectedend"/>
              <w:spacing w:line="360" w:lineRule="auto"/>
              <w:ind w:hanging="1"/>
              <w:rPr>
                <w:rFonts w:cs="Arial"/>
                <w:sz w:val="22"/>
                <w:szCs w:val="22"/>
              </w:rPr>
            </w:pPr>
            <w:r w:rsidRPr="00C35ACE">
              <w:rPr>
                <w:rFonts w:ascii="Arial" w:hAnsi="Arial" w:cs="Arial"/>
                <w:sz w:val="20"/>
                <w:szCs w:val="20"/>
              </w:rPr>
              <w:t>Adecuación de las normas</w:t>
            </w:r>
          </w:p>
        </w:tc>
        <w:tc>
          <w:tcPr>
            <w:tcW w:w="0" w:type="auto"/>
            <w:vAlign w:val="center"/>
            <w:hideMark/>
          </w:tcPr>
          <w:p w14:paraId="7D2E1CC0" w14:textId="77777777" w:rsidR="005771B6" w:rsidRPr="005771B6" w:rsidRDefault="005771B6" w:rsidP="00C35ACE">
            <w:pPr>
              <w:pStyle w:val="isselectedend"/>
              <w:spacing w:line="360" w:lineRule="auto"/>
              <w:ind w:hanging="1"/>
              <w:jc w:val="center"/>
              <w:rPr>
                <w:rFonts w:cs="Arial"/>
                <w:sz w:val="22"/>
                <w:szCs w:val="22"/>
              </w:rPr>
            </w:pPr>
            <w:r w:rsidRPr="00C35ACE">
              <w:rPr>
                <w:rFonts w:ascii="Segoe UI Emoji" w:hAnsi="Segoe UI Emoji" w:cs="Segoe UI Emoji"/>
                <w:b/>
                <w:bCs/>
                <w:sz w:val="20"/>
                <w:szCs w:val="20"/>
              </w:rPr>
              <w:t>✅</w:t>
            </w:r>
          </w:p>
        </w:tc>
        <w:tc>
          <w:tcPr>
            <w:tcW w:w="0" w:type="auto"/>
            <w:vAlign w:val="center"/>
            <w:hideMark/>
          </w:tcPr>
          <w:p w14:paraId="6D11F911" w14:textId="098CF952" w:rsidR="005771B6" w:rsidRPr="001D6EB8" w:rsidRDefault="00366882" w:rsidP="001D6EB8">
            <w:pPr>
              <w:pStyle w:val="isselectedend"/>
              <w:spacing w:line="360" w:lineRule="auto"/>
              <w:ind w:hanging="1"/>
              <w:rPr>
                <w:rFonts w:ascii="Arial" w:hAnsi="Arial" w:cs="Arial"/>
                <w:sz w:val="20"/>
                <w:szCs w:val="20"/>
              </w:rPr>
            </w:pPr>
            <w:r w:rsidRPr="00366882">
              <w:rPr>
                <w:rFonts w:ascii="Arial" w:hAnsi="Arial" w:cs="Arial"/>
                <w:sz w:val="20"/>
                <w:szCs w:val="20"/>
                <w:lang w:val="es-ES_tradnl"/>
              </w:rPr>
              <w:t>Las diferencias observadas entre actividades, mercados, regiones y modalidades de prestación, así como las condiciones relacionadas con el desarrollo de infraestructura, la gestión de activos y la competencia, justifican evaluar si los instrumentos regulatorios continúan generando incentivos adecuados para promover las eficiencias económicas en la prestación del servicio y responder a las condiciones actuales del mercado.</w:t>
            </w:r>
          </w:p>
        </w:tc>
      </w:tr>
      <w:tr w:rsidR="005771B6" w:rsidRPr="005771B6" w14:paraId="5B06B6C3" w14:textId="77777777" w:rsidTr="00217AB4">
        <w:tc>
          <w:tcPr>
            <w:tcW w:w="0" w:type="auto"/>
            <w:vAlign w:val="center"/>
            <w:hideMark/>
          </w:tcPr>
          <w:p w14:paraId="6DBFB4E1" w14:textId="77777777" w:rsidR="005771B6" w:rsidRPr="005771B6" w:rsidRDefault="005771B6" w:rsidP="00C35ACE">
            <w:pPr>
              <w:pStyle w:val="isselectedend"/>
              <w:spacing w:line="360" w:lineRule="auto"/>
              <w:ind w:hanging="1"/>
              <w:rPr>
                <w:rFonts w:cs="Arial"/>
                <w:sz w:val="22"/>
                <w:szCs w:val="22"/>
              </w:rPr>
            </w:pPr>
            <w:r w:rsidRPr="00C35ACE">
              <w:rPr>
                <w:rFonts w:ascii="Arial" w:hAnsi="Arial" w:cs="Arial"/>
                <w:sz w:val="20"/>
                <w:szCs w:val="20"/>
              </w:rPr>
              <w:t>Oportunidad de la regulación</w:t>
            </w:r>
          </w:p>
        </w:tc>
        <w:tc>
          <w:tcPr>
            <w:tcW w:w="0" w:type="auto"/>
            <w:vAlign w:val="center"/>
            <w:hideMark/>
          </w:tcPr>
          <w:p w14:paraId="6E8B0C47" w14:textId="77777777" w:rsidR="005771B6" w:rsidRPr="005771B6" w:rsidRDefault="005771B6" w:rsidP="00C35ACE">
            <w:pPr>
              <w:pStyle w:val="isselectedend"/>
              <w:spacing w:line="360" w:lineRule="auto"/>
              <w:ind w:hanging="1"/>
              <w:jc w:val="center"/>
              <w:rPr>
                <w:rFonts w:cs="Arial"/>
                <w:sz w:val="22"/>
                <w:szCs w:val="22"/>
              </w:rPr>
            </w:pPr>
            <w:r w:rsidRPr="00C35ACE">
              <w:rPr>
                <w:rFonts w:ascii="Segoe UI Emoji" w:hAnsi="Segoe UI Emoji" w:cs="Segoe UI Emoji"/>
                <w:b/>
                <w:bCs/>
                <w:sz w:val="20"/>
                <w:szCs w:val="20"/>
              </w:rPr>
              <w:t>✅</w:t>
            </w:r>
          </w:p>
        </w:tc>
        <w:tc>
          <w:tcPr>
            <w:tcW w:w="0" w:type="auto"/>
            <w:vAlign w:val="center"/>
            <w:hideMark/>
          </w:tcPr>
          <w:p w14:paraId="6762F966" w14:textId="554031B9" w:rsidR="005771B6" w:rsidRPr="001D6EB8" w:rsidRDefault="00217AB4" w:rsidP="001D6EB8">
            <w:pPr>
              <w:pStyle w:val="isselectedend"/>
              <w:spacing w:line="360" w:lineRule="auto"/>
              <w:ind w:hanging="1"/>
              <w:rPr>
                <w:rFonts w:ascii="Arial" w:hAnsi="Arial" w:cs="Arial"/>
                <w:sz w:val="20"/>
                <w:szCs w:val="20"/>
              </w:rPr>
            </w:pPr>
            <w:r w:rsidRPr="00217AB4">
              <w:rPr>
                <w:rFonts w:ascii="Arial" w:hAnsi="Arial" w:cs="Arial"/>
                <w:sz w:val="20"/>
                <w:szCs w:val="20"/>
                <w:lang w:val="es-ES_tradnl"/>
              </w:rPr>
              <w:t>El presente AIN recopiló evidencia técnica sobre el desarrollo y disponibilidad de infraestructura, la gestión de activos, las condiciones de competencia y la disponibilidad de alternativas para usuarios y agentes, lo que justifica evaluar si los instrumentos regulatorios vigentes continúan siendo los más adecuados para fortalecer las eficiencias económicas en la prestación del servicio público domiciliario de GLP.</w:t>
            </w:r>
          </w:p>
        </w:tc>
      </w:tr>
    </w:tbl>
    <w:p w14:paraId="253234F6" w14:textId="12E68AEC" w:rsidR="00217AB4" w:rsidRPr="00B609C5" w:rsidRDefault="00217AB4" w:rsidP="00B609C5">
      <w:pPr>
        <w:spacing w:before="100" w:beforeAutospacing="1" w:after="100" w:afterAutospacing="1" w:line="360" w:lineRule="auto"/>
        <w:jc w:val="center"/>
        <w:rPr>
          <w:sz w:val="22"/>
          <w:szCs w:val="22"/>
        </w:rPr>
      </w:pPr>
      <w:r>
        <w:rPr>
          <w:rFonts w:cs="Arial"/>
          <w:sz w:val="22"/>
          <w:szCs w:val="22"/>
        </w:rPr>
        <w:t>Elaboración</w:t>
      </w:r>
      <w:r w:rsidR="00B609C5">
        <w:rPr>
          <w:rFonts w:cs="Arial"/>
          <w:sz w:val="22"/>
          <w:szCs w:val="22"/>
        </w:rPr>
        <w:t>: CREG</w:t>
      </w:r>
    </w:p>
    <w:p w14:paraId="174EC73B" w14:textId="77777777" w:rsidR="00E64FB7" w:rsidRPr="00BB46F5" w:rsidRDefault="00E64FB7" w:rsidP="00E64FB7">
      <w:pPr>
        <w:pStyle w:val="NormalWeb"/>
        <w:spacing w:line="360" w:lineRule="auto"/>
        <w:jc w:val="both"/>
        <w:rPr>
          <w:rFonts w:ascii="Arial" w:hAnsi="Arial" w:cs="Arial"/>
          <w:b/>
          <w:bCs/>
          <w:sz w:val="20"/>
          <w:szCs w:val="20"/>
        </w:rPr>
      </w:pPr>
      <w:r w:rsidRPr="00BB46F5">
        <w:rPr>
          <w:rFonts w:ascii="Arial" w:hAnsi="Arial" w:cs="Arial"/>
          <w:b/>
          <w:bCs/>
          <w:sz w:val="20"/>
          <w:szCs w:val="20"/>
        </w:rPr>
        <w:t>Convenciones:</w:t>
      </w:r>
    </w:p>
    <w:p w14:paraId="708DE912" w14:textId="77777777" w:rsidR="00E64FB7" w:rsidRPr="00BB46F5" w:rsidRDefault="00E64FB7" w:rsidP="00E64FB7">
      <w:pPr>
        <w:pStyle w:val="NormalWeb"/>
        <w:spacing w:line="360" w:lineRule="auto"/>
        <w:ind w:left="720"/>
        <w:jc w:val="both"/>
        <w:rPr>
          <w:rFonts w:ascii="Arial" w:hAnsi="Arial" w:cs="Arial"/>
          <w:sz w:val="20"/>
          <w:szCs w:val="20"/>
        </w:rPr>
      </w:pPr>
      <w:r w:rsidRPr="00BB46F5">
        <w:rPr>
          <w:rFonts w:ascii="Segoe UI Emoji" w:hAnsi="Segoe UI Emoji" w:cs="Segoe UI Emoji"/>
          <w:b/>
          <w:bCs/>
          <w:sz w:val="20"/>
          <w:szCs w:val="20"/>
        </w:rPr>
        <w:t>✅</w:t>
      </w:r>
      <w:r w:rsidRPr="00BB46F5">
        <w:rPr>
          <w:rFonts w:ascii="Arial" w:hAnsi="Arial" w:cs="Arial"/>
          <w:b/>
          <w:bCs/>
          <w:sz w:val="20"/>
          <w:szCs w:val="20"/>
        </w:rPr>
        <w:t xml:space="preserve"> </w:t>
      </w:r>
      <w:r w:rsidRPr="005768C1">
        <w:rPr>
          <w:rFonts w:ascii="Arial" w:hAnsi="Arial" w:cs="Arial"/>
          <w:sz w:val="20"/>
          <w:szCs w:val="20"/>
        </w:rPr>
        <w:t>Se identifica evidencia suficiente para considerar la existencia de la falla regulatoria o justificar su evaluación.</w:t>
      </w:r>
      <w:r w:rsidRPr="00BB46F5">
        <w:rPr>
          <w:rFonts w:ascii="Arial" w:hAnsi="Arial" w:cs="Arial"/>
          <w:sz w:val="20"/>
          <w:szCs w:val="20"/>
        </w:rPr>
        <w:t xml:space="preserve"> </w:t>
      </w:r>
    </w:p>
    <w:p w14:paraId="0F3357D2" w14:textId="77777777" w:rsidR="00E64FB7" w:rsidRPr="005768C1" w:rsidRDefault="00E64FB7" w:rsidP="00E64FB7">
      <w:pPr>
        <w:pStyle w:val="NormalWeb"/>
        <w:spacing w:line="360" w:lineRule="auto"/>
        <w:ind w:left="720"/>
        <w:jc w:val="both"/>
        <w:rPr>
          <w:rFonts w:ascii="Arial" w:hAnsi="Arial" w:cs="Arial"/>
          <w:sz w:val="20"/>
          <w:szCs w:val="20"/>
        </w:rPr>
      </w:pPr>
      <w:r w:rsidRPr="005768C1">
        <w:rPr>
          <w:rFonts w:ascii="Cambria Math" w:hAnsi="Cambria Math" w:cs="Cambria Math"/>
          <w:sz w:val="20"/>
          <w:szCs w:val="20"/>
        </w:rPr>
        <w:t>◐</w:t>
      </w:r>
      <w:r w:rsidRPr="005768C1">
        <w:rPr>
          <w:rFonts w:ascii="Arial" w:hAnsi="Arial" w:cs="Arial"/>
          <w:sz w:val="20"/>
          <w:szCs w:val="20"/>
        </w:rPr>
        <w:t xml:space="preserve"> Se identifican elementos que justifican su revisión, aunque la evidencia disponible no permite concluir que constituya la explicación principal del problema. </w:t>
      </w:r>
    </w:p>
    <w:p w14:paraId="0BD30BC2" w14:textId="3FBCC591" w:rsidR="00C07E73" w:rsidRPr="005771B6" w:rsidRDefault="00E64FB7" w:rsidP="005F366E">
      <w:pPr>
        <w:spacing w:before="100" w:beforeAutospacing="1" w:after="100" w:afterAutospacing="1" w:line="360" w:lineRule="auto"/>
        <w:ind w:firstLine="708"/>
        <w:rPr>
          <w:rFonts w:cs="Arial"/>
          <w:szCs w:val="24"/>
          <w:lang w:val="es-CO"/>
        </w:rPr>
      </w:pPr>
      <w:r w:rsidRPr="005768C1">
        <w:rPr>
          <w:rFonts w:ascii="Segoe UI Emoji" w:hAnsi="Segoe UI Emoji" w:cs="Segoe UI Emoji"/>
          <w:sz w:val="20"/>
        </w:rPr>
        <w:t>❌</w:t>
      </w:r>
      <w:r w:rsidRPr="005768C1">
        <w:rPr>
          <w:rFonts w:cs="Arial"/>
          <w:sz w:val="20"/>
        </w:rPr>
        <w:t xml:space="preserve"> No se identifica evidencia que permita considerar la existencia de la falla regulatoria.</w:t>
      </w:r>
      <w:r w:rsidR="005B081A">
        <w:rPr>
          <w:rFonts w:cs="Arial"/>
          <w:szCs w:val="24"/>
          <w:lang w:val="es-CO"/>
        </w:rPr>
        <w:tab/>
      </w:r>
    </w:p>
    <w:p w14:paraId="7A62AE7D" w14:textId="3BE87BB4" w:rsidR="0088134F" w:rsidRDefault="00D71AC9" w:rsidP="002F1961">
      <w:pPr>
        <w:spacing w:before="100" w:beforeAutospacing="1" w:after="100" w:afterAutospacing="1" w:line="360" w:lineRule="auto"/>
        <w:rPr>
          <w:rFonts w:cs="Arial"/>
          <w:szCs w:val="24"/>
        </w:rPr>
      </w:pPr>
      <w:r w:rsidRPr="00D71AC9">
        <w:rPr>
          <w:rFonts w:cs="Arial"/>
          <w:szCs w:val="24"/>
        </w:rPr>
        <w:lastRenderedPageBreak/>
        <w:t xml:space="preserve">En conjunto, el análisis desarrollado evidencia que los tres ejes temáticos responden a dinámicas de mercado diferentes y, por tanto, a fallas de mercado distintas. No obstante, desde la perspectiva regulatoria, los resultados convergen en una conclusión común: la necesidad de evaluar si el marco regulatorio vigente continúa siendo adecuado para responder a las condiciones actuales del sector. </w:t>
      </w:r>
      <w:r w:rsidRPr="008E2E8C">
        <w:rPr>
          <w:rFonts w:cs="Arial"/>
          <w:szCs w:val="24"/>
        </w:rPr>
        <w:t xml:space="preserve">La </w:t>
      </w:r>
      <w:r w:rsidR="008E2E8C" w:rsidRPr="008E2E8C">
        <w:rPr>
          <w:rFonts w:cs="Arial"/>
          <w:szCs w:val="24"/>
        </w:rPr>
        <w:fldChar w:fldCharType="begin"/>
      </w:r>
      <w:r w:rsidR="008E2E8C" w:rsidRPr="008E2E8C">
        <w:rPr>
          <w:rFonts w:cs="Arial"/>
          <w:szCs w:val="24"/>
        </w:rPr>
        <w:instrText xml:space="preserve"> REF _Ref235116738 \h  \* MERGEFORMAT </w:instrText>
      </w:r>
      <w:r w:rsidR="008E2E8C" w:rsidRPr="008E2E8C">
        <w:rPr>
          <w:rFonts w:cs="Arial"/>
          <w:szCs w:val="24"/>
        </w:rPr>
      </w:r>
      <w:r w:rsidR="008E2E8C" w:rsidRPr="008E2E8C">
        <w:rPr>
          <w:rFonts w:cs="Arial"/>
          <w:szCs w:val="24"/>
        </w:rPr>
        <w:fldChar w:fldCharType="separate"/>
      </w:r>
      <w:r w:rsidR="008E2E8C" w:rsidRPr="008E2E8C">
        <w:t xml:space="preserve">Tabla </w:t>
      </w:r>
      <w:r w:rsidR="008E2E8C" w:rsidRPr="008E2E8C">
        <w:rPr>
          <w:noProof/>
        </w:rPr>
        <w:t>16</w:t>
      </w:r>
      <w:r w:rsidR="008E2E8C" w:rsidRPr="008E2E8C">
        <w:rPr>
          <w:rFonts w:cs="Arial"/>
          <w:szCs w:val="24"/>
        </w:rPr>
        <w:fldChar w:fldCharType="end"/>
      </w:r>
      <w:r w:rsidRPr="00D71AC9">
        <w:rPr>
          <w:rFonts w:cs="Arial"/>
          <w:szCs w:val="24"/>
        </w:rPr>
        <w:t xml:space="preserve"> resume, para cada eje temático, la principal falla de mercado identificada y el aspecto regulatorio que constituye la principal justificación para evaluar una eventual intervención regulatoria.</w:t>
      </w:r>
    </w:p>
    <w:p w14:paraId="61C9C68A" w14:textId="7B1664D8" w:rsidR="00631C3C" w:rsidRPr="008E2E8C" w:rsidRDefault="0093239E" w:rsidP="008E2E8C">
      <w:pPr>
        <w:pStyle w:val="Descripcin"/>
        <w:jc w:val="center"/>
        <w:rPr>
          <w:rFonts w:cs="Arial"/>
          <w:b w:val="0"/>
          <w:sz w:val="32"/>
          <w:szCs w:val="32"/>
          <w:lang w:val="es-ES"/>
        </w:rPr>
      </w:pPr>
      <w:bookmarkStart w:id="207" w:name="_Ref235116738"/>
      <w:bookmarkStart w:id="208" w:name="_Toc235128413"/>
      <w:r w:rsidRPr="008E2E8C">
        <w:rPr>
          <w:b w:val="0"/>
        </w:rPr>
        <w:t xml:space="preserve">Tabla </w:t>
      </w:r>
      <w:r w:rsidR="008E2E8C" w:rsidRPr="008E2E8C">
        <w:rPr>
          <w:b w:val="0"/>
          <w:bCs/>
        </w:rPr>
        <w:fldChar w:fldCharType="begin"/>
      </w:r>
      <w:r w:rsidR="008E2E8C" w:rsidRPr="008E2E8C">
        <w:rPr>
          <w:b w:val="0"/>
          <w:bCs/>
        </w:rPr>
        <w:instrText xml:space="preserve"> SEQ Tabla \* ARABIC </w:instrText>
      </w:r>
      <w:r w:rsidR="008E2E8C" w:rsidRPr="008E2E8C">
        <w:rPr>
          <w:b w:val="0"/>
          <w:bCs/>
        </w:rPr>
        <w:fldChar w:fldCharType="separate"/>
      </w:r>
      <w:r w:rsidR="001C42C8">
        <w:rPr>
          <w:b w:val="0"/>
          <w:bCs/>
          <w:noProof/>
        </w:rPr>
        <w:t>16</w:t>
      </w:r>
      <w:r w:rsidR="008E2E8C" w:rsidRPr="008E2E8C">
        <w:rPr>
          <w:b w:val="0"/>
          <w:bCs/>
        </w:rPr>
        <w:fldChar w:fldCharType="end"/>
      </w:r>
      <w:bookmarkEnd w:id="207"/>
      <w:r w:rsidR="008E2E8C" w:rsidRPr="008E2E8C">
        <w:rPr>
          <w:b w:val="0"/>
          <w:bCs/>
        </w:rPr>
        <w:t>.</w:t>
      </w:r>
      <w:r w:rsidRPr="008E2E8C">
        <w:rPr>
          <w:b w:val="0"/>
        </w:rPr>
        <w:t xml:space="preserve"> </w:t>
      </w:r>
      <w:r w:rsidRPr="008E2E8C">
        <w:rPr>
          <w:rFonts w:cs="Arial"/>
          <w:b w:val="0"/>
          <w:szCs w:val="24"/>
        </w:rPr>
        <w:t>S</w:t>
      </w:r>
      <w:r w:rsidRPr="008E2E8C">
        <w:rPr>
          <w:rFonts w:cs="Arial"/>
          <w:b w:val="0"/>
          <w:szCs w:val="24"/>
        </w:rPr>
        <w:t>íntesis de las principales fallas de mercado y de la evaluación regulatoria por eje temático.</w:t>
      </w:r>
      <w:bookmarkEnd w:id="208"/>
    </w:p>
    <w:tbl>
      <w:tblPr>
        <w:tblStyle w:val="Tablaconcuadrcula"/>
        <w:tblW w:w="0" w:type="auto"/>
        <w:tblLook w:val="04A0" w:firstRow="1" w:lastRow="0" w:firstColumn="1" w:lastColumn="0" w:noHBand="0" w:noVBand="1"/>
      </w:tblPr>
      <w:tblGrid>
        <w:gridCol w:w="3314"/>
        <w:gridCol w:w="2559"/>
        <w:gridCol w:w="3523"/>
      </w:tblGrid>
      <w:tr w:rsidR="00CE3564" w:rsidRPr="0093239E" w14:paraId="048C0ADC" w14:textId="77777777" w:rsidTr="0093239E">
        <w:trPr>
          <w:tblHeader/>
        </w:trPr>
        <w:tc>
          <w:tcPr>
            <w:tcW w:w="0" w:type="auto"/>
            <w:vAlign w:val="center"/>
            <w:hideMark/>
          </w:tcPr>
          <w:p w14:paraId="100DAD57" w14:textId="77777777" w:rsidR="00CE3564" w:rsidRPr="0093239E" w:rsidRDefault="00CE3564" w:rsidP="0093239E">
            <w:pPr>
              <w:spacing w:before="100" w:beforeAutospacing="1" w:after="100" w:afterAutospacing="1" w:line="360" w:lineRule="auto"/>
              <w:jc w:val="center"/>
              <w:rPr>
                <w:rFonts w:cs="Arial"/>
                <w:b/>
                <w:bCs/>
                <w:sz w:val="20"/>
                <w:szCs w:val="20"/>
                <w:lang w:val="es-CO"/>
              </w:rPr>
            </w:pPr>
            <w:r w:rsidRPr="0093239E">
              <w:rPr>
                <w:rFonts w:cs="Arial"/>
                <w:b/>
                <w:bCs/>
                <w:sz w:val="20"/>
                <w:szCs w:val="20"/>
                <w:lang w:val="es-CO"/>
              </w:rPr>
              <w:t>Eje temático</w:t>
            </w:r>
          </w:p>
        </w:tc>
        <w:tc>
          <w:tcPr>
            <w:tcW w:w="0" w:type="auto"/>
            <w:vAlign w:val="center"/>
            <w:hideMark/>
          </w:tcPr>
          <w:p w14:paraId="77BF904F" w14:textId="77777777" w:rsidR="00CE3564" w:rsidRPr="0093239E" w:rsidRDefault="00CE3564" w:rsidP="0093239E">
            <w:pPr>
              <w:spacing w:before="100" w:beforeAutospacing="1" w:after="100" w:afterAutospacing="1" w:line="360" w:lineRule="auto"/>
              <w:jc w:val="center"/>
              <w:rPr>
                <w:rFonts w:cs="Arial"/>
                <w:b/>
                <w:bCs/>
                <w:sz w:val="20"/>
                <w:szCs w:val="20"/>
                <w:lang w:val="es-CO"/>
              </w:rPr>
            </w:pPr>
            <w:r w:rsidRPr="0093239E">
              <w:rPr>
                <w:rFonts w:cs="Arial"/>
                <w:b/>
                <w:bCs/>
                <w:sz w:val="20"/>
                <w:szCs w:val="20"/>
                <w:lang w:val="es-CO"/>
              </w:rPr>
              <w:t>Falla de mercado predominante</w:t>
            </w:r>
          </w:p>
        </w:tc>
        <w:tc>
          <w:tcPr>
            <w:tcW w:w="0" w:type="auto"/>
            <w:vAlign w:val="center"/>
            <w:hideMark/>
          </w:tcPr>
          <w:p w14:paraId="0B101F43" w14:textId="77777777" w:rsidR="00CE3564" w:rsidRPr="0093239E" w:rsidRDefault="00CE3564" w:rsidP="0093239E">
            <w:pPr>
              <w:spacing w:before="100" w:beforeAutospacing="1" w:after="100" w:afterAutospacing="1" w:line="360" w:lineRule="auto"/>
              <w:jc w:val="center"/>
              <w:rPr>
                <w:rFonts w:cs="Arial"/>
                <w:b/>
                <w:bCs/>
                <w:sz w:val="20"/>
                <w:szCs w:val="20"/>
                <w:lang w:val="es-CO"/>
              </w:rPr>
            </w:pPr>
            <w:r w:rsidRPr="0093239E">
              <w:rPr>
                <w:rFonts w:cs="Arial"/>
                <w:b/>
                <w:bCs/>
                <w:sz w:val="20"/>
                <w:szCs w:val="20"/>
                <w:lang w:val="es-CO"/>
              </w:rPr>
              <w:t>Principal aspecto regulatorio objeto de evaluación</w:t>
            </w:r>
          </w:p>
        </w:tc>
      </w:tr>
      <w:tr w:rsidR="00CE3564" w:rsidRPr="0093239E" w14:paraId="3DC5CBC6" w14:textId="77777777" w:rsidTr="00153FCE">
        <w:tc>
          <w:tcPr>
            <w:tcW w:w="0" w:type="auto"/>
            <w:vAlign w:val="center"/>
            <w:hideMark/>
          </w:tcPr>
          <w:p w14:paraId="0B895245" w14:textId="77777777" w:rsidR="00CE3564" w:rsidRPr="0093239E" w:rsidRDefault="00CE3564" w:rsidP="002F1961">
            <w:pPr>
              <w:spacing w:before="100" w:beforeAutospacing="1" w:after="100" w:afterAutospacing="1" w:line="360" w:lineRule="auto"/>
              <w:rPr>
                <w:rFonts w:cs="Arial"/>
                <w:sz w:val="20"/>
                <w:szCs w:val="20"/>
                <w:lang w:val="es-CO"/>
              </w:rPr>
            </w:pPr>
            <w:r w:rsidRPr="0093239E">
              <w:rPr>
                <w:rFonts w:cs="Arial"/>
                <w:sz w:val="20"/>
                <w:szCs w:val="20"/>
                <w:lang w:val="es-CO"/>
              </w:rPr>
              <w:t>Prestación del servicio</w:t>
            </w:r>
          </w:p>
        </w:tc>
        <w:tc>
          <w:tcPr>
            <w:tcW w:w="0" w:type="auto"/>
            <w:vAlign w:val="center"/>
            <w:hideMark/>
          </w:tcPr>
          <w:p w14:paraId="2E25EB52" w14:textId="77777777" w:rsidR="00CE3564" w:rsidRPr="0093239E" w:rsidRDefault="00CE3564" w:rsidP="0093239E">
            <w:pPr>
              <w:spacing w:before="100" w:beforeAutospacing="1" w:after="100" w:afterAutospacing="1" w:line="360" w:lineRule="auto"/>
              <w:jc w:val="center"/>
              <w:rPr>
                <w:rFonts w:cs="Arial"/>
                <w:sz w:val="20"/>
                <w:szCs w:val="20"/>
                <w:lang w:val="es-CO"/>
              </w:rPr>
            </w:pPr>
            <w:r w:rsidRPr="0093239E">
              <w:rPr>
                <w:rFonts w:cs="Arial"/>
                <w:sz w:val="20"/>
                <w:szCs w:val="20"/>
                <w:lang w:val="es-CO"/>
              </w:rPr>
              <w:t>Asimetría de información</w:t>
            </w:r>
          </w:p>
        </w:tc>
        <w:tc>
          <w:tcPr>
            <w:tcW w:w="0" w:type="auto"/>
            <w:vAlign w:val="center"/>
            <w:hideMark/>
          </w:tcPr>
          <w:p w14:paraId="7FC182D9" w14:textId="77777777" w:rsidR="00CE3564" w:rsidRPr="0093239E" w:rsidRDefault="00CE3564" w:rsidP="0093239E">
            <w:pPr>
              <w:spacing w:before="100" w:beforeAutospacing="1" w:after="100" w:afterAutospacing="1" w:line="360" w:lineRule="auto"/>
              <w:jc w:val="center"/>
              <w:rPr>
                <w:rFonts w:cs="Arial"/>
                <w:sz w:val="20"/>
                <w:szCs w:val="20"/>
                <w:lang w:val="es-CO"/>
              </w:rPr>
            </w:pPr>
            <w:r w:rsidRPr="0093239E">
              <w:rPr>
                <w:rFonts w:cs="Arial"/>
                <w:sz w:val="20"/>
                <w:szCs w:val="20"/>
                <w:lang w:val="es-CO"/>
              </w:rPr>
              <w:t>Adecuación de las normas</w:t>
            </w:r>
          </w:p>
        </w:tc>
      </w:tr>
      <w:tr w:rsidR="00CE3564" w:rsidRPr="0093239E" w14:paraId="465D38FA" w14:textId="77777777" w:rsidTr="00153FCE">
        <w:tc>
          <w:tcPr>
            <w:tcW w:w="0" w:type="auto"/>
            <w:vAlign w:val="center"/>
            <w:hideMark/>
          </w:tcPr>
          <w:p w14:paraId="68273807" w14:textId="77777777" w:rsidR="00CE3564" w:rsidRPr="0093239E" w:rsidRDefault="00CE3564" w:rsidP="002F1961">
            <w:pPr>
              <w:spacing w:before="100" w:beforeAutospacing="1" w:after="100" w:afterAutospacing="1" w:line="360" w:lineRule="auto"/>
              <w:rPr>
                <w:rFonts w:cs="Arial"/>
                <w:sz w:val="20"/>
                <w:szCs w:val="20"/>
                <w:lang w:val="es-CO"/>
              </w:rPr>
            </w:pPr>
            <w:r w:rsidRPr="0093239E">
              <w:rPr>
                <w:rFonts w:cs="Arial"/>
                <w:sz w:val="20"/>
                <w:szCs w:val="20"/>
                <w:lang w:val="es-CO"/>
              </w:rPr>
              <w:t>Continuidad y confiabilidad del suministro</w:t>
            </w:r>
          </w:p>
        </w:tc>
        <w:tc>
          <w:tcPr>
            <w:tcW w:w="0" w:type="auto"/>
            <w:vAlign w:val="center"/>
            <w:hideMark/>
          </w:tcPr>
          <w:p w14:paraId="439D6139" w14:textId="77777777" w:rsidR="00CE3564" w:rsidRPr="0093239E" w:rsidRDefault="00CE3564" w:rsidP="0093239E">
            <w:pPr>
              <w:spacing w:before="100" w:beforeAutospacing="1" w:after="100" w:afterAutospacing="1" w:line="360" w:lineRule="auto"/>
              <w:jc w:val="center"/>
              <w:rPr>
                <w:rFonts w:cs="Arial"/>
                <w:sz w:val="20"/>
                <w:szCs w:val="20"/>
                <w:lang w:val="es-CO"/>
              </w:rPr>
            </w:pPr>
            <w:r w:rsidRPr="0093239E">
              <w:rPr>
                <w:rFonts w:cs="Arial"/>
                <w:sz w:val="20"/>
                <w:szCs w:val="20"/>
                <w:lang w:val="es-CO"/>
              </w:rPr>
              <w:t>Externalidades</w:t>
            </w:r>
          </w:p>
        </w:tc>
        <w:tc>
          <w:tcPr>
            <w:tcW w:w="0" w:type="auto"/>
            <w:vAlign w:val="center"/>
            <w:hideMark/>
          </w:tcPr>
          <w:p w14:paraId="07A7AB24" w14:textId="77777777" w:rsidR="00CE3564" w:rsidRPr="0093239E" w:rsidRDefault="00CE3564" w:rsidP="0093239E">
            <w:pPr>
              <w:spacing w:before="100" w:beforeAutospacing="1" w:after="100" w:afterAutospacing="1" w:line="360" w:lineRule="auto"/>
              <w:jc w:val="center"/>
              <w:rPr>
                <w:rFonts w:cs="Arial"/>
                <w:sz w:val="20"/>
                <w:szCs w:val="20"/>
                <w:lang w:val="es-CO"/>
              </w:rPr>
            </w:pPr>
            <w:r w:rsidRPr="0093239E">
              <w:rPr>
                <w:rFonts w:cs="Arial"/>
                <w:sz w:val="20"/>
                <w:szCs w:val="20"/>
                <w:lang w:val="es-CO"/>
              </w:rPr>
              <w:t>Adecuación de las normas</w:t>
            </w:r>
          </w:p>
        </w:tc>
      </w:tr>
      <w:tr w:rsidR="00CE3564" w:rsidRPr="0093239E" w14:paraId="1A78D31B" w14:textId="77777777" w:rsidTr="00153FCE">
        <w:tc>
          <w:tcPr>
            <w:tcW w:w="0" w:type="auto"/>
            <w:vAlign w:val="center"/>
            <w:hideMark/>
          </w:tcPr>
          <w:p w14:paraId="015FB1CE" w14:textId="77777777" w:rsidR="00CE3564" w:rsidRPr="0093239E" w:rsidRDefault="00CE3564" w:rsidP="002F1961">
            <w:pPr>
              <w:spacing w:before="100" w:beforeAutospacing="1" w:after="100" w:afterAutospacing="1" w:line="360" w:lineRule="auto"/>
              <w:rPr>
                <w:rFonts w:cs="Arial"/>
                <w:sz w:val="20"/>
                <w:szCs w:val="20"/>
                <w:lang w:val="es-CO"/>
              </w:rPr>
            </w:pPr>
            <w:r w:rsidRPr="0093239E">
              <w:rPr>
                <w:rFonts w:cs="Arial"/>
                <w:sz w:val="20"/>
                <w:szCs w:val="20"/>
                <w:lang w:val="es-CO"/>
              </w:rPr>
              <w:t>Eficiencia económica de la prestación del servicio</w:t>
            </w:r>
          </w:p>
        </w:tc>
        <w:tc>
          <w:tcPr>
            <w:tcW w:w="0" w:type="auto"/>
            <w:vAlign w:val="center"/>
            <w:hideMark/>
          </w:tcPr>
          <w:p w14:paraId="4F34DD4A" w14:textId="77777777" w:rsidR="00CE3564" w:rsidRPr="0093239E" w:rsidRDefault="00CE3564" w:rsidP="0093239E">
            <w:pPr>
              <w:spacing w:before="100" w:beforeAutospacing="1" w:after="100" w:afterAutospacing="1" w:line="360" w:lineRule="auto"/>
              <w:jc w:val="center"/>
              <w:rPr>
                <w:rFonts w:cs="Arial"/>
                <w:sz w:val="20"/>
                <w:szCs w:val="20"/>
                <w:lang w:val="es-CO"/>
              </w:rPr>
            </w:pPr>
            <w:r w:rsidRPr="0093239E">
              <w:rPr>
                <w:rFonts w:cs="Arial"/>
                <w:sz w:val="20"/>
                <w:szCs w:val="20"/>
                <w:lang w:val="es-CO"/>
              </w:rPr>
              <w:t>Competencia</w:t>
            </w:r>
          </w:p>
        </w:tc>
        <w:tc>
          <w:tcPr>
            <w:tcW w:w="0" w:type="auto"/>
            <w:vAlign w:val="center"/>
            <w:hideMark/>
          </w:tcPr>
          <w:p w14:paraId="3A1A353A" w14:textId="77777777" w:rsidR="00CE3564" w:rsidRPr="0093239E" w:rsidRDefault="00CE3564" w:rsidP="0093239E">
            <w:pPr>
              <w:spacing w:before="100" w:beforeAutospacing="1" w:after="100" w:afterAutospacing="1" w:line="360" w:lineRule="auto"/>
              <w:jc w:val="center"/>
              <w:rPr>
                <w:rFonts w:cs="Arial"/>
                <w:sz w:val="20"/>
                <w:szCs w:val="20"/>
                <w:lang w:val="es-CO"/>
              </w:rPr>
            </w:pPr>
            <w:r w:rsidRPr="0093239E">
              <w:rPr>
                <w:rFonts w:cs="Arial"/>
                <w:sz w:val="20"/>
                <w:szCs w:val="20"/>
                <w:lang w:val="es-CO"/>
              </w:rPr>
              <w:t>Adecuación de las normas</w:t>
            </w:r>
          </w:p>
        </w:tc>
      </w:tr>
    </w:tbl>
    <w:p w14:paraId="5F7AFE0F" w14:textId="6EFB7303" w:rsidR="00C45CD8" w:rsidRPr="008E2E8C" w:rsidRDefault="00C45CD8" w:rsidP="008E2E8C">
      <w:pPr>
        <w:spacing w:before="100" w:beforeAutospacing="1" w:after="100" w:afterAutospacing="1" w:line="360" w:lineRule="auto"/>
        <w:jc w:val="center"/>
        <w:rPr>
          <w:sz w:val="22"/>
          <w:szCs w:val="22"/>
        </w:rPr>
      </w:pPr>
      <w:r w:rsidRPr="008E2E8C">
        <w:rPr>
          <w:rFonts w:cs="Arial"/>
          <w:sz w:val="22"/>
          <w:szCs w:val="22"/>
        </w:rPr>
        <w:t>Elaboración</w:t>
      </w:r>
      <w:r w:rsidR="008E2E8C" w:rsidRPr="008E2E8C">
        <w:rPr>
          <w:rFonts w:cs="Arial"/>
          <w:sz w:val="22"/>
          <w:szCs w:val="22"/>
        </w:rPr>
        <w:t>: CREG</w:t>
      </w:r>
    </w:p>
    <w:p w14:paraId="0523EE63" w14:textId="6F71D5F1" w:rsidR="0045454D" w:rsidRPr="00F51D96" w:rsidRDefault="00D77829" w:rsidP="008E2E8C">
      <w:pPr>
        <w:pStyle w:val="Ttulo2"/>
        <w:spacing w:before="100" w:beforeAutospacing="1" w:after="100" w:afterAutospacing="1"/>
        <w:ind w:left="709" w:hanging="709"/>
      </w:pPr>
      <w:bookmarkStart w:id="209" w:name="_Toc235128386"/>
      <w:r w:rsidRPr="00F51D96">
        <w:t>Formulación</w:t>
      </w:r>
      <w:r w:rsidR="0045454D" w:rsidRPr="00F51D96">
        <w:t xml:space="preserve"> del problema</w:t>
      </w:r>
      <w:bookmarkEnd w:id="209"/>
    </w:p>
    <w:p w14:paraId="5C3231F2" w14:textId="77777777" w:rsidR="008E4C91" w:rsidRPr="008E4C91" w:rsidRDefault="008E4C91" w:rsidP="008E2E8C">
      <w:pPr>
        <w:spacing w:before="100" w:beforeAutospacing="1" w:after="100" w:afterAutospacing="1" w:line="360" w:lineRule="auto"/>
        <w:rPr>
          <w:rFonts w:cs="Arial"/>
          <w:szCs w:val="24"/>
          <w:lang w:val="es-ES"/>
        </w:rPr>
      </w:pPr>
      <w:r w:rsidRPr="008E4C91">
        <w:rPr>
          <w:rFonts w:cs="Arial"/>
          <w:szCs w:val="24"/>
          <w:lang w:val="es-ES"/>
        </w:rPr>
        <w:t>El presente numeral tiene por objeto profundizar en la definición del problema regulatorio a partir del análisis de las causas y efectos asociados a los riesgos identificados en las secciones anteriores. Para ello, el análisis parte de los síntomas observados y validados durante el diagnóstico, con el propósito de identificar las condiciones estructurales que explican su ocurrencia y los efectos que generan sobre la prestación del servicio, la continuidad y confiabilidad del suministro y las eficiencias económicas en la prestación del servicio.</w:t>
      </w:r>
    </w:p>
    <w:p w14:paraId="0CB2F266" w14:textId="77777777" w:rsidR="008E4C91" w:rsidRPr="008E4C91" w:rsidRDefault="008E4C91" w:rsidP="008E2E8C">
      <w:pPr>
        <w:spacing w:before="100" w:beforeAutospacing="1" w:after="100" w:afterAutospacing="1" w:line="360" w:lineRule="auto"/>
        <w:rPr>
          <w:rFonts w:cs="Arial"/>
          <w:szCs w:val="24"/>
          <w:lang w:val="es-ES"/>
        </w:rPr>
      </w:pPr>
      <w:r w:rsidRPr="008E4C91">
        <w:rPr>
          <w:rFonts w:cs="Arial"/>
          <w:szCs w:val="24"/>
          <w:lang w:val="es-ES"/>
        </w:rPr>
        <w:t xml:space="preserve">Los síntomas identificados para cada uno de los tres riesgos analizados fueron descritos de manera independiente con el fin de facilitar su comprensión. No obstante, estos presentan relaciones de interdependencia y, en muchos casos, responden a causas </w:t>
      </w:r>
      <w:r w:rsidRPr="008E4C91">
        <w:rPr>
          <w:rFonts w:cs="Arial"/>
          <w:szCs w:val="24"/>
          <w:lang w:val="es-ES"/>
        </w:rPr>
        <w:lastRenderedPageBreak/>
        <w:t>estructurales comunes que afectan simultáneamente diferentes componentes de la cadena de prestación del servicio público domiciliario de GLP.</w:t>
      </w:r>
    </w:p>
    <w:p w14:paraId="41543463" w14:textId="592DD515" w:rsidR="00FB7D94" w:rsidRDefault="008E4C91" w:rsidP="008E2E8C">
      <w:pPr>
        <w:spacing w:before="100" w:beforeAutospacing="1" w:after="100" w:afterAutospacing="1" w:line="360" w:lineRule="auto"/>
        <w:rPr>
          <w:rFonts w:cs="Arial"/>
          <w:szCs w:val="24"/>
          <w:lang w:val="es-ES"/>
        </w:rPr>
      </w:pPr>
      <w:r w:rsidRPr="008E4C91">
        <w:rPr>
          <w:rFonts w:cs="Arial"/>
          <w:szCs w:val="24"/>
          <w:lang w:val="es-ES"/>
        </w:rPr>
        <w:t xml:space="preserve">En este contexto, </w:t>
      </w:r>
      <w:r w:rsidRPr="00EC58D7">
        <w:rPr>
          <w:rFonts w:cs="Arial"/>
          <w:szCs w:val="24"/>
          <w:lang w:val="es-ES"/>
        </w:rPr>
        <w:t xml:space="preserve">la </w:t>
      </w:r>
      <w:r w:rsidR="00EC58D7" w:rsidRPr="00EC58D7">
        <w:rPr>
          <w:rFonts w:cs="Arial"/>
          <w:szCs w:val="24"/>
          <w:lang w:val="es-ES"/>
        </w:rPr>
        <w:fldChar w:fldCharType="begin"/>
      </w:r>
      <w:r w:rsidR="00EC58D7" w:rsidRPr="00EC58D7">
        <w:rPr>
          <w:rFonts w:cs="Arial"/>
          <w:szCs w:val="24"/>
          <w:lang w:val="es-ES"/>
        </w:rPr>
        <w:instrText xml:space="preserve"> REF _Ref235116868 \h  \* MERGEFORMAT </w:instrText>
      </w:r>
      <w:r w:rsidR="00EC58D7" w:rsidRPr="00EC58D7">
        <w:rPr>
          <w:rFonts w:cs="Arial"/>
          <w:szCs w:val="24"/>
          <w:lang w:val="es-ES"/>
        </w:rPr>
      </w:r>
      <w:r w:rsidR="00EC58D7" w:rsidRPr="00EC58D7">
        <w:rPr>
          <w:rFonts w:cs="Arial"/>
          <w:szCs w:val="24"/>
          <w:lang w:val="es-ES"/>
        </w:rPr>
        <w:fldChar w:fldCharType="separate"/>
      </w:r>
      <w:r w:rsidR="00EC58D7" w:rsidRPr="00EC58D7">
        <w:rPr>
          <w:szCs w:val="24"/>
        </w:rPr>
        <w:t xml:space="preserve">Tabla </w:t>
      </w:r>
      <w:r w:rsidR="00EC58D7" w:rsidRPr="00EC58D7">
        <w:rPr>
          <w:noProof/>
          <w:szCs w:val="24"/>
        </w:rPr>
        <w:t>17</w:t>
      </w:r>
      <w:r w:rsidR="00EC58D7" w:rsidRPr="00EC58D7">
        <w:rPr>
          <w:rFonts w:cs="Arial"/>
          <w:szCs w:val="24"/>
          <w:lang w:val="es-ES"/>
        </w:rPr>
        <w:fldChar w:fldCharType="end"/>
      </w:r>
      <w:r w:rsidRPr="008E4C91">
        <w:rPr>
          <w:rFonts w:cs="Arial"/>
          <w:szCs w:val="24"/>
          <w:lang w:val="es-ES"/>
        </w:rPr>
        <w:t xml:space="preserve"> consolida los principales riesgos identificados, los síntomas observados y las posibles fallas de mercado y regulatorias que, de manera preliminar, permiten explicar dichas situaciones. Esta síntesis constituye el punto de partida para la identificación de las causas estructurales y la formulación del problema regulatorio objeto del presente AIN.</w:t>
      </w:r>
    </w:p>
    <w:p w14:paraId="372B3673" w14:textId="430B1199" w:rsidR="00F51D96" w:rsidRPr="00EC58D7" w:rsidRDefault="00F51D96" w:rsidP="00EC58D7">
      <w:pPr>
        <w:pStyle w:val="Descripcin"/>
        <w:jc w:val="center"/>
        <w:rPr>
          <w:rFonts w:cs="Arial"/>
          <w:b w:val="0"/>
          <w:szCs w:val="24"/>
          <w:lang w:val="es-ES"/>
        </w:rPr>
      </w:pPr>
      <w:bookmarkStart w:id="210" w:name="_Ref235116868"/>
      <w:bookmarkStart w:id="211" w:name="_Toc235128414"/>
      <w:r w:rsidRPr="00EC58D7">
        <w:rPr>
          <w:b w:val="0"/>
          <w:szCs w:val="24"/>
        </w:rPr>
        <w:t xml:space="preserve">Tabla </w:t>
      </w:r>
      <w:r w:rsidR="00EC58D7" w:rsidRPr="00EC58D7">
        <w:rPr>
          <w:b w:val="0"/>
          <w:bCs/>
          <w:szCs w:val="24"/>
        </w:rPr>
        <w:fldChar w:fldCharType="begin"/>
      </w:r>
      <w:r w:rsidR="00EC58D7" w:rsidRPr="00EC58D7">
        <w:rPr>
          <w:b w:val="0"/>
          <w:bCs/>
          <w:szCs w:val="24"/>
        </w:rPr>
        <w:instrText xml:space="preserve"> SEQ Tabla \* ARABIC </w:instrText>
      </w:r>
      <w:r w:rsidR="00EC58D7" w:rsidRPr="00EC58D7">
        <w:rPr>
          <w:b w:val="0"/>
          <w:bCs/>
          <w:szCs w:val="24"/>
        </w:rPr>
        <w:fldChar w:fldCharType="separate"/>
      </w:r>
      <w:r w:rsidR="001C42C8">
        <w:rPr>
          <w:b w:val="0"/>
          <w:bCs/>
          <w:noProof/>
          <w:szCs w:val="24"/>
        </w:rPr>
        <w:t>17</w:t>
      </w:r>
      <w:r w:rsidR="00EC58D7" w:rsidRPr="00EC58D7">
        <w:rPr>
          <w:b w:val="0"/>
          <w:bCs/>
          <w:szCs w:val="24"/>
        </w:rPr>
        <w:fldChar w:fldCharType="end"/>
      </w:r>
      <w:bookmarkEnd w:id="210"/>
      <w:r w:rsidR="00EC58D7" w:rsidRPr="00EC58D7">
        <w:rPr>
          <w:b w:val="0"/>
          <w:bCs/>
          <w:szCs w:val="24"/>
        </w:rPr>
        <w:t>.</w:t>
      </w:r>
      <w:r>
        <w:rPr>
          <w:b w:val="0"/>
          <w:szCs w:val="24"/>
        </w:rPr>
        <w:t xml:space="preserve"> </w:t>
      </w:r>
      <w:r w:rsidRPr="00EC58D7">
        <w:rPr>
          <w:rFonts w:cs="Arial"/>
          <w:b w:val="0"/>
          <w:szCs w:val="24"/>
          <w:lang w:val="es-ES"/>
        </w:rPr>
        <w:t>Relación entre los riesgos, síntomas y posibles fallas que justifican el análisis</w:t>
      </w:r>
      <w:bookmarkEnd w:id="211"/>
    </w:p>
    <w:tbl>
      <w:tblPr>
        <w:tblStyle w:val="Tablaconcuadrcula"/>
        <w:tblW w:w="0" w:type="auto"/>
        <w:tblLook w:val="04A0" w:firstRow="1" w:lastRow="0" w:firstColumn="1" w:lastColumn="0" w:noHBand="0" w:noVBand="1"/>
      </w:tblPr>
      <w:tblGrid>
        <w:gridCol w:w="1927"/>
        <w:gridCol w:w="2579"/>
        <w:gridCol w:w="1957"/>
        <w:gridCol w:w="2933"/>
      </w:tblGrid>
      <w:tr w:rsidR="00F51D96" w:rsidRPr="0069057F" w14:paraId="33919929" w14:textId="77777777">
        <w:trPr>
          <w:tblHeader/>
        </w:trPr>
        <w:tc>
          <w:tcPr>
            <w:tcW w:w="0" w:type="auto"/>
            <w:vAlign w:val="center"/>
            <w:hideMark/>
          </w:tcPr>
          <w:p w14:paraId="0FD4AF46" w14:textId="77777777" w:rsidR="00F51D96" w:rsidRPr="0069057F" w:rsidRDefault="00F51D96" w:rsidP="002F1961">
            <w:pPr>
              <w:spacing w:before="100" w:beforeAutospacing="1" w:after="100" w:afterAutospacing="1" w:line="360" w:lineRule="auto"/>
              <w:jc w:val="center"/>
              <w:rPr>
                <w:rFonts w:cs="Arial"/>
                <w:b/>
                <w:bCs/>
                <w:sz w:val="20"/>
                <w:szCs w:val="20"/>
                <w:lang w:val="es-CO"/>
              </w:rPr>
            </w:pPr>
            <w:r w:rsidRPr="0069057F">
              <w:rPr>
                <w:rFonts w:cs="Arial"/>
                <w:b/>
                <w:bCs/>
                <w:sz w:val="20"/>
                <w:szCs w:val="20"/>
                <w:lang w:val="es-CO"/>
              </w:rPr>
              <w:t>Riesgo identificado</w:t>
            </w:r>
          </w:p>
        </w:tc>
        <w:tc>
          <w:tcPr>
            <w:tcW w:w="0" w:type="auto"/>
            <w:vAlign w:val="center"/>
            <w:hideMark/>
          </w:tcPr>
          <w:p w14:paraId="6D54CD92" w14:textId="77777777" w:rsidR="00F51D96" w:rsidRPr="0069057F" w:rsidRDefault="00F51D96" w:rsidP="002F1961">
            <w:pPr>
              <w:spacing w:before="100" w:beforeAutospacing="1" w:after="100" w:afterAutospacing="1" w:line="360" w:lineRule="auto"/>
              <w:jc w:val="center"/>
              <w:rPr>
                <w:rFonts w:cs="Arial"/>
                <w:b/>
                <w:bCs/>
                <w:sz w:val="20"/>
                <w:szCs w:val="20"/>
                <w:lang w:val="es-CO"/>
              </w:rPr>
            </w:pPr>
            <w:r w:rsidRPr="0069057F">
              <w:rPr>
                <w:rFonts w:cs="Arial"/>
                <w:b/>
                <w:bCs/>
                <w:sz w:val="20"/>
                <w:szCs w:val="20"/>
                <w:lang w:val="es-CO"/>
              </w:rPr>
              <w:t>Síntoma observado</w:t>
            </w:r>
          </w:p>
        </w:tc>
        <w:tc>
          <w:tcPr>
            <w:tcW w:w="0" w:type="auto"/>
            <w:vAlign w:val="center"/>
            <w:hideMark/>
          </w:tcPr>
          <w:p w14:paraId="695F3C45" w14:textId="77777777" w:rsidR="00F51D96" w:rsidRPr="0069057F" w:rsidRDefault="00F51D96" w:rsidP="002F1961">
            <w:pPr>
              <w:spacing w:before="100" w:beforeAutospacing="1" w:after="100" w:afterAutospacing="1" w:line="360" w:lineRule="auto"/>
              <w:jc w:val="center"/>
              <w:rPr>
                <w:rFonts w:cs="Arial"/>
                <w:b/>
                <w:bCs/>
                <w:sz w:val="20"/>
                <w:szCs w:val="20"/>
                <w:lang w:val="es-CO"/>
              </w:rPr>
            </w:pPr>
            <w:r w:rsidRPr="0069057F">
              <w:rPr>
                <w:rFonts w:cs="Arial"/>
                <w:b/>
                <w:bCs/>
                <w:sz w:val="20"/>
                <w:szCs w:val="20"/>
                <w:lang w:val="es-CO"/>
              </w:rPr>
              <w:t>Posible falla de mercado</w:t>
            </w:r>
          </w:p>
        </w:tc>
        <w:tc>
          <w:tcPr>
            <w:tcW w:w="0" w:type="auto"/>
            <w:vAlign w:val="center"/>
            <w:hideMark/>
          </w:tcPr>
          <w:p w14:paraId="05980201" w14:textId="77777777" w:rsidR="00F51D96" w:rsidRPr="0069057F" w:rsidRDefault="00F51D96" w:rsidP="002F1961">
            <w:pPr>
              <w:spacing w:before="100" w:beforeAutospacing="1" w:after="100" w:afterAutospacing="1" w:line="360" w:lineRule="auto"/>
              <w:jc w:val="center"/>
              <w:rPr>
                <w:rFonts w:cs="Arial"/>
                <w:b/>
                <w:bCs/>
                <w:sz w:val="20"/>
                <w:szCs w:val="20"/>
                <w:lang w:val="es-CO"/>
              </w:rPr>
            </w:pPr>
            <w:r w:rsidRPr="0069057F">
              <w:rPr>
                <w:rFonts w:cs="Arial"/>
                <w:b/>
                <w:bCs/>
                <w:sz w:val="20"/>
                <w:szCs w:val="20"/>
                <w:lang w:val="es-CO"/>
              </w:rPr>
              <w:t>Posible falla regulatoria</w:t>
            </w:r>
          </w:p>
        </w:tc>
      </w:tr>
      <w:tr w:rsidR="00EA77DE" w:rsidRPr="0069057F" w14:paraId="3486D215" w14:textId="77777777">
        <w:tc>
          <w:tcPr>
            <w:tcW w:w="0" w:type="auto"/>
            <w:vMerge w:val="restart"/>
            <w:vAlign w:val="center"/>
          </w:tcPr>
          <w:p w14:paraId="3298D791" w14:textId="77676C64" w:rsidR="00EA77DE" w:rsidRDefault="00EA77DE" w:rsidP="002F1961">
            <w:pPr>
              <w:spacing w:before="100" w:beforeAutospacing="1" w:after="100" w:afterAutospacing="1" w:line="360" w:lineRule="auto"/>
              <w:jc w:val="left"/>
              <w:rPr>
                <w:rFonts w:cs="Arial"/>
                <w:b/>
                <w:bCs/>
                <w:sz w:val="20"/>
                <w:lang w:val="es-CO"/>
              </w:rPr>
            </w:pPr>
            <w:r>
              <w:rPr>
                <w:rFonts w:cs="Arial"/>
                <w:b/>
                <w:bCs/>
                <w:sz w:val="20"/>
                <w:szCs w:val="20"/>
                <w:lang w:val="es-CO"/>
              </w:rPr>
              <w:t>Deficiencias en</w:t>
            </w:r>
            <w:r w:rsidRPr="0069057F">
              <w:rPr>
                <w:rFonts w:cs="Arial"/>
                <w:b/>
                <w:bCs/>
                <w:sz w:val="20"/>
                <w:szCs w:val="20"/>
                <w:lang w:val="es-CO"/>
              </w:rPr>
              <w:t xml:space="preserve"> la prestación del servicio</w:t>
            </w:r>
          </w:p>
        </w:tc>
        <w:tc>
          <w:tcPr>
            <w:tcW w:w="0" w:type="auto"/>
            <w:vAlign w:val="center"/>
          </w:tcPr>
          <w:p w14:paraId="2C92ACE5" w14:textId="075523B9" w:rsidR="00EA77DE" w:rsidRPr="0069057F" w:rsidRDefault="00EA77DE" w:rsidP="002F1961">
            <w:pPr>
              <w:spacing w:before="100" w:beforeAutospacing="1" w:after="100" w:afterAutospacing="1" w:line="360" w:lineRule="auto"/>
              <w:jc w:val="left"/>
              <w:rPr>
                <w:rFonts w:cs="Arial"/>
                <w:sz w:val="20"/>
                <w:lang w:val="es-CO"/>
              </w:rPr>
            </w:pPr>
            <w:r w:rsidRPr="00EA77DE">
              <w:rPr>
                <w:rFonts w:cs="Arial"/>
                <w:sz w:val="20"/>
                <w:lang w:val="es-CO"/>
              </w:rPr>
              <w:t>Deficiencias en la prestación del servicio en condiciones de calidad y seguridad</w:t>
            </w:r>
          </w:p>
        </w:tc>
        <w:tc>
          <w:tcPr>
            <w:tcW w:w="0" w:type="auto"/>
            <w:vAlign w:val="center"/>
          </w:tcPr>
          <w:p w14:paraId="11FF9128" w14:textId="28800960" w:rsidR="00EA77DE" w:rsidRPr="0069057F" w:rsidRDefault="008622CE" w:rsidP="002F1961">
            <w:pPr>
              <w:spacing w:before="100" w:beforeAutospacing="1" w:after="100" w:afterAutospacing="1" w:line="360" w:lineRule="auto"/>
              <w:jc w:val="left"/>
              <w:rPr>
                <w:rFonts w:cs="Arial"/>
                <w:sz w:val="20"/>
                <w:lang w:val="es-CO"/>
              </w:rPr>
            </w:pPr>
            <w:r w:rsidRPr="008622CE">
              <w:rPr>
                <w:rFonts w:cs="Arial"/>
                <w:sz w:val="20"/>
                <w:lang w:val="es-CO"/>
              </w:rPr>
              <w:t xml:space="preserve">Externalidades </w:t>
            </w:r>
            <w:r>
              <w:rPr>
                <w:rFonts w:cs="Arial"/>
                <w:sz w:val="20"/>
                <w:lang w:val="es-CO"/>
              </w:rPr>
              <w:t>/</w:t>
            </w:r>
            <w:r w:rsidRPr="008622CE">
              <w:rPr>
                <w:rFonts w:cs="Arial"/>
                <w:sz w:val="20"/>
                <w:lang w:val="es-CO"/>
              </w:rPr>
              <w:t xml:space="preserve"> asimetrías de información</w:t>
            </w:r>
          </w:p>
        </w:tc>
        <w:tc>
          <w:tcPr>
            <w:tcW w:w="0" w:type="auto"/>
            <w:vAlign w:val="center"/>
          </w:tcPr>
          <w:p w14:paraId="14705558" w14:textId="30FA2009" w:rsidR="00EA77DE" w:rsidRPr="0069057F" w:rsidRDefault="008622CE" w:rsidP="002F1961">
            <w:pPr>
              <w:spacing w:before="100" w:beforeAutospacing="1" w:after="100" w:afterAutospacing="1" w:line="360" w:lineRule="auto"/>
              <w:jc w:val="left"/>
              <w:rPr>
                <w:rFonts w:cs="Arial"/>
                <w:sz w:val="20"/>
                <w:lang w:val="es-CO"/>
              </w:rPr>
            </w:pPr>
            <w:r w:rsidRPr="008622CE">
              <w:rPr>
                <w:rFonts w:cs="Arial"/>
                <w:sz w:val="20"/>
                <w:lang w:val="es-CO"/>
              </w:rPr>
              <w:t>Regulación insuficiente para responder a las condiciones actuales del mercado y dificultades en su implementación y seguimiento.</w:t>
            </w:r>
          </w:p>
        </w:tc>
      </w:tr>
      <w:tr w:rsidR="00EA77DE" w:rsidRPr="0069057F" w14:paraId="2B32458E" w14:textId="77777777">
        <w:tc>
          <w:tcPr>
            <w:tcW w:w="0" w:type="auto"/>
            <w:vMerge/>
            <w:vAlign w:val="center"/>
            <w:hideMark/>
          </w:tcPr>
          <w:p w14:paraId="73AD8798" w14:textId="1D79B22E" w:rsidR="00EA77DE" w:rsidRPr="0069057F" w:rsidRDefault="00EA77DE" w:rsidP="002F1961">
            <w:pPr>
              <w:spacing w:before="100" w:beforeAutospacing="1" w:after="100" w:afterAutospacing="1" w:line="360" w:lineRule="auto"/>
              <w:jc w:val="left"/>
              <w:rPr>
                <w:rFonts w:cs="Arial"/>
                <w:sz w:val="20"/>
                <w:szCs w:val="20"/>
                <w:lang w:val="es-CO"/>
              </w:rPr>
            </w:pPr>
          </w:p>
        </w:tc>
        <w:tc>
          <w:tcPr>
            <w:tcW w:w="0" w:type="auto"/>
            <w:vAlign w:val="center"/>
            <w:hideMark/>
          </w:tcPr>
          <w:p w14:paraId="6337B9EB" w14:textId="06451AD0" w:rsidR="00EA77DE" w:rsidRPr="0069057F" w:rsidRDefault="00EA77DE"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 xml:space="preserve">Limitaciones </w:t>
            </w:r>
            <w:r w:rsidR="00E14A2D" w:rsidRPr="00E14A2D">
              <w:rPr>
                <w:rFonts w:cs="Arial"/>
                <w:sz w:val="20"/>
                <w:szCs w:val="20"/>
                <w:lang w:val="es-CO"/>
              </w:rPr>
              <w:t>para hacer seguimiento a la prestación del servicio</w:t>
            </w:r>
          </w:p>
        </w:tc>
        <w:tc>
          <w:tcPr>
            <w:tcW w:w="0" w:type="auto"/>
            <w:vAlign w:val="center"/>
            <w:hideMark/>
          </w:tcPr>
          <w:p w14:paraId="6BE45532" w14:textId="77777777" w:rsidR="00EA77DE" w:rsidRPr="0069057F" w:rsidRDefault="00EA77DE"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Asimetría de información</w:t>
            </w:r>
          </w:p>
        </w:tc>
        <w:tc>
          <w:tcPr>
            <w:tcW w:w="0" w:type="auto"/>
            <w:vAlign w:val="center"/>
            <w:hideMark/>
          </w:tcPr>
          <w:p w14:paraId="31A53D6D" w14:textId="77777777" w:rsidR="00EA77DE" w:rsidRPr="0069057F" w:rsidRDefault="00EA77DE"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Regulación no implementada o con riesgo de incumplimiento</w:t>
            </w:r>
          </w:p>
        </w:tc>
      </w:tr>
      <w:tr w:rsidR="00EA77DE" w:rsidRPr="0069057F" w14:paraId="1B603846" w14:textId="77777777">
        <w:tc>
          <w:tcPr>
            <w:tcW w:w="0" w:type="auto"/>
            <w:vMerge/>
            <w:vAlign w:val="center"/>
            <w:hideMark/>
          </w:tcPr>
          <w:p w14:paraId="42A332F3" w14:textId="77777777" w:rsidR="00EA77DE" w:rsidRPr="0069057F" w:rsidRDefault="00EA77DE" w:rsidP="002F1961">
            <w:pPr>
              <w:spacing w:before="100" w:beforeAutospacing="1" w:after="100" w:afterAutospacing="1" w:line="360" w:lineRule="auto"/>
              <w:jc w:val="left"/>
              <w:rPr>
                <w:rFonts w:cs="Arial"/>
                <w:sz w:val="20"/>
                <w:szCs w:val="20"/>
                <w:lang w:val="es-CO"/>
              </w:rPr>
            </w:pPr>
          </w:p>
        </w:tc>
        <w:tc>
          <w:tcPr>
            <w:tcW w:w="0" w:type="auto"/>
            <w:vAlign w:val="center"/>
            <w:hideMark/>
          </w:tcPr>
          <w:p w14:paraId="09E6705E" w14:textId="7C4EAF5C" w:rsidR="00EA77DE" w:rsidRPr="0069057F" w:rsidRDefault="00EA77DE" w:rsidP="002F1961">
            <w:pPr>
              <w:spacing w:before="100" w:beforeAutospacing="1" w:after="100" w:afterAutospacing="1" w:line="360" w:lineRule="auto"/>
              <w:jc w:val="left"/>
              <w:rPr>
                <w:rFonts w:cs="Arial"/>
                <w:sz w:val="20"/>
                <w:szCs w:val="20"/>
                <w:lang w:val="es-CO"/>
              </w:rPr>
            </w:pPr>
            <w:r w:rsidRPr="00A9709B">
              <w:rPr>
                <w:rFonts w:cs="Arial"/>
                <w:sz w:val="20"/>
                <w:szCs w:val="20"/>
                <w:lang w:val="es-CO"/>
              </w:rPr>
              <w:t>Limitaciones en la disponibilidad de información para los usuarios</w:t>
            </w:r>
          </w:p>
        </w:tc>
        <w:tc>
          <w:tcPr>
            <w:tcW w:w="0" w:type="auto"/>
            <w:vAlign w:val="center"/>
            <w:hideMark/>
          </w:tcPr>
          <w:p w14:paraId="687182B0" w14:textId="77777777" w:rsidR="00EA77DE" w:rsidRPr="0069057F" w:rsidRDefault="00EA77DE"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Asimetría de información</w:t>
            </w:r>
          </w:p>
        </w:tc>
        <w:tc>
          <w:tcPr>
            <w:tcW w:w="0" w:type="auto"/>
            <w:vAlign w:val="center"/>
            <w:hideMark/>
          </w:tcPr>
          <w:p w14:paraId="65AF9125" w14:textId="77777777" w:rsidR="00EA77DE" w:rsidRPr="0069057F" w:rsidRDefault="00EA77DE"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Adecuación de las normas a las condiciones actuales del mercado</w:t>
            </w:r>
          </w:p>
        </w:tc>
      </w:tr>
      <w:tr w:rsidR="00EA77DE" w:rsidRPr="0069057F" w14:paraId="5A30433A" w14:textId="77777777">
        <w:tc>
          <w:tcPr>
            <w:tcW w:w="0" w:type="auto"/>
            <w:vMerge/>
            <w:vAlign w:val="center"/>
            <w:hideMark/>
          </w:tcPr>
          <w:p w14:paraId="555B8442" w14:textId="77777777" w:rsidR="00EA77DE" w:rsidRPr="0069057F" w:rsidRDefault="00EA77DE" w:rsidP="002F1961">
            <w:pPr>
              <w:spacing w:before="100" w:beforeAutospacing="1" w:after="100" w:afterAutospacing="1" w:line="360" w:lineRule="auto"/>
              <w:jc w:val="left"/>
              <w:rPr>
                <w:rFonts w:cs="Arial"/>
                <w:sz w:val="20"/>
                <w:szCs w:val="20"/>
                <w:lang w:val="es-CO"/>
              </w:rPr>
            </w:pPr>
          </w:p>
        </w:tc>
        <w:tc>
          <w:tcPr>
            <w:tcW w:w="0" w:type="auto"/>
            <w:vAlign w:val="center"/>
            <w:hideMark/>
          </w:tcPr>
          <w:p w14:paraId="32EDC5F9" w14:textId="63E41549" w:rsidR="00EA77DE" w:rsidRPr="0069057F" w:rsidRDefault="00EA77DE"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 xml:space="preserve">Limitaciones en los mecanismos de atención </w:t>
            </w:r>
            <w:r w:rsidR="00F4387F">
              <w:rPr>
                <w:rFonts w:cs="Arial"/>
                <w:sz w:val="20"/>
                <w:szCs w:val="20"/>
                <w:lang w:val="es-CO"/>
              </w:rPr>
              <w:t>y protección de usuarios</w:t>
            </w:r>
          </w:p>
        </w:tc>
        <w:tc>
          <w:tcPr>
            <w:tcW w:w="0" w:type="auto"/>
            <w:vAlign w:val="center"/>
            <w:hideMark/>
          </w:tcPr>
          <w:p w14:paraId="66D0ADCF" w14:textId="77777777" w:rsidR="00EA77DE" w:rsidRPr="0069057F" w:rsidRDefault="00EA77DE"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Asimetría de información</w:t>
            </w:r>
          </w:p>
        </w:tc>
        <w:tc>
          <w:tcPr>
            <w:tcW w:w="0" w:type="auto"/>
            <w:vAlign w:val="center"/>
            <w:hideMark/>
          </w:tcPr>
          <w:p w14:paraId="6EA8BB8F" w14:textId="77777777" w:rsidR="00EA77DE" w:rsidRPr="0069057F" w:rsidRDefault="00EA77DE"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Regulación no implementada o con riesgo de incumplimiento</w:t>
            </w:r>
          </w:p>
        </w:tc>
      </w:tr>
      <w:tr w:rsidR="00F51D96" w:rsidRPr="0069057F" w14:paraId="776655C7" w14:textId="77777777">
        <w:tc>
          <w:tcPr>
            <w:tcW w:w="0" w:type="auto"/>
            <w:vMerge w:val="restart"/>
            <w:vAlign w:val="center"/>
            <w:hideMark/>
          </w:tcPr>
          <w:p w14:paraId="02971067" w14:textId="77777777" w:rsidR="00F51D96" w:rsidRPr="0069057F" w:rsidRDefault="00F51D96" w:rsidP="002F1961">
            <w:pPr>
              <w:spacing w:before="100" w:beforeAutospacing="1" w:after="100" w:afterAutospacing="1" w:line="360" w:lineRule="auto"/>
              <w:jc w:val="left"/>
              <w:rPr>
                <w:rFonts w:cs="Arial"/>
                <w:sz w:val="20"/>
                <w:szCs w:val="20"/>
                <w:lang w:val="es-CO"/>
              </w:rPr>
            </w:pPr>
            <w:r>
              <w:rPr>
                <w:rFonts w:cs="Arial"/>
                <w:b/>
                <w:bCs/>
                <w:sz w:val="20"/>
                <w:szCs w:val="20"/>
              </w:rPr>
              <w:t>I</w:t>
            </w:r>
            <w:r w:rsidRPr="009B273B">
              <w:rPr>
                <w:rFonts w:cs="Arial"/>
                <w:b/>
                <w:bCs/>
                <w:sz w:val="20"/>
                <w:szCs w:val="20"/>
              </w:rPr>
              <w:t>nterrupción o limitaciones en el acceso al GLP</w:t>
            </w:r>
          </w:p>
        </w:tc>
        <w:tc>
          <w:tcPr>
            <w:tcW w:w="0" w:type="auto"/>
            <w:vAlign w:val="center"/>
            <w:hideMark/>
          </w:tcPr>
          <w:p w14:paraId="785CF13E" w14:textId="77777777" w:rsidR="00F51D96" w:rsidRPr="0069057F" w:rsidRDefault="00F51D96"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Dependencia de un número limitado de fuentes de abastecimiento</w:t>
            </w:r>
          </w:p>
        </w:tc>
        <w:tc>
          <w:tcPr>
            <w:tcW w:w="0" w:type="auto"/>
            <w:vAlign w:val="center"/>
            <w:hideMark/>
          </w:tcPr>
          <w:p w14:paraId="209FCFB7" w14:textId="77777777" w:rsidR="00F51D96" w:rsidRPr="0069057F" w:rsidRDefault="00F51D96"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Competencia imperfecta</w:t>
            </w:r>
          </w:p>
        </w:tc>
        <w:tc>
          <w:tcPr>
            <w:tcW w:w="0" w:type="auto"/>
            <w:vAlign w:val="center"/>
            <w:hideMark/>
          </w:tcPr>
          <w:p w14:paraId="2DF05129" w14:textId="77777777" w:rsidR="00F51D96" w:rsidRPr="0069057F" w:rsidRDefault="00F51D96"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Adecuación de las normas a las condiciones actuales del mercado</w:t>
            </w:r>
          </w:p>
        </w:tc>
      </w:tr>
      <w:tr w:rsidR="00F51D96" w:rsidRPr="0069057F" w14:paraId="3A557EAB" w14:textId="77777777">
        <w:tc>
          <w:tcPr>
            <w:tcW w:w="0" w:type="auto"/>
            <w:vMerge/>
            <w:vAlign w:val="center"/>
            <w:hideMark/>
          </w:tcPr>
          <w:p w14:paraId="2BF5A2DD" w14:textId="77777777" w:rsidR="00F51D96" w:rsidRPr="0069057F" w:rsidRDefault="00F51D96" w:rsidP="002F1961">
            <w:pPr>
              <w:spacing w:before="100" w:beforeAutospacing="1" w:after="100" w:afterAutospacing="1" w:line="360" w:lineRule="auto"/>
              <w:jc w:val="left"/>
              <w:rPr>
                <w:rFonts w:cs="Arial"/>
                <w:sz w:val="20"/>
                <w:szCs w:val="20"/>
                <w:lang w:val="es-CO"/>
              </w:rPr>
            </w:pPr>
          </w:p>
        </w:tc>
        <w:tc>
          <w:tcPr>
            <w:tcW w:w="0" w:type="auto"/>
            <w:vAlign w:val="center"/>
            <w:hideMark/>
          </w:tcPr>
          <w:p w14:paraId="0975BD99" w14:textId="77777777" w:rsidR="00F51D96" w:rsidRPr="0069057F" w:rsidRDefault="00F51D96"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Exposición del abastecimiento a factores externos</w:t>
            </w:r>
          </w:p>
        </w:tc>
        <w:tc>
          <w:tcPr>
            <w:tcW w:w="0" w:type="auto"/>
            <w:vAlign w:val="center"/>
            <w:hideMark/>
          </w:tcPr>
          <w:p w14:paraId="04F74ABC" w14:textId="77777777" w:rsidR="00F51D96" w:rsidRPr="0069057F" w:rsidRDefault="00F51D96"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Competencia imperfecta</w:t>
            </w:r>
          </w:p>
        </w:tc>
        <w:tc>
          <w:tcPr>
            <w:tcW w:w="0" w:type="auto"/>
            <w:vAlign w:val="center"/>
            <w:hideMark/>
          </w:tcPr>
          <w:p w14:paraId="1DFAD1F6" w14:textId="77777777" w:rsidR="00F51D96" w:rsidRPr="0069057F" w:rsidRDefault="00F51D96"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Adecuación de las normas a las condiciones actuales del mercado</w:t>
            </w:r>
          </w:p>
        </w:tc>
      </w:tr>
      <w:tr w:rsidR="00F51D96" w:rsidRPr="0069057F" w14:paraId="2420F5F2" w14:textId="77777777">
        <w:tc>
          <w:tcPr>
            <w:tcW w:w="0" w:type="auto"/>
            <w:vMerge/>
            <w:vAlign w:val="center"/>
            <w:hideMark/>
          </w:tcPr>
          <w:p w14:paraId="7CE937B7" w14:textId="77777777" w:rsidR="00F51D96" w:rsidRPr="0069057F" w:rsidRDefault="00F51D96" w:rsidP="002F1961">
            <w:pPr>
              <w:spacing w:before="100" w:beforeAutospacing="1" w:after="100" w:afterAutospacing="1" w:line="360" w:lineRule="auto"/>
              <w:jc w:val="left"/>
              <w:rPr>
                <w:rFonts w:cs="Arial"/>
                <w:sz w:val="20"/>
                <w:szCs w:val="20"/>
                <w:lang w:val="es-CO"/>
              </w:rPr>
            </w:pPr>
          </w:p>
        </w:tc>
        <w:tc>
          <w:tcPr>
            <w:tcW w:w="0" w:type="auto"/>
            <w:vAlign w:val="center"/>
            <w:hideMark/>
          </w:tcPr>
          <w:p w14:paraId="1A0B6044" w14:textId="77777777" w:rsidR="00F51D96" w:rsidRPr="0069057F" w:rsidRDefault="00F51D96"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Limitaciones en la capacidad de almacenamiento</w:t>
            </w:r>
          </w:p>
        </w:tc>
        <w:tc>
          <w:tcPr>
            <w:tcW w:w="0" w:type="auto"/>
            <w:vAlign w:val="center"/>
            <w:hideMark/>
          </w:tcPr>
          <w:p w14:paraId="4178E30D" w14:textId="77777777" w:rsidR="00F51D96" w:rsidRPr="0069057F" w:rsidRDefault="00F51D96"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Externalidades</w:t>
            </w:r>
          </w:p>
        </w:tc>
        <w:tc>
          <w:tcPr>
            <w:tcW w:w="0" w:type="auto"/>
            <w:vAlign w:val="center"/>
            <w:hideMark/>
          </w:tcPr>
          <w:p w14:paraId="55AB3519" w14:textId="77777777" w:rsidR="00F51D96" w:rsidRPr="0069057F" w:rsidRDefault="00F51D96"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Oportunidad de la regulación</w:t>
            </w:r>
          </w:p>
        </w:tc>
      </w:tr>
      <w:tr w:rsidR="00F51D96" w:rsidRPr="0069057F" w14:paraId="3F9CC380" w14:textId="77777777">
        <w:tc>
          <w:tcPr>
            <w:tcW w:w="0" w:type="auto"/>
            <w:vMerge/>
            <w:vAlign w:val="center"/>
            <w:hideMark/>
          </w:tcPr>
          <w:p w14:paraId="1F88140A" w14:textId="77777777" w:rsidR="00F51D96" w:rsidRPr="0069057F" w:rsidRDefault="00F51D96" w:rsidP="002F1961">
            <w:pPr>
              <w:spacing w:before="100" w:beforeAutospacing="1" w:after="100" w:afterAutospacing="1" w:line="360" w:lineRule="auto"/>
              <w:jc w:val="left"/>
              <w:rPr>
                <w:rFonts w:cs="Arial"/>
                <w:sz w:val="20"/>
                <w:szCs w:val="20"/>
                <w:lang w:val="es-CO"/>
              </w:rPr>
            </w:pPr>
          </w:p>
        </w:tc>
        <w:tc>
          <w:tcPr>
            <w:tcW w:w="0" w:type="auto"/>
            <w:vAlign w:val="center"/>
            <w:hideMark/>
          </w:tcPr>
          <w:p w14:paraId="42759647" w14:textId="77777777" w:rsidR="00F51D96" w:rsidRPr="0069057F" w:rsidRDefault="00F51D96"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Vulnerabilidad de la infraestructura logística y de transporte</w:t>
            </w:r>
          </w:p>
        </w:tc>
        <w:tc>
          <w:tcPr>
            <w:tcW w:w="0" w:type="auto"/>
            <w:vAlign w:val="center"/>
            <w:hideMark/>
          </w:tcPr>
          <w:p w14:paraId="3413090C" w14:textId="77777777" w:rsidR="00F51D96" w:rsidRPr="0069057F" w:rsidRDefault="00F51D96"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Externalidades</w:t>
            </w:r>
          </w:p>
        </w:tc>
        <w:tc>
          <w:tcPr>
            <w:tcW w:w="0" w:type="auto"/>
            <w:vAlign w:val="center"/>
            <w:hideMark/>
          </w:tcPr>
          <w:p w14:paraId="594ED05F" w14:textId="77777777" w:rsidR="00F51D96" w:rsidRPr="0069057F" w:rsidRDefault="00F51D96"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Adecuación de las normas a las condiciones actuales del mercado</w:t>
            </w:r>
          </w:p>
        </w:tc>
      </w:tr>
      <w:tr w:rsidR="00F51D96" w:rsidRPr="0069057F" w14:paraId="16A88CB7" w14:textId="77777777">
        <w:tc>
          <w:tcPr>
            <w:tcW w:w="0" w:type="auto"/>
            <w:vMerge/>
            <w:vAlign w:val="center"/>
            <w:hideMark/>
          </w:tcPr>
          <w:p w14:paraId="7C04CA0E" w14:textId="77777777" w:rsidR="00F51D96" w:rsidRPr="0069057F" w:rsidRDefault="00F51D96" w:rsidP="002F1961">
            <w:pPr>
              <w:spacing w:before="100" w:beforeAutospacing="1" w:after="100" w:afterAutospacing="1" w:line="360" w:lineRule="auto"/>
              <w:jc w:val="left"/>
              <w:rPr>
                <w:rFonts w:cs="Arial"/>
                <w:sz w:val="20"/>
                <w:szCs w:val="20"/>
                <w:lang w:val="es-CO"/>
              </w:rPr>
            </w:pPr>
          </w:p>
        </w:tc>
        <w:tc>
          <w:tcPr>
            <w:tcW w:w="0" w:type="auto"/>
            <w:vAlign w:val="center"/>
            <w:hideMark/>
          </w:tcPr>
          <w:p w14:paraId="5EC88301" w14:textId="77777777" w:rsidR="00F51D96" w:rsidRPr="0069057F" w:rsidRDefault="00F51D96"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Diferencias regionales en las condiciones de suministro</w:t>
            </w:r>
          </w:p>
        </w:tc>
        <w:tc>
          <w:tcPr>
            <w:tcW w:w="0" w:type="auto"/>
            <w:vAlign w:val="center"/>
            <w:hideMark/>
          </w:tcPr>
          <w:p w14:paraId="4D56AA62" w14:textId="77777777" w:rsidR="00F51D96" w:rsidRPr="0069057F" w:rsidRDefault="00F51D96"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Externalidades</w:t>
            </w:r>
          </w:p>
        </w:tc>
        <w:tc>
          <w:tcPr>
            <w:tcW w:w="0" w:type="auto"/>
            <w:vAlign w:val="center"/>
            <w:hideMark/>
          </w:tcPr>
          <w:p w14:paraId="10D35675" w14:textId="77777777" w:rsidR="00F51D96" w:rsidRPr="0069057F" w:rsidRDefault="00F51D96"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Oportunidad de la regulación</w:t>
            </w:r>
          </w:p>
        </w:tc>
      </w:tr>
      <w:tr w:rsidR="008C7AAC" w:rsidRPr="0069057F" w14:paraId="10011BC5" w14:textId="77777777">
        <w:tc>
          <w:tcPr>
            <w:tcW w:w="0" w:type="auto"/>
            <w:vMerge w:val="restart"/>
            <w:vAlign w:val="center"/>
          </w:tcPr>
          <w:p w14:paraId="14D1CB39" w14:textId="6C4852EA" w:rsidR="008C7AAC" w:rsidRPr="00B119DB" w:rsidRDefault="008C7AAC" w:rsidP="002F1961">
            <w:pPr>
              <w:spacing w:before="100" w:beforeAutospacing="1" w:after="100" w:afterAutospacing="1" w:line="360" w:lineRule="auto"/>
              <w:jc w:val="left"/>
              <w:rPr>
                <w:rFonts w:cs="Arial"/>
                <w:b/>
                <w:bCs/>
                <w:sz w:val="20"/>
              </w:rPr>
            </w:pPr>
            <w:r w:rsidRPr="00B119DB">
              <w:rPr>
                <w:rFonts w:cs="Arial"/>
                <w:b/>
                <w:bCs/>
                <w:sz w:val="20"/>
                <w:szCs w:val="20"/>
              </w:rPr>
              <w:t>Ineficiencias económicas en la prestación del servicio</w:t>
            </w:r>
          </w:p>
        </w:tc>
        <w:tc>
          <w:tcPr>
            <w:tcW w:w="0" w:type="auto"/>
            <w:vAlign w:val="center"/>
          </w:tcPr>
          <w:p w14:paraId="4F6DF3AB" w14:textId="0E4B60C3" w:rsidR="008C7AAC" w:rsidRPr="0069057F" w:rsidRDefault="00BF4D66" w:rsidP="002F1961">
            <w:pPr>
              <w:spacing w:before="100" w:beforeAutospacing="1" w:after="100" w:afterAutospacing="1" w:line="360" w:lineRule="auto"/>
              <w:jc w:val="left"/>
              <w:rPr>
                <w:rFonts w:cs="Arial"/>
                <w:sz w:val="20"/>
                <w:lang w:val="es-CO"/>
              </w:rPr>
            </w:pPr>
            <w:r>
              <w:rPr>
                <w:rFonts w:cs="Arial"/>
                <w:sz w:val="20"/>
                <w:lang w:val="es-CO"/>
              </w:rPr>
              <w:t>Restricciones para el desarrollo</w:t>
            </w:r>
            <w:r w:rsidR="0048563D">
              <w:rPr>
                <w:rFonts w:cs="Arial"/>
                <w:sz w:val="20"/>
                <w:lang w:val="es-CO"/>
              </w:rPr>
              <w:t xml:space="preserve"> </w:t>
            </w:r>
            <w:r>
              <w:rPr>
                <w:rFonts w:cs="Arial"/>
                <w:sz w:val="20"/>
                <w:lang w:val="es-CO"/>
              </w:rPr>
              <w:t xml:space="preserve">y disponibilidad de infraestructura requerida para la prestación </w:t>
            </w:r>
          </w:p>
        </w:tc>
        <w:tc>
          <w:tcPr>
            <w:tcW w:w="0" w:type="auto"/>
            <w:vAlign w:val="center"/>
          </w:tcPr>
          <w:p w14:paraId="4829B62C" w14:textId="6BCF1BD5" w:rsidR="008C7AAC" w:rsidRPr="0069057F" w:rsidRDefault="004F2378" w:rsidP="002F1961">
            <w:pPr>
              <w:spacing w:before="100" w:beforeAutospacing="1" w:after="100" w:afterAutospacing="1" w:line="360" w:lineRule="auto"/>
              <w:jc w:val="left"/>
              <w:rPr>
                <w:rFonts w:cs="Arial"/>
                <w:sz w:val="20"/>
                <w:lang w:val="es-CO"/>
              </w:rPr>
            </w:pPr>
            <w:r w:rsidRPr="004F2378">
              <w:rPr>
                <w:rFonts w:cs="Arial"/>
                <w:sz w:val="20"/>
              </w:rPr>
              <w:t>Externalidades / Competencia imperfecta</w:t>
            </w:r>
          </w:p>
        </w:tc>
        <w:tc>
          <w:tcPr>
            <w:tcW w:w="0" w:type="auto"/>
            <w:vAlign w:val="center"/>
          </w:tcPr>
          <w:p w14:paraId="033E81AA" w14:textId="20260F2E" w:rsidR="008C7AAC" w:rsidRPr="0069057F" w:rsidRDefault="006B1D97" w:rsidP="002F1961">
            <w:pPr>
              <w:spacing w:before="100" w:beforeAutospacing="1" w:after="100" w:afterAutospacing="1" w:line="360" w:lineRule="auto"/>
              <w:jc w:val="left"/>
              <w:rPr>
                <w:rFonts w:cs="Arial"/>
                <w:sz w:val="20"/>
                <w:lang w:val="es-CO"/>
              </w:rPr>
            </w:pPr>
            <w:r w:rsidRPr="006B1D97">
              <w:rPr>
                <w:rFonts w:cs="Arial"/>
                <w:sz w:val="20"/>
              </w:rPr>
              <w:t>Adecuación de las normas a las condiciones actuales del mercado</w:t>
            </w:r>
          </w:p>
        </w:tc>
      </w:tr>
      <w:tr w:rsidR="008C7AAC" w:rsidRPr="0069057F" w14:paraId="64498AD0" w14:textId="77777777">
        <w:tc>
          <w:tcPr>
            <w:tcW w:w="0" w:type="auto"/>
            <w:vMerge/>
            <w:vAlign w:val="center"/>
          </w:tcPr>
          <w:p w14:paraId="449BD4E8" w14:textId="6524CA72" w:rsidR="008C7AAC" w:rsidRPr="00B119DB" w:rsidRDefault="008C7AAC" w:rsidP="002F1961">
            <w:pPr>
              <w:spacing w:before="100" w:beforeAutospacing="1" w:after="100" w:afterAutospacing="1" w:line="360" w:lineRule="auto"/>
              <w:jc w:val="left"/>
              <w:rPr>
                <w:rFonts w:cs="Arial"/>
                <w:b/>
                <w:bCs/>
                <w:sz w:val="20"/>
              </w:rPr>
            </w:pPr>
          </w:p>
        </w:tc>
        <w:tc>
          <w:tcPr>
            <w:tcW w:w="0" w:type="auto"/>
            <w:vAlign w:val="center"/>
          </w:tcPr>
          <w:p w14:paraId="2943B29B" w14:textId="7358A4E4" w:rsidR="008C7AAC" w:rsidRPr="0069057F" w:rsidRDefault="0048563D" w:rsidP="002F1961">
            <w:pPr>
              <w:spacing w:before="100" w:beforeAutospacing="1" w:after="100" w:afterAutospacing="1" w:line="360" w:lineRule="auto"/>
              <w:jc w:val="left"/>
              <w:rPr>
                <w:rFonts w:cs="Arial"/>
                <w:sz w:val="20"/>
                <w:lang w:val="es-CO"/>
              </w:rPr>
            </w:pPr>
            <w:r>
              <w:rPr>
                <w:rFonts w:cs="Arial"/>
                <w:sz w:val="20"/>
                <w:lang w:val="es-CO"/>
              </w:rPr>
              <w:t xml:space="preserve">Dificultades en la gestión </w:t>
            </w:r>
            <w:r w:rsidR="00F82387">
              <w:rPr>
                <w:rFonts w:cs="Arial"/>
                <w:sz w:val="20"/>
                <w:lang w:val="es-CO"/>
              </w:rPr>
              <w:t>y disponibilidad de activos utilizados en la prestación</w:t>
            </w:r>
          </w:p>
        </w:tc>
        <w:tc>
          <w:tcPr>
            <w:tcW w:w="0" w:type="auto"/>
            <w:vAlign w:val="center"/>
          </w:tcPr>
          <w:p w14:paraId="2527B47C" w14:textId="0684AA3F" w:rsidR="008C7AAC" w:rsidRPr="0069057F" w:rsidRDefault="006B1D97" w:rsidP="002F1961">
            <w:pPr>
              <w:spacing w:before="100" w:beforeAutospacing="1" w:after="100" w:afterAutospacing="1" w:line="360" w:lineRule="auto"/>
              <w:jc w:val="left"/>
              <w:rPr>
                <w:rFonts w:cs="Arial"/>
                <w:sz w:val="20"/>
                <w:lang w:val="es-CO"/>
              </w:rPr>
            </w:pPr>
            <w:r w:rsidRPr="006B1D97">
              <w:rPr>
                <w:rFonts w:cs="Arial"/>
                <w:sz w:val="20"/>
              </w:rPr>
              <w:t>Asimetrías de información / Externalidades</w:t>
            </w:r>
          </w:p>
        </w:tc>
        <w:tc>
          <w:tcPr>
            <w:tcW w:w="0" w:type="auto"/>
            <w:vAlign w:val="center"/>
          </w:tcPr>
          <w:p w14:paraId="7F43BA28" w14:textId="3EE2DC31" w:rsidR="008C7AAC" w:rsidRPr="0069057F" w:rsidRDefault="006B1D97" w:rsidP="002F1961">
            <w:pPr>
              <w:spacing w:before="100" w:beforeAutospacing="1" w:after="100" w:afterAutospacing="1" w:line="360" w:lineRule="auto"/>
              <w:jc w:val="left"/>
              <w:rPr>
                <w:rFonts w:cs="Arial"/>
                <w:sz w:val="20"/>
                <w:lang w:val="es-CO"/>
              </w:rPr>
            </w:pPr>
            <w:r w:rsidRPr="006B1D97">
              <w:rPr>
                <w:rFonts w:cs="Arial"/>
                <w:sz w:val="20"/>
              </w:rPr>
              <w:t>Regulación no implementada o con dificultades en su implementación y seguimiento</w:t>
            </w:r>
          </w:p>
        </w:tc>
      </w:tr>
      <w:tr w:rsidR="008C7AAC" w:rsidRPr="0069057F" w14:paraId="68608D0F" w14:textId="77777777">
        <w:tc>
          <w:tcPr>
            <w:tcW w:w="0" w:type="auto"/>
            <w:vMerge/>
            <w:vAlign w:val="center"/>
            <w:hideMark/>
          </w:tcPr>
          <w:p w14:paraId="5B2B0386" w14:textId="3630ABC0" w:rsidR="008C7AAC" w:rsidRPr="0069057F" w:rsidRDefault="008C7AAC" w:rsidP="002F1961">
            <w:pPr>
              <w:spacing w:before="100" w:beforeAutospacing="1" w:after="100" w:afterAutospacing="1" w:line="360" w:lineRule="auto"/>
              <w:jc w:val="left"/>
              <w:rPr>
                <w:rFonts w:cs="Arial"/>
                <w:sz w:val="20"/>
                <w:szCs w:val="20"/>
                <w:lang w:val="es-CO"/>
              </w:rPr>
            </w:pPr>
          </w:p>
        </w:tc>
        <w:tc>
          <w:tcPr>
            <w:tcW w:w="0" w:type="auto"/>
            <w:vAlign w:val="center"/>
            <w:hideMark/>
          </w:tcPr>
          <w:p w14:paraId="1C330A9E" w14:textId="77777777" w:rsidR="008C7AAC" w:rsidRPr="0069057F" w:rsidRDefault="008C7AAC"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Diferencias en la intensidad de la competencia entre mercados</w:t>
            </w:r>
          </w:p>
        </w:tc>
        <w:tc>
          <w:tcPr>
            <w:tcW w:w="0" w:type="auto"/>
            <w:vAlign w:val="center"/>
            <w:hideMark/>
          </w:tcPr>
          <w:p w14:paraId="6D2B0831" w14:textId="77777777" w:rsidR="008C7AAC" w:rsidRPr="0069057F" w:rsidRDefault="008C7AAC"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Competencia imperfecta</w:t>
            </w:r>
          </w:p>
        </w:tc>
        <w:tc>
          <w:tcPr>
            <w:tcW w:w="0" w:type="auto"/>
            <w:vAlign w:val="center"/>
            <w:hideMark/>
          </w:tcPr>
          <w:p w14:paraId="26E633DE" w14:textId="77777777" w:rsidR="008C7AAC" w:rsidRPr="0069057F" w:rsidRDefault="008C7AAC"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Adecuación de las normas a las condiciones actuales del mercado</w:t>
            </w:r>
          </w:p>
        </w:tc>
      </w:tr>
      <w:tr w:rsidR="008C7AAC" w:rsidRPr="0069057F" w14:paraId="7E19C24D" w14:textId="77777777">
        <w:tc>
          <w:tcPr>
            <w:tcW w:w="0" w:type="auto"/>
            <w:vMerge/>
            <w:vAlign w:val="center"/>
            <w:hideMark/>
          </w:tcPr>
          <w:p w14:paraId="5B10683E" w14:textId="77777777" w:rsidR="008C7AAC" w:rsidRPr="0069057F" w:rsidRDefault="008C7AAC" w:rsidP="002F1961">
            <w:pPr>
              <w:spacing w:before="100" w:beforeAutospacing="1" w:after="100" w:afterAutospacing="1" w:line="360" w:lineRule="auto"/>
              <w:jc w:val="left"/>
              <w:rPr>
                <w:rFonts w:cs="Arial"/>
                <w:sz w:val="20"/>
                <w:szCs w:val="20"/>
                <w:lang w:val="es-CO"/>
              </w:rPr>
            </w:pPr>
          </w:p>
        </w:tc>
        <w:tc>
          <w:tcPr>
            <w:tcW w:w="0" w:type="auto"/>
            <w:vAlign w:val="center"/>
            <w:hideMark/>
          </w:tcPr>
          <w:p w14:paraId="1F7BECAA" w14:textId="77777777" w:rsidR="008C7AAC" w:rsidRPr="0069057F" w:rsidRDefault="008C7AAC"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Participación concentrada de agentes en determinados segmentos</w:t>
            </w:r>
          </w:p>
        </w:tc>
        <w:tc>
          <w:tcPr>
            <w:tcW w:w="0" w:type="auto"/>
            <w:vAlign w:val="center"/>
            <w:hideMark/>
          </w:tcPr>
          <w:p w14:paraId="7032FCF0" w14:textId="77777777" w:rsidR="008C7AAC" w:rsidRPr="0069057F" w:rsidRDefault="008C7AAC"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Competencia imperfecta</w:t>
            </w:r>
          </w:p>
        </w:tc>
        <w:tc>
          <w:tcPr>
            <w:tcW w:w="0" w:type="auto"/>
            <w:vAlign w:val="center"/>
            <w:hideMark/>
          </w:tcPr>
          <w:p w14:paraId="6F1E7274" w14:textId="77777777" w:rsidR="008C7AAC" w:rsidRPr="0069057F" w:rsidRDefault="008C7AAC"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Adecuación de las normas a las condiciones actuales del mercado</w:t>
            </w:r>
          </w:p>
        </w:tc>
      </w:tr>
      <w:tr w:rsidR="008C7AAC" w:rsidRPr="0069057F" w14:paraId="6D84E494" w14:textId="77777777">
        <w:tc>
          <w:tcPr>
            <w:tcW w:w="0" w:type="auto"/>
            <w:vMerge/>
            <w:vAlign w:val="center"/>
            <w:hideMark/>
          </w:tcPr>
          <w:p w14:paraId="3D3FEF0C" w14:textId="77777777" w:rsidR="008C7AAC" w:rsidRPr="0069057F" w:rsidRDefault="008C7AAC" w:rsidP="002F1961">
            <w:pPr>
              <w:spacing w:before="100" w:beforeAutospacing="1" w:after="100" w:afterAutospacing="1" w:line="360" w:lineRule="auto"/>
              <w:jc w:val="left"/>
              <w:rPr>
                <w:rFonts w:cs="Arial"/>
                <w:sz w:val="20"/>
                <w:szCs w:val="20"/>
                <w:lang w:val="es-CO"/>
              </w:rPr>
            </w:pPr>
          </w:p>
        </w:tc>
        <w:tc>
          <w:tcPr>
            <w:tcW w:w="0" w:type="auto"/>
            <w:vAlign w:val="center"/>
            <w:hideMark/>
          </w:tcPr>
          <w:p w14:paraId="58C26890" w14:textId="77777777" w:rsidR="008C7AAC" w:rsidRPr="0069057F" w:rsidRDefault="008C7AAC"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Limitada disponibilidad de alternativas para algunos usuarios y agentes</w:t>
            </w:r>
          </w:p>
        </w:tc>
        <w:tc>
          <w:tcPr>
            <w:tcW w:w="0" w:type="auto"/>
            <w:vAlign w:val="center"/>
            <w:hideMark/>
          </w:tcPr>
          <w:p w14:paraId="353247E9" w14:textId="77777777" w:rsidR="008C7AAC" w:rsidRPr="0069057F" w:rsidRDefault="008C7AAC"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Competencia imperfecta / Asimetría de información</w:t>
            </w:r>
          </w:p>
        </w:tc>
        <w:tc>
          <w:tcPr>
            <w:tcW w:w="0" w:type="auto"/>
            <w:vAlign w:val="center"/>
            <w:hideMark/>
          </w:tcPr>
          <w:p w14:paraId="64FD8930" w14:textId="77777777" w:rsidR="008C7AAC" w:rsidRPr="0069057F" w:rsidRDefault="008C7AAC" w:rsidP="002F1961">
            <w:pPr>
              <w:spacing w:before="100" w:beforeAutospacing="1" w:after="100" w:afterAutospacing="1" w:line="360" w:lineRule="auto"/>
              <w:jc w:val="left"/>
              <w:rPr>
                <w:rFonts w:cs="Arial"/>
                <w:sz w:val="20"/>
                <w:szCs w:val="20"/>
                <w:lang w:val="es-CO"/>
              </w:rPr>
            </w:pPr>
            <w:r w:rsidRPr="0069057F">
              <w:rPr>
                <w:rFonts w:cs="Arial"/>
                <w:sz w:val="20"/>
                <w:szCs w:val="20"/>
                <w:lang w:val="es-CO"/>
              </w:rPr>
              <w:t>Adecuación de las normas a las condiciones actuales del mercado</w:t>
            </w:r>
          </w:p>
        </w:tc>
      </w:tr>
    </w:tbl>
    <w:p w14:paraId="1E42026B" w14:textId="11E8EF79" w:rsidR="00F51D96" w:rsidRPr="00EC58D7" w:rsidRDefault="00F51D96" w:rsidP="00EC58D7">
      <w:pPr>
        <w:spacing w:before="100" w:beforeAutospacing="1" w:after="100" w:afterAutospacing="1" w:line="360" w:lineRule="auto"/>
        <w:jc w:val="center"/>
        <w:rPr>
          <w:rFonts w:cs="Arial"/>
          <w:sz w:val="22"/>
          <w:szCs w:val="18"/>
        </w:rPr>
      </w:pPr>
      <w:r w:rsidRPr="00EC58D7">
        <w:rPr>
          <w:rFonts w:cs="Arial"/>
          <w:sz w:val="22"/>
          <w:szCs w:val="18"/>
        </w:rPr>
        <w:t>Elaboración</w:t>
      </w:r>
      <w:r w:rsidR="00EC58D7">
        <w:rPr>
          <w:rFonts w:cs="Arial"/>
          <w:sz w:val="22"/>
          <w:szCs w:val="18"/>
        </w:rPr>
        <w:t>:</w:t>
      </w:r>
      <w:r>
        <w:rPr>
          <w:rFonts w:cs="Arial"/>
          <w:sz w:val="22"/>
          <w:szCs w:val="18"/>
        </w:rPr>
        <w:t xml:space="preserve"> </w:t>
      </w:r>
      <w:r w:rsidRPr="00EC58D7">
        <w:rPr>
          <w:rFonts w:cs="Arial"/>
          <w:sz w:val="22"/>
          <w:szCs w:val="18"/>
        </w:rPr>
        <w:t>CREG</w:t>
      </w:r>
    </w:p>
    <w:p w14:paraId="5BAB2DD4" w14:textId="77777777" w:rsidR="004A4FC9" w:rsidRPr="004A4FC9" w:rsidRDefault="004A4FC9" w:rsidP="00541C3A">
      <w:pPr>
        <w:spacing w:before="100" w:beforeAutospacing="1" w:after="100" w:afterAutospacing="1" w:line="360" w:lineRule="auto"/>
        <w:rPr>
          <w:rFonts w:cs="Arial"/>
          <w:szCs w:val="24"/>
          <w:lang w:val="es-CO"/>
        </w:rPr>
      </w:pPr>
      <w:r w:rsidRPr="004A4FC9">
        <w:rPr>
          <w:rFonts w:cs="Arial"/>
          <w:szCs w:val="24"/>
          <w:lang w:val="es-CO"/>
        </w:rPr>
        <w:t xml:space="preserve">A partir de esta síntesis, el análisis se desarrolla de manera independiente para cada uno de los tres riesgos previamente identificados, con el propósito de establecer las causas </w:t>
      </w:r>
      <w:r w:rsidRPr="004A4FC9">
        <w:rPr>
          <w:rFonts w:cs="Arial"/>
          <w:szCs w:val="24"/>
          <w:lang w:val="es-CO"/>
        </w:rPr>
        <w:lastRenderedPageBreak/>
        <w:t>estructurales que los originan y comprender las relaciones existentes entre los diferentes síntomas observados.</w:t>
      </w:r>
    </w:p>
    <w:p w14:paraId="510A14B4" w14:textId="77777777" w:rsidR="004A4FC9" w:rsidRPr="004A4FC9" w:rsidRDefault="004A4FC9" w:rsidP="00541C3A">
      <w:pPr>
        <w:spacing w:before="100" w:beforeAutospacing="1" w:after="100" w:afterAutospacing="1" w:line="360" w:lineRule="auto"/>
        <w:rPr>
          <w:rFonts w:cs="Arial"/>
          <w:szCs w:val="24"/>
          <w:lang w:val="es-CO"/>
        </w:rPr>
      </w:pPr>
      <w:r w:rsidRPr="004A4FC9">
        <w:rPr>
          <w:rFonts w:cs="Arial"/>
          <w:szCs w:val="24"/>
          <w:lang w:val="es-CO"/>
        </w:rPr>
        <w:t>Las causas identificadas se clasifican, según su naturaleza, en económicas, de mercado, regulatorias, tecnológicas o sociales, con el fin de comprender las diferentes dimensiones que inciden en la materialización de cada riesgo y facilitar la posterior evaluación de alternativas regulatorias. Asimismo, cuando la evidencia técnica demuestra que las causas o sus efectos difieren según la modalidad de prestación del servicio, el análisis distingue entre la distribución mediante cilindros, tanques estacionarios y redes de distribución, reconociendo las particularidades operativas y comerciales propias de cada esquema de prestación.</w:t>
      </w:r>
    </w:p>
    <w:p w14:paraId="0AC90C72" w14:textId="77777777" w:rsidR="004A4FC9" w:rsidRPr="004A4FC9" w:rsidRDefault="004A4FC9" w:rsidP="00541C3A">
      <w:pPr>
        <w:spacing w:before="100" w:beforeAutospacing="1" w:after="100" w:afterAutospacing="1" w:line="360" w:lineRule="auto"/>
        <w:rPr>
          <w:rFonts w:cs="Arial"/>
          <w:szCs w:val="24"/>
          <w:lang w:val="es-CO"/>
        </w:rPr>
      </w:pPr>
      <w:r w:rsidRPr="004A4FC9">
        <w:rPr>
          <w:rFonts w:cs="Arial"/>
          <w:szCs w:val="24"/>
          <w:lang w:val="es-CO"/>
        </w:rPr>
        <w:t>Este enfoque metodológico permite construir un árbol causal coherente para cada uno de los riesgos identificados y establecer la relación existente entre los síntomas observados, las causas estructurales que los originan y los efectos que producen. A partir de este análisis integral será posible formular, en el numeral siguiente, una definición del problema regulatorio que sintetice las condiciones estructurales comunes que justifican una eventual intervención regulatoria por parte de la Comisión.</w:t>
      </w:r>
    </w:p>
    <w:p w14:paraId="76E98CF6" w14:textId="12472405" w:rsidR="00307C59" w:rsidRDefault="002B740D" w:rsidP="00541C3A">
      <w:pPr>
        <w:pStyle w:val="Ttulo3"/>
        <w:spacing w:before="100" w:beforeAutospacing="1" w:after="100" w:afterAutospacing="1"/>
        <w:ind w:left="1134" w:hanging="1134"/>
        <w:rPr>
          <w:lang w:val="es-CO"/>
        </w:rPr>
      </w:pPr>
      <w:bookmarkStart w:id="212" w:name="_Toc235128387"/>
      <w:r w:rsidRPr="002B740D">
        <w:rPr>
          <w:lang w:val="es-CO"/>
        </w:rPr>
        <w:t>Deficiencias en la prestación del servicio</w:t>
      </w:r>
      <w:bookmarkEnd w:id="212"/>
    </w:p>
    <w:p w14:paraId="39C9DEB6" w14:textId="389EFB41" w:rsidR="002302D1" w:rsidRPr="002302D1" w:rsidRDefault="00532D54" w:rsidP="00541C3A">
      <w:pPr>
        <w:pStyle w:val="pdq2pgselectionanchorcontainer"/>
        <w:spacing w:line="360" w:lineRule="auto"/>
        <w:jc w:val="both"/>
        <w:rPr>
          <w:rFonts w:ascii="Arial" w:hAnsi="Arial" w:cs="Arial"/>
          <w:lang w:val="es-ES_tradnl" w:eastAsia="es-ES"/>
        </w:rPr>
      </w:pPr>
      <w:r w:rsidRPr="00532D54">
        <w:rPr>
          <w:rFonts w:ascii="Arial" w:hAnsi="Arial" w:cs="Arial"/>
          <w:lang w:val="es-ES_tradnl" w:eastAsia="es-ES"/>
        </w:rPr>
        <w:t xml:space="preserve">Como se expuso </w:t>
      </w:r>
      <w:r>
        <w:rPr>
          <w:rFonts w:ascii="Arial" w:hAnsi="Arial" w:cs="Arial"/>
          <w:lang w:val="es-ES_tradnl" w:eastAsia="es-ES"/>
        </w:rPr>
        <w:t>anteriormente</w:t>
      </w:r>
      <w:r w:rsidRPr="00532D54">
        <w:rPr>
          <w:rFonts w:ascii="Arial" w:hAnsi="Arial" w:cs="Arial"/>
          <w:lang w:val="es-ES_tradnl" w:eastAsia="es-ES"/>
        </w:rPr>
        <w:t>, el análisis del mercado permitió identificar un conjunto de síntomas que evidencian deficiencias en la prestación del servicio público domiciliario de GLP, relacionadas con las condiciones de calidad y seguridad durante la prestación del servicio, las limitaciones en la trazabilidad de la prestación del servicio, la disponibilidad de información para los usuarios y las limitaciones en los mecanismos de atención y protección al usuario</w:t>
      </w:r>
      <w:r w:rsidR="002302D1" w:rsidRPr="002302D1">
        <w:rPr>
          <w:rFonts w:ascii="Arial" w:hAnsi="Arial" w:cs="Arial"/>
          <w:lang w:val="es-ES_tradnl" w:eastAsia="es-ES"/>
        </w:rPr>
        <w:t>.</w:t>
      </w:r>
    </w:p>
    <w:p w14:paraId="1071ADFB" w14:textId="3F28F391" w:rsidR="002302D1" w:rsidRPr="002302D1" w:rsidRDefault="00287CCB" w:rsidP="00541C3A">
      <w:pPr>
        <w:pStyle w:val="NormalWeb"/>
        <w:spacing w:line="360" w:lineRule="auto"/>
        <w:jc w:val="both"/>
        <w:rPr>
          <w:rFonts w:ascii="Arial" w:hAnsi="Arial" w:cs="Arial"/>
          <w:lang w:val="es-ES_tradnl" w:eastAsia="es-ES"/>
        </w:rPr>
      </w:pPr>
      <w:r w:rsidRPr="00287CCB">
        <w:rPr>
          <w:rFonts w:ascii="Arial" w:hAnsi="Arial" w:cs="Arial"/>
          <w:lang w:val="es-ES_tradnl" w:eastAsia="es-ES"/>
        </w:rPr>
        <w:t>No obstante, dichos síntomas constituyen únicamente manifestaciones observables del problema y no explican por sí mismos las razones que originan su ocurrencia. En consecuencia, a continuación</w:t>
      </w:r>
      <w:r>
        <w:rPr>
          <w:rFonts w:ascii="Arial" w:hAnsi="Arial" w:cs="Arial"/>
          <w:lang w:val="es-ES_tradnl" w:eastAsia="es-ES"/>
        </w:rPr>
        <w:t xml:space="preserve">, </w:t>
      </w:r>
      <w:r w:rsidRPr="00287CCB">
        <w:rPr>
          <w:rFonts w:ascii="Arial" w:hAnsi="Arial" w:cs="Arial"/>
          <w:lang w:val="es-ES_tradnl" w:eastAsia="es-ES"/>
        </w:rPr>
        <w:t xml:space="preserve">se identifican y analizan las causas estructurales que permiten explicar estos síntomas, clasificándolas según su naturaleza económica, de </w:t>
      </w:r>
      <w:r w:rsidRPr="00287CCB">
        <w:rPr>
          <w:rFonts w:ascii="Arial" w:hAnsi="Arial" w:cs="Arial"/>
          <w:lang w:val="es-ES_tradnl" w:eastAsia="es-ES"/>
        </w:rPr>
        <w:lastRenderedPageBreak/>
        <w:t>mercado, regulatoria, tecnológica o social. Esta clasificación permite identificar el origen predominante de cada causa: las causas económicas se relacionan con los incentivos, costos o restricciones para el desarrollo de las actividades; las de mercado, con la forma en que interactúan los agentes y se organiza la cadena de prestación; las regulatorias, con aspectos asociados al marco normativo vigente; las tecnológicas, con las capacidades, herramientas o procesos utilizados para desarrollar la actividad; y las sociales, con el acceso, uso o comprensión de la información por parte de los usuarios y los demás actores del sector. Asimismo, cuando resulta pertinente, el análisis diferencia las particularidades de las modalidades de prestación mediante cilindros, tanques estacionarios y redes de distribución.</w:t>
      </w:r>
    </w:p>
    <w:p w14:paraId="742C430F" w14:textId="77777777" w:rsidR="002302D1" w:rsidRPr="002302D1" w:rsidRDefault="002302D1" w:rsidP="00541C3A">
      <w:pPr>
        <w:pStyle w:val="NormalWeb"/>
        <w:spacing w:line="360" w:lineRule="auto"/>
        <w:jc w:val="both"/>
        <w:rPr>
          <w:rFonts w:ascii="Arial" w:hAnsi="Arial" w:cs="Arial"/>
          <w:lang w:val="es-ES" w:eastAsia="es-ES"/>
        </w:rPr>
      </w:pPr>
      <w:r w:rsidRPr="4E4B129C">
        <w:rPr>
          <w:rFonts w:ascii="Arial" w:hAnsi="Arial" w:cs="Arial"/>
          <w:lang w:val="es-ES" w:eastAsia="es-ES"/>
        </w:rPr>
        <w:t>Posteriormente, se analizan los principales efectos que estas causas generan sobre la prestación del servicio, con el propósito de establecer la relación causal que sustenta la definición del problema regulatorio.</w:t>
      </w:r>
    </w:p>
    <w:p w14:paraId="10534686" w14:textId="0FCC09E4" w:rsidR="00095E05" w:rsidRDefault="00095E05" w:rsidP="00541C3A">
      <w:pPr>
        <w:pStyle w:val="Ttulo4"/>
        <w:spacing w:before="100" w:beforeAutospacing="1" w:after="100" w:afterAutospacing="1" w:line="360" w:lineRule="auto"/>
        <w:ind w:left="851" w:hanging="851"/>
      </w:pPr>
      <w:r>
        <w:t>Análisis de causas</w:t>
      </w:r>
      <w:r w:rsidRPr="00225A26">
        <w:t>.</w:t>
      </w:r>
    </w:p>
    <w:p w14:paraId="73F81CC5" w14:textId="77777777" w:rsidR="009C731B" w:rsidRPr="009C731B" w:rsidRDefault="009C731B" w:rsidP="00541C3A">
      <w:pPr>
        <w:pStyle w:val="NormalWeb"/>
        <w:spacing w:line="360" w:lineRule="auto"/>
        <w:jc w:val="both"/>
        <w:rPr>
          <w:rFonts w:ascii="Arial" w:hAnsi="Arial" w:cs="Arial"/>
          <w:lang w:val="es-ES_tradnl" w:eastAsia="es-ES"/>
        </w:rPr>
      </w:pPr>
      <w:r w:rsidRPr="009C731B">
        <w:rPr>
          <w:rFonts w:ascii="Arial" w:hAnsi="Arial" w:cs="Arial"/>
          <w:lang w:val="es-ES_tradnl" w:eastAsia="es-ES"/>
        </w:rPr>
        <w:t>Con base en los síntomas identificados para las deficiencias en la prestación del servicio público domiciliario de GLP, se identificaron las causas estructurales que permiten explicar la ocurrencia del problema. Como se indicó previamente, una misma causa puede dar lugar a uno o varios síntomas, razón por la cual el análisis se desarrolla mediante un enfoque de trazabilidad que relaciona cada causa con los síntomas asociados.</w:t>
      </w:r>
    </w:p>
    <w:p w14:paraId="107496CC" w14:textId="342D5465" w:rsidR="009C731B" w:rsidRDefault="005A6E10" w:rsidP="00541C3A">
      <w:pPr>
        <w:pStyle w:val="NormalWeb"/>
        <w:spacing w:line="360" w:lineRule="auto"/>
        <w:jc w:val="both"/>
        <w:rPr>
          <w:rFonts w:ascii="Arial" w:hAnsi="Arial" w:cs="Arial"/>
          <w:lang w:val="es-ES" w:eastAsia="es-ES"/>
        </w:rPr>
      </w:pPr>
      <w:r w:rsidRPr="00541C3A">
        <w:rPr>
          <w:rFonts w:ascii="Arial" w:hAnsi="Arial" w:cs="Arial"/>
          <w:lang w:val="es-ES" w:eastAsia="es-ES"/>
        </w:rPr>
        <w:t xml:space="preserve">La </w:t>
      </w:r>
      <w:r w:rsidR="00541C3A" w:rsidRPr="00541C3A">
        <w:rPr>
          <w:rFonts w:ascii="Arial" w:hAnsi="Arial" w:cs="Arial"/>
          <w:lang w:val="es-ES" w:eastAsia="es-ES"/>
        </w:rPr>
        <w:fldChar w:fldCharType="begin"/>
      </w:r>
      <w:r w:rsidR="00541C3A" w:rsidRPr="00541C3A">
        <w:rPr>
          <w:rFonts w:ascii="Arial" w:hAnsi="Arial" w:cs="Arial"/>
          <w:lang w:val="es-ES" w:eastAsia="es-ES"/>
        </w:rPr>
        <w:instrText xml:space="preserve"> REF _Ref235116973 \h  \* MERGEFORMAT </w:instrText>
      </w:r>
      <w:r w:rsidR="00541C3A" w:rsidRPr="00541C3A">
        <w:rPr>
          <w:rFonts w:ascii="Arial" w:hAnsi="Arial" w:cs="Arial"/>
          <w:lang w:val="es-ES" w:eastAsia="es-ES"/>
        </w:rPr>
      </w:r>
      <w:r w:rsidR="00541C3A" w:rsidRPr="00541C3A">
        <w:rPr>
          <w:rFonts w:ascii="Arial" w:hAnsi="Arial" w:cs="Arial"/>
          <w:lang w:val="es-ES" w:eastAsia="es-ES"/>
        </w:rPr>
        <w:fldChar w:fldCharType="separate"/>
      </w:r>
      <w:r w:rsidR="00541C3A" w:rsidRPr="00541C3A">
        <w:rPr>
          <w:rFonts w:ascii="Arial" w:hAnsi="Arial" w:cs="Arial"/>
        </w:rPr>
        <w:t xml:space="preserve">Tabla </w:t>
      </w:r>
      <w:r w:rsidR="00541C3A" w:rsidRPr="00541C3A">
        <w:rPr>
          <w:rFonts w:ascii="Arial" w:hAnsi="Arial" w:cs="Arial"/>
          <w:noProof/>
        </w:rPr>
        <w:t>18</w:t>
      </w:r>
      <w:r w:rsidR="00541C3A" w:rsidRPr="00541C3A">
        <w:rPr>
          <w:rFonts w:ascii="Arial" w:hAnsi="Arial" w:cs="Arial"/>
          <w:lang w:val="es-ES" w:eastAsia="es-ES"/>
        </w:rPr>
        <w:fldChar w:fldCharType="end"/>
      </w:r>
      <w:r w:rsidRPr="4E4B129C">
        <w:rPr>
          <w:rFonts w:ascii="Arial" w:hAnsi="Arial" w:cs="Arial"/>
          <w:lang w:val="es-ES" w:eastAsia="es-ES"/>
        </w:rPr>
        <w:t xml:space="preserve"> presenta las causas estructurales identificadas, su clasificación según la naturaleza de la causa, los síntomas que explican y la modalidad de prestación del servicio en la que tienen mayor incidencia (cilindros, tanques estacionarios o redes de distribución). Posteriormente, cada una de estas causas se desarrolla de manera individual con fundamento en la evidencia técnica recopilada durante el diagnóstico del mercado.</w:t>
      </w:r>
    </w:p>
    <w:p w14:paraId="373A90BE" w14:textId="77777777" w:rsidR="003A7C28" w:rsidRDefault="003A7C28" w:rsidP="00541C3A">
      <w:pPr>
        <w:pStyle w:val="NormalWeb"/>
        <w:spacing w:line="360" w:lineRule="auto"/>
        <w:jc w:val="both"/>
        <w:rPr>
          <w:rFonts w:ascii="Arial" w:hAnsi="Arial" w:cs="Arial"/>
          <w:lang w:val="es-ES" w:eastAsia="es-ES"/>
        </w:rPr>
      </w:pPr>
    </w:p>
    <w:p w14:paraId="2F772E59" w14:textId="30604B13" w:rsidR="005521B7" w:rsidRPr="00541C3A" w:rsidRDefault="005521B7" w:rsidP="00541C3A">
      <w:pPr>
        <w:pStyle w:val="Descripcin"/>
        <w:jc w:val="center"/>
        <w:rPr>
          <w:rFonts w:cs="Arial"/>
          <w:b w:val="0"/>
          <w:szCs w:val="24"/>
        </w:rPr>
      </w:pPr>
      <w:bookmarkStart w:id="213" w:name="_Ref235116973"/>
      <w:bookmarkStart w:id="214" w:name="_Toc235128415"/>
      <w:r w:rsidRPr="00541C3A">
        <w:rPr>
          <w:b w:val="0"/>
          <w:szCs w:val="24"/>
        </w:rPr>
        <w:lastRenderedPageBreak/>
        <w:t xml:space="preserve">Tabla </w:t>
      </w:r>
      <w:r w:rsidR="00541C3A" w:rsidRPr="00541C3A">
        <w:rPr>
          <w:b w:val="0"/>
          <w:bCs/>
          <w:szCs w:val="24"/>
        </w:rPr>
        <w:fldChar w:fldCharType="begin"/>
      </w:r>
      <w:r w:rsidR="00541C3A" w:rsidRPr="00541C3A">
        <w:rPr>
          <w:b w:val="0"/>
          <w:bCs/>
          <w:szCs w:val="24"/>
        </w:rPr>
        <w:instrText xml:space="preserve"> SEQ Tabla \* ARABIC </w:instrText>
      </w:r>
      <w:r w:rsidR="00541C3A" w:rsidRPr="00541C3A">
        <w:rPr>
          <w:b w:val="0"/>
          <w:bCs/>
          <w:szCs w:val="24"/>
        </w:rPr>
        <w:fldChar w:fldCharType="separate"/>
      </w:r>
      <w:r w:rsidR="001C42C8">
        <w:rPr>
          <w:b w:val="0"/>
          <w:bCs/>
          <w:noProof/>
          <w:szCs w:val="24"/>
        </w:rPr>
        <w:t>18</w:t>
      </w:r>
      <w:r w:rsidR="00541C3A" w:rsidRPr="00541C3A">
        <w:rPr>
          <w:b w:val="0"/>
          <w:bCs/>
          <w:szCs w:val="24"/>
        </w:rPr>
        <w:fldChar w:fldCharType="end"/>
      </w:r>
      <w:bookmarkEnd w:id="213"/>
      <w:r w:rsidR="00541C3A" w:rsidRPr="00541C3A">
        <w:rPr>
          <w:b w:val="0"/>
          <w:bCs/>
          <w:szCs w:val="24"/>
        </w:rPr>
        <w:t>.</w:t>
      </w:r>
      <w:r w:rsidRPr="00541C3A">
        <w:rPr>
          <w:b w:val="0"/>
          <w:szCs w:val="24"/>
        </w:rPr>
        <w:t xml:space="preserve"> </w:t>
      </w:r>
      <w:r w:rsidR="00132CB7" w:rsidRPr="00541C3A">
        <w:rPr>
          <w:rFonts w:cs="Arial"/>
          <w:b w:val="0"/>
          <w:szCs w:val="24"/>
        </w:rPr>
        <w:t>Síntesis de las causas estructurales asociadas al eje de prestación del servicio</w:t>
      </w:r>
      <w:bookmarkEnd w:id="214"/>
    </w:p>
    <w:tbl>
      <w:tblPr>
        <w:tblStyle w:val="Tablaconcuadrcula"/>
        <w:tblW w:w="0" w:type="auto"/>
        <w:tblLook w:val="04A0" w:firstRow="1" w:lastRow="0" w:firstColumn="1" w:lastColumn="0" w:noHBand="0" w:noVBand="1"/>
      </w:tblPr>
      <w:tblGrid>
        <w:gridCol w:w="571"/>
        <w:gridCol w:w="3118"/>
        <w:gridCol w:w="1469"/>
        <w:gridCol w:w="2511"/>
        <w:gridCol w:w="1727"/>
      </w:tblGrid>
      <w:tr w:rsidR="006F4C55" w:rsidRPr="006F4C55" w14:paraId="0392EB29" w14:textId="77777777" w:rsidTr="00703C7A">
        <w:trPr>
          <w:tblHeader/>
        </w:trPr>
        <w:tc>
          <w:tcPr>
            <w:tcW w:w="0" w:type="auto"/>
            <w:vAlign w:val="center"/>
            <w:hideMark/>
          </w:tcPr>
          <w:p w14:paraId="0240DFE2" w14:textId="77777777" w:rsidR="006F4C55" w:rsidRPr="006F4C55" w:rsidRDefault="006F4C55" w:rsidP="00703C7A">
            <w:pPr>
              <w:spacing w:before="100" w:beforeAutospacing="1" w:after="100" w:afterAutospacing="1" w:line="360" w:lineRule="auto"/>
              <w:jc w:val="center"/>
              <w:rPr>
                <w:b/>
                <w:bCs/>
                <w:sz w:val="22"/>
                <w:szCs w:val="22"/>
                <w:lang w:val="es-CO"/>
              </w:rPr>
            </w:pPr>
            <w:r w:rsidRPr="006F4C55">
              <w:rPr>
                <w:b/>
                <w:bCs/>
                <w:sz w:val="22"/>
                <w:szCs w:val="22"/>
                <w:lang w:val="es-CO"/>
              </w:rPr>
              <w:t>No.</w:t>
            </w:r>
          </w:p>
        </w:tc>
        <w:tc>
          <w:tcPr>
            <w:tcW w:w="0" w:type="auto"/>
            <w:vAlign w:val="center"/>
            <w:hideMark/>
          </w:tcPr>
          <w:p w14:paraId="0DD98EF6" w14:textId="77777777" w:rsidR="006F4C55" w:rsidRPr="006F4C55" w:rsidRDefault="006F4C55" w:rsidP="00703C7A">
            <w:pPr>
              <w:spacing w:before="100" w:beforeAutospacing="1" w:after="100" w:afterAutospacing="1" w:line="360" w:lineRule="auto"/>
              <w:jc w:val="center"/>
              <w:rPr>
                <w:b/>
                <w:bCs/>
                <w:sz w:val="22"/>
                <w:szCs w:val="22"/>
                <w:lang w:val="es-CO"/>
              </w:rPr>
            </w:pPr>
            <w:r w:rsidRPr="006F4C55">
              <w:rPr>
                <w:b/>
                <w:bCs/>
                <w:sz w:val="22"/>
                <w:szCs w:val="22"/>
                <w:lang w:val="es-CO"/>
              </w:rPr>
              <w:t>Causa estructural</w:t>
            </w:r>
          </w:p>
        </w:tc>
        <w:tc>
          <w:tcPr>
            <w:tcW w:w="0" w:type="auto"/>
            <w:vAlign w:val="center"/>
            <w:hideMark/>
          </w:tcPr>
          <w:p w14:paraId="6E4E2D23" w14:textId="77777777" w:rsidR="006F4C55" w:rsidRPr="006F4C55" w:rsidRDefault="006F4C55" w:rsidP="00703C7A">
            <w:pPr>
              <w:spacing w:before="100" w:beforeAutospacing="1" w:after="100" w:afterAutospacing="1" w:line="360" w:lineRule="auto"/>
              <w:jc w:val="center"/>
              <w:rPr>
                <w:b/>
                <w:bCs/>
                <w:sz w:val="22"/>
                <w:szCs w:val="22"/>
                <w:lang w:val="es-CO"/>
              </w:rPr>
            </w:pPr>
            <w:r w:rsidRPr="006F4C55">
              <w:rPr>
                <w:b/>
                <w:bCs/>
                <w:sz w:val="22"/>
                <w:szCs w:val="22"/>
                <w:lang w:val="es-CO"/>
              </w:rPr>
              <w:t>Tipo</w:t>
            </w:r>
          </w:p>
        </w:tc>
        <w:tc>
          <w:tcPr>
            <w:tcW w:w="0" w:type="auto"/>
            <w:vAlign w:val="center"/>
            <w:hideMark/>
          </w:tcPr>
          <w:p w14:paraId="48268A48" w14:textId="77777777" w:rsidR="006F4C55" w:rsidRPr="006F4C55" w:rsidRDefault="006F4C55" w:rsidP="00703C7A">
            <w:pPr>
              <w:spacing w:before="100" w:beforeAutospacing="1" w:after="100" w:afterAutospacing="1" w:line="360" w:lineRule="auto"/>
              <w:jc w:val="center"/>
              <w:rPr>
                <w:b/>
                <w:bCs/>
                <w:sz w:val="22"/>
                <w:szCs w:val="22"/>
                <w:lang w:val="es-CO"/>
              </w:rPr>
            </w:pPr>
            <w:r w:rsidRPr="006F4C55">
              <w:rPr>
                <w:b/>
                <w:bCs/>
                <w:sz w:val="22"/>
                <w:szCs w:val="22"/>
                <w:lang w:val="es-CO"/>
              </w:rPr>
              <w:t>Explica síntomas</w:t>
            </w:r>
          </w:p>
        </w:tc>
        <w:tc>
          <w:tcPr>
            <w:tcW w:w="0" w:type="auto"/>
            <w:vAlign w:val="center"/>
            <w:hideMark/>
          </w:tcPr>
          <w:p w14:paraId="0993BBA9" w14:textId="77777777" w:rsidR="006F4C55" w:rsidRPr="006F4C55" w:rsidRDefault="006F4C55" w:rsidP="00703C7A">
            <w:pPr>
              <w:spacing w:before="100" w:beforeAutospacing="1" w:after="100" w:afterAutospacing="1" w:line="360" w:lineRule="auto"/>
              <w:jc w:val="center"/>
              <w:rPr>
                <w:b/>
                <w:bCs/>
                <w:sz w:val="22"/>
                <w:szCs w:val="22"/>
                <w:lang w:val="es-CO"/>
              </w:rPr>
            </w:pPr>
            <w:r w:rsidRPr="006F4C55">
              <w:rPr>
                <w:b/>
                <w:bCs/>
                <w:sz w:val="22"/>
                <w:szCs w:val="22"/>
                <w:lang w:val="es-CO"/>
              </w:rPr>
              <w:t>Modalidad</w:t>
            </w:r>
          </w:p>
        </w:tc>
      </w:tr>
      <w:tr w:rsidR="006F4C55" w:rsidRPr="006F4C55" w14:paraId="1D35E4F0" w14:textId="77777777" w:rsidTr="00247D4A">
        <w:tc>
          <w:tcPr>
            <w:tcW w:w="0" w:type="auto"/>
            <w:vAlign w:val="center"/>
            <w:hideMark/>
          </w:tcPr>
          <w:p w14:paraId="3654302E" w14:textId="77777777" w:rsidR="006F4C55" w:rsidRPr="00247D4A" w:rsidRDefault="006F4C55" w:rsidP="002F1961">
            <w:pPr>
              <w:spacing w:before="100" w:beforeAutospacing="1" w:after="100" w:afterAutospacing="1" w:line="360" w:lineRule="auto"/>
              <w:jc w:val="left"/>
              <w:rPr>
                <w:sz w:val="22"/>
                <w:szCs w:val="22"/>
                <w:lang w:val="es-CO"/>
              </w:rPr>
            </w:pPr>
            <w:r w:rsidRPr="00247D4A">
              <w:rPr>
                <w:sz w:val="22"/>
                <w:szCs w:val="22"/>
                <w:lang w:val="es-CO"/>
              </w:rPr>
              <w:t>C1</w:t>
            </w:r>
          </w:p>
        </w:tc>
        <w:tc>
          <w:tcPr>
            <w:tcW w:w="0" w:type="auto"/>
            <w:vAlign w:val="center"/>
            <w:hideMark/>
          </w:tcPr>
          <w:p w14:paraId="56C91599" w14:textId="51863B33" w:rsidR="006F4C55" w:rsidRPr="00247D4A" w:rsidRDefault="008A6CBB" w:rsidP="002F1961">
            <w:pPr>
              <w:spacing w:before="100" w:beforeAutospacing="1" w:after="100" w:afterAutospacing="1" w:line="360" w:lineRule="auto"/>
              <w:jc w:val="left"/>
              <w:rPr>
                <w:sz w:val="22"/>
                <w:szCs w:val="22"/>
                <w:lang w:val="es-CO"/>
              </w:rPr>
            </w:pPr>
            <w:r w:rsidRPr="008A6CBB">
              <w:rPr>
                <w:rFonts w:cs="Arial"/>
                <w:sz w:val="22"/>
                <w:szCs w:val="22"/>
                <w:lang w:val="es-CO"/>
              </w:rPr>
              <w:t>Procesos operativos e intercambio de información insuficientemente integrados durante la prestación del servicio</w:t>
            </w:r>
            <w:r w:rsidR="00DD1F14" w:rsidRPr="008265DE">
              <w:rPr>
                <w:rFonts w:cs="Arial"/>
                <w:sz w:val="22"/>
                <w:szCs w:val="22"/>
                <w:lang w:val="es-CO"/>
              </w:rPr>
              <w:t>.</w:t>
            </w:r>
          </w:p>
        </w:tc>
        <w:tc>
          <w:tcPr>
            <w:tcW w:w="0" w:type="auto"/>
            <w:vAlign w:val="center"/>
            <w:hideMark/>
          </w:tcPr>
          <w:p w14:paraId="7B4E73F5" w14:textId="77777777" w:rsidR="006F4C55" w:rsidRPr="006F4C55" w:rsidRDefault="006F4C55" w:rsidP="002F1961">
            <w:pPr>
              <w:spacing w:before="100" w:beforeAutospacing="1" w:after="100" w:afterAutospacing="1" w:line="360" w:lineRule="auto"/>
              <w:jc w:val="left"/>
              <w:rPr>
                <w:sz w:val="22"/>
                <w:szCs w:val="22"/>
                <w:lang w:val="es-CO"/>
              </w:rPr>
            </w:pPr>
            <w:r w:rsidRPr="006F4C55">
              <w:rPr>
                <w:sz w:val="22"/>
                <w:szCs w:val="22"/>
                <w:lang w:val="es-CO"/>
              </w:rPr>
              <w:t>Mercado / Tecnológica</w:t>
            </w:r>
          </w:p>
        </w:tc>
        <w:tc>
          <w:tcPr>
            <w:tcW w:w="0" w:type="auto"/>
            <w:vAlign w:val="center"/>
            <w:hideMark/>
          </w:tcPr>
          <w:p w14:paraId="0BC374FE" w14:textId="7C644AEA" w:rsidR="006F4C55" w:rsidRPr="006F4C55" w:rsidRDefault="008257AF" w:rsidP="002F1961">
            <w:pPr>
              <w:spacing w:before="100" w:beforeAutospacing="1" w:after="100" w:afterAutospacing="1" w:line="360" w:lineRule="auto"/>
              <w:jc w:val="left"/>
              <w:rPr>
                <w:sz w:val="22"/>
                <w:szCs w:val="22"/>
                <w:lang w:val="es-CO"/>
              </w:rPr>
            </w:pPr>
            <w:r w:rsidRPr="008257AF">
              <w:rPr>
                <w:sz w:val="22"/>
                <w:szCs w:val="22"/>
              </w:rPr>
              <w:t>Condiciones de calidad y seguridad durante la prestación del servicio, trazabilidad de la prestación del servicio</w:t>
            </w:r>
          </w:p>
        </w:tc>
        <w:tc>
          <w:tcPr>
            <w:tcW w:w="0" w:type="auto"/>
            <w:vAlign w:val="center"/>
            <w:hideMark/>
          </w:tcPr>
          <w:p w14:paraId="646BF8D5" w14:textId="77777777" w:rsidR="006F4C55" w:rsidRPr="006F4C55" w:rsidRDefault="006F4C55" w:rsidP="002F1961">
            <w:pPr>
              <w:spacing w:before="100" w:beforeAutospacing="1" w:after="100" w:afterAutospacing="1" w:line="360" w:lineRule="auto"/>
              <w:jc w:val="left"/>
              <w:rPr>
                <w:sz w:val="22"/>
                <w:szCs w:val="22"/>
                <w:lang w:val="es-CO"/>
              </w:rPr>
            </w:pPr>
            <w:r w:rsidRPr="006F4C55">
              <w:rPr>
                <w:sz w:val="22"/>
                <w:szCs w:val="22"/>
                <w:lang w:val="es-CO"/>
              </w:rPr>
              <w:t>Principalmente cilindros</w:t>
            </w:r>
          </w:p>
        </w:tc>
      </w:tr>
      <w:tr w:rsidR="00DD1F14" w:rsidRPr="006F4C55" w14:paraId="5D44729F" w14:textId="77777777">
        <w:tc>
          <w:tcPr>
            <w:tcW w:w="0" w:type="auto"/>
            <w:vAlign w:val="center"/>
            <w:hideMark/>
          </w:tcPr>
          <w:p w14:paraId="379C91B2" w14:textId="77777777" w:rsidR="00DD1F14" w:rsidRPr="00247D4A" w:rsidRDefault="00DD1F14" w:rsidP="002F1961">
            <w:pPr>
              <w:spacing w:before="100" w:beforeAutospacing="1" w:after="100" w:afterAutospacing="1" w:line="360" w:lineRule="auto"/>
              <w:jc w:val="left"/>
              <w:rPr>
                <w:sz w:val="22"/>
                <w:szCs w:val="22"/>
                <w:lang w:val="es-CO"/>
              </w:rPr>
            </w:pPr>
            <w:r w:rsidRPr="00247D4A">
              <w:rPr>
                <w:sz w:val="22"/>
                <w:szCs w:val="22"/>
                <w:lang w:val="es-CO"/>
              </w:rPr>
              <w:t>C2</w:t>
            </w:r>
          </w:p>
        </w:tc>
        <w:tc>
          <w:tcPr>
            <w:tcW w:w="0" w:type="auto"/>
            <w:hideMark/>
          </w:tcPr>
          <w:p w14:paraId="0C8E3096" w14:textId="51B115FA" w:rsidR="00DD1F14" w:rsidRPr="00247D4A" w:rsidRDefault="00DD1F14" w:rsidP="002F1961">
            <w:pPr>
              <w:spacing w:before="100" w:beforeAutospacing="1" w:after="100" w:afterAutospacing="1" w:line="360" w:lineRule="auto"/>
              <w:jc w:val="left"/>
              <w:rPr>
                <w:sz w:val="22"/>
                <w:szCs w:val="22"/>
                <w:lang w:val="es-CO"/>
              </w:rPr>
            </w:pPr>
            <w:r w:rsidRPr="0078172D">
              <w:rPr>
                <w:rFonts w:cs="Arial"/>
                <w:sz w:val="22"/>
                <w:szCs w:val="22"/>
              </w:rPr>
              <w:t>Dispersión de la información técnica y comercial entre los diferentes actores que participan en la prestación del servicio, así como heterogeneidad en los mecanismos utilizados para comunicarla a los usuarios</w:t>
            </w:r>
            <w:r>
              <w:rPr>
                <w:rFonts w:cs="Arial"/>
                <w:sz w:val="22"/>
                <w:szCs w:val="22"/>
              </w:rPr>
              <w:t>.</w:t>
            </w:r>
          </w:p>
        </w:tc>
        <w:tc>
          <w:tcPr>
            <w:tcW w:w="0" w:type="auto"/>
            <w:vAlign w:val="center"/>
            <w:hideMark/>
          </w:tcPr>
          <w:p w14:paraId="45EA9294" w14:textId="77777777" w:rsidR="00DD1F14" w:rsidRPr="006F4C55" w:rsidRDefault="00DD1F14" w:rsidP="002F1961">
            <w:pPr>
              <w:spacing w:before="100" w:beforeAutospacing="1" w:after="100" w:afterAutospacing="1" w:line="360" w:lineRule="auto"/>
              <w:jc w:val="left"/>
              <w:rPr>
                <w:sz w:val="22"/>
                <w:szCs w:val="22"/>
                <w:lang w:val="es-CO"/>
              </w:rPr>
            </w:pPr>
            <w:r w:rsidRPr="006F4C55">
              <w:rPr>
                <w:sz w:val="22"/>
                <w:szCs w:val="22"/>
                <w:lang w:val="es-CO"/>
              </w:rPr>
              <w:t>Mercado / Social</w:t>
            </w:r>
          </w:p>
        </w:tc>
        <w:tc>
          <w:tcPr>
            <w:tcW w:w="0" w:type="auto"/>
            <w:vAlign w:val="center"/>
            <w:hideMark/>
          </w:tcPr>
          <w:p w14:paraId="5306186C" w14:textId="68451688" w:rsidR="00DD1F14" w:rsidRPr="006F4C55" w:rsidRDefault="00784A49" w:rsidP="002F1961">
            <w:pPr>
              <w:spacing w:before="100" w:beforeAutospacing="1" w:after="100" w:afterAutospacing="1" w:line="360" w:lineRule="auto"/>
              <w:jc w:val="left"/>
              <w:rPr>
                <w:sz w:val="22"/>
                <w:szCs w:val="22"/>
                <w:lang w:val="es-CO"/>
              </w:rPr>
            </w:pPr>
            <w:r w:rsidRPr="00784A49">
              <w:rPr>
                <w:sz w:val="22"/>
                <w:szCs w:val="22"/>
              </w:rPr>
              <w:t>Condiciones de calidad y seguridad durante la prestación del servicio, disponibilidad de información para los usuarios y mecanismos de atención y protección al usuario.</w:t>
            </w:r>
          </w:p>
        </w:tc>
        <w:tc>
          <w:tcPr>
            <w:tcW w:w="0" w:type="auto"/>
            <w:vAlign w:val="center"/>
            <w:hideMark/>
          </w:tcPr>
          <w:p w14:paraId="2BE3CD37" w14:textId="77777777" w:rsidR="00DD1F14" w:rsidRPr="006F4C55" w:rsidRDefault="00DD1F14" w:rsidP="002F1961">
            <w:pPr>
              <w:spacing w:before="100" w:beforeAutospacing="1" w:after="100" w:afterAutospacing="1" w:line="360" w:lineRule="auto"/>
              <w:jc w:val="left"/>
              <w:rPr>
                <w:sz w:val="22"/>
                <w:szCs w:val="22"/>
                <w:lang w:val="es-CO"/>
              </w:rPr>
            </w:pPr>
            <w:r w:rsidRPr="006F4C55">
              <w:rPr>
                <w:sz w:val="22"/>
                <w:szCs w:val="22"/>
                <w:lang w:val="es-CO"/>
              </w:rPr>
              <w:t>Todas las modalidades</w:t>
            </w:r>
          </w:p>
        </w:tc>
      </w:tr>
    </w:tbl>
    <w:p w14:paraId="7054DB43" w14:textId="39427113" w:rsidR="00703C7A" w:rsidRPr="00541C3A" w:rsidRDefault="00703C7A" w:rsidP="00541C3A">
      <w:pPr>
        <w:spacing w:before="100" w:beforeAutospacing="1" w:after="100" w:afterAutospacing="1" w:line="360" w:lineRule="auto"/>
        <w:jc w:val="center"/>
        <w:rPr>
          <w:sz w:val="22"/>
          <w:szCs w:val="22"/>
        </w:rPr>
      </w:pPr>
      <w:r>
        <w:rPr>
          <w:rFonts w:cs="Arial"/>
          <w:sz w:val="22"/>
          <w:szCs w:val="22"/>
        </w:rPr>
        <w:t>Elaboración</w:t>
      </w:r>
      <w:r w:rsidR="00541C3A">
        <w:rPr>
          <w:rFonts w:cs="Arial"/>
          <w:sz w:val="22"/>
          <w:szCs w:val="22"/>
        </w:rPr>
        <w:t>: CREG</w:t>
      </w:r>
    </w:p>
    <w:p w14:paraId="3B0776EE" w14:textId="5D5C01D6" w:rsidR="0029403E" w:rsidRPr="00C42E25" w:rsidRDefault="008A6CBB" w:rsidP="00541C3A">
      <w:pPr>
        <w:pStyle w:val="Ttulo5"/>
        <w:numPr>
          <w:ilvl w:val="4"/>
          <w:numId w:val="6"/>
        </w:numPr>
        <w:spacing w:before="100" w:beforeAutospacing="1" w:after="100" w:afterAutospacing="1"/>
        <w:ind w:left="1134" w:hanging="1134"/>
      </w:pPr>
      <w:r w:rsidRPr="008A6CBB">
        <w:rPr>
          <w:rFonts w:cs="Arial"/>
          <w:lang w:val="es-ES"/>
        </w:rPr>
        <w:t>Procesos operativos e intercambio de información insuficientemente integrados durante la prestación del servicio</w:t>
      </w:r>
      <w:r w:rsidR="00E84722" w:rsidRPr="00C42E25">
        <w:t>.</w:t>
      </w:r>
    </w:p>
    <w:p w14:paraId="14380153" w14:textId="1821F361" w:rsidR="00BF287B" w:rsidRPr="00BF287B" w:rsidRDefault="001E6828" w:rsidP="00541C3A">
      <w:pPr>
        <w:spacing w:before="100" w:beforeAutospacing="1" w:after="100" w:afterAutospacing="1" w:line="360" w:lineRule="auto"/>
        <w:rPr>
          <w:rFonts w:cs="Arial"/>
          <w:szCs w:val="24"/>
          <w:lang w:val="es-ES"/>
        </w:rPr>
      </w:pPr>
      <w:r w:rsidRPr="001E6828">
        <w:rPr>
          <w:rFonts w:cs="Arial"/>
          <w:szCs w:val="24"/>
          <w:lang w:val="es-ES"/>
        </w:rPr>
        <w:t xml:space="preserve">La prestación eficiente del servicio público domiciliario de GLP depende de que los diferentes agentes que participan en la cadena intercambien información operativa de manera oportuna, consistente e integrada durante las actividades de abastecimiento, almacenamiento, transporte, distribución, comercialización y atención al usuario. En este contexto, la integración insuficiente de los procesos operativos y de los flujos de información constituye una causa estructural, en la medida en que dificulta el seguimiento integral de la prestación del servicio, limita la capacidad de los agentes para gestionar de manera coordinada las actividades que conforman la cadena y reduce la disponibilidad de información necesaria para verificar el cumplimiento de las condiciones técnicas y de seguridad previstas en la regulación. Asimismo, puede limitar la disponibilidad de </w:t>
      </w:r>
      <w:r w:rsidRPr="001E6828">
        <w:rPr>
          <w:rFonts w:cs="Arial"/>
          <w:szCs w:val="24"/>
          <w:lang w:val="es-ES"/>
        </w:rPr>
        <w:lastRenderedPageBreak/>
        <w:t>información clara y suficiente para los usuarios sobre las condiciones de prestación del servicio y las características del producto suministrado, incrementando las asimetrías de información durante la prestación del servicio.</w:t>
      </w:r>
    </w:p>
    <w:p w14:paraId="278482C6" w14:textId="77777777" w:rsidR="00BF287B" w:rsidRPr="00BF287B" w:rsidRDefault="00BF287B" w:rsidP="00541C3A">
      <w:pPr>
        <w:spacing w:before="100" w:beforeAutospacing="1" w:after="100" w:afterAutospacing="1" w:line="360" w:lineRule="auto"/>
        <w:rPr>
          <w:rFonts w:cs="Arial"/>
          <w:szCs w:val="24"/>
          <w:lang w:val="es-ES"/>
        </w:rPr>
      </w:pPr>
      <w:r w:rsidRPr="00BF287B">
        <w:rPr>
          <w:rFonts w:cs="Arial"/>
          <w:szCs w:val="24"/>
          <w:lang w:val="es-ES"/>
        </w:rPr>
        <w:t>Esta situación se manifiesta especialmente en un mercado en el que participan múltiples agentes con funciones diferenciadas y donde la prestación del servicio se desarrolla a través de diversas actividades sucesivas. Si bien cada agente administra la información necesaria para el desarrollo de sus funciones, esta no siempre se encuentra suficientemente articulada con la de los demás participantes de la cadena, lo que dificulta disponer de una visión integral de la prestación del servicio cuando se requiere realizar seguimiento operativo, gestionar activos, atender requerimientos de los usuarios o soportar las actividades de inspección, vigilancia y control.</w:t>
      </w:r>
    </w:p>
    <w:p w14:paraId="1DCCCEE0" w14:textId="4E009C13" w:rsidR="00BF287B" w:rsidRPr="00BF287B" w:rsidRDefault="00522D4B" w:rsidP="00541C3A">
      <w:pPr>
        <w:spacing w:before="100" w:beforeAutospacing="1" w:after="100" w:afterAutospacing="1" w:line="360" w:lineRule="auto"/>
        <w:rPr>
          <w:rFonts w:cs="Arial"/>
          <w:szCs w:val="24"/>
          <w:lang w:val="es-ES"/>
        </w:rPr>
      </w:pPr>
      <w:r w:rsidRPr="00522D4B">
        <w:rPr>
          <w:rFonts w:cs="Arial"/>
          <w:szCs w:val="24"/>
          <w:lang w:val="es-ES"/>
        </w:rPr>
        <w:t xml:space="preserve">Los estudios de caracterización desarrollados por CQM Consultoría evidencian esta situación, particularmente en la modalidad de prestación mediante cilindros. El consultor identificó que la trazabilidad de la prestación puede verse limitada por la utilización de registros físicos o independientes, el bajo uso de herramientas tecnológicas para el seguimiento de las entregas y de los activos, y por las características propias de la comercialización mediante vehículos repartidores, depósitos y puntos de venta. Asimismo, evidenció que, en algunos esquemas de comercialización, el distribuidor no conoce integralmente las condiciones finales bajo las cuales se realiza la venta al usuario, lo que restringe la disponibilidad de información para efectos operativos, comerciales y de atención posterior. De igual forma, la limitada disponibilidad de información sobre las características del producto suministrado y sobre las razones que pueden explicar diferencias percibidas en su desempeño dificulta que los usuarios comprendan las condiciones bajo las cuales se presta el servicio, aun cuando el GLP cumpla las especificaciones técnicas establecidas en la regulación. De igual manera, la ausencia de mecanismos suficientemente integrados para el seguimiento de los movimientos del producto y de los activos puede dificultar la detección oportuna de operaciones o manipulaciones no autorizadas durante la prestación del servicio, tales como el trasvase de GLP entre recipientes ("culebreo"), la comercialización por canales no autorizados y </w:t>
      </w:r>
      <w:r w:rsidRPr="00522D4B">
        <w:rPr>
          <w:rFonts w:cs="Arial"/>
          <w:szCs w:val="24"/>
          <w:lang w:val="es-ES"/>
        </w:rPr>
        <w:lastRenderedPageBreak/>
        <w:t>otras prácticas similares, limitando la capacidad para verificar la trazabilidad del producto y de los activos utilizados para la prestación del servicio, identificar al prestador responsable y a los responsables de la operación, y comprobar el cumplimiento de las condiciones técnicas y de seguridad previstas en la regulación. Estas circunstancias reflejan limitaciones en la integración de la información necesaria para soportar la prestación del servicio.</w:t>
      </w:r>
    </w:p>
    <w:p w14:paraId="290B5FEC" w14:textId="091438C7" w:rsidR="00BF287B" w:rsidRPr="00BF287B" w:rsidRDefault="00522D4B" w:rsidP="00541C3A">
      <w:pPr>
        <w:spacing w:before="100" w:beforeAutospacing="1" w:after="100" w:afterAutospacing="1" w:line="360" w:lineRule="auto"/>
        <w:rPr>
          <w:rFonts w:cs="Arial"/>
          <w:szCs w:val="24"/>
          <w:lang w:val="es-ES"/>
        </w:rPr>
      </w:pPr>
      <w:r w:rsidRPr="00522D4B">
        <w:rPr>
          <w:rFonts w:cs="Arial"/>
          <w:szCs w:val="24"/>
          <w:lang w:val="es-ES"/>
        </w:rPr>
        <w:t>Las condiciones descritas permiten explicar varios de los síntomas identificados para este problema. En primer lugar, la integración insuficiente de los procesos operativos dificulta el seguimiento del cumplimiento de las condiciones técnicas y de seguridad previstas en la regulación, al limitar la disponibilidad de información necesaria para verificar las operaciones realizadas sobre el producto y los activos utilizados durante la prestación. En segundo lugar, limita la trazabilidad de la prestación del servicio, al dificultar la reconstrucción completa de las operaciones realizadas y el seguimiento de los diferentes actores y activos que intervienen durante la prestación. Asimismo, estas limitaciones reducen la capacidad para detectar oportunamente desviaciones respecto de las condiciones bajo las cuales debe prestarse el servicio, incluyendo operaciones o manipulaciones no autorizadas, como el trasvase de GLP entre recipientes ("culebreo"), la comercialización por canales no autorizados y otras prácticas similares, que pueden comprometer la calidad, la seguridad y la trazabilidad de la prestación, así como la adecuada identificación del prestador responsable y de los activos empleados en el suministro. Adicionalmente, la disponibilidad insuficiente de información durante la prestación del servicio dificulta que los usuarios comprendan las características del producto suministrado y las condiciones bajo las cuales este se presta, lo que puede generar percepciones equivocadas sobre la calidad o el desempeño del GLP y fortalecer las asimetrías de información entre agentes y usuarios. Finalmente, esta misma condición afecta la gestión y disponibilidad de los activos utilizados para la prestación del servicio, especialmente en la modalidad de distribución mediante cilindros, donde la movilidad permanente de los envases exige mecanismos de seguimiento y coordinación más robustos para su administración, recuperación y control.</w:t>
      </w:r>
    </w:p>
    <w:p w14:paraId="23D8CB77" w14:textId="77777777" w:rsidR="00BF287B" w:rsidRPr="00BF287B" w:rsidRDefault="00BF287B" w:rsidP="00541C3A">
      <w:pPr>
        <w:spacing w:before="100" w:beforeAutospacing="1" w:after="100" w:afterAutospacing="1" w:line="360" w:lineRule="auto"/>
        <w:rPr>
          <w:rFonts w:cs="Arial"/>
          <w:szCs w:val="24"/>
          <w:lang w:val="es-ES"/>
        </w:rPr>
      </w:pPr>
      <w:r w:rsidRPr="00BF287B">
        <w:rPr>
          <w:rFonts w:cs="Arial"/>
          <w:szCs w:val="24"/>
          <w:lang w:val="es-ES"/>
        </w:rPr>
        <w:lastRenderedPageBreak/>
        <w:t>Esta causa presenta una mayor incidencia en la modalidad de prestación mediante cilindros, debido a la movilidad permanente de los envases, la participación de diferentes actores en la distribución y comercialización y la diversidad de canales de atención al usuario. En contraste, las modalidades de prestación mediante tanques estacionarios y redes de distribución presentan relaciones comerciales y operativas más estables, lo que facilita el seguimiento de la prestación y la identificación del usuario. No obstante, en todas las modalidades resulta necesario contar con procesos operativos e información suficientemente integrados para garantizar una adecuada gestión del servicio.</w:t>
      </w:r>
    </w:p>
    <w:p w14:paraId="6B34022A" w14:textId="6B964F02" w:rsidR="00F8326D" w:rsidRPr="003A1061" w:rsidRDefault="00EA6B37" w:rsidP="00541C3A">
      <w:pPr>
        <w:spacing w:before="100" w:beforeAutospacing="1" w:after="100" w:afterAutospacing="1" w:line="360" w:lineRule="auto"/>
        <w:rPr>
          <w:rFonts w:cs="Arial"/>
          <w:szCs w:val="24"/>
          <w:lang w:val="es-ES"/>
        </w:rPr>
      </w:pPr>
      <w:r w:rsidRPr="00EA6B37">
        <w:rPr>
          <w:rFonts w:cs="Arial"/>
          <w:szCs w:val="24"/>
          <w:lang w:val="es-ES"/>
        </w:rPr>
        <w:t>En consecuencia, la integración insuficiente de los procesos operativos y del intercambio de información constituye una causa estructural de las deficiencias en la prestación del servicio, en la medida en que limita el seguimiento del cumplimiento de las condiciones técnicas y de seguridad previstas en la regulación, explica las limitaciones identificadas en la trazabilidad de la prestación, en la gestión de los activos utilizados para el desarrollo de la actividad y en la disponibilidad de información para los usuarios sobre las condiciones de prestación y las características del producto suministrado, e incrementa la probabilidad de materialización del problema analizado.</w:t>
      </w:r>
    </w:p>
    <w:p w14:paraId="2C532ABE" w14:textId="77777777" w:rsidR="00A3561B" w:rsidRPr="00A621F4" w:rsidRDefault="00A3561B" w:rsidP="00541C3A">
      <w:pPr>
        <w:pStyle w:val="Ttulo5"/>
        <w:numPr>
          <w:ilvl w:val="4"/>
          <w:numId w:val="6"/>
        </w:numPr>
        <w:spacing w:before="100" w:beforeAutospacing="1" w:after="100" w:afterAutospacing="1"/>
        <w:ind w:left="1276" w:hanging="1276"/>
        <w:rPr>
          <w:rFonts w:cs="Arial"/>
        </w:rPr>
      </w:pPr>
      <w:r w:rsidRPr="00A621F4">
        <w:rPr>
          <w:rFonts w:cs="Arial"/>
        </w:rPr>
        <w:t>Dispersión de la información técnica y comercial entre los diferentes actores que participan en la prestación del servicio, así como heterogeneidad en los mecanismos utilizados para comunicarla a los usuarios.</w:t>
      </w:r>
    </w:p>
    <w:p w14:paraId="30236179" w14:textId="270778F3" w:rsidR="00EC109F" w:rsidRPr="00EC109F" w:rsidRDefault="00EC109F" w:rsidP="00541C3A">
      <w:pPr>
        <w:spacing w:before="100" w:beforeAutospacing="1" w:after="100" w:afterAutospacing="1" w:line="360" w:lineRule="auto"/>
        <w:rPr>
          <w:rFonts w:cs="Arial"/>
          <w:szCs w:val="24"/>
          <w:lang w:val="es-ES"/>
        </w:rPr>
      </w:pPr>
      <w:r w:rsidRPr="00EC109F">
        <w:rPr>
          <w:rFonts w:cs="Arial"/>
          <w:szCs w:val="24"/>
          <w:lang w:val="es-ES"/>
        </w:rPr>
        <w:t>La adecuada prestación del servicio público domiciliario de GLP requiere que los usuarios dispongan de información suficiente, clara y oportuna sobre las condiciones bajo las cuales reciben el servicio. Dicha información comprende aspectos técnicos relacionados con las características</w:t>
      </w:r>
      <w:r w:rsidR="00065BBC">
        <w:rPr>
          <w:rFonts w:cs="Arial"/>
          <w:szCs w:val="24"/>
          <w:lang w:val="es-ES"/>
        </w:rPr>
        <w:t xml:space="preserve"> </w:t>
      </w:r>
      <w:r w:rsidRPr="00EC109F">
        <w:rPr>
          <w:rFonts w:cs="Arial"/>
          <w:szCs w:val="24"/>
          <w:lang w:val="es-ES"/>
        </w:rPr>
        <w:t xml:space="preserve">y calidad del GLP suministrado, las condiciones de uso seguro, los mecanismos de atención y protección al usuario, así como información comercial asociada a precios, derechos y obligaciones. En este contexto, la dispersión de esta información entre los diferentes actores que participan en la prestación del servicio y la heterogeneidad de los mecanismos utilizados para comunicarla constituyen una causa </w:t>
      </w:r>
      <w:r w:rsidRPr="00EC109F">
        <w:rPr>
          <w:rFonts w:cs="Arial"/>
          <w:szCs w:val="24"/>
          <w:lang w:val="es-ES"/>
        </w:rPr>
        <w:lastRenderedPageBreak/>
        <w:t>estructural que puede dificultar que los usuarios accedan de manera completa, consistente y oportuna a la información relevante para la prestación del servicio.</w:t>
      </w:r>
    </w:p>
    <w:p w14:paraId="54A8E318" w14:textId="77777777" w:rsidR="00EC109F" w:rsidRPr="00EC109F" w:rsidRDefault="00EC109F" w:rsidP="00541C3A">
      <w:pPr>
        <w:spacing w:before="100" w:beforeAutospacing="1" w:after="100" w:afterAutospacing="1" w:line="360" w:lineRule="auto"/>
        <w:rPr>
          <w:rFonts w:cs="Arial"/>
          <w:szCs w:val="24"/>
          <w:lang w:val="es-ES"/>
        </w:rPr>
      </w:pPr>
      <w:r w:rsidRPr="00EC109F">
        <w:rPr>
          <w:rFonts w:cs="Arial"/>
          <w:szCs w:val="24"/>
          <w:lang w:val="es-ES"/>
        </w:rPr>
        <w:t>Esta situación se manifiesta debido a que la información que requiere el usuario se genera en diferentes etapas de la cadena de prestación y es administrada por distintos agentes, quienes la suministran a través de diversos mecanismos de comunicación y atención. Como consecuencia, el usuario puede recibir información fragmentada o proveniente de múltiples fuentes, dificultando la comprensión integral de las condiciones bajo las cuales se presta el servicio, de las características del producto que recibe, y de los mecanismos disponibles para ejercer sus derechos.</w:t>
      </w:r>
    </w:p>
    <w:p w14:paraId="69ED79F1" w14:textId="77777777" w:rsidR="00EC109F" w:rsidRPr="00EC109F" w:rsidRDefault="00EC109F" w:rsidP="00541C3A">
      <w:pPr>
        <w:spacing w:before="100" w:beforeAutospacing="1" w:after="100" w:afterAutospacing="1" w:line="360" w:lineRule="auto"/>
        <w:rPr>
          <w:rFonts w:cs="Arial"/>
          <w:szCs w:val="24"/>
          <w:lang w:val="es-ES"/>
        </w:rPr>
      </w:pPr>
      <w:r w:rsidRPr="00EC109F">
        <w:rPr>
          <w:rFonts w:cs="Arial"/>
          <w:szCs w:val="24"/>
          <w:lang w:val="es-ES"/>
        </w:rPr>
        <w:t>Los estudios desarrollados por CQM Consultoría evidencian la existencia de asimetrías de información entre los agentes y los usuarios finales respecto de las características del producto, las condiciones de comercialización y el ejercicio de sus derechos como usuarios del servicio. Asimismo, el diagnóstico realizado para el presente AIN identificó que la información relevante para el usuario no siempre se presenta de manera uniforme ni mediante mecanismos homogéneos, circunstancia que puede dificultar su comprensión y utilización efectiva durante la prestación del servicio. Estas condiciones reflejan que la dispersión de la información y la heterogeneidad en los mecanismos utilizados para comunicarla constituyen factores que inciden en las asimetrías de información observadas en el mercado.</w:t>
      </w:r>
    </w:p>
    <w:p w14:paraId="0871E64F" w14:textId="04E1F626" w:rsidR="00EC109F" w:rsidRPr="00EC109F" w:rsidRDefault="00EC109F" w:rsidP="00C6772E">
      <w:pPr>
        <w:spacing w:before="100" w:beforeAutospacing="1" w:after="100" w:afterAutospacing="1" w:line="360" w:lineRule="auto"/>
        <w:rPr>
          <w:rFonts w:cs="Arial"/>
          <w:szCs w:val="24"/>
          <w:lang w:val="es-ES"/>
        </w:rPr>
      </w:pPr>
      <w:r w:rsidRPr="00EC109F">
        <w:rPr>
          <w:rFonts w:cs="Arial"/>
          <w:szCs w:val="24"/>
          <w:lang w:val="es-ES"/>
        </w:rPr>
        <w:t xml:space="preserve">Las condiciones descritas explican las limitaciones observadas en la información disponible para los usuarios y las dificultades asociadas con los mecanismos de atención y protección. Asimismo, la disponibilidad insuficiente o fragmentada de información técnica puede dificultar que los usuarios comprendan las características </w:t>
      </w:r>
      <w:r w:rsidR="00A00364">
        <w:rPr>
          <w:rFonts w:cs="Arial"/>
          <w:szCs w:val="24"/>
          <w:lang w:val="es-ES"/>
        </w:rPr>
        <w:t xml:space="preserve">técnicas </w:t>
      </w:r>
      <w:r w:rsidRPr="00EC109F">
        <w:rPr>
          <w:rFonts w:cs="Arial"/>
          <w:szCs w:val="24"/>
          <w:lang w:val="es-ES"/>
        </w:rPr>
        <w:t>del producto suministrado, las condiciones de calidad bajo las cuales se presta el servicio y las recomendaciones para su utilización segura. Cuando la información se encuentra distribuida entre diferentes actores y es comunicada mediante mecanismos heterogéneos, disminuye la capacidad de los usuarios para comprender integralmente las condiciones de la prestación del servicio, adoptar decisiones informadas y ejercer oportunamente sus derechos.</w:t>
      </w:r>
    </w:p>
    <w:p w14:paraId="6BA97184" w14:textId="77777777" w:rsidR="00EC109F" w:rsidRPr="00EC109F" w:rsidRDefault="00EC109F" w:rsidP="00C6772E">
      <w:pPr>
        <w:spacing w:before="100" w:beforeAutospacing="1" w:after="100" w:afterAutospacing="1" w:line="360" w:lineRule="auto"/>
        <w:rPr>
          <w:rFonts w:cs="Arial"/>
          <w:szCs w:val="24"/>
          <w:lang w:val="es-ES"/>
        </w:rPr>
      </w:pPr>
      <w:r w:rsidRPr="00EC109F">
        <w:rPr>
          <w:rFonts w:cs="Arial"/>
          <w:szCs w:val="24"/>
          <w:lang w:val="es-ES"/>
        </w:rPr>
        <w:lastRenderedPageBreak/>
        <w:t>Esta causa presenta una incidencia transversal en las modalidades de prestación mediante cilindros, tanques estacionarios y redes de distribución. No obstante, su manifestación puede variar dependiendo de la forma de comercialización, de la interacción que exista entre el usuario y el prestador y de los mecanismos de comunicación empleados en cada modalidad de prestación.</w:t>
      </w:r>
    </w:p>
    <w:p w14:paraId="049134B7" w14:textId="74610934" w:rsidR="00A3561B" w:rsidRPr="00AE128F" w:rsidRDefault="00EC109F" w:rsidP="00C6772E">
      <w:pPr>
        <w:spacing w:before="100" w:beforeAutospacing="1" w:after="100" w:afterAutospacing="1" w:line="360" w:lineRule="auto"/>
        <w:rPr>
          <w:rFonts w:cs="Arial"/>
          <w:szCs w:val="24"/>
          <w:lang w:val="es-ES"/>
        </w:rPr>
      </w:pPr>
      <w:r w:rsidRPr="00EC109F">
        <w:rPr>
          <w:rFonts w:cs="Arial"/>
          <w:szCs w:val="24"/>
          <w:lang w:val="es-ES"/>
        </w:rPr>
        <w:t>En consecuencia, la dispersión de la información técnica y comercial entre los diferentes actores que participan en la prestación del servicio, así como la heterogeneidad en los mecanismos utilizados para comunicarla a los usuarios, constituyen una causa estructural de las deficiencias en la prestación del servicio, en la medida en que explican las limitaciones observadas en la información disponible para los usuarios y las dificultades asociadas con los mecanismos de atención y protección, contribuyendo a la materialización del problema analizado</w:t>
      </w:r>
      <w:r w:rsidR="00A3561B" w:rsidRPr="00771913">
        <w:rPr>
          <w:rFonts w:cs="Arial"/>
          <w:szCs w:val="24"/>
          <w:lang w:val="es-ES"/>
        </w:rPr>
        <w:t>.</w:t>
      </w:r>
    </w:p>
    <w:p w14:paraId="65C5388D" w14:textId="56E8E609" w:rsidR="00095E05" w:rsidRDefault="00095E05" w:rsidP="00C6772E">
      <w:pPr>
        <w:pStyle w:val="Ttulo4"/>
        <w:spacing w:before="100" w:beforeAutospacing="1" w:after="100" w:afterAutospacing="1" w:line="360" w:lineRule="auto"/>
        <w:ind w:left="1276" w:hanging="1276"/>
      </w:pPr>
      <w:r>
        <w:t>Análisis de efectos</w:t>
      </w:r>
      <w:r w:rsidRPr="00225A26">
        <w:t>.</w:t>
      </w:r>
    </w:p>
    <w:p w14:paraId="06FE0A01" w14:textId="3222B979" w:rsidR="00716C1C" w:rsidRDefault="00716C1C" w:rsidP="00C6772E">
      <w:pPr>
        <w:pStyle w:val="Descripcin"/>
        <w:keepNext/>
        <w:spacing w:before="100" w:beforeAutospacing="1" w:after="100" w:afterAutospacing="1" w:line="360" w:lineRule="auto"/>
        <w:rPr>
          <w:rFonts w:cs="Arial"/>
          <w:b w:val="0"/>
          <w:iCs w:val="0"/>
          <w:szCs w:val="24"/>
        </w:rPr>
      </w:pPr>
      <w:r w:rsidRPr="00716C1C">
        <w:rPr>
          <w:rFonts w:cs="Arial"/>
          <w:b w:val="0"/>
          <w:iCs w:val="0"/>
          <w:szCs w:val="24"/>
        </w:rPr>
        <w:t xml:space="preserve">Con base en las causas estructurales identificadas para el eje temático analizado, se determinaron los principales efectos que estas pueden generar sobre la prestación del servicio público domiciliario de GLP, el funcionamiento del mercado y el bienestar de los usuarios. Como se indicó previamente, una misma causa puede producir uno o varios efectos y, a su vez, un mismo efecto puede derivarse de diferentes causas. Por esta razón, el análisis se desarrolla mediante un enfoque de trazabilidad que relaciona las causas estructurales identificadas con los efectos asociados. </w:t>
      </w:r>
      <w:r w:rsidR="00632A06" w:rsidRPr="00C6772E">
        <w:rPr>
          <w:rFonts w:cs="Arial"/>
          <w:b w:val="0"/>
          <w:szCs w:val="24"/>
        </w:rPr>
        <w:t xml:space="preserve">La </w:t>
      </w:r>
      <w:r w:rsidR="00C6772E" w:rsidRPr="00C6772E">
        <w:rPr>
          <w:rFonts w:cs="Arial"/>
          <w:b w:val="0"/>
          <w:szCs w:val="24"/>
        </w:rPr>
        <w:fldChar w:fldCharType="begin"/>
      </w:r>
      <w:r w:rsidR="00C6772E" w:rsidRPr="00C6772E">
        <w:rPr>
          <w:rFonts w:cs="Arial"/>
          <w:b w:val="0"/>
          <w:szCs w:val="24"/>
        </w:rPr>
        <w:instrText xml:space="preserve"> REF _Ref235117073 \h  \* MERGEFORMAT </w:instrText>
      </w:r>
      <w:r w:rsidR="00C6772E" w:rsidRPr="00C6772E">
        <w:rPr>
          <w:rFonts w:cs="Arial"/>
          <w:b w:val="0"/>
          <w:szCs w:val="24"/>
        </w:rPr>
      </w:r>
      <w:r w:rsidR="00C6772E" w:rsidRPr="00C6772E">
        <w:rPr>
          <w:rFonts w:cs="Arial"/>
          <w:b w:val="0"/>
          <w:szCs w:val="24"/>
        </w:rPr>
        <w:fldChar w:fldCharType="separate"/>
      </w:r>
      <w:r w:rsidR="00C6772E" w:rsidRPr="00C6772E">
        <w:rPr>
          <w:b w:val="0"/>
        </w:rPr>
        <w:t xml:space="preserve">Tabla </w:t>
      </w:r>
      <w:r w:rsidR="00C6772E" w:rsidRPr="00C6772E">
        <w:rPr>
          <w:b w:val="0"/>
          <w:noProof/>
        </w:rPr>
        <w:t>19</w:t>
      </w:r>
      <w:r w:rsidR="00C6772E" w:rsidRPr="00C6772E">
        <w:rPr>
          <w:rFonts w:cs="Arial"/>
          <w:b w:val="0"/>
          <w:szCs w:val="24"/>
        </w:rPr>
        <w:fldChar w:fldCharType="end"/>
      </w:r>
      <w:r w:rsidRPr="00716C1C">
        <w:rPr>
          <w:rFonts w:cs="Arial"/>
          <w:b w:val="0"/>
          <w:iCs w:val="0"/>
          <w:szCs w:val="24"/>
        </w:rPr>
        <w:t xml:space="preserve"> presenta una síntesis de los principales efectos estructurales identificados para este eje temático.</w:t>
      </w:r>
    </w:p>
    <w:p w14:paraId="43EB07C6" w14:textId="5A3B1A52" w:rsidR="007044BD" w:rsidRPr="00C6772E" w:rsidRDefault="0031114B" w:rsidP="00C6772E">
      <w:pPr>
        <w:pStyle w:val="Descripcin"/>
        <w:jc w:val="center"/>
        <w:rPr>
          <w:rFonts w:cs="Arial"/>
          <w:b w:val="0"/>
          <w:sz w:val="22"/>
          <w:szCs w:val="22"/>
        </w:rPr>
      </w:pPr>
      <w:bookmarkStart w:id="215" w:name="_Ref235117073"/>
      <w:bookmarkStart w:id="216" w:name="_Toc235128416"/>
      <w:r w:rsidRPr="00C6772E">
        <w:rPr>
          <w:b w:val="0"/>
          <w:sz w:val="22"/>
          <w:szCs w:val="22"/>
        </w:rPr>
        <w:t xml:space="preserve">Tabla </w:t>
      </w:r>
      <w:r w:rsidR="00C6772E" w:rsidRPr="00C6772E">
        <w:rPr>
          <w:b w:val="0"/>
          <w:bCs/>
          <w:sz w:val="22"/>
          <w:szCs w:val="22"/>
        </w:rPr>
        <w:fldChar w:fldCharType="begin"/>
      </w:r>
      <w:r w:rsidR="00C6772E" w:rsidRPr="00C6772E">
        <w:rPr>
          <w:b w:val="0"/>
          <w:bCs/>
          <w:sz w:val="22"/>
          <w:szCs w:val="22"/>
        </w:rPr>
        <w:instrText xml:space="preserve"> SEQ Tabla \* ARABIC </w:instrText>
      </w:r>
      <w:r w:rsidR="00C6772E" w:rsidRPr="00C6772E">
        <w:rPr>
          <w:b w:val="0"/>
          <w:bCs/>
          <w:sz w:val="22"/>
          <w:szCs w:val="22"/>
        </w:rPr>
        <w:fldChar w:fldCharType="separate"/>
      </w:r>
      <w:r w:rsidR="001C42C8">
        <w:rPr>
          <w:b w:val="0"/>
          <w:bCs/>
          <w:noProof/>
          <w:sz w:val="22"/>
          <w:szCs w:val="22"/>
        </w:rPr>
        <w:t>19</w:t>
      </w:r>
      <w:r w:rsidR="00C6772E" w:rsidRPr="00C6772E">
        <w:rPr>
          <w:b w:val="0"/>
          <w:bCs/>
          <w:sz w:val="22"/>
          <w:szCs w:val="22"/>
        </w:rPr>
        <w:fldChar w:fldCharType="end"/>
      </w:r>
      <w:bookmarkEnd w:id="215"/>
      <w:r w:rsidR="00C6772E" w:rsidRPr="00C6772E">
        <w:rPr>
          <w:b w:val="0"/>
          <w:bCs/>
          <w:sz w:val="22"/>
          <w:szCs w:val="22"/>
        </w:rPr>
        <w:t>.</w:t>
      </w:r>
      <w:r w:rsidRPr="00C6772E">
        <w:rPr>
          <w:b w:val="0"/>
          <w:sz w:val="22"/>
          <w:szCs w:val="22"/>
        </w:rPr>
        <w:t xml:space="preserve"> </w:t>
      </w:r>
      <w:r w:rsidRPr="00C6772E">
        <w:rPr>
          <w:rFonts w:cs="Arial"/>
          <w:b w:val="0"/>
          <w:sz w:val="22"/>
          <w:szCs w:val="22"/>
        </w:rPr>
        <w:t>Síntesis de l</w:t>
      </w:r>
      <w:r w:rsidR="00EC4D7C" w:rsidRPr="00C6772E">
        <w:rPr>
          <w:rFonts w:cs="Arial"/>
          <w:b w:val="0"/>
          <w:sz w:val="22"/>
          <w:szCs w:val="22"/>
        </w:rPr>
        <w:t>o</w:t>
      </w:r>
      <w:r w:rsidRPr="00C6772E">
        <w:rPr>
          <w:rFonts w:cs="Arial"/>
          <w:b w:val="0"/>
          <w:sz w:val="22"/>
          <w:szCs w:val="22"/>
        </w:rPr>
        <w:t xml:space="preserve">s </w:t>
      </w:r>
      <w:r w:rsidR="00EC4D7C" w:rsidRPr="00C6772E">
        <w:rPr>
          <w:rFonts w:cs="Arial"/>
          <w:b w:val="0"/>
          <w:sz w:val="22"/>
          <w:szCs w:val="22"/>
        </w:rPr>
        <w:t>efectos</w:t>
      </w:r>
      <w:r w:rsidRPr="00C6772E">
        <w:rPr>
          <w:rFonts w:cs="Arial"/>
          <w:b w:val="0"/>
          <w:sz w:val="22"/>
          <w:szCs w:val="22"/>
        </w:rPr>
        <w:t xml:space="preserve"> estructurales asociadas al eje de prestación del servicio</w:t>
      </w:r>
      <w:bookmarkEnd w:id="216"/>
    </w:p>
    <w:tbl>
      <w:tblPr>
        <w:tblStyle w:val="Tablaconcuadrcula"/>
        <w:tblW w:w="0" w:type="auto"/>
        <w:tblLook w:val="04A0" w:firstRow="1" w:lastRow="0" w:firstColumn="1" w:lastColumn="0" w:noHBand="0" w:noVBand="1"/>
      </w:tblPr>
      <w:tblGrid>
        <w:gridCol w:w="571"/>
        <w:gridCol w:w="2691"/>
        <w:gridCol w:w="1418"/>
        <w:gridCol w:w="3412"/>
        <w:gridCol w:w="1304"/>
      </w:tblGrid>
      <w:tr w:rsidR="008C1402" w:rsidRPr="002D5B4B" w14:paraId="1B580EE1" w14:textId="77777777" w:rsidTr="00766594">
        <w:trPr>
          <w:tblHeader/>
        </w:trPr>
        <w:tc>
          <w:tcPr>
            <w:tcW w:w="0" w:type="auto"/>
            <w:hideMark/>
          </w:tcPr>
          <w:p w14:paraId="06EBE908" w14:textId="77777777" w:rsidR="008C1402" w:rsidRPr="002D5B4B" w:rsidRDefault="008C1402" w:rsidP="002F1961">
            <w:pPr>
              <w:spacing w:before="100" w:beforeAutospacing="1" w:after="100" w:afterAutospacing="1" w:line="360" w:lineRule="auto"/>
              <w:rPr>
                <w:b/>
                <w:bCs/>
                <w:sz w:val="22"/>
                <w:szCs w:val="22"/>
                <w:lang w:val="es-CO"/>
              </w:rPr>
            </w:pPr>
            <w:r w:rsidRPr="002D5B4B">
              <w:rPr>
                <w:b/>
                <w:bCs/>
                <w:sz w:val="22"/>
                <w:szCs w:val="22"/>
                <w:lang w:val="es-CO"/>
              </w:rPr>
              <w:t>No.</w:t>
            </w:r>
          </w:p>
        </w:tc>
        <w:tc>
          <w:tcPr>
            <w:tcW w:w="0" w:type="auto"/>
            <w:hideMark/>
          </w:tcPr>
          <w:p w14:paraId="23579E7E" w14:textId="77777777" w:rsidR="008C1402" w:rsidRPr="002D5B4B" w:rsidRDefault="008C1402" w:rsidP="002F1961">
            <w:pPr>
              <w:spacing w:before="100" w:beforeAutospacing="1" w:after="100" w:afterAutospacing="1" w:line="360" w:lineRule="auto"/>
              <w:rPr>
                <w:b/>
                <w:bCs/>
                <w:sz w:val="22"/>
                <w:szCs w:val="22"/>
                <w:lang w:val="es-CO"/>
              </w:rPr>
            </w:pPr>
            <w:r w:rsidRPr="002D5B4B">
              <w:rPr>
                <w:b/>
                <w:bCs/>
                <w:sz w:val="22"/>
                <w:szCs w:val="22"/>
                <w:lang w:val="es-CO"/>
              </w:rPr>
              <w:t>Efecto estructural</w:t>
            </w:r>
          </w:p>
        </w:tc>
        <w:tc>
          <w:tcPr>
            <w:tcW w:w="0" w:type="auto"/>
            <w:hideMark/>
          </w:tcPr>
          <w:p w14:paraId="7367FF4B" w14:textId="77777777" w:rsidR="008C1402" w:rsidRPr="002D5B4B" w:rsidRDefault="008C1402" w:rsidP="002F1961">
            <w:pPr>
              <w:spacing w:before="100" w:beforeAutospacing="1" w:after="100" w:afterAutospacing="1" w:line="360" w:lineRule="auto"/>
              <w:rPr>
                <w:b/>
                <w:bCs/>
                <w:sz w:val="22"/>
                <w:szCs w:val="22"/>
                <w:lang w:val="es-CO"/>
              </w:rPr>
            </w:pPr>
            <w:r w:rsidRPr="002D5B4B">
              <w:rPr>
                <w:b/>
                <w:bCs/>
                <w:sz w:val="22"/>
                <w:szCs w:val="22"/>
                <w:lang w:val="es-CO"/>
              </w:rPr>
              <w:t>Tipo</w:t>
            </w:r>
          </w:p>
        </w:tc>
        <w:tc>
          <w:tcPr>
            <w:tcW w:w="0" w:type="auto"/>
            <w:hideMark/>
          </w:tcPr>
          <w:p w14:paraId="77B9D0EF" w14:textId="77777777" w:rsidR="008C1402" w:rsidRPr="002D5B4B" w:rsidRDefault="008C1402" w:rsidP="002F1961">
            <w:pPr>
              <w:spacing w:before="100" w:beforeAutospacing="1" w:after="100" w:afterAutospacing="1" w:line="360" w:lineRule="auto"/>
              <w:rPr>
                <w:b/>
                <w:bCs/>
                <w:sz w:val="22"/>
                <w:szCs w:val="22"/>
                <w:lang w:val="es-CO"/>
              </w:rPr>
            </w:pPr>
            <w:r w:rsidRPr="002D5B4B">
              <w:rPr>
                <w:b/>
                <w:bCs/>
                <w:sz w:val="22"/>
                <w:szCs w:val="22"/>
                <w:lang w:val="es-CO"/>
              </w:rPr>
              <w:t>Deriva de los síntomas</w:t>
            </w:r>
          </w:p>
        </w:tc>
        <w:tc>
          <w:tcPr>
            <w:tcW w:w="0" w:type="auto"/>
            <w:hideMark/>
          </w:tcPr>
          <w:p w14:paraId="2E916839" w14:textId="77777777" w:rsidR="008C1402" w:rsidRPr="002D5B4B" w:rsidRDefault="008C1402" w:rsidP="002F1961">
            <w:pPr>
              <w:spacing w:before="100" w:beforeAutospacing="1" w:after="100" w:afterAutospacing="1" w:line="360" w:lineRule="auto"/>
              <w:rPr>
                <w:b/>
                <w:bCs/>
                <w:sz w:val="22"/>
                <w:szCs w:val="22"/>
                <w:lang w:val="es-CO"/>
              </w:rPr>
            </w:pPr>
            <w:r w:rsidRPr="002D5B4B">
              <w:rPr>
                <w:b/>
                <w:bCs/>
                <w:sz w:val="22"/>
                <w:szCs w:val="22"/>
                <w:lang w:val="es-CO"/>
              </w:rPr>
              <w:t>Modalidad</w:t>
            </w:r>
          </w:p>
        </w:tc>
      </w:tr>
      <w:tr w:rsidR="008C1402" w:rsidRPr="002D5B4B" w14:paraId="4C46C49F" w14:textId="77777777" w:rsidTr="004032FE">
        <w:tc>
          <w:tcPr>
            <w:tcW w:w="0" w:type="auto"/>
            <w:vAlign w:val="center"/>
            <w:hideMark/>
          </w:tcPr>
          <w:p w14:paraId="1C3F7BBF" w14:textId="77777777" w:rsidR="008C1402" w:rsidRPr="002D5B4B" w:rsidRDefault="008C1402" w:rsidP="002F1961">
            <w:pPr>
              <w:spacing w:before="100" w:beforeAutospacing="1" w:after="100" w:afterAutospacing="1" w:line="360" w:lineRule="auto"/>
              <w:jc w:val="center"/>
              <w:rPr>
                <w:sz w:val="22"/>
                <w:szCs w:val="22"/>
                <w:lang w:val="es-CO"/>
              </w:rPr>
            </w:pPr>
            <w:r w:rsidRPr="002D5B4B">
              <w:rPr>
                <w:sz w:val="22"/>
                <w:szCs w:val="22"/>
                <w:lang w:val="es-CO"/>
              </w:rPr>
              <w:t>E1</w:t>
            </w:r>
          </w:p>
        </w:tc>
        <w:tc>
          <w:tcPr>
            <w:tcW w:w="0" w:type="auto"/>
            <w:hideMark/>
          </w:tcPr>
          <w:p w14:paraId="4A7B1618" w14:textId="24258A24" w:rsidR="008C1402" w:rsidRPr="002D5B4B" w:rsidRDefault="00584283" w:rsidP="002F1961">
            <w:pPr>
              <w:spacing w:before="100" w:beforeAutospacing="1" w:after="100" w:afterAutospacing="1" w:line="360" w:lineRule="auto"/>
              <w:jc w:val="left"/>
              <w:rPr>
                <w:sz w:val="22"/>
                <w:szCs w:val="22"/>
                <w:lang w:val="es-CO"/>
              </w:rPr>
            </w:pPr>
            <w:r w:rsidRPr="00584283">
              <w:rPr>
                <w:sz w:val="22"/>
                <w:szCs w:val="22"/>
                <w:lang w:val="es-CO"/>
              </w:rPr>
              <w:t xml:space="preserve">Reducción de la capacidad de los usuarios para ejercer sus derechos, adoptar decisiones informadas y </w:t>
            </w:r>
            <w:r w:rsidRPr="00584283">
              <w:rPr>
                <w:sz w:val="22"/>
                <w:szCs w:val="22"/>
                <w:lang w:val="es-CO"/>
              </w:rPr>
              <w:lastRenderedPageBreak/>
              <w:t>utilizar el servicio bajo condiciones adecuadas de calidad y seguridad</w:t>
            </w:r>
            <w:r w:rsidR="008C1402" w:rsidRPr="002D5B4B">
              <w:rPr>
                <w:sz w:val="22"/>
                <w:szCs w:val="22"/>
                <w:lang w:val="es-CO"/>
              </w:rPr>
              <w:t>.</w:t>
            </w:r>
          </w:p>
        </w:tc>
        <w:tc>
          <w:tcPr>
            <w:tcW w:w="0" w:type="auto"/>
            <w:hideMark/>
          </w:tcPr>
          <w:p w14:paraId="6F0B6A09" w14:textId="77777777" w:rsidR="008C1402" w:rsidRPr="002D5B4B" w:rsidRDefault="008C1402" w:rsidP="002F1961">
            <w:pPr>
              <w:spacing w:before="100" w:beforeAutospacing="1" w:after="100" w:afterAutospacing="1" w:line="360" w:lineRule="auto"/>
              <w:rPr>
                <w:sz w:val="22"/>
                <w:szCs w:val="22"/>
                <w:lang w:val="es-CO"/>
              </w:rPr>
            </w:pPr>
            <w:r w:rsidRPr="002D5B4B">
              <w:rPr>
                <w:sz w:val="22"/>
                <w:szCs w:val="22"/>
                <w:lang w:val="es-CO"/>
              </w:rPr>
              <w:lastRenderedPageBreak/>
              <w:t>Social</w:t>
            </w:r>
          </w:p>
        </w:tc>
        <w:tc>
          <w:tcPr>
            <w:tcW w:w="0" w:type="auto"/>
            <w:hideMark/>
          </w:tcPr>
          <w:p w14:paraId="23EFDAE0" w14:textId="55FAA1F8" w:rsidR="008C1402" w:rsidRPr="002D5B4B" w:rsidRDefault="0056278F" w:rsidP="002F1961">
            <w:pPr>
              <w:spacing w:before="100" w:beforeAutospacing="1" w:after="100" w:afterAutospacing="1" w:line="360" w:lineRule="auto"/>
              <w:jc w:val="left"/>
              <w:rPr>
                <w:sz w:val="22"/>
                <w:szCs w:val="22"/>
                <w:lang w:val="es-CO"/>
              </w:rPr>
            </w:pPr>
            <w:r w:rsidRPr="0056278F">
              <w:rPr>
                <w:sz w:val="22"/>
                <w:szCs w:val="22"/>
              </w:rPr>
              <w:t xml:space="preserve">Deficiencias en la prestación del servicio en condiciones de calidad y seguridad, limitaciones en la disponibilidad de información para los usuarios y </w:t>
            </w:r>
            <w:r w:rsidRPr="0056278F">
              <w:rPr>
                <w:sz w:val="22"/>
                <w:szCs w:val="22"/>
              </w:rPr>
              <w:lastRenderedPageBreak/>
              <w:t>limitaciones en los mecanismos de atención y protección al usuario</w:t>
            </w:r>
            <w:r w:rsidR="008C1402" w:rsidRPr="002D5B4B">
              <w:rPr>
                <w:sz w:val="22"/>
                <w:szCs w:val="22"/>
                <w:lang w:val="es-CO"/>
              </w:rPr>
              <w:t>.</w:t>
            </w:r>
          </w:p>
        </w:tc>
        <w:tc>
          <w:tcPr>
            <w:tcW w:w="0" w:type="auto"/>
            <w:hideMark/>
          </w:tcPr>
          <w:p w14:paraId="43AC83BD" w14:textId="77777777" w:rsidR="008C1402" w:rsidRPr="002D5B4B" w:rsidRDefault="008C1402" w:rsidP="002F1961">
            <w:pPr>
              <w:spacing w:before="100" w:beforeAutospacing="1" w:after="100" w:afterAutospacing="1" w:line="360" w:lineRule="auto"/>
              <w:rPr>
                <w:sz w:val="22"/>
                <w:szCs w:val="22"/>
                <w:lang w:val="es-CO"/>
              </w:rPr>
            </w:pPr>
            <w:r w:rsidRPr="002D5B4B">
              <w:rPr>
                <w:sz w:val="22"/>
                <w:szCs w:val="22"/>
                <w:lang w:val="es-CO"/>
              </w:rPr>
              <w:lastRenderedPageBreak/>
              <w:t>Todas.</w:t>
            </w:r>
          </w:p>
        </w:tc>
      </w:tr>
      <w:tr w:rsidR="008C1402" w:rsidRPr="002D5B4B" w14:paraId="655121E0" w14:textId="77777777" w:rsidTr="004032FE">
        <w:tc>
          <w:tcPr>
            <w:tcW w:w="0" w:type="auto"/>
            <w:vAlign w:val="center"/>
            <w:hideMark/>
          </w:tcPr>
          <w:p w14:paraId="51F1F53B" w14:textId="77777777" w:rsidR="008C1402" w:rsidRPr="002D5B4B" w:rsidRDefault="008C1402" w:rsidP="002F1961">
            <w:pPr>
              <w:spacing w:before="100" w:beforeAutospacing="1" w:after="100" w:afterAutospacing="1" w:line="360" w:lineRule="auto"/>
              <w:jc w:val="center"/>
              <w:rPr>
                <w:sz w:val="22"/>
                <w:szCs w:val="22"/>
                <w:lang w:val="es-CO"/>
              </w:rPr>
            </w:pPr>
            <w:r w:rsidRPr="002D5B4B">
              <w:rPr>
                <w:sz w:val="22"/>
                <w:szCs w:val="22"/>
                <w:lang w:val="es-CO"/>
              </w:rPr>
              <w:t>E2</w:t>
            </w:r>
          </w:p>
        </w:tc>
        <w:tc>
          <w:tcPr>
            <w:tcW w:w="0" w:type="auto"/>
            <w:hideMark/>
          </w:tcPr>
          <w:p w14:paraId="4A59C0BC" w14:textId="0DA2FEFA" w:rsidR="008C1402" w:rsidRPr="002D5B4B" w:rsidRDefault="0056278F" w:rsidP="002F1961">
            <w:pPr>
              <w:spacing w:before="100" w:beforeAutospacing="1" w:after="100" w:afterAutospacing="1" w:line="360" w:lineRule="auto"/>
              <w:jc w:val="left"/>
              <w:rPr>
                <w:sz w:val="22"/>
                <w:szCs w:val="22"/>
                <w:lang w:val="es-CO"/>
              </w:rPr>
            </w:pPr>
            <w:r w:rsidRPr="0056278F">
              <w:rPr>
                <w:sz w:val="22"/>
                <w:szCs w:val="22"/>
                <w:lang w:val="es-CO"/>
              </w:rPr>
              <w:t>Mayor dificultad para realizar el seguimiento, la supervisión y la mejora continua de la prestación del servicio.</w:t>
            </w:r>
          </w:p>
        </w:tc>
        <w:tc>
          <w:tcPr>
            <w:tcW w:w="0" w:type="auto"/>
            <w:hideMark/>
          </w:tcPr>
          <w:p w14:paraId="7043C024" w14:textId="77777777" w:rsidR="008C1402" w:rsidRPr="002D5B4B" w:rsidRDefault="008C1402" w:rsidP="002F1961">
            <w:pPr>
              <w:spacing w:before="100" w:beforeAutospacing="1" w:after="100" w:afterAutospacing="1" w:line="360" w:lineRule="auto"/>
              <w:rPr>
                <w:sz w:val="22"/>
                <w:szCs w:val="22"/>
                <w:lang w:val="es-CO"/>
              </w:rPr>
            </w:pPr>
            <w:r w:rsidRPr="002D5B4B">
              <w:rPr>
                <w:sz w:val="22"/>
                <w:szCs w:val="22"/>
                <w:lang w:val="es-CO"/>
              </w:rPr>
              <w:t>Regulatorio / Mercado</w:t>
            </w:r>
          </w:p>
        </w:tc>
        <w:tc>
          <w:tcPr>
            <w:tcW w:w="0" w:type="auto"/>
            <w:hideMark/>
          </w:tcPr>
          <w:p w14:paraId="722F08BB" w14:textId="36A485F0" w:rsidR="008C1402" w:rsidRPr="002D5B4B" w:rsidRDefault="0056278F" w:rsidP="002F1961">
            <w:pPr>
              <w:spacing w:before="100" w:beforeAutospacing="1" w:after="100" w:afterAutospacing="1" w:line="360" w:lineRule="auto"/>
              <w:jc w:val="left"/>
              <w:rPr>
                <w:sz w:val="22"/>
                <w:szCs w:val="22"/>
                <w:lang w:val="es-CO"/>
              </w:rPr>
            </w:pPr>
            <w:r w:rsidRPr="0056278F">
              <w:rPr>
                <w:sz w:val="22"/>
                <w:szCs w:val="22"/>
              </w:rPr>
              <w:t>Deficiencias en la prestación del servicio en condiciones de calidad y seguridad, limitaciones en la trazabilidad de la prestación del servicio, limitaciones en la disponibilidad de información para los usuarios y limitaciones en los mecanismos de atención y protección al usuario</w:t>
            </w:r>
            <w:r>
              <w:rPr>
                <w:sz w:val="22"/>
                <w:szCs w:val="22"/>
              </w:rPr>
              <w:t>.</w:t>
            </w:r>
          </w:p>
        </w:tc>
        <w:tc>
          <w:tcPr>
            <w:tcW w:w="0" w:type="auto"/>
            <w:hideMark/>
          </w:tcPr>
          <w:p w14:paraId="116EDE41" w14:textId="77777777" w:rsidR="008C1402" w:rsidRPr="002D5B4B" w:rsidRDefault="008C1402" w:rsidP="002F1961">
            <w:pPr>
              <w:spacing w:before="100" w:beforeAutospacing="1" w:after="100" w:afterAutospacing="1" w:line="360" w:lineRule="auto"/>
              <w:rPr>
                <w:sz w:val="22"/>
                <w:szCs w:val="22"/>
                <w:lang w:val="es-CO"/>
              </w:rPr>
            </w:pPr>
            <w:r w:rsidRPr="002D5B4B">
              <w:rPr>
                <w:sz w:val="22"/>
                <w:szCs w:val="22"/>
                <w:lang w:val="es-CO"/>
              </w:rPr>
              <w:t>Todas.</w:t>
            </w:r>
          </w:p>
        </w:tc>
      </w:tr>
      <w:tr w:rsidR="008C1402" w:rsidRPr="002D5B4B" w14:paraId="73B2C9D3" w14:textId="77777777" w:rsidTr="00FC5666">
        <w:trPr>
          <w:trHeight w:val="58"/>
        </w:trPr>
        <w:tc>
          <w:tcPr>
            <w:tcW w:w="0" w:type="auto"/>
            <w:vAlign w:val="center"/>
            <w:hideMark/>
          </w:tcPr>
          <w:p w14:paraId="748D8C67" w14:textId="77777777" w:rsidR="008C1402" w:rsidRPr="002D5B4B" w:rsidRDefault="008C1402" w:rsidP="002F1961">
            <w:pPr>
              <w:spacing w:before="100" w:beforeAutospacing="1" w:after="100" w:afterAutospacing="1" w:line="360" w:lineRule="auto"/>
              <w:jc w:val="center"/>
              <w:rPr>
                <w:sz w:val="22"/>
                <w:szCs w:val="22"/>
                <w:lang w:val="es-CO"/>
              </w:rPr>
            </w:pPr>
            <w:r w:rsidRPr="002D5B4B">
              <w:rPr>
                <w:sz w:val="22"/>
                <w:szCs w:val="22"/>
                <w:lang w:val="es-CO"/>
              </w:rPr>
              <w:t>E3</w:t>
            </w:r>
          </w:p>
        </w:tc>
        <w:tc>
          <w:tcPr>
            <w:tcW w:w="0" w:type="auto"/>
            <w:hideMark/>
          </w:tcPr>
          <w:p w14:paraId="7550392F" w14:textId="6F17430A" w:rsidR="008C1402" w:rsidRPr="002D5B4B" w:rsidRDefault="00862553" w:rsidP="002F1961">
            <w:pPr>
              <w:spacing w:before="100" w:beforeAutospacing="1" w:after="100" w:afterAutospacing="1" w:line="360" w:lineRule="auto"/>
              <w:jc w:val="left"/>
              <w:rPr>
                <w:sz w:val="22"/>
                <w:szCs w:val="22"/>
                <w:lang w:val="es-CO"/>
              </w:rPr>
            </w:pPr>
            <w:r w:rsidRPr="00862553">
              <w:rPr>
                <w:sz w:val="22"/>
                <w:szCs w:val="22"/>
              </w:rPr>
              <w:t>Disminución de la transparencia y de la confianza de los usuarios en la prestación del servicio</w:t>
            </w:r>
            <w:r w:rsidR="008C1402" w:rsidRPr="002D5B4B">
              <w:rPr>
                <w:sz w:val="22"/>
                <w:szCs w:val="22"/>
                <w:lang w:val="es-CO"/>
              </w:rPr>
              <w:t>.</w:t>
            </w:r>
          </w:p>
        </w:tc>
        <w:tc>
          <w:tcPr>
            <w:tcW w:w="0" w:type="auto"/>
            <w:hideMark/>
          </w:tcPr>
          <w:p w14:paraId="21AEC453" w14:textId="614C57BB" w:rsidR="008C1402" w:rsidRPr="002D5B4B" w:rsidRDefault="008C1402" w:rsidP="002F1961">
            <w:pPr>
              <w:spacing w:before="100" w:beforeAutospacing="1" w:after="100" w:afterAutospacing="1" w:line="360" w:lineRule="auto"/>
              <w:rPr>
                <w:sz w:val="22"/>
                <w:szCs w:val="22"/>
                <w:lang w:val="es-CO"/>
              </w:rPr>
            </w:pPr>
            <w:r w:rsidRPr="002D5B4B">
              <w:rPr>
                <w:sz w:val="22"/>
                <w:szCs w:val="22"/>
                <w:lang w:val="es-CO"/>
              </w:rPr>
              <w:t>Social/ Mercado</w:t>
            </w:r>
          </w:p>
        </w:tc>
        <w:tc>
          <w:tcPr>
            <w:tcW w:w="0" w:type="auto"/>
            <w:hideMark/>
          </w:tcPr>
          <w:p w14:paraId="48AE6E8E" w14:textId="4CC9582E" w:rsidR="008C1402" w:rsidRPr="002D5B4B" w:rsidRDefault="00862553" w:rsidP="002F1961">
            <w:pPr>
              <w:spacing w:before="100" w:beforeAutospacing="1" w:after="100" w:afterAutospacing="1" w:line="360" w:lineRule="auto"/>
              <w:jc w:val="left"/>
              <w:rPr>
                <w:sz w:val="22"/>
                <w:szCs w:val="22"/>
                <w:lang w:val="es-CO"/>
              </w:rPr>
            </w:pPr>
            <w:r w:rsidRPr="00862553">
              <w:rPr>
                <w:sz w:val="22"/>
                <w:szCs w:val="22"/>
              </w:rPr>
              <w:t>Deficiencias en la prestación del servicio en condiciones de calidad y seguridad, limitaciones en la trazabilidad de la prestación del servicio, limitaciones en la disponibilidad de información para los usuarios y limitaciones en los mecanismos de atención y protección al usuario</w:t>
            </w:r>
            <w:r w:rsidR="008C1402" w:rsidRPr="002D5B4B">
              <w:rPr>
                <w:sz w:val="22"/>
                <w:szCs w:val="22"/>
                <w:lang w:val="es-CO"/>
              </w:rPr>
              <w:t>.</w:t>
            </w:r>
          </w:p>
        </w:tc>
        <w:tc>
          <w:tcPr>
            <w:tcW w:w="0" w:type="auto"/>
            <w:hideMark/>
          </w:tcPr>
          <w:p w14:paraId="66D42596" w14:textId="77777777" w:rsidR="008C1402" w:rsidRPr="002D5B4B" w:rsidRDefault="008C1402" w:rsidP="002F1961">
            <w:pPr>
              <w:spacing w:before="100" w:beforeAutospacing="1" w:after="100" w:afterAutospacing="1" w:line="360" w:lineRule="auto"/>
              <w:rPr>
                <w:sz w:val="22"/>
                <w:szCs w:val="22"/>
                <w:lang w:val="es-CO"/>
              </w:rPr>
            </w:pPr>
            <w:r w:rsidRPr="002D5B4B">
              <w:rPr>
                <w:sz w:val="22"/>
                <w:szCs w:val="22"/>
                <w:lang w:val="es-CO"/>
              </w:rPr>
              <w:t>Todas.</w:t>
            </w:r>
          </w:p>
        </w:tc>
      </w:tr>
    </w:tbl>
    <w:p w14:paraId="2479F3D2" w14:textId="3E3971B8" w:rsidR="00EC4D7C" w:rsidRPr="00C6772E" w:rsidRDefault="00EC4D7C" w:rsidP="00C6772E">
      <w:pPr>
        <w:spacing w:before="100" w:beforeAutospacing="1" w:after="100" w:afterAutospacing="1" w:line="360" w:lineRule="auto"/>
        <w:jc w:val="center"/>
        <w:rPr>
          <w:sz w:val="22"/>
          <w:szCs w:val="22"/>
        </w:rPr>
      </w:pPr>
      <w:r w:rsidRPr="00C6772E">
        <w:rPr>
          <w:rFonts w:cs="Arial"/>
          <w:sz w:val="22"/>
          <w:szCs w:val="22"/>
        </w:rPr>
        <w:t>Elaboración</w:t>
      </w:r>
      <w:r w:rsidR="00C6772E" w:rsidRPr="00C6772E">
        <w:rPr>
          <w:rFonts w:cs="Arial"/>
          <w:sz w:val="22"/>
          <w:szCs w:val="22"/>
        </w:rPr>
        <w:t>: CREG</w:t>
      </w:r>
    </w:p>
    <w:p w14:paraId="403CADCF" w14:textId="3998476E" w:rsidR="000F3658" w:rsidRPr="007D563B" w:rsidRDefault="007D563B" w:rsidP="00C6772E">
      <w:pPr>
        <w:pStyle w:val="Ttulo5"/>
        <w:numPr>
          <w:ilvl w:val="4"/>
          <w:numId w:val="6"/>
        </w:numPr>
        <w:spacing w:before="100" w:beforeAutospacing="1" w:after="100" w:afterAutospacing="1"/>
        <w:ind w:left="1134" w:hanging="1134"/>
      </w:pPr>
      <w:r w:rsidRPr="007D563B">
        <w:rPr>
          <w:lang w:val="es-CO"/>
        </w:rPr>
        <w:t>Reducción de la capacidad de los usuarios para ejercer sus derechos, adoptar decisiones informadas y utilizar el servicio bajo condiciones adecuadas de calidad y seguridad</w:t>
      </w:r>
      <w:r w:rsidRPr="007D563B">
        <w:t>.</w:t>
      </w:r>
    </w:p>
    <w:p w14:paraId="29443034" w14:textId="77777777" w:rsidR="00E354DC" w:rsidRPr="00E354DC" w:rsidRDefault="00E354DC" w:rsidP="00C6772E">
      <w:pPr>
        <w:spacing w:before="100" w:beforeAutospacing="1" w:after="100" w:afterAutospacing="1" w:line="360" w:lineRule="auto"/>
        <w:rPr>
          <w:rFonts w:cs="Arial"/>
          <w:szCs w:val="24"/>
          <w:lang w:val="es-ES"/>
        </w:rPr>
      </w:pPr>
      <w:r w:rsidRPr="00E354DC">
        <w:rPr>
          <w:rFonts w:cs="Arial"/>
          <w:szCs w:val="24"/>
          <w:lang w:val="es-ES"/>
        </w:rPr>
        <w:t xml:space="preserve">La persistencia de las deficiencias en las condiciones de calidad y seguridad de la prestación del servicio, las limitaciones en la trazabilidad de la prestación del servicio, las limitaciones en la disponibilidad de información para los usuarios y las limitaciones en los </w:t>
      </w:r>
      <w:r w:rsidRPr="00E354DC">
        <w:rPr>
          <w:rFonts w:cs="Arial"/>
          <w:szCs w:val="24"/>
          <w:lang w:val="es-ES"/>
        </w:rPr>
        <w:lastRenderedPageBreak/>
        <w:t>mecanismos de atención y protección al usuario puede reducir la capacidad de los usuarios para comprender las condiciones bajo las cuales reciben el servicio, ejercer oportunamente sus derechos y adoptar decisiones informadas durante la prestación del servicio. En este contexto, la disminución en la capacidad de los usuarios para acceder, comprender y utilizar la información disponible constituye uno de los principales efectos derivados de las deficiencias en la prestación del servicio.</w:t>
      </w:r>
    </w:p>
    <w:p w14:paraId="0B962E2D" w14:textId="77777777" w:rsidR="00E354DC" w:rsidRPr="00E354DC" w:rsidRDefault="00E354DC" w:rsidP="00C6772E">
      <w:pPr>
        <w:spacing w:before="100" w:beforeAutospacing="1" w:after="100" w:afterAutospacing="1" w:line="360" w:lineRule="auto"/>
        <w:rPr>
          <w:rFonts w:cs="Arial"/>
          <w:szCs w:val="24"/>
          <w:lang w:val="es-ES"/>
        </w:rPr>
      </w:pPr>
      <w:r w:rsidRPr="00E354DC">
        <w:rPr>
          <w:rFonts w:cs="Arial"/>
          <w:szCs w:val="24"/>
          <w:lang w:val="es-ES"/>
        </w:rPr>
        <w:t>Este efecto se genera como consecuencia de la interacción entre los síntomas identificados para este eje temático. Cuando los usuarios no cuentan con información suficiente sobre las condiciones en que se prestó el servicio, enfrentan dificultades para identificar al prestador responsable, conocer las características y condiciones de calidad del producto suministrado, comprender las condiciones de seguridad para su utilización y acceder oportunamente a los mecanismos de atención y protección previstos por la regulación. Asimismo, cuando la información técnica y comercial se encuentra dispersa entre diferentes actores o no es comunicada de manera clara y uniforme, se limita la capacidad de los usuarios para comprender sus derechos y obligaciones, así como para presentar solicitudes, peticiones, quejas o reclamos cuando se presentan inconvenientes en la prestación.</w:t>
      </w:r>
    </w:p>
    <w:p w14:paraId="1ED43BF9" w14:textId="77777777" w:rsidR="00E354DC" w:rsidRPr="00E354DC" w:rsidRDefault="00E354DC" w:rsidP="00C6772E">
      <w:pPr>
        <w:spacing w:before="100" w:beforeAutospacing="1" w:after="100" w:afterAutospacing="1" w:line="360" w:lineRule="auto"/>
        <w:rPr>
          <w:rFonts w:cs="Arial"/>
          <w:szCs w:val="24"/>
          <w:lang w:val="es-ES"/>
        </w:rPr>
      </w:pPr>
      <w:r w:rsidRPr="00E354DC">
        <w:rPr>
          <w:rFonts w:cs="Arial"/>
          <w:szCs w:val="24"/>
          <w:lang w:val="es-ES"/>
        </w:rPr>
        <w:t>Como resultado, disminuye la capacidad de los usuarios para participar de manera informada en el mercado y para ejercer adecuadamente los mecanismos de protección previstos en el marco regulatorio. Esta situación puede afectar la confianza de los usuarios en la prestación del servicio y reducir la efectividad de los instrumentos diseñados para garantizar las condiciones de calidad y seguridad del servicio, la transparencia, la protección de sus derechos y una adecuada relación entre prestadores y usuarios.</w:t>
      </w:r>
    </w:p>
    <w:p w14:paraId="550449B5" w14:textId="77777777" w:rsidR="00E354DC" w:rsidRPr="00E354DC" w:rsidRDefault="00E354DC" w:rsidP="00C6772E">
      <w:pPr>
        <w:spacing w:before="100" w:beforeAutospacing="1" w:after="100" w:afterAutospacing="1" w:line="360" w:lineRule="auto"/>
        <w:rPr>
          <w:rFonts w:cs="Arial"/>
          <w:szCs w:val="24"/>
          <w:lang w:val="es-ES"/>
        </w:rPr>
      </w:pPr>
      <w:r w:rsidRPr="00E354DC">
        <w:rPr>
          <w:rFonts w:cs="Arial"/>
          <w:szCs w:val="24"/>
          <w:lang w:val="es-ES"/>
        </w:rPr>
        <w:t>Este efecto presenta una incidencia transversal en las modalidades de prestación mediante cilindros, tanques estacionarios y redes de distribución. No obstante, su manifestación puede variar dependiendo de la forma de comercialización, del nivel de interacción entre el usuario y el prestador y de los mecanismos de información, comunicación y atención utilizados en cada modalidad de prestación.</w:t>
      </w:r>
    </w:p>
    <w:p w14:paraId="1442AFFC" w14:textId="496878D0" w:rsidR="000F3658" w:rsidRPr="006723CC" w:rsidRDefault="00E354DC" w:rsidP="00C6772E">
      <w:pPr>
        <w:spacing w:before="100" w:beforeAutospacing="1" w:after="100" w:afterAutospacing="1" w:line="360" w:lineRule="auto"/>
        <w:rPr>
          <w:rFonts w:cs="Arial"/>
          <w:szCs w:val="24"/>
          <w:lang w:val="es-ES"/>
        </w:rPr>
      </w:pPr>
      <w:r w:rsidRPr="00E354DC">
        <w:rPr>
          <w:rFonts w:cs="Arial"/>
          <w:szCs w:val="24"/>
          <w:lang w:val="es-ES"/>
        </w:rPr>
        <w:lastRenderedPageBreak/>
        <w:t>En consecuencia, la reducción de la capacidad de los usuarios para ejercer sus derechos y adoptar decisiones informadas durante la prestación del servicio constituye un efecto derivado de las deficiencias en la prestación del servicio, en la medida en que representa una consecuencia directa de las deficiencias en las condiciones de calidad y seguridad de la prestación del servicio, las limitaciones identificadas en la trazabilidad de la prestación, la disponibilidad de información para los usuarios y los mecanismos de atención y protección al usuario</w:t>
      </w:r>
      <w:r w:rsidR="006723CC" w:rsidRPr="006723CC">
        <w:rPr>
          <w:rFonts w:cs="Arial"/>
          <w:szCs w:val="24"/>
          <w:lang w:val="es-ES"/>
        </w:rPr>
        <w:t>.</w:t>
      </w:r>
    </w:p>
    <w:p w14:paraId="0B933F8A" w14:textId="77777777" w:rsidR="00D857FE" w:rsidRPr="00F679FB" w:rsidRDefault="00D857FE">
      <w:pPr>
        <w:pStyle w:val="Ttulo5"/>
        <w:numPr>
          <w:ilvl w:val="4"/>
          <w:numId w:val="64"/>
        </w:numPr>
        <w:spacing w:before="100" w:beforeAutospacing="1" w:after="100" w:afterAutospacing="1"/>
        <w:ind w:left="1134" w:hanging="1134"/>
      </w:pPr>
      <w:r w:rsidRPr="00F679FB">
        <w:rPr>
          <w:lang w:val="es-CO"/>
        </w:rPr>
        <w:t>Mayor dificultad para realizar el seguimiento, supervisión y mejora continua de la prestación del servicio</w:t>
      </w:r>
      <w:r w:rsidRPr="00F679FB">
        <w:t>.</w:t>
      </w:r>
    </w:p>
    <w:p w14:paraId="2B0A3687" w14:textId="77777777" w:rsidR="0078696E" w:rsidRPr="0078696E" w:rsidRDefault="0078696E" w:rsidP="00F35D34">
      <w:pPr>
        <w:spacing w:before="100" w:beforeAutospacing="1" w:after="100" w:afterAutospacing="1" w:line="360" w:lineRule="auto"/>
        <w:rPr>
          <w:rFonts w:cs="Arial"/>
          <w:szCs w:val="24"/>
          <w:lang w:val="es-ES"/>
        </w:rPr>
      </w:pPr>
      <w:r w:rsidRPr="0078696E">
        <w:rPr>
          <w:rFonts w:cs="Arial"/>
          <w:szCs w:val="24"/>
          <w:lang w:val="es-ES"/>
        </w:rPr>
        <w:t>La persistencia de las deficiencias en las condiciones de calidad y seguridad de la prestación del servicio, las limitaciones en la trazabilidad de la prestación del servicio, las limitaciones en la disponibilidad de información para los usuarios y las limitaciones en los mecanismos de atención y protección al usuario puede dificultar el seguimiento, la supervisión y la mejora continua de la prestación del servicio público domiciliario de GLP. En este contexto, la reducción en la disponibilidad de información confiable, oportuna y verificable constituye uno de los principales efectos derivados de las deficiencias en la prestación del servicio.</w:t>
      </w:r>
    </w:p>
    <w:p w14:paraId="7BB774AB" w14:textId="77777777" w:rsidR="0078696E" w:rsidRPr="0078696E" w:rsidRDefault="0078696E" w:rsidP="00F35D34">
      <w:pPr>
        <w:spacing w:before="100" w:beforeAutospacing="1" w:after="100" w:afterAutospacing="1" w:line="360" w:lineRule="auto"/>
        <w:rPr>
          <w:rFonts w:cs="Arial"/>
          <w:szCs w:val="24"/>
          <w:lang w:val="es-ES"/>
        </w:rPr>
      </w:pPr>
      <w:r w:rsidRPr="0078696E">
        <w:rPr>
          <w:rFonts w:cs="Arial"/>
          <w:szCs w:val="24"/>
          <w:lang w:val="es-ES"/>
        </w:rPr>
        <w:t>Este efecto se genera como consecuencia de la interacción entre los síntomas identificados para este eje temático. Cuando la prestación del servicio no puede ser trazada adecuadamente, se dificulta la identificación del agente responsable de las distintas actividades desarrolladas en la cadena, la verificación del cumplimiento de las condiciones técnicas y de seguridad previstas en la regulación y la reconstrucción de las condiciones bajo las cuales se realizó el suministro. De igual manera, las limitaciones en la disponibilidad de información para los usuarios y las limitaciones en los mecanismos de atención reducen la disponibilidad de información sobre las necesidades de los usuarios, las reclamaciones presentadas y las oportunidades de mejora en la prestación del servicio.</w:t>
      </w:r>
    </w:p>
    <w:p w14:paraId="55781FEA" w14:textId="77777777" w:rsidR="0078696E" w:rsidRPr="0078696E" w:rsidRDefault="0078696E" w:rsidP="00F35D34">
      <w:pPr>
        <w:spacing w:before="100" w:beforeAutospacing="1" w:after="100" w:afterAutospacing="1" w:line="360" w:lineRule="auto"/>
        <w:rPr>
          <w:rFonts w:cs="Arial"/>
          <w:szCs w:val="24"/>
          <w:lang w:val="es-ES"/>
        </w:rPr>
      </w:pPr>
      <w:r w:rsidRPr="0078696E">
        <w:rPr>
          <w:rFonts w:cs="Arial"/>
          <w:szCs w:val="24"/>
          <w:lang w:val="es-ES"/>
        </w:rPr>
        <w:lastRenderedPageBreak/>
        <w:t>Como resultado, se limita la capacidad de los prestadores para identificar oportunidades de mejora en sus procesos y se dificulta el ejercicio de las funciones de seguimiento, inspección, vigilancia y control por parte de las autoridades competentes. Asimismo, la menor disponibilidad de información limita la identificación de problemas recurrentes, la evaluación del desempeño de la prestación y la adopción de medidas orientadas a fortalecer las condiciones de calidad y seguridad de la prestación del servicio, así como la protección de los usuarios.</w:t>
      </w:r>
    </w:p>
    <w:p w14:paraId="02FD9596" w14:textId="77777777" w:rsidR="0078696E" w:rsidRPr="0078696E" w:rsidRDefault="0078696E" w:rsidP="00F35D34">
      <w:pPr>
        <w:spacing w:before="100" w:beforeAutospacing="1" w:after="100" w:afterAutospacing="1" w:line="360" w:lineRule="auto"/>
        <w:rPr>
          <w:rFonts w:cs="Arial"/>
          <w:szCs w:val="24"/>
          <w:lang w:val="es-ES"/>
        </w:rPr>
      </w:pPr>
      <w:r w:rsidRPr="0078696E">
        <w:rPr>
          <w:rFonts w:cs="Arial"/>
          <w:szCs w:val="24"/>
          <w:lang w:val="es-ES"/>
        </w:rPr>
        <w:t>Este efecto presenta una incidencia transversal en las modalidades de prestación mediante cilindros, tanques estacionarios y redes de distribución. No obstante, su manifestación puede variar de acuerdo con el nivel de trazabilidad de las operaciones, los mecanismos de información implementados por los prestadores y las características propias de cada modalidad de prestación.</w:t>
      </w:r>
    </w:p>
    <w:p w14:paraId="3A354256" w14:textId="32879FD2" w:rsidR="00D857FE" w:rsidRPr="00877DE5" w:rsidRDefault="0078696E" w:rsidP="00F35D34">
      <w:pPr>
        <w:spacing w:before="100" w:beforeAutospacing="1" w:after="100" w:afterAutospacing="1" w:line="360" w:lineRule="auto"/>
        <w:rPr>
          <w:rFonts w:cs="Arial"/>
          <w:szCs w:val="24"/>
          <w:lang w:val="es-ES"/>
        </w:rPr>
      </w:pPr>
      <w:r w:rsidRPr="0078696E">
        <w:rPr>
          <w:rFonts w:cs="Arial"/>
          <w:szCs w:val="24"/>
          <w:lang w:val="es-ES"/>
        </w:rPr>
        <w:t>En consecuencia, la mayor dificultad para realizar el seguimiento, la supervisión y la mejora continua de la prestación del servicio constituye un efecto derivado de las deficiencias en la prestación del servicio, en la medida en que representa una consecuencia directa de las deficiencias en las condiciones de calidad y seguridad de la prestación del servicio, las limitaciones identificadas en la trazabilidad de la prestación, la disponibilidad de información para los usuarios y los mecanismos de atención y protección al usuario.</w:t>
      </w:r>
    </w:p>
    <w:p w14:paraId="1A236801" w14:textId="6357C3DD" w:rsidR="00415DE1" w:rsidRPr="007D65A2" w:rsidRDefault="0087169C" w:rsidP="00F35D34">
      <w:pPr>
        <w:pStyle w:val="Ttulo5"/>
        <w:numPr>
          <w:ilvl w:val="4"/>
          <w:numId w:val="6"/>
        </w:numPr>
        <w:spacing w:before="100" w:beforeAutospacing="1" w:after="100" w:afterAutospacing="1"/>
        <w:ind w:left="1276" w:hanging="1276"/>
      </w:pPr>
      <w:r w:rsidRPr="0087169C">
        <w:rPr>
          <w:lang w:val="es-CO"/>
        </w:rPr>
        <w:t>Disminución de la transparencia y de la confianza de los usuarios en la prestación del servicio</w:t>
      </w:r>
      <w:r w:rsidR="00415DE1" w:rsidRPr="007D65A2">
        <w:t>.</w:t>
      </w:r>
    </w:p>
    <w:p w14:paraId="332D8518" w14:textId="77777777" w:rsidR="001A08BE" w:rsidRPr="001A08BE" w:rsidRDefault="001A08BE" w:rsidP="00F35D34">
      <w:pPr>
        <w:spacing w:before="100" w:beforeAutospacing="1" w:after="100" w:afterAutospacing="1" w:line="360" w:lineRule="auto"/>
        <w:rPr>
          <w:rFonts w:cs="Arial"/>
          <w:szCs w:val="24"/>
          <w:lang w:val="es-ES"/>
        </w:rPr>
      </w:pPr>
      <w:r w:rsidRPr="001A08BE">
        <w:rPr>
          <w:rFonts w:cs="Arial"/>
          <w:szCs w:val="24"/>
          <w:lang w:val="es-ES"/>
        </w:rPr>
        <w:t xml:space="preserve">La persistencia de las deficiencias en las condiciones de calidad y seguridad de la prestación del servicio, las limitaciones en la trazabilidad de la prestación del servicio, las limitaciones en la disponibilidad de información para los usuarios y las limitaciones en los mecanismos de atención y protección al usuario puede disminuir la transparencia de la prestación del servicio público domiciliario de GLP y afectar la confianza de los usuarios en los agentes responsables de su prestación. En este contexto, la percepción de menor </w:t>
      </w:r>
      <w:r w:rsidRPr="001A08BE">
        <w:rPr>
          <w:rFonts w:cs="Arial"/>
          <w:szCs w:val="24"/>
          <w:lang w:val="es-ES"/>
        </w:rPr>
        <w:lastRenderedPageBreak/>
        <w:t>transparencia en las condiciones bajo las cuales se presta el servicio constituye uno de los principales efectos derivados de las deficiencias en la prestación del servicio.</w:t>
      </w:r>
    </w:p>
    <w:p w14:paraId="625E4001" w14:textId="77777777" w:rsidR="001A08BE" w:rsidRPr="001A08BE" w:rsidRDefault="001A08BE" w:rsidP="00F35D34">
      <w:pPr>
        <w:spacing w:before="100" w:beforeAutospacing="1" w:after="100" w:afterAutospacing="1" w:line="360" w:lineRule="auto"/>
        <w:rPr>
          <w:rFonts w:cs="Arial"/>
          <w:szCs w:val="24"/>
          <w:lang w:val="es-ES"/>
        </w:rPr>
      </w:pPr>
      <w:r w:rsidRPr="001A08BE">
        <w:rPr>
          <w:rFonts w:cs="Arial"/>
          <w:szCs w:val="24"/>
          <w:lang w:val="es-ES"/>
        </w:rPr>
        <w:t>Este efecto se genera como consecuencia de la interacción entre los síntomas identificados para este eje temático. Cuando los usuarios no cuentan con información clara y verificable sobre la prestación del servicio, enfrentan dificultades para identificar al prestador responsable, comprender las condiciones en las que recibieron el suministro, conocer las características y condiciones de calidad del producto suministrado y verificar que la prestación del servicio se desarrolló bajo las condiciones técnicas y de seguridad previstas en la regulación. De igual manera, las limitaciones en los canales de atención y en la disponibilidad de información reducen la percepción de transparencia y dificultan la construcción de relaciones de confianza entre usuarios y prestadores.</w:t>
      </w:r>
    </w:p>
    <w:p w14:paraId="702A443F" w14:textId="77777777" w:rsidR="001A08BE" w:rsidRPr="001A08BE" w:rsidRDefault="001A08BE" w:rsidP="00F35D34">
      <w:pPr>
        <w:spacing w:before="100" w:beforeAutospacing="1" w:after="100" w:afterAutospacing="1" w:line="360" w:lineRule="auto"/>
        <w:rPr>
          <w:rFonts w:cs="Arial"/>
          <w:szCs w:val="24"/>
          <w:lang w:val="es-ES"/>
        </w:rPr>
      </w:pPr>
      <w:r w:rsidRPr="001A08BE">
        <w:rPr>
          <w:rFonts w:cs="Arial"/>
          <w:szCs w:val="24"/>
          <w:lang w:val="es-ES"/>
        </w:rPr>
        <w:t>Como resultado, los usuarios pueden percibir una menor transparencia en la prestación del servicio y experimentar una disminución de la confianza en los mecanismos establecidos para garantizar la calidad y seguridad de la prestación, la protección de sus derechos y la atención de sus requerimientos. Esta situación puede desincentivar el uso de los canales de atención, reducir la disposición de los usuarios para reportar inconvenientes y limitar la retroalimentación necesaria para identificar oportunidades de mejora en la prestación del servicio.</w:t>
      </w:r>
    </w:p>
    <w:p w14:paraId="473002D0" w14:textId="77777777" w:rsidR="001A08BE" w:rsidRPr="001A08BE" w:rsidRDefault="001A08BE" w:rsidP="00F35D34">
      <w:pPr>
        <w:spacing w:before="100" w:beforeAutospacing="1" w:after="100" w:afterAutospacing="1" w:line="360" w:lineRule="auto"/>
        <w:rPr>
          <w:rFonts w:cs="Arial"/>
          <w:szCs w:val="24"/>
          <w:lang w:val="es-ES"/>
        </w:rPr>
      </w:pPr>
      <w:r w:rsidRPr="001A08BE">
        <w:rPr>
          <w:rFonts w:cs="Arial"/>
          <w:szCs w:val="24"/>
          <w:lang w:val="es-ES"/>
        </w:rPr>
        <w:t>Este efecto presenta una incidencia transversal en las modalidades de prestación mediante cilindros, tanques estacionarios y redes de distribución. No obstante, su manifestación puede variar según el nivel de interacción entre usuarios y prestadores, la disponibilidad de información durante la prestación del servicio y las características de los mecanismos de atención implementados en cada modalidad.</w:t>
      </w:r>
    </w:p>
    <w:p w14:paraId="495AA77E" w14:textId="715A8F82" w:rsidR="00FD4390" w:rsidRPr="00FD4390" w:rsidRDefault="001A08BE" w:rsidP="00F35D34">
      <w:pPr>
        <w:spacing w:before="100" w:beforeAutospacing="1" w:after="100" w:afterAutospacing="1" w:line="360" w:lineRule="auto"/>
        <w:rPr>
          <w:rFonts w:cs="Arial"/>
          <w:szCs w:val="24"/>
          <w:lang w:val="es-ES"/>
        </w:rPr>
      </w:pPr>
      <w:r w:rsidRPr="001A08BE">
        <w:rPr>
          <w:rFonts w:cs="Arial"/>
          <w:szCs w:val="24"/>
          <w:lang w:val="es-ES"/>
        </w:rPr>
        <w:t xml:space="preserve">En consecuencia, la disminución de la transparencia y de la confianza de los usuarios en la prestación del servicio constituye un efecto derivado de las deficiencias en la prestación del servicio, en la medida en que representa una consecuencia directa de las deficiencias en las condiciones de calidad y seguridad de la prestación del servicio, las limitaciones </w:t>
      </w:r>
      <w:r w:rsidRPr="001A08BE">
        <w:rPr>
          <w:rFonts w:cs="Arial"/>
          <w:szCs w:val="24"/>
          <w:lang w:val="es-ES"/>
        </w:rPr>
        <w:lastRenderedPageBreak/>
        <w:t>identificadas en la trazabilidad de la prestación, la disponibilidad de información para los usuarios y los mecanismos de atención y protección al usuario</w:t>
      </w:r>
      <w:r w:rsidR="009C7FC1" w:rsidRPr="009C7FC1">
        <w:rPr>
          <w:rFonts w:cs="Arial"/>
          <w:szCs w:val="24"/>
          <w:lang w:val="es-ES"/>
        </w:rPr>
        <w:t>.</w:t>
      </w:r>
    </w:p>
    <w:p w14:paraId="54A11FA8" w14:textId="02346ABA" w:rsidR="003B5B89" w:rsidRDefault="00771F25" w:rsidP="00F35D34">
      <w:pPr>
        <w:pStyle w:val="Ttulo3"/>
        <w:spacing w:before="100" w:beforeAutospacing="1" w:after="100" w:afterAutospacing="1"/>
        <w:ind w:left="1134" w:hanging="1134"/>
        <w:rPr>
          <w:lang w:val="es-CO"/>
        </w:rPr>
      </w:pPr>
      <w:bookmarkStart w:id="217" w:name="_Toc235128388"/>
      <w:r w:rsidRPr="00771F25">
        <w:rPr>
          <w:lang w:val="es-CO"/>
        </w:rPr>
        <w:t>Interrupción o limitaciones en el acceso al GLP</w:t>
      </w:r>
      <w:bookmarkEnd w:id="217"/>
    </w:p>
    <w:p w14:paraId="200E3CF8" w14:textId="77777777" w:rsidR="002E17DC" w:rsidRPr="001745FB" w:rsidRDefault="002E17DC" w:rsidP="00F35D34">
      <w:pPr>
        <w:pStyle w:val="pdq2pgselectionanchorcontainer"/>
        <w:spacing w:line="360" w:lineRule="auto"/>
        <w:jc w:val="both"/>
        <w:rPr>
          <w:rFonts w:ascii="Arial" w:hAnsi="Arial" w:cs="Arial"/>
          <w:lang w:val="es-ES_tradnl" w:eastAsia="es-ES"/>
        </w:rPr>
      </w:pPr>
      <w:r w:rsidRPr="001745FB">
        <w:rPr>
          <w:rFonts w:ascii="Arial" w:hAnsi="Arial" w:cs="Arial"/>
          <w:lang w:val="es-ES_tradnl" w:eastAsia="es-ES"/>
        </w:rPr>
        <w:t>La continuidad y confiabilidad del suministro tienen como propósito garantizar que los usuarios puedan acceder al servicio público domiciliario de GLP de manera oportuna y sin interrupciones que afecten la atención de sus necesidades. Cuando las condiciones de abastecimiento, almacenamiento, transporte o logística presentan limitaciones, pueden generarse dificultades para mantener la disponibilidad del producto en determinados mercados o para atender oportunamente la demanda de los usuarios.</w:t>
      </w:r>
    </w:p>
    <w:p w14:paraId="5D45B149" w14:textId="77777777" w:rsidR="002E17DC" w:rsidRPr="001745FB" w:rsidRDefault="002E17DC" w:rsidP="00F35D34">
      <w:pPr>
        <w:pStyle w:val="pdq2pgselectionanchorcontainer"/>
        <w:spacing w:line="360" w:lineRule="auto"/>
        <w:jc w:val="both"/>
        <w:rPr>
          <w:rFonts w:ascii="Arial" w:hAnsi="Arial" w:cs="Arial"/>
          <w:lang w:val="es-ES_tradnl" w:eastAsia="es-ES"/>
        </w:rPr>
      </w:pPr>
      <w:r w:rsidRPr="001745FB">
        <w:rPr>
          <w:rFonts w:ascii="Arial" w:hAnsi="Arial" w:cs="Arial"/>
          <w:lang w:val="es-ES_tradnl" w:eastAsia="es-ES"/>
        </w:rPr>
        <w:t>Los síntomas y causas estructurales identificados para este eje evidencian que la dependencia de un número limitado de fuentes de abastecimiento, la exposición a factores externos, las limitaciones en la capacidad de almacenamiento, la vulnerabilidad de la infraestructura logística y las diferencias regionales en las condiciones de suministro pueden incrementar el riesgo de interrupciones o restricciones en el acceso al GLP, especialmente cuando se presentan contingencias que afectan el funcionamiento normal de la cadena de abastecimiento.</w:t>
      </w:r>
    </w:p>
    <w:p w14:paraId="2488DEB6" w14:textId="66EA3BA3" w:rsidR="003B5B89" w:rsidRPr="001745FB" w:rsidRDefault="002E17DC" w:rsidP="00F35D34">
      <w:pPr>
        <w:pStyle w:val="pdq2pgselectionanchorcontainer"/>
        <w:spacing w:line="360" w:lineRule="auto"/>
        <w:jc w:val="both"/>
        <w:rPr>
          <w:rFonts w:ascii="Arial" w:hAnsi="Arial" w:cs="Arial"/>
          <w:lang w:val="es-ES_tradnl" w:eastAsia="es-ES"/>
        </w:rPr>
      </w:pPr>
      <w:r w:rsidRPr="001745FB">
        <w:rPr>
          <w:rFonts w:ascii="Arial" w:hAnsi="Arial" w:cs="Arial"/>
          <w:lang w:val="es-ES_tradnl" w:eastAsia="es-ES"/>
        </w:rPr>
        <w:t>En este contexto, la interrupción o las limitaciones en el acceso al GLP constituyen uno de los principales efectos estructurales asociados a este eje temático, en la medida en que pueden comprometer la continuidad de la prestación del servicio y afectar la capacidad de los usuarios para disponer oportunamente del energético cuando lo requieren.</w:t>
      </w:r>
    </w:p>
    <w:p w14:paraId="6FCEFBE8" w14:textId="24E191B0" w:rsidR="001F1B03" w:rsidRDefault="001F1B03" w:rsidP="00F35D34">
      <w:pPr>
        <w:pStyle w:val="Ttulo4"/>
        <w:spacing w:before="100" w:beforeAutospacing="1" w:after="100" w:afterAutospacing="1" w:line="360" w:lineRule="auto"/>
        <w:ind w:left="1418" w:hanging="1418"/>
      </w:pPr>
      <w:r>
        <w:t>Análisis de causas</w:t>
      </w:r>
    </w:p>
    <w:p w14:paraId="3744D147" w14:textId="0DE6AB31" w:rsidR="007E06CE" w:rsidRPr="007E06CE" w:rsidRDefault="00B23108" w:rsidP="00F35D34">
      <w:pPr>
        <w:spacing w:line="360" w:lineRule="auto"/>
      </w:pPr>
      <w:r w:rsidRPr="00B23108">
        <w:rPr>
          <w:rFonts w:cs="Arial"/>
          <w:szCs w:val="24"/>
        </w:rPr>
        <w:t>Con el fin de comprender por qué pueden presentarse interrupciones o limitaciones en el acceso al GLP, a continuación</w:t>
      </w:r>
      <w:r>
        <w:rPr>
          <w:rFonts w:cs="Arial"/>
          <w:szCs w:val="24"/>
        </w:rPr>
        <w:t xml:space="preserve">, </w:t>
      </w:r>
      <w:r w:rsidRPr="00B23108">
        <w:rPr>
          <w:rFonts w:cs="Arial"/>
          <w:szCs w:val="24"/>
        </w:rPr>
        <w:t xml:space="preserve">se analizan las principales causas estructurales que contribuyen a la generación de este efecto. Como se indicó previamente, un mismo efecto puede derivarse de diferentes causas estructurales, las cuales pueden actuar de manera </w:t>
      </w:r>
      <w:r w:rsidRPr="00B23108">
        <w:rPr>
          <w:rFonts w:cs="Arial"/>
          <w:szCs w:val="24"/>
        </w:rPr>
        <w:lastRenderedPageBreak/>
        <w:t>simultánea o reforzarse entre sí. En este contexto, el análisis se desarrolla mediante un enfoque de trazabilidad que relaciona cada causa con el efecto identificado.</w:t>
      </w:r>
    </w:p>
    <w:p w14:paraId="52D15FD1" w14:textId="1C288812" w:rsidR="006852E9" w:rsidRDefault="006852E9" w:rsidP="002F7A52">
      <w:pPr>
        <w:pStyle w:val="NormalWeb"/>
        <w:spacing w:line="360" w:lineRule="auto"/>
        <w:jc w:val="both"/>
        <w:rPr>
          <w:rFonts w:ascii="Arial" w:hAnsi="Arial" w:cs="Arial"/>
          <w:lang w:val="es-ES" w:eastAsia="es-ES"/>
        </w:rPr>
      </w:pPr>
      <w:r w:rsidRPr="002F7A52">
        <w:rPr>
          <w:rFonts w:ascii="Arial" w:hAnsi="Arial" w:cs="Arial"/>
          <w:lang w:val="es-ES" w:eastAsia="es-ES"/>
        </w:rPr>
        <w:t xml:space="preserve">La </w:t>
      </w:r>
      <w:r w:rsidR="002F7A52" w:rsidRPr="002F7A52">
        <w:rPr>
          <w:rFonts w:ascii="Arial" w:hAnsi="Arial" w:cs="Arial"/>
          <w:lang w:val="es-ES" w:eastAsia="es-ES"/>
        </w:rPr>
        <w:fldChar w:fldCharType="begin"/>
      </w:r>
      <w:r w:rsidR="002F7A52" w:rsidRPr="002F7A52">
        <w:rPr>
          <w:rFonts w:ascii="Arial" w:hAnsi="Arial" w:cs="Arial"/>
          <w:lang w:val="es-ES" w:eastAsia="es-ES"/>
        </w:rPr>
        <w:instrText xml:space="preserve"> REF _Ref235117246 \h  \* MERGEFORMAT </w:instrText>
      </w:r>
      <w:r w:rsidR="002F7A52" w:rsidRPr="002F7A52">
        <w:rPr>
          <w:rFonts w:ascii="Arial" w:hAnsi="Arial" w:cs="Arial"/>
          <w:lang w:val="es-ES" w:eastAsia="es-ES"/>
        </w:rPr>
      </w:r>
      <w:r w:rsidR="002F7A52" w:rsidRPr="002F7A52">
        <w:rPr>
          <w:rFonts w:ascii="Arial" w:hAnsi="Arial" w:cs="Arial"/>
          <w:lang w:val="es-ES" w:eastAsia="es-ES"/>
        </w:rPr>
        <w:fldChar w:fldCharType="separate"/>
      </w:r>
      <w:r w:rsidR="002F7A52" w:rsidRPr="002F7A52">
        <w:rPr>
          <w:rFonts w:ascii="Arial" w:hAnsi="Arial" w:cs="Arial"/>
        </w:rPr>
        <w:t xml:space="preserve">Tabla </w:t>
      </w:r>
      <w:r w:rsidR="002F7A52" w:rsidRPr="002F7A52">
        <w:rPr>
          <w:rFonts w:ascii="Arial" w:hAnsi="Arial" w:cs="Arial"/>
          <w:noProof/>
        </w:rPr>
        <w:t>20</w:t>
      </w:r>
      <w:r w:rsidR="002F7A52" w:rsidRPr="002F7A52">
        <w:rPr>
          <w:rFonts w:ascii="Arial" w:hAnsi="Arial" w:cs="Arial"/>
          <w:lang w:val="es-ES" w:eastAsia="es-ES"/>
        </w:rPr>
        <w:fldChar w:fldCharType="end"/>
      </w:r>
      <w:r w:rsidRPr="4E4B129C">
        <w:rPr>
          <w:rFonts w:ascii="Arial" w:hAnsi="Arial" w:cs="Arial"/>
          <w:lang w:val="es-ES" w:eastAsia="es-ES"/>
        </w:rPr>
        <w:t xml:space="preserve"> presenta las causas estructurales identificadas, su clasificación según la naturaleza de la causa, los síntomas que explican y la modalidad de prestación del servicio en la que tienen mayor incidencia (cilindros, tanques estacionarios o redes de distribución). Posteriormente, cada una de estas causas se desarrolla de manera individual con fundamento en la evidencia técnica recopilada durante el diagnóstico del mercado.</w:t>
      </w:r>
    </w:p>
    <w:p w14:paraId="72276023" w14:textId="7415BD7E" w:rsidR="00537428" w:rsidRPr="002F7A52" w:rsidRDefault="00537428" w:rsidP="00F35D34">
      <w:pPr>
        <w:pStyle w:val="Descripcin"/>
        <w:jc w:val="center"/>
        <w:rPr>
          <w:rFonts w:cs="Arial"/>
          <w:b w:val="0"/>
          <w:szCs w:val="24"/>
        </w:rPr>
      </w:pPr>
      <w:bookmarkStart w:id="218" w:name="_Ref235117246"/>
      <w:bookmarkStart w:id="219" w:name="_Toc235128417"/>
      <w:r w:rsidRPr="002F7A52">
        <w:rPr>
          <w:b w:val="0"/>
          <w:szCs w:val="24"/>
        </w:rPr>
        <w:t xml:space="preserve">Tabla </w:t>
      </w:r>
      <w:r w:rsidR="00F35D34" w:rsidRPr="002F7A52">
        <w:rPr>
          <w:b w:val="0"/>
          <w:bCs/>
          <w:szCs w:val="24"/>
        </w:rPr>
        <w:fldChar w:fldCharType="begin"/>
      </w:r>
      <w:r w:rsidR="00F35D34" w:rsidRPr="002F7A52">
        <w:rPr>
          <w:b w:val="0"/>
          <w:bCs/>
          <w:szCs w:val="24"/>
        </w:rPr>
        <w:instrText xml:space="preserve"> SEQ Tabla \* ARABIC </w:instrText>
      </w:r>
      <w:r w:rsidR="00F35D34" w:rsidRPr="002F7A52">
        <w:rPr>
          <w:b w:val="0"/>
          <w:bCs/>
          <w:szCs w:val="24"/>
        </w:rPr>
        <w:fldChar w:fldCharType="separate"/>
      </w:r>
      <w:r w:rsidR="001C42C8">
        <w:rPr>
          <w:b w:val="0"/>
          <w:bCs/>
          <w:noProof/>
          <w:szCs w:val="24"/>
        </w:rPr>
        <w:t>20</w:t>
      </w:r>
      <w:r w:rsidR="00F35D34" w:rsidRPr="002F7A52">
        <w:rPr>
          <w:b w:val="0"/>
          <w:bCs/>
          <w:szCs w:val="24"/>
        </w:rPr>
        <w:fldChar w:fldCharType="end"/>
      </w:r>
      <w:bookmarkEnd w:id="218"/>
      <w:r w:rsidR="00F35D34" w:rsidRPr="002F7A52">
        <w:rPr>
          <w:b w:val="0"/>
          <w:bCs/>
          <w:szCs w:val="24"/>
        </w:rPr>
        <w:t>.</w:t>
      </w:r>
      <w:r w:rsidRPr="002F7A52">
        <w:rPr>
          <w:b w:val="0"/>
          <w:szCs w:val="24"/>
        </w:rPr>
        <w:t xml:space="preserve"> </w:t>
      </w:r>
      <w:r w:rsidRPr="002F7A52">
        <w:rPr>
          <w:rFonts w:cs="Arial"/>
          <w:b w:val="0"/>
          <w:szCs w:val="24"/>
        </w:rPr>
        <w:t xml:space="preserve">Síntesis de las causas estructurales asociadas al eje de </w:t>
      </w:r>
      <w:r w:rsidR="005B6B8D" w:rsidRPr="002F7A52">
        <w:rPr>
          <w:rFonts w:cs="Arial"/>
          <w:b w:val="0"/>
          <w:szCs w:val="24"/>
        </w:rPr>
        <w:t>interrupción o limitaciones de acceso</w:t>
      </w:r>
      <w:r w:rsidR="000D07DB" w:rsidRPr="002F7A52">
        <w:rPr>
          <w:rFonts w:cs="Arial"/>
          <w:b w:val="0"/>
          <w:szCs w:val="24"/>
        </w:rPr>
        <w:t xml:space="preserve"> al </w:t>
      </w:r>
      <w:r w:rsidR="00E06644" w:rsidRPr="002F7A52">
        <w:rPr>
          <w:rFonts w:cs="Arial"/>
          <w:b w:val="0"/>
          <w:szCs w:val="24"/>
        </w:rPr>
        <w:t>GLP</w:t>
      </w:r>
      <w:bookmarkEnd w:id="219"/>
    </w:p>
    <w:tbl>
      <w:tblPr>
        <w:tblStyle w:val="Tablaconcuadrcula"/>
        <w:tblW w:w="0" w:type="auto"/>
        <w:tblLook w:val="04A0" w:firstRow="1" w:lastRow="0" w:firstColumn="1" w:lastColumn="0" w:noHBand="0" w:noVBand="1"/>
      </w:tblPr>
      <w:tblGrid>
        <w:gridCol w:w="571"/>
        <w:gridCol w:w="3347"/>
        <w:gridCol w:w="1761"/>
        <w:gridCol w:w="2413"/>
        <w:gridCol w:w="1304"/>
      </w:tblGrid>
      <w:tr w:rsidR="00FE141E" w:rsidRPr="00940A28" w14:paraId="3CC2F31B" w14:textId="77777777" w:rsidTr="00E06644">
        <w:trPr>
          <w:tblHeader/>
        </w:trPr>
        <w:tc>
          <w:tcPr>
            <w:tcW w:w="0" w:type="auto"/>
            <w:vAlign w:val="center"/>
            <w:hideMark/>
          </w:tcPr>
          <w:p w14:paraId="01C89BEB" w14:textId="77777777" w:rsidR="00FE141E" w:rsidRPr="00940A28" w:rsidRDefault="00FE141E" w:rsidP="00E06644">
            <w:pPr>
              <w:spacing w:before="100" w:beforeAutospacing="1" w:after="100" w:afterAutospacing="1" w:line="360" w:lineRule="auto"/>
              <w:jc w:val="center"/>
              <w:rPr>
                <w:b/>
                <w:bCs/>
                <w:sz w:val="22"/>
                <w:szCs w:val="22"/>
                <w:lang w:val="es-CO"/>
              </w:rPr>
            </w:pPr>
            <w:r w:rsidRPr="00940A28">
              <w:rPr>
                <w:b/>
                <w:bCs/>
                <w:sz w:val="22"/>
                <w:szCs w:val="22"/>
                <w:lang w:val="es-CO"/>
              </w:rPr>
              <w:t>No.</w:t>
            </w:r>
          </w:p>
        </w:tc>
        <w:tc>
          <w:tcPr>
            <w:tcW w:w="0" w:type="auto"/>
            <w:vAlign w:val="center"/>
            <w:hideMark/>
          </w:tcPr>
          <w:p w14:paraId="081239DA" w14:textId="77777777" w:rsidR="00FE141E" w:rsidRPr="00940A28" w:rsidRDefault="00FE141E" w:rsidP="00E06644">
            <w:pPr>
              <w:spacing w:before="100" w:beforeAutospacing="1" w:after="100" w:afterAutospacing="1" w:line="360" w:lineRule="auto"/>
              <w:jc w:val="center"/>
              <w:rPr>
                <w:b/>
                <w:bCs/>
                <w:sz w:val="22"/>
                <w:szCs w:val="22"/>
                <w:lang w:val="es-CO"/>
              </w:rPr>
            </w:pPr>
            <w:r w:rsidRPr="00940A28">
              <w:rPr>
                <w:b/>
                <w:bCs/>
                <w:sz w:val="22"/>
                <w:szCs w:val="22"/>
                <w:lang w:val="es-CO"/>
              </w:rPr>
              <w:t>Causa estructural</w:t>
            </w:r>
          </w:p>
        </w:tc>
        <w:tc>
          <w:tcPr>
            <w:tcW w:w="0" w:type="auto"/>
            <w:vAlign w:val="center"/>
            <w:hideMark/>
          </w:tcPr>
          <w:p w14:paraId="3E420B82" w14:textId="77777777" w:rsidR="00FE141E" w:rsidRPr="00940A28" w:rsidRDefault="00FE141E" w:rsidP="00E06644">
            <w:pPr>
              <w:spacing w:before="100" w:beforeAutospacing="1" w:after="100" w:afterAutospacing="1" w:line="360" w:lineRule="auto"/>
              <w:jc w:val="center"/>
              <w:rPr>
                <w:b/>
                <w:bCs/>
                <w:sz w:val="22"/>
                <w:szCs w:val="22"/>
                <w:lang w:val="es-CO"/>
              </w:rPr>
            </w:pPr>
            <w:r w:rsidRPr="00940A28">
              <w:rPr>
                <w:b/>
                <w:bCs/>
                <w:sz w:val="22"/>
                <w:szCs w:val="22"/>
                <w:lang w:val="es-CO"/>
              </w:rPr>
              <w:t>Tipo</w:t>
            </w:r>
          </w:p>
        </w:tc>
        <w:tc>
          <w:tcPr>
            <w:tcW w:w="0" w:type="auto"/>
            <w:vAlign w:val="center"/>
            <w:hideMark/>
          </w:tcPr>
          <w:p w14:paraId="06C04440" w14:textId="77777777" w:rsidR="00FE141E" w:rsidRPr="00940A28" w:rsidRDefault="00FE141E" w:rsidP="00E06644">
            <w:pPr>
              <w:spacing w:before="100" w:beforeAutospacing="1" w:after="100" w:afterAutospacing="1" w:line="360" w:lineRule="auto"/>
              <w:jc w:val="center"/>
              <w:rPr>
                <w:b/>
                <w:bCs/>
                <w:sz w:val="22"/>
                <w:szCs w:val="22"/>
                <w:lang w:val="es-CO"/>
              </w:rPr>
            </w:pPr>
            <w:r w:rsidRPr="00940A28">
              <w:rPr>
                <w:b/>
                <w:bCs/>
                <w:sz w:val="22"/>
                <w:szCs w:val="22"/>
                <w:lang w:val="es-CO"/>
              </w:rPr>
              <w:t>Explica síntomas</w:t>
            </w:r>
          </w:p>
        </w:tc>
        <w:tc>
          <w:tcPr>
            <w:tcW w:w="0" w:type="auto"/>
            <w:vAlign w:val="center"/>
            <w:hideMark/>
          </w:tcPr>
          <w:p w14:paraId="19070120" w14:textId="77777777" w:rsidR="00FE141E" w:rsidRPr="00940A28" w:rsidRDefault="00FE141E" w:rsidP="00E06644">
            <w:pPr>
              <w:spacing w:before="100" w:beforeAutospacing="1" w:after="100" w:afterAutospacing="1" w:line="360" w:lineRule="auto"/>
              <w:jc w:val="center"/>
              <w:rPr>
                <w:b/>
                <w:bCs/>
                <w:sz w:val="22"/>
                <w:szCs w:val="22"/>
                <w:lang w:val="es-CO"/>
              </w:rPr>
            </w:pPr>
            <w:r w:rsidRPr="00940A28">
              <w:rPr>
                <w:b/>
                <w:bCs/>
                <w:sz w:val="22"/>
                <w:szCs w:val="22"/>
                <w:lang w:val="es-CO"/>
              </w:rPr>
              <w:t>Modalidad</w:t>
            </w:r>
          </w:p>
        </w:tc>
      </w:tr>
      <w:tr w:rsidR="00FE141E" w:rsidRPr="00940A28" w14:paraId="19141635" w14:textId="77777777" w:rsidTr="00E06644">
        <w:trPr>
          <w:tblHeader/>
        </w:trPr>
        <w:tc>
          <w:tcPr>
            <w:tcW w:w="0" w:type="auto"/>
            <w:vAlign w:val="center"/>
            <w:hideMark/>
          </w:tcPr>
          <w:p w14:paraId="1DF51B6B" w14:textId="77777777" w:rsidR="00FE141E" w:rsidRPr="00940A28" w:rsidRDefault="00FE141E" w:rsidP="002F1961">
            <w:pPr>
              <w:spacing w:before="100" w:beforeAutospacing="1" w:after="100" w:afterAutospacing="1" w:line="360" w:lineRule="auto"/>
              <w:jc w:val="left"/>
              <w:rPr>
                <w:sz w:val="22"/>
                <w:szCs w:val="22"/>
                <w:lang w:val="es-CO"/>
              </w:rPr>
            </w:pPr>
            <w:r w:rsidRPr="00940A28">
              <w:rPr>
                <w:sz w:val="22"/>
                <w:szCs w:val="22"/>
                <w:lang w:val="es-CO"/>
              </w:rPr>
              <w:t>C1</w:t>
            </w:r>
          </w:p>
        </w:tc>
        <w:tc>
          <w:tcPr>
            <w:tcW w:w="0" w:type="auto"/>
            <w:hideMark/>
          </w:tcPr>
          <w:p w14:paraId="5F298BB8" w14:textId="77777777" w:rsidR="00FE141E" w:rsidRPr="00940A28" w:rsidRDefault="00FE141E" w:rsidP="002F1961">
            <w:pPr>
              <w:spacing w:before="100" w:beforeAutospacing="1" w:after="100" w:afterAutospacing="1" w:line="360" w:lineRule="auto"/>
              <w:jc w:val="left"/>
              <w:rPr>
                <w:sz w:val="22"/>
                <w:szCs w:val="22"/>
                <w:lang w:val="es-CO"/>
              </w:rPr>
            </w:pPr>
            <w:r w:rsidRPr="00940A28">
              <w:rPr>
                <w:sz w:val="22"/>
                <w:szCs w:val="22"/>
                <w:lang w:val="es-CO"/>
              </w:rPr>
              <w:t>Concentración estructural del abastecimiento en un número reducido de fuentes de suministro.</w:t>
            </w:r>
          </w:p>
        </w:tc>
        <w:tc>
          <w:tcPr>
            <w:tcW w:w="0" w:type="auto"/>
            <w:hideMark/>
          </w:tcPr>
          <w:p w14:paraId="57E2065B" w14:textId="77777777" w:rsidR="00FE141E" w:rsidRPr="00940A28" w:rsidRDefault="00FE141E" w:rsidP="00E06644">
            <w:pPr>
              <w:spacing w:before="100" w:beforeAutospacing="1" w:after="100" w:afterAutospacing="1" w:line="360" w:lineRule="auto"/>
              <w:jc w:val="center"/>
              <w:rPr>
                <w:sz w:val="22"/>
                <w:szCs w:val="22"/>
                <w:lang w:val="es-CO"/>
              </w:rPr>
            </w:pPr>
            <w:r w:rsidRPr="00940A28">
              <w:rPr>
                <w:sz w:val="22"/>
                <w:szCs w:val="22"/>
                <w:lang w:val="es-CO"/>
              </w:rPr>
              <w:t>Mercado</w:t>
            </w:r>
          </w:p>
        </w:tc>
        <w:tc>
          <w:tcPr>
            <w:tcW w:w="0" w:type="auto"/>
            <w:hideMark/>
          </w:tcPr>
          <w:p w14:paraId="151ABC36" w14:textId="77777777" w:rsidR="00FE141E" w:rsidRPr="00940A28" w:rsidRDefault="00FE141E" w:rsidP="002F1961">
            <w:pPr>
              <w:spacing w:before="100" w:beforeAutospacing="1" w:after="100" w:afterAutospacing="1" w:line="360" w:lineRule="auto"/>
              <w:jc w:val="left"/>
              <w:rPr>
                <w:sz w:val="22"/>
                <w:szCs w:val="22"/>
                <w:lang w:val="es-CO"/>
              </w:rPr>
            </w:pPr>
            <w:r w:rsidRPr="00940A28">
              <w:rPr>
                <w:sz w:val="22"/>
                <w:szCs w:val="22"/>
                <w:lang w:val="es-CO"/>
              </w:rPr>
              <w:t>Dependencia de fuentes y exposición a factores externos</w:t>
            </w:r>
          </w:p>
        </w:tc>
        <w:tc>
          <w:tcPr>
            <w:tcW w:w="0" w:type="auto"/>
            <w:hideMark/>
          </w:tcPr>
          <w:p w14:paraId="3DB30D5A" w14:textId="77777777" w:rsidR="00FE141E" w:rsidRPr="00940A28" w:rsidRDefault="00FE141E" w:rsidP="002F1961">
            <w:pPr>
              <w:spacing w:before="100" w:beforeAutospacing="1" w:after="100" w:afterAutospacing="1" w:line="360" w:lineRule="auto"/>
              <w:jc w:val="left"/>
              <w:rPr>
                <w:sz w:val="22"/>
                <w:szCs w:val="22"/>
                <w:lang w:val="es-CO"/>
              </w:rPr>
            </w:pPr>
            <w:r w:rsidRPr="00940A28">
              <w:rPr>
                <w:sz w:val="22"/>
                <w:szCs w:val="22"/>
                <w:lang w:val="es-CO"/>
              </w:rPr>
              <w:t>Todas</w:t>
            </w:r>
          </w:p>
        </w:tc>
      </w:tr>
      <w:tr w:rsidR="00FE141E" w:rsidRPr="00940A28" w14:paraId="62121443" w14:textId="77777777" w:rsidTr="00E06644">
        <w:trPr>
          <w:tblHeader/>
        </w:trPr>
        <w:tc>
          <w:tcPr>
            <w:tcW w:w="0" w:type="auto"/>
            <w:vAlign w:val="center"/>
            <w:hideMark/>
          </w:tcPr>
          <w:p w14:paraId="32A4A0EF" w14:textId="77777777" w:rsidR="00FE141E" w:rsidRPr="00940A28" w:rsidRDefault="00FE141E" w:rsidP="002F1961">
            <w:pPr>
              <w:spacing w:before="100" w:beforeAutospacing="1" w:after="100" w:afterAutospacing="1" w:line="360" w:lineRule="auto"/>
              <w:jc w:val="left"/>
              <w:rPr>
                <w:sz w:val="22"/>
                <w:szCs w:val="22"/>
                <w:lang w:val="es-CO"/>
              </w:rPr>
            </w:pPr>
            <w:r w:rsidRPr="00940A28">
              <w:rPr>
                <w:sz w:val="22"/>
                <w:szCs w:val="22"/>
                <w:lang w:val="es-CO"/>
              </w:rPr>
              <w:t>C2</w:t>
            </w:r>
          </w:p>
        </w:tc>
        <w:tc>
          <w:tcPr>
            <w:tcW w:w="0" w:type="auto"/>
            <w:hideMark/>
          </w:tcPr>
          <w:p w14:paraId="70BEB4B5" w14:textId="4673EF40" w:rsidR="00ED028C" w:rsidRPr="00940A28" w:rsidRDefault="00ED028C" w:rsidP="002F1961">
            <w:pPr>
              <w:spacing w:before="100" w:beforeAutospacing="1" w:after="100" w:afterAutospacing="1" w:line="360" w:lineRule="auto"/>
              <w:jc w:val="left"/>
              <w:rPr>
                <w:sz w:val="22"/>
                <w:szCs w:val="22"/>
                <w:lang w:val="es-CO"/>
              </w:rPr>
            </w:pPr>
            <w:r w:rsidRPr="00ED028C">
              <w:rPr>
                <w:sz w:val="22"/>
                <w:szCs w:val="22"/>
              </w:rPr>
              <w:t>Restricciones económicas y de mercado para el desarrollo oportuno de infraestructura estratégica de almacenamiento e importación de GLP.</w:t>
            </w:r>
          </w:p>
        </w:tc>
        <w:tc>
          <w:tcPr>
            <w:tcW w:w="0" w:type="auto"/>
            <w:hideMark/>
          </w:tcPr>
          <w:p w14:paraId="5F277352" w14:textId="77777777" w:rsidR="00FE141E" w:rsidRPr="00940A28" w:rsidRDefault="00FE141E" w:rsidP="00E06644">
            <w:pPr>
              <w:spacing w:before="100" w:beforeAutospacing="1" w:after="100" w:afterAutospacing="1" w:line="360" w:lineRule="auto"/>
              <w:jc w:val="center"/>
              <w:rPr>
                <w:sz w:val="22"/>
                <w:szCs w:val="22"/>
                <w:lang w:val="es-CO"/>
              </w:rPr>
            </w:pPr>
            <w:r w:rsidRPr="00940A28">
              <w:rPr>
                <w:sz w:val="22"/>
                <w:szCs w:val="22"/>
                <w:lang w:val="es-CO"/>
              </w:rPr>
              <w:t>Económica / Regulatoria</w:t>
            </w:r>
          </w:p>
        </w:tc>
        <w:tc>
          <w:tcPr>
            <w:tcW w:w="0" w:type="auto"/>
            <w:hideMark/>
          </w:tcPr>
          <w:p w14:paraId="077FFC77" w14:textId="77777777" w:rsidR="00FE141E" w:rsidRPr="00940A28" w:rsidRDefault="00FE141E" w:rsidP="002F1961">
            <w:pPr>
              <w:spacing w:before="100" w:beforeAutospacing="1" w:after="100" w:afterAutospacing="1" w:line="360" w:lineRule="auto"/>
              <w:jc w:val="left"/>
              <w:rPr>
                <w:sz w:val="22"/>
                <w:szCs w:val="22"/>
                <w:lang w:val="es-CO"/>
              </w:rPr>
            </w:pPr>
            <w:r w:rsidRPr="00940A28">
              <w:rPr>
                <w:sz w:val="22"/>
                <w:szCs w:val="22"/>
                <w:lang w:val="es-CO"/>
              </w:rPr>
              <w:t>Limitaciones de almacenamiento y exposición a factores externos</w:t>
            </w:r>
          </w:p>
        </w:tc>
        <w:tc>
          <w:tcPr>
            <w:tcW w:w="0" w:type="auto"/>
            <w:hideMark/>
          </w:tcPr>
          <w:p w14:paraId="54051561" w14:textId="77777777" w:rsidR="00FE141E" w:rsidRPr="00940A28" w:rsidRDefault="00FE141E" w:rsidP="002F1961">
            <w:pPr>
              <w:spacing w:before="100" w:beforeAutospacing="1" w:after="100" w:afterAutospacing="1" w:line="360" w:lineRule="auto"/>
              <w:jc w:val="left"/>
              <w:rPr>
                <w:sz w:val="22"/>
                <w:szCs w:val="22"/>
                <w:lang w:val="es-CO"/>
              </w:rPr>
            </w:pPr>
            <w:r w:rsidRPr="00940A28">
              <w:rPr>
                <w:sz w:val="22"/>
                <w:szCs w:val="22"/>
                <w:lang w:val="es-CO"/>
              </w:rPr>
              <w:t>Todas</w:t>
            </w:r>
          </w:p>
        </w:tc>
      </w:tr>
      <w:tr w:rsidR="00FE141E" w:rsidRPr="00940A28" w14:paraId="4ACBCFB6" w14:textId="77777777" w:rsidTr="00E06644">
        <w:trPr>
          <w:tblHeader/>
        </w:trPr>
        <w:tc>
          <w:tcPr>
            <w:tcW w:w="0" w:type="auto"/>
            <w:vAlign w:val="center"/>
            <w:hideMark/>
          </w:tcPr>
          <w:p w14:paraId="6AA02900" w14:textId="77777777" w:rsidR="00FE141E" w:rsidRPr="00940A28" w:rsidRDefault="00FE141E" w:rsidP="002F1961">
            <w:pPr>
              <w:spacing w:before="100" w:beforeAutospacing="1" w:after="100" w:afterAutospacing="1" w:line="360" w:lineRule="auto"/>
              <w:jc w:val="left"/>
              <w:rPr>
                <w:sz w:val="22"/>
                <w:szCs w:val="22"/>
                <w:lang w:val="es-CO"/>
              </w:rPr>
            </w:pPr>
            <w:r w:rsidRPr="00940A28">
              <w:rPr>
                <w:sz w:val="22"/>
                <w:szCs w:val="22"/>
                <w:lang w:val="es-CO"/>
              </w:rPr>
              <w:t>C3</w:t>
            </w:r>
          </w:p>
        </w:tc>
        <w:tc>
          <w:tcPr>
            <w:tcW w:w="0" w:type="auto"/>
            <w:hideMark/>
          </w:tcPr>
          <w:p w14:paraId="1D51DCF6" w14:textId="25EC42E7" w:rsidR="00425432" w:rsidRPr="00940A28" w:rsidRDefault="00425432" w:rsidP="002F1961">
            <w:pPr>
              <w:spacing w:before="100" w:beforeAutospacing="1" w:after="100" w:afterAutospacing="1" w:line="360" w:lineRule="auto"/>
              <w:jc w:val="left"/>
              <w:rPr>
                <w:sz w:val="22"/>
                <w:szCs w:val="22"/>
                <w:lang w:val="es-CO"/>
              </w:rPr>
            </w:pPr>
            <w:r w:rsidRPr="00425432">
              <w:rPr>
                <w:sz w:val="22"/>
                <w:szCs w:val="22"/>
              </w:rPr>
              <w:t>Limitaciones en la infraestructura logística y en las condiciones de transporte requeridas para garantizar el abastecimiento oportuno del mercado</w:t>
            </w:r>
          </w:p>
        </w:tc>
        <w:tc>
          <w:tcPr>
            <w:tcW w:w="0" w:type="auto"/>
            <w:hideMark/>
          </w:tcPr>
          <w:p w14:paraId="68969BC9" w14:textId="77777777" w:rsidR="00FE141E" w:rsidRPr="00940A28" w:rsidRDefault="00FE141E" w:rsidP="00E06644">
            <w:pPr>
              <w:spacing w:before="100" w:beforeAutospacing="1" w:after="100" w:afterAutospacing="1" w:line="360" w:lineRule="auto"/>
              <w:jc w:val="center"/>
              <w:rPr>
                <w:sz w:val="22"/>
                <w:szCs w:val="22"/>
                <w:lang w:val="es-CO"/>
              </w:rPr>
            </w:pPr>
            <w:r w:rsidRPr="00940A28">
              <w:rPr>
                <w:sz w:val="22"/>
                <w:szCs w:val="22"/>
                <w:lang w:val="es-CO"/>
              </w:rPr>
              <w:t>Mercado / Infraestructura</w:t>
            </w:r>
          </w:p>
        </w:tc>
        <w:tc>
          <w:tcPr>
            <w:tcW w:w="0" w:type="auto"/>
            <w:hideMark/>
          </w:tcPr>
          <w:p w14:paraId="74E366BA" w14:textId="77777777" w:rsidR="00FE141E" w:rsidRPr="00940A28" w:rsidRDefault="00FE141E" w:rsidP="002F1961">
            <w:pPr>
              <w:spacing w:before="100" w:beforeAutospacing="1" w:after="100" w:afterAutospacing="1" w:line="360" w:lineRule="auto"/>
              <w:jc w:val="left"/>
              <w:rPr>
                <w:sz w:val="22"/>
                <w:szCs w:val="22"/>
                <w:lang w:val="es-CO"/>
              </w:rPr>
            </w:pPr>
            <w:r w:rsidRPr="00940A28">
              <w:rPr>
                <w:sz w:val="22"/>
                <w:szCs w:val="22"/>
                <w:lang w:val="es-CO"/>
              </w:rPr>
              <w:t>Vulnerabilidad logística y diferencias regionales</w:t>
            </w:r>
          </w:p>
        </w:tc>
        <w:tc>
          <w:tcPr>
            <w:tcW w:w="0" w:type="auto"/>
            <w:hideMark/>
          </w:tcPr>
          <w:p w14:paraId="52E8DF50" w14:textId="77777777" w:rsidR="00FE141E" w:rsidRPr="00940A28" w:rsidRDefault="00FE141E" w:rsidP="002F1961">
            <w:pPr>
              <w:spacing w:before="100" w:beforeAutospacing="1" w:after="100" w:afterAutospacing="1" w:line="360" w:lineRule="auto"/>
              <w:jc w:val="left"/>
              <w:rPr>
                <w:sz w:val="22"/>
                <w:szCs w:val="22"/>
                <w:lang w:val="es-CO"/>
              </w:rPr>
            </w:pPr>
            <w:r w:rsidRPr="00940A28">
              <w:rPr>
                <w:sz w:val="22"/>
                <w:szCs w:val="22"/>
                <w:lang w:val="es-CO"/>
              </w:rPr>
              <w:t>Todas</w:t>
            </w:r>
          </w:p>
        </w:tc>
      </w:tr>
    </w:tbl>
    <w:p w14:paraId="7AD3E842" w14:textId="73AB6022" w:rsidR="00E06644" w:rsidRPr="002F7A52" w:rsidRDefault="00E06644" w:rsidP="002F7A52">
      <w:pPr>
        <w:spacing w:before="100" w:beforeAutospacing="1" w:after="100" w:afterAutospacing="1" w:line="360" w:lineRule="auto"/>
        <w:jc w:val="center"/>
        <w:rPr>
          <w:sz w:val="22"/>
          <w:szCs w:val="22"/>
        </w:rPr>
      </w:pPr>
      <w:r>
        <w:rPr>
          <w:rFonts w:cs="Arial"/>
          <w:sz w:val="22"/>
          <w:szCs w:val="22"/>
        </w:rPr>
        <w:t>Elaboración</w:t>
      </w:r>
      <w:r w:rsidR="002F7A52">
        <w:rPr>
          <w:rFonts w:cs="Arial"/>
          <w:sz w:val="22"/>
          <w:szCs w:val="22"/>
        </w:rPr>
        <w:t>: CREG</w:t>
      </w:r>
    </w:p>
    <w:p w14:paraId="78CFFC3B" w14:textId="3E715D93" w:rsidR="00496C83" w:rsidRDefault="007F7EE6" w:rsidP="009E359B">
      <w:pPr>
        <w:pStyle w:val="Ttulo5"/>
        <w:numPr>
          <w:ilvl w:val="4"/>
          <w:numId w:val="6"/>
        </w:numPr>
        <w:spacing w:before="100" w:beforeAutospacing="1" w:after="100" w:afterAutospacing="1"/>
        <w:ind w:left="1134" w:hanging="1134"/>
      </w:pPr>
      <w:r w:rsidRPr="007F7EE6">
        <w:rPr>
          <w:lang w:val="es-CO"/>
        </w:rPr>
        <w:lastRenderedPageBreak/>
        <w:t>Concentración estructural del abastecimiento en un número reducido de fuentes de suministro</w:t>
      </w:r>
      <w:r w:rsidR="00496C83" w:rsidRPr="00F679FB">
        <w:t>.</w:t>
      </w:r>
    </w:p>
    <w:p w14:paraId="7EF21B3F" w14:textId="77777777" w:rsidR="00DE1521" w:rsidRDefault="00DE1521" w:rsidP="009E359B">
      <w:pPr>
        <w:spacing w:before="100" w:beforeAutospacing="1" w:after="100" w:afterAutospacing="1" w:line="360" w:lineRule="auto"/>
        <w:rPr>
          <w:rFonts w:cs="Arial"/>
          <w:szCs w:val="24"/>
          <w:lang w:val="es-ES"/>
        </w:rPr>
      </w:pPr>
      <w:r w:rsidRPr="00DE1521">
        <w:rPr>
          <w:rFonts w:cs="Arial"/>
          <w:szCs w:val="24"/>
          <w:lang w:val="es-ES"/>
        </w:rPr>
        <w:t>El mercado colombiano de GLP se caracteriza por una estructura de abastecimiento concentrada en un número reducido de fuentes de suministro, las cuales constituyen la principal base para atender la demanda nacional. Esta condición responde a las características propias de la producción de GLP, la cual se encuentra asociada principalmente a los procesos de refinación de petróleo y procesamiento de gas natural, de manera que la disponibilidad del producto depende de un conjunto limitado de fuentes nacionales y, cuando estas resultan insuficientes, de las importaciones para complementar la oferta.</w:t>
      </w:r>
    </w:p>
    <w:p w14:paraId="3F731EF1" w14:textId="7870A5C9" w:rsidR="00164A92" w:rsidRPr="00DE1521" w:rsidRDefault="00164A92" w:rsidP="009E359B">
      <w:pPr>
        <w:spacing w:before="100" w:beforeAutospacing="1" w:after="100" w:afterAutospacing="1" w:line="360" w:lineRule="auto"/>
        <w:rPr>
          <w:rFonts w:cs="Arial"/>
          <w:szCs w:val="24"/>
          <w:lang w:val="es-ES"/>
        </w:rPr>
      </w:pPr>
      <w:r w:rsidRPr="00164A92">
        <w:rPr>
          <w:rFonts w:cs="Arial"/>
          <w:szCs w:val="24"/>
          <w:lang w:val="es-ES"/>
        </w:rPr>
        <w:t>El diagnóstico elaborado por CQM Consultoría evidencia que la continuidad y confiabilidad del suministro continúa condicionada por la concentración del abastecimiento en un número reducido de fuentes y por la necesidad de complementar la oferta nacional mediante importaciones en determinados escenarios de mercado. Asimismo, identifica que la planeación del abastecimiento puede verse afectada por la incertidumbre sobre la disponibilidad futura de GLP, cuando las cantidades inicialmente informadas por los productores presentan variaciones frente a los volúmenes finalmente ofrecidos al mercado. Esta situación dificulta que los agentes planifiquen oportunamente sus estrategias de abastecimiento y definan, con suficiente anticipación, la necesidad de acudir a fuentes alternativas como las importaciones. Esta situación incrementa la sensibilidad del sistema frente a eventos que afecten la disponibilidad de las principales fuentes de producción, así como frente a factores externos que puedan incidir sobre las condiciones de abastecimiento.</w:t>
      </w:r>
    </w:p>
    <w:p w14:paraId="68BE3698" w14:textId="77777777" w:rsidR="00DE1521" w:rsidRDefault="00DE1521" w:rsidP="009E359B">
      <w:pPr>
        <w:spacing w:before="100" w:beforeAutospacing="1" w:after="100" w:afterAutospacing="1" w:line="360" w:lineRule="auto"/>
        <w:rPr>
          <w:rFonts w:cs="Arial"/>
          <w:szCs w:val="24"/>
          <w:lang w:val="es-ES"/>
        </w:rPr>
      </w:pPr>
      <w:r w:rsidRPr="00DE1521">
        <w:rPr>
          <w:rFonts w:cs="Arial"/>
          <w:szCs w:val="24"/>
          <w:lang w:val="es-ES"/>
        </w:rPr>
        <w:t xml:space="preserve">Esta condición estructural ya había sido identificada por la Comisión en el Documento CREG 004 de 2021, en el cual se evidenció que el abastecimiento nacional depende principalmente de un número reducido de fuentes de producción y que las importaciones cumplen un papel complementario para cubrir faltantes de producto cuando la oferta nacional resulta insuficiente para atender la demanda. Asimismo, el documento señaló que la producción nacional de GLP está condicionada por la operación de los procesos </w:t>
      </w:r>
      <w:r w:rsidRPr="00DE1521">
        <w:rPr>
          <w:rFonts w:cs="Arial"/>
          <w:szCs w:val="24"/>
          <w:lang w:val="es-ES"/>
        </w:rPr>
        <w:lastRenderedPageBreak/>
        <w:t>de refinación y procesamiento de hidrocarburos, por lo que su disponibilidad no responde de manera autónoma a señales de precio, sino a la producción de los productos principales de dichos procesos.</w:t>
      </w:r>
    </w:p>
    <w:p w14:paraId="62945436" w14:textId="695F850F" w:rsidR="00200CBF" w:rsidRPr="00DE1521" w:rsidRDefault="00200CBF" w:rsidP="009E359B">
      <w:pPr>
        <w:spacing w:before="100" w:beforeAutospacing="1" w:after="100" w:afterAutospacing="1" w:line="360" w:lineRule="auto"/>
        <w:rPr>
          <w:rFonts w:cs="Arial"/>
          <w:szCs w:val="24"/>
          <w:lang w:val="es-ES"/>
        </w:rPr>
      </w:pPr>
      <w:r w:rsidRPr="00200CBF">
        <w:rPr>
          <w:rFonts w:cs="Arial"/>
          <w:szCs w:val="24"/>
        </w:rPr>
        <w:t>La concentración estructural del abastecimiento explica los síntomas relacionados con la dependencia de un número limitado de fuentes de suministro y la exposición del abastecimiento a factores externos. De igual forma, la incertidumbre sobre la disponibilidad futura del producto puede reducir la capacidad de los agentes para anticipar oportunamente las necesidades de abastecimiento y adoptar medidas preventivas frente a eventuales restricciones de oferta. Cuando el mercado depende de pocas fuentes para atender la mayor parte de la demanda, cualquier evento que afecte la disponibilidad de estas —como mantenimientos programados, contingencias operativas, variaciones en la producción nacional o alteraciones en las condiciones del mercado internacional que afecten las importaciones— puede reducir la capacidad del sistema para responder oportunamente a las necesidades de abastecimiento.</w:t>
      </w:r>
    </w:p>
    <w:p w14:paraId="4824202E" w14:textId="77777777" w:rsidR="00DE1521" w:rsidRPr="00DE1521" w:rsidRDefault="00DE1521" w:rsidP="009E359B">
      <w:pPr>
        <w:spacing w:before="100" w:beforeAutospacing="1" w:after="100" w:afterAutospacing="1" w:line="360" w:lineRule="auto"/>
        <w:rPr>
          <w:rFonts w:cs="Arial"/>
          <w:szCs w:val="24"/>
          <w:lang w:val="es-ES"/>
        </w:rPr>
      </w:pPr>
      <w:r w:rsidRPr="00DE1521">
        <w:rPr>
          <w:rFonts w:cs="Arial"/>
          <w:szCs w:val="24"/>
          <w:lang w:val="es-ES"/>
        </w:rPr>
        <w:t>Esta causa presenta una incidencia transversal en las modalidades de prestación mediante cilindros, tanques estacionarios y redes de distribución, puesto que todas dependen de la disponibilidad de producto en la etapa de comercialización mayorista. No obstante, sus efectos pueden manifestarse con distinta intensidad dependiendo de las condiciones logísticas y de abastecimiento propias de cada región.</w:t>
      </w:r>
    </w:p>
    <w:p w14:paraId="2CF36FC9" w14:textId="77777777" w:rsidR="00DE1521" w:rsidRPr="00DE1521" w:rsidRDefault="00DE1521" w:rsidP="009E359B">
      <w:pPr>
        <w:spacing w:before="100" w:beforeAutospacing="1" w:after="100" w:afterAutospacing="1" w:line="360" w:lineRule="auto"/>
        <w:rPr>
          <w:rFonts w:cs="Arial"/>
          <w:szCs w:val="24"/>
          <w:lang w:val="es-ES"/>
        </w:rPr>
      </w:pPr>
      <w:r w:rsidRPr="00DE1521">
        <w:rPr>
          <w:rFonts w:cs="Arial"/>
          <w:szCs w:val="24"/>
          <w:lang w:val="es-ES"/>
        </w:rPr>
        <w:t>En consecuencia, la concentración estructural del abastecimiento en un número reducido de fuentes de suministro constituye una causa estructural del riesgo de afectación a la continuidad y confiabilidad del suministro, al explicar la dependencia de un número limitado de fuentes de abastecimiento y la exposición del abastecimiento a factores externos previamente identificadas como síntomas de este riesgo.</w:t>
      </w:r>
    </w:p>
    <w:p w14:paraId="27D390A5" w14:textId="04E6630C" w:rsidR="007F7EE6" w:rsidRDefault="00ED028C" w:rsidP="009E359B">
      <w:pPr>
        <w:pStyle w:val="Ttulo5"/>
        <w:numPr>
          <w:ilvl w:val="4"/>
          <w:numId w:val="6"/>
        </w:numPr>
        <w:spacing w:before="100" w:beforeAutospacing="1" w:after="100" w:afterAutospacing="1"/>
        <w:ind w:left="1418" w:hanging="1418"/>
      </w:pPr>
      <w:r w:rsidRPr="00ED028C">
        <w:lastRenderedPageBreak/>
        <w:t>Restricciones económicas y de mercado para el desarrollo oportuno de infraestructura estratégica de almacenamiento e importación de GLP.</w:t>
      </w:r>
    </w:p>
    <w:p w14:paraId="10B0A79A" w14:textId="77777777" w:rsidR="00314F51" w:rsidRPr="00314F51" w:rsidRDefault="00314F51" w:rsidP="009E359B">
      <w:pPr>
        <w:spacing w:before="100" w:beforeAutospacing="1" w:after="100" w:afterAutospacing="1" w:line="360" w:lineRule="auto"/>
        <w:rPr>
          <w:rFonts w:cs="Arial"/>
          <w:szCs w:val="24"/>
          <w:lang w:val="es-ES"/>
        </w:rPr>
      </w:pPr>
      <w:r w:rsidRPr="00314F51">
        <w:rPr>
          <w:rFonts w:cs="Arial"/>
          <w:szCs w:val="24"/>
          <w:lang w:val="es-ES"/>
        </w:rPr>
        <w:t>La continuidad y confiabilidad del suministro de GLP requieren la existencia de infraestructura estratégica que permita almacenar producto y complementar oportunamente la oferta nacional mediante importaciones cuando las condiciones del mercado así lo demanden. Esta infraestructura constituye un elemento fundamental para incrementar la capacidad de respuesta del sistema frente a variaciones de la demanda, disminuciones de la producción nacional o contingencias que afecten el abastecimiento.</w:t>
      </w:r>
    </w:p>
    <w:p w14:paraId="641A7DF5" w14:textId="77777777" w:rsidR="00314F51" w:rsidRPr="00314F51" w:rsidRDefault="00314F51" w:rsidP="009E359B">
      <w:pPr>
        <w:spacing w:before="100" w:beforeAutospacing="1" w:after="100" w:afterAutospacing="1" w:line="360" w:lineRule="auto"/>
        <w:rPr>
          <w:rFonts w:cs="Arial"/>
          <w:szCs w:val="24"/>
          <w:lang w:val="es-ES"/>
        </w:rPr>
      </w:pPr>
      <w:r w:rsidRPr="00314F51">
        <w:rPr>
          <w:rFonts w:cs="Arial"/>
          <w:szCs w:val="24"/>
          <w:lang w:val="es-ES"/>
        </w:rPr>
        <w:t>El diagnóstico desarrollado por CQM Consultoría evidencia que persisten limitaciones en la capacidad de almacenamiento disponible para respaldar el abastecimiento del mercado, condición que reduce el margen de respuesta del sistema frente a eventos que afecten la disponibilidad de producto. Estas limitaciones adquieren especial relevancia en un contexto en el que el abastecimiento depende de un número reducido de fuentes nacionales y de una participación creciente del producto importado para complementar la oferta.</w:t>
      </w:r>
    </w:p>
    <w:p w14:paraId="675F16FD" w14:textId="77777777" w:rsidR="00314F51" w:rsidRPr="00314F51" w:rsidRDefault="00314F51" w:rsidP="009E359B">
      <w:pPr>
        <w:spacing w:before="100" w:beforeAutospacing="1" w:after="100" w:afterAutospacing="1" w:line="360" w:lineRule="auto"/>
        <w:rPr>
          <w:rFonts w:cs="Arial"/>
          <w:szCs w:val="24"/>
          <w:lang w:val="es-ES"/>
        </w:rPr>
      </w:pPr>
      <w:r w:rsidRPr="00314F51">
        <w:rPr>
          <w:rFonts w:cs="Arial"/>
          <w:szCs w:val="24"/>
          <w:lang w:val="es-ES"/>
        </w:rPr>
        <w:t>Como antecedente regulatorio, el Documento CREG 004 de 2021 identificó que el desarrollo de infraestructura de importación enfrenta condiciones económicas particulares, debido a que el tiempo transcurrido entre la identificación de una necesidad de abastecimiento, la decisión de inversión, la construcción de la infraestructura, su entrada en operación y la recuperación de la inversión puede superar los ocho años. Bajo estas condiciones, la incertidumbre sobre la evolución futura de la oferta y la demanda puede reducir los incentivos para desarrollar oportunamente nueva infraestructura estratégica de almacenamiento e importación.</w:t>
      </w:r>
    </w:p>
    <w:p w14:paraId="4601D2D5" w14:textId="77777777" w:rsidR="00314F51" w:rsidRPr="00314F51" w:rsidRDefault="00314F51" w:rsidP="009E359B">
      <w:pPr>
        <w:spacing w:before="100" w:beforeAutospacing="1" w:after="100" w:afterAutospacing="1" w:line="360" w:lineRule="auto"/>
        <w:rPr>
          <w:rFonts w:cs="Arial"/>
          <w:szCs w:val="24"/>
          <w:lang w:val="es-ES"/>
        </w:rPr>
      </w:pPr>
      <w:r w:rsidRPr="00314F51">
        <w:rPr>
          <w:rFonts w:cs="Arial"/>
          <w:szCs w:val="24"/>
          <w:lang w:val="es-ES"/>
        </w:rPr>
        <w:t xml:space="preserve">Estas condiciones estructurales explican el síntoma relacionado con las limitaciones en la capacidad de almacenamiento identificadas en el presente AIN. Cuando el mercado no dispone de infraestructura suficiente para almacenar producto o incrementar oportunamente la capacidad de importación, disminuye su capacidad para responder </w:t>
      </w:r>
      <w:r w:rsidRPr="00314F51">
        <w:rPr>
          <w:rFonts w:cs="Arial"/>
          <w:szCs w:val="24"/>
          <w:lang w:val="es-ES"/>
        </w:rPr>
        <w:lastRenderedPageBreak/>
        <w:t>frente a reducciones temporales de la oferta nacional, incrementos inesperados de la demanda o contingencias que afecten el abastecimiento.</w:t>
      </w:r>
    </w:p>
    <w:p w14:paraId="4F0216EF" w14:textId="77777777" w:rsidR="00314F51" w:rsidRPr="00314F51" w:rsidRDefault="00314F51" w:rsidP="009E359B">
      <w:pPr>
        <w:spacing w:before="100" w:beforeAutospacing="1" w:after="100" w:afterAutospacing="1" w:line="360" w:lineRule="auto"/>
        <w:rPr>
          <w:rFonts w:cs="Arial"/>
          <w:szCs w:val="24"/>
          <w:lang w:val="es-ES"/>
        </w:rPr>
      </w:pPr>
      <w:r w:rsidRPr="00314F51">
        <w:rPr>
          <w:rFonts w:cs="Arial"/>
          <w:szCs w:val="24"/>
          <w:lang w:val="es-ES"/>
        </w:rPr>
        <w:t>Esta causa presenta una incidencia transversal en todas las modalidades de prestación del servicio, dado que el almacenamiento constituye un mecanismo de respaldo para garantizar la disponibilidad del producto con independencia de la modalidad mediante la cual posteriormente sea distribuido a los usuarios finales.</w:t>
      </w:r>
    </w:p>
    <w:p w14:paraId="1E36BBB3" w14:textId="77777777" w:rsidR="00314F51" w:rsidRPr="00314F51" w:rsidRDefault="00314F51" w:rsidP="009E359B">
      <w:pPr>
        <w:spacing w:before="100" w:beforeAutospacing="1" w:after="100" w:afterAutospacing="1" w:line="360" w:lineRule="auto"/>
        <w:rPr>
          <w:rFonts w:cs="Arial"/>
          <w:szCs w:val="24"/>
          <w:lang w:val="es-ES"/>
        </w:rPr>
      </w:pPr>
      <w:r w:rsidRPr="00314F51">
        <w:rPr>
          <w:rFonts w:cs="Arial"/>
          <w:szCs w:val="24"/>
          <w:lang w:val="es-ES"/>
        </w:rPr>
        <w:t>En consecuencia, las restricciones económicas y de mercado para el desarrollo oportuno de infraestructura estratégica de almacenamiento e importación de GLP constituyen una causa estructural del riesgo de afectación a la continuidad y confiabilidad del suministro, al explicar las limitaciones en la capacidad de almacenamiento identificadas como uno de los síntomas de este riesgo.</w:t>
      </w:r>
    </w:p>
    <w:p w14:paraId="2212F566" w14:textId="3E0064F2" w:rsidR="003071DF" w:rsidRPr="00553C13" w:rsidRDefault="00553C13" w:rsidP="009E359B">
      <w:pPr>
        <w:pStyle w:val="Ttulo5"/>
        <w:numPr>
          <w:ilvl w:val="4"/>
          <w:numId w:val="6"/>
        </w:numPr>
        <w:spacing w:before="100" w:beforeAutospacing="1" w:after="100" w:afterAutospacing="1"/>
        <w:ind w:left="1134" w:hanging="1134"/>
      </w:pPr>
      <w:r w:rsidRPr="00553C13">
        <w:rPr>
          <w:lang w:val="es-CO"/>
        </w:rPr>
        <w:t>Limitaciones en la infraestructura logística y en las condiciones de transporte requeridas para garantizar el abastecimiento oportuno del mercado nacional y de las diferentes regiones</w:t>
      </w:r>
      <w:r w:rsidR="003071DF" w:rsidRPr="00553C13">
        <w:t>.</w:t>
      </w:r>
    </w:p>
    <w:p w14:paraId="631DA95A" w14:textId="77777777" w:rsidR="00CF01A3" w:rsidRPr="00CF01A3" w:rsidRDefault="00CF01A3" w:rsidP="009E359B">
      <w:pPr>
        <w:spacing w:before="100" w:beforeAutospacing="1" w:after="100" w:afterAutospacing="1" w:line="360" w:lineRule="auto"/>
        <w:rPr>
          <w:rFonts w:cs="Arial"/>
          <w:szCs w:val="24"/>
          <w:lang w:val="es-ES"/>
        </w:rPr>
      </w:pPr>
      <w:r w:rsidRPr="00CF01A3">
        <w:rPr>
          <w:rFonts w:cs="Arial"/>
          <w:szCs w:val="24"/>
          <w:lang w:val="es-ES"/>
        </w:rPr>
        <w:t>La continuidad y confiabilidad del suministro de GLP no dependen únicamente de la disponibilidad del producto en las fuentes de abastecimiento, sino también de la capacidad del sistema para transportarlo oportunamente hasta las diferentes regiones del país. Para ello, resulta indispensable contar con una infraestructura logística adecuada y con condiciones de transporte que permitan movilizar el producto de manera segura, eficiente y continua desde los centros de producción o importación hasta los mercados de consumo.</w:t>
      </w:r>
    </w:p>
    <w:p w14:paraId="2C965C28" w14:textId="77777777" w:rsidR="00CF01A3" w:rsidRPr="00CF01A3" w:rsidRDefault="00CF01A3" w:rsidP="009E359B">
      <w:pPr>
        <w:spacing w:before="100" w:beforeAutospacing="1" w:after="100" w:afterAutospacing="1" w:line="360" w:lineRule="auto"/>
        <w:rPr>
          <w:rFonts w:cs="Arial"/>
          <w:szCs w:val="24"/>
          <w:lang w:val="es-ES"/>
        </w:rPr>
      </w:pPr>
      <w:r w:rsidRPr="00CF01A3">
        <w:rPr>
          <w:rFonts w:cs="Arial"/>
          <w:szCs w:val="24"/>
          <w:lang w:val="es-ES"/>
        </w:rPr>
        <w:t xml:space="preserve">El diagnóstico desarrollado por CQM Consultoría evidencia que la infraestructura logística y las condiciones de transporte presentan diferencias importantes entre regiones, asociadas a factores como la ubicación geográfica de los mercados, las distancias respecto de las fuentes de abastecimiento, la disponibilidad de infraestructura de apoyo y las condiciones propias de las redes de transporte. Estas circunstancias hacen que </w:t>
      </w:r>
      <w:r w:rsidRPr="00CF01A3">
        <w:rPr>
          <w:rFonts w:cs="Arial"/>
          <w:szCs w:val="24"/>
          <w:lang w:val="es-ES"/>
        </w:rPr>
        <w:lastRenderedPageBreak/>
        <w:t>algunas regiones sean más vulnerables frente a interrupciones en el suministro o a eventos que afecten la operación logística.</w:t>
      </w:r>
    </w:p>
    <w:p w14:paraId="63BEB089" w14:textId="77777777" w:rsidR="00CF01A3" w:rsidRPr="00CF01A3" w:rsidRDefault="00CF01A3" w:rsidP="009E359B">
      <w:pPr>
        <w:spacing w:before="100" w:beforeAutospacing="1" w:after="100" w:afterAutospacing="1" w:line="360" w:lineRule="auto"/>
        <w:rPr>
          <w:rFonts w:cs="Arial"/>
          <w:szCs w:val="24"/>
          <w:lang w:val="es-ES"/>
        </w:rPr>
      </w:pPr>
      <w:r w:rsidRPr="00CF01A3">
        <w:rPr>
          <w:rFonts w:cs="Arial"/>
          <w:szCs w:val="24"/>
          <w:lang w:val="es-ES"/>
        </w:rPr>
        <w:t>Como antecedente regulatorio, el Documento CREG 004 de 2021 reconoce que el abastecimiento de GLP depende no solo de la disponibilidad del producto, sino también de la existencia de infraestructura que permita su importación, almacenamiento y movilización hacia los mercados de consumo. Asimismo, el documento señala que el desarrollo de dicha infraestructura requiere decisiones de inversión de largo plazo y constituye un elemento determinante para fortalecer la confiabilidad del abastecimiento nacional. En algunos casos, el fortalecimiento de la continuidad y confiabilidad del suministro puede requerir el desarrollo de infraestructura cuya utilización se presenta principalmente en situaciones extraordinarias, por lo que su viabilidad puede depender de la existencia de mecanismos que incentiven o remuneren este tipo de inversiones.</w:t>
      </w:r>
    </w:p>
    <w:p w14:paraId="589102F3" w14:textId="77777777" w:rsidR="00CF01A3" w:rsidRPr="00CF01A3" w:rsidRDefault="00CF01A3" w:rsidP="009E359B">
      <w:pPr>
        <w:spacing w:before="100" w:beforeAutospacing="1" w:after="100" w:afterAutospacing="1" w:line="360" w:lineRule="auto"/>
        <w:rPr>
          <w:rFonts w:cs="Arial"/>
          <w:szCs w:val="24"/>
          <w:lang w:val="es-ES"/>
        </w:rPr>
      </w:pPr>
      <w:r w:rsidRPr="00CF01A3">
        <w:rPr>
          <w:rFonts w:cs="Arial"/>
          <w:szCs w:val="24"/>
          <w:lang w:val="es-ES"/>
        </w:rPr>
        <w:t>Estas condiciones estructurales explican los síntomas relacionados con la vulnerabilidad de la infraestructura logística y de transporte, así como las diferencias regionales en las condiciones de suministro identificadas en el presente AIN. Cuando la infraestructura logística es limitada o las condiciones de transporte presentan restricciones, disminuye la capacidad del sistema para movilizar oportunamente el producto hacia los distintos mercados, incrementando la exposición de determinadas regiones frente a contingencias que afecten el abastecimiento. Esta situación resulta particularmente relevante en aquellas zonas cuya atención depende de modos específicos de transporte, como el fluvial, donde las limitaciones de la infraestructura disponible y las variaciones estacionales en la navegabilidad pueden restringir la movilización del GLP y afectar la continuidad del suministro.</w:t>
      </w:r>
    </w:p>
    <w:p w14:paraId="615E0256" w14:textId="77777777" w:rsidR="00CF01A3" w:rsidRPr="00CF01A3" w:rsidRDefault="00CF01A3" w:rsidP="009E359B">
      <w:pPr>
        <w:spacing w:before="100" w:beforeAutospacing="1" w:after="100" w:afterAutospacing="1" w:line="360" w:lineRule="auto"/>
        <w:rPr>
          <w:rFonts w:cs="Arial"/>
          <w:szCs w:val="24"/>
          <w:lang w:val="es-ES"/>
        </w:rPr>
      </w:pPr>
      <w:r w:rsidRPr="00CF01A3">
        <w:rPr>
          <w:rFonts w:cs="Arial"/>
          <w:szCs w:val="24"/>
          <w:lang w:val="es-ES"/>
        </w:rPr>
        <w:t xml:space="preserve">Esta causa presenta una incidencia transversal en todas las modalidades de prestación del servicio. No obstante, sus efectos adquieren mayor relevancia en aquellos mercados alejados de las principales fuentes de abastecimiento o que dependen de corredores logísticos con mayores restricciones operativas o de modos de transporte particularmente sensibles a las condiciones climáticas o al estado de la infraestructura disponible, donde </w:t>
      </w:r>
      <w:r w:rsidRPr="00CF01A3">
        <w:rPr>
          <w:rFonts w:cs="Arial"/>
          <w:szCs w:val="24"/>
          <w:lang w:val="es-ES"/>
        </w:rPr>
        <w:lastRenderedPageBreak/>
        <w:t>la disponibilidad y oportunidad del suministro están estrechamente condicionadas por las capacidades de transporte y distribución física del producto.</w:t>
      </w:r>
    </w:p>
    <w:p w14:paraId="2631CAF0" w14:textId="69B4987C" w:rsidR="003300B2" w:rsidRPr="003300B2" w:rsidRDefault="00CF01A3" w:rsidP="009E359B">
      <w:pPr>
        <w:spacing w:before="100" w:beforeAutospacing="1" w:after="100" w:afterAutospacing="1" w:line="360" w:lineRule="auto"/>
        <w:rPr>
          <w:rFonts w:cs="Arial"/>
          <w:szCs w:val="24"/>
          <w:lang w:val="es-ES"/>
        </w:rPr>
      </w:pPr>
      <w:r w:rsidRPr="00CF01A3">
        <w:rPr>
          <w:rFonts w:cs="Arial"/>
          <w:szCs w:val="24"/>
          <w:lang w:val="es-ES"/>
        </w:rPr>
        <w:t>En consecuencia, las limitaciones en la infraestructura logística y en las condiciones de transporte requeridas para garantizar el abastecimiento oportuno del mercado constituyen una causa estructural del riesgo de afectación a la continuidad y confiabilidad del suministro, al explicar la vulnerabilidad de la infraestructura logística y de transporte y las diferencias regionales en las condiciones de suministro previamente identificadas como síntomas de este riesgo.</w:t>
      </w:r>
    </w:p>
    <w:p w14:paraId="72A2EB9D" w14:textId="77777777" w:rsidR="001F1B03" w:rsidRDefault="001F1B03" w:rsidP="009E359B">
      <w:pPr>
        <w:pStyle w:val="Ttulo4"/>
        <w:spacing w:before="100" w:beforeAutospacing="1" w:after="100" w:afterAutospacing="1" w:line="360" w:lineRule="auto"/>
        <w:ind w:left="1276" w:hanging="1276"/>
      </w:pPr>
      <w:r>
        <w:t>Análisis de efectos</w:t>
      </w:r>
      <w:r w:rsidRPr="00225A26">
        <w:t>.</w:t>
      </w:r>
    </w:p>
    <w:p w14:paraId="0917EE2B" w14:textId="62C86FF6" w:rsidR="009C11A0" w:rsidRPr="009C11A0" w:rsidRDefault="00474697" w:rsidP="009E359B">
      <w:pPr>
        <w:spacing w:line="360" w:lineRule="auto"/>
      </w:pPr>
      <w:r w:rsidRPr="00474697">
        <w:t xml:space="preserve">Con base en las causas estructurales identificadas para el eje de continuidad y confiabilidad del suministro, se determinaron los principales efectos que estas pueden generar sobre la disponibilidad del servicio público domiciliario de GLP, el funcionamiento de la cadena de abastecimiento y el bienestar de los usuarios. Como se indicó previamente, una misma causa puede producir uno o varios efectos y, a su vez, un mismo efecto puede derivarse de diferentes causas. Por esta razón, el análisis se desarrolla mediante un enfoque de trazabilidad que relaciona las causas estructurales identificadas con los efectos asociados. </w:t>
      </w:r>
      <w:r w:rsidRPr="00563ACA">
        <w:t>La</w:t>
      </w:r>
      <w:r w:rsidR="00563ACA" w:rsidRPr="00563ACA">
        <w:t xml:space="preserve"> </w:t>
      </w:r>
      <w:r w:rsidR="00563ACA" w:rsidRPr="00563ACA">
        <w:fldChar w:fldCharType="begin"/>
      </w:r>
      <w:r w:rsidR="00563ACA" w:rsidRPr="00563ACA">
        <w:instrText xml:space="preserve"> REF _Ref235117465 \h  \* MERGEFORMAT </w:instrText>
      </w:r>
      <w:r w:rsidR="00563ACA" w:rsidRPr="00563ACA">
        <w:fldChar w:fldCharType="separate"/>
      </w:r>
      <w:r w:rsidR="00563ACA" w:rsidRPr="00563ACA">
        <w:t xml:space="preserve">Tabla </w:t>
      </w:r>
      <w:r w:rsidR="00563ACA" w:rsidRPr="00563ACA">
        <w:rPr>
          <w:noProof/>
        </w:rPr>
        <w:t>21</w:t>
      </w:r>
      <w:r w:rsidR="00563ACA" w:rsidRPr="00563ACA">
        <w:fldChar w:fldCharType="end"/>
      </w:r>
      <w:r w:rsidRPr="00474697">
        <w:t xml:space="preserve"> presenta una síntesis de los principales efectos estructurales identificados para este eje temático.</w:t>
      </w:r>
    </w:p>
    <w:p w14:paraId="5B89C638" w14:textId="26F66D4C" w:rsidR="00474697" w:rsidRPr="00704435" w:rsidRDefault="009C11A0" w:rsidP="00704435">
      <w:pPr>
        <w:pStyle w:val="Descripcin"/>
        <w:jc w:val="center"/>
        <w:rPr>
          <w:b w:val="0"/>
          <w:sz w:val="32"/>
          <w:szCs w:val="22"/>
        </w:rPr>
      </w:pPr>
      <w:bookmarkStart w:id="220" w:name="_Ref235117465"/>
      <w:bookmarkStart w:id="221" w:name="_Toc235128418"/>
      <w:r w:rsidRPr="00704435">
        <w:rPr>
          <w:b w:val="0"/>
        </w:rPr>
        <w:t xml:space="preserve">Tabla </w:t>
      </w:r>
      <w:r w:rsidR="00704435" w:rsidRPr="00704435">
        <w:rPr>
          <w:b w:val="0"/>
          <w:bCs/>
        </w:rPr>
        <w:fldChar w:fldCharType="begin"/>
      </w:r>
      <w:r w:rsidR="00704435" w:rsidRPr="00704435">
        <w:rPr>
          <w:b w:val="0"/>
          <w:bCs/>
        </w:rPr>
        <w:instrText xml:space="preserve"> SEQ Tabla \* ARABIC </w:instrText>
      </w:r>
      <w:r w:rsidR="00704435" w:rsidRPr="00704435">
        <w:rPr>
          <w:b w:val="0"/>
          <w:bCs/>
        </w:rPr>
        <w:fldChar w:fldCharType="separate"/>
      </w:r>
      <w:r w:rsidR="001C42C8">
        <w:rPr>
          <w:b w:val="0"/>
          <w:bCs/>
          <w:noProof/>
        </w:rPr>
        <w:t>21</w:t>
      </w:r>
      <w:r w:rsidR="00704435" w:rsidRPr="00704435">
        <w:rPr>
          <w:b w:val="0"/>
          <w:bCs/>
        </w:rPr>
        <w:fldChar w:fldCharType="end"/>
      </w:r>
      <w:bookmarkEnd w:id="220"/>
      <w:r w:rsidR="00704435" w:rsidRPr="00704435">
        <w:rPr>
          <w:b w:val="0"/>
          <w:bCs/>
        </w:rPr>
        <w:t>.</w:t>
      </w:r>
      <w:r w:rsidRPr="00704435">
        <w:rPr>
          <w:b w:val="0"/>
        </w:rPr>
        <w:t xml:space="preserve"> </w:t>
      </w:r>
      <w:r w:rsidRPr="00704435">
        <w:rPr>
          <w:rFonts w:cs="Arial"/>
          <w:b w:val="0"/>
          <w:szCs w:val="24"/>
        </w:rPr>
        <w:t>Síntesis de los efectos estructurales asociadas al eje de</w:t>
      </w:r>
      <w:r w:rsidR="00A22CEC" w:rsidRPr="00704435">
        <w:rPr>
          <w:rFonts w:cs="Arial"/>
          <w:b w:val="0"/>
          <w:szCs w:val="24"/>
        </w:rPr>
        <w:t xml:space="preserve"> continuidad y confiabilidad del suministro</w:t>
      </w:r>
      <w:bookmarkEnd w:id="221"/>
    </w:p>
    <w:tbl>
      <w:tblPr>
        <w:tblStyle w:val="Tablaconcuadrcula"/>
        <w:tblW w:w="0" w:type="auto"/>
        <w:tblLook w:val="04A0" w:firstRow="1" w:lastRow="0" w:firstColumn="1" w:lastColumn="0" w:noHBand="0" w:noVBand="1"/>
      </w:tblPr>
      <w:tblGrid>
        <w:gridCol w:w="571"/>
        <w:gridCol w:w="2169"/>
        <w:gridCol w:w="1347"/>
        <w:gridCol w:w="3041"/>
        <w:gridCol w:w="2268"/>
      </w:tblGrid>
      <w:tr w:rsidR="00126B3C" w:rsidRPr="00BC02F0" w14:paraId="09FD67EC" w14:textId="77777777" w:rsidTr="00E54AFC">
        <w:trPr>
          <w:tblHeader/>
        </w:trPr>
        <w:tc>
          <w:tcPr>
            <w:tcW w:w="0" w:type="auto"/>
            <w:hideMark/>
          </w:tcPr>
          <w:p w14:paraId="29ABA8BC" w14:textId="77777777" w:rsidR="00126B3C" w:rsidRPr="00BC02F0" w:rsidRDefault="00126B3C" w:rsidP="00E54AFC">
            <w:pPr>
              <w:spacing w:before="100" w:beforeAutospacing="1" w:after="100" w:afterAutospacing="1" w:line="360" w:lineRule="auto"/>
              <w:jc w:val="center"/>
              <w:rPr>
                <w:b/>
                <w:bCs/>
                <w:sz w:val="22"/>
                <w:szCs w:val="22"/>
                <w:lang w:val="es-CO"/>
              </w:rPr>
            </w:pPr>
            <w:r w:rsidRPr="00BC02F0">
              <w:rPr>
                <w:b/>
                <w:bCs/>
                <w:sz w:val="22"/>
                <w:szCs w:val="22"/>
                <w:lang w:val="es-CO"/>
              </w:rPr>
              <w:t>No.</w:t>
            </w:r>
          </w:p>
        </w:tc>
        <w:tc>
          <w:tcPr>
            <w:tcW w:w="0" w:type="auto"/>
            <w:hideMark/>
          </w:tcPr>
          <w:p w14:paraId="39750931" w14:textId="77777777" w:rsidR="00126B3C" w:rsidRPr="00BC02F0" w:rsidRDefault="00126B3C" w:rsidP="00E54AFC">
            <w:pPr>
              <w:spacing w:before="100" w:beforeAutospacing="1" w:after="100" w:afterAutospacing="1" w:line="360" w:lineRule="auto"/>
              <w:jc w:val="center"/>
              <w:rPr>
                <w:b/>
                <w:bCs/>
                <w:sz w:val="22"/>
                <w:szCs w:val="22"/>
                <w:lang w:val="es-CO"/>
              </w:rPr>
            </w:pPr>
            <w:r w:rsidRPr="00BC02F0">
              <w:rPr>
                <w:b/>
                <w:bCs/>
                <w:sz w:val="22"/>
                <w:szCs w:val="22"/>
                <w:lang w:val="es-CO"/>
              </w:rPr>
              <w:t>Efecto estructural</w:t>
            </w:r>
          </w:p>
        </w:tc>
        <w:tc>
          <w:tcPr>
            <w:tcW w:w="0" w:type="auto"/>
            <w:hideMark/>
          </w:tcPr>
          <w:p w14:paraId="59EE6EEC" w14:textId="77777777" w:rsidR="00126B3C" w:rsidRPr="00BC02F0" w:rsidRDefault="00126B3C" w:rsidP="00E54AFC">
            <w:pPr>
              <w:spacing w:before="100" w:beforeAutospacing="1" w:after="100" w:afterAutospacing="1" w:line="360" w:lineRule="auto"/>
              <w:jc w:val="center"/>
              <w:rPr>
                <w:b/>
                <w:bCs/>
                <w:sz w:val="22"/>
                <w:szCs w:val="22"/>
                <w:lang w:val="es-CO"/>
              </w:rPr>
            </w:pPr>
            <w:r w:rsidRPr="00BC02F0">
              <w:rPr>
                <w:b/>
                <w:bCs/>
                <w:sz w:val="22"/>
                <w:szCs w:val="22"/>
                <w:lang w:val="es-CO"/>
              </w:rPr>
              <w:t>Tipo</w:t>
            </w:r>
          </w:p>
        </w:tc>
        <w:tc>
          <w:tcPr>
            <w:tcW w:w="0" w:type="auto"/>
            <w:vAlign w:val="center"/>
            <w:hideMark/>
          </w:tcPr>
          <w:p w14:paraId="2B223092" w14:textId="77777777" w:rsidR="00126B3C" w:rsidRPr="00BC02F0" w:rsidRDefault="00126B3C" w:rsidP="00E54AFC">
            <w:pPr>
              <w:spacing w:before="100" w:beforeAutospacing="1" w:after="100" w:afterAutospacing="1" w:line="360" w:lineRule="auto"/>
              <w:jc w:val="center"/>
              <w:rPr>
                <w:b/>
                <w:bCs/>
                <w:sz w:val="22"/>
                <w:szCs w:val="22"/>
                <w:lang w:val="es-CO"/>
              </w:rPr>
            </w:pPr>
            <w:r w:rsidRPr="00BC02F0">
              <w:rPr>
                <w:b/>
                <w:bCs/>
                <w:sz w:val="22"/>
                <w:szCs w:val="22"/>
                <w:lang w:val="es-CO"/>
              </w:rPr>
              <w:t>Deriva de los síntomas</w:t>
            </w:r>
          </w:p>
        </w:tc>
        <w:tc>
          <w:tcPr>
            <w:tcW w:w="0" w:type="auto"/>
            <w:hideMark/>
          </w:tcPr>
          <w:p w14:paraId="59AE2CE6" w14:textId="77777777" w:rsidR="00126B3C" w:rsidRPr="00BC02F0" w:rsidRDefault="00126B3C" w:rsidP="00E54AFC">
            <w:pPr>
              <w:spacing w:before="100" w:beforeAutospacing="1" w:after="100" w:afterAutospacing="1" w:line="360" w:lineRule="auto"/>
              <w:jc w:val="center"/>
              <w:rPr>
                <w:b/>
                <w:bCs/>
                <w:sz w:val="22"/>
                <w:szCs w:val="22"/>
                <w:lang w:val="es-CO"/>
              </w:rPr>
            </w:pPr>
            <w:r w:rsidRPr="00BC02F0">
              <w:rPr>
                <w:b/>
                <w:bCs/>
                <w:sz w:val="22"/>
                <w:szCs w:val="22"/>
                <w:lang w:val="es-CO"/>
              </w:rPr>
              <w:t>Modalidad</w:t>
            </w:r>
          </w:p>
        </w:tc>
      </w:tr>
      <w:tr w:rsidR="00126B3C" w:rsidRPr="00BC02F0" w14:paraId="589C74CA" w14:textId="77777777" w:rsidTr="00BC02F0">
        <w:tc>
          <w:tcPr>
            <w:tcW w:w="0" w:type="auto"/>
            <w:hideMark/>
          </w:tcPr>
          <w:p w14:paraId="59887F95" w14:textId="77777777" w:rsidR="00126B3C" w:rsidRPr="00BC02F0" w:rsidRDefault="00126B3C" w:rsidP="002F1961">
            <w:pPr>
              <w:spacing w:before="100" w:beforeAutospacing="1" w:after="100" w:afterAutospacing="1" w:line="360" w:lineRule="auto"/>
              <w:jc w:val="left"/>
              <w:rPr>
                <w:sz w:val="22"/>
                <w:szCs w:val="22"/>
                <w:lang w:val="es-CO"/>
              </w:rPr>
            </w:pPr>
            <w:r w:rsidRPr="00BC02F0">
              <w:rPr>
                <w:sz w:val="22"/>
                <w:szCs w:val="22"/>
                <w:lang w:val="es-CO"/>
              </w:rPr>
              <w:t>E1</w:t>
            </w:r>
          </w:p>
        </w:tc>
        <w:tc>
          <w:tcPr>
            <w:tcW w:w="0" w:type="auto"/>
            <w:hideMark/>
          </w:tcPr>
          <w:p w14:paraId="64934F78" w14:textId="01BFF616" w:rsidR="00126B3C" w:rsidRPr="00BC02F0" w:rsidRDefault="00126B3C" w:rsidP="002F1961">
            <w:pPr>
              <w:spacing w:before="100" w:beforeAutospacing="1" w:after="100" w:afterAutospacing="1" w:line="360" w:lineRule="auto"/>
              <w:jc w:val="left"/>
              <w:rPr>
                <w:sz w:val="22"/>
                <w:szCs w:val="22"/>
                <w:lang w:val="es-CO"/>
              </w:rPr>
            </w:pPr>
            <w:r w:rsidRPr="00BC02F0">
              <w:rPr>
                <w:sz w:val="22"/>
                <w:szCs w:val="22"/>
                <w:lang w:val="es-CO"/>
              </w:rPr>
              <w:t>Menor capacidad del sistema para responder oportunamente ante contingencias que afecten el abastecimiento de GLP</w:t>
            </w:r>
          </w:p>
        </w:tc>
        <w:tc>
          <w:tcPr>
            <w:tcW w:w="0" w:type="auto"/>
            <w:hideMark/>
          </w:tcPr>
          <w:p w14:paraId="025C8E5B" w14:textId="77777777" w:rsidR="00126B3C" w:rsidRPr="00BC02F0" w:rsidRDefault="00126B3C" w:rsidP="002F1961">
            <w:pPr>
              <w:spacing w:before="100" w:beforeAutospacing="1" w:after="100" w:afterAutospacing="1" w:line="360" w:lineRule="auto"/>
              <w:jc w:val="left"/>
              <w:rPr>
                <w:sz w:val="22"/>
                <w:szCs w:val="22"/>
                <w:lang w:val="es-CO"/>
              </w:rPr>
            </w:pPr>
            <w:r w:rsidRPr="00BC02F0">
              <w:rPr>
                <w:sz w:val="22"/>
                <w:szCs w:val="22"/>
                <w:lang w:val="es-CO"/>
              </w:rPr>
              <w:t>Operativo</w:t>
            </w:r>
          </w:p>
        </w:tc>
        <w:tc>
          <w:tcPr>
            <w:tcW w:w="0" w:type="auto"/>
            <w:hideMark/>
          </w:tcPr>
          <w:p w14:paraId="33CDF1C8" w14:textId="77777777" w:rsidR="00126B3C" w:rsidRPr="00BC02F0" w:rsidRDefault="00126B3C" w:rsidP="002F1961">
            <w:pPr>
              <w:spacing w:before="100" w:beforeAutospacing="1" w:after="100" w:afterAutospacing="1" w:line="360" w:lineRule="auto"/>
              <w:jc w:val="left"/>
              <w:rPr>
                <w:sz w:val="22"/>
                <w:szCs w:val="22"/>
                <w:lang w:val="es-CO"/>
              </w:rPr>
            </w:pPr>
            <w:r w:rsidRPr="00BC02F0">
              <w:rPr>
                <w:sz w:val="22"/>
                <w:szCs w:val="22"/>
                <w:lang w:val="es-CO"/>
              </w:rPr>
              <w:t xml:space="preserve">Dependencia de un número limitado de fuentes de abastecimiento; exposición del abastecimiento a factores externos; limitaciones en la capacidad de almacenamiento; vulnerabilidad de la </w:t>
            </w:r>
            <w:r w:rsidRPr="00BC02F0">
              <w:rPr>
                <w:sz w:val="22"/>
                <w:szCs w:val="22"/>
                <w:lang w:val="es-CO"/>
              </w:rPr>
              <w:lastRenderedPageBreak/>
              <w:t>infraestructura logística y de flete.</w:t>
            </w:r>
          </w:p>
        </w:tc>
        <w:tc>
          <w:tcPr>
            <w:tcW w:w="0" w:type="auto"/>
            <w:hideMark/>
          </w:tcPr>
          <w:p w14:paraId="7EC14C63" w14:textId="77777777" w:rsidR="00126B3C" w:rsidRPr="00BC02F0" w:rsidRDefault="00126B3C" w:rsidP="002F1961">
            <w:pPr>
              <w:spacing w:before="100" w:beforeAutospacing="1" w:after="100" w:afterAutospacing="1" w:line="360" w:lineRule="auto"/>
              <w:jc w:val="left"/>
              <w:rPr>
                <w:sz w:val="22"/>
                <w:szCs w:val="22"/>
                <w:lang w:val="es-CO"/>
              </w:rPr>
            </w:pPr>
            <w:r w:rsidRPr="00BC02F0">
              <w:rPr>
                <w:sz w:val="22"/>
                <w:szCs w:val="22"/>
                <w:lang w:val="es-CO"/>
              </w:rPr>
              <w:lastRenderedPageBreak/>
              <w:t>Todas las modalidades de prestación.</w:t>
            </w:r>
          </w:p>
        </w:tc>
      </w:tr>
      <w:tr w:rsidR="00126B3C" w:rsidRPr="00BC02F0" w14:paraId="6C4961F5" w14:textId="77777777" w:rsidTr="00BC02F0">
        <w:tc>
          <w:tcPr>
            <w:tcW w:w="0" w:type="auto"/>
            <w:hideMark/>
          </w:tcPr>
          <w:p w14:paraId="053948EC" w14:textId="77777777" w:rsidR="00126B3C" w:rsidRPr="00BC02F0" w:rsidRDefault="00126B3C" w:rsidP="002F1961">
            <w:pPr>
              <w:spacing w:before="100" w:beforeAutospacing="1" w:after="100" w:afterAutospacing="1" w:line="360" w:lineRule="auto"/>
              <w:jc w:val="left"/>
              <w:rPr>
                <w:sz w:val="22"/>
                <w:szCs w:val="22"/>
                <w:lang w:val="es-CO"/>
              </w:rPr>
            </w:pPr>
            <w:r w:rsidRPr="00BC02F0">
              <w:rPr>
                <w:sz w:val="22"/>
                <w:szCs w:val="22"/>
                <w:lang w:val="es-CO"/>
              </w:rPr>
              <w:t>E2</w:t>
            </w:r>
          </w:p>
        </w:tc>
        <w:tc>
          <w:tcPr>
            <w:tcW w:w="0" w:type="auto"/>
            <w:hideMark/>
          </w:tcPr>
          <w:p w14:paraId="01AF298E" w14:textId="77777777" w:rsidR="00126B3C" w:rsidRPr="00BC02F0" w:rsidRDefault="00126B3C" w:rsidP="002F1961">
            <w:pPr>
              <w:spacing w:before="100" w:beforeAutospacing="1" w:after="100" w:afterAutospacing="1" w:line="360" w:lineRule="auto"/>
              <w:jc w:val="left"/>
              <w:rPr>
                <w:sz w:val="22"/>
                <w:szCs w:val="22"/>
                <w:lang w:val="es-CO"/>
              </w:rPr>
            </w:pPr>
            <w:r w:rsidRPr="00BC02F0">
              <w:rPr>
                <w:sz w:val="22"/>
                <w:szCs w:val="22"/>
                <w:lang w:val="es-CO"/>
              </w:rPr>
              <w:t>Mayor probabilidad de afectaciones regionales en la continuidad y confiabilidad del suministro.</w:t>
            </w:r>
          </w:p>
        </w:tc>
        <w:tc>
          <w:tcPr>
            <w:tcW w:w="0" w:type="auto"/>
            <w:hideMark/>
          </w:tcPr>
          <w:p w14:paraId="37D9D952" w14:textId="77777777" w:rsidR="00126B3C" w:rsidRPr="00BC02F0" w:rsidRDefault="00126B3C" w:rsidP="002F1961">
            <w:pPr>
              <w:spacing w:before="100" w:beforeAutospacing="1" w:after="100" w:afterAutospacing="1" w:line="360" w:lineRule="auto"/>
              <w:jc w:val="left"/>
              <w:rPr>
                <w:sz w:val="22"/>
                <w:szCs w:val="22"/>
                <w:lang w:val="es-CO"/>
              </w:rPr>
            </w:pPr>
            <w:r w:rsidRPr="00BC02F0">
              <w:rPr>
                <w:sz w:val="22"/>
                <w:szCs w:val="22"/>
                <w:lang w:val="es-CO"/>
              </w:rPr>
              <w:t>Territorial</w:t>
            </w:r>
          </w:p>
        </w:tc>
        <w:tc>
          <w:tcPr>
            <w:tcW w:w="0" w:type="auto"/>
            <w:hideMark/>
          </w:tcPr>
          <w:p w14:paraId="3B72E320" w14:textId="77777777" w:rsidR="00126B3C" w:rsidRPr="00BC02F0" w:rsidRDefault="00126B3C" w:rsidP="002F1961">
            <w:pPr>
              <w:spacing w:before="100" w:beforeAutospacing="1" w:after="100" w:afterAutospacing="1" w:line="360" w:lineRule="auto"/>
              <w:jc w:val="left"/>
              <w:rPr>
                <w:sz w:val="22"/>
                <w:szCs w:val="22"/>
                <w:lang w:val="es-CO"/>
              </w:rPr>
            </w:pPr>
            <w:r w:rsidRPr="00BC02F0">
              <w:rPr>
                <w:sz w:val="22"/>
                <w:szCs w:val="22"/>
                <w:lang w:val="es-CO"/>
              </w:rPr>
              <w:t>Vulnerabilidad de la infraestructura logística y de flete; diferencias regionales en las condiciones de suministro; limitaciones en la capacidad de almacenamiento.</w:t>
            </w:r>
          </w:p>
        </w:tc>
        <w:tc>
          <w:tcPr>
            <w:tcW w:w="0" w:type="auto"/>
            <w:hideMark/>
          </w:tcPr>
          <w:p w14:paraId="41802648" w14:textId="77777777" w:rsidR="00126B3C" w:rsidRPr="00BC02F0" w:rsidRDefault="00126B3C" w:rsidP="002F1961">
            <w:pPr>
              <w:spacing w:before="100" w:beforeAutospacing="1" w:after="100" w:afterAutospacing="1" w:line="360" w:lineRule="auto"/>
              <w:jc w:val="left"/>
              <w:rPr>
                <w:sz w:val="22"/>
                <w:szCs w:val="22"/>
                <w:lang w:val="es-CO"/>
              </w:rPr>
            </w:pPr>
            <w:r w:rsidRPr="00BC02F0">
              <w:rPr>
                <w:sz w:val="22"/>
                <w:szCs w:val="22"/>
                <w:lang w:val="es-CO"/>
              </w:rPr>
              <w:t>Todas las modalidades, con mayor incidencia en mercados alejados de las fuentes de abastecimiento y con mayores restricciones logísticas.</w:t>
            </w:r>
          </w:p>
        </w:tc>
      </w:tr>
      <w:tr w:rsidR="00126B3C" w:rsidRPr="00BC02F0" w14:paraId="52506CBF" w14:textId="77777777" w:rsidTr="00BC02F0">
        <w:tc>
          <w:tcPr>
            <w:tcW w:w="0" w:type="auto"/>
            <w:hideMark/>
          </w:tcPr>
          <w:p w14:paraId="563FF0FC" w14:textId="77777777" w:rsidR="00126B3C" w:rsidRPr="00BC02F0" w:rsidRDefault="00126B3C" w:rsidP="002F1961">
            <w:pPr>
              <w:spacing w:before="100" w:beforeAutospacing="1" w:after="100" w:afterAutospacing="1" w:line="360" w:lineRule="auto"/>
              <w:jc w:val="left"/>
              <w:rPr>
                <w:sz w:val="22"/>
                <w:szCs w:val="22"/>
                <w:lang w:val="es-CO"/>
              </w:rPr>
            </w:pPr>
            <w:r w:rsidRPr="00BC02F0">
              <w:rPr>
                <w:sz w:val="22"/>
                <w:szCs w:val="22"/>
                <w:lang w:val="es-CO"/>
              </w:rPr>
              <w:t>E3</w:t>
            </w:r>
          </w:p>
        </w:tc>
        <w:tc>
          <w:tcPr>
            <w:tcW w:w="0" w:type="auto"/>
            <w:hideMark/>
          </w:tcPr>
          <w:p w14:paraId="6E0CCC7C" w14:textId="77777777" w:rsidR="00126B3C" w:rsidRPr="00BC02F0" w:rsidRDefault="00126B3C" w:rsidP="002F1961">
            <w:pPr>
              <w:spacing w:before="100" w:beforeAutospacing="1" w:after="100" w:afterAutospacing="1" w:line="360" w:lineRule="auto"/>
              <w:jc w:val="left"/>
              <w:rPr>
                <w:sz w:val="22"/>
                <w:szCs w:val="22"/>
                <w:lang w:val="es-CO"/>
              </w:rPr>
            </w:pPr>
            <w:r w:rsidRPr="00BC02F0">
              <w:rPr>
                <w:sz w:val="22"/>
                <w:szCs w:val="22"/>
                <w:lang w:val="es-CO"/>
              </w:rPr>
              <w:t>Mayor exposición de los usuarios a interrupciones o limitaciones en el acceso al servicio de GLP.</w:t>
            </w:r>
          </w:p>
        </w:tc>
        <w:tc>
          <w:tcPr>
            <w:tcW w:w="0" w:type="auto"/>
            <w:hideMark/>
          </w:tcPr>
          <w:p w14:paraId="7C0DA22F" w14:textId="77777777" w:rsidR="00126B3C" w:rsidRPr="00BC02F0" w:rsidRDefault="00126B3C" w:rsidP="002F1961">
            <w:pPr>
              <w:spacing w:before="100" w:beforeAutospacing="1" w:after="100" w:afterAutospacing="1" w:line="360" w:lineRule="auto"/>
              <w:jc w:val="left"/>
              <w:rPr>
                <w:sz w:val="22"/>
                <w:szCs w:val="22"/>
                <w:lang w:val="es-CO"/>
              </w:rPr>
            </w:pPr>
            <w:r w:rsidRPr="00BC02F0">
              <w:rPr>
                <w:sz w:val="22"/>
                <w:szCs w:val="22"/>
                <w:lang w:val="es-CO"/>
              </w:rPr>
              <w:t>Social / Prestación del servicio</w:t>
            </w:r>
          </w:p>
        </w:tc>
        <w:tc>
          <w:tcPr>
            <w:tcW w:w="0" w:type="auto"/>
            <w:hideMark/>
          </w:tcPr>
          <w:p w14:paraId="3213F011" w14:textId="77777777" w:rsidR="00126B3C" w:rsidRPr="00BC02F0" w:rsidRDefault="00126B3C" w:rsidP="002F1961">
            <w:pPr>
              <w:spacing w:before="100" w:beforeAutospacing="1" w:after="100" w:afterAutospacing="1" w:line="360" w:lineRule="auto"/>
              <w:jc w:val="left"/>
              <w:rPr>
                <w:sz w:val="22"/>
                <w:szCs w:val="22"/>
                <w:lang w:val="es-CO"/>
              </w:rPr>
            </w:pPr>
            <w:r w:rsidRPr="00BC02F0">
              <w:rPr>
                <w:sz w:val="22"/>
                <w:szCs w:val="22"/>
                <w:lang w:val="es-CO"/>
              </w:rPr>
              <w:t>Dependencia de un número limitado de fuentes de abastecimiento; exposición del abastecimiento a factores externos; limitaciones en la capacidad de almacenamiento; vulnerabilidad de la infraestructura logística y diferencias regionales en las condiciones de suministro.</w:t>
            </w:r>
          </w:p>
        </w:tc>
        <w:tc>
          <w:tcPr>
            <w:tcW w:w="0" w:type="auto"/>
            <w:hideMark/>
          </w:tcPr>
          <w:p w14:paraId="41ED93EB" w14:textId="77777777" w:rsidR="00126B3C" w:rsidRPr="00BC02F0" w:rsidRDefault="00126B3C" w:rsidP="002F1961">
            <w:pPr>
              <w:spacing w:before="100" w:beforeAutospacing="1" w:after="100" w:afterAutospacing="1" w:line="360" w:lineRule="auto"/>
              <w:jc w:val="left"/>
              <w:rPr>
                <w:sz w:val="22"/>
                <w:szCs w:val="22"/>
                <w:lang w:val="es-CO"/>
              </w:rPr>
            </w:pPr>
            <w:r w:rsidRPr="00BC02F0">
              <w:rPr>
                <w:sz w:val="22"/>
                <w:szCs w:val="22"/>
                <w:lang w:val="es-CO"/>
              </w:rPr>
              <w:t>Todas las modalidades de prestación.</w:t>
            </w:r>
          </w:p>
        </w:tc>
      </w:tr>
    </w:tbl>
    <w:p w14:paraId="20FD994C" w14:textId="60AF53B3" w:rsidR="00AA3D98" w:rsidRPr="00563ACA" w:rsidRDefault="00AA3D98" w:rsidP="00563ACA">
      <w:pPr>
        <w:spacing w:before="100" w:beforeAutospacing="1" w:after="100" w:afterAutospacing="1" w:line="360" w:lineRule="auto"/>
        <w:jc w:val="center"/>
        <w:rPr>
          <w:sz w:val="22"/>
          <w:szCs w:val="22"/>
        </w:rPr>
      </w:pPr>
      <w:r>
        <w:rPr>
          <w:rFonts w:cs="Arial"/>
          <w:sz w:val="22"/>
          <w:szCs w:val="22"/>
        </w:rPr>
        <w:t>Elaboración</w:t>
      </w:r>
      <w:r w:rsidR="00563ACA">
        <w:rPr>
          <w:rFonts w:cs="Arial"/>
          <w:sz w:val="22"/>
          <w:szCs w:val="22"/>
        </w:rPr>
        <w:t>: CREG</w:t>
      </w:r>
    </w:p>
    <w:p w14:paraId="67D7802D" w14:textId="0AB5F68B" w:rsidR="005B57EE" w:rsidRPr="007D65A2" w:rsidRDefault="0032655A" w:rsidP="00563ACA">
      <w:pPr>
        <w:pStyle w:val="Ttulo5"/>
        <w:numPr>
          <w:ilvl w:val="4"/>
          <w:numId w:val="6"/>
        </w:numPr>
        <w:spacing w:before="100" w:beforeAutospacing="1" w:after="100" w:afterAutospacing="1"/>
        <w:ind w:left="1276" w:hanging="1276"/>
      </w:pPr>
      <w:r w:rsidRPr="0032655A">
        <w:rPr>
          <w:lang w:val="es-CO"/>
        </w:rPr>
        <w:t>Menor capacidad del sistema para responder oportunamente ante contingencias que afecten el abastecimiento de GLP</w:t>
      </w:r>
    </w:p>
    <w:p w14:paraId="3FBB24E7" w14:textId="77777777" w:rsidR="003F437C" w:rsidRPr="003F437C" w:rsidRDefault="003F437C" w:rsidP="00563ACA">
      <w:pPr>
        <w:spacing w:before="100" w:beforeAutospacing="1" w:after="100" w:afterAutospacing="1" w:line="360" w:lineRule="auto"/>
        <w:rPr>
          <w:rFonts w:cs="Arial"/>
          <w:szCs w:val="24"/>
          <w:lang w:val="es-ES"/>
        </w:rPr>
      </w:pPr>
      <w:r w:rsidRPr="003F437C">
        <w:rPr>
          <w:rFonts w:cs="Arial"/>
          <w:szCs w:val="24"/>
          <w:lang w:val="es-ES"/>
        </w:rPr>
        <w:t xml:space="preserve">La continuidad y confiabilidad del suministro de GLP dependen de la capacidad del sistema de abastecimiento para responder de manera oportuna frente a eventos que reduzcan temporalmente la disponibilidad del producto o incrementen de forma inesperada la demanda. Esta capacidad está determinada por la disponibilidad de fuentes </w:t>
      </w:r>
      <w:r w:rsidRPr="003F437C">
        <w:rPr>
          <w:rFonts w:cs="Arial"/>
          <w:szCs w:val="24"/>
          <w:lang w:val="es-ES"/>
        </w:rPr>
        <w:lastRenderedPageBreak/>
        <w:t>de suministro, la existencia de infraestructura estratégica de almacenamiento, la capacidad logística para movilizar el producto y la articulación de los diferentes eslabones que conforman la cadena de abastecimiento. En este contexto, la disminución de la capacidad de respuesta del sistema constituye uno de los principales efectos derivados del riesgo de afectación a la continuidad y confiabilidad del suministro.</w:t>
      </w:r>
    </w:p>
    <w:p w14:paraId="0983895D" w14:textId="77777777" w:rsidR="003F437C" w:rsidRPr="003F437C" w:rsidRDefault="003F437C" w:rsidP="00563ACA">
      <w:pPr>
        <w:spacing w:before="100" w:beforeAutospacing="1" w:after="100" w:afterAutospacing="1" w:line="360" w:lineRule="auto"/>
        <w:rPr>
          <w:rFonts w:cs="Arial"/>
          <w:szCs w:val="24"/>
          <w:lang w:val="es-ES"/>
        </w:rPr>
      </w:pPr>
      <w:r w:rsidRPr="003F437C">
        <w:rPr>
          <w:rFonts w:cs="Arial"/>
          <w:szCs w:val="24"/>
          <w:lang w:val="es-ES"/>
        </w:rPr>
        <w:t>Este efecto se genera como consecuencia de la interacción de los síntomas previamente identificados. La dependencia de un número reducido de fuentes de abastecimiento incrementa la sensibilidad del mercado frente a eventos que afecten la disponibilidad de dichas fuentes; la exposición a factores externos aumenta la incertidumbre sobre el abastecimiento; las limitaciones en la capacidad de almacenamiento reducen el margen de respuesta frente a contingencias; y la vulnerabilidad de la infraestructura logística y de transporte puede dificultar la movilización oportuna del producto hacia los mercados de consumo. En conjunto, estas condiciones disminuyen la capacidad del sistema para absorber perturbaciones sin afectar el abastecimiento.</w:t>
      </w:r>
    </w:p>
    <w:p w14:paraId="1639674A" w14:textId="77777777" w:rsidR="003F437C" w:rsidRPr="003F437C" w:rsidRDefault="003F437C" w:rsidP="003E3CB9">
      <w:pPr>
        <w:spacing w:before="100" w:beforeAutospacing="1" w:after="100" w:afterAutospacing="1" w:line="360" w:lineRule="auto"/>
        <w:rPr>
          <w:rFonts w:cs="Arial"/>
          <w:szCs w:val="24"/>
          <w:lang w:val="es-ES"/>
        </w:rPr>
      </w:pPr>
      <w:r w:rsidRPr="003F437C">
        <w:rPr>
          <w:rFonts w:cs="Arial"/>
          <w:szCs w:val="24"/>
          <w:lang w:val="es-ES"/>
        </w:rPr>
        <w:t>El Documento CREG 004 de 2021 reconoce que la confiabilidad del abastecimiento depende no solo de la disponibilidad de producto, sino también de la existencia de infraestructura que permita complementar la oferta nacional mediante importaciones, almacenar producto y movilizarlo oportunamente hacia los diferentes mercados. Asimismo, identifica que las decisiones de inversión en infraestructura estratégica requieren horizontes de largo plazo y están sujetas a condiciones de mercado que pueden afectar la oportunidad con la que dicha infraestructura entra en operación. Estas condiciones fueron igualmente identificadas en el diagnóstico desarrollado por CQM Consultoría, el cual evidencia que la capacidad de respuesta del sistema continúa dependiendo de la interacción entre las fuentes de abastecimiento, la infraestructura disponible y la logística de distribución.</w:t>
      </w:r>
    </w:p>
    <w:p w14:paraId="333C45B2" w14:textId="77777777" w:rsidR="003F437C" w:rsidRPr="003F437C" w:rsidRDefault="003F437C" w:rsidP="003E3CB9">
      <w:pPr>
        <w:spacing w:before="100" w:beforeAutospacing="1" w:after="100" w:afterAutospacing="1" w:line="360" w:lineRule="auto"/>
        <w:rPr>
          <w:rFonts w:cs="Arial"/>
          <w:szCs w:val="24"/>
          <w:lang w:val="es-ES"/>
        </w:rPr>
      </w:pPr>
      <w:r w:rsidRPr="003F437C">
        <w:rPr>
          <w:rFonts w:cs="Arial"/>
          <w:szCs w:val="24"/>
          <w:lang w:val="es-ES"/>
        </w:rPr>
        <w:t xml:space="preserve">Este efecto presenta una incidencia transversal en las modalidades de prestación mediante cilindros, tanques estacionarios y redes de distribución, puesto que todas dependen de la disponibilidad de GLP en la etapa de abastecimiento mayorista. No obstante, sus consecuencias pueden manifestarse con distinta intensidad según las </w:t>
      </w:r>
      <w:r w:rsidRPr="003F437C">
        <w:rPr>
          <w:rFonts w:cs="Arial"/>
          <w:szCs w:val="24"/>
          <w:lang w:val="es-ES"/>
        </w:rPr>
        <w:lastRenderedPageBreak/>
        <w:t>condiciones logísticas de cada mercado y el grado de dependencia de determinadas fuentes de suministro.</w:t>
      </w:r>
    </w:p>
    <w:p w14:paraId="0BA36399" w14:textId="2A4A7FE7" w:rsidR="000529F8" w:rsidRPr="003F437C" w:rsidRDefault="003F437C" w:rsidP="00F517EB">
      <w:pPr>
        <w:spacing w:before="100" w:beforeAutospacing="1" w:after="100" w:afterAutospacing="1" w:line="360" w:lineRule="auto"/>
        <w:rPr>
          <w:rFonts w:cs="Arial"/>
          <w:szCs w:val="24"/>
          <w:lang w:val="es-ES"/>
        </w:rPr>
      </w:pPr>
      <w:r w:rsidRPr="003F437C">
        <w:rPr>
          <w:rFonts w:cs="Arial"/>
          <w:szCs w:val="24"/>
          <w:lang w:val="es-ES"/>
        </w:rPr>
        <w:t>En consecuencia, la menor capacidad del sistema para responder oportunamente ante contingencias que afecten el abastecimiento de GLP constituye un efecto derivado del riesgo de afectación a la continuidad y confiabilidad del suministro, en la medida en que representa una consecuencia directa de la dependencia de un número limitado de fuentes de abastecimiento, la exposición a factores externos, las limitaciones en la capacidad de almacenamiento y la vulnerabilidad de la infraestructura logística y de transporte identificadas como síntomas de este riesgo</w:t>
      </w:r>
      <w:r w:rsidR="000529F8" w:rsidRPr="003F437C">
        <w:rPr>
          <w:rFonts w:cs="Arial"/>
          <w:szCs w:val="24"/>
          <w:lang w:val="es-ES"/>
        </w:rPr>
        <w:t>.</w:t>
      </w:r>
    </w:p>
    <w:p w14:paraId="6F4D9FEE" w14:textId="66F4F206" w:rsidR="005B57EE" w:rsidRPr="007D65A2" w:rsidRDefault="00C66658" w:rsidP="00F517EB">
      <w:pPr>
        <w:pStyle w:val="Ttulo5"/>
        <w:numPr>
          <w:ilvl w:val="4"/>
          <w:numId w:val="6"/>
        </w:numPr>
        <w:spacing w:before="100" w:beforeAutospacing="1" w:after="100" w:afterAutospacing="1"/>
        <w:ind w:left="1276" w:hanging="1276"/>
      </w:pPr>
      <w:r w:rsidRPr="00C66658">
        <w:rPr>
          <w:lang w:val="es-CO"/>
        </w:rPr>
        <w:t>Mayor probabilidad de afectaciones regionales en la continuidad y confiabilidad del suministro</w:t>
      </w:r>
      <w:r w:rsidR="005B57EE" w:rsidRPr="007D65A2">
        <w:t>.</w:t>
      </w:r>
    </w:p>
    <w:p w14:paraId="224C5057" w14:textId="77777777" w:rsidR="00E70E31" w:rsidRPr="00E70E31" w:rsidRDefault="00E70E31" w:rsidP="00F517EB">
      <w:pPr>
        <w:spacing w:before="100" w:beforeAutospacing="1" w:after="100" w:afterAutospacing="1" w:line="360" w:lineRule="auto"/>
        <w:rPr>
          <w:rFonts w:cs="Arial"/>
          <w:szCs w:val="24"/>
          <w:lang w:val="es-ES"/>
        </w:rPr>
      </w:pPr>
      <w:r w:rsidRPr="00E70E31">
        <w:rPr>
          <w:rFonts w:cs="Arial"/>
          <w:szCs w:val="24"/>
          <w:lang w:val="es-ES"/>
        </w:rPr>
        <w:t>Las condiciones de abastecimiento de GLP no son homogéneas en todo el territorio nacional. La ubicación de las fuentes de suministro, la disponibilidad de infraestructura de almacenamiento, las condiciones logísticas y las características geográficas de cada región generan diferencias en la forma como el producto es transportado y distribuido hasta los mercados de consumo. En este contexto, las limitaciones estructurales del sistema de abastecimiento pueden afectar de manera diferenciada a las distintas regiones del país, incrementando la probabilidad de que se presenten afectaciones regionales en la continuidad y confiabilidad del suministro.</w:t>
      </w:r>
    </w:p>
    <w:p w14:paraId="64B2E342" w14:textId="77777777" w:rsidR="00E70E31" w:rsidRPr="00E70E31" w:rsidRDefault="00E70E31" w:rsidP="00F517EB">
      <w:pPr>
        <w:spacing w:before="100" w:beforeAutospacing="1" w:after="100" w:afterAutospacing="1" w:line="360" w:lineRule="auto"/>
        <w:rPr>
          <w:rFonts w:cs="Arial"/>
          <w:szCs w:val="24"/>
          <w:lang w:val="es-ES"/>
        </w:rPr>
      </w:pPr>
      <w:r w:rsidRPr="00E70E31">
        <w:rPr>
          <w:rFonts w:cs="Arial"/>
          <w:szCs w:val="24"/>
          <w:lang w:val="es-ES"/>
        </w:rPr>
        <w:t>Este efecto se genera como consecuencia de la interacción entre los síntomas previamente identificados. La vulnerabilidad de la infraestructura logística y de transporte, las limitaciones en la capacidad de almacenamiento y las diferencias regionales en las condiciones de suministro hacen que determinados mercados presenten una mayor exposición frente a eventos que afecten la disponibilidad del producto o dificulten su movilización. Como resultado, las contingencias que ocurren en alguno de los eslabones de la cadena pueden producir impactos diferenciados sobre el abastecimiento, dependiendo de las condiciones propias de cada región.</w:t>
      </w:r>
    </w:p>
    <w:p w14:paraId="50B68306" w14:textId="77777777" w:rsidR="00E70E31" w:rsidRPr="00E70E31" w:rsidRDefault="00E70E31" w:rsidP="00F517EB">
      <w:pPr>
        <w:spacing w:before="100" w:beforeAutospacing="1" w:after="100" w:afterAutospacing="1" w:line="360" w:lineRule="auto"/>
        <w:rPr>
          <w:rFonts w:cs="Arial"/>
          <w:szCs w:val="24"/>
          <w:lang w:val="es-ES"/>
        </w:rPr>
      </w:pPr>
      <w:r w:rsidRPr="00E70E31">
        <w:rPr>
          <w:rFonts w:cs="Arial"/>
          <w:szCs w:val="24"/>
          <w:lang w:val="es-ES"/>
        </w:rPr>
        <w:lastRenderedPageBreak/>
        <w:t>El diagnóstico desarrollado por CQM Consultoría evidencia que las características geográficas del mercado de GLP, la localización de la infraestructura y las condiciones de transporte generan diferencias importantes entre regiones respecto de las alternativas disponibles para el abastecimiento y la capacidad de respuesta frente a contingencias. De igual forma, el Documento CREG 004 de 2021 reconoce que la continuidad del suministro depende de la articulación entre las fuentes de producción, la infraestructura de almacenamiento, las facilidades de importación y la logística necesaria para movilizar oportunamente el producto hacia los distintos mercados del país. Estas condiciones estructurales explican que los efectos de una misma contingencia no se manifiesten de manera uniforme en todo el territorio nacional.</w:t>
      </w:r>
    </w:p>
    <w:p w14:paraId="3DC54A05" w14:textId="04CD69C1" w:rsidR="00E70E31" w:rsidRPr="00E70E31" w:rsidRDefault="00E70E31" w:rsidP="00F517EB">
      <w:pPr>
        <w:spacing w:before="100" w:beforeAutospacing="1" w:after="100" w:afterAutospacing="1" w:line="360" w:lineRule="auto"/>
        <w:rPr>
          <w:rFonts w:cs="Arial"/>
          <w:szCs w:val="24"/>
          <w:lang w:val="es-ES"/>
        </w:rPr>
      </w:pPr>
      <w:r w:rsidRPr="00E70E31">
        <w:rPr>
          <w:rFonts w:cs="Arial"/>
          <w:szCs w:val="24"/>
          <w:lang w:val="es-ES"/>
        </w:rPr>
        <w:t>Este efecto presenta una incidencia transversal en las modalidades de prestación mediante cilindros, tanques estacionarios y redes de distribución. Sin embargo, adquiere una mayor relevancia en aquellos mercados ubicados a mayores distancias de las principales fuentes de abastecimiento o que dependen de corredores logísticos con mayores restricciones operativas, donde la capacidad para sustituir oportunamente las fuentes de suministro o implementar alternativas de abastecimiento resulta más limitada.</w:t>
      </w:r>
    </w:p>
    <w:p w14:paraId="54B582FF" w14:textId="77777777" w:rsidR="005747F2" w:rsidRPr="00E70E31" w:rsidRDefault="00E70E31" w:rsidP="00F517EB">
      <w:pPr>
        <w:spacing w:before="100" w:beforeAutospacing="1" w:after="100" w:afterAutospacing="1" w:line="360" w:lineRule="auto"/>
        <w:rPr>
          <w:rFonts w:cs="Arial"/>
          <w:szCs w:val="24"/>
          <w:lang w:val="es-ES"/>
        </w:rPr>
      </w:pPr>
      <w:r w:rsidRPr="00E70E31">
        <w:rPr>
          <w:rFonts w:cs="Arial"/>
          <w:szCs w:val="24"/>
          <w:lang w:val="es-ES"/>
        </w:rPr>
        <w:t>En consecuencia, la mayor probabilidad de afectaciones regionales en la continuidad y confiabilidad del suministro constituye un efecto derivado del riesgo de afectación a la continuidad y confiabilidad del suministro, en la medida en que representa una consecuencia directa de la vulnerabilidad de la infraestructura logística y de transporte, las limitaciones en la capacidad de almacenamiento y las diferencias regionales en las condiciones de suministro identificadas como síntomas de este riesgo</w:t>
      </w:r>
      <w:r w:rsidR="005747F2" w:rsidRPr="00E70E31">
        <w:rPr>
          <w:rFonts w:cs="Arial"/>
          <w:szCs w:val="24"/>
          <w:lang w:val="es-ES"/>
        </w:rPr>
        <w:t>.</w:t>
      </w:r>
    </w:p>
    <w:p w14:paraId="3773A742" w14:textId="2B43E051" w:rsidR="0094647A" w:rsidRPr="007D65A2" w:rsidRDefault="002E6BDA" w:rsidP="00F517EB">
      <w:pPr>
        <w:pStyle w:val="Ttulo5"/>
        <w:numPr>
          <w:ilvl w:val="4"/>
          <w:numId w:val="6"/>
        </w:numPr>
        <w:spacing w:before="100" w:beforeAutospacing="1" w:after="100" w:afterAutospacing="1"/>
        <w:ind w:left="1276" w:hanging="1276"/>
      </w:pPr>
      <w:r w:rsidRPr="002E6BDA">
        <w:rPr>
          <w:lang w:val="es-CO"/>
        </w:rPr>
        <w:t>Mayor exposición de los usuarios a interrupciones o limitaciones en el acceso al servicio de GLP</w:t>
      </w:r>
      <w:r w:rsidR="0094647A" w:rsidRPr="007D65A2">
        <w:t>.</w:t>
      </w:r>
    </w:p>
    <w:p w14:paraId="45B4A291" w14:textId="77777777" w:rsidR="00A25C68" w:rsidRPr="00A25C68" w:rsidRDefault="00A25C68" w:rsidP="00F517EB">
      <w:pPr>
        <w:spacing w:before="100" w:beforeAutospacing="1" w:after="100" w:afterAutospacing="1" w:line="360" w:lineRule="auto"/>
        <w:rPr>
          <w:rFonts w:cs="Arial"/>
          <w:szCs w:val="24"/>
          <w:lang w:val="es-ES"/>
        </w:rPr>
      </w:pPr>
      <w:r w:rsidRPr="00A25C68">
        <w:rPr>
          <w:rFonts w:cs="Arial"/>
          <w:szCs w:val="24"/>
          <w:lang w:val="es-ES"/>
        </w:rPr>
        <w:t xml:space="preserve">La persistencia de la dependencia de un número limitado de fuentes de abastecimiento, la exposición del abastecimiento a factores externos, las limitaciones en la capacidad de almacenamiento, la vulnerabilidad de la infraestructura logística y de flete y las diferencias regionales en las condiciones de suministro puede incrementar la exposición de los </w:t>
      </w:r>
      <w:r w:rsidRPr="00A25C68">
        <w:rPr>
          <w:rFonts w:cs="Arial"/>
          <w:szCs w:val="24"/>
          <w:lang w:val="es-ES"/>
        </w:rPr>
        <w:lastRenderedPageBreak/>
        <w:t>usuarios a interrupciones o limitaciones en el acceso al servicio público domiciliario de GLP. En este contexto, la reducción de la capacidad del sistema para garantizar el abastecimiento oportuno constituye uno de los principales efectos derivados de las interrupciones o limitaciones en el acceso al GLP.</w:t>
      </w:r>
    </w:p>
    <w:p w14:paraId="3DCD65AC" w14:textId="77777777" w:rsidR="00A25C68" w:rsidRPr="00A25C68" w:rsidRDefault="00A25C68" w:rsidP="00F517EB">
      <w:pPr>
        <w:spacing w:before="100" w:beforeAutospacing="1" w:after="100" w:afterAutospacing="1" w:line="360" w:lineRule="auto"/>
        <w:rPr>
          <w:rFonts w:cs="Arial"/>
          <w:szCs w:val="24"/>
          <w:lang w:val="es-ES"/>
        </w:rPr>
      </w:pPr>
      <w:r w:rsidRPr="00A25C68">
        <w:rPr>
          <w:rFonts w:cs="Arial"/>
          <w:szCs w:val="24"/>
          <w:lang w:val="es-ES"/>
        </w:rPr>
        <w:t>Este efecto se genera como consecuencia de la interacción entre los síntomas identificados para este eje temático. Cuando el abastecimiento depende de un número reducido de fuentes de suministro, la ocurrencia de contingencias en la producción, la importación o el transporte puede afectar la disponibilidad del producto. De igual manera, las limitaciones en la capacidad de almacenamiento y la vulnerabilidad de la infraestructura logística reducen la capacidad del sistema para responder oportunamente ante dichas contingencias, mientras que las diferencias regionales en las condiciones de suministro pueden aumentar la exposición de determinados mercados a situaciones de desabastecimiento o restricciones en el acceso al servicio.</w:t>
      </w:r>
    </w:p>
    <w:p w14:paraId="0BC25EE4" w14:textId="77777777" w:rsidR="00A25C68" w:rsidRPr="00A25C68" w:rsidRDefault="00A25C68" w:rsidP="00F517EB">
      <w:pPr>
        <w:spacing w:before="100" w:beforeAutospacing="1" w:after="100" w:afterAutospacing="1" w:line="360" w:lineRule="auto"/>
        <w:rPr>
          <w:rFonts w:cs="Arial"/>
          <w:szCs w:val="24"/>
          <w:lang w:val="es-ES"/>
        </w:rPr>
      </w:pPr>
      <w:r w:rsidRPr="00A25C68">
        <w:rPr>
          <w:rFonts w:cs="Arial"/>
          <w:szCs w:val="24"/>
          <w:lang w:val="es-ES"/>
        </w:rPr>
        <w:t>Como resultado, los usuarios pueden enfrentar mayores dificultades para acceder oportunamente al GLP cuando se presentan eventos que afectan el abastecimiento, especialmente en aquellos mercados con menores alternativas de suministro o mayores restricciones logísticas. Esta situación puede comprometer la continuidad y confiabilidad del servicio y afectar la capacidad de los usuarios para disponer del energético cuando lo requieren.</w:t>
      </w:r>
    </w:p>
    <w:p w14:paraId="3ABEF76B" w14:textId="77777777" w:rsidR="00A25C68" w:rsidRPr="00A25C68" w:rsidRDefault="00A25C68" w:rsidP="00F517EB">
      <w:pPr>
        <w:spacing w:before="100" w:beforeAutospacing="1" w:after="100" w:afterAutospacing="1" w:line="360" w:lineRule="auto"/>
        <w:rPr>
          <w:rFonts w:cs="Arial"/>
          <w:szCs w:val="24"/>
          <w:lang w:val="es-ES"/>
        </w:rPr>
      </w:pPr>
      <w:r w:rsidRPr="00A25C68">
        <w:rPr>
          <w:rFonts w:cs="Arial"/>
          <w:szCs w:val="24"/>
          <w:lang w:val="es-ES"/>
        </w:rPr>
        <w:t>Este efecto presenta una incidencia en todas las modalidades de prestación del servicio público domiciliario de GLP. No obstante, puede manifestarse con mayor intensidad en mercados alejados de las principales fuentes de abastecimiento, con limitada capacidad de almacenamiento o con mayores restricciones en la infraestructura logística y de transporte requerida para atender la demanda.</w:t>
      </w:r>
    </w:p>
    <w:p w14:paraId="1296D292" w14:textId="456B0D16" w:rsidR="0094647A" w:rsidRPr="00A25C68" w:rsidRDefault="00A25C68" w:rsidP="00F517EB">
      <w:pPr>
        <w:spacing w:before="100" w:beforeAutospacing="1" w:after="100" w:afterAutospacing="1" w:line="360" w:lineRule="auto"/>
        <w:rPr>
          <w:rFonts w:cs="Arial"/>
          <w:szCs w:val="24"/>
          <w:lang w:val="es-ES"/>
        </w:rPr>
      </w:pPr>
      <w:r w:rsidRPr="00A25C68">
        <w:rPr>
          <w:rFonts w:cs="Arial"/>
          <w:szCs w:val="24"/>
          <w:lang w:val="es-ES"/>
        </w:rPr>
        <w:t xml:space="preserve">En consecuencia, la mayor exposición de los usuarios a interrupciones o limitaciones en el acceso al servicio de GLP constituye un efecto derivado de las interrupciones o limitaciones en el acceso al GLP, en la medida en que representa una consecuencia directa de la dependencia de un número limitado de fuentes de abastecimiento, la </w:t>
      </w:r>
      <w:r w:rsidRPr="00A25C68">
        <w:rPr>
          <w:rFonts w:cs="Arial"/>
          <w:szCs w:val="24"/>
          <w:lang w:val="es-ES"/>
        </w:rPr>
        <w:lastRenderedPageBreak/>
        <w:t>exposición a factores externos, las limitaciones en la capacidad de almacenamiento, la vulnerabilidad de la infraestructura logística y de flete y las diferencias regionales en las condiciones de suministro.</w:t>
      </w:r>
    </w:p>
    <w:p w14:paraId="09D0F9E3" w14:textId="56FA5905" w:rsidR="00FB7D94" w:rsidRDefault="00022808" w:rsidP="00F517EB">
      <w:pPr>
        <w:pStyle w:val="Ttulo3"/>
        <w:spacing w:before="100" w:beforeAutospacing="1" w:after="100" w:afterAutospacing="1"/>
        <w:ind w:left="1134" w:hanging="1134"/>
        <w:rPr>
          <w:lang w:val="es-CO"/>
        </w:rPr>
      </w:pPr>
      <w:bookmarkStart w:id="222" w:name="_Toc235128389"/>
      <w:r w:rsidRPr="00022808">
        <w:rPr>
          <w:lang w:val="es-CO"/>
        </w:rPr>
        <w:t>Ineficiencias económicas en la prestación del servicio</w:t>
      </w:r>
      <w:bookmarkEnd w:id="222"/>
    </w:p>
    <w:p w14:paraId="3624396F" w14:textId="77777777" w:rsidR="00FD45D9" w:rsidRPr="00852609" w:rsidRDefault="00FD45D9" w:rsidP="00F517EB">
      <w:pPr>
        <w:pStyle w:val="pdq2pgselectionanchorcontainer"/>
        <w:spacing w:line="360" w:lineRule="auto"/>
        <w:jc w:val="both"/>
        <w:rPr>
          <w:rFonts w:ascii="Arial" w:hAnsi="Arial" w:cs="Arial"/>
          <w:lang w:val="es-ES_tradnl" w:eastAsia="es-ES"/>
        </w:rPr>
      </w:pPr>
      <w:r w:rsidRPr="00852609">
        <w:rPr>
          <w:rFonts w:ascii="Arial" w:hAnsi="Arial" w:cs="Arial"/>
          <w:lang w:val="es-ES_tradnl" w:eastAsia="es-ES"/>
        </w:rPr>
        <w:t>Las eficiencias económicas en la prestación del servicio público domiciliario de GLP constituyen un elemento fundamental para garantizar que los recursos utilizados a lo largo de la cadena sean aprovechados de manera adecuada, promover condiciones de competencia que incentiven la innovación y la inversión, y favorecer que los costos eficientes de prestación se reflejen en beneficio de los usuarios. Cuando existen restricciones para el desarrollo de infraestructura, dificultades en la gestión de activos o condiciones de mercado que limitan la competencia y la disponibilidad de alternativas, pueden generarse ineficiencias que afectan el funcionamiento del sector.</w:t>
      </w:r>
    </w:p>
    <w:p w14:paraId="26BC2673" w14:textId="77777777" w:rsidR="00FD45D9" w:rsidRPr="00852609" w:rsidRDefault="00FD45D9" w:rsidP="00F517EB">
      <w:pPr>
        <w:pStyle w:val="pdq2pgselectionanchorcontainer"/>
        <w:spacing w:line="360" w:lineRule="auto"/>
        <w:jc w:val="both"/>
        <w:rPr>
          <w:rFonts w:ascii="Arial" w:hAnsi="Arial" w:cs="Arial"/>
          <w:lang w:val="es-ES_tradnl" w:eastAsia="es-ES"/>
        </w:rPr>
      </w:pPr>
      <w:r w:rsidRPr="00852609">
        <w:rPr>
          <w:rFonts w:ascii="Arial" w:hAnsi="Arial" w:cs="Arial"/>
          <w:lang w:val="es-ES_tradnl" w:eastAsia="es-ES"/>
        </w:rPr>
        <w:t>Los síntomas y causas estructurales identificados para este eje evidencian que las condiciones bajo las cuales se desarrolla la prestación del servicio pueden limitar la utilización eficiente de los recursos, reducir los incentivos para realizar inversiones, dificultar el desarrollo de infraestructura y restringir la capacidad del mercado para generar resultados competitivos. Como consecuencia, pueden producirse efectos que afectan la eficiencia económica de la cadena y, en última instancia, las condiciones bajo las cuales se presta el servicio a los usuarios.</w:t>
      </w:r>
    </w:p>
    <w:p w14:paraId="1B1BDC6D" w14:textId="77777777" w:rsidR="00FD45D9" w:rsidRPr="00852609" w:rsidRDefault="00FD45D9" w:rsidP="00F517EB">
      <w:pPr>
        <w:pStyle w:val="pdq2pgselectionanchorcontainer"/>
        <w:spacing w:line="360" w:lineRule="auto"/>
        <w:jc w:val="both"/>
        <w:rPr>
          <w:rFonts w:ascii="Arial" w:hAnsi="Arial" w:cs="Arial"/>
          <w:lang w:val="es-ES_tradnl" w:eastAsia="es-ES"/>
        </w:rPr>
      </w:pPr>
      <w:r w:rsidRPr="00852609">
        <w:rPr>
          <w:rFonts w:ascii="Arial" w:hAnsi="Arial" w:cs="Arial"/>
          <w:lang w:val="es-ES_tradnl" w:eastAsia="es-ES"/>
        </w:rPr>
        <w:t>En este contexto, las ineficiencias económicas en la prestación del servicio constituyen uno de los principales efectos estructurales asociados a este eje temático, en la medida en que pueden afectar la productividad de los agentes, el funcionamiento eficiente del mercado y la capacidad del sector para prestar el servicio bajo condiciones económicamente eficientes.</w:t>
      </w:r>
    </w:p>
    <w:p w14:paraId="310F413F" w14:textId="77777777" w:rsidR="00FB7D94" w:rsidRDefault="00FB7D94" w:rsidP="00F517EB">
      <w:pPr>
        <w:pStyle w:val="Ttulo4"/>
        <w:spacing w:before="100" w:beforeAutospacing="1" w:after="100" w:afterAutospacing="1" w:line="360" w:lineRule="auto"/>
        <w:ind w:left="1276" w:hanging="1276"/>
      </w:pPr>
      <w:r>
        <w:t>Análisis de causas</w:t>
      </w:r>
      <w:r w:rsidRPr="00225A26">
        <w:t>.</w:t>
      </w:r>
    </w:p>
    <w:p w14:paraId="15580E84" w14:textId="1FBBC4E0" w:rsidR="008632AF" w:rsidRDefault="008632AF" w:rsidP="00F517EB">
      <w:pPr>
        <w:pStyle w:val="NormalWeb"/>
        <w:spacing w:line="360" w:lineRule="auto"/>
        <w:jc w:val="both"/>
        <w:rPr>
          <w:rFonts w:ascii="Arial" w:hAnsi="Arial" w:cs="Arial"/>
          <w:lang w:val="es-ES_tradnl" w:eastAsia="es-ES"/>
        </w:rPr>
      </w:pPr>
      <w:r w:rsidRPr="008632AF">
        <w:rPr>
          <w:rFonts w:ascii="Arial" w:hAnsi="Arial" w:cs="Arial"/>
          <w:lang w:val="es-ES_tradnl" w:eastAsia="es-ES"/>
        </w:rPr>
        <w:t>Con el fin de comprender las condiciones que pueden dar lugar a ineficiencias económicas en la prestación del servicio público domiciliario de GLP, a continuación</w:t>
      </w:r>
      <w:r>
        <w:rPr>
          <w:rFonts w:ascii="Arial" w:hAnsi="Arial" w:cs="Arial"/>
          <w:lang w:val="es-ES_tradnl" w:eastAsia="es-ES"/>
        </w:rPr>
        <w:t xml:space="preserve">, </w:t>
      </w:r>
      <w:r w:rsidRPr="008632AF">
        <w:rPr>
          <w:rFonts w:ascii="Arial" w:hAnsi="Arial" w:cs="Arial"/>
          <w:lang w:val="es-ES_tradnl" w:eastAsia="es-ES"/>
        </w:rPr>
        <w:t xml:space="preserve">se </w:t>
      </w:r>
      <w:r w:rsidRPr="008632AF">
        <w:rPr>
          <w:rFonts w:ascii="Arial" w:hAnsi="Arial" w:cs="Arial"/>
          <w:lang w:val="es-ES_tradnl" w:eastAsia="es-ES"/>
        </w:rPr>
        <w:lastRenderedPageBreak/>
        <w:t>analizan las principales causas estructurales asociadas a este efecto. Dado que un mismo efecto puede derivarse de diferentes causas, el análisis se desarrolla mediante un enfoque de trazabilidad que permite relacionar cada una de ellas con el efecto identificado.</w:t>
      </w:r>
    </w:p>
    <w:p w14:paraId="63982142" w14:textId="72378FFA" w:rsidR="000372AC" w:rsidRDefault="000372AC" w:rsidP="00271F46">
      <w:pPr>
        <w:pStyle w:val="NormalWeb"/>
        <w:spacing w:line="360" w:lineRule="auto"/>
        <w:jc w:val="both"/>
        <w:rPr>
          <w:rFonts w:ascii="Arial" w:hAnsi="Arial" w:cs="Arial"/>
          <w:lang w:val="es-ES" w:eastAsia="es-ES"/>
        </w:rPr>
      </w:pPr>
      <w:r w:rsidRPr="00271F46">
        <w:rPr>
          <w:rFonts w:ascii="Arial" w:hAnsi="Arial" w:cs="Arial"/>
          <w:lang w:val="es-ES" w:eastAsia="es-ES"/>
        </w:rPr>
        <w:t xml:space="preserve">La </w:t>
      </w:r>
      <w:r w:rsidR="00271F46" w:rsidRPr="00271F46">
        <w:rPr>
          <w:rFonts w:ascii="Arial" w:hAnsi="Arial" w:cs="Arial"/>
          <w:lang w:val="es-ES" w:eastAsia="es-ES"/>
        </w:rPr>
        <w:fldChar w:fldCharType="begin"/>
      </w:r>
      <w:r w:rsidR="00271F46" w:rsidRPr="00271F46">
        <w:rPr>
          <w:rFonts w:ascii="Arial" w:hAnsi="Arial" w:cs="Arial"/>
          <w:lang w:val="es-ES" w:eastAsia="es-ES"/>
        </w:rPr>
        <w:instrText xml:space="preserve"> REF _Ref235117644 \h  \* MERGEFORMAT </w:instrText>
      </w:r>
      <w:r w:rsidR="00271F46" w:rsidRPr="00271F46">
        <w:rPr>
          <w:rFonts w:ascii="Arial" w:hAnsi="Arial" w:cs="Arial"/>
          <w:lang w:val="es-ES" w:eastAsia="es-ES"/>
        </w:rPr>
      </w:r>
      <w:r w:rsidR="00271F46" w:rsidRPr="00271F46">
        <w:rPr>
          <w:rFonts w:ascii="Arial" w:hAnsi="Arial" w:cs="Arial"/>
          <w:lang w:val="es-ES" w:eastAsia="es-ES"/>
        </w:rPr>
        <w:fldChar w:fldCharType="separate"/>
      </w:r>
      <w:r w:rsidR="00271F46" w:rsidRPr="00271F46">
        <w:rPr>
          <w:rFonts w:ascii="Arial" w:hAnsi="Arial" w:cs="Arial"/>
        </w:rPr>
        <w:t xml:space="preserve">Tabla </w:t>
      </w:r>
      <w:r w:rsidR="00271F46" w:rsidRPr="00271F46">
        <w:rPr>
          <w:rFonts w:ascii="Arial" w:hAnsi="Arial" w:cs="Arial"/>
          <w:noProof/>
        </w:rPr>
        <w:t>22</w:t>
      </w:r>
      <w:r w:rsidR="00271F46" w:rsidRPr="00271F46">
        <w:rPr>
          <w:rFonts w:ascii="Arial" w:hAnsi="Arial" w:cs="Arial"/>
          <w:lang w:val="es-ES" w:eastAsia="es-ES"/>
        </w:rPr>
        <w:fldChar w:fldCharType="end"/>
      </w:r>
      <w:r w:rsidRPr="4E4B129C">
        <w:rPr>
          <w:rFonts w:ascii="Arial" w:hAnsi="Arial" w:cs="Arial"/>
          <w:lang w:val="es-ES" w:eastAsia="es-ES"/>
        </w:rPr>
        <w:t xml:space="preserve"> presenta las causas estructurales identificadas, su clasificación según la naturaleza de la causa, los síntomas que explican y la modalidad de prestación del servicio en la que tienen mayor incidencia (cilindros, tanques estacionarios o redes de distribución). Posteriormente, cada una de estas causas se desarrolla de manera individual con fundamento en la evidencia técnica recopilada durante el diagnóstico del mercado.</w:t>
      </w:r>
    </w:p>
    <w:p w14:paraId="2AAE01D6" w14:textId="31741186" w:rsidR="00016702" w:rsidRPr="0060055B" w:rsidRDefault="00016702" w:rsidP="0060055B">
      <w:pPr>
        <w:pStyle w:val="Descripcin"/>
        <w:jc w:val="center"/>
        <w:rPr>
          <w:rFonts w:cs="Arial"/>
          <w:b w:val="0"/>
          <w:szCs w:val="24"/>
        </w:rPr>
      </w:pPr>
      <w:bookmarkStart w:id="223" w:name="_Ref235117644"/>
      <w:bookmarkStart w:id="224" w:name="_Toc235128419"/>
      <w:r w:rsidRPr="0060055B">
        <w:rPr>
          <w:b w:val="0"/>
          <w:szCs w:val="24"/>
        </w:rPr>
        <w:t xml:space="preserve">Tabla </w:t>
      </w:r>
      <w:r w:rsidR="0060055B" w:rsidRPr="0060055B">
        <w:rPr>
          <w:b w:val="0"/>
          <w:bCs/>
          <w:szCs w:val="24"/>
        </w:rPr>
        <w:fldChar w:fldCharType="begin"/>
      </w:r>
      <w:r w:rsidR="0060055B" w:rsidRPr="0060055B">
        <w:rPr>
          <w:b w:val="0"/>
          <w:bCs/>
          <w:szCs w:val="24"/>
        </w:rPr>
        <w:instrText xml:space="preserve"> SEQ Tabla \* ARABIC </w:instrText>
      </w:r>
      <w:r w:rsidR="0060055B" w:rsidRPr="0060055B">
        <w:rPr>
          <w:b w:val="0"/>
          <w:bCs/>
          <w:szCs w:val="24"/>
        </w:rPr>
        <w:fldChar w:fldCharType="separate"/>
      </w:r>
      <w:r w:rsidR="001C42C8">
        <w:rPr>
          <w:b w:val="0"/>
          <w:bCs/>
          <w:noProof/>
          <w:szCs w:val="24"/>
        </w:rPr>
        <w:t>22</w:t>
      </w:r>
      <w:r w:rsidR="0060055B" w:rsidRPr="0060055B">
        <w:rPr>
          <w:b w:val="0"/>
          <w:bCs/>
          <w:szCs w:val="24"/>
        </w:rPr>
        <w:fldChar w:fldCharType="end"/>
      </w:r>
      <w:bookmarkEnd w:id="223"/>
      <w:r w:rsidR="0060055B" w:rsidRPr="0060055B">
        <w:rPr>
          <w:b w:val="0"/>
          <w:bCs/>
          <w:szCs w:val="24"/>
        </w:rPr>
        <w:t>.</w:t>
      </w:r>
      <w:r w:rsidRPr="0060055B">
        <w:rPr>
          <w:b w:val="0"/>
          <w:szCs w:val="24"/>
        </w:rPr>
        <w:t xml:space="preserve"> </w:t>
      </w:r>
      <w:r w:rsidRPr="0060055B">
        <w:rPr>
          <w:rFonts w:cs="Arial"/>
          <w:b w:val="0"/>
          <w:szCs w:val="24"/>
        </w:rPr>
        <w:t xml:space="preserve">Síntesis de las causas estructurales asociadas al eje de </w:t>
      </w:r>
      <w:r w:rsidRPr="0060055B">
        <w:rPr>
          <w:rFonts w:cs="Arial"/>
          <w:b w:val="0"/>
          <w:szCs w:val="24"/>
        </w:rPr>
        <w:t xml:space="preserve">ineficiencias </w:t>
      </w:r>
      <w:r w:rsidR="00FF1823" w:rsidRPr="0060055B">
        <w:rPr>
          <w:rFonts w:cs="Arial"/>
          <w:b w:val="0"/>
          <w:szCs w:val="24"/>
        </w:rPr>
        <w:t>económicas en la prestación del servicio</w:t>
      </w:r>
      <w:bookmarkEnd w:id="224"/>
    </w:p>
    <w:tbl>
      <w:tblPr>
        <w:tblStyle w:val="Tablaconcuadrcula"/>
        <w:tblW w:w="0" w:type="auto"/>
        <w:tblLook w:val="04A0" w:firstRow="1" w:lastRow="0" w:firstColumn="1" w:lastColumn="0" w:noHBand="0" w:noVBand="1"/>
      </w:tblPr>
      <w:tblGrid>
        <w:gridCol w:w="571"/>
        <w:gridCol w:w="2759"/>
        <w:gridCol w:w="1430"/>
        <w:gridCol w:w="2507"/>
        <w:gridCol w:w="2129"/>
      </w:tblGrid>
      <w:tr w:rsidR="006445B7" w:rsidRPr="006445B7" w14:paraId="5D0B1FF7" w14:textId="77777777" w:rsidTr="00FF1823">
        <w:trPr>
          <w:tblHeader/>
        </w:trPr>
        <w:tc>
          <w:tcPr>
            <w:tcW w:w="0" w:type="auto"/>
            <w:hideMark/>
          </w:tcPr>
          <w:p w14:paraId="6C527EE0" w14:textId="77777777" w:rsidR="006445B7" w:rsidRPr="006445B7" w:rsidRDefault="006445B7" w:rsidP="002F1961">
            <w:pPr>
              <w:spacing w:before="100" w:beforeAutospacing="1" w:after="100" w:afterAutospacing="1" w:line="360" w:lineRule="auto"/>
              <w:jc w:val="center"/>
              <w:rPr>
                <w:b/>
                <w:bCs/>
                <w:sz w:val="22"/>
                <w:szCs w:val="22"/>
                <w:lang w:val="es-CO"/>
              </w:rPr>
            </w:pPr>
            <w:r w:rsidRPr="006445B7">
              <w:rPr>
                <w:b/>
                <w:bCs/>
                <w:sz w:val="22"/>
                <w:szCs w:val="22"/>
                <w:lang w:val="es-CO"/>
              </w:rPr>
              <w:t>No.</w:t>
            </w:r>
          </w:p>
        </w:tc>
        <w:tc>
          <w:tcPr>
            <w:tcW w:w="0" w:type="auto"/>
            <w:hideMark/>
          </w:tcPr>
          <w:p w14:paraId="33DA3796" w14:textId="77777777" w:rsidR="006445B7" w:rsidRPr="006445B7" w:rsidRDefault="006445B7" w:rsidP="002F1961">
            <w:pPr>
              <w:spacing w:before="100" w:beforeAutospacing="1" w:after="100" w:afterAutospacing="1" w:line="360" w:lineRule="auto"/>
              <w:jc w:val="center"/>
              <w:rPr>
                <w:b/>
                <w:bCs/>
                <w:sz w:val="22"/>
                <w:szCs w:val="22"/>
                <w:lang w:val="es-CO"/>
              </w:rPr>
            </w:pPr>
            <w:r w:rsidRPr="006445B7">
              <w:rPr>
                <w:b/>
                <w:bCs/>
                <w:sz w:val="22"/>
                <w:szCs w:val="22"/>
                <w:lang w:val="es-CO"/>
              </w:rPr>
              <w:t>Causa estructural</w:t>
            </w:r>
          </w:p>
        </w:tc>
        <w:tc>
          <w:tcPr>
            <w:tcW w:w="0" w:type="auto"/>
            <w:hideMark/>
          </w:tcPr>
          <w:p w14:paraId="559331A9" w14:textId="77777777" w:rsidR="006445B7" w:rsidRPr="006445B7" w:rsidRDefault="006445B7" w:rsidP="002F1961">
            <w:pPr>
              <w:spacing w:before="100" w:beforeAutospacing="1" w:after="100" w:afterAutospacing="1" w:line="360" w:lineRule="auto"/>
              <w:jc w:val="center"/>
              <w:rPr>
                <w:b/>
                <w:bCs/>
                <w:sz w:val="22"/>
                <w:szCs w:val="22"/>
                <w:lang w:val="es-CO"/>
              </w:rPr>
            </w:pPr>
            <w:r w:rsidRPr="006445B7">
              <w:rPr>
                <w:b/>
                <w:bCs/>
                <w:sz w:val="22"/>
                <w:szCs w:val="22"/>
                <w:lang w:val="es-CO"/>
              </w:rPr>
              <w:t>Tipo</w:t>
            </w:r>
          </w:p>
        </w:tc>
        <w:tc>
          <w:tcPr>
            <w:tcW w:w="0" w:type="auto"/>
            <w:hideMark/>
          </w:tcPr>
          <w:p w14:paraId="0AE4F4C4" w14:textId="77777777" w:rsidR="006445B7" w:rsidRPr="006445B7" w:rsidRDefault="006445B7" w:rsidP="002F1961">
            <w:pPr>
              <w:spacing w:before="100" w:beforeAutospacing="1" w:after="100" w:afterAutospacing="1" w:line="360" w:lineRule="auto"/>
              <w:jc w:val="center"/>
              <w:rPr>
                <w:b/>
                <w:bCs/>
                <w:sz w:val="22"/>
                <w:szCs w:val="22"/>
                <w:lang w:val="es-CO"/>
              </w:rPr>
            </w:pPr>
            <w:r w:rsidRPr="006445B7">
              <w:rPr>
                <w:b/>
                <w:bCs/>
                <w:sz w:val="22"/>
                <w:szCs w:val="22"/>
                <w:lang w:val="es-CO"/>
              </w:rPr>
              <w:t>Explica síntomas</w:t>
            </w:r>
          </w:p>
        </w:tc>
        <w:tc>
          <w:tcPr>
            <w:tcW w:w="0" w:type="auto"/>
            <w:hideMark/>
          </w:tcPr>
          <w:p w14:paraId="0C8ECAEA" w14:textId="77777777" w:rsidR="006445B7" w:rsidRPr="006445B7" w:rsidRDefault="006445B7" w:rsidP="002F1961">
            <w:pPr>
              <w:spacing w:before="100" w:beforeAutospacing="1" w:after="100" w:afterAutospacing="1" w:line="360" w:lineRule="auto"/>
              <w:jc w:val="center"/>
              <w:rPr>
                <w:b/>
                <w:bCs/>
                <w:sz w:val="22"/>
                <w:szCs w:val="22"/>
                <w:lang w:val="es-CO"/>
              </w:rPr>
            </w:pPr>
            <w:r w:rsidRPr="006445B7">
              <w:rPr>
                <w:b/>
                <w:bCs/>
                <w:sz w:val="22"/>
                <w:szCs w:val="22"/>
                <w:lang w:val="es-CO"/>
              </w:rPr>
              <w:t>Modalidad</w:t>
            </w:r>
          </w:p>
        </w:tc>
      </w:tr>
      <w:tr w:rsidR="006445B7" w:rsidRPr="006445B7" w14:paraId="4B8D3CFE" w14:textId="77777777" w:rsidTr="006445B7">
        <w:tc>
          <w:tcPr>
            <w:tcW w:w="0" w:type="auto"/>
            <w:hideMark/>
          </w:tcPr>
          <w:p w14:paraId="0ED61FF9" w14:textId="77777777" w:rsidR="006445B7" w:rsidRPr="006445B7" w:rsidRDefault="006445B7" w:rsidP="002F1961">
            <w:pPr>
              <w:spacing w:before="100" w:beforeAutospacing="1" w:after="100" w:afterAutospacing="1" w:line="360" w:lineRule="auto"/>
              <w:jc w:val="left"/>
              <w:rPr>
                <w:sz w:val="22"/>
                <w:szCs w:val="22"/>
                <w:lang w:val="es-CO"/>
              </w:rPr>
            </w:pPr>
            <w:r w:rsidRPr="006445B7">
              <w:rPr>
                <w:sz w:val="22"/>
                <w:szCs w:val="22"/>
                <w:lang w:val="es-CO"/>
              </w:rPr>
              <w:t>C1</w:t>
            </w:r>
          </w:p>
        </w:tc>
        <w:tc>
          <w:tcPr>
            <w:tcW w:w="0" w:type="auto"/>
            <w:hideMark/>
          </w:tcPr>
          <w:p w14:paraId="479553BF" w14:textId="77777777" w:rsidR="006445B7" w:rsidRPr="006445B7" w:rsidRDefault="006445B7" w:rsidP="002F1961">
            <w:pPr>
              <w:spacing w:before="100" w:beforeAutospacing="1" w:after="100" w:afterAutospacing="1" w:line="360" w:lineRule="auto"/>
              <w:jc w:val="left"/>
              <w:rPr>
                <w:sz w:val="22"/>
                <w:szCs w:val="22"/>
                <w:lang w:val="es-CO"/>
              </w:rPr>
            </w:pPr>
            <w:r w:rsidRPr="006445B7">
              <w:rPr>
                <w:sz w:val="22"/>
                <w:szCs w:val="22"/>
                <w:lang w:val="es-CO"/>
              </w:rPr>
              <w:t>Restricciones económicas, regulatorias y territoriales para el desarrollo, localización y permanencia de la infraestructura requerida para la prestación del servicio.</w:t>
            </w:r>
          </w:p>
        </w:tc>
        <w:tc>
          <w:tcPr>
            <w:tcW w:w="0" w:type="auto"/>
            <w:hideMark/>
          </w:tcPr>
          <w:p w14:paraId="46BA9A62" w14:textId="77777777" w:rsidR="006445B7" w:rsidRPr="006445B7" w:rsidRDefault="006445B7" w:rsidP="002F1961">
            <w:pPr>
              <w:spacing w:before="100" w:beforeAutospacing="1" w:after="100" w:afterAutospacing="1" w:line="360" w:lineRule="auto"/>
              <w:jc w:val="left"/>
              <w:rPr>
                <w:sz w:val="22"/>
                <w:szCs w:val="22"/>
                <w:lang w:val="es-CO"/>
              </w:rPr>
            </w:pPr>
            <w:r w:rsidRPr="006445B7">
              <w:rPr>
                <w:sz w:val="22"/>
                <w:szCs w:val="22"/>
                <w:lang w:val="es-CO"/>
              </w:rPr>
              <w:t>Económica / Regulatoria</w:t>
            </w:r>
          </w:p>
        </w:tc>
        <w:tc>
          <w:tcPr>
            <w:tcW w:w="0" w:type="auto"/>
            <w:hideMark/>
          </w:tcPr>
          <w:p w14:paraId="7FC16CD3" w14:textId="77777777" w:rsidR="006445B7" w:rsidRPr="006445B7" w:rsidRDefault="006445B7" w:rsidP="002F1961">
            <w:pPr>
              <w:spacing w:before="100" w:beforeAutospacing="1" w:after="100" w:afterAutospacing="1" w:line="360" w:lineRule="auto"/>
              <w:jc w:val="left"/>
              <w:rPr>
                <w:sz w:val="22"/>
                <w:szCs w:val="22"/>
                <w:lang w:val="es-CO"/>
              </w:rPr>
            </w:pPr>
            <w:r w:rsidRPr="006445B7">
              <w:rPr>
                <w:sz w:val="22"/>
                <w:szCs w:val="22"/>
                <w:lang w:val="es-CO"/>
              </w:rPr>
              <w:t>Aprovechamiento heterogéneo de la infraestructura y de los activos de la cadena.</w:t>
            </w:r>
          </w:p>
        </w:tc>
        <w:tc>
          <w:tcPr>
            <w:tcW w:w="0" w:type="auto"/>
            <w:hideMark/>
          </w:tcPr>
          <w:p w14:paraId="3A78E8F1" w14:textId="77777777" w:rsidR="006445B7" w:rsidRPr="006445B7" w:rsidRDefault="006445B7" w:rsidP="002F1961">
            <w:pPr>
              <w:spacing w:before="100" w:beforeAutospacing="1" w:after="100" w:afterAutospacing="1" w:line="360" w:lineRule="auto"/>
              <w:jc w:val="left"/>
              <w:rPr>
                <w:sz w:val="22"/>
                <w:szCs w:val="22"/>
                <w:lang w:val="es-CO"/>
              </w:rPr>
            </w:pPr>
            <w:r w:rsidRPr="006445B7">
              <w:rPr>
                <w:sz w:val="22"/>
                <w:szCs w:val="22"/>
                <w:lang w:val="es-CO"/>
              </w:rPr>
              <w:t>Todas.</w:t>
            </w:r>
          </w:p>
        </w:tc>
      </w:tr>
      <w:tr w:rsidR="006445B7" w:rsidRPr="006445B7" w14:paraId="0C7B7412" w14:textId="77777777" w:rsidTr="006445B7">
        <w:tc>
          <w:tcPr>
            <w:tcW w:w="0" w:type="auto"/>
            <w:hideMark/>
          </w:tcPr>
          <w:p w14:paraId="0469B524" w14:textId="77777777" w:rsidR="006445B7" w:rsidRPr="006445B7" w:rsidRDefault="006445B7" w:rsidP="002F1961">
            <w:pPr>
              <w:spacing w:before="100" w:beforeAutospacing="1" w:after="100" w:afterAutospacing="1" w:line="360" w:lineRule="auto"/>
              <w:jc w:val="left"/>
              <w:rPr>
                <w:sz w:val="22"/>
                <w:szCs w:val="22"/>
                <w:lang w:val="es-CO"/>
              </w:rPr>
            </w:pPr>
            <w:r w:rsidRPr="006445B7">
              <w:rPr>
                <w:sz w:val="22"/>
                <w:szCs w:val="22"/>
                <w:lang w:val="es-CO"/>
              </w:rPr>
              <w:t>C2</w:t>
            </w:r>
          </w:p>
        </w:tc>
        <w:tc>
          <w:tcPr>
            <w:tcW w:w="0" w:type="auto"/>
            <w:hideMark/>
          </w:tcPr>
          <w:p w14:paraId="6656E9E3" w14:textId="77777777" w:rsidR="006445B7" w:rsidRPr="006445B7" w:rsidRDefault="006445B7" w:rsidP="002F1961">
            <w:pPr>
              <w:spacing w:before="100" w:beforeAutospacing="1" w:after="100" w:afterAutospacing="1" w:line="360" w:lineRule="auto"/>
              <w:jc w:val="left"/>
              <w:rPr>
                <w:sz w:val="22"/>
                <w:szCs w:val="22"/>
                <w:lang w:val="es-CO"/>
              </w:rPr>
            </w:pPr>
            <w:r w:rsidRPr="006445B7">
              <w:rPr>
                <w:sz w:val="22"/>
                <w:szCs w:val="22"/>
                <w:lang w:val="es-CO"/>
              </w:rPr>
              <w:t>Dificultades para la recuperación, administración y control de los activos utilizados para la prestación del servicio.</w:t>
            </w:r>
          </w:p>
        </w:tc>
        <w:tc>
          <w:tcPr>
            <w:tcW w:w="0" w:type="auto"/>
            <w:hideMark/>
          </w:tcPr>
          <w:p w14:paraId="2F579211" w14:textId="77777777" w:rsidR="006445B7" w:rsidRPr="006445B7" w:rsidRDefault="006445B7" w:rsidP="002F1961">
            <w:pPr>
              <w:spacing w:before="100" w:beforeAutospacing="1" w:after="100" w:afterAutospacing="1" w:line="360" w:lineRule="auto"/>
              <w:jc w:val="left"/>
              <w:rPr>
                <w:sz w:val="22"/>
                <w:szCs w:val="22"/>
                <w:lang w:val="es-CO"/>
              </w:rPr>
            </w:pPr>
            <w:r w:rsidRPr="006445B7">
              <w:rPr>
                <w:sz w:val="22"/>
                <w:szCs w:val="22"/>
                <w:lang w:val="es-CO"/>
              </w:rPr>
              <w:t>Mercado / Económica</w:t>
            </w:r>
          </w:p>
        </w:tc>
        <w:tc>
          <w:tcPr>
            <w:tcW w:w="0" w:type="auto"/>
            <w:hideMark/>
          </w:tcPr>
          <w:p w14:paraId="4D8B5F88" w14:textId="77777777" w:rsidR="006445B7" w:rsidRPr="006445B7" w:rsidRDefault="006445B7" w:rsidP="002F1961">
            <w:pPr>
              <w:spacing w:before="100" w:beforeAutospacing="1" w:after="100" w:afterAutospacing="1" w:line="360" w:lineRule="auto"/>
              <w:jc w:val="left"/>
              <w:rPr>
                <w:sz w:val="22"/>
                <w:szCs w:val="22"/>
                <w:lang w:val="es-CO"/>
              </w:rPr>
            </w:pPr>
            <w:r w:rsidRPr="006445B7">
              <w:rPr>
                <w:sz w:val="22"/>
                <w:szCs w:val="22"/>
                <w:lang w:val="es-CO"/>
              </w:rPr>
              <w:t>Aprovechamiento heterogéneo de la infraestructura y de los activos de la cadena.</w:t>
            </w:r>
          </w:p>
        </w:tc>
        <w:tc>
          <w:tcPr>
            <w:tcW w:w="0" w:type="auto"/>
            <w:hideMark/>
          </w:tcPr>
          <w:p w14:paraId="76DCB793" w14:textId="77777777" w:rsidR="006445B7" w:rsidRPr="006445B7" w:rsidRDefault="006445B7" w:rsidP="002F1961">
            <w:pPr>
              <w:spacing w:before="100" w:beforeAutospacing="1" w:after="100" w:afterAutospacing="1" w:line="360" w:lineRule="auto"/>
              <w:jc w:val="left"/>
              <w:rPr>
                <w:sz w:val="22"/>
                <w:szCs w:val="22"/>
                <w:lang w:val="es-CO"/>
              </w:rPr>
            </w:pPr>
            <w:r w:rsidRPr="006445B7">
              <w:rPr>
                <w:sz w:val="22"/>
                <w:szCs w:val="22"/>
                <w:lang w:val="es-CO"/>
              </w:rPr>
              <w:t>Principalmente cilindros.</w:t>
            </w:r>
          </w:p>
        </w:tc>
      </w:tr>
      <w:tr w:rsidR="007E5688" w:rsidRPr="006445B7" w14:paraId="1F3A1E11" w14:textId="77777777" w:rsidTr="006445B7">
        <w:tc>
          <w:tcPr>
            <w:tcW w:w="0" w:type="auto"/>
            <w:hideMark/>
          </w:tcPr>
          <w:p w14:paraId="77209F24" w14:textId="77777777" w:rsidR="007E5688" w:rsidRPr="006445B7" w:rsidRDefault="007E5688" w:rsidP="002F1961">
            <w:pPr>
              <w:spacing w:before="100" w:beforeAutospacing="1" w:after="100" w:afterAutospacing="1" w:line="360" w:lineRule="auto"/>
              <w:jc w:val="left"/>
              <w:rPr>
                <w:sz w:val="22"/>
                <w:szCs w:val="22"/>
                <w:lang w:val="es-CO"/>
              </w:rPr>
            </w:pPr>
            <w:r w:rsidRPr="006445B7">
              <w:rPr>
                <w:sz w:val="22"/>
                <w:szCs w:val="22"/>
                <w:lang w:val="es-CO"/>
              </w:rPr>
              <w:t>C3</w:t>
            </w:r>
          </w:p>
        </w:tc>
        <w:tc>
          <w:tcPr>
            <w:tcW w:w="0" w:type="auto"/>
            <w:hideMark/>
          </w:tcPr>
          <w:p w14:paraId="398628A8" w14:textId="49B4B5D4" w:rsidR="007E5688" w:rsidRPr="006445B7" w:rsidRDefault="007E5688" w:rsidP="002F1961">
            <w:pPr>
              <w:spacing w:before="100" w:beforeAutospacing="1" w:after="100" w:afterAutospacing="1" w:line="360" w:lineRule="auto"/>
              <w:jc w:val="left"/>
              <w:rPr>
                <w:sz w:val="22"/>
                <w:szCs w:val="22"/>
                <w:lang w:val="es-CO"/>
              </w:rPr>
            </w:pPr>
            <w:r w:rsidRPr="006445B7">
              <w:rPr>
                <w:sz w:val="22"/>
                <w:szCs w:val="22"/>
                <w:lang w:val="es-CO"/>
              </w:rPr>
              <w:t xml:space="preserve">Heterogeneidad estructural de los mercados relevantes de GLP en términos de </w:t>
            </w:r>
            <w:r w:rsidRPr="006445B7">
              <w:rPr>
                <w:sz w:val="22"/>
                <w:szCs w:val="22"/>
                <w:lang w:val="es-CO"/>
              </w:rPr>
              <w:lastRenderedPageBreak/>
              <w:t>tamaño, ubicación geográfica, demanda y condiciones de abastecimiento.</w:t>
            </w:r>
          </w:p>
        </w:tc>
        <w:tc>
          <w:tcPr>
            <w:tcW w:w="0" w:type="auto"/>
            <w:hideMark/>
          </w:tcPr>
          <w:p w14:paraId="6AD2832E" w14:textId="77777777" w:rsidR="007E5688" w:rsidRPr="006445B7" w:rsidRDefault="007E5688" w:rsidP="002F1961">
            <w:pPr>
              <w:spacing w:before="100" w:beforeAutospacing="1" w:after="100" w:afterAutospacing="1" w:line="360" w:lineRule="auto"/>
              <w:jc w:val="left"/>
              <w:rPr>
                <w:sz w:val="22"/>
                <w:szCs w:val="22"/>
                <w:lang w:val="es-CO"/>
              </w:rPr>
            </w:pPr>
            <w:r w:rsidRPr="006445B7">
              <w:rPr>
                <w:sz w:val="22"/>
                <w:szCs w:val="22"/>
                <w:lang w:val="es-CO"/>
              </w:rPr>
              <w:lastRenderedPageBreak/>
              <w:t>Mercado</w:t>
            </w:r>
          </w:p>
        </w:tc>
        <w:tc>
          <w:tcPr>
            <w:tcW w:w="0" w:type="auto"/>
            <w:hideMark/>
          </w:tcPr>
          <w:p w14:paraId="28FF66DC" w14:textId="77777777" w:rsidR="007E5688" w:rsidRPr="006445B7" w:rsidRDefault="007E5688" w:rsidP="002F1961">
            <w:pPr>
              <w:spacing w:before="100" w:beforeAutospacing="1" w:after="100" w:afterAutospacing="1" w:line="360" w:lineRule="auto"/>
              <w:jc w:val="left"/>
              <w:rPr>
                <w:sz w:val="22"/>
                <w:szCs w:val="22"/>
                <w:lang w:val="es-CO"/>
              </w:rPr>
            </w:pPr>
            <w:r w:rsidRPr="006445B7">
              <w:rPr>
                <w:sz w:val="22"/>
                <w:szCs w:val="22"/>
                <w:lang w:val="es-CO"/>
              </w:rPr>
              <w:t xml:space="preserve">Diferencias en la intensidad de la competencia entre mercados y limitada </w:t>
            </w:r>
            <w:r w:rsidRPr="006445B7">
              <w:rPr>
                <w:sz w:val="22"/>
                <w:szCs w:val="22"/>
                <w:lang w:val="es-CO"/>
              </w:rPr>
              <w:lastRenderedPageBreak/>
              <w:t>disponibilidad de alternativas.</w:t>
            </w:r>
          </w:p>
        </w:tc>
        <w:tc>
          <w:tcPr>
            <w:tcW w:w="0" w:type="auto"/>
            <w:hideMark/>
          </w:tcPr>
          <w:p w14:paraId="6919D62B" w14:textId="52ECEC86" w:rsidR="007E5688" w:rsidRPr="006445B7" w:rsidRDefault="007E5688" w:rsidP="002F1961">
            <w:pPr>
              <w:spacing w:before="100" w:beforeAutospacing="1" w:after="100" w:afterAutospacing="1" w:line="360" w:lineRule="auto"/>
              <w:jc w:val="left"/>
              <w:rPr>
                <w:sz w:val="22"/>
                <w:szCs w:val="22"/>
                <w:lang w:val="es-CO"/>
              </w:rPr>
            </w:pPr>
            <w:r w:rsidRPr="006E7219">
              <w:rPr>
                <w:sz w:val="22"/>
                <w:szCs w:val="22"/>
                <w:lang w:val="es-CO"/>
              </w:rPr>
              <w:lastRenderedPageBreak/>
              <w:t xml:space="preserve">Todas las modalidades, con mayor incidencia en cilindros y </w:t>
            </w:r>
            <w:r w:rsidRPr="006E7219">
              <w:rPr>
                <w:sz w:val="22"/>
                <w:szCs w:val="22"/>
                <w:lang w:val="es-CO"/>
              </w:rPr>
              <w:lastRenderedPageBreak/>
              <w:t>tanques estacionarios.</w:t>
            </w:r>
          </w:p>
        </w:tc>
      </w:tr>
      <w:tr w:rsidR="007E5688" w:rsidRPr="006445B7" w14:paraId="09C63F40" w14:textId="77777777" w:rsidTr="006445B7">
        <w:tc>
          <w:tcPr>
            <w:tcW w:w="0" w:type="auto"/>
            <w:hideMark/>
          </w:tcPr>
          <w:p w14:paraId="13A041FA" w14:textId="77777777" w:rsidR="007E5688" w:rsidRPr="006445B7" w:rsidRDefault="007E5688" w:rsidP="002F1961">
            <w:pPr>
              <w:spacing w:before="100" w:beforeAutospacing="1" w:after="100" w:afterAutospacing="1" w:line="360" w:lineRule="auto"/>
              <w:jc w:val="left"/>
              <w:rPr>
                <w:sz w:val="22"/>
                <w:szCs w:val="22"/>
                <w:lang w:val="es-CO"/>
              </w:rPr>
            </w:pPr>
            <w:r w:rsidRPr="006445B7">
              <w:rPr>
                <w:sz w:val="22"/>
                <w:szCs w:val="22"/>
                <w:lang w:val="es-CO"/>
              </w:rPr>
              <w:t>C4</w:t>
            </w:r>
          </w:p>
        </w:tc>
        <w:tc>
          <w:tcPr>
            <w:tcW w:w="0" w:type="auto"/>
            <w:hideMark/>
          </w:tcPr>
          <w:p w14:paraId="060FD875" w14:textId="3C37731A" w:rsidR="00212A12" w:rsidRPr="006445B7" w:rsidRDefault="007E5688" w:rsidP="002F1961">
            <w:pPr>
              <w:spacing w:before="100" w:beforeAutospacing="1" w:after="100" w:afterAutospacing="1" w:line="360" w:lineRule="auto"/>
              <w:jc w:val="left"/>
              <w:rPr>
                <w:sz w:val="22"/>
                <w:szCs w:val="22"/>
                <w:lang w:val="es-CO"/>
              </w:rPr>
            </w:pPr>
            <w:r w:rsidRPr="006445B7">
              <w:rPr>
                <w:sz w:val="22"/>
                <w:szCs w:val="22"/>
                <w:lang w:val="es-CO"/>
              </w:rPr>
              <w:t>Condiciones económicas y regulatorias que inciden en el ingreso, la expansión y la permanencia de agentes en determinados segmentos del mercado.</w:t>
            </w:r>
          </w:p>
        </w:tc>
        <w:tc>
          <w:tcPr>
            <w:tcW w:w="0" w:type="auto"/>
            <w:hideMark/>
          </w:tcPr>
          <w:p w14:paraId="28EFC2AB" w14:textId="77777777" w:rsidR="007E5688" w:rsidRPr="006445B7" w:rsidRDefault="007E5688" w:rsidP="002F1961">
            <w:pPr>
              <w:spacing w:before="100" w:beforeAutospacing="1" w:after="100" w:afterAutospacing="1" w:line="360" w:lineRule="auto"/>
              <w:jc w:val="left"/>
              <w:rPr>
                <w:sz w:val="22"/>
                <w:szCs w:val="22"/>
                <w:lang w:val="es-CO"/>
              </w:rPr>
            </w:pPr>
            <w:r w:rsidRPr="006445B7">
              <w:rPr>
                <w:sz w:val="22"/>
                <w:szCs w:val="22"/>
                <w:lang w:val="es-CO"/>
              </w:rPr>
              <w:t>Económica / Regulatoria</w:t>
            </w:r>
          </w:p>
        </w:tc>
        <w:tc>
          <w:tcPr>
            <w:tcW w:w="0" w:type="auto"/>
            <w:hideMark/>
          </w:tcPr>
          <w:p w14:paraId="110BDC83" w14:textId="77777777" w:rsidR="007E5688" w:rsidRPr="006445B7" w:rsidRDefault="007E5688" w:rsidP="002F1961">
            <w:pPr>
              <w:spacing w:before="100" w:beforeAutospacing="1" w:after="100" w:afterAutospacing="1" w:line="360" w:lineRule="auto"/>
              <w:jc w:val="left"/>
              <w:rPr>
                <w:sz w:val="22"/>
                <w:szCs w:val="22"/>
                <w:lang w:val="es-CO"/>
              </w:rPr>
            </w:pPr>
            <w:r w:rsidRPr="006445B7">
              <w:rPr>
                <w:sz w:val="22"/>
                <w:szCs w:val="22"/>
                <w:lang w:val="es-CO"/>
              </w:rPr>
              <w:t>Participación concentrada de agentes y limitada disponibilidad de alternativas.</w:t>
            </w:r>
          </w:p>
        </w:tc>
        <w:tc>
          <w:tcPr>
            <w:tcW w:w="0" w:type="auto"/>
            <w:hideMark/>
          </w:tcPr>
          <w:p w14:paraId="0F173E85" w14:textId="77777777" w:rsidR="007E5688" w:rsidRPr="006445B7" w:rsidRDefault="007E5688" w:rsidP="002F1961">
            <w:pPr>
              <w:spacing w:before="100" w:beforeAutospacing="1" w:after="100" w:afterAutospacing="1" w:line="360" w:lineRule="auto"/>
              <w:jc w:val="left"/>
              <w:rPr>
                <w:sz w:val="22"/>
                <w:szCs w:val="22"/>
                <w:lang w:val="es-CO"/>
              </w:rPr>
            </w:pPr>
            <w:r w:rsidRPr="006445B7">
              <w:rPr>
                <w:sz w:val="22"/>
                <w:szCs w:val="22"/>
                <w:lang w:val="es-CO"/>
              </w:rPr>
              <w:t>Principalmente cilindros y tanques estacionarios.</w:t>
            </w:r>
          </w:p>
        </w:tc>
      </w:tr>
      <w:tr w:rsidR="007E5688" w:rsidRPr="006445B7" w14:paraId="0D57CB6B" w14:textId="77777777" w:rsidTr="006445B7">
        <w:tc>
          <w:tcPr>
            <w:tcW w:w="0" w:type="auto"/>
            <w:hideMark/>
          </w:tcPr>
          <w:p w14:paraId="15751FF1" w14:textId="77777777" w:rsidR="007E5688" w:rsidRPr="006445B7" w:rsidRDefault="007E5688" w:rsidP="002F1961">
            <w:pPr>
              <w:spacing w:before="100" w:beforeAutospacing="1" w:after="100" w:afterAutospacing="1" w:line="360" w:lineRule="auto"/>
              <w:jc w:val="left"/>
              <w:rPr>
                <w:sz w:val="22"/>
                <w:szCs w:val="22"/>
                <w:lang w:val="es-CO"/>
              </w:rPr>
            </w:pPr>
            <w:r w:rsidRPr="006445B7">
              <w:rPr>
                <w:sz w:val="22"/>
                <w:szCs w:val="22"/>
                <w:lang w:val="es-CO"/>
              </w:rPr>
              <w:t>C5</w:t>
            </w:r>
          </w:p>
        </w:tc>
        <w:tc>
          <w:tcPr>
            <w:tcW w:w="0" w:type="auto"/>
            <w:hideMark/>
          </w:tcPr>
          <w:p w14:paraId="4957220A" w14:textId="2B69D1F3" w:rsidR="00CD22B6" w:rsidRPr="006445B7" w:rsidRDefault="007E5688" w:rsidP="002F1961">
            <w:pPr>
              <w:spacing w:before="100" w:beforeAutospacing="1" w:after="100" w:afterAutospacing="1" w:line="360" w:lineRule="auto"/>
              <w:jc w:val="left"/>
              <w:rPr>
                <w:sz w:val="22"/>
                <w:szCs w:val="22"/>
                <w:lang w:val="es-CO"/>
              </w:rPr>
            </w:pPr>
            <w:r w:rsidRPr="006445B7">
              <w:rPr>
                <w:sz w:val="22"/>
                <w:szCs w:val="22"/>
                <w:lang w:val="es-CO"/>
              </w:rPr>
              <w:t>Acceso diferenciado a infraestructura, activos y condiciones operativas necesarias para participar y competir en las actividades de la cadena de GLP.</w:t>
            </w:r>
          </w:p>
        </w:tc>
        <w:tc>
          <w:tcPr>
            <w:tcW w:w="0" w:type="auto"/>
            <w:hideMark/>
          </w:tcPr>
          <w:p w14:paraId="2EC1AA08" w14:textId="77777777" w:rsidR="007E5688" w:rsidRPr="006445B7" w:rsidRDefault="007E5688" w:rsidP="002F1961">
            <w:pPr>
              <w:spacing w:before="100" w:beforeAutospacing="1" w:after="100" w:afterAutospacing="1" w:line="360" w:lineRule="auto"/>
              <w:jc w:val="left"/>
              <w:rPr>
                <w:sz w:val="22"/>
                <w:szCs w:val="22"/>
                <w:lang w:val="es-CO"/>
              </w:rPr>
            </w:pPr>
            <w:r w:rsidRPr="006445B7">
              <w:rPr>
                <w:sz w:val="22"/>
                <w:szCs w:val="22"/>
                <w:lang w:val="es-CO"/>
              </w:rPr>
              <w:t>Mercado / Económica</w:t>
            </w:r>
          </w:p>
        </w:tc>
        <w:tc>
          <w:tcPr>
            <w:tcW w:w="0" w:type="auto"/>
            <w:hideMark/>
          </w:tcPr>
          <w:p w14:paraId="56A4CAEC" w14:textId="77777777" w:rsidR="007E5688" w:rsidRPr="006445B7" w:rsidRDefault="007E5688" w:rsidP="002F1961">
            <w:pPr>
              <w:spacing w:before="100" w:beforeAutospacing="1" w:after="100" w:afterAutospacing="1" w:line="360" w:lineRule="auto"/>
              <w:jc w:val="left"/>
              <w:rPr>
                <w:sz w:val="22"/>
                <w:szCs w:val="22"/>
                <w:lang w:val="es-CO"/>
              </w:rPr>
            </w:pPr>
            <w:r w:rsidRPr="006445B7">
              <w:rPr>
                <w:sz w:val="22"/>
                <w:szCs w:val="22"/>
                <w:lang w:val="es-CO"/>
              </w:rPr>
              <w:t>Participación concentrada de agentes y diferencias en la intensidad de la competencia entre mercados.</w:t>
            </w:r>
          </w:p>
        </w:tc>
        <w:tc>
          <w:tcPr>
            <w:tcW w:w="0" w:type="auto"/>
            <w:hideMark/>
          </w:tcPr>
          <w:p w14:paraId="0B09ADA8" w14:textId="77777777" w:rsidR="007E5688" w:rsidRPr="006445B7" w:rsidRDefault="007E5688" w:rsidP="002F1961">
            <w:pPr>
              <w:spacing w:before="100" w:beforeAutospacing="1" w:after="100" w:afterAutospacing="1" w:line="360" w:lineRule="auto"/>
              <w:jc w:val="left"/>
              <w:rPr>
                <w:sz w:val="22"/>
                <w:szCs w:val="22"/>
                <w:lang w:val="es-CO"/>
              </w:rPr>
            </w:pPr>
            <w:r w:rsidRPr="006445B7">
              <w:rPr>
                <w:sz w:val="22"/>
                <w:szCs w:val="22"/>
                <w:lang w:val="es-CO"/>
              </w:rPr>
              <w:t>Todas las modalidades.</w:t>
            </w:r>
          </w:p>
        </w:tc>
      </w:tr>
    </w:tbl>
    <w:p w14:paraId="5B680828" w14:textId="0103EE79" w:rsidR="00FF1823" w:rsidRPr="00830C4F" w:rsidRDefault="00FF1823" w:rsidP="00830C4F">
      <w:pPr>
        <w:spacing w:before="100" w:beforeAutospacing="1" w:after="100" w:afterAutospacing="1" w:line="360" w:lineRule="auto"/>
        <w:jc w:val="center"/>
        <w:rPr>
          <w:sz w:val="22"/>
          <w:szCs w:val="22"/>
        </w:rPr>
      </w:pPr>
      <w:r w:rsidRPr="00830C4F">
        <w:rPr>
          <w:rFonts w:cs="Arial"/>
          <w:sz w:val="22"/>
          <w:szCs w:val="22"/>
        </w:rPr>
        <w:t>Elaboración</w:t>
      </w:r>
      <w:r w:rsidR="00830C4F">
        <w:rPr>
          <w:rFonts w:cs="Arial"/>
          <w:sz w:val="22"/>
          <w:szCs w:val="22"/>
        </w:rPr>
        <w:t>: CREG</w:t>
      </w:r>
    </w:p>
    <w:p w14:paraId="0F1D09C7" w14:textId="77777777" w:rsidR="00B9146A" w:rsidRDefault="00B9146A" w:rsidP="00830C4F">
      <w:pPr>
        <w:pStyle w:val="Ttulo5"/>
        <w:numPr>
          <w:ilvl w:val="4"/>
          <w:numId w:val="6"/>
        </w:numPr>
        <w:spacing w:before="100" w:beforeAutospacing="1" w:after="100" w:afterAutospacing="1"/>
        <w:ind w:left="1134" w:hanging="1134"/>
      </w:pPr>
      <w:r w:rsidRPr="001D0826">
        <w:rPr>
          <w:rFonts w:cs="Arial"/>
        </w:rPr>
        <w:t>Restricciones económicas, regulatorias y territoriales para el desarrollo, localización y permanencia de la infraestructura requerida para la prestación del servicio</w:t>
      </w:r>
      <w:r w:rsidRPr="00225A26">
        <w:t>.</w:t>
      </w:r>
    </w:p>
    <w:p w14:paraId="5EFF5DD7" w14:textId="77777777" w:rsidR="00FB5D7D" w:rsidRPr="00FB5D7D" w:rsidRDefault="00FB5D7D" w:rsidP="00830C4F">
      <w:pPr>
        <w:spacing w:before="100" w:beforeAutospacing="1" w:after="100" w:afterAutospacing="1" w:line="360" w:lineRule="auto"/>
        <w:rPr>
          <w:rFonts w:cs="Arial"/>
          <w:szCs w:val="24"/>
          <w:lang w:val="es-ES"/>
        </w:rPr>
      </w:pPr>
      <w:r w:rsidRPr="00FB5D7D">
        <w:rPr>
          <w:rFonts w:cs="Arial"/>
          <w:szCs w:val="24"/>
          <w:lang w:val="es-ES"/>
        </w:rPr>
        <w:t xml:space="preserve">La prestación del servicio público domiciliario de GLP requiere una infraestructura especializada que permita desarrollar de manera segura y eficiente las actividades de almacenamiento, envasado, distribución, comercialización y atención a los usuarios. La disponibilidad y el adecuado desarrollo de esta infraestructura constituyen elementos fundamentales para garantizar una prestación eficiente del servicio. Sin embargo, su desarrollo, localización y permanencia dependen de condiciones económicas, </w:t>
      </w:r>
      <w:r w:rsidRPr="00FB5D7D">
        <w:rPr>
          <w:rFonts w:cs="Arial"/>
          <w:szCs w:val="24"/>
          <w:lang w:val="es-ES"/>
        </w:rPr>
        <w:lastRenderedPageBreak/>
        <w:t>regulatorias y territoriales que, en determinados contextos, pueden limitar su expansión, adecuación o sostenibilidad.</w:t>
      </w:r>
    </w:p>
    <w:p w14:paraId="30303A32" w14:textId="77777777" w:rsidR="00FB5D7D" w:rsidRPr="00FB5D7D" w:rsidRDefault="00FB5D7D" w:rsidP="00830C4F">
      <w:pPr>
        <w:spacing w:before="100" w:beforeAutospacing="1" w:after="100" w:afterAutospacing="1" w:line="360" w:lineRule="auto"/>
        <w:rPr>
          <w:rFonts w:cs="Arial"/>
          <w:szCs w:val="24"/>
          <w:lang w:val="es-ES"/>
        </w:rPr>
      </w:pPr>
      <w:r w:rsidRPr="00FB5D7D">
        <w:rPr>
          <w:rFonts w:cs="Arial"/>
          <w:szCs w:val="24"/>
          <w:lang w:val="es-ES"/>
        </w:rPr>
        <w:t>En el mercado de GLP, el desarrollo de infraestructura exige inversiones significativas y el cumplimiento de requisitos técnicos y regulatorios asociados a la seguridad de las instalaciones. A ello se suman factores territoriales, como las condiciones de uso del suelo, la disponibilidad de predios adecuados y la compatibilidad de las actividades con los instrumentos de ordenamiento territorial, los cuales pueden dificultar la construcción, ampliación o permanencia de plantas de envasado, depósitos, expendios, puntos de venta, estaciones de almacenamiento y demás instalaciones requeridas para la prestación del servicio.</w:t>
      </w:r>
    </w:p>
    <w:p w14:paraId="29118980" w14:textId="77777777" w:rsidR="00FB5D7D" w:rsidRPr="00FB5D7D" w:rsidRDefault="00FB5D7D" w:rsidP="00830C4F">
      <w:pPr>
        <w:spacing w:before="100" w:beforeAutospacing="1" w:after="100" w:afterAutospacing="1" w:line="360" w:lineRule="auto"/>
        <w:rPr>
          <w:rFonts w:cs="Arial"/>
          <w:szCs w:val="24"/>
          <w:lang w:val="es-ES"/>
        </w:rPr>
      </w:pPr>
      <w:r w:rsidRPr="00FB5D7D">
        <w:rPr>
          <w:rFonts w:cs="Arial"/>
          <w:szCs w:val="24"/>
          <w:lang w:val="es-ES"/>
        </w:rPr>
        <w:t>Los estudios de caracterización realizados por CQM Consultoría evidencian estas restricciones. El consultor identificó que algunos agentes enfrentan dificultades para obtener la certificación de expendios debido a que los requisitos técnicos representan inversiones que consideran difíciles de recuperar con el volumen de ventas esperado. Asimismo, se reportaron dificultades derivadas de la ausencia o modificación de los planes de ordenamiento territorial, así como incrementos en el valor de los terrenos destinados a infraestructura para GLP, circunstancias que afectan las decisiones de inversión y la permanencia de las instalaciones necesarias para la prestación del servicio.</w:t>
      </w:r>
    </w:p>
    <w:p w14:paraId="1B751B35" w14:textId="77777777" w:rsidR="00FB5D7D" w:rsidRPr="00FB5D7D" w:rsidRDefault="00FB5D7D" w:rsidP="00830C4F">
      <w:pPr>
        <w:spacing w:before="100" w:beforeAutospacing="1" w:after="100" w:afterAutospacing="1" w:line="360" w:lineRule="auto"/>
        <w:rPr>
          <w:rFonts w:cs="Arial"/>
          <w:szCs w:val="24"/>
          <w:lang w:val="es-ES"/>
        </w:rPr>
      </w:pPr>
      <w:r w:rsidRPr="00FB5D7D">
        <w:rPr>
          <w:rFonts w:cs="Arial"/>
          <w:szCs w:val="24"/>
          <w:lang w:val="es-ES"/>
        </w:rPr>
        <w:t>Estas condiciones contribuyen a explicar las diferencias observadas en el aprovechamiento de la infraestructura entre mercados y los costos operativos y logísticos diferenciados que enfrentan los agentes. Cuando el desarrollo o la permanencia de la infraestructura encuentra restricciones económicas, regulatorias o territoriales, disminuyen las posibilidades de optimizar las operaciones, aprovechar economías de escala y facilitar la entrada o expansión de agentes en determinados mercados, lo que puede afectar la eficiencia económica de la prestación del servicio.</w:t>
      </w:r>
    </w:p>
    <w:p w14:paraId="2CBBE945" w14:textId="77777777" w:rsidR="00FB5D7D" w:rsidRPr="00FB5D7D" w:rsidRDefault="00FB5D7D" w:rsidP="00830C4F">
      <w:pPr>
        <w:spacing w:before="100" w:beforeAutospacing="1" w:after="100" w:afterAutospacing="1" w:line="360" w:lineRule="auto"/>
        <w:rPr>
          <w:rFonts w:cs="Arial"/>
          <w:szCs w:val="24"/>
          <w:lang w:val="es-ES"/>
        </w:rPr>
      </w:pPr>
      <w:r w:rsidRPr="00FB5D7D">
        <w:rPr>
          <w:rFonts w:cs="Arial"/>
          <w:szCs w:val="24"/>
          <w:lang w:val="es-ES"/>
        </w:rPr>
        <w:t xml:space="preserve">Esta causa tiene una incidencia diferenciada según la modalidad de prestación. En la distribución mediante cilindros adquiere especial relevancia por la necesidad de contar con plantas de envasado, depósitos, expendios y puntos de venta estratégicamente </w:t>
      </w:r>
      <w:r w:rsidRPr="00FB5D7D">
        <w:rPr>
          <w:rFonts w:cs="Arial"/>
          <w:szCs w:val="24"/>
          <w:lang w:val="es-ES"/>
        </w:rPr>
        <w:lastRenderedPageBreak/>
        <w:t>ubicados para atender la demanda. En la prestación mediante redes de distribución también resulta determinante, debido a que la construcción y expansión de estaciones de almacenamiento, redes y demás infraestructura depende de la disponibilidad de predios adecuados y de las condiciones de ordenamiento territorial. En contraste, aunque la modalidad mediante tanques estacionarios también requiere infraestructura de soporte, las restricciones identificadas presentan una incidencia comparativamente menor sobre la prestación del servicio.</w:t>
      </w:r>
    </w:p>
    <w:p w14:paraId="5126FB2E" w14:textId="73169DFD" w:rsidR="00B9146A" w:rsidRPr="00830C4F" w:rsidRDefault="00FB5D7D" w:rsidP="002F1961">
      <w:pPr>
        <w:spacing w:before="100" w:beforeAutospacing="1" w:after="100" w:afterAutospacing="1" w:line="360" w:lineRule="auto"/>
        <w:rPr>
          <w:rFonts w:cs="Arial"/>
          <w:szCs w:val="24"/>
          <w:lang w:val="es-ES"/>
        </w:rPr>
      </w:pPr>
      <w:r w:rsidRPr="00FB5D7D">
        <w:rPr>
          <w:rFonts w:cs="Arial"/>
          <w:szCs w:val="24"/>
          <w:lang w:val="es-ES"/>
        </w:rPr>
        <w:t>En consecuencia, las restricciones económicas, regulatorias y territoriales para el desarrollo, localización y permanencia de la infraestructura constituyen una causa estructural de las ineficiencias económicas en la prestación del servicio, en la medida en que limitan el aprovechamiento eficiente de la infraestructura, incrementan los costos operativos y logísticos y pueden restringir las condiciones de competencia y la disponibilidad de alternativas en algunos mercados.</w:t>
      </w:r>
    </w:p>
    <w:p w14:paraId="0D9048B6" w14:textId="77777777" w:rsidR="003216C5" w:rsidRPr="00C42E25" w:rsidRDefault="003216C5">
      <w:pPr>
        <w:pStyle w:val="Ttulo5"/>
        <w:numPr>
          <w:ilvl w:val="4"/>
          <w:numId w:val="63"/>
        </w:numPr>
        <w:spacing w:before="100" w:beforeAutospacing="1" w:after="100" w:afterAutospacing="1"/>
        <w:ind w:left="1418" w:hanging="1418"/>
      </w:pPr>
      <w:r w:rsidRPr="00442FE4">
        <w:rPr>
          <w:rFonts w:cs="Arial"/>
        </w:rPr>
        <w:t>Dificultades para la recuperación, administración y control de los activos utilizados para la prestación del servicio</w:t>
      </w:r>
      <w:r w:rsidRPr="00225A26">
        <w:t>.</w:t>
      </w:r>
      <w:r>
        <w:t xml:space="preserve"> </w:t>
      </w:r>
      <w:r w:rsidRPr="00C42E25">
        <w:t>(explica los incentivos económicos para su recuperación, conservación y disponibilidad.)</w:t>
      </w:r>
    </w:p>
    <w:p w14:paraId="4CC0ADE4" w14:textId="33C4D403" w:rsidR="0014261B" w:rsidRPr="0014261B" w:rsidRDefault="0014261B" w:rsidP="00830C4F">
      <w:pPr>
        <w:spacing w:before="100" w:beforeAutospacing="1" w:after="100" w:afterAutospacing="1" w:line="360" w:lineRule="auto"/>
        <w:rPr>
          <w:rFonts w:cs="Arial"/>
          <w:szCs w:val="24"/>
          <w:lang w:val="es-ES"/>
        </w:rPr>
      </w:pPr>
      <w:r w:rsidRPr="0014261B">
        <w:rPr>
          <w:rFonts w:cs="Arial"/>
          <w:szCs w:val="24"/>
          <w:lang w:val="es-ES"/>
        </w:rPr>
        <w:t>La prestación del servicio público domiciliario de GLP requiere la disponibilidad permanente de activos especializados, tales como cilindros, tanques estacionarios, plantas de envasado, depósitos y demás infraestructura asociada a la operación. La adecuada administración de estos activos resulta esencial para garantizar la continuidad de las operaciones, la seguridad del servicio y la capacidad de atender oportunamente la demanda. En este contexto, las dificultades para su recuperación, administración y control constituyen una causa estructural que puede afectar la disponibilidad de los activos requeridos para la prestación del servicio.</w:t>
      </w:r>
    </w:p>
    <w:p w14:paraId="16DBD6C7" w14:textId="77777777" w:rsidR="0014261B" w:rsidRPr="0014261B" w:rsidRDefault="0014261B" w:rsidP="00830C4F">
      <w:pPr>
        <w:spacing w:before="100" w:beforeAutospacing="1" w:after="100" w:afterAutospacing="1" w:line="360" w:lineRule="auto"/>
        <w:rPr>
          <w:rFonts w:cs="Arial"/>
          <w:szCs w:val="24"/>
          <w:lang w:val="es-ES"/>
        </w:rPr>
      </w:pPr>
      <w:r w:rsidRPr="0014261B">
        <w:rPr>
          <w:rFonts w:cs="Arial"/>
          <w:szCs w:val="24"/>
          <w:lang w:val="es-ES"/>
        </w:rPr>
        <w:t xml:space="preserve">Esta situación se manifiesta con mayor intensidad en la modalidad de distribución mediante cilindros, debido a que estos activos circulan permanentemente entre distribuidores, depósitos, puntos de venta y usuarios finales. La movilidad de los envases, </w:t>
      </w:r>
      <w:r w:rsidRPr="0014261B">
        <w:rPr>
          <w:rFonts w:cs="Arial"/>
          <w:szCs w:val="24"/>
          <w:lang w:val="es-ES"/>
        </w:rPr>
        <w:lastRenderedPageBreak/>
        <w:t>la diversidad de actores que intervienen en su circulación y la necesidad de recuperarlos una vez finalizada la prestación del servicio incrementan la complejidad de las actividades de identificación, seguimiento, mantenimiento y reposición, exigiendo una gestión permanente por parte de los distribuidores.</w:t>
      </w:r>
    </w:p>
    <w:p w14:paraId="162A554A" w14:textId="62285138" w:rsidR="0014261B" w:rsidRPr="0014261B" w:rsidRDefault="0014261B" w:rsidP="00830C4F">
      <w:pPr>
        <w:spacing w:before="100" w:beforeAutospacing="1" w:after="100" w:afterAutospacing="1" w:line="360" w:lineRule="auto"/>
        <w:rPr>
          <w:rFonts w:cs="Arial"/>
          <w:szCs w:val="24"/>
          <w:lang w:val="es-ES"/>
        </w:rPr>
      </w:pPr>
      <w:r w:rsidRPr="0014261B">
        <w:rPr>
          <w:rFonts w:cs="Arial"/>
          <w:szCs w:val="24"/>
          <w:lang w:val="es-ES"/>
        </w:rPr>
        <w:t xml:space="preserve">Los estudios desarrollados por CQM Consultoría evidencian que la gestión de los cilindros representa uno de los principales desafíos operativos de la actividad de distribución. En el diagnóstico </w:t>
      </w:r>
      <w:r w:rsidR="00055536" w:rsidRPr="00055536">
        <w:rPr>
          <w:rFonts w:cs="Arial"/>
          <w:szCs w:val="24"/>
          <w:lang w:val="es-ES"/>
        </w:rPr>
        <w:t>se identifican situaciones asociadas con la pérdida, retención, utilización por terceros y dificultades para mantener información actualizada y confiable sobre el estado y ubicación de estos activos, circunstancias que generan mayores costos de administración, mantenimiento y reposición para los distribuidores y reducen la eficiencia en su gestión.</w:t>
      </w:r>
      <w:r w:rsidRPr="0014261B">
        <w:rPr>
          <w:rFonts w:cs="Arial"/>
          <w:szCs w:val="24"/>
          <w:lang w:val="es-ES"/>
        </w:rPr>
        <w:t xml:space="preserve"> Asimismo, la recuperación y reincorporación de los cilindros al ciclo operativo puede verse afectada por las condiciones bajo las cuales se desarrollan las actividades de distribución y comercialización, dificultando la rotación eficiente de estos activos y su disponibilidad para atender oportunamente la demanda. Estas condiciones evidencian las dificultades que enfrentan los agentes para administrar y controlar este tipo de activos durante su ciclo de utilización, particularmente en la modalidad de distribución mediante cilindros.</w:t>
      </w:r>
    </w:p>
    <w:p w14:paraId="0E2BB4ED" w14:textId="235C91DC" w:rsidR="0014261B" w:rsidRPr="0014261B" w:rsidRDefault="0014261B" w:rsidP="00830C4F">
      <w:pPr>
        <w:spacing w:before="100" w:beforeAutospacing="1" w:after="100" w:afterAutospacing="1" w:line="360" w:lineRule="auto"/>
        <w:rPr>
          <w:rFonts w:cs="Arial"/>
          <w:szCs w:val="24"/>
          <w:lang w:val="es-ES"/>
        </w:rPr>
      </w:pPr>
      <w:r w:rsidRPr="0014261B">
        <w:rPr>
          <w:rFonts w:cs="Arial"/>
          <w:szCs w:val="24"/>
          <w:lang w:val="es-ES"/>
        </w:rPr>
        <w:t>Las condiciones descritas explican las dificultades observadas en la gestión y disponibilidad de los activos utilizados para la prestación del servicio. Cuando los distribuidores enfrentan obstáculos para recuperar, administrar y controlar oportunamente los activos requeridos para la operación, o cuando la rotación y reincorporación de dichos activos al ciclo de distribución se realiza de manera menos eficiente, disminuye su disponibilidad para atender la demanda y se incrementan los costos asociados a su reposición, mantenimiento y administración, afectando la eficiencia con la que se desarrolla la prestación del servicio y la capacidad del sistema para responder oportunamente a las necesidades de los usuarios.</w:t>
      </w:r>
    </w:p>
    <w:p w14:paraId="5244BC40" w14:textId="191249EF" w:rsidR="0014261B" w:rsidRPr="0014261B" w:rsidRDefault="0014261B" w:rsidP="00830C4F">
      <w:pPr>
        <w:spacing w:before="100" w:beforeAutospacing="1" w:after="100" w:afterAutospacing="1" w:line="360" w:lineRule="auto"/>
        <w:rPr>
          <w:rFonts w:cs="Arial"/>
          <w:szCs w:val="24"/>
          <w:lang w:val="es-ES"/>
        </w:rPr>
      </w:pPr>
      <w:r w:rsidRPr="0014261B">
        <w:rPr>
          <w:rFonts w:cs="Arial"/>
          <w:szCs w:val="24"/>
          <w:lang w:val="es-ES"/>
        </w:rPr>
        <w:t xml:space="preserve">Esta causa presenta una incidencia predominante en la modalidad de distribución mediante cilindros, donde los envases constituyen el principal activo operativo y están sometidos a una circulación permanente entre los diferentes participantes del mercado. </w:t>
      </w:r>
      <w:r w:rsidRPr="0014261B">
        <w:rPr>
          <w:rFonts w:cs="Arial"/>
          <w:szCs w:val="24"/>
          <w:lang w:val="es-ES"/>
        </w:rPr>
        <w:lastRenderedPageBreak/>
        <w:t>En las modalidades de prestación mediante tanques estacionarios y redes de distribución, si bien también existen activos especializados que requieren administración y mantenimiento, las condiciones identificadas presentan una incidencia comparativamente menor debido a la naturaleza fija de estos activos y a la mayor estabilidad de las relaciones operativas.</w:t>
      </w:r>
    </w:p>
    <w:p w14:paraId="74181942" w14:textId="6DAB0EEB" w:rsidR="003216C5" w:rsidRDefault="0014261B" w:rsidP="00830C4F">
      <w:pPr>
        <w:spacing w:before="100" w:beforeAutospacing="1" w:after="100" w:afterAutospacing="1" w:line="360" w:lineRule="auto"/>
        <w:rPr>
          <w:rFonts w:cs="Arial"/>
          <w:szCs w:val="24"/>
          <w:lang w:val="es-ES"/>
        </w:rPr>
      </w:pPr>
      <w:r w:rsidRPr="0014261B">
        <w:rPr>
          <w:rFonts w:cs="Arial"/>
          <w:szCs w:val="24"/>
          <w:lang w:val="es-ES"/>
        </w:rPr>
        <w:t>En consecuencia, las dificultades para la recuperación, administración y control de los activos utilizados para la prestación del servicio constituyen una causa estructural del riesgo de afectación en la prestación del servicio, en la medida en que explican las limitaciones observadas en la gestión y disponibilidad de los activos requeridos para el desarrollo de la actividad, contribuyendo a la materialización de este riesgo.</w:t>
      </w:r>
    </w:p>
    <w:p w14:paraId="3FA5346E" w14:textId="6DEFEF83" w:rsidR="008975A2" w:rsidRPr="008975A2" w:rsidRDefault="003E3FF9" w:rsidP="00830C4F">
      <w:pPr>
        <w:pStyle w:val="Ttulo5"/>
        <w:numPr>
          <w:ilvl w:val="4"/>
          <w:numId w:val="6"/>
        </w:numPr>
        <w:spacing w:before="100" w:beforeAutospacing="1" w:after="100" w:afterAutospacing="1"/>
        <w:ind w:left="1276" w:hanging="1276"/>
      </w:pPr>
      <w:r w:rsidRPr="003E3FF9">
        <w:t>Heterogeneidad estructural de los mercados relevantes de GLP en términos de tamaño, ubicación geográfica, demanda y condiciones de abastecimiento</w:t>
      </w:r>
      <w:r w:rsidR="008975A2" w:rsidRPr="008975A2">
        <w:t>.</w:t>
      </w:r>
    </w:p>
    <w:p w14:paraId="47475822" w14:textId="77777777" w:rsidR="00125D26" w:rsidRPr="00125D26" w:rsidRDefault="00125D26" w:rsidP="00830C4F">
      <w:pPr>
        <w:spacing w:before="100" w:beforeAutospacing="1" w:after="100" w:afterAutospacing="1" w:line="360" w:lineRule="auto"/>
        <w:rPr>
          <w:rFonts w:cs="Arial"/>
          <w:szCs w:val="24"/>
          <w:lang w:val="es-ES"/>
        </w:rPr>
      </w:pPr>
      <w:r w:rsidRPr="00125D26">
        <w:rPr>
          <w:rFonts w:cs="Arial"/>
          <w:szCs w:val="24"/>
          <w:lang w:val="es-ES"/>
        </w:rPr>
        <w:t>El mercado de GLP no presenta condiciones homogéneas de competencia en todo el territorio nacional. La intensidad de la competencia depende, entre otros factores, de las características estructurales de los mercados relevantes, tales como el tamaño de la demanda, la ubicación geográfica de los usuarios, las distancias respecto de las fuentes de abastecimiento, la disponibilidad de infraestructura y las condiciones logísticas necesarias para atender cada mercado. Estas diferencias hacen que las condiciones bajo las cuales los agentes desarrollan sus actividades no sean uniformes, generando distintos niveles de rivalidad competitiva entre regiones y segmentos del mercado.</w:t>
      </w:r>
    </w:p>
    <w:p w14:paraId="170CE3F9" w14:textId="77777777" w:rsidR="00125D26" w:rsidRPr="00125D26" w:rsidRDefault="00125D26" w:rsidP="00830C4F">
      <w:pPr>
        <w:spacing w:before="100" w:beforeAutospacing="1" w:after="100" w:afterAutospacing="1" w:line="360" w:lineRule="auto"/>
        <w:rPr>
          <w:rFonts w:cs="Arial"/>
          <w:szCs w:val="24"/>
          <w:lang w:val="es-ES"/>
        </w:rPr>
      </w:pPr>
      <w:r w:rsidRPr="00125D26">
        <w:rPr>
          <w:rFonts w:cs="Arial"/>
          <w:szCs w:val="24"/>
          <w:lang w:val="es-ES"/>
        </w:rPr>
        <w:t xml:space="preserve">El estudio desarrollado por CQM Consultoría evidencia que los mercados relevantes de la cadena de GLP presentan características diferenciadas según la actividad desarrollada y las condiciones propias de cada territorio. El consultor identifica que factores como la dimensión geográfica de los mercados, la localización de la demanda, la estructura de abastecimiento, la disponibilidad de infraestructura y las particularidades operativas de cada eslabón de la cadena inciden en la configuración de los mercados relevantes y en la forma como se desarrolla la competencia. Asimismo, el análisis de concentración </w:t>
      </w:r>
      <w:r w:rsidRPr="00125D26">
        <w:rPr>
          <w:rFonts w:cs="Arial"/>
          <w:szCs w:val="24"/>
          <w:lang w:val="es-ES"/>
        </w:rPr>
        <w:lastRenderedPageBreak/>
        <w:t xml:space="preserve">muestra que la intensidad competitiva no es uniforme entre los diferentes segmentos del mercado ni entre las distintas regiones del país. </w:t>
      </w:r>
    </w:p>
    <w:p w14:paraId="64929634" w14:textId="77777777" w:rsidR="00125D26" w:rsidRPr="00125D26" w:rsidRDefault="00125D26" w:rsidP="00830C4F">
      <w:pPr>
        <w:spacing w:before="100" w:beforeAutospacing="1" w:after="100" w:afterAutospacing="1" w:line="360" w:lineRule="auto"/>
        <w:rPr>
          <w:rFonts w:cs="Arial"/>
          <w:szCs w:val="24"/>
          <w:lang w:val="es-ES"/>
        </w:rPr>
      </w:pPr>
      <w:r w:rsidRPr="00125D26">
        <w:rPr>
          <w:rFonts w:cs="Arial"/>
          <w:szCs w:val="24"/>
          <w:lang w:val="es-ES"/>
        </w:rPr>
        <w:t>Estas condiciones estructurales explican los síntomas relacionados con las diferencias en la intensidad de la competencia entre mercados y la limitada disponibilidad de alternativas para algunos usuarios y agentes. En aquellos mercados con menor tamaño de demanda, mayores distancias respecto de las fuentes de abastecimiento o condiciones logísticas más exigentes, la participación de agentes tiende a ser menor y las alternativas disponibles pueden reducirse frente a otros mercados con características más favorables para el desarrollo de la actividad.</w:t>
      </w:r>
    </w:p>
    <w:p w14:paraId="6699456B" w14:textId="77777777" w:rsidR="00125D26" w:rsidRPr="00125D26" w:rsidRDefault="00125D26" w:rsidP="00830C4F">
      <w:pPr>
        <w:spacing w:before="100" w:beforeAutospacing="1" w:after="100" w:afterAutospacing="1" w:line="360" w:lineRule="auto"/>
        <w:rPr>
          <w:rFonts w:cs="Arial"/>
          <w:szCs w:val="24"/>
          <w:lang w:val="es-ES"/>
        </w:rPr>
      </w:pPr>
      <w:r w:rsidRPr="00125D26">
        <w:rPr>
          <w:rFonts w:cs="Arial"/>
          <w:szCs w:val="24"/>
          <w:lang w:val="es-ES"/>
        </w:rPr>
        <w:t>Esta causa presenta una incidencia transversal en las modalidades de prestación mediante cilindros, tanques estacionarios y redes de distribución. No obstante, su manifestación varía según las características propias de cada modalidad. En la distribución mediante cilindros y tanques estacionarios adquieren especial relevancia la dispersión de la demanda, la localización de los usuarios y las condiciones de abastecimiento y transporte. En la distribución por redes, la intensidad de la competencia está además condicionada por la localización de la infraestructura, la densidad de usuarios y las características propias de los mercados atendidos.</w:t>
      </w:r>
    </w:p>
    <w:p w14:paraId="210915BB" w14:textId="77777777" w:rsidR="00125D26" w:rsidRPr="00125D26" w:rsidRDefault="00125D26" w:rsidP="00830C4F">
      <w:pPr>
        <w:spacing w:before="100" w:beforeAutospacing="1" w:after="100" w:afterAutospacing="1" w:line="360" w:lineRule="auto"/>
        <w:rPr>
          <w:rFonts w:cs="Arial"/>
          <w:szCs w:val="24"/>
          <w:lang w:val="es-ES"/>
        </w:rPr>
      </w:pPr>
      <w:r w:rsidRPr="00125D26">
        <w:rPr>
          <w:rFonts w:cs="Arial"/>
          <w:szCs w:val="24"/>
          <w:lang w:val="es-ES"/>
        </w:rPr>
        <w:t>En consecuencia, la heterogeneidad estructural de los mercados relevantes de GLP en términos de tamaño, ubicación geográfica, demanda y condiciones de abastecimiento constituye una causa estructural del riesgo de afectación a las condiciones de competencia del mercado, en la medida en que explica las diferencias observadas en la intensidad de la competencia entre mercados y la limitada disponibilidad de alternativas para algunos usuarios y agentes, contribuyendo a la materialización de este riesgo.</w:t>
      </w:r>
    </w:p>
    <w:p w14:paraId="4EA020E1" w14:textId="017B5529" w:rsidR="008975A2" w:rsidRDefault="002D6CC6" w:rsidP="00830C4F">
      <w:pPr>
        <w:pStyle w:val="Ttulo5"/>
        <w:numPr>
          <w:ilvl w:val="4"/>
          <w:numId w:val="6"/>
        </w:numPr>
        <w:spacing w:before="100" w:beforeAutospacing="1" w:after="100" w:afterAutospacing="1"/>
        <w:ind w:left="1418" w:hanging="1418"/>
      </w:pPr>
      <w:r w:rsidRPr="002D6CC6">
        <w:rPr>
          <w:lang w:val="es-CO"/>
        </w:rPr>
        <w:lastRenderedPageBreak/>
        <w:t>Condiciones económicas y regulatorias que inciden en el ingreso, la expansión y la permanencia de agentes en determinados segmentos del mercado</w:t>
      </w:r>
      <w:r w:rsidR="008975A2" w:rsidRPr="00F679FB">
        <w:t>.</w:t>
      </w:r>
    </w:p>
    <w:p w14:paraId="4E8548C2" w14:textId="77777777" w:rsidR="001D2D9F" w:rsidRPr="001D2D9F" w:rsidRDefault="001D2D9F" w:rsidP="00830C4F">
      <w:pPr>
        <w:spacing w:before="100" w:beforeAutospacing="1" w:after="100" w:afterAutospacing="1" w:line="360" w:lineRule="auto"/>
        <w:rPr>
          <w:rFonts w:cs="Arial"/>
          <w:szCs w:val="24"/>
          <w:lang w:val="es-ES"/>
        </w:rPr>
      </w:pPr>
      <w:r w:rsidRPr="001D2D9F">
        <w:rPr>
          <w:rFonts w:cs="Arial"/>
          <w:szCs w:val="24"/>
          <w:lang w:val="es-ES"/>
        </w:rPr>
        <w:t>El funcionamiento competitivo del mercado de GLP depende, entre otros factores, de las condiciones económicas y regulatorias bajo las cuales los agentes pueden ingresar, desarrollar sus actividades, expandir su participación y permanecer en los diferentes segmentos de la cadena. Estas condiciones comprenden aspectos como las inversiones requeridas, los costos de operación y mantenimiento, el cumplimiento de requisitos regulatorios y técnicos, las economías de escala y alcance propias de algunas actividades, así como las condiciones necesarias para garantizar la prestación segura y eficiente del servicio. En conjunto, estos elementos determinan el entorno en el que los agentes desarrollan su actividad y pueden influir en la dinámica competitiva del mercado.</w:t>
      </w:r>
    </w:p>
    <w:p w14:paraId="774E976A" w14:textId="77777777" w:rsidR="001D2D9F" w:rsidRPr="001D2D9F" w:rsidRDefault="001D2D9F" w:rsidP="00830C4F">
      <w:pPr>
        <w:spacing w:before="100" w:beforeAutospacing="1" w:after="100" w:afterAutospacing="1" w:line="360" w:lineRule="auto"/>
        <w:rPr>
          <w:rFonts w:cs="Arial"/>
          <w:szCs w:val="24"/>
          <w:lang w:val="es-ES"/>
        </w:rPr>
      </w:pPr>
      <w:r w:rsidRPr="001D2D9F">
        <w:rPr>
          <w:rFonts w:cs="Arial"/>
          <w:szCs w:val="24"/>
          <w:lang w:val="es-ES"/>
        </w:rPr>
        <w:t>El estudio desarrollado por CQM Consultoría evidencia que las actividades que conforman la cadena de GLP presentan niveles diferenciados de inversión, especialización técnica y exigencias operativas, lo que genera condiciones distintas para la participación de los agentes en cada segmento del mercado. Asimismo, el consultor identifica que la intensidad de la competencia no es homogénea entre las diferentes actividades de la cadena, debido a que las condiciones económicas y regulatorias asociadas a cada una de ellas influyen en las posibilidades de ingreso, expansión y permanencia de los agentes.</w:t>
      </w:r>
    </w:p>
    <w:p w14:paraId="1708FBF9" w14:textId="77777777" w:rsidR="001D2D9F" w:rsidRPr="001D2D9F" w:rsidRDefault="001D2D9F" w:rsidP="00830C4F">
      <w:pPr>
        <w:spacing w:before="100" w:beforeAutospacing="1" w:after="100" w:afterAutospacing="1" w:line="360" w:lineRule="auto"/>
        <w:rPr>
          <w:rFonts w:cs="Arial"/>
          <w:szCs w:val="24"/>
          <w:lang w:val="es-ES"/>
        </w:rPr>
      </w:pPr>
      <w:r w:rsidRPr="001D2D9F">
        <w:rPr>
          <w:rFonts w:cs="Arial"/>
          <w:szCs w:val="24"/>
          <w:lang w:val="es-ES"/>
        </w:rPr>
        <w:t>Estas condiciones estructurales contribuyen a explicar los síntomas relacionados con la participación concentrada de agentes en determinados segmentos del mercado y la limitada disponibilidad de alternativas para algunos usuarios y agentes. Cuando las condiciones económicas o regulatorias hacen más exigente el desarrollo de determinadas actividades, el número de agentes con capacidad para participar puede reducirse, lo que incide en la intensidad de la competencia y en las opciones disponibles en algunos mercados o segmentos de la cadena.</w:t>
      </w:r>
    </w:p>
    <w:p w14:paraId="6407798E" w14:textId="77777777" w:rsidR="001D2D9F" w:rsidRPr="001D2D9F" w:rsidRDefault="001D2D9F" w:rsidP="00830C4F">
      <w:pPr>
        <w:spacing w:before="100" w:beforeAutospacing="1" w:after="100" w:afterAutospacing="1" w:line="360" w:lineRule="auto"/>
        <w:rPr>
          <w:rFonts w:cs="Arial"/>
          <w:szCs w:val="24"/>
          <w:lang w:val="es-ES"/>
        </w:rPr>
      </w:pPr>
      <w:r w:rsidRPr="001D2D9F">
        <w:rPr>
          <w:rFonts w:cs="Arial"/>
          <w:szCs w:val="24"/>
          <w:lang w:val="es-ES"/>
        </w:rPr>
        <w:lastRenderedPageBreak/>
        <w:t>Esta causa presenta una incidencia transversal en las modalidades de prestación mediante cilindros, tanques estacionarios y redes de distribución. No obstante, su manifestación varía según las características propias de cada modalidad. En la distribución mediante cilindros y tanques estacionarios adquieren mayor relevancia las inversiones asociadas a la infraestructura, la gestión de activos y la logística de distribución, mientras que en la prestación mediante redes cobran especial importancia las inversiones de largo plazo, las economías de escala y las condiciones propias de la expansión de la infraestructura de distribución.</w:t>
      </w:r>
    </w:p>
    <w:p w14:paraId="0C1852A1" w14:textId="616D4DC9" w:rsidR="008975A2" w:rsidRPr="001D2D9F" w:rsidRDefault="001D2D9F" w:rsidP="00830C4F">
      <w:pPr>
        <w:spacing w:before="100" w:beforeAutospacing="1" w:after="100" w:afterAutospacing="1" w:line="360" w:lineRule="auto"/>
        <w:rPr>
          <w:rFonts w:cs="Arial"/>
          <w:szCs w:val="24"/>
          <w:lang w:val="es-ES"/>
        </w:rPr>
      </w:pPr>
      <w:r w:rsidRPr="001D2D9F">
        <w:rPr>
          <w:rFonts w:cs="Arial"/>
          <w:szCs w:val="24"/>
          <w:lang w:val="es-ES"/>
        </w:rPr>
        <w:t>En consecuencia, las condiciones económicas y regulatorias que inciden en el ingreso, la expansión y la permanencia de agentes en determinados segmentos del mercado constituyen una causa estructural del riesgo de afectación a las condiciones de competencia del mercado, en la medida en que contribuyen a explicar la participación concentrada de agentes en determinados segmentos y la limitada disponibilidad de alternativas para algunos usuarios y agentes, favoreciendo la materialización de este riesgo.</w:t>
      </w:r>
    </w:p>
    <w:p w14:paraId="716D1B69" w14:textId="765C170F" w:rsidR="008975A2" w:rsidRPr="008975A2" w:rsidRDefault="006107BC" w:rsidP="00830C4F">
      <w:pPr>
        <w:pStyle w:val="Ttulo5"/>
        <w:numPr>
          <w:ilvl w:val="4"/>
          <w:numId w:val="6"/>
        </w:numPr>
        <w:spacing w:before="100" w:beforeAutospacing="1" w:after="100" w:afterAutospacing="1"/>
        <w:ind w:left="1276" w:hanging="1276"/>
      </w:pPr>
      <w:r w:rsidRPr="006107BC">
        <w:t>Acceso diferenciado a infraestructura, activos y condiciones operativas necesarias para participar y competir en las actividades de la cadena de GLP</w:t>
      </w:r>
      <w:r w:rsidR="008975A2" w:rsidRPr="008975A2">
        <w:t>.</w:t>
      </w:r>
    </w:p>
    <w:p w14:paraId="56B8EB9F" w14:textId="1D1E539B" w:rsidR="00055546" w:rsidRPr="00055546" w:rsidRDefault="00514BB6" w:rsidP="00830C4F">
      <w:pPr>
        <w:spacing w:before="100" w:beforeAutospacing="1" w:after="100" w:afterAutospacing="1" w:line="360" w:lineRule="auto"/>
        <w:rPr>
          <w:rFonts w:cs="Arial"/>
          <w:szCs w:val="24"/>
          <w:lang w:val="es-ES"/>
        </w:rPr>
      </w:pPr>
      <w:r w:rsidRPr="00514BB6">
        <w:rPr>
          <w:rFonts w:cs="Arial"/>
          <w:szCs w:val="24"/>
          <w:lang w:val="es-ES"/>
        </w:rPr>
        <w:t xml:space="preserve">La competencia en el mercado de GLP depende, entre otros factores, de que los agentes cuenten con acceso a la infraestructura, los activos, al producto cuando su asignación se encuentra sujeta a mecanismos regulatorios, y a las condiciones operativas requeridas para desarrollar las distintas actividades que conforman la cadena de prestación del servicio. </w:t>
      </w:r>
      <w:r w:rsidR="007F41C2" w:rsidRPr="007F41C2">
        <w:rPr>
          <w:rFonts w:cs="Arial"/>
          <w:szCs w:val="24"/>
          <w:lang w:val="es-ES"/>
        </w:rPr>
        <w:t xml:space="preserve">Estos elementos comprenden, entre otros, instalaciones de almacenamiento, plantas de envasado, infraestructura de transporte, depósitos, puntos de venta, redes de distribución, acceso a fuentes de abastecimiento y al producto cuando su asignación se encuentra regulada, así como </w:t>
      </w:r>
      <w:r w:rsidR="00364A00" w:rsidRPr="00364A00">
        <w:rPr>
          <w:rFonts w:cs="Arial"/>
          <w:szCs w:val="24"/>
          <w:lang w:val="es-ES"/>
        </w:rPr>
        <w:t>los demás recursos y capacidades operativas requeridos para desarrollar de manera eficiente las actividades propias de cada segmento del mercado.</w:t>
      </w:r>
      <w:r w:rsidRPr="00514BB6">
        <w:rPr>
          <w:rFonts w:cs="Arial"/>
          <w:szCs w:val="24"/>
          <w:lang w:val="es-ES"/>
        </w:rPr>
        <w:t xml:space="preserve"> Asimismo, la participación en algunas actividades de la cadena exige el cumplimiento de requisitos técnicos, operativos y regulatorios, los cuales pueden incidir </w:t>
      </w:r>
      <w:r w:rsidRPr="00514BB6">
        <w:rPr>
          <w:rFonts w:cs="Arial"/>
          <w:szCs w:val="24"/>
          <w:lang w:val="es-ES"/>
        </w:rPr>
        <w:lastRenderedPageBreak/>
        <w:t>en las condiciones de acceso y permanencia de los agentes en determinados segmentos del mercado. Cuando dicho acceso se presenta de manera diferenciada entre agentes o entre mercados, pueden generarse condiciones competitivas distintas que inciden en la intensidad de la competencia</w:t>
      </w:r>
      <w:r w:rsidR="00055546" w:rsidRPr="00055546">
        <w:rPr>
          <w:rFonts w:cs="Arial"/>
          <w:szCs w:val="24"/>
          <w:lang w:val="es-ES"/>
        </w:rPr>
        <w:t>.</w:t>
      </w:r>
    </w:p>
    <w:p w14:paraId="3C45D2EB" w14:textId="393C3882" w:rsidR="00D91464" w:rsidRPr="00055546" w:rsidRDefault="00D91464" w:rsidP="00830C4F">
      <w:pPr>
        <w:spacing w:before="100" w:beforeAutospacing="1" w:after="100" w:afterAutospacing="1" w:line="360" w:lineRule="auto"/>
        <w:rPr>
          <w:rFonts w:cs="Arial"/>
          <w:szCs w:val="24"/>
          <w:lang w:val="es-ES"/>
        </w:rPr>
      </w:pPr>
      <w:r w:rsidRPr="00D91464">
        <w:rPr>
          <w:rFonts w:cs="Arial"/>
          <w:szCs w:val="24"/>
        </w:rPr>
        <w:t>El estudio desarrollado por CQM Consultoría evidencia que las actividades de la cadena de GLP presentan características técnicas, económicas y operativas diferentes, las cuales determinan los requerimientos de infraestructura y activos para participar en cada mercado. Asimismo, identifica que el desarrollo y la localización de dicha infraestructura también pueden verse condicionados por el marco normativo aplicable al uso del suelo y al ordenamiento territorial, circunstancia que puede generar diferencias en las condiciones para el establecimiento, expansión o permanencia de la infraestructura requerida para la prestación del servicio.</w:t>
      </w:r>
    </w:p>
    <w:p w14:paraId="455C70AC" w14:textId="4E26D4B3" w:rsidR="00055546" w:rsidRPr="00055546" w:rsidRDefault="00853AEA" w:rsidP="00830C4F">
      <w:pPr>
        <w:spacing w:before="100" w:beforeAutospacing="1" w:after="100" w:afterAutospacing="1" w:line="360" w:lineRule="auto"/>
        <w:rPr>
          <w:rFonts w:cs="Arial"/>
          <w:szCs w:val="24"/>
          <w:lang w:val="es-ES"/>
        </w:rPr>
      </w:pPr>
      <w:r w:rsidRPr="00853AEA">
        <w:rPr>
          <w:rFonts w:cs="Arial"/>
          <w:szCs w:val="24"/>
          <w:lang w:val="es-ES"/>
        </w:rPr>
        <w:t>Estas diferencias estructurales explican, en parte, los síntomas relacionados con la participación concentrada de agentes en determinados segmentos del mercado y con las diferencias en la intensidad de la competencia entre mercados. Cuando algunos agentes disponen de mayores capacidades operativas o de mejores condiciones para acceder a la infraestructura, a los activos, al producto cuya asignación se encuentra regulada, o enfrentan menores costos para cumplir los requisitos técnicos, operativos y regulatorios aplicables, mientras que otros enfrentan mayores restricciones para acceder a estos recursos o para desarrollarlos y mantenerlos en operación, la presión competitiva puede variar entre mercados y disminuir las alternativas disponibles para usuarios y agentes en determinados ámbitos geográficos o segmentos de la cadena</w:t>
      </w:r>
      <w:r w:rsidR="00055546" w:rsidRPr="00055546">
        <w:rPr>
          <w:rFonts w:cs="Arial"/>
          <w:szCs w:val="24"/>
          <w:lang w:val="es-ES"/>
        </w:rPr>
        <w:t>.</w:t>
      </w:r>
    </w:p>
    <w:p w14:paraId="78E5F49F" w14:textId="401B4823" w:rsidR="00055546" w:rsidRPr="00055546" w:rsidRDefault="00853AEA" w:rsidP="00830C4F">
      <w:pPr>
        <w:spacing w:before="100" w:beforeAutospacing="1" w:after="100" w:afterAutospacing="1" w:line="360" w:lineRule="auto"/>
        <w:rPr>
          <w:rFonts w:cs="Arial"/>
          <w:szCs w:val="24"/>
          <w:lang w:val="es-ES"/>
        </w:rPr>
      </w:pPr>
      <w:r w:rsidRPr="00853AEA">
        <w:rPr>
          <w:rFonts w:cs="Arial"/>
          <w:szCs w:val="24"/>
          <w:lang w:val="es-ES"/>
        </w:rPr>
        <w:t xml:space="preserve">Esta causa presenta una incidencia transversal en las modalidades de prestación mediante cilindros, tanques estacionarios y redes de distribución. No obstante, su manifestación difiere entre ellas. En la distribución mediante cilindros adquieren especial relevancia la disponibilidad de plantas de envasado, cilindros, depósitos y redes de distribución comercial; en la modalidad de tanques estacionarios cobran mayor importancia las capacidades de almacenamiento, transporte y atención de usuarios industriales y comerciales; mientras que en la distribución por redes resultan </w:t>
      </w:r>
      <w:r w:rsidRPr="00853AEA">
        <w:rPr>
          <w:rFonts w:cs="Arial"/>
          <w:szCs w:val="24"/>
          <w:lang w:val="es-ES"/>
        </w:rPr>
        <w:lastRenderedPageBreak/>
        <w:t>determinantes la infraestructura de red, las economías de escala, el acceso oportuno al producto cuando este se encuentra sujeto a mecanismos de asignación regulatoria, y las condiciones propias de cada mercado atendido</w:t>
      </w:r>
      <w:r w:rsidR="00055546" w:rsidRPr="00055546">
        <w:rPr>
          <w:rFonts w:cs="Arial"/>
          <w:szCs w:val="24"/>
          <w:lang w:val="es-ES"/>
        </w:rPr>
        <w:t>.</w:t>
      </w:r>
    </w:p>
    <w:p w14:paraId="1A4150DD" w14:textId="0545D3A4" w:rsidR="005F7964" w:rsidRPr="005F7964" w:rsidRDefault="0047002B" w:rsidP="00830C4F">
      <w:pPr>
        <w:spacing w:before="100" w:beforeAutospacing="1" w:after="100" w:afterAutospacing="1" w:line="360" w:lineRule="auto"/>
        <w:rPr>
          <w:rFonts w:cs="Arial"/>
          <w:szCs w:val="24"/>
          <w:lang w:val="es-ES"/>
        </w:rPr>
      </w:pPr>
      <w:r w:rsidRPr="0047002B">
        <w:rPr>
          <w:rFonts w:cs="Arial"/>
          <w:szCs w:val="24"/>
          <w:lang w:val="es-ES"/>
        </w:rPr>
        <w:t>En consecuencia, el acceso diferenciado a infraestructura, activos, al producto cuando su asignación se encuentra regulada, y a las condiciones operativas necesarias para participar y competir en las actividades de la cadena de GLP constituye una causa estructural del riesgo de afectación a las condiciones de competencia del mercado, en la medida en que explica las diferencias observadas en la intensidad de la competencia entre mercados y la participación concentrada de agentes en determinados segmentos, contribuyendo a la materialización de este riesgo.</w:t>
      </w:r>
    </w:p>
    <w:p w14:paraId="4A0BE852" w14:textId="0210CABB" w:rsidR="00307C59" w:rsidRDefault="00FB7D94" w:rsidP="00830C4F">
      <w:pPr>
        <w:pStyle w:val="Ttulo4"/>
        <w:spacing w:before="100" w:beforeAutospacing="1" w:after="100" w:afterAutospacing="1" w:line="360" w:lineRule="auto"/>
        <w:ind w:hanging="790"/>
      </w:pPr>
      <w:r>
        <w:t>Análisis de efectos</w:t>
      </w:r>
      <w:r w:rsidRPr="00225A26">
        <w:t>.</w:t>
      </w:r>
    </w:p>
    <w:p w14:paraId="1A90956F" w14:textId="510FD445" w:rsidR="0050611E" w:rsidRDefault="0050611E" w:rsidP="00830C4F">
      <w:pPr>
        <w:pStyle w:val="Descripcin"/>
        <w:keepNext/>
        <w:spacing w:before="100" w:beforeAutospacing="1" w:after="100" w:afterAutospacing="1" w:line="360" w:lineRule="auto"/>
        <w:rPr>
          <w:rFonts w:cs="Arial"/>
          <w:b w:val="0"/>
          <w:iCs w:val="0"/>
          <w:szCs w:val="24"/>
        </w:rPr>
      </w:pPr>
      <w:r w:rsidRPr="0050611E">
        <w:rPr>
          <w:rFonts w:cs="Arial"/>
          <w:b w:val="0"/>
          <w:iCs w:val="0"/>
          <w:szCs w:val="24"/>
          <w:lang w:val="es-ES"/>
        </w:rPr>
        <w:t>Con base en las causas estructurales identificadas para el eje temático analizado, se determinaron los principales efectos que estas pueden generar sobre la prestación del servicio público domiciliario de GLP, el funcionamiento del mercado y el bienestar de los usuarios. Como se indicó previamente, una misma causa puede producir uno o varios efectos y, a su vez, un mismo efecto puede derivarse de diferentes causas. Por esta razón, el análisis se desarrolla mediante un enfoque de trazabilidad que relaciona las causas estructurales identificadas con los efectos</w:t>
      </w:r>
      <w:r w:rsidRPr="0050611E">
        <w:rPr>
          <w:rFonts w:cs="Arial"/>
          <w:szCs w:val="24"/>
          <w:lang w:val="es-ES"/>
        </w:rPr>
        <w:t xml:space="preserve"> </w:t>
      </w:r>
      <w:r w:rsidRPr="0050611E">
        <w:rPr>
          <w:rFonts w:cs="Arial"/>
          <w:b w:val="0"/>
          <w:iCs w:val="0"/>
          <w:szCs w:val="24"/>
          <w:lang w:val="es-ES"/>
        </w:rPr>
        <w:t xml:space="preserve">asociados. </w:t>
      </w:r>
      <w:r w:rsidRPr="001C42C8">
        <w:rPr>
          <w:rFonts w:cs="Arial"/>
          <w:b w:val="0"/>
          <w:iCs w:val="0"/>
          <w:szCs w:val="24"/>
          <w:lang w:val="es-ES"/>
        </w:rPr>
        <w:t xml:space="preserve">La </w:t>
      </w:r>
      <w:r w:rsidR="001C42C8" w:rsidRPr="001C42C8">
        <w:rPr>
          <w:rFonts w:cs="Arial"/>
          <w:b w:val="0"/>
          <w:iCs w:val="0"/>
          <w:szCs w:val="24"/>
          <w:lang w:val="es-ES"/>
        </w:rPr>
        <w:fldChar w:fldCharType="begin"/>
      </w:r>
      <w:r w:rsidR="001C42C8" w:rsidRPr="001C42C8">
        <w:rPr>
          <w:rFonts w:cs="Arial"/>
          <w:b w:val="0"/>
          <w:iCs w:val="0"/>
          <w:szCs w:val="24"/>
          <w:lang w:val="es-ES"/>
        </w:rPr>
        <w:instrText xml:space="preserve"> REF _Ref235117821 \h  \* MERGEFORMAT </w:instrText>
      </w:r>
      <w:r w:rsidR="001C42C8" w:rsidRPr="001C42C8">
        <w:rPr>
          <w:rFonts w:cs="Arial"/>
          <w:b w:val="0"/>
          <w:iCs w:val="0"/>
          <w:szCs w:val="24"/>
          <w:lang w:val="es-ES"/>
        </w:rPr>
      </w:r>
      <w:r w:rsidR="001C42C8" w:rsidRPr="001C42C8">
        <w:rPr>
          <w:rFonts w:cs="Arial"/>
          <w:b w:val="0"/>
          <w:iCs w:val="0"/>
          <w:szCs w:val="24"/>
          <w:lang w:val="es-ES"/>
        </w:rPr>
        <w:fldChar w:fldCharType="separate"/>
      </w:r>
      <w:r w:rsidR="001C42C8" w:rsidRPr="001C42C8">
        <w:rPr>
          <w:b w:val="0"/>
        </w:rPr>
        <w:t xml:space="preserve">Tabla </w:t>
      </w:r>
      <w:r w:rsidR="001C42C8" w:rsidRPr="001C42C8">
        <w:rPr>
          <w:b w:val="0"/>
          <w:noProof/>
        </w:rPr>
        <w:t>23</w:t>
      </w:r>
      <w:r w:rsidR="001C42C8" w:rsidRPr="001C42C8">
        <w:rPr>
          <w:rFonts w:cs="Arial"/>
          <w:b w:val="0"/>
          <w:iCs w:val="0"/>
          <w:szCs w:val="24"/>
          <w:lang w:val="es-ES"/>
        </w:rPr>
        <w:fldChar w:fldCharType="end"/>
      </w:r>
      <w:r w:rsidRPr="0050611E">
        <w:rPr>
          <w:rFonts w:cs="Arial"/>
          <w:b w:val="0"/>
          <w:iCs w:val="0"/>
          <w:szCs w:val="24"/>
          <w:lang w:val="es-ES"/>
        </w:rPr>
        <w:t xml:space="preserve"> presenta una síntesis de los principales efectos estructurales identificados para este eje temático.</w:t>
      </w:r>
    </w:p>
    <w:p w14:paraId="37C18676" w14:textId="1A29B962" w:rsidR="0050611E" w:rsidRPr="001C42C8" w:rsidRDefault="0050611E" w:rsidP="001C42C8">
      <w:pPr>
        <w:pStyle w:val="Descripcin"/>
        <w:jc w:val="center"/>
        <w:rPr>
          <w:rFonts w:cs="Arial"/>
          <w:b w:val="0"/>
          <w:szCs w:val="24"/>
        </w:rPr>
      </w:pPr>
      <w:bookmarkStart w:id="225" w:name="_Ref235117821"/>
      <w:bookmarkStart w:id="226" w:name="_Toc235128420"/>
      <w:r w:rsidRPr="001C42C8">
        <w:rPr>
          <w:b w:val="0"/>
          <w:szCs w:val="24"/>
        </w:rPr>
        <w:t xml:space="preserve">Tabla </w:t>
      </w:r>
      <w:r w:rsidR="001C42C8" w:rsidRPr="001C42C8">
        <w:rPr>
          <w:b w:val="0"/>
          <w:bCs/>
          <w:szCs w:val="24"/>
        </w:rPr>
        <w:fldChar w:fldCharType="begin"/>
      </w:r>
      <w:r w:rsidR="001C42C8" w:rsidRPr="001C42C8">
        <w:rPr>
          <w:b w:val="0"/>
          <w:bCs/>
          <w:szCs w:val="24"/>
        </w:rPr>
        <w:instrText xml:space="preserve"> SEQ Tabla \* ARABIC </w:instrText>
      </w:r>
      <w:r w:rsidR="001C42C8" w:rsidRPr="001C42C8">
        <w:rPr>
          <w:b w:val="0"/>
          <w:bCs/>
          <w:szCs w:val="24"/>
        </w:rPr>
        <w:fldChar w:fldCharType="separate"/>
      </w:r>
      <w:r w:rsidR="001C42C8" w:rsidRPr="001C42C8">
        <w:rPr>
          <w:b w:val="0"/>
          <w:bCs/>
          <w:noProof/>
          <w:szCs w:val="24"/>
        </w:rPr>
        <w:t>23</w:t>
      </w:r>
      <w:r w:rsidR="001C42C8" w:rsidRPr="001C42C8">
        <w:rPr>
          <w:b w:val="0"/>
          <w:bCs/>
          <w:szCs w:val="24"/>
        </w:rPr>
        <w:fldChar w:fldCharType="end"/>
      </w:r>
      <w:bookmarkEnd w:id="225"/>
      <w:r w:rsidR="001C42C8" w:rsidRPr="001C42C8">
        <w:rPr>
          <w:b w:val="0"/>
          <w:bCs/>
          <w:szCs w:val="24"/>
        </w:rPr>
        <w:t>.</w:t>
      </w:r>
      <w:r w:rsidRPr="001C42C8">
        <w:rPr>
          <w:b w:val="0"/>
          <w:szCs w:val="24"/>
        </w:rPr>
        <w:t xml:space="preserve"> </w:t>
      </w:r>
      <w:r w:rsidRPr="001C42C8">
        <w:rPr>
          <w:rFonts w:cs="Arial"/>
          <w:b w:val="0"/>
          <w:szCs w:val="24"/>
        </w:rPr>
        <w:t xml:space="preserve">Síntesis de los efectos estructurales asociadas al eje de </w:t>
      </w:r>
      <w:r w:rsidR="00F45995" w:rsidRPr="001C42C8">
        <w:rPr>
          <w:rFonts w:cs="Arial"/>
          <w:b w:val="0"/>
          <w:szCs w:val="24"/>
        </w:rPr>
        <w:t>ineficiencias económicas</w:t>
      </w:r>
      <w:bookmarkEnd w:id="226"/>
    </w:p>
    <w:tbl>
      <w:tblPr>
        <w:tblStyle w:val="Tablaconcuadrcula"/>
        <w:tblW w:w="0" w:type="auto"/>
        <w:tblLook w:val="04A0" w:firstRow="1" w:lastRow="0" w:firstColumn="1" w:lastColumn="0" w:noHBand="0" w:noVBand="1"/>
      </w:tblPr>
      <w:tblGrid>
        <w:gridCol w:w="571"/>
        <w:gridCol w:w="2156"/>
        <w:gridCol w:w="1353"/>
        <w:gridCol w:w="3138"/>
        <w:gridCol w:w="2178"/>
      </w:tblGrid>
      <w:tr w:rsidR="0065093B" w:rsidRPr="0065093B" w14:paraId="0DA448BD" w14:textId="77777777" w:rsidTr="00305D6B">
        <w:trPr>
          <w:tblHeader/>
        </w:trPr>
        <w:tc>
          <w:tcPr>
            <w:tcW w:w="0" w:type="auto"/>
            <w:hideMark/>
          </w:tcPr>
          <w:p w14:paraId="540AEA01" w14:textId="77777777" w:rsidR="0065093B" w:rsidRPr="0065093B" w:rsidRDefault="0065093B" w:rsidP="002F1961">
            <w:pPr>
              <w:spacing w:before="100" w:beforeAutospacing="1" w:after="100" w:afterAutospacing="1" w:line="360" w:lineRule="auto"/>
              <w:rPr>
                <w:b/>
                <w:bCs/>
                <w:sz w:val="22"/>
                <w:szCs w:val="22"/>
                <w:lang w:val="es-CO"/>
              </w:rPr>
            </w:pPr>
            <w:r w:rsidRPr="0065093B">
              <w:rPr>
                <w:b/>
                <w:bCs/>
                <w:sz w:val="22"/>
                <w:szCs w:val="22"/>
                <w:lang w:val="es-CO"/>
              </w:rPr>
              <w:t>No.</w:t>
            </w:r>
          </w:p>
        </w:tc>
        <w:tc>
          <w:tcPr>
            <w:tcW w:w="0" w:type="auto"/>
            <w:hideMark/>
          </w:tcPr>
          <w:p w14:paraId="41C005CD" w14:textId="77777777" w:rsidR="0065093B" w:rsidRPr="0065093B" w:rsidRDefault="0065093B" w:rsidP="002F1961">
            <w:pPr>
              <w:spacing w:before="100" w:beforeAutospacing="1" w:after="100" w:afterAutospacing="1" w:line="360" w:lineRule="auto"/>
              <w:rPr>
                <w:b/>
                <w:bCs/>
                <w:sz w:val="22"/>
                <w:szCs w:val="22"/>
                <w:lang w:val="es-CO"/>
              </w:rPr>
            </w:pPr>
            <w:r w:rsidRPr="0065093B">
              <w:rPr>
                <w:b/>
                <w:bCs/>
                <w:sz w:val="22"/>
                <w:szCs w:val="22"/>
                <w:lang w:val="es-CO"/>
              </w:rPr>
              <w:t>Efecto estructural</w:t>
            </w:r>
          </w:p>
        </w:tc>
        <w:tc>
          <w:tcPr>
            <w:tcW w:w="0" w:type="auto"/>
            <w:hideMark/>
          </w:tcPr>
          <w:p w14:paraId="7EAB505A" w14:textId="77777777" w:rsidR="0065093B" w:rsidRPr="0065093B" w:rsidRDefault="0065093B" w:rsidP="002F1961">
            <w:pPr>
              <w:spacing w:before="100" w:beforeAutospacing="1" w:after="100" w:afterAutospacing="1" w:line="360" w:lineRule="auto"/>
              <w:rPr>
                <w:b/>
                <w:bCs/>
                <w:sz w:val="22"/>
                <w:szCs w:val="22"/>
                <w:lang w:val="es-CO"/>
              </w:rPr>
            </w:pPr>
            <w:r w:rsidRPr="0065093B">
              <w:rPr>
                <w:b/>
                <w:bCs/>
                <w:sz w:val="22"/>
                <w:szCs w:val="22"/>
                <w:lang w:val="es-CO"/>
              </w:rPr>
              <w:t>Tipo</w:t>
            </w:r>
          </w:p>
        </w:tc>
        <w:tc>
          <w:tcPr>
            <w:tcW w:w="0" w:type="auto"/>
            <w:hideMark/>
          </w:tcPr>
          <w:p w14:paraId="0D368675" w14:textId="77777777" w:rsidR="0065093B" w:rsidRPr="0065093B" w:rsidRDefault="0065093B" w:rsidP="002F1961">
            <w:pPr>
              <w:spacing w:before="100" w:beforeAutospacing="1" w:after="100" w:afterAutospacing="1" w:line="360" w:lineRule="auto"/>
              <w:rPr>
                <w:b/>
                <w:bCs/>
                <w:sz w:val="22"/>
                <w:szCs w:val="22"/>
                <w:lang w:val="es-CO"/>
              </w:rPr>
            </w:pPr>
            <w:r w:rsidRPr="0065093B">
              <w:rPr>
                <w:b/>
                <w:bCs/>
                <w:sz w:val="22"/>
                <w:szCs w:val="22"/>
                <w:lang w:val="es-CO"/>
              </w:rPr>
              <w:t>Deriva de los síntomas</w:t>
            </w:r>
          </w:p>
        </w:tc>
        <w:tc>
          <w:tcPr>
            <w:tcW w:w="0" w:type="auto"/>
            <w:hideMark/>
          </w:tcPr>
          <w:p w14:paraId="7FD0F06B" w14:textId="77777777" w:rsidR="0065093B" w:rsidRPr="0065093B" w:rsidRDefault="0065093B" w:rsidP="002F1961">
            <w:pPr>
              <w:spacing w:before="100" w:beforeAutospacing="1" w:after="100" w:afterAutospacing="1" w:line="360" w:lineRule="auto"/>
              <w:rPr>
                <w:b/>
                <w:bCs/>
                <w:sz w:val="22"/>
                <w:szCs w:val="22"/>
                <w:lang w:val="es-CO"/>
              </w:rPr>
            </w:pPr>
            <w:r w:rsidRPr="0065093B">
              <w:rPr>
                <w:b/>
                <w:bCs/>
                <w:sz w:val="22"/>
                <w:szCs w:val="22"/>
                <w:lang w:val="es-CO"/>
              </w:rPr>
              <w:t>Modalidad</w:t>
            </w:r>
          </w:p>
        </w:tc>
      </w:tr>
      <w:tr w:rsidR="0065093B" w:rsidRPr="0065093B" w14:paraId="3CA48BCA" w14:textId="77777777" w:rsidTr="0065093B">
        <w:tc>
          <w:tcPr>
            <w:tcW w:w="0" w:type="auto"/>
            <w:hideMark/>
          </w:tcPr>
          <w:p w14:paraId="7287248B" w14:textId="77777777" w:rsidR="0065093B" w:rsidRPr="0065093B" w:rsidRDefault="0065093B" w:rsidP="002F1961">
            <w:pPr>
              <w:spacing w:before="100" w:beforeAutospacing="1" w:after="100" w:afterAutospacing="1" w:line="360" w:lineRule="auto"/>
              <w:jc w:val="left"/>
              <w:rPr>
                <w:sz w:val="22"/>
                <w:szCs w:val="22"/>
                <w:lang w:val="es-CO"/>
              </w:rPr>
            </w:pPr>
            <w:r w:rsidRPr="0065093B">
              <w:rPr>
                <w:sz w:val="22"/>
                <w:szCs w:val="22"/>
                <w:lang w:val="es-CO"/>
              </w:rPr>
              <w:t>E1</w:t>
            </w:r>
          </w:p>
        </w:tc>
        <w:tc>
          <w:tcPr>
            <w:tcW w:w="0" w:type="auto"/>
            <w:hideMark/>
          </w:tcPr>
          <w:p w14:paraId="4591D6F1" w14:textId="77777777" w:rsidR="0065093B" w:rsidRPr="0065093B" w:rsidRDefault="0065093B" w:rsidP="002F1961">
            <w:pPr>
              <w:spacing w:before="100" w:beforeAutospacing="1" w:after="100" w:afterAutospacing="1" w:line="360" w:lineRule="auto"/>
              <w:jc w:val="left"/>
              <w:rPr>
                <w:sz w:val="22"/>
                <w:szCs w:val="22"/>
                <w:lang w:val="es-CO"/>
              </w:rPr>
            </w:pPr>
            <w:r w:rsidRPr="0065093B">
              <w:rPr>
                <w:sz w:val="22"/>
                <w:szCs w:val="22"/>
                <w:lang w:val="es-CO"/>
              </w:rPr>
              <w:t>Mayor utilización de recursos operativos para la prestación del servicio.</w:t>
            </w:r>
          </w:p>
        </w:tc>
        <w:tc>
          <w:tcPr>
            <w:tcW w:w="0" w:type="auto"/>
            <w:hideMark/>
          </w:tcPr>
          <w:p w14:paraId="06EFAB81" w14:textId="77777777" w:rsidR="0065093B" w:rsidRPr="0065093B" w:rsidRDefault="0065093B" w:rsidP="002F1961">
            <w:pPr>
              <w:spacing w:before="100" w:beforeAutospacing="1" w:after="100" w:afterAutospacing="1" w:line="360" w:lineRule="auto"/>
              <w:jc w:val="left"/>
              <w:rPr>
                <w:sz w:val="22"/>
                <w:szCs w:val="22"/>
                <w:lang w:val="es-CO"/>
              </w:rPr>
            </w:pPr>
            <w:r w:rsidRPr="0065093B">
              <w:rPr>
                <w:sz w:val="22"/>
                <w:szCs w:val="22"/>
                <w:lang w:val="es-CO"/>
              </w:rPr>
              <w:t>Económico / Operativo</w:t>
            </w:r>
          </w:p>
        </w:tc>
        <w:tc>
          <w:tcPr>
            <w:tcW w:w="0" w:type="auto"/>
            <w:hideMark/>
          </w:tcPr>
          <w:p w14:paraId="33932012" w14:textId="77777777" w:rsidR="0065093B" w:rsidRPr="0065093B" w:rsidRDefault="0065093B" w:rsidP="002F1961">
            <w:pPr>
              <w:spacing w:before="100" w:beforeAutospacing="1" w:after="100" w:afterAutospacing="1" w:line="360" w:lineRule="auto"/>
              <w:jc w:val="left"/>
              <w:rPr>
                <w:sz w:val="22"/>
                <w:szCs w:val="22"/>
                <w:lang w:val="es-CO"/>
              </w:rPr>
            </w:pPr>
            <w:r w:rsidRPr="0065093B">
              <w:rPr>
                <w:sz w:val="22"/>
                <w:szCs w:val="22"/>
                <w:lang w:val="es-CO"/>
              </w:rPr>
              <w:t xml:space="preserve">Aprovechamiento heterogéneo de la infraestructura y de los activos de la cadena; costos operativos y logísticos </w:t>
            </w:r>
            <w:r w:rsidRPr="0065093B">
              <w:rPr>
                <w:sz w:val="22"/>
                <w:szCs w:val="22"/>
                <w:lang w:val="es-CO"/>
              </w:rPr>
              <w:lastRenderedPageBreak/>
              <w:t>diferenciados entre mercados.</w:t>
            </w:r>
          </w:p>
        </w:tc>
        <w:tc>
          <w:tcPr>
            <w:tcW w:w="0" w:type="auto"/>
            <w:hideMark/>
          </w:tcPr>
          <w:p w14:paraId="2E4232D3" w14:textId="77777777" w:rsidR="0065093B" w:rsidRPr="0065093B" w:rsidRDefault="0065093B" w:rsidP="002F1961">
            <w:pPr>
              <w:spacing w:before="100" w:beforeAutospacing="1" w:after="100" w:afterAutospacing="1" w:line="360" w:lineRule="auto"/>
              <w:jc w:val="left"/>
              <w:rPr>
                <w:sz w:val="22"/>
                <w:szCs w:val="22"/>
                <w:lang w:val="es-CO"/>
              </w:rPr>
            </w:pPr>
            <w:r w:rsidRPr="0065093B">
              <w:rPr>
                <w:sz w:val="22"/>
                <w:szCs w:val="22"/>
                <w:lang w:val="es-CO"/>
              </w:rPr>
              <w:lastRenderedPageBreak/>
              <w:t>Principalmente cilindros, con incidencia en todas las modalidades.</w:t>
            </w:r>
          </w:p>
        </w:tc>
      </w:tr>
      <w:tr w:rsidR="0065093B" w:rsidRPr="0065093B" w14:paraId="01D3D7C1" w14:textId="77777777" w:rsidTr="0065093B">
        <w:tc>
          <w:tcPr>
            <w:tcW w:w="0" w:type="auto"/>
            <w:hideMark/>
          </w:tcPr>
          <w:p w14:paraId="0F9394A2" w14:textId="77777777" w:rsidR="0065093B" w:rsidRPr="0065093B" w:rsidRDefault="0065093B" w:rsidP="002F1961">
            <w:pPr>
              <w:spacing w:before="100" w:beforeAutospacing="1" w:after="100" w:afterAutospacing="1" w:line="360" w:lineRule="auto"/>
              <w:jc w:val="left"/>
              <w:rPr>
                <w:sz w:val="22"/>
                <w:szCs w:val="22"/>
                <w:lang w:val="es-CO"/>
              </w:rPr>
            </w:pPr>
            <w:r w:rsidRPr="0065093B">
              <w:rPr>
                <w:sz w:val="22"/>
                <w:szCs w:val="22"/>
                <w:lang w:val="es-CO"/>
              </w:rPr>
              <w:t>E2</w:t>
            </w:r>
          </w:p>
        </w:tc>
        <w:tc>
          <w:tcPr>
            <w:tcW w:w="0" w:type="auto"/>
            <w:hideMark/>
          </w:tcPr>
          <w:p w14:paraId="2BB9D2EF" w14:textId="77777777" w:rsidR="0065093B" w:rsidRPr="0065093B" w:rsidRDefault="0065093B" w:rsidP="002F1961">
            <w:pPr>
              <w:spacing w:before="100" w:beforeAutospacing="1" w:after="100" w:afterAutospacing="1" w:line="360" w:lineRule="auto"/>
              <w:jc w:val="left"/>
              <w:rPr>
                <w:sz w:val="22"/>
                <w:szCs w:val="22"/>
                <w:lang w:val="es-CO"/>
              </w:rPr>
            </w:pPr>
            <w:r w:rsidRPr="0065093B">
              <w:rPr>
                <w:sz w:val="22"/>
                <w:szCs w:val="22"/>
                <w:lang w:val="es-CO"/>
              </w:rPr>
              <w:t>Menor aprovechamiento de economías de escala y de los activos disponibles.</w:t>
            </w:r>
          </w:p>
        </w:tc>
        <w:tc>
          <w:tcPr>
            <w:tcW w:w="0" w:type="auto"/>
            <w:hideMark/>
          </w:tcPr>
          <w:p w14:paraId="12DDEAA0" w14:textId="77777777" w:rsidR="0065093B" w:rsidRPr="0065093B" w:rsidRDefault="0065093B" w:rsidP="002F1961">
            <w:pPr>
              <w:spacing w:before="100" w:beforeAutospacing="1" w:after="100" w:afterAutospacing="1" w:line="360" w:lineRule="auto"/>
              <w:jc w:val="left"/>
              <w:rPr>
                <w:sz w:val="22"/>
                <w:szCs w:val="22"/>
                <w:lang w:val="es-CO"/>
              </w:rPr>
            </w:pPr>
            <w:r w:rsidRPr="0065093B">
              <w:rPr>
                <w:sz w:val="22"/>
                <w:szCs w:val="22"/>
                <w:lang w:val="es-CO"/>
              </w:rPr>
              <w:t>Económico</w:t>
            </w:r>
          </w:p>
        </w:tc>
        <w:tc>
          <w:tcPr>
            <w:tcW w:w="0" w:type="auto"/>
            <w:hideMark/>
          </w:tcPr>
          <w:p w14:paraId="667EC0C2" w14:textId="77777777" w:rsidR="0065093B" w:rsidRPr="0065093B" w:rsidRDefault="0065093B" w:rsidP="002F1961">
            <w:pPr>
              <w:spacing w:before="100" w:beforeAutospacing="1" w:after="100" w:afterAutospacing="1" w:line="360" w:lineRule="auto"/>
              <w:jc w:val="left"/>
              <w:rPr>
                <w:sz w:val="22"/>
                <w:szCs w:val="22"/>
                <w:lang w:val="es-CO"/>
              </w:rPr>
            </w:pPr>
            <w:r w:rsidRPr="0065093B">
              <w:rPr>
                <w:sz w:val="22"/>
                <w:szCs w:val="22"/>
                <w:lang w:val="es-CO"/>
              </w:rPr>
              <w:t>Aprovechamiento heterogéneo de la infraestructura y de los activos de la cadena; participación concentrada de agentes; diferencias en la intensidad de la competencia entre mercados.</w:t>
            </w:r>
          </w:p>
        </w:tc>
        <w:tc>
          <w:tcPr>
            <w:tcW w:w="0" w:type="auto"/>
            <w:hideMark/>
          </w:tcPr>
          <w:p w14:paraId="27B5BB01" w14:textId="77777777" w:rsidR="0065093B" w:rsidRPr="0065093B" w:rsidRDefault="0065093B" w:rsidP="002F1961">
            <w:pPr>
              <w:spacing w:before="100" w:beforeAutospacing="1" w:after="100" w:afterAutospacing="1" w:line="360" w:lineRule="auto"/>
              <w:jc w:val="left"/>
              <w:rPr>
                <w:sz w:val="22"/>
                <w:szCs w:val="22"/>
                <w:lang w:val="es-CO"/>
              </w:rPr>
            </w:pPr>
            <w:r w:rsidRPr="0065093B">
              <w:rPr>
                <w:sz w:val="22"/>
                <w:szCs w:val="22"/>
                <w:lang w:val="es-CO"/>
              </w:rPr>
              <w:t>Todas las modalidades, con mayor incidencia en mercados de menor tamaño o con restricciones para el desarrollo de infraestructura.</w:t>
            </w:r>
          </w:p>
        </w:tc>
      </w:tr>
      <w:tr w:rsidR="0065093B" w:rsidRPr="0065093B" w14:paraId="3A08F93B" w14:textId="77777777" w:rsidTr="0065093B">
        <w:tc>
          <w:tcPr>
            <w:tcW w:w="0" w:type="auto"/>
            <w:hideMark/>
          </w:tcPr>
          <w:p w14:paraId="3708B80B" w14:textId="77777777" w:rsidR="0065093B" w:rsidRPr="0065093B" w:rsidRDefault="0065093B" w:rsidP="002F1961">
            <w:pPr>
              <w:spacing w:before="100" w:beforeAutospacing="1" w:after="100" w:afterAutospacing="1" w:line="360" w:lineRule="auto"/>
              <w:jc w:val="left"/>
              <w:rPr>
                <w:sz w:val="22"/>
                <w:szCs w:val="22"/>
                <w:lang w:val="es-CO"/>
              </w:rPr>
            </w:pPr>
            <w:r w:rsidRPr="0065093B">
              <w:rPr>
                <w:sz w:val="22"/>
                <w:szCs w:val="22"/>
                <w:lang w:val="es-CO"/>
              </w:rPr>
              <w:t>E3</w:t>
            </w:r>
          </w:p>
        </w:tc>
        <w:tc>
          <w:tcPr>
            <w:tcW w:w="0" w:type="auto"/>
            <w:hideMark/>
          </w:tcPr>
          <w:p w14:paraId="648948ED" w14:textId="77777777" w:rsidR="0065093B" w:rsidRPr="0065093B" w:rsidRDefault="0065093B" w:rsidP="002F1961">
            <w:pPr>
              <w:spacing w:before="100" w:beforeAutospacing="1" w:after="100" w:afterAutospacing="1" w:line="360" w:lineRule="auto"/>
              <w:jc w:val="left"/>
              <w:rPr>
                <w:sz w:val="22"/>
                <w:szCs w:val="22"/>
                <w:lang w:val="es-CO"/>
              </w:rPr>
            </w:pPr>
            <w:r w:rsidRPr="0065093B">
              <w:rPr>
                <w:sz w:val="22"/>
                <w:szCs w:val="22"/>
                <w:lang w:val="es-CO"/>
              </w:rPr>
              <w:t>Mayores costos de prestación del servicio.</w:t>
            </w:r>
          </w:p>
        </w:tc>
        <w:tc>
          <w:tcPr>
            <w:tcW w:w="0" w:type="auto"/>
            <w:hideMark/>
          </w:tcPr>
          <w:p w14:paraId="01BF8F28" w14:textId="77777777" w:rsidR="0065093B" w:rsidRPr="0065093B" w:rsidRDefault="0065093B" w:rsidP="002F1961">
            <w:pPr>
              <w:spacing w:before="100" w:beforeAutospacing="1" w:after="100" w:afterAutospacing="1" w:line="360" w:lineRule="auto"/>
              <w:jc w:val="left"/>
              <w:rPr>
                <w:sz w:val="22"/>
                <w:szCs w:val="22"/>
                <w:lang w:val="es-CO"/>
              </w:rPr>
            </w:pPr>
            <w:r w:rsidRPr="0065093B">
              <w:rPr>
                <w:sz w:val="22"/>
                <w:szCs w:val="22"/>
                <w:lang w:val="es-CO"/>
              </w:rPr>
              <w:t>Económico</w:t>
            </w:r>
          </w:p>
        </w:tc>
        <w:tc>
          <w:tcPr>
            <w:tcW w:w="0" w:type="auto"/>
            <w:hideMark/>
          </w:tcPr>
          <w:p w14:paraId="2CE3A9F4" w14:textId="77777777" w:rsidR="0065093B" w:rsidRPr="0065093B" w:rsidRDefault="0065093B" w:rsidP="002F1961">
            <w:pPr>
              <w:spacing w:before="100" w:beforeAutospacing="1" w:after="100" w:afterAutospacing="1" w:line="360" w:lineRule="auto"/>
              <w:jc w:val="left"/>
              <w:rPr>
                <w:sz w:val="22"/>
                <w:szCs w:val="22"/>
                <w:lang w:val="es-CO"/>
              </w:rPr>
            </w:pPr>
            <w:r w:rsidRPr="0065093B">
              <w:rPr>
                <w:sz w:val="22"/>
                <w:szCs w:val="22"/>
                <w:lang w:val="es-CO"/>
              </w:rPr>
              <w:t>Aprovechamiento heterogéneo de la infraestructura y de los activos de la cadena; costos operativos y logísticos diferenciados entre mercados; participación concentrada de agentes; diferencias en la intensidad de la competencia entre mercados; limitada disponibilidad de alternativas para usuarios y agentes.</w:t>
            </w:r>
          </w:p>
        </w:tc>
        <w:tc>
          <w:tcPr>
            <w:tcW w:w="0" w:type="auto"/>
            <w:hideMark/>
          </w:tcPr>
          <w:p w14:paraId="34FBC6DE" w14:textId="77777777" w:rsidR="0065093B" w:rsidRPr="0065093B" w:rsidRDefault="0065093B" w:rsidP="002F1961">
            <w:pPr>
              <w:spacing w:before="100" w:beforeAutospacing="1" w:after="100" w:afterAutospacing="1" w:line="360" w:lineRule="auto"/>
              <w:jc w:val="left"/>
              <w:rPr>
                <w:sz w:val="22"/>
                <w:szCs w:val="22"/>
                <w:lang w:val="es-CO"/>
              </w:rPr>
            </w:pPr>
            <w:r w:rsidRPr="0065093B">
              <w:rPr>
                <w:sz w:val="22"/>
                <w:szCs w:val="22"/>
                <w:lang w:val="es-CO"/>
              </w:rPr>
              <w:t>Todas las modalidades de prestación.</w:t>
            </w:r>
          </w:p>
        </w:tc>
      </w:tr>
    </w:tbl>
    <w:p w14:paraId="12B2BD7F" w14:textId="2B35677F" w:rsidR="001B0B24" w:rsidRPr="001C42C8" w:rsidRDefault="001B0B24" w:rsidP="001C42C8">
      <w:pPr>
        <w:spacing w:before="100" w:beforeAutospacing="1" w:after="100" w:afterAutospacing="1" w:line="360" w:lineRule="auto"/>
        <w:jc w:val="center"/>
        <w:rPr>
          <w:sz w:val="22"/>
          <w:szCs w:val="22"/>
        </w:rPr>
      </w:pPr>
      <w:r>
        <w:rPr>
          <w:rFonts w:cs="Arial"/>
          <w:sz w:val="22"/>
          <w:szCs w:val="22"/>
        </w:rPr>
        <w:t>Elaboración</w:t>
      </w:r>
      <w:r w:rsidR="001C42C8">
        <w:rPr>
          <w:rFonts w:cs="Arial"/>
          <w:sz w:val="22"/>
          <w:szCs w:val="22"/>
        </w:rPr>
        <w:t>: CREG</w:t>
      </w:r>
    </w:p>
    <w:p w14:paraId="4E0648B3" w14:textId="446F9A9E" w:rsidR="00D725CB" w:rsidRPr="00F86C72" w:rsidRDefault="004202F8" w:rsidP="001C42C8">
      <w:pPr>
        <w:pStyle w:val="Ttulo5"/>
        <w:numPr>
          <w:ilvl w:val="4"/>
          <w:numId w:val="6"/>
        </w:numPr>
        <w:spacing w:before="100" w:beforeAutospacing="1" w:after="100" w:afterAutospacing="1"/>
        <w:ind w:left="1418" w:hanging="1418"/>
      </w:pPr>
      <w:r w:rsidRPr="00F86C72">
        <w:t>Mayor utilización de recursos operativos para la prestación del servicio.</w:t>
      </w:r>
    </w:p>
    <w:p w14:paraId="2638E533" w14:textId="77777777" w:rsidR="00F86C72" w:rsidRPr="00F86C72" w:rsidRDefault="00F86C72" w:rsidP="001C42C8">
      <w:pPr>
        <w:spacing w:before="100" w:beforeAutospacing="1" w:after="100" w:afterAutospacing="1" w:line="360" w:lineRule="auto"/>
        <w:rPr>
          <w:rFonts w:cs="Arial"/>
          <w:szCs w:val="24"/>
          <w:lang w:val="es-ES"/>
        </w:rPr>
      </w:pPr>
      <w:r w:rsidRPr="00F86C72">
        <w:rPr>
          <w:rFonts w:cs="Arial"/>
          <w:szCs w:val="24"/>
          <w:lang w:val="es-ES"/>
        </w:rPr>
        <w:t xml:space="preserve">La persistencia de las diferencias en el aprovechamiento de la infraestructura y de los activos de la cadena, los costos operativos y logísticos diferenciados entre mercados, la participación concentrada de agentes en algunos segmentos del mercado, las diferencias en la intensidad de la competencia y la limitada disponibilidad de alternativas para </w:t>
      </w:r>
      <w:r w:rsidRPr="00F86C72">
        <w:rPr>
          <w:rFonts w:cs="Arial"/>
          <w:szCs w:val="24"/>
          <w:lang w:val="es-ES"/>
        </w:rPr>
        <w:lastRenderedPageBreak/>
        <w:t>usuarios y agentes puede incrementar la cantidad de recursos operativos que los prestadores deben destinar para desarrollar sus actividades. En este contexto, la necesidad de emplear mayores recursos humanos, técnicos, logísticos y administrativos constituye uno de los principales efectos derivados de las ineficiencias económicas en la prestación del servicio.</w:t>
      </w:r>
    </w:p>
    <w:p w14:paraId="6FBD8BB3" w14:textId="77777777" w:rsidR="00F86C72" w:rsidRPr="00F86C72" w:rsidRDefault="00F86C72" w:rsidP="001C42C8">
      <w:pPr>
        <w:spacing w:before="100" w:beforeAutospacing="1" w:after="100" w:afterAutospacing="1" w:line="360" w:lineRule="auto"/>
        <w:rPr>
          <w:rFonts w:cs="Arial"/>
          <w:szCs w:val="24"/>
          <w:lang w:val="es-ES"/>
        </w:rPr>
      </w:pPr>
      <w:r w:rsidRPr="00F86C72">
        <w:rPr>
          <w:rFonts w:cs="Arial"/>
          <w:szCs w:val="24"/>
          <w:lang w:val="es-ES"/>
        </w:rPr>
        <w:t>Este efecto se genera como consecuencia de la interacción entre los síntomas identificados para este eje temático. Cuando la infraestructura y los activos disponibles no pueden aprovecharse de manera homogénea, los agentes deben realizar mayores esfuerzos operativos para atender la demanda, coordinar sus actividades y garantizar la prestación del servicio bajo las condiciones exigidas por la regulación. De igual manera, las diferencias en la intensidad de la competencia entre mercados y la limitada disponibilidad de alternativas pueden dificultar el aprovechamiento de economías de escala y generar estructuras operativas menos eficientes.</w:t>
      </w:r>
    </w:p>
    <w:p w14:paraId="55A53861" w14:textId="77777777" w:rsidR="00F86C72" w:rsidRPr="00F86C72" w:rsidRDefault="00F86C72" w:rsidP="001C42C8">
      <w:pPr>
        <w:spacing w:before="100" w:beforeAutospacing="1" w:after="100" w:afterAutospacing="1" w:line="360" w:lineRule="auto"/>
        <w:rPr>
          <w:rFonts w:cs="Arial"/>
          <w:szCs w:val="24"/>
          <w:lang w:val="es-ES"/>
        </w:rPr>
      </w:pPr>
      <w:r w:rsidRPr="00F86C72">
        <w:rPr>
          <w:rFonts w:cs="Arial"/>
          <w:szCs w:val="24"/>
          <w:lang w:val="es-ES"/>
        </w:rPr>
        <w:t>Los estudios de caracterización desarrollados por CQM Consultoría evidencian que estas condiciones se manifiestan en diferentes etapas de la cadena de prestación del servicio. En particular, el diagnóstico identificó situaciones relacionadas con la necesidad de mantener infraestructura y activos ociosos para atender determinados mercados, mayores recorridos logísticos, diferencias en la utilización de plantas de envasado y costos adicionales asociados a la administración y recuperación de cilindros, circunstancias que incrementan los recursos operativos requeridos para desarrollar la actividad. De manera complementaria, el Documento CREG 004 de 2021 destacó que las diferencias estructurales entre mercados, las condiciones geográficas y la heterogeneidad en la demanda generan costos diferenciados de operación que afectan la eficiencia con la que los agentes prestan el servicio.</w:t>
      </w:r>
    </w:p>
    <w:p w14:paraId="3E70BFE0" w14:textId="77777777" w:rsidR="00F86C72" w:rsidRPr="00F86C72" w:rsidRDefault="00F86C72" w:rsidP="00EA5E22">
      <w:pPr>
        <w:spacing w:before="100" w:beforeAutospacing="1" w:after="100" w:afterAutospacing="1" w:line="360" w:lineRule="auto"/>
        <w:rPr>
          <w:rFonts w:cs="Arial"/>
          <w:szCs w:val="24"/>
          <w:lang w:val="es-ES"/>
        </w:rPr>
      </w:pPr>
      <w:r w:rsidRPr="00F86C72">
        <w:rPr>
          <w:rFonts w:cs="Arial"/>
          <w:szCs w:val="24"/>
          <w:lang w:val="es-ES"/>
        </w:rPr>
        <w:t xml:space="preserve">Como resultado, los agentes pueden requerir una mayor utilización de recursos destinados a la operación, administración, coordinación logística, mantenimiento de infraestructura y gestión de activos para garantizar la prestación del servicio. Estos esfuerzos no necesariamente se traducen en una mejora proporcional de la </w:t>
      </w:r>
      <w:r w:rsidRPr="00F86C72">
        <w:rPr>
          <w:rFonts w:cs="Arial"/>
          <w:szCs w:val="24"/>
          <w:lang w:val="es-ES"/>
        </w:rPr>
        <w:lastRenderedPageBreak/>
        <w:t>productividad, sino que responden a condiciones estructurales que reducen la eficiencia económica de la cadena y limitan el aprovechamiento de los recursos disponibles.</w:t>
      </w:r>
    </w:p>
    <w:p w14:paraId="067DB7AA" w14:textId="77777777" w:rsidR="00F86C72" w:rsidRPr="00F86C72" w:rsidRDefault="00F86C72" w:rsidP="00EA5E22">
      <w:pPr>
        <w:spacing w:before="100" w:beforeAutospacing="1" w:after="100" w:afterAutospacing="1" w:line="360" w:lineRule="auto"/>
        <w:rPr>
          <w:rFonts w:cs="Arial"/>
          <w:szCs w:val="24"/>
          <w:lang w:val="es-ES"/>
        </w:rPr>
      </w:pPr>
      <w:r w:rsidRPr="00F86C72">
        <w:rPr>
          <w:rFonts w:cs="Arial"/>
          <w:szCs w:val="24"/>
          <w:lang w:val="es-ES"/>
        </w:rPr>
        <w:t>Este efecto presenta una incidencia en todas las modalidades de prestación del servicio público domiciliario de GLP. No obstante, adquiere especial relevancia en la distribución mediante cilindros, debido a la mayor intensidad de las actividades logísticas, la gestión permanente de los envases y la dispersión geográfica de la demanda. En las modalidades de tanques estacionarios y redes de distribución también pueden presentarse mayores requerimientos operativos asociados al mantenimiento de infraestructura y a las particularidades territoriales de los mercados, aunque con características diferentes.</w:t>
      </w:r>
    </w:p>
    <w:p w14:paraId="1FFBAC95" w14:textId="77777777" w:rsidR="00F86C72" w:rsidRPr="00F86C72" w:rsidRDefault="00F86C72" w:rsidP="00EA5E22">
      <w:pPr>
        <w:spacing w:before="100" w:beforeAutospacing="1" w:after="100" w:afterAutospacing="1" w:line="360" w:lineRule="auto"/>
        <w:rPr>
          <w:rFonts w:cs="Arial"/>
          <w:szCs w:val="24"/>
          <w:lang w:val="es-ES"/>
        </w:rPr>
      </w:pPr>
      <w:r w:rsidRPr="00F86C72">
        <w:rPr>
          <w:rFonts w:cs="Arial"/>
          <w:szCs w:val="24"/>
          <w:lang w:val="es-ES"/>
        </w:rPr>
        <w:t>En consecuencia, la mayor utilización de recursos operativos para la prestación del servicio constituye un efecto derivado de las ineficiencias económicas en la prestación del servicio, en la medida en que representa una consecuencia directa de las diferencias en el aprovechamiento de la infraestructura y de los activos, los costos operativos y logísticos diferenciados entre mercados y las condiciones estructurales que inciden sobre la eficiencia con la que los agentes desarrollan sus actividades.</w:t>
      </w:r>
    </w:p>
    <w:p w14:paraId="74965070" w14:textId="207673F3" w:rsidR="0031279F" w:rsidRPr="00FF60E1" w:rsidRDefault="00FF60E1" w:rsidP="00EA5E22">
      <w:pPr>
        <w:pStyle w:val="Ttulo5"/>
        <w:numPr>
          <w:ilvl w:val="4"/>
          <w:numId w:val="6"/>
        </w:numPr>
        <w:spacing w:before="100" w:beforeAutospacing="1" w:after="100" w:afterAutospacing="1"/>
        <w:ind w:left="1276" w:hanging="1276"/>
      </w:pPr>
      <w:r w:rsidRPr="00FF60E1">
        <w:rPr>
          <w:lang w:val="es-CO"/>
        </w:rPr>
        <w:t>Menor aprovechamiento de economías de escala y de los activos disponibles</w:t>
      </w:r>
      <w:r w:rsidR="0031279F" w:rsidRPr="00FF60E1">
        <w:t>.</w:t>
      </w:r>
    </w:p>
    <w:p w14:paraId="727728DC" w14:textId="77777777" w:rsidR="00A970FE" w:rsidRPr="00A970FE" w:rsidRDefault="00A970FE" w:rsidP="00EA5E22">
      <w:pPr>
        <w:spacing w:before="100" w:beforeAutospacing="1" w:after="100" w:afterAutospacing="1" w:line="360" w:lineRule="auto"/>
        <w:rPr>
          <w:rFonts w:cs="Arial"/>
          <w:szCs w:val="24"/>
          <w:lang w:val="es-ES"/>
        </w:rPr>
      </w:pPr>
      <w:r w:rsidRPr="00A970FE">
        <w:rPr>
          <w:rFonts w:cs="Arial"/>
          <w:szCs w:val="24"/>
          <w:lang w:val="es-ES"/>
        </w:rPr>
        <w:t>La persistencia de las diferencias en el aprovechamiento de la infraestructura y de los activos de la cadena, los costos operativos y logísticos diferenciados entre mercados, la participación concentrada de agentes en algunos segmentos del mercado, las diferencias en la intensidad de la competencia y la limitada disponibilidad de alternativas para usuarios y agentes puede reducir el aprovechamiento de las economías de escala y de los activos disponibles para la prestación del servicio público domiciliario de GLP. En este contexto, la utilización menos eficiente de la infraestructura y de los recursos operativos constituye uno de los principales efectos derivados de las ineficiencias económicas en la prestación del servicio.</w:t>
      </w:r>
    </w:p>
    <w:p w14:paraId="60677E79" w14:textId="77777777" w:rsidR="00A970FE" w:rsidRPr="00A970FE" w:rsidRDefault="00A970FE" w:rsidP="00EA5E22">
      <w:pPr>
        <w:spacing w:before="100" w:beforeAutospacing="1" w:after="100" w:afterAutospacing="1" w:line="360" w:lineRule="auto"/>
        <w:rPr>
          <w:rFonts w:cs="Arial"/>
          <w:szCs w:val="24"/>
          <w:lang w:val="es-ES"/>
        </w:rPr>
      </w:pPr>
      <w:r w:rsidRPr="00A970FE">
        <w:rPr>
          <w:rFonts w:cs="Arial"/>
          <w:szCs w:val="24"/>
          <w:lang w:val="es-ES"/>
        </w:rPr>
        <w:lastRenderedPageBreak/>
        <w:t>Este efecto se genera como consecuencia de la interacción entre los síntomas identificados para este eje temático. Cuando los mercados presentan diferencias significativas en tamaño, demanda, condiciones de abastecimiento o niveles de competencia, los agentes enfrentan mayores dificultades para distribuir eficientemente sus costos fijos, optimizar la utilización de la infraestructura y aprovechar plenamente los activos disponibles. De igual manera, la limitada disponibilidad de alternativas y las diferencias en las condiciones de operación entre mercados pueden restringir el aprovechamiento de capacidades instaladas y reducir las eficiencias que normalmente se obtienen mediante una mayor escala de operación.</w:t>
      </w:r>
    </w:p>
    <w:p w14:paraId="7D6BE037" w14:textId="77777777" w:rsidR="00A970FE" w:rsidRPr="00A970FE" w:rsidRDefault="00A970FE" w:rsidP="00EA5E22">
      <w:pPr>
        <w:spacing w:before="100" w:beforeAutospacing="1" w:after="100" w:afterAutospacing="1" w:line="360" w:lineRule="auto"/>
        <w:rPr>
          <w:rFonts w:cs="Arial"/>
          <w:szCs w:val="24"/>
          <w:lang w:val="es-ES"/>
        </w:rPr>
      </w:pPr>
      <w:r w:rsidRPr="00A970FE">
        <w:rPr>
          <w:rFonts w:cs="Arial"/>
          <w:szCs w:val="24"/>
          <w:lang w:val="es-ES"/>
        </w:rPr>
        <w:t>Los estudios de caracterización desarrollados por CQM Consultoría evidencian que estas diferencias se reflejan en la utilización de plantas de envasado, infraestructura logística y activos operativos, así como en los costos asociados a la atención de mercados con características geográficas y niveles de demanda heterogéneos. De manera complementaria, el Documento CREG 004 de 2021 señaló que las diferencias estructurales existentes entre mercados pueden limitar el aprovechamiento eficiente de la infraestructura y generar condiciones de operación diferenciadas entre agentes y regiones, reduciendo las eficiencias derivadas de la escala y del uso compartido de los activos.</w:t>
      </w:r>
    </w:p>
    <w:p w14:paraId="2E858C47" w14:textId="77777777" w:rsidR="00A970FE" w:rsidRPr="00A970FE" w:rsidRDefault="00A970FE" w:rsidP="00EA5E22">
      <w:pPr>
        <w:spacing w:before="100" w:beforeAutospacing="1" w:after="100" w:afterAutospacing="1" w:line="360" w:lineRule="auto"/>
        <w:rPr>
          <w:rFonts w:cs="Arial"/>
          <w:szCs w:val="24"/>
          <w:lang w:val="es-ES"/>
        </w:rPr>
      </w:pPr>
      <w:r w:rsidRPr="00A970FE">
        <w:rPr>
          <w:rFonts w:cs="Arial"/>
          <w:szCs w:val="24"/>
          <w:lang w:val="es-ES"/>
        </w:rPr>
        <w:t>Como resultado, parte de la infraestructura y de los activos disponibles puede operar por debajo de su capacidad óptima o requerir mayores recursos para atender niveles similares de demanda, reduciendo la productividad de las inversiones realizadas y limitando las eficiencias económicas que podrían alcanzarse mediante un mejor aprovechamiento de las capacidades existentes.</w:t>
      </w:r>
    </w:p>
    <w:p w14:paraId="546341A7" w14:textId="77777777" w:rsidR="00A970FE" w:rsidRPr="00A970FE" w:rsidRDefault="00A970FE" w:rsidP="00EA5E22">
      <w:pPr>
        <w:spacing w:before="100" w:beforeAutospacing="1" w:after="100" w:afterAutospacing="1" w:line="360" w:lineRule="auto"/>
        <w:rPr>
          <w:rFonts w:cs="Arial"/>
          <w:szCs w:val="24"/>
          <w:lang w:val="es-ES"/>
        </w:rPr>
      </w:pPr>
      <w:r w:rsidRPr="00A970FE">
        <w:rPr>
          <w:rFonts w:cs="Arial"/>
          <w:szCs w:val="24"/>
          <w:lang w:val="es-ES"/>
        </w:rPr>
        <w:t>Este efecto presenta una incidencia en todas las modalidades de prestación del servicio público domiciliario de GLP. No obstante, adquiere especial relevancia en la distribución mediante cilindros y tanques estacionarios, donde las diferencias en el tamaño de los mercados, la dispersión geográfica de la demanda y las condiciones logísticas pueden incidir de manera más significativa en el aprovechamiento de la infraestructura y de los activos utilizados para la prestación del servicio.</w:t>
      </w:r>
    </w:p>
    <w:p w14:paraId="229B7046" w14:textId="64373BCB" w:rsidR="0037468A" w:rsidRPr="00A970FE" w:rsidRDefault="00A970FE" w:rsidP="00EA5E22">
      <w:pPr>
        <w:spacing w:before="100" w:beforeAutospacing="1" w:after="100" w:afterAutospacing="1" w:line="360" w:lineRule="auto"/>
        <w:rPr>
          <w:rFonts w:cs="Arial"/>
          <w:szCs w:val="24"/>
          <w:lang w:val="es-ES"/>
        </w:rPr>
      </w:pPr>
      <w:r w:rsidRPr="00A970FE">
        <w:rPr>
          <w:rFonts w:cs="Arial"/>
          <w:szCs w:val="24"/>
          <w:lang w:val="es-ES"/>
        </w:rPr>
        <w:lastRenderedPageBreak/>
        <w:t>En consecuencia, el menor aprovechamiento de las economías de escala y de los activos disponibles constituye un efecto derivado de las ineficiencias económicas en la prestación del servicio, en la medida en que representa una consecuencia directa de las diferencias observadas en el aprovechamiento de la infraestructura y de los activos de la cadena, las condiciones de competencia entre mercados y la heterogeneidad estructural con la que se desarrolla la prestación del servicio público domiciliario de GLP.</w:t>
      </w:r>
    </w:p>
    <w:p w14:paraId="751A25F4" w14:textId="7FE91B07" w:rsidR="0031279F" w:rsidRPr="007D65A2" w:rsidRDefault="00746065" w:rsidP="00EA5E22">
      <w:pPr>
        <w:pStyle w:val="Ttulo5"/>
        <w:numPr>
          <w:ilvl w:val="4"/>
          <w:numId w:val="6"/>
        </w:numPr>
        <w:spacing w:before="100" w:beforeAutospacing="1" w:after="100" w:afterAutospacing="1"/>
        <w:ind w:left="1418" w:hanging="1418"/>
      </w:pPr>
      <w:r w:rsidRPr="00746065">
        <w:rPr>
          <w:lang w:val="es-CO"/>
        </w:rPr>
        <w:t>Mayores costos de prestación del servicio</w:t>
      </w:r>
      <w:r w:rsidR="0031279F" w:rsidRPr="0031279F">
        <w:rPr>
          <w:lang w:val="es-CO"/>
        </w:rPr>
        <w:t>.</w:t>
      </w:r>
    </w:p>
    <w:p w14:paraId="35EEFE76" w14:textId="77777777" w:rsidR="00DD1329" w:rsidRPr="00DD1329" w:rsidRDefault="00DD1329" w:rsidP="00EA5E22">
      <w:pPr>
        <w:spacing w:before="100" w:beforeAutospacing="1" w:after="100" w:afterAutospacing="1" w:line="360" w:lineRule="auto"/>
        <w:rPr>
          <w:rFonts w:cs="Arial"/>
          <w:szCs w:val="24"/>
          <w:lang w:val="es-ES"/>
        </w:rPr>
      </w:pPr>
      <w:r w:rsidRPr="00DD1329">
        <w:rPr>
          <w:rFonts w:cs="Arial"/>
          <w:szCs w:val="24"/>
          <w:lang w:val="es-ES"/>
        </w:rPr>
        <w:t>La persistencia de las diferencias en el aprovechamiento de la infraestructura y de los activos de la cadena, los costos operativos y logísticos diferenciados entre mercados, la participación concentrada de agentes en algunos segmentos del mercado, las diferencias en la intensidad de la competencia y la limitada disponibilidad de alternativas para usuarios y agentes puede incrementar los costos asociados a la prestación del servicio público domiciliario de GLP. En este contexto, la existencia de estructuras de costos diferenciadas entre mercados constituye uno de los principales efectos derivados de las ineficiencias económicas en la prestación del servicio.</w:t>
      </w:r>
    </w:p>
    <w:p w14:paraId="4810F925" w14:textId="77777777" w:rsidR="00DD1329" w:rsidRPr="00DD1329" w:rsidRDefault="00DD1329" w:rsidP="00EA5E22">
      <w:pPr>
        <w:spacing w:before="100" w:beforeAutospacing="1" w:after="100" w:afterAutospacing="1" w:line="360" w:lineRule="auto"/>
        <w:rPr>
          <w:rFonts w:cs="Arial"/>
          <w:szCs w:val="24"/>
          <w:lang w:val="es-ES"/>
        </w:rPr>
      </w:pPr>
      <w:r w:rsidRPr="00DD1329">
        <w:rPr>
          <w:rFonts w:cs="Arial"/>
          <w:szCs w:val="24"/>
          <w:lang w:val="es-ES"/>
        </w:rPr>
        <w:t>Este efecto se genera como consecuencia de la interacción entre los síntomas identificados para este eje temático. Cuando los agentes deben desarrollar sus actividades en mercados con condiciones heterogéneas de infraestructura, logística, abastecimiento y competencia, enfrentan mayores costos para operar, administrar sus activos y atender la demanda. Asimismo, las diferencias en el aprovechamiento de la infraestructura y de los activos, junto con la limitada disponibilidad de alternativas y las restricciones para alcanzar mayores niveles de eficiencia operativa, reducen la posibilidad de optimizar el uso de los recursos disponibles y de disminuir los costos asociados a la prestación del servicio.</w:t>
      </w:r>
    </w:p>
    <w:p w14:paraId="0E3AC15C" w14:textId="77777777" w:rsidR="00DD1329" w:rsidRPr="00DD1329" w:rsidRDefault="00DD1329" w:rsidP="00EA5E22">
      <w:pPr>
        <w:spacing w:before="100" w:beforeAutospacing="1" w:after="100" w:afterAutospacing="1" w:line="360" w:lineRule="auto"/>
        <w:rPr>
          <w:rFonts w:cs="Arial"/>
          <w:szCs w:val="24"/>
          <w:lang w:val="es-ES"/>
        </w:rPr>
      </w:pPr>
      <w:r w:rsidRPr="00DD1329">
        <w:rPr>
          <w:rFonts w:cs="Arial"/>
          <w:szCs w:val="24"/>
          <w:lang w:val="es-ES"/>
        </w:rPr>
        <w:t xml:space="preserve">Los estudios de caracterización realizados por CQM Consultoría evidencian que las condiciones operativas del mercado de GLP no son homogéneas entre regiones ni entre modalidades de prestación. El diagnóstico identificó diferencias en los costos logísticos, la utilización de infraestructura, la administración de activos y las condiciones de </w:t>
      </w:r>
      <w:r w:rsidRPr="00DD1329">
        <w:rPr>
          <w:rFonts w:cs="Arial"/>
          <w:szCs w:val="24"/>
          <w:lang w:val="es-ES"/>
        </w:rPr>
        <w:lastRenderedPageBreak/>
        <w:t>operación de los agentes, factores que inciden directamente sobre los costos de prestación. De manera complementaria, el Documento CREG 004 de 2021 destacó que las características estructurales de los mercados, las economías de escala, las condiciones geográficas y la intensidad de la competencia pueden generar diferencias en los costos con los que los agentes desarrollan sus actividades, afectando la eficiencia económica de la prestación del servicio.</w:t>
      </w:r>
    </w:p>
    <w:p w14:paraId="6F087063" w14:textId="77777777" w:rsidR="00DD1329" w:rsidRPr="00DD1329" w:rsidRDefault="00DD1329" w:rsidP="00EA5E22">
      <w:pPr>
        <w:spacing w:before="100" w:beforeAutospacing="1" w:after="100" w:afterAutospacing="1" w:line="360" w:lineRule="auto"/>
        <w:rPr>
          <w:rFonts w:cs="Arial"/>
          <w:szCs w:val="24"/>
          <w:lang w:val="es-ES"/>
        </w:rPr>
      </w:pPr>
      <w:r w:rsidRPr="00DD1329">
        <w:rPr>
          <w:rFonts w:cs="Arial"/>
          <w:szCs w:val="24"/>
          <w:lang w:val="es-ES"/>
        </w:rPr>
        <w:t>Como resultado, pueden mantenerse diferencias en los costos de prestación entre mercados y agentes, reduciendo la eficiencia con la que se desarrollan las distintas actividades de la cadena. Estas condiciones limitan las posibilidades de optimizar el uso de la infraestructura y de los activos disponibles, dificultan el aprovechamiento de economías de escala y pueden incrementar los recursos necesarios para atender la demanda bajo condiciones adecuadas de calidad, seguridad y continuidad.</w:t>
      </w:r>
    </w:p>
    <w:p w14:paraId="0B5E52BD" w14:textId="77777777" w:rsidR="00DD1329" w:rsidRPr="00DD1329" w:rsidRDefault="00DD1329" w:rsidP="00EA5E22">
      <w:pPr>
        <w:spacing w:before="100" w:beforeAutospacing="1" w:after="100" w:afterAutospacing="1" w:line="360" w:lineRule="auto"/>
        <w:rPr>
          <w:rFonts w:cs="Arial"/>
          <w:szCs w:val="24"/>
          <w:lang w:val="es-ES"/>
        </w:rPr>
      </w:pPr>
      <w:r w:rsidRPr="00DD1329">
        <w:rPr>
          <w:rFonts w:cs="Arial"/>
          <w:szCs w:val="24"/>
          <w:lang w:val="es-ES"/>
        </w:rPr>
        <w:t>Este efecto presenta una incidencia en todas las modalidades de prestación del servicio público domiciliario de GLP. No obstante, puede manifestarse con mayor intensidad en aquellos mercados donde las condiciones geográficas, logísticas o de demanda dificultan el aprovechamiento eficiente de la infraestructura y de los activos, así como en segmentos con menor intensidad competitiva o con mayores restricciones para el desarrollo de nuevas inversiones.</w:t>
      </w:r>
    </w:p>
    <w:p w14:paraId="4B6C7AD0" w14:textId="6F5F9A2D" w:rsidR="00A4773F" w:rsidRPr="00A4773F" w:rsidRDefault="00DD1329" w:rsidP="00EA5E22">
      <w:pPr>
        <w:spacing w:before="100" w:beforeAutospacing="1" w:after="100" w:afterAutospacing="1" w:line="360" w:lineRule="auto"/>
        <w:rPr>
          <w:rFonts w:cs="Arial"/>
          <w:szCs w:val="24"/>
          <w:lang w:val="es-ES"/>
        </w:rPr>
      </w:pPr>
      <w:r w:rsidRPr="00DD1329">
        <w:rPr>
          <w:rFonts w:cs="Arial"/>
          <w:szCs w:val="24"/>
          <w:lang w:val="es-ES"/>
        </w:rPr>
        <w:t>En consecuencia, los mayores costos de prestación del servicio constituyen un efecto derivado de las ineficiencias económicas en la prestación del servicio, en la medida en que representan una consecuencia directa de las diferencias en el aprovechamiento de la infraestructura y de los activos, los costos operativos y logísticos diferenciados entre mercados y las condiciones estructurales que inciden sobre la eficiencia económica de la cadena de prestación del servicio público domiciliario de GLP.</w:t>
      </w:r>
    </w:p>
    <w:p w14:paraId="1BB05D66" w14:textId="3FB140E9" w:rsidR="00EF745D" w:rsidRDefault="00D77829" w:rsidP="00EA5E22">
      <w:pPr>
        <w:pStyle w:val="Ttulo3"/>
        <w:spacing w:before="100" w:beforeAutospacing="1" w:after="100" w:afterAutospacing="1"/>
        <w:ind w:left="1134" w:hanging="1134"/>
        <w:rPr>
          <w:lang w:val="es-CO"/>
        </w:rPr>
      </w:pPr>
      <w:bookmarkStart w:id="227" w:name="_Toc235128390"/>
      <w:r>
        <w:rPr>
          <w:lang w:val="es-CO"/>
        </w:rPr>
        <w:t>Definición</w:t>
      </w:r>
      <w:r w:rsidR="009271D2">
        <w:rPr>
          <w:lang w:val="es-CO"/>
        </w:rPr>
        <w:t xml:space="preserve"> del </w:t>
      </w:r>
      <w:r>
        <w:rPr>
          <w:lang w:val="es-CO"/>
        </w:rPr>
        <w:t>problema regulatorio</w:t>
      </w:r>
      <w:bookmarkEnd w:id="227"/>
    </w:p>
    <w:p w14:paraId="5301EE50" w14:textId="77777777" w:rsidR="00340144" w:rsidRPr="00340144" w:rsidRDefault="00340144" w:rsidP="00EA5E22">
      <w:pPr>
        <w:spacing w:before="100" w:beforeAutospacing="1" w:after="100" w:afterAutospacing="1" w:line="360" w:lineRule="auto"/>
        <w:rPr>
          <w:rFonts w:cs="Arial"/>
          <w:szCs w:val="24"/>
          <w:lang w:val="es-ES"/>
        </w:rPr>
      </w:pPr>
      <w:r w:rsidRPr="00340144">
        <w:rPr>
          <w:rFonts w:cs="Arial"/>
          <w:szCs w:val="24"/>
          <w:lang w:val="es-ES"/>
        </w:rPr>
        <w:t xml:space="preserve">El análisis desarrollado en los numerales anteriores permitió identificar las causas estructurales que explican la ocurrencia de los riesgos asociados a la prestación del </w:t>
      </w:r>
      <w:r w:rsidRPr="00340144">
        <w:rPr>
          <w:rFonts w:cs="Arial"/>
          <w:szCs w:val="24"/>
          <w:lang w:val="es-ES"/>
        </w:rPr>
        <w:lastRenderedPageBreak/>
        <w:t>servicio, la continuidad y confiabilidad del suministro y las condiciones de competencia del mercado, así como los efectos que estos pueden generar sobre el funcionamiento del sector. En conjunto, estos elementos evidencian que las condiciones actuales del mercado pueden comprometer el cumplimiento de los fines que orientan la prestación eficiente del servicio público domiciliario de GLP y, por tanto, justifican la identificación de un problema regulatorio susceptible de ser analizado mediante el presente Análisis de Impacto Normativo.</w:t>
      </w:r>
    </w:p>
    <w:p w14:paraId="1BCEA807" w14:textId="17E6CE23" w:rsidR="0092477C" w:rsidRPr="00340144" w:rsidRDefault="0092477C" w:rsidP="00EA5E22">
      <w:pPr>
        <w:spacing w:before="100" w:beforeAutospacing="1" w:after="100" w:afterAutospacing="1" w:line="360" w:lineRule="auto"/>
        <w:rPr>
          <w:rFonts w:cs="Arial"/>
          <w:i/>
          <w:iCs/>
          <w:szCs w:val="24"/>
          <w:lang w:val="es-ES"/>
        </w:rPr>
      </w:pPr>
      <w:r w:rsidRPr="0092477C">
        <w:rPr>
          <w:rFonts w:cs="Arial"/>
          <w:szCs w:val="24"/>
        </w:rPr>
        <w:t>En consecuencia, el problema regulatorio identificado</w:t>
      </w:r>
      <w:r w:rsidRPr="0092477C">
        <w:rPr>
          <w:rFonts w:cs="Arial"/>
          <w:i/>
          <w:iCs/>
          <w:szCs w:val="24"/>
        </w:rPr>
        <w:t xml:space="preserve"> consiste en la existencia de deficiencias en la prestación del servicio, riesgos para la continuidad y confiabilidad del suministro e ineficiencias económicas en la prestación del servicio público domiciliario de GLP, derivadas de las condiciones actuales de funcionamiento de la cadena.</w:t>
      </w:r>
    </w:p>
    <w:p w14:paraId="3541E365" w14:textId="38728E8F" w:rsidR="00E134EB" w:rsidRDefault="00E134EB" w:rsidP="002F1961">
      <w:pPr>
        <w:pStyle w:val="Ttulo1"/>
        <w:keepLines/>
        <w:numPr>
          <w:ilvl w:val="0"/>
          <w:numId w:val="1"/>
        </w:numPr>
        <w:shd w:val="clear" w:color="auto" w:fill="FFFFFF" w:themeFill="background1"/>
        <w:suppressAutoHyphens w:val="0"/>
        <w:spacing w:before="100" w:beforeAutospacing="1" w:after="100" w:afterAutospacing="1" w:line="360" w:lineRule="auto"/>
        <w:rPr>
          <w:rFonts w:cs="Arial"/>
          <w:lang w:val="es-ES"/>
        </w:rPr>
      </w:pPr>
      <w:bookmarkStart w:id="228" w:name="_Toc235128391"/>
      <w:r w:rsidRPr="2CE38B43">
        <w:rPr>
          <w:rFonts w:cs="Arial"/>
          <w:lang w:val="es-ES"/>
        </w:rPr>
        <w:t>ACTORES INTERESADOS</w:t>
      </w:r>
      <w:bookmarkEnd w:id="228"/>
    </w:p>
    <w:p w14:paraId="5FAFAEAA" w14:textId="5029A955" w:rsidR="0002697B" w:rsidRDefault="0FEEAC84" w:rsidP="002F1961">
      <w:pPr>
        <w:spacing w:before="100" w:beforeAutospacing="1" w:after="100" w:afterAutospacing="1" w:line="360" w:lineRule="auto"/>
        <w:rPr>
          <w:rFonts w:eastAsia="Arial" w:cs="Arial"/>
          <w:lang w:val="es-ES"/>
        </w:rPr>
      </w:pPr>
      <w:r w:rsidRPr="160AB2C5">
        <w:rPr>
          <w:rFonts w:eastAsia="Arial" w:cs="Arial"/>
          <w:lang w:val="es-ES"/>
        </w:rPr>
        <w:t xml:space="preserve">El servicio público </w:t>
      </w:r>
      <w:r w:rsidR="1EE85F12" w:rsidRPr="160AB2C5">
        <w:rPr>
          <w:rFonts w:eastAsia="Arial" w:cs="Arial"/>
          <w:lang w:val="es-ES"/>
        </w:rPr>
        <w:t>domiciliario</w:t>
      </w:r>
      <w:r w:rsidRPr="160AB2C5">
        <w:rPr>
          <w:rFonts w:eastAsia="Arial" w:cs="Arial"/>
          <w:lang w:val="es-ES"/>
        </w:rPr>
        <w:t xml:space="preserve"> de Gas Licuado de Petróleo –GLP, </w:t>
      </w:r>
      <w:r w:rsidR="5B77C5C2" w:rsidRPr="160AB2C5">
        <w:rPr>
          <w:rFonts w:eastAsia="Arial" w:cs="Arial"/>
          <w:lang w:val="es-ES"/>
        </w:rPr>
        <w:t>en redes, cilindros</w:t>
      </w:r>
      <w:r w:rsidR="041D33AB" w:rsidRPr="7DA7687F">
        <w:rPr>
          <w:rFonts w:eastAsia="Arial" w:cs="Arial"/>
          <w:lang w:val="es-ES"/>
        </w:rPr>
        <w:t>,</w:t>
      </w:r>
      <w:r w:rsidR="5B77C5C2" w:rsidRPr="160AB2C5">
        <w:rPr>
          <w:rFonts w:eastAsia="Arial" w:cs="Arial"/>
          <w:lang w:val="es-ES"/>
        </w:rPr>
        <w:t xml:space="preserve"> tanques,</w:t>
      </w:r>
      <w:r w:rsidRPr="160AB2C5">
        <w:rPr>
          <w:rFonts w:eastAsia="Arial" w:cs="Arial"/>
          <w:lang w:val="es-ES"/>
        </w:rPr>
        <w:t xml:space="preserve"> está sujeto de manera general al marco normativo establecido en la Ley 142 de 1994 </w:t>
      </w:r>
      <w:r w:rsidR="62D7BC39" w:rsidRPr="160AB2C5">
        <w:rPr>
          <w:rFonts w:eastAsia="Arial" w:cs="Arial"/>
          <w:lang w:val="es-ES"/>
        </w:rPr>
        <w:t>e</w:t>
      </w:r>
      <w:r w:rsidR="4F7A9399" w:rsidRPr="160AB2C5">
        <w:rPr>
          <w:rFonts w:eastAsia="Arial" w:cs="Arial"/>
          <w:lang w:val="es-ES"/>
        </w:rPr>
        <w:t xml:space="preserve">l </w:t>
      </w:r>
      <w:r w:rsidRPr="160AB2C5">
        <w:rPr>
          <w:rFonts w:eastAsia="Arial" w:cs="Arial"/>
          <w:lang w:val="es-ES"/>
        </w:rPr>
        <w:t>cual, regula el régimen jurídico al que están sujetas las empresas de servicios públicos domiciliarios</w:t>
      </w:r>
      <w:r w:rsidRPr="7DA7687F">
        <w:rPr>
          <w:rFonts w:eastAsia="Arial" w:cs="Arial"/>
          <w:lang w:val="es-ES"/>
        </w:rPr>
        <w:t>.</w:t>
      </w:r>
      <w:r w:rsidRPr="160AB2C5">
        <w:rPr>
          <w:rFonts w:eastAsia="Arial" w:cs="Arial"/>
          <w:lang w:val="es-ES"/>
        </w:rPr>
        <w:t xml:space="preserve"> En este sentido, asigna la obligación al Estado en cabeza de diferentes entidades de regular, controlar y vigilar la prestación de los servicios públicos para proteger a los usuarios y asegurar que los servicios se presten con calidad, continuidad y eficiencia</w:t>
      </w:r>
      <w:r w:rsidR="71534935" w:rsidRPr="7DA7687F">
        <w:rPr>
          <w:rFonts w:eastAsia="Arial" w:cs="Arial"/>
          <w:lang w:val="es-ES"/>
        </w:rPr>
        <w:t>, por lo cual, es importante definir en este Análisis de Impacto Normativo, como e</w:t>
      </w:r>
      <w:r w:rsidR="6D32DAE9" w:rsidRPr="7DA7687F">
        <w:rPr>
          <w:rFonts w:eastAsia="Arial" w:cs="Arial"/>
          <w:lang w:val="es-ES"/>
        </w:rPr>
        <w:t xml:space="preserve">l </w:t>
      </w:r>
      <w:r w:rsidR="71534935" w:rsidRPr="7DA7687F">
        <w:rPr>
          <w:rFonts w:eastAsia="Arial" w:cs="Arial"/>
          <w:lang w:val="es-ES"/>
        </w:rPr>
        <w:t>problema</w:t>
      </w:r>
      <w:r w:rsidR="4C3661C7" w:rsidRPr="7DA7687F">
        <w:rPr>
          <w:rFonts w:eastAsia="Arial" w:cs="Arial"/>
          <w:lang w:val="es-ES"/>
        </w:rPr>
        <w:t xml:space="preserve"> r</w:t>
      </w:r>
      <w:r w:rsidR="367BD42D" w:rsidRPr="7DA7687F">
        <w:rPr>
          <w:rFonts w:eastAsia="Arial" w:cs="Arial"/>
          <w:lang w:val="es-ES"/>
        </w:rPr>
        <w:t>egulatorio id</w:t>
      </w:r>
      <w:r w:rsidR="49E17904" w:rsidRPr="7DA7687F">
        <w:rPr>
          <w:rFonts w:eastAsia="Arial" w:cs="Arial"/>
          <w:lang w:val="es-ES"/>
        </w:rPr>
        <w:t xml:space="preserve">entificado </w:t>
      </w:r>
      <w:r w:rsidR="367BD42D" w:rsidRPr="7DA7687F">
        <w:rPr>
          <w:rFonts w:eastAsia="Arial" w:cs="Arial"/>
          <w:lang w:val="es-ES"/>
        </w:rPr>
        <w:t>consiste</w:t>
      </w:r>
      <w:r w:rsidR="2CCFC9FD" w:rsidRPr="7DA7687F">
        <w:rPr>
          <w:rFonts w:eastAsia="Arial" w:cs="Arial"/>
          <w:lang w:val="es-ES"/>
        </w:rPr>
        <w:t>nte</w:t>
      </w:r>
      <w:r w:rsidR="367BD42D" w:rsidRPr="7DA7687F">
        <w:rPr>
          <w:rFonts w:eastAsia="Arial" w:cs="Arial"/>
          <w:lang w:val="es-ES"/>
        </w:rPr>
        <w:t xml:space="preserve"> en la</w:t>
      </w:r>
      <w:r w:rsidR="15E21118" w:rsidRPr="7DA7687F">
        <w:rPr>
          <w:rFonts w:eastAsia="Arial" w:cs="Arial"/>
          <w:lang w:val="es-ES"/>
        </w:rPr>
        <w:t xml:space="preserve">s </w:t>
      </w:r>
      <w:r w:rsidR="367BD42D" w:rsidRPr="7DA7687F">
        <w:rPr>
          <w:rFonts w:eastAsia="Arial" w:cs="Arial"/>
          <w:lang w:val="es-ES"/>
        </w:rPr>
        <w:t>deficiencias en la prestación del servicio,</w:t>
      </w:r>
      <w:r w:rsidR="359820B0" w:rsidRPr="7DA7687F">
        <w:rPr>
          <w:rFonts w:eastAsia="Arial" w:cs="Arial"/>
          <w:lang w:val="es-ES"/>
        </w:rPr>
        <w:t xml:space="preserve"> posibles riesgo</w:t>
      </w:r>
      <w:r w:rsidR="367BD42D" w:rsidRPr="7DA7687F">
        <w:rPr>
          <w:rFonts w:eastAsia="Arial" w:cs="Arial"/>
          <w:lang w:val="es-ES"/>
        </w:rPr>
        <w:t xml:space="preserve"> para la continuidad y confiabilidad del suministro </w:t>
      </w:r>
      <w:r w:rsidR="22A54EFB" w:rsidRPr="7DA7687F">
        <w:rPr>
          <w:rFonts w:eastAsia="Arial" w:cs="Arial"/>
          <w:lang w:val="es-ES"/>
        </w:rPr>
        <w:t>entre</w:t>
      </w:r>
      <w:r w:rsidR="32BF8825" w:rsidRPr="7DA7687F">
        <w:rPr>
          <w:rFonts w:eastAsia="Arial" w:cs="Arial"/>
          <w:lang w:val="es-ES"/>
        </w:rPr>
        <w:t>,</w:t>
      </w:r>
      <w:r w:rsidR="22A54EFB" w:rsidRPr="7DA7687F">
        <w:rPr>
          <w:rFonts w:eastAsia="Arial" w:cs="Arial"/>
          <w:lang w:val="es-ES"/>
        </w:rPr>
        <w:t xml:space="preserve"> otros, que se puedan </w:t>
      </w:r>
      <w:r w:rsidR="1422C91B" w:rsidRPr="7DA7687F">
        <w:rPr>
          <w:rFonts w:eastAsia="Arial" w:cs="Arial"/>
          <w:lang w:val="es-ES"/>
        </w:rPr>
        <w:t xml:space="preserve">producir de acuerdo a </w:t>
      </w:r>
      <w:r w:rsidR="367BD42D" w:rsidRPr="7DA7687F">
        <w:rPr>
          <w:rFonts w:eastAsia="Arial" w:cs="Arial"/>
          <w:lang w:val="es-ES"/>
        </w:rPr>
        <w:t>las condiciones actuales de funcionamiento de la cadena</w:t>
      </w:r>
      <w:r w:rsidR="354AE124" w:rsidRPr="7DA7687F">
        <w:rPr>
          <w:rFonts w:eastAsia="Arial" w:cs="Arial"/>
          <w:lang w:val="es-ES"/>
        </w:rPr>
        <w:t xml:space="preserve"> GLP, </w:t>
      </w:r>
      <w:r w:rsidR="71534935" w:rsidRPr="7DA7687F">
        <w:rPr>
          <w:rFonts w:eastAsia="Arial" w:cs="Arial"/>
          <w:lang w:val="es-ES"/>
        </w:rPr>
        <w:t xml:space="preserve">afectan a los diferentes actores que hacen parte de la cadena de GLP. </w:t>
      </w:r>
    </w:p>
    <w:p w14:paraId="12050954" w14:textId="77777777" w:rsidR="00A40D41" w:rsidRPr="005972D1" w:rsidRDefault="00A40D41">
      <w:pPr>
        <w:pStyle w:val="Prrafodelista"/>
        <w:numPr>
          <w:ilvl w:val="0"/>
          <w:numId w:val="12"/>
        </w:numPr>
        <w:spacing w:before="100" w:beforeAutospacing="1" w:after="100" w:afterAutospacing="1" w:line="360" w:lineRule="auto"/>
        <w:rPr>
          <w:rFonts w:cs="Arial"/>
          <w:b/>
          <w:szCs w:val="24"/>
        </w:rPr>
      </w:pPr>
      <w:bookmarkStart w:id="229" w:name="_Toc64038032"/>
      <w:bookmarkStart w:id="230" w:name="_Toc64643238"/>
      <w:r w:rsidRPr="4E4B129C">
        <w:rPr>
          <w:rFonts w:cs="Arial"/>
          <w:b/>
          <w:bCs/>
        </w:rPr>
        <w:t>Empresas prestadoras del Servicio (Comercializadores mayoristas, Transportadores, distribuidores y comercializadores minoristas de GLP)</w:t>
      </w:r>
      <w:bookmarkEnd w:id="229"/>
      <w:bookmarkEnd w:id="230"/>
    </w:p>
    <w:p w14:paraId="26DC00B2" w14:textId="5DBE3E30" w:rsidR="7E2D6E25" w:rsidRDefault="7E2D6E25" w:rsidP="002F1961">
      <w:pPr>
        <w:spacing w:before="100" w:beforeAutospacing="1" w:after="100" w:afterAutospacing="1" w:line="360" w:lineRule="auto"/>
        <w:rPr>
          <w:rFonts w:cs="Arial"/>
        </w:rPr>
      </w:pPr>
      <w:r w:rsidRPr="4E4B129C">
        <w:rPr>
          <w:rFonts w:cs="Arial"/>
          <w:lang w:val="es-ES"/>
        </w:rPr>
        <w:lastRenderedPageBreak/>
        <w:t xml:space="preserve">De manera general, la Ley 142 de 1994, en sus artículos 15 y siguientes, regula el régimen jurídico al cual se sujetan las empresas de servicios públicos domiciliarios, incluyendo aquellas que realizan la prestación del servicio público domiciliario de Gas Licuado de Petróleo (GLP). En este marco, se identifican como actores interesados las empresas de servicios públicos domiciliarios y las comunidades organizadas sin ánimo de lucro que presten el servicio, </w:t>
      </w:r>
      <w:r w:rsidR="194CD85C" w:rsidRPr="4E4B129C">
        <w:rPr>
          <w:rFonts w:cs="Arial"/>
          <w:lang w:val="es-ES"/>
        </w:rPr>
        <w:t>además</w:t>
      </w:r>
      <w:r w:rsidRPr="4E4B129C">
        <w:rPr>
          <w:rFonts w:cs="Arial"/>
          <w:lang w:val="es-ES"/>
        </w:rPr>
        <w:t>, ot</w:t>
      </w:r>
      <w:r w:rsidR="224C171C" w:rsidRPr="4E4B129C">
        <w:rPr>
          <w:rFonts w:cs="Arial"/>
          <w:lang w:val="es-ES"/>
        </w:rPr>
        <w:t xml:space="preserve">orga la obligación a entidades territoriales de ejercer </w:t>
      </w:r>
      <w:r w:rsidR="33E2BA28" w:rsidRPr="4E4B129C">
        <w:rPr>
          <w:rFonts w:cs="Arial"/>
          <w:lang w:val="es-ES"/>
        </w:rPr>
        <w:t xml:space="preserve">la prestación del servicio para satisfacer las necesidades de los usuarios, </w:t>
      </w:r>
      <w:r w:rsidRPr="4E4B129C">
        <w:rPr>
          <w:rFonts w:cs="Arial"/>
          <w:lang w:val="es-ES"/>
        </w:rPr>
        <w:t>en tanto son sujetos directamente impactados por las disposiciones regulatorias que rigen su actividad.</w:t>
      </w:r>
    </w:p>
    <w:p w14:paraId="20515B4D" w14:textId="02CC8378" w:rsidR="7E2D6E25" w:rsidRDefault="7E2D6E25" w:rsidP="002F1961">
      <w:pPr>
        <w:spacing w:before="100" w:beforeAutospacing="1" w:after="100" w:afterAutospacing="1" w:line="360" w:lineRule="auto"/>
      </w:pPr>
      <w:r w:rsidRPr="4E4B129C">
        <w:rPr>
          <w:rFonts w:cs="Arial"/>
        </w:rPr>
        <w:t xml:space="preserve">Las empresas prestadoras del servicio público domiciliario de GLP constituyen uno de los principales actores dentro de la cadena de prestación del servicio, ya que son las responsables de desarrollar las actividades necesarias para garantizar el suministro de GLP a los usuarios finales, en cumplimiento del marco legal y regulatorio vigente. Dependiendo de su objeto y habilitación, estas organizaciones pueden participar en una o varias de las actividades de la cadena del servicio, tales como la comercialización mayorista, la distribución y la comercialización minorista, así como en las actividades de almacenamiento, envasado, transporte, entrega del </w:t>
      </w:r>
      <w:r w:rsidR="2E2BFB77" w:rsidRPr="7DA7687F">
        <w:rPr>
          <w:rFonts w:cs="Arial"/>
        </w:rPr>
        <w:t>GLP</w:t>
      </w:r>
      <w:r w:rsidRPr="4E4B129C">
        <w:rPr>
          <w:rFonts w:cs="Arial"/>
        </w:rPr>
        <w:t xml:space="preserve"> mediante cilindros, tanques estacionarios o redes de tuberías</w:t>
      </w:r>
      <w:r w:rsidR="53902D3E" w:rsidRPr="4E4B129C">
        <w:rPr>
          <w:rFonts w:cs="Arial"/>
        </w:rPr>
        <w:t>, el auto GLP</w:t>
      </w:r>
      <w:r w:rsidRPr="4E4B129C">
        <w:rPr>
          <w:rFonts w:cs="Arial"/>
        </w:rPr>
        <w:t xml:space="preserve"> y la atención integral de los usuarios.</w:t>
      </w:r>
    </w:p>
    <w:p w14:paraId="6467D7A7" w14:textId="3A2DCAAB" w:rsidR="7E2D6E25" w:rsidRDefault="7E2D6E25" w:rsidP="002F1961">
      <w:pPr>
        <w:spacing w:before="100" w:beforeAutospacing="1" w:after="100" w:afterAutospacing="1" w:line="360" w:lineRule="auto"/>
      </w:pPr>
      <w:r w:rsidRPr="4E4B129C">
        <w:rPr>
          <w:rFonts w:cs="Arial"/>
        </w:rPr>
        <w:t>Dentro de la cadena de actores interesados, estas empresas constituyen el eslabón que materializa la prestación efectiva del servicio, al conectar el abastecimiento</w:t>
      </w:r>
      <w:r w:rsidR="61C631CD" w:rsidRPr="7DA7687F">
        <w:rPr>
          <w:rFonts w:cs="Arial"/>
        </w:rPr>
        <w:t>, operación y suministro</w:t>
      </w:r>
      <w:r w:rsidRPr="4E4B129C">
        <w:rPr>
          <w:rFonts w:cs="Arial"/>
        </w:rPr>
        <w:t xml:space="preserve"> con los usuarios finales y asegurar el cumplimiento de las condiciones de calidad, continuidad, eficiencia y seguridad exigidas por la regulación. A su vez, mantienen una relación permanente con las entidades del sector, en especial con las autoridades de formulación de política pública, regulación e inspección, vigilancia y control, lo que implica que cualquier modificación normativa tenga efectos directos sobre su operación.</w:t>
      </w:r>
    </w:p>
    <w:p w14:paraId="20D1DC84" w14:textId="6118C06B" w:rsidR="7E2D6E25" w:rsidRDefault="7E2D6E25" w:rsidP="002F1961">
      <w:pPr>
        <w:spacing w:before="100" w:beforeAutospacing="1" w:after="100" w:afterAutospacing="1" w:line="360" w:lineRule="auto"/>
      </w:pPr>
      <w:r w:rsidRPr="7DA7687F">
        <w:rPr>
          <w:rFonts w:cs="Arial"/>
          <w:lang w:val="es-ES"/>
        </w:rPr>
        <w:t>En consecuencia,</w:t>
      </w:r>
      <w:r w:rsidR="14121642" w:rsidRPr="7DA7687F">
        <w:rPr>
          <w:rFonts w:cs="Arial"/>
          <w:lang w:val="es-ES"/>
        </w:rPr>
        <w:t xml:space="preserve"> son unos los actores que sufren directamente los problemas definidos anteriormente, al observar </w:t>
      </w:r>
      <w:r w:rsidRPr="7DA7687F">
        <w:rPr>
          <w:rFonts w:cs="Arial"/>
          <w:lang w:val="es-ES"/>
        </w:rPr>
        <w:t xml:space="preserve"> los cambios regulatorios generar</w:t>
      </w:r>
      <w:r w:rsidR="31210D5E" w:rsidRPr="7DA7687F">
        <w:rPr>
          <w:rFonts w:cs="Arial"/>
          <w:lang w:val="es-ES"/>
        </w:rPr>
        <w:t>an</w:t>
      </w:r>
      <w:r w:rsidRPr="7DA7687F">
        <w:rPr>
          <w:rFonts w:cs="Arial"/>
          <w:lang w:val="es-ES"/>
        </w:rPr>
        <w:t xml:space="preserve"> impactos administrativos, operativos, técnicos, comerciales y financieros para las empresas prestadoras, al requerir </w:t>
      </w:r>
      <w:r w:rsidRPr="7DA7687F">
        <w:rPr>
          <w:rFonts w:cs="Arial"/>
          <w:lang w:val="es-ES"/>
        </w:rPr>
        <w:lastRenderedPageBreak/>
        <w:t>la adopción de nuevos procedimientos, ajustes en sus sistemas de gestión, inversiones en infraestructura y tecnología, fortalecimiento de los mecanismos de atención al usuario y adecuaciones para garantizar el cumplimiento de las nuevas obligaciones regulatorias. Por esta razón, las empresas de servicios públicos domiciliarios y las comunidades organizadas que prestan el servicio representan actores con un alto nivel de interés e influencia dentro del análisis de impacto normativo, dado que son quienes implementan las medidas regulatorias y trasladan sus efectos a la prestación del servicio y a los usuarios finales.</w:t>
      </w:r>
    </w:p>
    <w:p w14:paraId="79115075" w14:textId="77777777" w:rsidR="00A40D41" w:rsidRPr="005972D1" w:rsidRDefault="00A40D41">
      <w:pPr>
        <w:pStyle w:val="Prrafodelista"/>
        <w:numPr>
          <w:ilvl w:val="0"/>
          <w:numId w:val="12"/>
        </w:numPr>
        <w:spacing w:before="100" w:beforeAutospacing="1" w:after="100" w:afterAutospacing="1" w:line="360" w:lineRule="auto"/>
        <w:rPr>
          <w:rFonts w:cs="Arial"/>
          <w:b/>
          <w:szCs w:val="24"/>
        </w:rPr>
      </w:pPr>
      <w:bookmarkStart w:id="231" w:name="_Toc64038033"/>
      <w:bookmarkStart w:id="232" w:name="_Toc64643239"/>
      <w:r w:rsidRPr="4E4B129C">
        <w:rPr>
          <w:rFonts w:cs="Arial"/>
          <w:b/>
          <w:bCs/>
        </w:rPr>
        <w:t>Usuarios del servicio</w:t>
      </w:r>
      <w:bookmarkEnd w:id="231"/>
      <w:bookmarkEnd w:id="232"/>
    </w:p>
    <w:p w14:paraId="4398FCB0" w14:textId="3ADA149D" w:rsidR="1DFE744D" w:rsidRDefault="0ECC7970" w:rsidP="002F1961">
      <w:pPr>
        <w:spacing w:before="100" w:beforeAutospacing="1" w:after="100" w:afterAutospacing="1" w:line="360" w:lineRule="auto"/>
        <w:rPr>
          <w:rFonts w:cs="Arial"/>
          <w:lang w:val="es-ES"/>
        </w:rPr>
      </w:pPr>
      <w:r w:rsidRPr="4E4B129C">
        <w:rPr>
          <w:rFonts w:cs="Arial"/>
          <w:lang w:val="es-ES"/>
        </w:rPr>
        <w:t>La Ley 142 de 1994 define como usuario a la persona natural o jurídica que se beneficia de la prestación de un servicio público, bien sea como propietario del inmueble donde este se presta o como receptor directo del servicio. En el caso del servicio público domiciliario de Gas Licuado de Petróleo (GLP), son usuarios aquellas personas naturales o jurídicas que reciben el servicio a través de redes de tuberías, cilindros o tanques estacionarios. Asimismo, la Ley establece los derechos y deberes de los usuarios, garantizando, entre otros aspectos, el acceso a un servicio prestado bajo condiciones de calidad, continuidad y seguridad, así como el cumplimiento de las obligaciones derivadas de la relación contractual con el prestador.</w:t>
      </w:r>
    </w:p>
    <w:p w14:paraId="66041325" w14:textId="3A9FCA8C" w:rsidR="1DFE744D" w:rsidRDefault="0ECC7970" w:rsidP="002F1961">
      <w:pPr>
        <w:spacing w:before="100" w:beforeAutospacing="1" w:after="100" w:afterAutospacing="1" w:line="360" w:lineRule="auto"/>
      </w:pPr>
      <w:r w:rsidRPr="4E4B129C">
        <w:rPr>
          <w:rFonts w:cs="Arial"/>
          <w:lang w:val="es-ES"/>
        </w:rPr>
        <w:t xml:space="preserve">En la cadena de actores interesados, los usuarios </w:t>
      </w:r>
      <w:r w:rsidR="3A562EA0" w:rsidRPr="3DC28AD4">
        <w:rPr>
          <w:rFonts w:cs="Arial"/>
          <w:lang w:val="es-ES"/>
        </w:rPr>
        <w:t>son los primeros en sufrir los problemas relacionados</w:t>
      </w:r>
      <w:r w:rsidR="00CCE2B1" w:rsidRPr="3DC28AD4">
        <w:rPr>
          <w:rFonts w:cs="Arial"/>
          <w:lang w:val="es-ES"/>
        </w:rPr>
        <w:t xml:space="preserve"> con las condiciones actuales </w:t>
      </w:r>
      <w:r w:rsidR="005A110D">
        <w:rPr>
          <w:rFonts w:cs="Arial"/>
          <w:lang w:val="es-ES"/>
        </w:rPr>
        <w:t>de prestación</w:t>
      </w:r>
      <w:r w:rsidR="15915783" w:rsidRPr="3DC28AD4">
        <w:rPr>
          <w:rFonts w:cs="Arial"/>
          <w:lang w:val="es-ES"/>
        </w:rPr>
        <w:t xml:space="preserve"> del servicio, </w:t>
      </w:r>
      <w:r w:rsidRPr="4E4B129C">
        <w:rPr>
          <w:rFonts w:cs="Arial"/>
          <w:lang w:val="es-ES"/>
        </w:rPr>
        <w:t>por tanto, uno de los grupos sobre los que recaen de manera más directa los efectos de cualquier modificación normativa. Estos comprenden usuarios residenciales, comerciales, industriales, agropecuarios</w:t>
      </w:r>
      <w:r w:rsidR="65D2F312" w:rsidRPr="3DC28AD4">
        <w:rPr>
          <w:rFonts w:cs="Arial"/>
          <w:lang w:val="es-ES"/>
        </w:rPr>
        <w:t>, tanto</w:t>
      </w:r>
      <w:r w:rsidRPr="4E4B129C">
        <w:rPr>
          <w:rFonts w:cs="Arial"/>
          <w:lang w:val="es-ES"/>
        </w:rPr>
        <w:t xml:space="preserve"> usuarios </w:t>
      </w:r>
      <w:r w:rsidR="65D2F312" w:rsidRPr="3DC28AD4">
        <w:rPr>
          <w:rFonts w:cs="Arial"/>
          <w:lang w:val="es-ES"/>
        </w:rPr>
        <w:t>en cilindros,</w:t>
      </w:r>
      <w:r w:rsidRPr="4E4B129C">
        <w:rPr>
          <w:rFonts w:cs="Arial"/>
          <w:lang w:val="es-ES"/>
        </w:rPr>
        <w:t xml:space="preserve"> como </w:t>
      </w:r>
      <w:r w:rsidR="65D2F312" w:rsidRPr="3DC28AD4">
        <w:rPr>
          <w:rFonts w:cs="Arial"/>
          <w:lang w:val="es-ES"/>
        </w:rPr>
        <w:t xml:space="preserve">redes, tanques estacionarios y </w:t>
      </w:r>
      <w:r w:rsidR="005A110D">
        <w:rPr>
          <w:rFonts w:cs="Arial"/>
          <w:lang w:val="es-ES"/>
        </w:rPr>
        <w:t>A</w:t>
      </w:r>
      <w:r w:rsidR="65D2F312" w:rsidRPr="3DC28AD4">
        <w:rPr>
          <w:rFonts w:cs="Arial"/>
          <w:lang w:val="es-ES"/>
        </w:rPr>
        <w:t>utoGLP.</w:t>
      </w:r>
      <w:r w:rsidRPr="4E4B129C">
        <w:rPr>
          <w:rFonts w:cs="Arial"/>
          <w:lang w:val="es-ES"/>
        </w:rPr>
        <w:t xml:space="preserve"> Cada uno de estos segmentos presenta necesidades particulares respecto del suministro del GLP; sin embargo, todos comparten el interés de contar con un servicio seguro, continuo, eficiente y a precios razonables.</w:t>
      </w:r>
    </w:p>
    <w:p w14:paraId="582322C4" w14:textId="7CA479C3" w:rsidR="1DFE744D" w:rsidRDefault="0ECC7970" w:rsidP="002F1961">
      <w:pPr>
        <w:spacing w:before="100" w:beforeAutospacing="1" w:after="100" w:afterAutospacing="1" w:line="360" w:lineRule="auto"/>
      </w:pPr>
      <w:r w:rsidRPr="4E4B129C">
        <w:rPr>
          <w:rFonts w:cs="Arial"/>
          <w:lang w:val="es-ES"/>
        </w:rPr>
        <w:t xml:space="preserve">En este sentido, las decisiones regulatorias generan impactos sobre los usuarios en aspectos como las condiciones de acceso al servicio, la calidad y continuidad del </w:t>
      </w:r>
      <w:r w:rsidRPr="4E4B129C">
        <w:rPr>
          <w:rFonts w:cs="Arial"/>
          <w:lang w:val="es-ES"/>
        </w:rPr>
        <w:lastRenderedPageBreak/>
        <w:t>suministro, la seguridad en la prestación, las obligaciones asociadas al consumo y los costos que deben asumir. Por ello, resulta indispensable valor</w:t>
      </w:r>
      <w:r w:rsidR="7A56BB57" w:rsidRPr="4E4B129C">
        <w:rPr>
          <w:rFonts w:cs="Arial"/>
          <w:lang w:val="es-ES"/>
        </w:rPr>
        <w:t>ar</w:t>
      </w:r>
      <w:r w:rsidRPr="4E4B129C">
        <w:rPr>
          <w:rFonts w:cs="Arial"/>
          <w:lang w:val="es-ES"/>
        </w:rPr>
        <w:t xml:space="preserve"> de manera integral los posibles efectos de la regulación sobre este grupo de interés, teniendo en cuenta la diversidad de usuarios y las particularidades de cada segmento.</w:t>
      </w:r>
    </w:p>
    <w:p w14:paraId="438A21E2" w14:textId="2DEDEE0D" w:rsidR="1DFE744D" w:rsidRDefault="0ECC7970" w:rsidP="002F1961">
      <w:pPr>
        <w:spacing w:before="100" w:beforeAutospacing="1" w:after="100" w:afterAutospacing="1" w:line="360" w:lineRule="auto"/>
      </w:pPr>
      <w:r w:rsidRPr="4E4B129C">
        <w:rPr>
          <w:rFonts w:cs="Arial"/>
          <w:lang w:val="es-ES"/>
        </w:rPr>
        <w:t>Debe resaltarse que, a la fecha, los usuarios de los estratos 1 y 2 ubicados en los departamentos de Cauca, Nariño, Putumayo y el Archipiélago de San Andrés, Providencia y Santa Catalina son beneficiarios del programa de subsidios al GLP distribuido en cilindros, el cual está a cargo del Ministerio de Minas y Energía. Este programa busca facilitar el acceso al servicio para la población más vulnerable, reducir las barreras económicas para el uso del GLP y promover la sustitución de combustibles de mayor impacto ambiental o riesgo para la salud, constituyéndose en un elemento relevante para evaluar los efectos distributivos de cualquier propuesta regulatoria que pueda incidir sobre este grupo de usuarios.</w:t>
      </w:r>
    </w:p>
    <w:p w14:paraId="2A7B7D69" w14:textId="77777777" w:rsidR="00A40D41" w:rsidRPr="005972D1" w:rsidRDefault="00A40D41">
      <w:pPr>
        <w:pStyle w:val="Prrafodelista"/>
        <w:numPr>
          <w:ilvl w:val="0"/>
          <w:numId w:val="12"/>
        </w:numPr>
        <w:spacing w:before="100" w:beforeAutospacing="1" w:after="100" w:afterAutospacing="1" w:line="360" w:lineRule="auto"/>
        <w:rPr>
          <w:rFonts w:cs="Arial"/>
          <w:b/>
          <w:szCs w:val="24"/>
        </w:rPr>
      </w:pPr>
      <w:bookmarkStart w:id="233" w:name="_Toc64038034"/>
      <w:bookmarkStart w:id="234" w:name="_Toc64643240"/>
      <w:r w:rsidRPr="005972D1">
        <w:rPr>
          <w:rFonts w:cs="Arial"/>
          <w:b/>
          <w:szCs w:val="24"/>
        </w:rPr>
        <w:t>Estado Colombiano</w:t>
      </w:r>
      <w:bookmarkEnd w:id="233"/>
      <w:bookmarkEnd w:id="234"/>
    </w:p>
    <w:p w14:paraId="7E1D6441" w14:textId="20D4BCC0" w:rsidR="2EF3F7C1" w:rsidRDefault="2EF3F7C1" w:rsidP="002F1961">
      <w:pPr>
        <w:spacing w:before="100" w:beforeAutospacing="1" w:after="100" w:afterAutospacing="1" w:line="360" w:lineRule="auto"/>
        <w:rPr>
          <w:rFonts w:cs="Arial"/>
          <w:lang w:val="es-ES"/>
        </w:rPr>
      </w:pPr>
      <w:r w:rsidRPr="4E4B129C">
        <w:rPr>
          <w:rFonts w:cs="Arial"/>
          <w:lang w:val="es-ES"/>
        </w:rPr>
        <w:t>El Estado colombiano constituye un actor estratégico dentro de la cadena de prestación del servicio público domiciliario de Gas Licuado de Petróleo (GLP), en la medida en que, en cabeza de diferentes entidades, es el responsable de formular la política pública, expedir el marco regulatorio, ejercer las funciones de inspección, vigilancia y control, y garantizar que la prestación del servicio se realice conforme a los principios de eficiencia, calidad, continuidad, cobertura, seguridad y protección de los usuarios,</w:t>
      </w:r>
      <w:r w:rsidR="46FF6B3B" w:rsidRPr="4E4B129C">
        <w:rPr>
          <w:rFonts w:cs="Arial"/>
          <w:lang w:val="es-ES"/>
        </w:rPr>
        <w:t xml:space="preserve"> al igual que debe asegurar</w:t>
      </w:r>
      <w:r w:rsidR="6287F51D" w:rsidRPr="4E4B129C">
        <w:rPr>
          <w:rFonts w:cs="Arial"/>
          <w:lang w:val="es-ES"/>
        </w:rPr>
        <w:t xml:space="preserve"> </w:t>
      </w:r>
      <w:r w:rsidR="46FF6B3B" w:rsidRPr="4E4B129C">
        <w:rPr>
          <w:rFonts w:cs="Arial"/>
          <w:lang w:val="es-ES"/>
        </w:rPr>
        <w:t>el mercado, evitar los monopolios y garantizar la libre competencia</w:t>
      </w:r>
      <w:r w:rsidRPr="4E4B129C">
        <w:rPr>
          <w:rFonts w:cs="Arial"/>
          <w:lang w:val="es-ES"/>
        </w:rPr>
        <w:t xml:space="preserve"> de acuerdo con lo previsto en la Constitución Política</w:t>
      </w:r>
      <w:r w:rsidR="14BF6464" w:rsidRPr="4E4B129C">
        <w:rPr>
          <w:rFonts w:cs="Arial"/>
          <w:lang w:val="es-ES"/>
        </w:rPr>
        <w:t>,</w:t>
      </w:r>
      <w:r w:rsidRPr="4E4B129C">
        <w:rPr>
          <w:rFonts w:cs="Arial"/>
          <w:lang w:val="es-ES"/>
        </w:rPr>
        <w:t xml:space="preserve"> en la Ley 142 de 1994</w:t>
      </w:r>
      <w:r w:rsidR="6E9A0CFA" w:rsidRPr="4E4B129C">
        <w:rPr>
          <w:rFonts w:cs="Arial"/>
          <w:lang w:val="es-ES"/>
        </w:rPr>
        <w:t xml:space="preserve"> y demás normas concordantes. </w:t>
      </w:r>
    </w:p>
    <w:p w14:paraId="3F8A17C8" w14:textId="3E0B7143" w:rsidR="2EF3F7C1" w:rsidRDefault="2EF3F7C1" w:rsidP="002F1961">
      <w:pPr>
        <w:spacing w:before="100" w:beforeAutospacing="1" w:after="100" w:afterAutospacing="1" w:line="360" w:lineRule="auto"/>
      </w:pPr>
      <w:r w:rsidRPr="4E4B129C">
        <w:rPr>
          <w:rFonts w:cs="Arial"/>
        </w:rPr>
        <w:t xml:space="preserve">En la cadena institucional participan diferentes entidades con competencias específicas. El Ministerio de Minas y Energía formula la política pública del sector de hidrocarburos y define los lineamientos para la prestación del servicio público domiciliario de GLP. La Comisión de Regulación de Energía y Gas (CREG) expide la regulación económica y técnica aplicable a los agentes del mercado, con el propósito de promover la eficiencia </w:t>
      </w:r>
      <w:r w:rsidRPr="4E4B129C">
        <w:rPr>
          <w:rFonts w:cs="Arial"/>
        </w:rPr>
        <w:lastRenderedPageBreak/>
        <w:t>en la prestación del servicio, la competencia cuando esta sea posible y la protección de los derechos de los usuarios. Por su parte, la Superintendencia de Servicios Públicos Domiciliarios ejerce las funciones de inspección, vigilancia y control sobre las empresas prestadoras del servicio, verificando el cumplimiento de las obligaciones legales y regulatorias e imponiendo las medidas administrativas a que haya lugar. Asimismo, la Superintendencia de Industria y Comercio puede intervenir en el ámbito de sus competencias en materia de protección de la libre competencia económica y de los derechos de los consumidores.</w:t>
      </w:r>
    </w:p>
    <w:p w14:paraId="384058D6" w14:textId="1F294CD8" w:rsidR="2EF3F7C1" w:rsidRDefault="2EF3F7C1" w:rsidP="002F1961">
      <w:pPr>
        <w:spacing w:before="100" w:beforeAutospacing="1" w:after="100" w:afterAutospacing="1" w:line="360" w:lineRule="auto"/>
      </w:pPr>
      <w:r w:rsidRPr="4E4B129C">
        <w:rPr>
          <w:rFonts w:cs="Arial"/>
          <w:lang w:val="es-ES"/>
        </w:rPr>
        <w:t>Adicionalmente, otras entidades del Estado colombiano participan en aspectos específicos relacionados con la cadena del servicio. La Agencia Nacional de Hidrocarburos (ANH) administra las áreas y los recursos de propiedad de la Nación, contribuyendo a garantizar la disponibilidad de</w:t>
      </w:r>
      <w:r w:rsidR="35BC2866" w:rsidRPr="4E4B129C">
        <w:rPr>
          <w:rFonts w:cs="Arial"/>
          <w:lang w:val="es-ES"/>
        </w:rPr>
        <w:t xml:space="preserve"> estos</w:t>
      </w:r>
      <w:r w:rsidRPr="4E4B129C">
        <w:rPr>
          <w:rFonts w:cs="Arial"/>
          <w:lang w:val="es-ES"/>
        </w:rPr>
        <w:t xml:space="preserve">, mientras que la Unidad de Planeación </w:t>
      </w:r>
      <w:r w:rsidR="343986F8" w:rsidRPr="4E4B129C">
        <w:rPr>
          <w:rFonts w:cs="Arial"/>
          <w:lang w:val="es-ES"/>
        </w:rPr>
        <w:t>Minero-Energética</w:t>
      </w:r>
      <w:r w:rsidRPr="4E4B129C">
        <w:rPr>
          <w:rFonts w:cs="Arial"/>
          <w:lang w:val="es-ES"/>
        </w:rPr>
        <w:t xml:space="preserve"> (UPME) desarrolla estudios y ejercicios de planeación que sirven de soporte para la formulación de políticas y la toma de decisiones en el sector energético.</w:t>
      </w:r>
    </w:p>
    <w:p w14:paraId="3F236557" w14:textId="64C37B9D" w:rsidR="2EF3F7C1" w:rsidRDefault="2EF3F7C1" w:rsidP="002F1961">
      <w:pPr>
        <w:spacing w:before="100" w:beforeAutospacing="1" w:after="100" w:afterAutospacing="1" w:line="360" w:lineRule="auto"/>
      </w:pPr>
      <w:r w:rsidRPr="4E4B129C">
        <w:rPr>
          <w:rFonts w:cs="Arial"/>
          <w:lang w:val="es-ES"/>
        </w:rPr>
        <w:t xml:space="preserve">Dentro de la cadena de actores interesados, el Estado colombiano mantiene una interacción permanente con los productores e importadores de GLP, las empresas comercializadoras mayoristas, las empresas distribuidoras, las empresas comercializadoras </w:t>
      </w:r>
      <w:r w:rsidRPr="6194890E">
        <w:rPr>
          <w:rFonts w:cs="Arial"/>
          <w:lang w:val="es-ES"/>
        </w:rPr>
        <w:t>m</w:t>
      </w:r>
      <w:r w:rsidR="5DF78F00" w:rsidRPr="6194890E">
        <w:rPr>
          <w:rFonts w:cs="Arial"/>
          <w:lang w:val="es-ES"/>
        </w:rPr>
        <w:t>inorista</w:t>
      </w:r>
      <w:r w:rsidRPr="6194890E">
        <w:rPr>
          <w:rFonts w:cs="Arial"/>
          <w:lang w:val="es-ES"/>
        </w:rPr>
        <w:t>s</w:t>
      </w:r>
      <w:r w:rsidRPr="4E4B129C">
        <w:rPr>
          <w:rFonts w:cs="Arial"/>
          <w:lang w:val="es-ES"/>
        </w:rPr>
        <w:t>, las comunidades organizadas que prestan el servicio y los usuarios finales. A través de esta interacción establece las reglas de funcionamiento del mercado, supervisa su cumplimiento y adopta las medidas necesarias para garantizar la prestación eficiente, continua y segura del servicio público domiciliario.</w:t>
      </w:r>
    </w:p>
    <w:p w14:paraId="2570B473" w14:textId="6083CA5B" w:rsidR="2EF3F7C1" w:rsidRDefault="2EF3F7C1" w:rsidP="002F1961">
      <w:pPr>
        <w:spacing w:before="100" w:beforeAutospacing="1" w:after="100" w:afterAutospacing="1" w:line="360" w:lineRule="auto"/>
      </w:pPr>
      <w:r w:rsidRPr="4E4B129C">
        <w:rPr>
          <w:rFonts w:cs="Arial"/>
          <w:lang w:val="es-ES"/>
        </w:rPr>
        <w:t xml:space="preserve">En consecuencia, </w:t>
      </w:r>
      <w:r w:rsidR="02E7684D" w:rsidRPr="4E4B129C">
        <w:rPr>
          <w:rFonts w:cs="Arial"/>
          <w:lang w:val="es-ES"/>
        </w:rPr>
        <w:t xml:space="preserve">una </w:t>
      </w:r>
      <w:r w:rsidRPr="4E4B129C">
        <w:rPr>
          <w:rFonts w:cs="Arial"/>
          <w:lang w:val="es-ES"/>
        </w:rPr>
        <w:t xml:space="preserve">modificación normativa puede generar impactos sobre las entidades estatales, al requerir la expedición o actualización de regulación, el fortalecimiento de las actividades de inspección, vigilancia y control, la adecuación de procedimientos administrativos, el desarrollo de mecanismos de seguimiento y evaluación y una mayor coordinación institucional para asegurar la implementación efectiva de las medidas regulatorias. Por ello, el Estado colombiano constituye un actor con un alto nivel de interés e influencia dentro del análisis de impacto normativo, dado </w:t>
      </w:r>
      <w:r w:rsidRPr="4E4B129C">
        <w:rPr>
          <w:rFonts w:cs="Arial"/>
          <w:lang w:val="es-ES"/>
        </w:rPr>
        <w:lastRenderedPageBreak/>
        <w:t>que tiene la responsabilidad de diseñar, implementar y hacer cumplir el marco jurídico que rige la prestación del servicio público domiciliario de GLP.</w:t>
      </w:r>
    </w:p>
    <w:p w14:paraId="5FB325D1" w14:textId="44FDC441" w:rsidR="005972D1" w:rsidRPr="00735804" w:rsidRDefault="4411CF65" w:rsidP="002F1961">
      <w:pPr>
        <w:spacing w:before="100" w:beforeAutospacing="1" w:after="100" w:afterAutospacing="1" w:line="360" w:lineRule="auto"/>
        <w:rPr>
          <w:rFonts w:cs="Arial"/>
          <w:lang w:val="es-ES"/>
        </w:rPr>
      </w:pPr>
      <w:r w:rsidRPr="4E4B129C">
        <w:rPr>
          <w:rFonts w:cs="Arial"/>
          <w:lang w:val="es-ES"/>
        </w:rPr>
        <w:t>Es menester mencionar que, en materia de GLP, el Estado ha realizado la separación de</w:t>
      </w:r>
      <w:r w:rsidR="41BB03E1" w:rsidRPr="4E4B129C">
        <w:rPr>
          <w:rFonts w:cs="Arial"/>
          <w:lang w:val="es-ES"/>
        </w:rPr>
        <w:t xml:space="preserve"> los combustibles líquidos del GLP, para los planes de indicativos de abastecimiento, </w:t>
      </w:r>
      <w:proofErr w:type="gramStart"/>
      <w:r w:rsidR="41BB03E1" w:rsidRPr="4E4B129C">
        <w:rPr>
          <w:rFonts w:cs="Arial"/>
          <w:lang w:val="es-ES"/>
        </w:rPr>
        <w:t>le</w:t>
      </w:r>
      <w:proofErr w:type="gramEnd"/>
      <w:r w:rsidRPr="4E4B129C">
        <w:rPr>
          <w:rFonts w:cs="Arial"/>
          <w:lang w:val="es-ES"/>
        </w:rPr>
        <w:t xml:space="preserve"> ha dado la responsabilidad a las entid</w:t>
      </w:r>
      <w:r w:rsidR="798376A7" w:rsidRPr="4E4B129C">
        <w:rPr>
          <w:rFonts w:cs="Arial"/>
          <w:lang w:val="es-ES"/>
        </w:rPr>
        <w:t>ades</w:t>
      </w:r>
    </w:p>
    <w:p w14:paraId="0644A799" w14:textId="77777777" w:rsidR="00A40D41" w:rsidRPr="005972D1" w:rsidRDefault="00A40D41">
      <w:pPr>
        <w:pStyle w:val="Prrafodelista"/>
        <w:numPr>
          <w:ilvl w:val="0"/>
          <w:numId w:val="12"/>
        </w:numPr>
        <w:spacing w:before="100" w:beforeAutospacing="1" w:after="100" w:afterAutospacing="1" w:line="360" w:lineRule="auto"/>
        <w:rPr>
          <w:rFonts w:cs="Arial"/>
          <w:b/>
          <w:szCs w:val="24"/>
        </w:rPr>
      </w:pPr>
      <w:bookmarkStart w:id="235" w:name="_Toc64038035"/>
      <w:bookmarkStart w:id="236" w:name="_Toc64643241"/>
      <w:r w:rsidRPr="4E4B129C">
        <w:rPr>
          <w:rFonts w:cs="Arial"/>
          <w:b/>
          <w:bCs/>
        </w:rPr>
        <w:t>Ministerio de Minas y Energía, MME</w:t>
      </w:r>
      <w:bookmarkEnd w:id="235"/>
      <w:bookmarkEnd w:id="236"/>
    </w:p>
    <w:p w14:paraId="7D251AEF" w14:textId="6FF5F6B9" w:rsidR="005972D1" w:rsidRDefault="3287E7DD" w:rsidP="002F1961">
      <w:pPr>
        <w:spacing w:before="100" w:beforeAutospacing="1" w:after="100" w:afterAutospacing="1" w:line="360" w:lineRule="auto"/>
        <w:rPr>
          <w:rFonts w:cs="Arial"/>
          <w:lang w:val="es-ES"/>
        </w:rPr>
      </w:pPr>
      <w:r w:rsidRPr="4E4B129C">
        <w:rPr>
          <w:rFonts w:cs="Arial"/>
          <w:lang w:val="es-ES"/>
        </w:rPr>
        <w:t xml:space="preserve">Es la entidad encargada de formular, adoptar, dirigir y coordinar la política pública en materia de minas y energía, incluyendo el subsector de hidrocarburos y la prestación del servicio público domiciliario de Gas Licuado de Petróleo (GLP). En ejercicio de sus competencias, establece los lineamientos de política que orientan el desarrollo del sector, coordina acciones con las entidades adscritas y vinculadas, promueve el abastecimiento energético, </w:t>
      </w:r>
      <w:r w:rsidR="1F6CEB81" w:rsidRPr="4E4B129C">
        <w:rPr>
          <w:rFonts w:cs="Arial"/>
          <w:lang w:val="es-ES"/>
        </w:rPr>
        <w:t>gestiona y prioriza la asignación del GLP en periodos de escasez</w:t>
      </w:r>
      <w:r w:rsidR="67656A9B" w:rsidRPr="4E4B129C">
        <w:rPr>
          <w:rFonts w:cs="Arial"/>
          <w:lang w:val="es-ES"/>
        </w:rPr>
        <w:t xml:space="preserve"> a través de la declaración del inicio de un periodo de racionamiento programado</w:t>
      </w:r>
      <w:r w:rsidR="5C3D1930" w:rsidRPr="4E4B129C">
        <w:rPr>
          <w:rFonts w:cs="Arial"/>
          <w:lang w:val="es-ES"/>
        </w:rPr>
        <w:t>, adopta y establece los reglamentos técnicos que deben seguir las empresas prestadoras de servicio de GLP</w:t>
      </w:r>
      <w:r w:rsidR="1F6CEB81" w:rsidRPr="4E4B129C">
        <w:rPr>
          <w:rFonts w:cs="Arial"/>
          <w:lang w:val="es-ES"/>
        </w:rPr>
        <w:t xml:space="preserve"> </w:t>
      </w:r>
      <w:r w:rsidRPr="4E4B129C">
        <w:rPr>
          <w:rFonts w:cs="Arial"/>
          <w:lang w:val="es-ES"/>
        </w:rPr>
        <w:t>y diseña e implementa programas dirigidos a garantizar el acceso de la población a los servicios energéticos, como el programa de subsidios al GLP distribuido en cilindros para usuarios de menores ingresos en zonas específicas del país.</w:t>
      </w:r>
    </w:p>
    <w:p w14:paraId="317BA26C" w14:textId="11B172FB" w:rsidR="005972D1" w:rsidRDefault="3287E7DD" w:rsidP="002F1961">
      <w:pPr>
        <w:spacing w:before="100" w:beforeAutospacing="1" w:after="100" w:afterAutospacing="1" w:line="360" w:lineRule="auto"/>
      </w:pPr>
      <w:r w:rsidRPr="4E4B129C">
        <w:rPr>
          <w:rFonts w:cs="Arial"/>
        </w:rPr>
        <w:t>Dentro de la cadena de actores interesados, el Ministerio de Minas y Energía desempeña un papel estratégico, toda vez que define la política pública que sirve de fundamento para el desarrollo de la regulación expedida por la Comisión de Regulación de Energía y Gas (CREG) y para las actuaciones de las demás entidades del sector.</w:t>
      </w:r>
    </w:p>
    <w:p w14:paraId="41772483" w14:textId="3A736A69" w:rsidR="005972D1" w:rsidRDefault="70BBF6FA" w:rsidP="002F1961">
      <w:pPr>
        <w:spacing w:before="100" w:beforeAutospacing="1" w:after="100" w:afterAutospacing="1" w:line="360" w:lineRule="auto"/>
      </w:pPr>
      <w:r w:rsidRPr="2E829DE0">
        <w:rPr>
          <w:rFonts w:cs="Arial"/>
          <w:lang w:val="es-ES"/>
        </w:rPr>
        <w:t xml:space="preserve">Actualmente, </w:t>
      </w:r>
      <w:r w:rsidR="13275C66" w:rsidRPr="2E829DE0">
        <w:rPr>
          <w:rFonts w:cs="Arial"/>
          <w:lang w:val="es-ES"/>
        </w:rPr>
        <w:t>de acuerdo con el</w:t>
      </w:r>
      <w:r w:rsidRPr="2E829DE0">
        <w:rPr>
          <w:rFonts w:cs="Arial"/>
          <w:lang w:val="es-ES"/>
        </w:rPr>
        <w:t xml:space="preserve"> marco</w:t>
      </w:r>
      <w:r w:rsidR="66614022" w:rsidRPr="2E829DE0">
        <w:rPr>
          <w:rFonts w:cs="Arial"/>
          <w:lang w:val="es-ES"/>
        </w:rPr>
        <w:t xml:space="preserve"> regulatorio, en materia de GLP se han llevado </w:t>
      </w:r>
      <w:r w:rsidR="25D535DD" w:rsidRPr="2E829DE0">
        <w:rPr>
          <w:rFonts w:cs="Arial"/>
          <w:lang w:val="es-ES"/>
        </w:rPr>
        <w:t>avances para garantizar la prestación del servicio</w:t>
      </w:r>
      <w:r w:rsidR="1486F4E6" w:rsidRPr="2E829DE0">
        <w:rPr>
          <w:rFonts w:cs="Arial"/>
          <w:lang w:val="es-ES"/>
        </w:rPr>
        <w:t xml:space="preserve"> como lo son la adopción del Plan de Continuidad GLP, para garantizar la confiabilidad del servicio</w:t>
      </w:r>
      <w:r w:rsidR="73A829F5" w:rsidRPr="2E829DE0">
        <w:rPr>
          <w:rFonts w:cs="Arial"/>
          <w:lang w:val="es-ES"/>
        </w:rPr>
        <w:t xml:space="preserve">, </w:t>
      </w:r>
      <w:r w:rsidR="56C4D91D" w:rsidRPr="6B54B0BD">
        <w:rPr>
          <w:rFonts w:cs="Arial"/>
          <w:lang w:val="es-ES"/>
        </w:rPr>
        <w:t xml:space="preserve">el </w:t>
      </w:r>
      <w:r w:rsidR="56C4D91D" w:rsidRPr="028360FC">
        <w:rPr>
          <w:rFonts w:cs="Arial"/>
          <w:lang w:val="es-ES"/>
        </w:rPr>
        <w:t xml:space="preserve">impulsar el </w:t>
      </w:r>
      <w:r w:rsidR="56C4D91D" w:rsidRPr="4B4D15BC">
        <w:rPr>
          <w:rFonts w:cs="Arial"/>
          <w:lang w:val="es-ES"/>
        </w:rPr>
        <w:t>AutoGLP</w:t>
      </w:r>
      <w:r w:rsidR="73A829F5" w:rsidRPr="175EE0A9">
        <w:rPr>
          <w:rFonts w:cs="Arial"/>
          <w:lang w:val="es-ES"/>
        </w:rPr>
        <w:t xml:space="preserve"> </w:t>
      </w:r>
      <w:r w:rsidR="3287E7DD" w:rsidRPr="2E829DE0">
        <w:rPr>
          <w:rFonts w:cs="Arial"/>
          <w:lang w:val="es-ES"/>
        </w:rPr>
        <w:t xml:space="preserve">Asimismo, interactúa de manera permanente con los agentes de la cadena de prestación del servicio, las entidades de control y los usuarios, con el fin de garantizar la seguridad </w:t>
      </w:r>
      <w:r w:rsidR="3287E7DD" w:rsidRPr="2E829DE0">
        <w:rPr>
          <w:rFonts w:cs="Arial"/>
          <w:lang w:val="es-ES"/>
        </w:rPr>
        <w:lastRenderedPageBreak/>
        <w:t>energética, la continuidad del servicio y el cumplimiento de los objetivos de política pública.</w:t>
      </w:r>
    </w:p>
    <w:p w14:paraId="4CDA563D" w14:textId="01BDEE55" w:rsidR="005972D1" w:rsidRDefault="2CCE3F56" w:rsidP="002F1961">
      <w:pPr>
        <w:spacing w:before="100" w:beforeAutospacing="1" w:after="100" w:afterAutospacing="1" w:line="360" w:lineRule="auto"/>
      </w:pPr>
      <w:r w:rsidRPr="2E829DE0">
        <w:rPr>
          <w:rFonts w:cs="Arial"/>
        </w:rPr>
        <w:t xml:space="preserve">Los problemas anteriormente planteados, que pueden </w:t>
      </w:r>
      <w:r w:rsidRPr="36DB4CC9">
        <w:rPr>
          <w:rFonts w:cs="Arial"/>
        </w:rPr>
        <w:t xml:space="preserve">traducirse en una nueva regulación que </w:t>
      </w:r>
      <w:r w:rsidRPr="361899D5">
        <w:rPr>
          <w:rFonts w:cs="Arial"/>
        </w:rPr>
        <w:t>responda a las necesidades del sector,</w:t>
      </w:r>
      <w:r w:rsidR="3287E7DD" w:rsidRPr="4E4B129C">
        <w:rPr>
          <w:rFonts w:cs="Arial"/>
        </w:rPr>
        <w:t xml:space="preserve"> </w:t>
      </w:r>
      <w:r w:rsidR="3287E7DD" w:rsidRPr="60D07A0B">
        <w:rPr>
          <w:rFonts w:cs="Arial"/>
        </w:rPr>
        <w:t>inci</w:t>
      </w:r>
      <w:r w:rsidR="0554CF10" w:rsidRPr="60D07A0B">
        <w:rPr>
          <w:rFonts w:cs="Arial"/>
        </w:rPr>
        <w:t>de en</w:t>
      </w:r>
      <w:r w:rsidR="3287E7DD" w:rsidRPr="4E4B129C">
        <w:rPr>
          <w:rFonts w:cs="Arial"/>
        </w:rPr>
        <w:t xml:space="preserve"> la prestación del servicio público domiciliario de GLP</w:t>
      </w:r>
      <w:r w:rsidR="3287E7DD" w:rsidRPr="60D07A0B">
        <w:rPr>
          <w:rFonts w:cs="Arial"/>
        </w:rPr>
        <w:t xml:space="preserve"> </w:t>
      </w:r>
      <w:r w:rsidR="3A38B805" w:rsidRPr="60D07A0B">
        <w:rPr>
          <w:rFonts w:cs="Arial"/>
        </w:rPr>
        <w:t>y</w:t>
      </w:r>
      <w:r w:rsidR="3287E7DD" w:rsidRPr="4E4B129C">
        <w:rPr>
          <w:rFonts w:cs="Arial"/>
        </w:rPr>
        <w:t xml:space="preserve"> podría generar impactos para el Ministerio de Minas y Energía, en la medida en que </w:t>
      </w:r>
      <w:r w:rsidR="5274C328" w:rsidRPr="3CC94DCD">
        <w:rPr>
          <w:rFonts w:cs="Arial"/>
        </w:rPr>
        <w:t>se puede</w:t>
      </w:r>
      <w:r w:rsidR="3287E7DD" w:rsidRPr="3CC94DCD">
        <w:rPr>
          <w:rFonts w:cs="Arial"/>
        </w:rPr>
        <w:t xml:space="preserve"> </w:t>
      </w:r>
      <w:r w:rsidR="2DF7D7E0" w:rsidRPr="3CC94DCD">
        <w:rPr>
          <w:rFonts w:cs="Arial"/>
        </w:rPr>
        <w:t>recurrir</w:t>
      </w:r>
      <w:r w:rsidR="3287E7DD" w:rsidRPr="3CC94DCD">
        <w:rPr>
          <w:rFonts w:cs="Arial"/>
        </w:rPr>
        <w:t xml:space="preserve"> </w:t>
      </w:r>
      <w:r w:rsidR="0644F953" w:rsidRPr="3CC94DCD">
        <w:rPr>
          <w:rFonts w:cs="Arial"/>
        </w:rPr>
        <w:t>a</w:t>
      </w:r>
      <w:r w:rsidR="3287E7DD" w:rsidRPr="4E4B129C">
        <w:rPr>
          <w:rFonts w:cs="Arial"/>
        </w:rPr>
        <w:t xml:space="preserve"> la revisión o actualización de lineamientos de política pública, la articulación institucional con las entidades del sector para su implementación, el fortalecimiento de las actividades de seguimiento y evaluación de la regulación, la expedición de directrices o instrumentos complementarios y, cuando corresponda, la adecuación de programas a su cargo, incluyendo aquellos relacionados con subsidios o estrategias para ampliar el acceso al servicio.</w:t>
      </w:r>
    </w:p>
    <w:p w14:paraId="32FFE168" w14:textId="741E7DC9" w:rsidR="00A40D41" w:rsidRDefault="00A40D41">
      <w:pPr>
        <w:pStyle w:val="Prrafodelista"/>
        <w:numPr>
          <w:ilvl w:val="0"/>
          <w:numId w:val="12"/>
        </w:numPr>
        <w:spacing w:before="100" w:beforeAutospacing="1" w:after="100" w:afterAutospacing="1" w:line="360" w:lineRule="auto"/>
        <w:rPr>
          <w:rFonts w:cs="Arial"/>
          <w:lang w:val="es-ES"/>
        </w:rPr>
      </w:pPr>
      <w:bookmarkStart w:id="237" w:name="_Toc64038036"/>
      <w:bookmarkStart w:id="238" w:name="_Toc64643242"/>
      <w:r w:rsidRPr="6ACB6C91">
        <w:rPr>
          <w:rFonts w:cs="Arial"/>
          <w:b/>
        </w:rPr>
        <w:t>Superintendencia de Servicios Públicos Domiciliarios, SSPD</w:t>
      </w:r>
      <w:bookmarkEnd w:id="237"/>
      <w:bookmarkEnd w:id="238"/>
    </w:p>
    <w:p w14:paraId="60E69863" w14:textId="0FF0543D" w:rsidR="00A40D41" w:rsidRDefault="62CF25AE" w:rsidP="002F1961">
      <w:pPr>
        <w:spacing w:before="100" w:beforeAutospacing="1" w:after="100" w:afterAutospacing="1" w:line="360" w:lineRule="auto"/>
        <w:rPr>
          <w:rFonts w:cs="Arial"/>
          <w:lang w:val="es-ES"/>
        </w:rPr>
      </w:pPr>
      <w:r w:rsidRPr="05A172FB">
        <w:rPr>
          <w:rFonts w:cs="Arial"/>
          <w:lang w:val="es-ES"/>
        </w:rPr>
        <w:t>La</w:t>
      </w:r>
      <w:r w:rsidR="00A40D41" w:rsidRPr="3EC3B878">
        <w:rPr>
          <w:rFonts w:cs="Arial"/>
          <w:lang w:val="es-ES"/>
        </w:rPr>
        <w:t xml:space="preserve"> Superintendencia de Servicios Públicos Domiciliarios como un organismo técnico, con personería jurídica, autonomía administrativa y patrimonial</w:t>
      </w:r>
      <w:r w:rsidR="02A95532" w:rsidRPr="3C80E31E">
        <w:rPr>
          <w:rFonts w:cs="Arial"/>
          <w:lang w:val="es-ES"/>
        </w:rPr>
        <w:t>, tiene</w:t>
      </w:r>
      <w:r w:rsidR="00A40D41" w:rsidRPr="3EC3B878">
        <w:rPr>
          <w:rFonts w:cs="Arial"/>
          <w:lang w:val="es-ES"/>
        </w:rPr>
        <w:t xml:space="preserve"> </w:t>
      </w:r>
      <w:r w:rsidR="02A95532" w:rsidRPr="3D3F3580">
        <w:rPr>
          <w:rFonts w:cs="Arial"/>
          <w:lang w:val="es-ES"/>
        </w:rPr>
        <w:t>la obligación de realizar el</w:t>
      </w:r>
      <w:r w:rsidR="00A40D41" w:rsidRPr="3EC3B878">
        <w:rPr>
          <w:rFonts w:cs="Arial"/>
          <w:lang w:val="es-ES"/>
        </w:rPr>
        <w:t xml:space="preserve"> control, inspección y vigilancia de los servicios públicos domiciliarios y sus actividades complementarias, </w:t>
      </w:r>
      <w:r w:rsidR="4B7AF80F" w:rsidRPr="21F146C7">
        <w:rPr>
          <w:rFonts w:cs="Arial"/>
          <w:lang w:val="es-ES"/>
        </w:rPr>
        <w:t xml:space="preserve">por lo cual, </w:t>
      </w:r>
      <w:r w:rsidR="4B7AF80F" w:rsidRPr="03C16C82">
        <w:rPr>
          <w:rFonts w:cs="Arial"/>
          <w:lang w:val="es-ES"/>
        </w:rPr>
        <w:t xml:space="preserve">evidencia de primera mano las </w:t>
      </w:r>
      <w:r w:rsidR="4B7AF80F" w:rsidRPr="29B9EE48">
        <w:rPr>
          <w:rFonts w:cs="Arial"/>
          <w:lang w:val="es-ES"/>
        </w:rPr>
        <w:t xml:space="preserve">problemáticas expuestas </w:t>
      </w:r>
      <w:r w:rsidR="4B7AF80F" w:rsidRPr="1AA8211E">
        <w:rPr>
          <w:rFonts w:cs="Arial"/>
          <w:lang w:val="es-ES"/>
        </w:rPr>
        <w:t>anteriormente,</w:t>
      </w:r>
      <w:r w:rsidR="4B7AF80F" w:rsidRPr="03C16C82">
        <w:rPr>
          <w:rFonts w:cs="Arial"/>
          <w:lang w:val="es-ES"/>
        </w:rPr>
        <w:t xml:space="preserve"> que </w:t>
      </w:r>
      <w:r w:rsidR="4B7AF80F" w:rsidRPr="1F788CFB">
        <w:rPr>
          <w:rFonts w:cs="Arial"/>
          <w:lang w:val="es-ES"/>
        </w:rPr>
        <w:t>encuentran</w:t>
      </w:r>
      <w:r w:rsidR="0CBD670B" w:rsidRPr="1F788CFB">
        <w:rPr>
          <w:rFonts w:cs="Arial"/>
          <w:lang w:val="es-ES"/>
        </w:rPr>
        <w:t xml:space="preserve"> </w:t>
      </w:r>
      <w:r w:rsidR="0CBD670B" w:rsidRPr="2B05D989">
        <w:rPr>
          <w:rFonts w:cs="Arial"/>
          <w:lang w:val="es-ES"/>
        </w:rPr>
        <w:t xml:space="preserve">relacionadas con </w:t>
      </w:r>
      <w:r w:rsidR="4B7AF80F" w:rsidRPr="2B05D989">
        <w:rPr>
          <w:rFonts w:cs="Arial"/>
          <w:lang w:val="es-ES"/>
        </w:rPr>
        <w:t>el</w:t>
      </w:r>
      <w:r w:rsidR="4B7AF80F" w:rsidRPr="29B9EE48">
        <w:rPr>
          <w:rFonts w:cs="Arial"/>
          <w:lang w:val="es-ES"/>
        </w:rPr>
        <w:t xml:space="preserve"> sector</w:t>
      </w:r>
      <w:r w:rsidR="139B2F33" w:rsidRPr="4AB45869">
        <w:rPr>
          <w:rFonts w:cs="Arial"/>
          <w:lang w:val="es-ES"/>
        </w:rPr>
        <w:t xml:space="preserve"> de GLP</w:t>
      </w:r>
      <w:r w:rsidR="7D14BD51" w:rsidRPr="06DD85E8">
        <w:rPr>
          <w:rFonts w:cs="Arial"/>
          <w:lang w:val="es-ES"/>
        </w:rPr>
        <w:t>.</w:t>
      </w:r>
    </w:p>
    <w:p w14:paraId="3A32CECF" w14:textId="1D2FB53E" w:rsidR="7D14BD51" w:rsidRDefault="7D14BD51" w:rsidP="002F1961">
      <w:pPr>
        <w:spacing w:before="100" w:beforeAutospacing="1" w:after="100" w:afterAutospacing="1" w:line="360" w:lineRule="auto"/>
        <w:rPr>
          <w:rFonts w:cs="Arial"/>
          <w:lang w:val="es-ES"/>
        </w:rPr>
      </w:pPr>
      <w:r w:rsidRPr="59CF2C48">
        <w:rPr>
          <w:rFonts w:cs="Arial"/>
          <w:lang w:val="es-ES"/>
        </w:rPr>
        <w:t xml:space="preserve">Igualmente, es la encargada de </w:t>
      </w:r>
      <w:r w:rsidRPr="644E5869">
        <w:rPr>
          <w:rFonts w:cs="Arial"/>
          <w:lang w:val="es-ES"/>
        </w:rPr>
        <w:t xml:space="preserve">administrar el Sistema </w:t>
      </w:r>
      <w:r w:rsidR="1AF437A5" w:rsidRPr="51D26456">
        <w:rPr>
          <w:rFonts w:cs="Arial"/>
          <w:lang w:val="es-ES"/>
        </w:rPr>
        <w:t>Único</w:t>
      </w:r>
      <w:r w:rsidRPr="644E5869">
        <w:rPr>
          <w:rFonts w:cs="Arial"/>
          <w:lang w:val="es-ES"/>
        </w:rPr>
        <w:t xml:space="preserve"> de </w:t>
      </w:r>
      <w:r w:rsidR="00A2116B" w:rsidRPr="0B94F780">
        <w:rPr>
          <w:rFonts w:cs="Arial"/>
          <w:lang w:val="es-ES"/>
        </w:rPr>
        <w:t>Información (</w:t>
      </w:r>
      <w:r w:rsidRPr="0B94F780">
        <w:rPr>
          <w:rFonts w:cs="Arial"/>
          <w:lang w:val="es-ES"/>
        </w:rPr>
        <w:t>SUI</w:t>
      </w:r>
      <w:r w:rsidR="669F62B6" w:rsidRPr="51D26456">
        <w:rPr>
          <w:rFonts w:cs="Arial"/>
          <w:lang w:val="es-ES"/>
        </w:rPr>
        <w:t>)</w:t>
      </w:r>
      <w:r w:rsidR="32E09D0C" w:rsidRPr="51D26456">
        <w:rPr>
          <w:rFonts w:cs="Arial"/>
          <w:lang w:val="es-ES"/>
        </w:rPr>
        <w:t xml:space="preserve">, </w:t>
      </w:r>
      <w:r w:rsidR="09B29BE2" w:rsidRPr="241D89F0">
        <w:rPr>
          <w:rFonts w:cs="Arial"/>
          <w:lang w:val="es-ES"/>
        </w:rPr>
        <w:t xml:space="preserve">plataforma que recopila, </w:t>
      </w:r>
      <w:r w:rsidR="09B29BE2" w:rsidRPr="57146C48">
        <w:rPr>
          <w:rFonts w:cs="Arial"/>
          <w:lang w:val="es-ES"/>
        </w:rPr>
        <w:t xml:space="preserve">almacena y </w:t>
      </w:r>
      <w:r w:rsidR="45AC8B0E" w:rsidRPr="7F331253">
        <w:rPr>
          <w:rFonts w:cs="Arial"/>
          <w:lang w:val="es-ES"/>
        </w:rPr>
        <w:t>procesa</w:t>
      </w:r>
      <w:r w:rsidR="09B29BE2" w:rsidRPr="33845678">
        <w:rPr>
          <w:rFonts w:cs="Arial"/>
          <w:lang w:val="es-ES"/>
        </w:rPr>
        <w:t xml:space="preserve"> </w:t>
      </w:r>
      <w:r w:rsidR="09B29BE2" w:rsidRPr="0B9C1CF6">
        <w:rPr>
          <w:rFonts w:cs="Arial"/>
          <w:lang w:val="es-ES"/>
        </w:rPr>
        <w:t xml:space="preserve">información </w:t>
      </w:r>
      <w:r w:rsidR="0F0C36AD" w:rsidRPr="7874108D">
        <w:rPr>
          <w:rFonts w:cs="Arial"/>
          <w:lang w:val="es-ES"/>
        </w:rPr>
        <w:t>técnica</w:t>
      </w:r>
      <w:r w:rsidR="0F0C36AD" w:rsidRPr="18286C35">
        <w:rPr>
          <w:rFonts w:cs="Arial"/>
          <w:lang w:val="es-ES"/>
        </w:rPr>
        <w:t xml:space="preserve">, tarifaria, </w:t>
      </w:r>
      <w:r w:rsidR="0F0C36AD" w:rsidRPr="01282EC0">
        <w:rPr>
          <w:rFonts w:cs="Arial"/>
          <w:lang w:val="es-ES"/>
        </w:rPr>
        <w:t xml:space="preserve">comercial y operativa de las empresas de </w:t>
      </w:r>
      <w:r w:rsidR="0F0C36AD" w:rsidRPr="733F489F">
        <w:rPr>
          <w:rFonts w:cs="Arial"/>
          <w:lang w:val="es-ES"/>
        </w:rPr>
        <w:t>servicios</w:t>
      </w:r>
      <w:r w:rsidR="0F0C36AD" w:rsidRPr="30A6AA91">
        <w:rPr>
          <w:rFonts w:cs="Arial"/>
          <w:lang w:val="es-ES"/>
        </w:rPr>
        <w:t xml:space="preserve"> </w:t>
      </w:r>
      <w:r w:rsidR="0F0C36AD" w:rsidRPr="7874108D">
        <w:rPr>
          <w:rFonts w:cs="Arial"/>
          <w:lang w:val="es-ES"/>
        </w:rPr>
        <w:t>públicos</w:t>
      </w:r>
      <w:r w:rsidR="0F0C36AD" w:rsidRPr="30A6AA91">
        <w:rPr>
          <w:rFonts w:cs="Arial"/>
          <w:lang w:val="es-ES"/>
        </w:rPr>
        <w:t xml:space="preserve"> </w:t>
      </w:r>
      <w:r w:rsidR="0F0C36AD" w:rsidRPr="733F489F">
        <w:rPr>
          <w:rFonts w:cs="Arial"/>
          <w:lang w:val="es-ES"/>
        </w:rPr>
        <w:t>domiciliarios</w:t>
      </w:r>
      <w:r w:rsidR="699EEC6C" w:rsidRPr="299F1B8F">
        <w:rPr>
          <w:rFonts w:cs="Arial"/>
          <w:lang w:val="es-ES"/>
        </w:rPr>
        <w:t xml:space="preserve"> GLP</w:t>
      </w:r>
      <w:r w:rsidR="0F0C36AD" w:rsidRPr="733F489F">
        <w:rPr>
          <w:rFonts w:cs="Arial"/>
          <w:lang w:val="es-ES"/>
        </w:rPr>
        <w:t xml:space="preserve">, </w:t>
      </w:r>
      <w:r w:rsidR="0F0C36AD" w:rsidRPr="28B74E53">
        <w:rPr>
          <w:rFonts w:cs="Arial"/>
          <w:lang w:val="es-ES"/>
        </w:rPr>
        <w:t>l</w:t>
      </w:r>
      <w:r w:rsidR="13300B6C" w:rsidRPr="28B74E53">
        <w:rPr>
          <w:rFonts w:cs="Arial"/>
          <w:lang w:val="es-ES"/>
        </w:rPr>
        <w:t xml:space="preserve">a SSPD, </w:t>
      </w:r>
      <w:r w:rsidR="13300B6C" w:rsidRPr="2B78861B">
        <w:rPr>
          <w:rFonts w:cs="Arial"/>
          <w:lang w:val="es-ES"/>
        </w:rPr>
        <w:t xml:space="preserve">entre sus funciones </w:t>
      </w:r>
      <w:r w:rsidR="32E09D0C" w:rsidRPr="1AAAA7B6">
        <w:rPr>
          <w:rFonts w:cs="Arial"/>
          <w:lang w:val="es-ES"/>
        </w:rPr>
        <w:t>realiza</w:t>
      </w:r>
      <w:r w:rsidR="32E09D0C" w:rsidRPr="7BCB486E">
        <w:rPr>
          <w:rFonts w:cs="Arial"/>
          <w:lang w:val="es-ES"/>
        </w:rPr>
        <w:t xml:space="preserve"> el </w:t>
      </w:r>
      <w:r w:rsidR="32E09D0C" w:rsidRPr="37D0C8CB">
        <w:rPr>
          <w:rFonts w:cs="Arial"/>
          <w:lang w:val="es-ES"/>
        </w:rPr>
        <w:t>seguimiento de la información que reporten las empresas</w:t>
      </w:r>
      <w:r w:rsidR="32E09D0C" w:rsidRPr="56B6DA5D">
        <w:rPr>
          <w:rFonts w:cs="Arial"/>
          <w:lang w:val="es-ES"/>
        </w:rPr>
        <w:t>, valida</w:t>
      </w:r>
      <w:r w:rsidR="32E09D0C" w:rsidRPr="7159BDBF">
        <w:rPr>
          <w:rFonts w:cs="Arial"/>
          <w:lang w:val="es-ES"/>
        </w:rPr>
        <w:t xml:space="preserve"> los reportes de </w:t>
      </w:r>
      <w:r w:rsidR="32E09D0C" w:rsidRPr="7BCB486E">
        <w:rPr>
          <w:rFonts w:cs="Arial"/>
          <w:lang w:val="es-ES"/>
        </w:rPr>
        <w:t>información</w:t>
      </w:r>
      <w:r w:rsidR="3F348A73" w:rsidRPr="56B6DA5D">
        <w:rPr>
          <w:rFonts w:cs="Arial"/>
          <w:lang w:val="es-ES"/>
        </w:rPr>
        <w:t xml:space="preserve"> y a su vez,</w:t>
      </w:r>
      <w:r w:rsidR="3F348A73" w:rsidRPr="07BB870C">
        <w:rPr>
          <w:rFonts w:cs="Arial"/>
          <w:lang w:val="es-ES"/>
        </w:rPr>
        <w:t xml:space="preserve"> </w:t>
      </w:r>
      <w:r w:rsidR="3F348A73" w:rsidRPr="215F5E71">
        <w:rPr>
          <w:rFonts w:cs="Arial"/>
          <w:lang w:val="es-ES"/>
        </w:rPr>
        <w:t>remite la información a la</w:t>
      </w:r>
      <w:r w:rsidR="3F348A73" w:rsidRPr="07BB870C">
        <w:rPr>
          <w:rFonts w:cs="Arial"/>
          <w:lang w:val="es-ES"/>
        </w:rPr>
        <w:t xml:space="preserve"> </w:t>
      </w:r>
      <w:r w:rsidR="3F348A73" w:rsidRPr="76B1374D">
        <w:rPr>
          <w:rFonts w:cs="Arial"/>
          <w:lang w:val="es-ES"/>
        </w:rPr>
        <w:t xml:space="preserve">CREG para </w:t>
      </w:r>
      <w:r w:rsidR="573138AA" w:rsidRPr="0766D720">
        <w:rPr>
          <w:rFonts w:cs="Arial"/>
          <w:lang w:val="es-ES"/>
        </w:rPr>
        <w:t>definir la capacidad de compra de la que trata le resolución CREG 063 de 2016</w:t>
      </w:r>
      <w:r w:rsidR="573138AA" w:rsidRPr="0A0072C3">
        <w:rPr>
          <w:rFonts w:cs="Arial"/>
          <w:lang w:val="es-ES"/>
        </w:rPr>
        <w:t xml:space="preserve"> y sus modificaciones. </w:t>
      </w:r>
    </w:p>
    <w:p w14:paraId="1ABB4E15" w14:textId="0CCB7E52" w:rsidR="00A40D41" w:rsidRDefault="00A40D41" w:rsidP="002F1961">
      <w:pPr>
        <w:spacing w:before="100" w:beforeAutospacing="1" w:after="100" w:afterAutospacing="1" w:line="360" w:lineRule="auto"/>
        <w:rPr>
          <w:rFonts w:cs="Arial"/>
          <w:lang w:val="es-ES"/>
        </w:rPr>
      </w:pPr>
      <w:r w:rsidRPr="2DCC6519">
        <w:rPr>
          <w:rFonts w:cs="Arial"/>
          <w:lang w:val="es-ES"/>
        </w:rPr>
        <w:t>Debe resaltarse que en desarrollo de sus funciones la SSPD</w:t>
      </w:r>
      <w:r w:rsidR="7ACFC488" w:rsidRPr="13F997F0">
        <w:rPr>
          <w:rFonts w:cs="Arial"/>
          <w:lang w:val="es-ES"/>
        </w:rPr>
        <w:t>,</w:t>
      </w:r>
      <w:r w:rsidRPr="2DCC6519">
        <w:rPr>
          <w:rFonts w:cs="Arial"/>
          <w:lang w:val="es-ES"/>
        </w:rPr>
        <w:t xml:space="preserve"> ha procurado por realizar seguimiento de las actividades desarrolladas por los comercializadores y distribuidores de GLP</w:t>
      </w:r>
      <w:r w:rsidR="3829E9F3" w:rsidRPr="2DCC6519">
        <w:rPr>
          <w:rFonts w:cs="Arial"/>
          <w:lang w:val="es-ES"/>
        </w:rPr>
        <w:t xml:space="preserve">, en el marco </w:t>
      </w:r>
      <w:r w:rsidR="317163B7" w:rsidRPr="36124F8B">
        <w:rPr>
          <w:rFonts w:cs="Arial"/>
          <w:lang w:val="es-ES"/>
        </w:rPr>
        <w:t>las regulaciones expedidas por l</w:t>
      </w:r>
      <w:r w:rsidR="3829E9F3" w:rsidRPr="36124F8B">
        <w:rPr>
          <w:rFonts w:cs="Arial"/>
          <w:lang w:val="es-ES"/>
        </w:rPr>
        <w:t>a</w:t>
      </w:r>
      <w:r w:rsidR="3829E9F3" w:rsidRPr="2DCC6519">
        <w:rPr>
          <w:rFonts w:cs="Arial"/>
          <w:lang w:val="es-ES"/>
        </w:rPr>
        <w:t xml:space="preserve"> Comisión de Regulación de </w:t>
      </w:r>
      <w:r w:rsidR="3829E9F3" w:rsidRPr="7B6F0E25">
        <w:rPr>
          <w:rFonts w:cs="Arial"/>
          <w:lang w:val="es-ES"/>
        </w:rPr>
        <w:lastRenderedPageBreak/>
        <w:t>Energía</w:t>
      </w:r>
      <w:r w:rsidR="3829E9F3" w:rsidRPr="2DCC6519">
        <w:rPr>
          <w:rFonts w:cs="Arial"/>
          <w:lang w:val="es-ES"/>
        </w:rPr>
        <w:t xml:space="preserve"> y Gas,</w:t>
      </w:r>
      <w:r w:rsidRPr="2DCC6519">
        <w:rPr>
          <w:rFonts w:cs="Arial"/>
          <w:lang w:val="es-ES"/>
        </w:rPr>
        <w:t xml:space="preserve"> </w:t>
      </w:r>
      <w:r w:rsidRPr="4768DF1A">
        <w:rPr>
          <w:rFonts w:cs="Arial"/>
          <w:lang w:val="es-ES"/>
        </w:rPr>
        <w:t>y</w:t>
      </w:r>
      <w:r w:rsidR="707D975A" w:rsidRPr="4768DF1A">
        <w:rPr>
          <w:rFonts w:cs="Arial"/>
          <w:lang w:val="es-ES"/>
        </w:rPr>
        <w:t xml:space="preserve"> de</w:t>
      </w:r>
      <w:r w:rsidRPr="2DCC6519">
        <w:rPr>
          <w:rFonts w:cs="Arial"/>
          <w:lang w:val="es-ES"/>
        </w:rPr>
        <w:t xml:space="preserve"> los reglamentos técnicos expedidos por el MME. Así mismo, ha desempeñado un rol muy importante como miembro del Comité de abastecimiento de GLP.</w:t>
      </w:r>
    </w:p>
    <w:p w14:paraId="1EAF461C" w14:textId="1831253E" w:rsidR="00A40D41" w:rsidRDefault="00A40D41" w:rsidP="002F1961">
      <w:pPr>
        <w:spacing w:before="100" w:beforeAutospacing="1" w:after="100" w:afterAutospacing="1" w:line="360" w:lineRule="auto"/>
        <w:rPr>
          <w:rFonts w:cs="Arial"/>
          <w:lang w:val="es-ES"/>
        </w:rPr>
      </w:pPr>
      <w:r w:rsidRPr="21F146C7">
        <w:rPr>
          <w:rFonts w:cs="Arial"/>
          <w:lang w:val="es-ES"/>
        </w:rPr>
        <w:t>En</w:t>
      </w:r>
      <w:r w:rsidRPr="7736C1C4">
        <w:rPr>
          <w:rFonts w:cs="Arial"/>
          <w:lang w:val="es-ES"/>
        </w:rPr>
        <w:t xml:space="preserve"> el escenario de la consulta de la metodología tarifaria propuesta, los análisis y recomendaciones que puedan recibirse de parte de la SSPD cobran un papel relevante para conocer de primera mano las situaciones presentadas en el territorio y las condiciones de los prestadores del servicio que se encuentren documentadas o evidenciadas por la entidad.</w:t>
      </w:r>
    </w:p>
    <w:p w14:paraId="2DBD7482" w14:textId="744B451E" w:rsidR="00A40D41" w:rsidRPr="005972D1" w:rsidRDefault="00A40D41">
      <w:pPr>
        <w:pStyle w:val="Prrafodelista"/>
        <w:numPr>
          <w:ilvl w:val="0"/>
          <w:numId w:val="12"/>
        </w:numPr>
        <w:spacing w:before="100" w:beforeAutospacing="1" w:after="100" w:afterAutospacing="1" w:line="360" w:lineRule="auto"/>
        <w:rPr>
          <w:rFonts w:cs="Arial"/>
          <w:b/>
          <w:lang w:val="es-ES"/>
        </w:rPr>
      </w:pPr>
      <w:bookmarkStart w:id="239" w:name="_Toc64038037"/>
      <w:bookmarkStart w:id="240" w:name="_Toc64643243"/>
      <w:r w:rsidRPr="21A5E085">
        <w:rPr>
          <w:rFonts w:cs="Arial"/>
          <w:b/>
          <w:lang w:val="es-ES"/>
        </w:rPr>
        <w:t>Unidad de planeación Minero</w:t>
      </w:r>
      <w:r w:rsidR="30D8B08D" w:rsidRPr="7DA7687F">
        <w:rPr>
          <w:rFonts w:cs="Arial"/>
          <w:b/>
          <w:bCs/>
          <w:lang w:val="es-ES"/>
        </w:rPr>
        <w:t>-</w:t>
      </w:r>
      <w:r w:rsidRPr="21A5E085">
        <w:rPr>
          <w:rFonts w:cs="Arial"/>
          <w:b/>
          <w:lang w:val="es-ES"/>
        </w:rPr>
        <w:t>Energética</w:t>
      </w:r>
      <w:r w:rsidR="005A110D">
        <w:rPr>
          <w:rFonts w:cs="Arial"/>
          <w:b/>
          <w:lang w:val="es-ES"/>
        </w:rPr>
        <w:t xml:space="preserve">, </w:t>
      </w:r>
      <w:r w:rsidRPr="21A5E085">
        <w:rPr>
          <w:rFonts w:cs="Arial"/>
          <w:b/>
          <w:lang w:val="es-ES"/>
        </w:rPr>
        <w:t>UPME</w:t>
      </w:r>
      <w:bookmarkEnd w:id="239"/>
      <w:bookmarkEnd w:id="240"/>
    </w:p>
    <w:p w14:paraId="78905CAF" w14:textId="7122717B" w:rsidR="5F0BD994" w:rsidRDefault="5F0BD994" w:rsidP="002F1961">
      <w:pPr>
        <w:spacing w:before="100" w:beforeAutospacing="1" w:after="100" w:afterAutospacing="1" w:line="360" w:lineRule="auto"/>
        <w:rPr>
          <w:rFonts w:cs="Arial"/>
        </w:rPr>
      </w:pPr>
      <w:r w:rsidRPr="7DA7687F">
        <w:rPr>
          <w:rFonts w:cs="Arial"/>
        </w:rPr>
        <w:t>La UPME, como parte de la cadena de GLP, desempeña el papel de entidad técnica de planeación, proporcionando información, análisis y escenarios prospectivos que apoyan la toma de decisiones del Ministerio de Minas y Energía, la Comisión de Regulación de Energía y Gas (CREG) y demás entidades del sector. Para ello, desarrolla actividades relacionadas con la elaboración de balances energéticos, estudios de oferta y demanda, evaluación de la infraestructura de abastecimiento y transporte, análisis de confiabilidad energética, identificación de necesidades de expansión y formulación de recomendaciones para fortalecer la seguridad del suministro de GLP en el territorio nacional.</w:t>
      </w:r>
    </w:p>
    <w:p w14:paraId="4F4F9A04" w14:textId="18FE606F" w:rsidR="5F0BD994" w:rsidRDefault="5F0BD994" w:rsidP="002F1961">
      <w:pPr>
        <w:spacing w:before="100" w:beforeAutospacing="1" w:after="100" w:afterAutospacing="1" w:line="360" w:lineRule="auto"/>
      </w:pPr>
      <w:r w:rsidRPr="7DA7687F">
        <w:rPr>
          <w:rFonts w:cs="Arial"/>
        </w:rPr>
        <w:t xml:space="preserve">La UPME interactúa de manera permanente con el Ministerio de Minas y Energía, la CREG, la Agencia Nacional de Hidrocarburos (ANH), la Superintendencia de Servicios Públicos Domiciliarios, los productores e importadores de GLP, las empresas comercializadoras mayoristas, distribuidoras y comercializadoras minoristas, así como con otros agentes del sector, suministrando información técnica que sirve de base para la formulación de políticas, la expedición de regulación y la planeación del desarrollo del mercado de GLP. </w:t>
      </w:r>
    </w:p>
    <w:p w14:paraId="663345F9" w14:textId="06B4B69E" w:rsidR="3471C6CA" w:rsidRDefault="47932579" w:rsidP="002F1961">
      <w:pPr>
        <w:spacing w:before="100" w:beforeAutospacing="1" w:after="100" w:afterAutospacing="1" w:line="360" w:lineRule="auto"/>
        <w:rPr>
          <w:rFonts w:cs="Arial"/>
          <w:lang w:val="es-ES"/>
        </w:rPr>
      </w:pPr>
      <w:r w:rsidRPr="7EEF0938">
        <w:rPr>
          <w:rFonts w:cs="Arial"/>
          <w:lang w:val="es-ES"/>
        </w:rPr>
        <w:t>Esta entidad, juega un papel importante en</w:t>
      </w:r>
      <w:r w:rsidR="0CBE6E4B" w:rsidRPr="37138246">
        <w:rPr>
          <w:rFonts w:cs="Arial"/>
          <w:lang w:val="es-ES"/>
        </w:rPr>
        <w:t xml:space="preserve"> el </w:t>
      </w:r>
      <w:r w:rsidR="4BC38417" w:rsidRPr="7EEF0938">
        <w:rPr>
          <w:rFonts w:cs="Arial"/>
          <w:lang w:val="es-ES"/>
        </w:rPr>
        <w:t>Análisis</w:t>
      </w:r>
      <w:r w:rsidRPr="7EEF0938">
        <w:rPr>
          <w:rFonts w:cs="Arial"/>
          <w:lang w:val="es-ES"/>
        </w:rPr>
        <w:t xml:space="preserve"> de</w:t>
      </w:r>
      <w:r w:rsidR="24A5C656" w:rsidRPr="7EEF0938">
        <w:rPr>
          <w:rFonts w:cs="Arial"/>
          <w:lang w:val="es-ES"/>
        </w:rPr>
        <w:t xml:space="preserve"> Impacto Normativo, </w:t>
      </w:r>
      <w:r w:rsidR="2FBDED5D" w:rsidRPr="24799D0F">
        <w:rPr>
          <w:rFonts w:cs="Arial"/>
          <w:lang w:val="es-ES"/>
        </w:rPr>
        <w:t>dad</w:t>
      </w:r>
      <w:r w:rsidR="32883CAD" w:rsidRPr="24799D0F">
        <w:rPr>
          <w:rFonts w:cs="Arial"/>
          <w:lang w:val="es-ES"/>
        </w:rPr>
        <w:t>o</w:t>
      </w:r>
      <w:r w:rsidR="65EA1348" w:rsidRPr="24799D0F">
        <w:rPr>
          <w:rFonts w:cs="Arial"/>
          <w:lang w:val="es-ES"/>
        </w:rPr>
        <w:t xml:space="preserve"> </w:t>
      </w:r>
      <w:r w:rsidR="72903F4F" w:rsidRPr="24799D0F">
        <w:rPr>
          <w:rFonts w:cs="Arial"/>
          <w:lang w:val="es-ES"/>
        </w:rPr>
        <w:t>que</w:t>
      </w:r>
      <w:r w:rsidR="708BC5AE" w:rsidRPr="24799D0F">
        <w:rPr>
          <w:rFonts w:cs="Arial"/>
          <w:lang w:val="es-ES"/>
        </w:rPr>
        <w:t xml:space="preserve"> el estudio de las</w:t>
      </w:r>
      <w:r w:rsidR="7FE4C687" w:rsidRPr="5C9BFFF6">
        <w:rPr>
          <w:rFonts w:cs="Arial"/>
          <w:lang w:val="es-ES"/>
        </w:rPr>
        <w:t xml:space="preserve"> condiciones de prestación del servicio público domiciliario de GLP podría </w:t>
      </w:r>
      <w:r w:rsidR="708BC5AE" w:rsidRPr="24799D0F">
        <w:rPr>
          <w:rFonts w:cs="Arial"/>
          <w:lang w:val="es-ES"/>
        </w:rPr>
        <w:lastRenderedPageBreak/>
        <w:t>variar y</w:t>
      </w:r>
      <w:r w:rsidR="47706EDA" w:rsidRPr="24799D0F">
        <w:rPr>
          <w:rFonts w:cs="Arial"/>
          <w:lang w:val="es-ES"/>
        </w:rPr>
        <w:t xml:space="preserve"> </w:t>
      </w:r>
      <w:r w:rsidR="7FE4C687" w:rsidRPr="5C9BFFF6">
        <w:rPr>
          <w:rFonts w:cs="Arial"/>
          <w:lang w:val="es-ES"/>
        </w:rPr>
        <w:t>generar impactos para la UPME, al requerir la actualización de estudios técnicos, modelos de planeación, proyecciones de oferta y demanda, análisis de abastecimiento y documentos de soporte para la toma de decisiones sectoriales. Asimismo, podría demandar el desarrollo de nuevas metodologías de evaluación, el fortalecimiento de los sistemas de información y una mayor coordinación técnica con las entidades del sector para analizar los efectos de la regulación y realizar el seguimiento a su implementación.</w:t>
      </w:r>
    </w:p>
    <w:p w14:paraId="78224671" w14:textId="4A10B22E" w:rsidR="67767956" w:rsidRPr="00C8568D" w:rsidRDefault="005A110D">
      <w:pPr>
        <w:pStyle w:val="Prrafodelista"/>
        <w:numPr>
          <w:ilvl w:val="0"/>
          <w:numId w:val="12"/>
        </w:numPr>
        <w:spacing w:before="100" w:beforeAutospacing="1" w:after="100" w:afterAutospacing="1" w:line="360" w:lineRule="auto"/>
        <w:rPr>
          <w:rFonts w:cs="Arial"/>
          <w:b/>
          <w:bCs/>
        </w:rPr>
      </w:pPr>
      <w:r>
        <w:rPr>
          <w:rFonts w:cs="Arial"/>
          <w:b/>
          <w:bCs/>
          <w:lang w:val="es-ES"/>
        </w:rPr>
        <w:t>Superintendencia</w:t>
      </w:r>
      <w:r w:rsidRPr="3DC28AD4">
        <w:rPr>
          <w:rFonts w:cs="Arial"/>
          <w:b/>
          <w:bCs/>
        </w:rPr>
        <w:t xml:space="preserve"> de </w:t>
      </w:r>
      <w:r>
        <w:rPr>
          <w:rFonts w:cs="Arial"/>
          <w:b/>
          <w:bCs/>
        </w:rPr>
        <w:t>I</w:t>
      </w:r>
      <w:r w:rsidRPr="3DC28AD4">
        <w:rPr>
          <w:rFonts w:cs="Arial"/>
          <w:b/>
          <w:bCs/>
        </w:rPr>
        <w:t xml:space="preserve">ndustria y </w:t>
      </w:r>
      <w:r>
        <w:rPr>
          <w:rFonts w:cs="Arial"/>
          <w:b/>
          <w:bCs/>
        </w:rPr>
        <w:t>C</w:t>
      </w:r>
      <w:r w:rsidRPr="3DC28AD4">
        <w:rPr>
          <w:rFonts w:cs="Arial"/>
          <w:b/>
          <w:bCs/>
        </w:rPr>
        <w:t>omercio</w:t>
      </w:r>
      <w:r>
        <w:rPr>
          <w:rFonts w:cs="Arial"/>
          <w:b/>
          <w:bCs/>
        </w:rPr>
        <w:t>, SIC</w:t>
      </w:r>
    </w:p>
    <w:p w14:paraId="6809C4F2" w14:textId="51FE0D0D" w:rsidR="7DA7687F" w:rsidRDefault="67767956" w:rsidP="002F1961">
      <w:pPr>
        <w:spacing w:before="100" w:beforeAutospacing="1" w:after="100" w:afterAutospacing="1" w:line="360" w:lineRule="auto"/>
        <w:rPr>
          <w:rFonts w:cs="Arial"/>
        </w:rPr>
      </w:pPr>
      <w:r w:rsidRPr="3DC28AD4">
        <w:rPr>
          <w:rFonts w:cs="Arial"/>
        </w:rPr>
        <w:t>Dentro de la cadena de actores interesados del servicio público domiciliario de Gas Licuado de Petróleo (GLP), la SIC desempeña un papel orientado a garantizar el adecuado funcionamiento de los mercados desde la perspectiva de la libre competencia y la protección de los consumidores. En desarrollo de sus funciones, la entidad investiga y sanciona conductas que puedan restringir la competencia, tales como acuerdos anticompetitivos, abuso de posición dominante o prácticas restrictivas que afecten el mercado del GLP. Asimismo, ejerce funciones de protección al consumidor cuando se presentan vulneraciones a los derechos de los usuarios en las relaciones de consumo que sean de su competencia.</w:t>
      </w:r>
    </w:p>
    <w:p w14:paraId="25127987" w14:textId="654170B7" w:rsidR="7DA7687F" w:rsidRDefault="315D7D57" w:rsidP="002F1961">
      <w:pPr>
        <w:spacing w:before="100" w:beforeAutospacing="1" w:after="100" w:afterAutospacing="1" w:line="360" w:lineRule="auto"/>
        <w:rPr>
          <w:rFonts w:cs="Arial"/>
        </w:rPr>
      </w:pPr>
      <w:r w:rsidRPr="3DC28AD4">
        <w:rPr>
          <w:rFonts w:cs="Arial"/>
          <w:lang w:val="es-ES"/>
        </w:rPr>
        <w:t xml:space="preserve">De acuerdo con lo anterior, y teniendo en cuenta que el sector del </w:t>
      </w:r>
      <w:r w:rsidR="3C2A57FF" w:rsidRPr="3DC28AD4">
        <w:rPr>
          <w:rFonts w:cs="Arial"/>
          <w:lang w:val="es-ES"/>
        </w:rPr>
        <w:t>GLP</w:t>
      </w:r>
      <w:r w:rsidRPr="3DC28AD4">
        <w:rPr>
          <w:rFonts w:cs="Arial"/>
          <w:lang w:val="es-ES"/>
        </w:rPr>
        <w:t xml:space="preserve"> es tiene una competencia </w:t>
      </w:r>
      <w:r w:rsidR="48A87DDE" w:rsidRPr="3DC28AD4">
        <w:rPr>
          <w:rFonts w:cs="Arial"/>
          <w:lang w:val="es-ES"/>
        </w:rPr>
        <w:t>actividad</w:t>
      </w:r>
      <w:r w:rsidRPr="3DC28AD4">
        <w:rPr>
          <w:rFonts w:cs="Arial"/>
          <w:lang w:val="es-ES"/>
        </w:rPr>
        <w:t xml:space="preserve"> en cada </w:t>
      </w:r>
      <w:r w:rsidR="5D29726B" w:rsidRPr="3DC28AD4">
        <w:rPr>
          <w:rFonts w:cs="Arial"/>
          <w:lang w:val="es-ES"/>
        </w:rPr>
        <w:t>uno</w:t>
      </w:r>
      <w:r w:rsidRPr="3DC28AD4">
        <w:rPr>
          <w:rFonts w:cs="Arial"/>
          <w:lang w:val="es-ES"/>
        </w:rPr>
        <w:t xml:space="preserve"> de los eslabones de la cadena la SIC, juega un papel </w:t>
      </w:r>
      <w:r w:rsidR="512EFBA6" w:rsidRPr="3DC28AD4">
        <w:rPr>
          <w:rFonts w:cs="Arial"/>
          <w:lang w:val="es-ES"/>
        </w:rPr>
        <w:t>fundamental,</w:t>
      </w:r>
      <w:r w:rsidR="47A65512" w:rsidRPr="3DC28AD4">
        <w:rPr>
          <w:rFonts w:cs="Arial"/>
          <w:lang w:val="es-ES"/>
        </w:rPr>
        <w:t xml:space="preserve"> </w:t>
      </w:r>
      <w:r w:rsidRPr="3DC28AD4">
        <w:rPr>
          <w:rFonts w:cs="Arial"/>
          <w:lang w:val="es-ES"/>
        </w:rPr>
        <w:t>al ser este sector uno de los más competitivos en</w:t>
      </w:r>
    </w:p>
    <w:p w14:paraId="73DA3ED4" w14:textId="5E0D6D42" w:rsidR="7DA7687F" w:rsidRDefault="67767956" w:rsidP="002F1961">
      <w:pPr>
        <w:spacing w:before="100" w:beforeAutospacing="1" w:after="100" w:afterAutospacing="1" w:line="360" w:lineRule="auto"/>
      </w:pPr>
      <w:r w:rsidRPr="3DC28AD4">
        <w:rPr>
          <w:rFonts w:cs="Arial"/>
        </w:rPr>
        <w:t>En el ejercicio de sus funciones, la SIC interactúa con los productores e importadores de GLP, las empresas comercializadoras mayoristas, las empresas distribuidoras, las empresas comercializadoras minoristas, las autoridades sectoriales y los consumidores, promoviendo condiciones de competencia efectiva y transparencia en el mercado. Igualmente, emite conceptos técnicos y participa en espacios de coordinación institucional cuando las propuestas regulatorias pueden generar efectos sobre la competencia económica.</w:t>
      </w:r>
    </w:p>
    <w:p w14:paraId="72AA58BE" w14:textId="6FCF4411" w:rsidR="7DA7687F" w:rsidRDefault="67767956" w:rsidP="002F1961">
      <w:pPr>
        <w:spacing w:before="100" w:beforeAutospacing="1" w:after="100" w:afterAutospacing="1" w:line="360" w:lineRule="auto"/>
      </w:pPr>
      <w:r w:rsidRPr="3DC28AD4">
        <w:rPr>
          <w:rFonts w:cs="Arial"/>
        </w:rPr>
        <w:lastRenderedPageBreak/>
        <w:t>Una eventual regulación que modifique las condiciones de prestación del servicio público domiciliario de GLP podría generar impactos para la SIC, en la medida en que podría requerir el análisis de los efectos de las nuevas disposiciones sobre la estructura y dinámica del mercado, la emisión de conceptos en materia de libre competencia cuando corresponda, el fortalecimiento de las actividades de vigilancia respecto de posibles prácticas anticompetitivas y la articulación con las entidades del sector para garantizar que la regulación no genere barreras injustificadas a la competencia ni afecte los derechos de los consumidores.</w:t>
      </w:r>
    </w:p>
    <w:p w14:paraId="01F797E7" w14:textId="50D50342" w:rsidR="7DA7687F" w:rsidRDefault="67767956" w:rsidP="002F1961">
      <w:pPr>
        <w:spacing w:before="100" w:beforeAutospacing="1" w:after="100" w:afterAutospacing="1" w:line="360" w:lineRule="auto"/>
      </w:pPr>
      <w:r w:rsidRPr="3DC28AD4">
        <w:rPr>
          <w:rFonts w:cs="Arial"/>
        </w:rPr>
        <w:t>En consecuencia, la SIC constituye un actor institucional con un alto nivel de interés dentro del análisis de impacto normativo, debido a que sus actuaciones contribuyen a preservar la libre competencia económica, promover mercados eficientes y proteger los derechos de los consumidores, objetivos que resultan complementarios al marco regulatorio aplicable al servicio público domiciliario de GLP.</w:t>
      </w:r>
    </w:p>
    <w:p w14:paraId="0E6DDC68" w14:textId="61019E59" w:rsidR="7DA7687F" w:rsidRPr="00C8568D" w:rsidRDefault="3275D557">
      <w:pPr>
        <w:pStyle w:val="Prrafodelista"/>
        <w:numPr>
          <w:ilvl w:val="0"/>
          <w:numId w:val="12"/>
        </w:numPr>
        <w:spacing w:before="100" w:beforeAutospacing="1" w:after="100" w:afterAutospacing="1" w:line="360" w:lineRule="auto"/>
        <w:rPr>
          <w:rFonts w:cs="Arial"/>
          <w:b/>
        </w:rPr>
      </w:pPr>
      <w:r w:rsidRPr="00C8568D">
        <w:rPr>
          <w:rFonts w:cs="Arial"/>
          <w:b/>
        </w:rPr>
        <w:t xml:space="preserve">Ministerio de Hacienda </w:t>
      </w:r>
    </w:p>
    <w:p w14:paraId="43F9633E" w14:textId="19626B84" w:rsidR="3275D557" w:rsidRDefault="3275D557" w:rsidP="002F1961">
      <w:pPr>
        <w:spacing w:before="100" w:beforeAutospacing="1" w:after="100" w:afterAutospacing="1" w:line="360" w:lineRule="auto"/>
      </w:pPr>
      <w:r w:rsidRPr="6925F9B5">
        <w:rPr>
          <w:rFonts w:cs="Arial"/>
        </w:rPr>
        <w:t>El Ministerio de Hacienda y Crédito Público como entidad encargada de formular, adoptar, dirigir y coordinar la política fiscal, financiera y presupuestal del país, tiene como propósito de garantizar la sostenibilidad de las finanzas públicas y el adecuado manejo de los recursos del Estado.</w:t>
      </w:r>
    </w:p>
    <w:p w14:paraId="6F1A6EB4" w14:textId="653851AB" w:rsidR="3275D557" w:rsidRDefault="3275D557" w:rsidP="002F1961">
      <w:pPr>
        <w:spacing w:before="100" w:beforeAutospacing="1" w:after="100" w:afterAutospacing="1" w:line="360" w:lineRule="auto"/>
      </w:pPr>
      <w:r w:rsidRPr="6925F9B5">
        <w:rPr>
          <w:rFonts w:cs="Arial"/>
        </w:rPr>
        <w:t>En el servicio público domiciliario de Gas Licuado de Petróleo (GLP), el Ministerio de Hacienda y Crédito Público participa como la entidad responsable de asignar los recursos en el presupuesto de la Nación que respalde el programa de subsidió al consumo de GLP distribuido en cilindros, que de acuerdo a la Resolución 40720 de 2016 del Ministerio de Minas y Energía, que establece los lineamientos, define los beneficiarios, las condiciones de acceso y el procedimiento para el reconocimiento de los subsidios.</w:t>
      </w:r>
    </w:p>
    <w:p w14:paraId="31CB0CCA" w14:textId="5EE5129C" w:rsidR="3275D557" w:rsidRDefault="3275D557" w:rsidP="002F1961">
      <w:pPr>
        <w:spacing w:before="100" w:beforeAutospacing="1" w:after="100" w:afterAutospacing="1" w:line="360" w:lineRule="auto"/>
      </w:pPr>
      <w:r w:rsidRPr="6925F9B5">
        <w:rPr>
          <w:rFonts w:cs="Arial"/>
        </w:rPr>
        <w:t xml:space="preserve">En desarrollo de sus funciones, el Ministerio interactúa con el Ministerio de Minas y Energía, el Departamento Nacional de Planeación, la Comisión de Regulación de Energía y Gas (CREG), el Congreso de la República y las demás entidades del sector, evaluando </w:t>
      </w:r>
      <w:r w:rsidRPr="6925F9B5">
        <w:rPr>
          <w:rFonts w:cs="Arial"/>
        </w:rPr>
        <w:lastRenderedPageBreak/>
        <w:t>el impacto fiscal de las políticas y medidas regulatorias que puedan comprometer recursos públicos o generar efectos sobre las finanzas del Estado.</w:t>
      </w:r>
    </w:p>
    <w:p w14:paraId="63E8DC25" w14:textId="59779F01" w:rsidR="3275D557" w:rsidRDefault="3275D557" w:rsidP="002F1961">
      <w:pPr>
        <w:spacing w:before="100" w:beforeAutospacing="1" w:after="100" w:afterAutospacing="1" w:line="360" w:lineRule="auto"/>
      </w:pPr>
      <w:r w:rsidRPr="6925F9B5">
        <w:rPr>
          <w:rFonts w:cs="Arial"/>
        </w:rPr>
        <w:t>De acuerdo con esto, una nueva regulación que modifique las condiciones de prestación del servicio público domiciliario de GLP podría generar impactos para el Ministerio de Hacienda y Crédito Público cuando implique la creación, ampliación o modificación de subsidios, compensaciones, incentivos económicos o cualquier otro mecanismo que requiera apropiaciones presupuestales.</w:t>
      </w:r>
    </w:p>
    <w:p w14:paraId="1F18ABCD" w14:textId="4789C005" w:rsidR="000F701A" w:rsidRPr="00205510" w:rsidRDefault="000F701A" w:rsidP="002F1961">
      <w:pPr>
        <w:pStyle w:val="Ttulo1"/>
        <w:keepLines/>
        <w:numPr>
          <w:ilvl w:val="0"/>
          <w:numId w:val="1"/>
        </w:numPr>
        <w:suppressAutoHyphens w:val="0"/>
        <w:spacing w:before="100" w:beforeAutospacing="1" w:after="100" w:afterAutospacing="1" w:line="360" w:lineRule="auto"/>
        <w:rPr>
          <w:rFonts w:cs="Arial"/>
          <w:lang w:val="es-ES"/>
        </w:rPr>
      </w:pPr>
      <w:bookmarkStart w:id="241" w:name="_Toc235128392"/>
      <w:r w:rsidRPr="00205510">
        <w:rPr>
          <w:rFonts w:cs="Arial"/>
          <w:lang w:val="es-ES"/>
        </w:rPr>
        <w:t>OBJETIVOS</w:t>
      </w:r>
      <w:bookmarkEnd w:id="241"/>
    </w:p>
    <w:p w14:paraId="4CC9C560" w14:textId="77777777" w:rsidR="005D2B3D" w:rsidRPr="005D2B3D" w:rsidRDefault="005D2B3D" w:rsidP="005D2B3D">
      <w:pPr>
        <w:pStyle w:val="NormalWeb"/>
        <w:spacing w:line="360" w:lineRule="auto"/>
        <w:jc w:val="both"/>
        <w:rPr>
          <w:rFonts w:ascii="Arial" w:hAnsi="Arial" w:cs="Arial"/>
          <w:lang w:val="es-ES_tradnl" w:eastAsia="es-ES"/>
        </w:rPr>
      </w:pPr>
      <w:r w:rsidRPr="005D2B3D">
        <w:rPr>
          <w:rFonts w:ascii="Arial" w:hAnsi="Arial" w:cs="Arial"/>
          <w:lang w:val="es-ES_tradnl" w:eastAsia="es-ES"/>
        </w:rPr>
        <w:t>Una vez identificado el problema regulatorio y las causas que lo originan, corresponde establecer los objetivos que orientarán la evaluación de alternativas regulatorias. De conformidad con la metodología de Análisis de Impacto Normativo (AIN), los objetivos describen la situación que se espera alcanzar mediante una eventual intervención regulatoria y constituyen el referente para valorar la efectividad de las diferentes opciones de política.</w:t>
      </w:r>
    </w:p>
    <w:p w14:paraId="3B0854B2" w14:textId="77777777" w:rsidR="005D2B3D" w:rsidRPr="005D2B3D" w:rsidRDefault="005D2B3D" w:rsidP="005D2B3D">
      <w:pPr>
        <w:pStyle w:val="NormalWeb"/>
        <w:spacing w:line="360" w:lineRule="auto"/>
        <w:jc w:val="both"/>
        <w:rPr>
          <w:rFonts w:ascii="Arial" w:hAnsi="Arial" w:cs="Arial"/>
          <w:lang w:val="es-ES_tradnl" w:eastAsia="es-ES"/>
        </w:rPr>
      </w:pPr>
      <w:r w:rsidRPr="005D2B3D">
        <w:rPr>
          <w:rFonts w:ascii="Arial" w:hAnsi="Arial" w:cs="Arial"/>
          <w:lang w:val="es-ES_tradnl" w:eastAsia="es-ES"/>
        </w:rPr>
        <w:t>En ese sentido, los objetivos no representan las medidas regulatorias que eventualmente adopte la Comisión, sino los resultados que se pretende alcanzar para mejorar el funcionamiento del mercado de GLP y la prestación del servicio público domiciliario.</w:t>
      </w:r>
    </w:p>
    <w:p w14:paraId="48BEE903" w14:textId="01A30BE7" w:rsidR="00001D17" w:rsidRPr="00001D17" w:rsidRDefault="005D2B3D" w:rsidP="005D2B3D">
      <w:pPr>
        <w:pStyle w:val="NormalWeb"/>
        <w:spacing w:line="360" w:lineRule="auto"/>
        <w:jc w:val="both"/>
        <w:rPr>
          <w:rFonts w:ascii="Arial" w:hAnsi="Arial" w:cs="Arial"/>
          <w:lang w:val="es-ES_tradnl" w:eastAsia="es-ES"/>
        </w:rPr>
      </w:pPr>
      <w:r w:rsidRPr="005D2B3D">
        <w:rPr>
          <w:rFonts w:ascii="Arial" w:hAnsi="Arial" w:cs="Arial"/>
          <w:lang w:val="es-ES_tradnl" w:eastAsia="es-ES"/>
        </w:rPr>
        <w:t>Los objetivos definidos guardan correspondencia con los tres ejes temáticos que estructuran el problema regulatorio identificado: la prestación del servicio, la continuidad y confiabilidad del suministro y las eficiencias económicas en la prestación del servicio</w:t>
      </w:r>
      <w:r w:rsidR="00001D17" w:rsidRPr="00001D17">
        <w:rPr>
          <w:rFonts w:ascii="Arial" w:hAnsi="Arial" w:cs="Arial"/>
          <w:lang w:val="es-ES_tradnl" w:eastAsia="es-ES"/>
        </w:rPr>
        <w:t>.</w:t>
      </w:r>
    </w:p>
    <w:p w14:paraId="6351AD49" w14:textId="77777777" w:rsidR="00F94595" w:rsidRDefault="00F94595" w:rsidP="002F1961">
      <w:pPr>
        <w:pStyle w:val="Ttulo2"/>
        <w:spacing w:before="100" w:beforeAutospacing="1" w:after="100" w:afterAutospacing="1"/>
        <w:ind w:left="284" w:hanging="284"/>
      </w:pPr>
      <w:bookmarkStart w:id="242" w:name="_Toc235128393"/>
      <w:r>
        <w:t>Objetivos de impacto</w:t>
      </w:r>
      <w:bookmarkEnd w:id="242"/>
    </w:p>
    <w:p w14:paraId="3BE2DD51" w14:textId="77777777" w:rsidR="00B70FF0" w:rsidRPr="00B70FF0" w:rsidRDefault="00B70FF0" w:rsidP="00B70FF0">
      <w:pPr>
        <w:spacing w:before="100" w:beforeAutospacing="1" w:after="100" w:afterAutospacing="1" w:line="360" w:lineRule="auto"/>
        <w:rPr>
          <w:rFonts w:cs="Arial"/>
          <w:szCs w:val="24"/>
        </w:rPr>
      </w:pPr>
      <w:r w:rsidRPr="00B70FF0">
        <w:rPr>
          <w:rFonts w:cs="Arial"/>
          <w:szCs w:val="24"/>
        </w:rPr>
        <w:t xml:space="preserve">Los objetivos de impacto representan el cambio de largo plazo que se espera alcanzar mediante una eventual intervención regulatoria. En el marco del Análisis de Impacto Normativo (AIN), estos objetivos describen la situación deseada para los usuarios y la sociedad, constituyendo el propósito último que orienta la evaluación de las diferentes alternativas regulatorias. Su cumplimiento depende no solo de las medidas que </w:t>
      </w:r>
      <w:r w:rsidRPr="00B70FF0">
        <w:rPr>
          <w:rFonts w:cs="Arial"/>
          <w:szCs w:val="24"/>
        </w:rPr>
        <w:lastRenderedPageBreak/>
        <w:t>eventualmente adopte la Comisión, sino también de las condiciones de funcionamiento del mercado y de la actuación de los diferentes agentes que participan en la cadena de prestación del servicio.</w:t>
      </w:r>
    </w:p>
    <w:p w14:paraId="64DBA51F" w14:textId="397F21E0" w:rsidR="00DF32F9" w:rsidRPr="00CB0C1B" w:rsidRDefault="00B31CD0" w:rsidP="00B70FF0">
      <w:pPr>
        <w:spacing w:before="100" w:beforeAutospacing="1" w:after="100" w:afterAutospacing="1" w:line="360" w:lineRule="auto"/>
        <w:rPr>
          <w:rFonts w:cs="Arial"/>
        </w:rPr>
      </w:pPr>
      <w:r w:rsidRPr="00B31CD0">
        <w:rPr>
          <w:rFonts w:cs="Arial"/>
          <w:szCs w:val="24"/>
        </w:rPr>
        <w:t>En el presente AIN, el objetivo de impacto se encuentra directamente asociado al problema regulatorio identificado, el cual evidenció la existencia de condiciones estructurales que pueden afectar la prestación del servicio público domiciliario de GLP. En este contexto, el objetivo de impacto consiste en fortalecer las condiciones regulatorias que contribuyan a una prestación eficiente del servicio, a partir del mejoramiento de la prestación del servicio, la continuidad y confiabilidad del suministro y las eficiencias económicas en su prestación</w:t>
      </w:r>
      <w:r w:rsidR="00B50B31" w:rsidRPr="00CB0C1B">
        <w:rPr>
          <w:rFonts w:cs="Arial"/>
        </w:rPr>
        <w:t>.</w:t>
      </w:r>
    </w:p>
    <w:p w14:paraId="008D4F7F" w14:textId="7BCC6EBA" w:rsidR="00DF32F9" w:rsidRDefault="006868C5" w:rsidP="002F1961">
      <w:pPr>
        <w:pStyle w:val="Ttulo3"/>
        <w:spacing w:before="100" w:beforeAutospacing="1" w:after="100" w:afterAutospacing="1"/>
        <w:rPr>
          <w:lang w:val="es-CO"/>
        </w:rPr>
      </w:pPr>
      <w:bookmarkStart w:id="243" w:name="_Toc235128394"/>
      <w:r>
        <w:rPr>
          <w:lang w:val="es-CO"/>
        </w:rPr>
        <w:t>Definición del o</w:t>
      </w:r>
      <w:r w:rsidR="005545DA">
        <w:rPr>
          <w:lang w:val="es-CO"/>
        </w:rPr>
        <w:t>bjetivo de impacto re</w:t>
      </w:r>
      <w:r w:rsidR="009809EE">
        <w:rPr>
          <w:lang w:val="es-CO"/>
        </w:rPr>
        <w:t>gulatorio</w:t>
      </w:r>
      <w:bookmarkEnd w:id="243"/>
    </w:p>
    <w:p w14:paraId="65CE8669" w14:textId="33223220" w:rsidR="00FD1C95" w:rsidRPr="00FD1C95" w:rsidRDefault="00852B5F" w:rsidP="00FD1C95">
      <w:pPr>
        <w:spacing w:before="100" w:beforeAutospacing="1" w:after="100" w:afterAutospacing="1" w:line="360" w:lineRule="auto"/>
        <w:rPr>
          <w:rFonts w:eastAsia="Arial" w:cs="Arial"/>
          <w:szCs w:val="24"/>
          <w:lang w:val="es-ES"/>
        </w:rPr>
      </w:pPr>
      <w:r w:rsidRPr="00852B5F">
        <w:rPr>
          <w:rFonts w:eastAsia="Arial" w:cs="Arial"/>
          <w:szCs w:val="24"/>
          <w:lang w:val="es-ES"/>
        </w:rPr>
        <w:t>Fortalecer las condiciones regulatorias que contribuyan a la prestación eficiente del servicio público domiciliario de GLP, mediante el fortalecimiento de las condiciones asociadas a la prestación del servicio, la continuidad y confiabilidad del suministro y las eficiencias económicas en su prestación, en beneficio de los usuarios</w:t>
      </w:r>
      <w:r w:rsidR="00FD1C95" w:rsidRPr="00FD1C95">
        <w:rPr>
          <w:rFonts w:eastAsia="Arial" w:cs="Arial"/>
          <w:szCs w:val="24"/>
          <w:lang w:val="es-ES"/>
        </w:rPr>
        <w:t>.</w:t>
      </w:r>
    </w:p>
    <w:p w14:paraId="38FF1474" w14:textId="01E1E42E" w:rsidR="001C1C26" w:rsidRPr="00CB0C1B" w:rsidRDefault="00FD1C95" w:rsidP="00FD1C95">
      <w:pPr>
        <w:spacing w:before="100" w:beforeAutospacing="1" w:after="100" w:afterAutospacing="1" w:line="360" w:lineRule="auto"/>
        <w:rPr>
          <w:rFonts w:cs="Arial"/>
        </w:rPr>
      </w:pPr>
      <w:r w:rsidRPr="00FD1C95">
        <w:rPr>
          <w:rFonts w:eastAsia="Arial" w:cs="Arial"/>
          <w:szCs w:val="24"/>
          <w:lang w:val="es-ES"/>
        </w:rPr>
        <w:t>El cumplimiento de este objetivo podrá evaluarse mediante indicadores asociados al desempeño de la prestación del servicio, tales como la evolución de las condiciones de calidad, continuidad, confiabilidad, atención y protección de los usuarios, así como de las eficiencias económicas en la prestación del servicio. Estos indicadores permitirán valorar, en una etapa posterior del AIN, la contribución de las alternativas regulatorias al logro del impacto esperado.</w:t>
      </w:r>
    </w:p>
    <w:p w14:paraId="23E9A45A" w14:textId="77777777" w:rsidR="001E7C30" w:rsidRPr="00970198" w:rsidRDefault="00131858" w:rsidP="002F1961">
      <w:pPr>
        <w:pStyle w:val="Ttulo2"/>
        <w:spacing w:before="100" w:beforeAutospacing="1" w:after="100" w:afterAutospacing="1"/>
        <w:ind w:left="284" w:hanging="284"/>
      </w:pPr>
      <w:bookmarkStart w:id="244" w:name="_Toc235128395"/>
      <w:r>
        <w:t>Objetivos de resultado</w:t>
      </w:r>
      <w:bookmarkEnd w:id="244"/>
    </w:p>
    <w:p w14:paraId="366BC511" w14:textId="77777777" w:rsidR="00424245" w:rsidRPr="00424245" w:rsidRDefault="00424245" w:rsidP="00424245">
      <w:pPr>
        <w:pStyle w:val="NormalWeb"/>
        <w:spacing w:line="360" w:lineRule="auto"/>
        <w:rPr>
          <w:rFonts w:ascii="Arial" w:hAnsi="Arial" w:cs="Arial"/>
          <w:lang w:val="es-ES_tradnl" w:eastAsia="es-ES"/>
        </w:rPr>
      </w:pPr>
      <w:r w:rsidRPr="00424245">
        <w:rPr>
          <w:rFonts w:ascii="Arial" w:hAnsi="Arial" w:cs="Arial"/>
          <w:lang w:val="es-ES_tradnl" w:eastAsia="es-ES"/>
        </w:rPr>
        <w:t xml:space="preserve">Los objetivos de resultado corresponden a los cambios específicos que se espera alcanzar mediante una eventual intervención regulatoria y representan los efectos directos que deben producirse para contribuir al cumplimiento del objetivo de impacto. Estos objetivos se derivan del análisis del problema regulatorio y de las causas </w:t>
      </w:r>
      <w:r w:rsidRPr="00424245">
        <w:rPr>
          <w:rFonts w:ascii="Arial" w:hAnsi="Arial" w:cs="Arial"/>
          <w:lang w:val="es-ES_tradnl" w:eastAsia="es-ES"/>
        </w:rPr>
        <w:lastRenderedPageBreak/>
        <w:t>estructurales identificadas en el presente AIN, y constituyen el referente para evaluar la efectividad de las alternativas regulatorias que se analicen durante el proceso.</w:t>
      </w:r>
    </w:p>
    <w:p w14:paraId="5A26EC98" w14:textId="3ECF8377" w:rsidR="00A22F34" w:rsidRPr="00B16A11" w:rsidRDefault="00424245" w:rsidP="00424245">
      <w:pPr>
        <w:pStyle w:val="NormalWeb"/>
        <w:spacing w:line="360" w:lineRule="auto"/>
        <w:jc w:val="both"/>
        <w:rPr>
          <w:rFonts w:ascii="Arial" w:hAnsi="Arial" w:cs="Arial"/>
          <w:lang w:val="es-ES" w:eastAsia="es-ES"/>
        </w:rPr>
      </w:pPr>
      <w:r w:rsidRPr="00424245">
        <w:rPr>
          <w:rFonts w:ascii="Arial" w:hAnsi="Arial" w:cs="Arial"/>
          <w:lang w:val="es-ES_tradnl" w:eastAsia="es-ES"/>
        </w:rPr>
        <w:t>En el presente documento, los objetivos de resultado se encuentran asociados a los tres ejes temáticos que estructuran el problema regulatorio identificado: (i) la prestación del servicio, (</w:t>
      </w:r>
      <w:proofErr w:type="spellStart"/>
      <w:r w:rsidRPr="00424245">
        <w:rPr>
          <w:rFonts w:ascii="Arial" w:hAnsi="Arial" w:cs="Arial"/>
          <w:lang w:val="es-ES_tradnl" w:eastAsia="es-ES"/>
        </w:rPr>
        <w:t>ii</w:t>
      </w:r>
      <w:proofErr w:type="spellEnd"/>
      <w:r w:rsidRPr="00424245">
        <w:rPr>
          <w:rFonts w:ascii="Arial" w:hAnsi="Arial" w:cs="Arial"/>
          <w:lang w:val="es-ES_tradnl" w:eastAsia="es-ES"/>
        </w:rPr>
        <w:t>) la continuidad y confiabilidad del suministro y (</w:t>
      </w:r>
      <w:proofErr w:type="spellStart"/>
      <w:r w:rsidRPr="00424245">
        <w:rPr>
          <w:rFonts w:ascii="Arial" w:hAnsi="Arial" w:cs="Arial"/>
          <w:lang w:val="es-ES_tradnl" w:eastAsia="es-ES"/>
        </w:rPr>
        <w:t>iii</w:t>
      </w:r>
      <w:proofErr w:type="spellEnd"/>
      <w:r w:rsidRPr="00424245">
        <w:rPr>
          <w:rFonts w:ascii="Arial" w:hAnsi="Arial" w:cs="Arial"/>
          <w:lang w:val="es-ES_tradnl" w:eastAsia="es-ES"/>
        </w:rPr>
        <w:t>) las eficiencias económicas en la prestación del servicio. Para cada uno de ellos se define un objetivo orientado a atender las causas estructurales identificadas y contribuir al fortalecimiento de la prestación del servicio público domiciliario de GLP en beneficio de los usuarios</w:t>
      </w:r>
      <w:r w:rsidR="00B16A11" w:rsidRPr="11491998">
        <w:rPr>
          <w:rFonts w:ascii="Arial" w:hAnsi="Arial" w:cs="Arial"/>
          <w:lang w:val="es-ES" w:eastAsia="es-ES"/>
        </w:rPr>
        <w:t>.</w:t>
      </w:r>
    </w:p>
    <w:p w14:paraId="224F60A8" w14:textId="02FE427D" w:rsidR="00A22F34" w:rsidRDefault="006868C5" w:rsidP="001914E7">
      <w:pPr>
        <w:pStyle w:val="Ttulo3"/>
        <w:spacing w:before="100" w:beforeAutospacing="1" w:after="100" w:afterAutospacing="1"/>
        <w:rPr>
          <w:lang w:val="es-CO"/>
        </w:rPr>
      </w:pPr>
      <w:bookmarkStart w:id="245" w:name="_Toc235128396"/>
      <w:r>
        <w:rPr>
          <w:lang w:val="es-CO"/>
        </w:rPr>
        <w:t>Definición de los o</w:t>
      </w:r>
      <w:r w:rsidR="00A22F34">
        <w:rPr>
          <w:lang w:val="es-CO"/>
        </w:rPr>
        <w:t>bjetivo</w:t>
      </w:r>
      <w:r>
        <w:rPr>
          <w:lang w:val="es-CO"/>
        </w:rPr>
        <w:t>s</w:t>
      </w:r>
      <w:r w:rsidR="00A22F34">
        <w:rPr>
          <w:lang w:val="es-CO"/>
        </w:rPr>
        <w:t xml:space="preserve"> de </w:t>
      </w:r>
      <w:r w:rsidR="00C50A7D">
        <w:rPr>
          <w:lang w:val="es-CO"/>
        </w:rPr>
        <w:t>resultado</w:t>
      </w:r>
      <w:r w:rsidR="00A22F34">
        <w:rPr>
          <w:lang w:val="es-CO"/>
        </w:rPr>
        <w:t xml:space="preserve"> regulatorio</w:t>
      </w:r>
      <w:bookmarkEnd w:id="245"/>
    </w:p>
    <w:p w14:paraId="08E57520" w14:textId="77777777" w:rsidR="00FA073E" w:rsidRPr="00FA073E" w:rsidRDefault="00FA073E" w:rsidP="00FA073E">
      <w:pPr>
        <w:spacing w:before="100" w:beforeAutospacing="1" w:after="100" w:afterAutospacing="1" w:line="360" w:lineRule="auto"/>
        <w:rPr>
          <w:rFonts w:eastAsia="Arial" w:cs="Arial"/>
          <w:szCs w:val="24"/>
          <w:lang w:val="es-ES"/>
        </w:rPr>
      </w:pPr>
      <w:r w:rsidRPr="00FA073E">
        <w:rPr>
          <w:rFonts w:eastAsia="Arial" w:cs="Arial"/>
          <w:szCs w:val="24"/>
          <w:lang w:val="es-ES"/>
        </w:rPr>
        <w:t>Los objetivos de resultado se formulan en términos generales y describen las condiciones que se espera alcanzar, sin anticipar los instrumentos o mecanismos regulatorios mediante los cuales podrían lograrse. Este enfoque responde a la metodología del Análisis de Impacto Normativo (AIN), según la cual los objetivos deben mantener un carácter neutral frente a las distintas alternativas regulatorias.</w:t>
      </w:r>
    </w:p>
    <w:p w14:paraId="2CEC7B6F" w14:textId="68355B74" w:rsidR="00504B96" w:rsidRDefault="00FA073E" w:rsidP="00FA073E">
      <w:pPr>
        <w:spacing w:before="100" w:beforeAutospacing="1" w:after="100" w:afterAutospacing="1" w:line="360" w:lineRule="auto"/>
        <w:rPr>
          <w:rFonts w:eastAsia="Arial" w:cs="Arial"/>
          <w:szCs w:val="24"/>
          <w:lang w:val="es-ES"/>
        </w:rPr>
      </w:pPr>
      <w:r w:rsidRPr="00FA073E">
        <w:rPr>
          <w:rFonts w:eastAsia="Arial" w:cs="Arial"/>
          <w:szCs w:val="24"/>
          <w:lang w:val="es-ES"/>
        </w:rPr>
        <w:t>En consecuencia, la definición y evaluación de las medidas específicas que podrían contribuir al cumplimiento de estos objetivos se desarrollará en las etapas posteriores del AIN, mediante el análisis comparativo de las diferentes alternativas regulatorias, con el fin de identificar aquella que resulte más adecuada para atender las causas estructurales identificadas y contribuir al logro de los objetivos definidos</w:t>
      </w:r>
      <w:r w:rsidR="00504B96" w:rsidRPr="00FA073E">
        <w:rPr>
          <w:rFonts w:eastAsia="Arial" w:cs="Arial"/>
          <w:szCs w:val="24"/>
          <w:lang w:val="es-ES"/>
        </w:rPr>
        <w:t>.</w:t>
      </w:r>
    </w:p>
    <w:p w14:paraId="1E66ABE8" w14:textId="694BD8BD" w:rsidR="0071206E" w:rsidRDefault="0071206E" w:rsidP="00FA073E">
      <w:pPr>
        <w:spacing w:before="100" w:beforeAutospacing="1" w:after="100" w:afterAutospacing="1" w:line="360" w:lineRule="auto"/>
        <w:rPr>
          <w:rFonts w:eastAsia="Arial" w:cs="Arial"/>
          <w:szCs w:val="24"/>
        </w:rPr>
      </w:pPr>
      <w:r w:rsidRPr="0071206E">
        <w:rPr>
          <w:rFonts w:eastAsia="Arial" w:cs="Arial"/>
          <w:szCs w:val="24"/>
        </w:rPr>
        <w:t xml:space="preserve">La </w:t>
      </w:r>
      <w:r w:rsidRPr="001C42C8">
        <w:rPr>
          <w:rFonts w:cs="Arial"/>
          <w:b/>
          <w:iCs/>
          <w:szCs w:val="24"/>
          <w:lang w:val="es-ES"/>
        </w:rPr>
        <w:fldChar w:fldCharType="begin"/>
      </w:r>
      <w:r w:rsidRPr="001C42C8">
        <w:rPr>
          <w:rFonts w:cs="Arial"/>
          <w:szCs w:val="24"/>
          <w:lang w:val="es-ES"/>
        </w:rPr>
        <w:instrText xml:space="preserve"> REF _Ref235117821 \h  \* MERGEFORMAT </w:instrText>
      </w:r>
      <w:r w:rsidRPr="001C42C8">
        <w:rPr>
          <w:rFonts w:cs="Arial"/>
          <w:b/>
          <w:iCs/>
          <w:szCs w:val="24"/>
          <w:lang w:val="es-ES"/>
        </w:rPr>
      </w:r>
      <w:r w:rsidRPr="001C42C8">
        <w:rPr>
          <w:rFonts w:cs="Arial"/>
          <w:b/>
          <w:iCs/>
          <w:szCs w:val="24"/>
          <w:lang w:val="es-ES"/>
        </w:rPr>
        <w:fldChar w:fldCharType="separate"/>
      </w:r>
      <w:r w:rsidRPr="001C42C8">
        <w:t xml:space="preserve">Tabla </w:t>
      </w:r>
      <w:r w:rsidRPr="001C42C8">
        <w:rPr>
          <w:noProof/>
        </w:rPr>
        <w:t>2</w:t>
      </w:r>
      <w:r>
        <w:rPr>
          <w:noProof/>
        </w:rPr>
        <w:t>4</w:t>
      </w:r>
      <w:r w:rsidRPr="001C42C8">
        <w:rPr>
          <w:rFonts w:cs="Arial"/>
          <w:b/>
          <w:iCs/>
          <w:szCs w:val="24"/>
          <w:lang w:val="es-ES"/>
        </w:rPr>
        <w:fldChar w:fldCharType="end"/>
      </w:r>
      <w:r>
        <w:rPr>
          <w:rFonts w:cs="Arial"/>
          <w:b/>
          <w:iCs/>
          <w:szCs w:val="24"/>
          <w:lang w:val="es-ES"/>
        </w:rPr>
        <w:t xml:space="preserve"> </w:t>
      </w:r>
      <w:r w:rsidRPr="0071206E">
        <w:rPr>
          <w:rFonts w:eastAsia="Arial" w:cs="Arial"/>
          <w:szCs w:val="24"/>
        </w:rPr>
        <w:t>presenta los objetivos de resultado definidos para cada uno de los ejes temáticos del problema regulatorio, los indicadores que permitirán realizar el seguimiento de su cumplimiento y la correspondencia entre dichos objetivos y el diagnóstico desarrollado en el presente AIN.</w:t>
      </w:r>
    </w:p>
    <w:p w14:paraId="0BFF0E55" w14:textId="77777777" w:rsidR="000230B4" w:rsidRDefault="000230B4" w:rsidP="00FA073E">
      <w:pPr>
        <w:spacing w:before="100" w:beforeAutospacing="1" w:after="100" w:afterAutospacing="1" w:line="360" w:lineRule="auto"/>
        <w:rPr>
          <w:rFonts w:eastAsia="Arial" w:cs="Arial"/>
          <w:szCs w:val="24"/>
        </w:rPr>
      </w:pPr>
    </w:p>
    <w:p w14:paraId="675EC266" w14:textId="77777777" w:rsidR="000230B4" w:rsidRDefault="000230B4" w:rsidP="00FA073E">
      <w:pPr>
        <w:spacing w:before="100" w:beforeAutospacing="1" w:after="100" w:afterAutospacing="1" w:line="360" w:lineRule="auto"/>
        <w:rPr>
          <w:rFonts w:eastAsia="Arial" w:cs="Arial"/>
          <w:szCs w:val="24"/>
          <w:lang w:val="es-ES"/>
        </w:rPr>
      </w:pPr>
    </w:p>
    <w:p w14:paraId="4F748A6E" w14:textId="30D65CD9" w:rsidR="009E1257" w:rsidRPr="00DE0845" w:rsidRDefault="00EC4DB0" w:rsidP="00DE0845">
      <w:pPr>
        <w:pStyle w:val="Descripcin"/>
        <w:jc w:val="center"/>
        <w:rPr>
          <w:rFonts w:cs="Arial"/>
          <w:b w:val="0"/>
          <w:szCs w:val="24"/>
        </w:rPr>
      </w:pPr>
      <w:bookmarkStart w:id="246" w:name="_Toc235128421"/>
      <w:r w:rsidRPr="0060055B">
        <w:rPr>
          <w:b w:val="0"/>
          <w:szCs w:val="24"/>
        </w:rPr>
        <w:lastRenderedPageBreak/>
        <w:t xml:space="preserve">Tabla </w:t>
      </w:r>
      <w:r w:rsidRPr="0060055B">
        <w:rPr>
          <w:b w:val="0"/>
          <w:bCs/>
          <w:szCs w:val="24"/>
        </w:rPr>
        <w:fldChar w:fldCharType="begin"/>
      </w:r>
      <w:r w:rsidRPr="0060055B">
        <w:rPr>
          <w:b w:val="0"/>
          <w:bCs/>
          <w:szCs w:val="24"/>
        </w:rPr>
        <w:instrText xml:space="preserve"> SEQ Tabla \* ARABIC </w:instrText>
      </w:r>
      <w:r w:rsidRPr="0060055B">
        <w:rPr>
          <w:b w:val="0"/>
          <w:bCs/>
          <w:szCs w:val="24"/>
        </w:rPr>
        <w:fldChar w:fldCharType="separate"/>
      </w:r>
      <w:r>
        <w:rPr>
          <w:b w:val="0"/>
          <w:bCs/>
          <w:noProof/>
          <w:szCs w:val="24"/>
        </w:rPr>
        <w:t>2</w:t>
      </w:r>
      <w:r w:rsidR="0071206E">
        <w:rPr>
          <w:b w:val="0"/>
          <w:bCs/>
          <w:noProof/>
          <w:szCs w:val="24"/>
        </w:rPr>
        <w:t>4</w:t>
      </w:r>
      <w:r w:rsidRPr="0060055B">
        <w:rPr>
          <w:b w:val="0"/>
          <w:bCs/>
          <w:szCs w:val="24"/>
        </w:rPr>
        <w:fldChar w:fldCharType="end"/>
      </w:r>
      <w:r w:rsidRPr="0060055B">
        <w:rPr>
          <w:b w:val="0"/>
          <w:bCs/>
          <w:szCs w:val="24"/>
        </w:rPr>
        <w:t>.</w:t>
      </w:r>
      <w:r w:rsidRPr="0060055B">
        <w:rPr>
          <w:b w:val="0"/>
          <w:szCs w:val="24"/>
        </w:rPr>
        <w:t xml:space="preserve"> </w:t>
      </w:r>
      <w:r w:rsidR="00A15BD0" w:rsidRPr="00DE0845">
        <w:rPr>
          <w:rFonts w:eastAsia="Arial" w:cs="Arial"/>
          <w:b w:val="0"/>
          <w:bCs/>
          <w:szCs w:val="24"/>
        </w:rPr>
        <w:t>Objetivos de resultado, indicadores de seguimiento y ejes temáticos asociados</w:t>
      </w:r>
      <w:bookmarkEnd w:id="246"/>
    </w:p>
    <w:tbl>
      <w:tblPr>
        <w:tblStyle w:val="Tablaconcuadrcula"/>
        <w:tblW w:w="0" w:type="auto"/>
        <w:tblLook w:val="04A0" w:firstRow="1" w:lastRow="0" w:firstColumn="1" w:lastColumn="0" w:noHBand="0" w:noVBand="1"/>
      </w:tblPr>
      <w:tblGrid>
        <w:gridCol w:w="4138"/>
        <w:gridCol w:w="3502"/>
        <w:gridCol w:w="1756"/>
      </w:tblGrid>
      <w:tr w:rsidR="00B653D6" w:rsidRPr="00B653D6" w14:paraId="39CAA76A" w14:textId="77777777" w:rsidTr="00495380">
        <w:trPr>
          <w:tblHeader/>
        </w:trPr>
        <w:tc>
          <w:tcPr>
            <w:tcW w:w="0" w:type="auto"/>
            <w:hideMark/>
          </w:tcPr>
          <w:p w14:paraId="00A865E0" w14:textId="77777777" w:rsidR="00B653D6" w:rsidRPr="00DE60DE" w:rsidRDefault="00B653D6" w:rsidP="002F1961">
            <w:pPr>
              <w:spacing w:before="100" w:beforeAutospacing="1" w:after="100" w:afterAutospacing="1" w:line="360" w:lineRule="auto"/>
              <w:jc w:val="center"/>
              <w:rPr>
                <w:b/>
                <w:bCs/>
                <w:sz w:val="22"/>
                <w:szCs w:val="22"/>
              </w:rPr>
            </w:pPr>
            <w:r w:rsidRPr="00DE60DE">
              <w:rPr>
                <w:b/>
                <w:bCs/>
                <w:sz w:val="22"/>
                <w:szCs w:val="22"/>
              </w:rPr>
              <w:t>Objetivo de resultado</w:t>
            </w:r>
          </w:p>
        </w:tc>
        <w:tc>
          <w:tcPr>
            <w:tcW w:w="0" w:type="auto"/>
            <w:hideMark/>
          </w:tcPr>
          <w:p w14:paraId="57590031" w14:textId="77777777" w:rsidR="00B653D6" w:rsidRPr="00DE60DE" w:rsidRDefault="00B653D6" w:rsidP="002F1961">
            <w:pPr>
              <w:spacing w:before="100" w:beforeAutospacing="1" w:after="100" w:afterAutospacing="1" w:line="360" w:lineRule="auto"/>
              <w:jc w:val="center"/>
              <w:rPr>
                <w:b/>
                <w:bCs/>
                <w:sz w:val="22"/>
                <w:szCs w:val="22"/>
              </w:rPr>
            </w:pPr>
            <w:r w:rsidRPr="00DE60DE">
              <w:rPr>
                <w:b/>
                <w:bCs/>
                <w:sz w:val="22"/>
                <w:szCs w:val="22"/>
              </w:rPr>
              <w:t>Indicador de seguimiento</w:t>
            </w:r>
          </w:p>
        </w:tc>
        <w:tc>
          <w:tcPr>
            <w:tcW w:w="0" w:type="auto"/>
            <w:hideMark/>
          </w:tcPr>
          <w:p w14:paraId="0C692C06" w14:textId="77777777" w:rsidR="00B653D6" w:rsidRPr="00DE60DE" w:rsidRDefault="00B653D6" w:rsidP="002F1961">
            <w:pPr>
              <w:spacing w:before="100" w:beforeAutospacing="1" w:after="100" w:afterAutospacing="1" w:line="360" w:lineRule="auto"/>
              <w:jc w:val="center"/>
              <w:rPr>
                <w:b/>
                <w:bCs/>
                <w:sz w:val="22"/>
                <w:szCs w:val="22"/>
              </w:rPr>
            </w:pPr>
            <w:r w:rsidRPr="00DE60DE">
              <w:rPr>
                <w:b/>
                <w:bCs/>
                <w:sz w:val="22"/>
                <w:szCs w:val="22"/>
              </w:rPr>
              <w:t>Riesgo al que contribuye</w:t>
            </w:r>
          </w:p>
        </w:tc>
      </w:tr>
      <w:tr w:rsidR="00B653D6" w:rsidRPr="00B653D6" w14:paraId="3CD6774E" w14:textId="77777777" w:rsidTr="00DE60DE">
        <w:tc>
          <w:tcPr>
            <w:tcW w:w="0" w:type="auto"/>
            <w:hideMark/>
          </w:tcPr>
          <w:p w14:paraId="2E85610E" w14:textId="67F38CA2" w:rsidR="00B653D6" w:rsidRPr="00B653D6" w:rsidRDefault="00B653D6" w:rsidP="002F1961">
            <w:pPr>
              <w:spacing w:before="100" w:beforeAutospacing="1" w:after="100" w:afterAutospacing="1" w:line="360" w:lineRule="auto"/>
              <w:jc w:val="left"/>
              <w:rPr>
                <w:sz w:val="22"/>
                <w:szCs w:val="22"/>
              </w:rPr>
            </w:pPr>
            <w:r w:rsidRPr="00B653D6">
              <w:rPr>
                <w:rStyle w:val="Fuerte"/>
                <w:b w:val="0"/>
                <w:bCs w:val="0"/>
                <w:sz w:val="22"/>
                <w:szCs w:val="22"/>
              </w:rPr>
              <w:t>Fortalecer</w:t>
            </w:r>
            <w:r w:rsidR="00E82B6E" w:rsidRPr="00E82B6E">
              <w:rPr>
                <w:sz w:val="22"/>
                <w:szCs w:val="22"/>
              </w:rPr>
              <w:t xml:space="preserve"> las condiciones regulatorias que contribuyan a mejorar la calidad, la seguridad, la trazabilidad, la disponibilidad de información y los mecanismos de atención y protección de los usuarios durante la prestación del servicio público domiciliario de GLP.</w:t>
            </w:r>
          </w:p>
        </w:tc>
        <w:tc>
          <w:tcPr>
            <w:tcW w:w="0" w:type="auto"/>
            <w:hideMark/>
          </w:tcPr>
          <w:p w14:paraId="4DE91DDE" w14:textId="1120699A" w:rsidR="00B653D6" w:rsidRPr="00B653D6" w:rsidRDefault="002E7EAA" w:rsidP="002F1961">
            <w:pPr>
              <w:spacing w:before="100" w:beforeAutospacing="1" w:after="100" w:afterAutospacing="1" w:line="360" w:lineRule="auto"/>
              <w:jc w:val="left"/>
              <w:rPr>
                <w:sz w:val="22"/>
                <w:szCs w:val="22"/>
              </w:rPr>
            </w:pPr>
            <w:r w:rsidRPr="002E7EAA">
              <w:rPr>
                <w:sz w:val="22"/>
                <w:szCs w:val="22"/>
              </w:rPr>
              <w:t>Evolución de indicadores relacionados con la calidad y seguridad de la prestación del servicio, la trazabilidad, la disponibilidad de información para los usuarios y la atención de peticiones, quejas, reclamos y recursos.</w:t>
            </w:r>
          </w:p>
        </w:tc>
        <w:tc>
          <w:tcPr>
            <w:tcW w:w="0" w:type="auto"/>
            <w:hideMark/>
          </w:tcPr>
          <w:p w14:paraId="032BA7F1" w14:textId="5C757FA7" w:rsidR="00B653D6" w:rsidRPr="00B653D6" w:rsidRDefault="002E7EAA" w:rsidP="002F1961">
            <w:pPr>
              <w:spacing w:before="100" w:beforeAutospacing="1" w:after="100" w:afterAutospacing="1" w:line="360" w:lineRule="auto"/>
              <w:jc w:val="left"/>
              <w:rPr>
                <w:sz w:val="22"/>
                <w:szCs w:val="22"/>
              </w:rPr>
            </w:pPr>
            <w:r w:rsidRPr="002E7EAA">
              <w:rPr>
                <w:sz w:val="22"/>
                <w:szCs w:val="22"/>
              </w:rPr>
              <w:t>Prestación del servicio.</w:t>
            </w:r>
          </w:p>
        </w:tc>
      </w:tr>
      <w:tr w:rsidR="00B653D6" w:rsidRPr="00B653D6" w14:paraId="60925D99" w14:textId="77777777" w:rsidTr="00DE60DE">
        <w:tc>
          <w:tcPr>
            <w:tcW w:w="0" w:type="auto"/>
            <w:hideMark/>
          </w:tcPr>
          <w:p w14:paraId="0AABD25E" w14:textId="6B8BBEA5" w:rsidR="00B653D6" w:rsidRPr="00B653D6" w:rsidRDefault="002E7EAA" w:rsidP="002F1961">
            <w:pPr>
              <w:spacing w:before="100" w:beforeAutospacing="1" w:after="100" w:afterAutospacing="1" w:line="360" w:lineRule="auto"/>
              <w:jc w:val="left"/>
              <w:rPr>
                <w:sz w:val="22"/>
                <w:szCs w:val="22"/>
              </w:rPr>
            </w:pPr>
            <w:r w:rsidRPr="002E7EAA">
              <w:rPr>
                <w:rStyle w:val="Fuerte"/>
                <w:b w:val="0"/>
                <w:bCs w:val="0"/>
                <w:sz w:val="22"/>
                <w:szCs w:val="22"/>
              </w:rPr>
              <w:t>Fortalecer las condiciones regulatorias que contribuyan a mejorar la continuidad y confiabilidad del suministro de GLP, promoviendo una mayor resiliencia de la cadena de abastecimiento y reduciendo su vulnerabilidad frente a contingencias que puedan afectar la disponibilidad del servicio.</w:t>
            </w:r>
          </w:p>
        </w:tc>
        <w:tc>
          <w:tcPr>
            <w:tcW w:w="0" w:type="auto"/>
            <w:hideMark/>
          </w:tcPr>
          <w:p w14:paraId="7CB22142" w14:textId="76637B87" w:rsidR="00B653D6" w:rsidRPr="00B653D6" w:rsidRDefault="00DA5187" w:rsidP="002F1961">
            <w:pPr>
              <w:spacing w:before="100" w:beforeAutospacing="1" w:after="100" w:afterAutospacing="1" w:line="360" w:lineRule="auto"/>
              <w:jc w:val="left"/>
              <w:rPr>
                <w:sz w:val="22"/>
                <w:szCs w:val="22"/>
              </w:rPr>
            </w:pPr>
            <w:r w:rsidRPr="00DA5187">
              <w:rPr>
                <w:sz w:val="22"/>
                <w:szCs w:val="22"/>
              </w:rPr>
              <w:t>Evolución de indicadores relacionados con el abastecimiento, la capacidad de almacenamiento, la infraestructura logística, la disponibilidad del producto y la continuidad del suministro.</w:t>
            </w:r>
          </w:p>
        </w:tc>
        <w:tc>
          <w:tcPr>
            <w:tcW w:w="0" w:type="auto"/>
            <w:hideMark/>
          </w:tcPr>
          <w:p w14:paraId="58B2DB42" w14:textId="5FD6ECAA" w:rsidR="00B653D6" w:rsidRPr="00B653D6" w:rsidRDefault="00DA5187" w:rsidP="002F1961">
            <w:pPr>
              <w:spacing w:before="100" w:beforeAutospacing="1" w:after="100" w:afterAutospacing="1" w:line="360" w:lineRule="auto"/>
              <w:jc w:val="left"/>
              <w:rPr>
                <w:sz w:val="22"/>
                <w:szCs w:val="22"/>
              </w:rPr>
            </w:pPr>
            <w:r w:rsidRPr="00DA5187">
              <w:rPr>
                <w:sz w:val="22"/>
                <w:szCs w:val="22"/>
              </w:rPr>
              <w:t>Continuidad y confiabilidad del suministro.</w:t>
            </w:r>
          </w:p>
        </w:tc>
      </w:tr>
      <w:tr w:rsidR="00B653D6" w:rsidRPr="00B653D6" w14:paraId="3C098EFB" w14:textId="77777777" w:rsidTr="00DE60DE">
        <w:tc>
          <w:tcPr>
            <w:tcW w:w="0" w:type="auto"/>
            <w:hideMark/>
          </w:tcPr>
          <w:p w14:paraId="6A1DA2A0" w14:textId="5FE2060F" w:rsidR="00B653D6" w:rsidRPr="00B653D6" w:rsidRDefault="00DA5187" w:rsidP="002F1961">
            <w:pPr>
              <w:spacing w:before="100" w:beforeAutospacing="1" w:after="100" w:afterAutospacing="1" w:line="360" w:lineRule="auto"/>
              <w:jc w:val="left"/>
              <w:rPr>
                <w:sz w:val="22"/>
                <w:szCs w:val="22"/>
              </w:rPr>
            </w:pPr>
            <w:r w:rsidRPr="00DA5187">
              <w:rPr>
                <w:sz w:val="22"/>
                <w:szCs w:val="22"/>
              </w:rPr>
              <w:t>Fortalecer las condiciones regulatorias que contribuyan a mejorar las eficiencias económicas en la prestación del servicio público domiciliario de GLP, promoviendo un uso más eficiente de la infraestructura y los activos, mejores condiciones para el funcionamiento del mercado y una mayor disponibilidad de alternativas para los usuarios.</w:t>
            </w:r>
          </w:p>
        </w:tc>
        <w:tc>
          <w:tcPr>
            <w:tcW w:w="0" w:type="auto"/>
            <w:hideMark/>
          </w:tcPr>
          <w:p w14:paraId="0DF4D17C" w14:textId="6119E4D6" w:rsidR="00B653D6" w:rsidRPr="00B653D6" w:rsidRDefault="001038E1" w:rsidP="002F1961">
            <w:pPr>
              <w:spacing w:before="100" w:beforeAutospacing="1" w:after="100" w:afterAutospacing="1" w:line="360" w:lineRule="auto"/>
              <w:jc w:val="left"/>
              <w:rPr>
                <w:sz w:val="22"/>
                <w:szCs w:val="22"/>
              </w:rPr>
            </w:pPr>
            <w:r w:rsidRPr="001038E1">
              <w:rPr>
                <w:sz w:val="22"/>
                <w:szCs w:val="22"/>
              </w:rPr>
              <w:t>Evolución de indicadores relacionados con el desarrollo y utilización de infraestructura, la gestión de activos, la intensidad de la competencia, la participación de agentes y la disponibilidad de alternativas para los usuarios.</w:t>
            </w:r>
          </w:p>
        </w:tc>
        <w:tc>
          <w:tcPr>
            <w:tcW w:w="0" w:type="auto"/>
            <w:hideMark/>
          </w:tcPr>
          <w:p w14:paraId="0415311B" w14:textId="719D006A" w:rsidR="00B653D6" w:rsidRPr="00B653D6" w:rsidRDefault="001038E1" w:rsidP="002F1961">
            <w:pPr>
              <w:spacing w:before="100" w:beforeAutospacing="1" w:after="100" w:afterAutospacing="1" w:line="360" w:lineRule="auto"/>
              <w:jc w:val="left"/>
              <w:rPr>
                <w:sz w:val="22"/>
                <w:szCs w:val="22"/>
              </w:rPr>
            </w:pPr>
            <w:r w:rsidRPr="001038E1">
              <w:rPr>
                <w:sz w:val="22"/>
                <w:szCs w:val="22"/>
              </w:rPr>
              <w:t>Eficiencias económicas en la prestación del servicio.</w:t>
            </w:r>
          </w:p>
        </w:tc>
      </w:tr>
    </w:tbl>
    <w:p w14:paraId="7EEB00A7" w14:textId="14710B8E" w:rsidR="00DE0845" w:rsidRPr="00830C4F" w:rsidRDefault="00DE0845" w:rsidP="00977ADF">
      <w:pPr>
        <w:spacing w:before="100" w:beforeAutospacing="1" w:after="100" w:afterAutospacing="1" w:line="360" w:lineRule="auto"/>
        <w:jc w:val="center"/>
        <w:rPr>
          <w:sz w:val="22"/>
          <w:szCs w:val="22"/>
        </w:rPr>
      </w:pPr>
      <w:r w:rsidRPr="00830C4F">
        <w:rPr>
          <w:rFonts w:cs="Arial"/>
          <w:sz w:val="22"/>
          <w:szCs w:val="22"/>
        </w:rPr>
        <w:t>Elaboración</w:t>
      </w:r>
      <w:r>
        <w:rPr>
          <w:rFonts w:cs="Arial"/>
          <w:sz w:val="22"/>
          <w:szCs w:val="22"/>
        </w:rPr>
        <w:t>: CREG</w:t>
      </w:r>
    </w:p>
    <w:p w14:paraId="3A946C93" w14:textId="4FD4F378" w:rsidR="00977ADF" w:rsidRDefault="00977ADF">
      <w:pPr>
        <w:jc w:val="left"/>
        <w:rPr>
          <w:rFonts w:cs="Arial"/>
          <w:szCs w:val="24"/>
        </w:rPr>
      </w:pPr>
      <w:r>
        <w:rPr>
          <w:rFonts w:cs="Arial"/>
          <w:szCs w:val="24"/>
        </w:rPr>
        <w:br w:type="page"/>
      </w:r>
    </w:p>
    <w:p w14:paraId="387865E5" w14:textId="77777777" w:rsidR="000C426E" w:rsidRPr="000C426E" w:rsidRDefault="000C426E" w:rsidP="000C426E">
      <w:pPr>
        <w:spacing w:before="100" w:beforeAutospacing="1" w:after="100" w:afterAutospacing="1" w:line="360" w:lineRule="auto"/>
        <w:rPr>
          <w:rFonts w:eastAsia="Arial" w:cs="Arial"/>
          <w:szCs w:val="24"/>
          <w:lang w:val="es-ES"/>
        </w:rPr>
      </w:pPr>
      <w:r w:rsidRPr="000C426E">
        <w:rPr>
          <w:rFonts w:eastAsia="Arial" w:cs="Arial"/>
          <w:szCs w:val="24"/>
          <w:lang w:val="es-ES"/>
        </w:rPr>
        <w:lastRenderedPageBreak/>
        <w:t>Los objetivos de impacto y de resultado definidos en el presente capítulo constituyen el marco de referencia para las etapas posteriores del Análisis de Impacto Normativo. A partir de ellos se identificarán, evaluarán y compararán las diferentes alternativas regulatorias, con el propósito de determinar cuál ofrece una mejor respuesta a las causas estructurales del problema regulatorio identificado.</w:t>
      </w:r>
    </w:p>
    <w:p w14:paraId="378D14DE" w14:textId="001B4E08" w:rsidR="00CB68FC" w:rsidRPr="00222AB9" w:rsidRDefault="000C426E" w:rsidP="000C426E">
      <w:pPr>
        <w:spacing w:before="100" w:beforeAutospacing="1" w:after="100" w:afterAutospacing="1" w:line="360" w:lineRule="auto"/>
        <w:rPr>
          <w:rFonts w:eastAsia="Arial" w:cs="Arial"/>
          <w:szCs w:val="24"/>
          <w:lang w:val="es-ES"/>
        </w:rPr>
      </w:pPr>
      <w:r w:rsidRPr="000C426E">
        <w:rPr>
          <w:rFonts w:eastAsia="Arial" w:cs="Arial"/>
          <w:szCs w:val="24"/>
          <w:lang w:val="es-ES"/>
        </w:rPr>
        <w:t>De esta manera, se garantiza la trazabilidad entre el diagnóstico realizado, las causas y efectos analizados y los objetivos que orientan una eventual intervención regulatoria, conforme a la metodología del AIN.</w:t>
      </w:r>
    </w:p>
    <w:p w14:paraId="6FB54769" w14:textId="328D436D" w:rsidR="000C426E" w:rsidRDefault="000C426E">
      <w:pPr>
        <w:jc w:val="left"/>
        <w:rPr>
          <w:rFonts w:cs="Arial"/>
          <w:szCs w:val="24"/>
        </w:rPr>
      </w:pPr>
      <w:r>
        <w:rPr>
          <w:rFonts w:cs="Arial"/>
          <w:szCs w:val="24"/>
        </w:rPr>
        <w:br w:type="page"/>
      </w:r>
    </w:p>
    <w:p w14:paraId="7060811E" w14:textId="77777777" w:rsidR="00222AB9" w:rsidRDefault="00222AB9">
      <w:pPr>
        <w:jc w:val="left"/>
        <w:rPr>
          <w:rFonts w:cs="Arial"/>
          <w:szCs w:val="24"/>
        </w:rPr>
      </w:pPr>
    </w:p>
    <w:bookmarkStart w:id="247" w:name="_Toc235128397" w:displacedByCustomXml="next"/>
    <w:sdt>
      <w:sdtPr>
        <w:rPr>
          <w:b w:val="0"/>
          <w:lang w:val="es-ES"/>
        </w:rPr>
        <w:id w:val="-1907448203"/>
        <w:docPartObj>
          <w:docPartGallery w:val="Bibliographies"/>
          <w:docPartUnique/>
        </w:docPartObj>
      </w:sdtPr>
      <w:sdtEndPr>
        <w:rPr>
          <w:lang w:val="es-ES_tradnl"/>
        </w:rPr>
      </w:sdtEndPr>
      <w:sdtContent>
        <w:p w14:paraId="34699CB5" w14:textId="77777777" w:rsidR="00CB68FC" w:rsidRDefault="002D59D1" w:rsidP="000C426E">
          <w:pPr>
            <w:pStyle w:val="Ttulo1"/>
            <w:tabs>
              <w:tab w:val="clear" w:pos="2556"/>
            </w:tabs>
            <w:spacing w:line="360" w:lineRule="auto"/>
            <w:ind w:hanging="2556"/>
            <w:jc w:val="left"/>
          </w:pPr>
          <w:r>
            <w:rPr>
              <w:lang w:val="es-ES"/>
            </w:rPr>
            <w:t>REFERENCIAS</w:t>
          </w:r>
          <w:bookmarkEnd w:id="247"/>
        </w:p>
        <w:sdt>
          <w:sdtPr>
            <w:id w:val="-573587230"/>
            <w:bibliography/>
          </w:sdtPr>
          <w:sdtContent>
            <w:p w14:paraId="4B97318F" w14:textId="7B3BFC60" w:rsidR="00923A48" w:rsidRDefault="00CB68FC" w:rsidP="000C426E">
              <w:pPr>
                <w:pStyle w:val="Bibliografa"/>
                <w:spacing w:line="360" w:lineRule="auto"/>
                <w:ind w:left="720" w:hanging="720"/>
                <w:rPr>
                  <w:noProof/>
                  <w:szCs w:val="24"/>
                  <w:lang w:val="es-ES"/>
                </w:rPr>
              </w:pPr>
              <w:r>
                <w:fldChar w:fldCharType="begin"/>
              </w:r>
              <w:r>
                <w:instrText>BIBLIOGRAPHY</w:instrText>
              </w:r>
              <w:r>
                <w:fldChar w:fldCharType="separate"/>
              </w:r>
              <w:r w:rsidR="00491B58">
                <w:rPr>
                  <w:noProof/>
                  <w:lang w:val="es-ES"/>
                </w:rPr>
                <w:t xml:space="preserve">Comisión de Regulación de Energía y Gas (CREG) </w:t>
              </w:r>
              <w:r w:rsidR="00923A48">
                <w:rPr>
                  <w:noProof/>
                  <w:lang w:val="es-ES"/>
                </w:rPr>
                <w:t xml:space="preserve">(2013). </w:t>
              </w:r>
              <w:r w:rsidR="00923A48">
                <w:rPr>
                  <w:i/>
                  <w:iCs/>
                  <w:noProof/>
                  <w:lang w:val="es-ES"/>
                </w:rPr>
                <w:t>Resolución CREG 202 de 2013. Por la cual se establece la metodología para la remuneración de la actividad de distribución de gas combustible por redes de tubería.</w:t>
              </w:r>
              <w:r w:rsidR="00923A48">
                <w:rPr>
                  <w:noProof/>
                  <w:lang w:val="es-ES"/>
                </w:rPr>
                <w:t xml:space="preserve"> Bogotá D.C.</w:t>
              </w:r>
            </w:p>
            <w:p w14:paraId="02551265" w14:textId="77777777" w:rsidR="00000000" w:rsidRDefault="00000000" w:rsidP="000C426E">
              <w:pPr>
                <w:pStyle w:val="Bibliografa"/>
                <w:spacing w:line="360" w:lineRule="auto"/>
                <w:ind w:left="720" w:hanging="720"/>
                <w:rPr>
                  <w:noProof/>
                  <w:lang w:val="es-ES"/>
                </w:rPr>
              </w:pPr>
              <w:r>
                <w:rPr>
                  <w:noProof/>
                  <w:lang w:val="es-ES"/>
                </w:rPr>
                <w:t xml:space="preserve">Comisión de Regulación de Energía y Gas (CREG). (2009). </w:t>
              </w:r>
              <w:r>
                <w:rPr>
                  <w:i/>
                  <w:iCs/>
                  <w:noProof/>
                  <w:lang w:val="es-ES"/>
                </w:rPr>
                <w:t>Resolución CREG 180 de 2009. Por la cual se aprueba la fórmula tarifaria general que permite a los distribuidores y comercializadores minoristas establecer los costos de prestación del servicio de Gas Licuado de Petróleo (GLP) a usuarios regulados.</w:t>
              </w:r>
              <w:r>
                <w:rPr>
                  <w:noProof/>
                  <w:lang w:val="es-ES"/>
                </w:rPr>
                <w:t xml:space="preserve"> Obtenido de Gestor Normativo Alejandría 2.0: https://gestornormativo.creg.gov.co/gestor/entorno/docs/resolucion_creg_0180_2009.htm</w:t>
              </w:r>
            </w:p>
            <w:p w14:paraId="14AF5F32" w14:textId="77777777" w:rsidR="00000000" w:rsidRDefault="00000000" w:rsidP="000C426E">
              <w:pPr>
                <w:pStyle w:val="Bibliografa"/>
                <w:spacing w:line="360" w:lineRule="auto"/>
                <w:ind w:left="720" w:hanging="720"/>
                <w:rPr>
                  <w:noProof/>
                  <w:lang w:val="es-ES"/>
                </w:rPr>
              </w:pPr>
              <w:r>
                <w:rPr>
                  <w:noProof/>
                  <w:lang w:val="es-ES"/>
                </w:rPr>
                <w:t xml:space="preserve">Comisión de Regulación de Energía y Gas. (2007). </w:t>
              </w:r>
              <w:r>
                <w:rPr>
                  <w:i/>
                  <w:iCs/>
                  <w:noProof/>
                  <w:lang w:val="es-ES"/>
                </w:rPr>
                <w:t>Resolución CREG 066 de 2007. Por la cual se establece la regulación de precios de suministro de GLP de comercializadores mayoristas a distribuidores.</w:t>
              </w:r>
              <w:r>
                <w:rPr>
                  <w:noProof/>
                  <w:lang w:val="es-ES"/>
                </w:rPr>
                <w:t xml:space="preserve"> Obtenido de Gestor Normativo Alejandría 2.0: https://gestornormativo.creg.gov.co/gestor/entorno/docs/resolucion_creg_0066_2007.htm</w:t>
              </w:r>
            </w:p>
            <w:p w14:paraId="26E3C4FA" w14:textId="77777777" w:rsidR="00000000" w:rsidRDefault="00000000" w:rsidP="000C426E">
              <w:pPr>
                <w:pStyle w:val="Bibliografa"/>
                <w:spacing w:line="360" w:lineRule="auto"/>
                <w:ind w:left="720" w:hanging="720"/>
                <w:rPr>
                  <w:noProof/>
                  <w:lang w:val="es-ES"/>
                </w:rPr>
              </w:pPr>
              <w:r>
                <w:rPr>
                  <w:noProof/>
                  <w:lang w:val="es-ES"/>
                </w:rPr>
                <w:t xml:space="preserve">Comisión de Regulación de Energía y Gas. (2013). </w:t>
              </w:r>
              <w:r>
                <w:rPr>
                  <w:i/>
                  <w:iCs/>
                  <w:noProof/>
                  <w:lang w:val="es-ES"/>
                </w:rPr>
                <w:t>Resolución CREG 202 de 2013. Por la cual se establecen los criterios generales para remunerar la actividad de distribución de gas combustible por redes de tubería y se dictan otras disposiciones.</w:t>
              </w:r>
              <w:r>
                <w:rPr>
                  <w:noProof/>
                  <w:lang w:val="es-ES"/>
                </w:rPr>
                <w:t xml:space="preserve"> Obtenido de Gestor Normativo Alejandría 2.0.: https://gestornormativo.creg.gov.co/gestor/entorno/docs/resolucion_creg_0202_2013.htm</w:t>
              </w:r>
            </w:p>
            <w:p w14:paraId="0B088410" w14:textId="77777777" w:rsidR="00000000" w:rsidRDefault="00000000" w:rsidP="000C426E">
              <w:pPr>
                <w:pStyle w:val="Bibliografa"/>
                <w:spacing w:line="360" w:lineRule="auto"/>
                <w:ind w:left="720" w:hanging="720"/>
                <w:rPr>
                  <w:noProof/>
                  <w:lang w:val="es-ES"/>
                </w:rPr>
              </w:pPr>
              <w:r>
                <w:rPr>
                  <w:noProof/>
                  <w:lang w:val="es-ES"/>
                </w:rPr>
                <w:t xml:space="preserve">Congreso de la República de Colombia. (1991). </w:t>
              </w:r>
              <w:r>
                <w:rPr>
                  <w:i/>
                  <w:iCs/>
                  <w:noProof/>
                  <w:lang w:val="es-ES"/>
                </w:rPr>
                <w:t>Constitución Política de Colombia.</w:t>
              </w:r>
              <w:r>
                <w:rPr>
                  <w:noProof/>
                  <w:lang w:val="es-ES"/>
                </w:rPr>
                <w:t xml:space="preserve"> Obtenido de SUIN-Juriscol.</w:t>
              </w:r>
            </w:p>
            <w:p w14:paraId="60BF1A19" w14:textId="77777777" w:rsidR="00000000" w:rsidRDefault="00000000" w:rsidP="000C426E">
              <w:pPr>
                <w:pStyle w:val="Bibliografa"/>
                <w:spacing w:line="360" w:lineRule="auto"/>
                <w:ind w:left="720" w:hanging="720"/>
                <w:rPr>
                  <w:noProof/>
                  <w:lang w:val="es-ES"/>
                </w:rPr>
              </w:pPr>
              <w:r>
                <w:rPr>
                  <w:noProof/>
                  <w:lang w:val="es-ES"/>
                </w:rPr>
                <w:t xml:space="preserve">Congreso de la República de Colombia. (1994). </w:t>
              </w:r>
              <w:r>
                <w:rPr>
                  <w:i/>
                  <w:iCs/>
                  <w:noProof/>
                  <w:lang w:val="es-ES"/>
                </w:rPr>
                <w:t>Ley 142 de 1994. Por la cual se establece el régimen de los servicios públicos domiciliarios y se dictan otras disposiciones.</w:t>
              </w:r>
              <w:r>
                <w:rPr>
                  <w:noProof/>
                  <w:lang w:val="es-ES"/>
                </w:rPr>
                <w:t xml:space="preserve"> Obtenido de SUIN-Juriscol: https://www.suin-juriscol.gov.co</w:t>
              </w:r>
            </w:p>
            <w:p w14:paraId="1E592B71" w14:textId="77777777" w:rsidR="00000000" w:rsidRDefault="00000000" w:rsidP="000C426E">
              <w:pPr>
                <w:pStyle w:val="Bibliografa"/>
                <w:spacing w:line="360" w:lineRule="auto"/>
                <w:ind w:left="720" w:hanging="720"/>
                <w:rPr>
                  <w:noProof/>
                  <w:lang w:val="es-ES"/>
                </w:rPr>
              </w:pPr>
              <w:r>
                <w:rPr>
                  <w:noProof/>
                  <w:lang w:val="es-ES"/>
                </w:rPr>
                <w:lastRenderedPageBreak/>
                <w:t xml:space="preserve">Congreso de la República de Colombia. (2001). </w:t>
              </w:r>
              <w:r>
                <w:rPr>
                  <w:i/>
                  <w:iCs/>
                  <w:noProof/>
                  <w:lang w:val="es-ES"/>
                </w:rPr>
                <w:t>Ley 689 de 2001. Por la cual se modifica parcialmente la Ley 142 de 1994.</w:t>
              </w:r>
              <w:r>
                <w:rPr>
                  <w:noProof/>
                  <w:lang w:val="es-ES"/>
                </w:rPr>
                <w:t xml:space="preserve"> Obtenido de SUIN-Juriscol.</w:t>
              </w:r>
            </w:p>
            <w:p w14:paraId="5DE45947" w14:textId="77777777" w:rsidR="00000000" w:rsidRDefault="00000000" w:rsidP="000C426E">
              <w:pPr>
                <w:pStyle w:val="Bibliografa"/>
                <w:spacing w:line="360" w:lineRule="auto"/>
                <w:ind w:left="720" w:hanging="720"/>
                <w:rPr>
                  <w:noProof/>
                  <w:lang w:val="es-ES"/>
                </w:rPr>
              </w:pPr>
              <w:r>
                <w:rPr>
                  <w:noProof/>
                  <w:lang w:val="es-ES"/>
                </w:rPr>
                <w:t xml:space="preserve">Congreso de la República de Colombia. (2009). </w:t>
              </w:r>
              <w:r>
                <w:rPr>
                  <w:i/>
                  <w:iCs/>
                  <w:noProof/>
                  <w:lang w:val="es-ES"/>
                </w:rPr>
                <w:t>Ley 1340 de 2009. Por medio de la cual se dictan normas en materia de protección de la competencia.</w:t>
              </w:r>
              <w:r>
                <w:rPr>
                  <w:noProof/>
                  <w:lang w:val="es-ES"/>
                </w:rPr>
                <w:t xml:space="preserve"> Obtenido de SUIN-Juriscol.</w:t>
              </w:r>
            </w:p>
            <w:p w14:paraId="1C41E0B9" w14:textId="77777777" w:rsidR="00000000" w:rsidRDefault="00000000" w:rsidP="000C426E">
              <w:pPr>
                <w:pStyle w:val="Bibliografa"/>
                <w:spacing w:line="360" w:lineRule="auto"/>
                <w:ind w:left="720" w:hanging="720"/>
                <w:rPr>
                  <w:noProof/>
                  <w:lang w:val="es-ES"/>
                </w:rPr>
              </w:pPr>
              <w:r>
                <w:rPr>
                  <w:noProof/>
                  <w:lang w:val="es-ES"/>
                </w:rPr>
                <w:t xml:space="preserve">Congreso de la República de Colombia. (2021). </w:t>
              </w:r>
              <w:r>
                <w:rPr>
                  <w:i/>
                  <w:iCs/>
                  <w:noProof/>
                  <w:lang w:val="es-ES"/>
                </w:rPr>
                <w:t>Ley 2099 de 2021. Por medio de la cual se dictan disposiciones para la transición energética.</w:t>
              </w:r>
              <w:r>
                <w:rPr>
                  <w:noProof/>
                  <w:lang w:val="es-ES"/>
                </w:rPr>
                <w:t xml:space="preserve"> Obtenido de SUIN-Juriscol.</w:t>
              </w:r>
            </w:p>
            <w:p w14:paraId="2656CA36" w14:textId="77777777" w:rsidR="00000000" w:rsidRDefault="00000000" w:rsidP="000C426E">
              <w:pPr>
                <w:pStyle w:val="Bibliografa"/>
                <w:spacing w:line="360" w:lineRule="auto"/>
                <w:ind w:left="720" w:hanging="720"/>
                <w:rPr>
                  <w:noProof/>
                  <w:lang w:val="es-ES"/>
                </w:rPr>
              </w:pPr>
              <w:r>
                <w:rPr>
                  <w:noProof/>
                  <w:lang w:val="es-ES"/>
                </w:rPr>
                <w:t xml:space="preserve">Congreso de la República de Colombia. (s.f.). </w:t>
              </w:r>
              <w:r>
                <w:rPr>
                  <w:i/>
                  <w:iCs/>
                  <w:noProof/>
                  <w:lang w:val="es-ES"/>
                </w:rPr>
                <w:t>Ley 143 de 1994. Por la cual se establece el régimen para la generación, interconexión, transmisión, distribución y comercialización de electricidad en el territorio nacional.</w:t>
              </w:r>
              <w:r>
                <w:rPr>
                  <w:noProof/>
                  <w:lang w:val="es-ES"/>
                </w:rPr>
                <w:t xml:space="preserve"> Obtenido de SUIN-Juriscol: https://www.suin-juriscol.gov.co</w:t>
              </w:r>
            </w:p>
            <w:p w14:paraId="6A984B83" w14:textId="1ADE753E" w:rsidR="00923A48" w:rsidRDefault="00491B58" w:rsidP="000C426E">
              <w:pPr>
                <w:pStyle w:val="Bibliografa"/>
                <w:spacing w:line="360" w:lineRule="auto"/>
                <w:ind w:left="720" w:hanging="720"/>
                <w:rPr>
                  <w:noProof/>
                  <w:lang w:val="es-ES"/>
                </w:rPr>
              </w:pPr>
              <w:r>
                <w:rPr>
                  <w:noProof/>
                  <w:lang w:val="es-ES"/>
                </w:rPr>
                <w:t>Superintendencia de Servicios Pú</w:t>
              </w:r>
              <w:r w:rsidR="009E335F">
                <w:rPr>
                  <w:noProof/>
                  <w:lang w:val="es-ES"/>
                </w:rPr>
                <w:t>p</w:t>
              </w:r>
              <w:r>
                <w:rPr>
                  <w:noProof/>
                  <w:lang w:val="es-ES"/>
                </w:rPr>
                <w:t xml:space="preserve">licos </w:t>
              </w:r>
              <w:r w:rsidR="00923A48">
                <w:rPr>
                  <w:noProof/>
                  <w:lang w:val="es-ES"/>
                </w:rPr>
                <w:t>Domiciliarios</w:t>
              </w:r>
              <w:r w:rsidR="00923A48">
                <w:rPr>
                  <w:i/>
                  <w:iCs/>
                  <w:noProof/>
                  <w:lang w:val="es-ES"/>
                </w:rPr>
                <w:t>. Sistema Único de Información (SUI).</w:t>
              </w:r>
              <w:r w:rsidR="00923A48">
                <w:rPr>
                  <w:noProof/>
                  <w:lang w:val="es-ES"/>
                </w:rPr>
                <w:t xml:space="preserve"> </w:t>
              </w:r>
            </w:p>
            <w:p w14:paraId="6F95CEE2" w14:textId="0D31C088" w:rsidR="00923A48" w:rsidRDefault="009E335F" w:rsidP="000C426E">
              <w:pPr>
                <w:pStyle w:val="Bibliografa"/>
                <w:spacing w:line="360" w:lineRule="auto"/>
                <w:ind w:left="720" w:hanging="720"/>
                <w:rPr>
                  <w:noProof/>
                  <w:lang w:val="es-ES"/>
                </w:rPr>
              </w:pPr>
              <w:r>
                <w:rPr>
                  <w:noProof/>
                  <w:lang w:val="es-ES"/>
                </w:rPr>
                <w:t xml:space="preserve">Uniddad de Planeación Minero </w:t>
              </w:r>
              <w:r w:rsidR="00923A48">
                <w:rPr>
                  <w:noProof/>
                  <w:lang w:val="es-ES"/>
                </w:rPr>
                <w:t>Energética</w:t>
              </w:r>
              <w:r>
                <w:rPr>
                  <w:noProof/>
                  <w:lang w:val="es-ES"/>
                </w:rPr>
                <w:t xml:space="preserve">. </w:t>
              </w:r>
              <w:r w:rsidR="00923A48">
                <w:rPr>
                  <w:noProof/>
                  <w:lang w:val="es-ES"/>
                </w:rPr>
                <w:t xml:space="preserve">(2025). </w:t>
              </w:r>
              <w:r w:rsidR="00923A48">
                <w:rPr>
                  <w:i/>
                  <w:iCs/>
                  <w:noProof/>
                  <w:lang w:val="es-ES"/>
                </w:rPr>
                <w:t>Plan Indicativo de Abastecimiento de Gas Licuado del Petróleo (PIAGLP) 2025–2034.</w:t>
              </w:r>
              <w:r w:rsidR="00923A48">
                <w:rPr>
                  <w:noProof/>
                  <w:lang w:val="es-ES"/>
                </w:rPr>
                <w:t xml:space="preserve"> </w:t>
              </w:r>
            </w:p>
            <w:p w14:paraId="612E9C53" w14:textId="52A99C70" w:rsidR="00923A48" w:rsidRDefault="009E335F" w:rsidP="000C426E">
              <w:pPr>
                <w:pStyle w:val="Bibliografa"/>
                <w:spacing w:line="360" w:lineRule="auto"/>
                <w:ind w:left="720" w:hanging="720"/>
                <w:rPr>
                  <w:noProof/>
                  <w:lang w:val="es-ES"/>
                </w:rPr>
              </w:pPr>
              <w:r>
                <w:rPr>
                  <w:noProof/>
                  <w:lang w:val="es-ES"/>
                </w:rPr>
                <w:t xml:space="preserve">Ministerio de Minas y </w:t>
              </w:r>
              <w:r w:rsidR="00923A48">
                <w:rPr>
                  <w:noProof/>
                  <w:lang w:val="es-ES"/>
                </w:rPr>
                <w:t>Energía</w:t>
              </w:r>
              <w:r>
                <w:rPr>
                  <w:noProof/>
                  <w:lang w:val="es-ES"/>
                </w:rPr>
                <w:t>.</w:t>
              </w:r>
              <w:r w:rsidR="00923A48">
                <w:rPr>
                  <w:noProof/>
                  <w:lang w:val="es-ES"/>
                </w:rPr>
                <w:t xml:space="preserve"> (2016). </w:t>
              </w:r>
              <w:r w:rsidR="00923A48">
                <w:rPr>
                  <w:i/>
                  <w:iCs/>
                  <w:noProof/>
                  <w:lang w:val="es-ES"/>
                </w:rPr>
                <w:t>Resoluciones 40246, 40247 y 40248 de 2016.</w:t>
              </w:r>
              <w:r w:rsidR="00923A48">
                <w:rPr>
                  <w:noProof/>
                  <w:lang w:val="es-ES"/>
                </w:rPr>
                <w:t xml:space="preserve"> </w:t>
              </w:r>
            </w:p>
            <w:p w14:paraId="54300F77" w14:textId="4FE34E14" w:rsidR="00000000" w:rsidRDefault="009E335F" w:rsidP="000C426E">
              <w:pPr>
                <w:pStyle w:val="Bibliografa"/>
                <w:spacing w:line="360" w:lineRule="auto"/>
                <w:ind w:left="720" w:hanging="720"/>
                <w:rPr>
                  <w:noProof/>
                  <w:lang w:val="es-ES"/>
                </w:rPr>
              </w:pPr>
              <w:r>
                <w:rPr>
                  <w:noProof/>
                  <w:lang w:val="es-ES"/>
                </w:rPr>
                <w:t xml:space="preserve">Ministerio de Minas y </w:t>
              </w:r>
              <w:r w:rsidR="00000000">
                <w:rPr>
                  <w:noProof/>
                  <w:lang w:val="es-ES"/>
                </w:rPr>
                <w:t>Energía</w:t>
              </w:r>
              <w:r>
                <w:rPr>
                  <w:noProof/>
                  <w:lang w:val="es-ES"/>
                </w:rPr>
                <w:t>.</w:t>
              </w:r>
              <w:r w:rsidR="00000000">
                <w:rPr>
                  <w:noProof/>
                  <w:lang w:val="es-ES"/>
                </w:rPr>
                <w:t xml:space="preserve"> (2016). </w:t>
              </w:r>
              <w:r w:rsidR="00000000">
                <w:rPr>
                  <w:i/>
                  <w:iCs/>
                  <w:noProof/>
                  <w:lang w:val="es-ES"/>
                </w:rPr>
                <w:t>Resoluciones 40867, 40868 y 40869 de 2016.</w:t>
              </w:r>
              <w:r w:rsidR="00000000">
                <w:rPr>
                  <w:noProof/>
                  <w:lang w:val="es-ES"/>
                </w:rPr>
                <w:t xml:space="preserve"> </w:t>
              </w:r>
            </w:p>
            <w:p w14:paraId="52CE36F9" w14:textId="77777777" w:rsidR="00000000" w:rsidRDefault="00000000" w:rsidP="000C426E">
              <w:pPr>
                <w:pStyle w:val="Bibliografa"/>
                <w:spacing w:line="360" w:lineRule="auto"/>
                <w:ind w:left="720" w:hanging="720"/>
                <w:rPr>
                  <w:noProof/>
                  <w:lang w:val="es-ES"/>
                </w:rPr>
              </w:pPr>
              <w:r>
                <w:rPr>
                  <w:noProof/>
                  <w:lang w:val="es-ES"/>
                </w:rPr>
                <w:t xml:space="preserve">Energía, M. d. (2018). </w:t>
              </w:r>
              <w:r>
                <w:rPr>
                  <w:i/>
                  <w:iCs/>
                  <w:noProof/>
                  <w:lang w:val="es-ES"/>
                </w:rPr>
                <w:t>Resolución 40304 de 2018.</w:t>
              </w:r>
              <w:r>
                <w:rPr>
                  <w:noProof/>
                  <w:lang w:val="es-ES"/>
                </w:rPr>
                <w:t xml:space="preserve"> </w:t>
              </w:r>
            </w:p>
            <w:p w14:paraId="4C1FDA21" w14:textId="34170E03" w:rsidR="005306CB" w:rsidRDefault="005306CB" w:rsidP="000C426E">
              <w:pPr>
                <w:pStyle w:val="Bibliografa"/>
                <w:spacing w:line="360" w:lineRule="auto"/>
                <w:ind w:left="720" w:hanging="720"/>
                <w:rPr>
                  <w:noProof/>
                  <w:lang w:val="es-ES"/>
                </w:rPr>
              </w:pPr>
              <w:r>
                <w:rPr>
                  <w:noProof/>
                  <w:lang w:val="es-ES"/>
                </w:rPr>
                <w:t xml:space="preserve">Karina Montes, L. F. (2021). </w:t>
              </w:r>
              <w:r w:rsidR="00923A48">
                <w:rPr>
                  <w:i/>
                  <w:iCs/>
                  <w:noProof/>
                  <w:lang w:val="es-ES"/>
                </w:rPr>
                <w:t>Mejora</w:t>
              </w:r>
              <w:r>
                <w:rPr>
                  <w:i/>
                  <w:iCs/>
                  <w:noProof/>
                  <w:lang w:val="es-ES"/>
                </w:rPr>
                <w:t xml:space="preserve"> Regulatoria : Analisis de Impacto Normativo.</w:t>
              </w:r>
              <w:r>
                <w:rPr>
                  <w:noProof/>
                  <w:lang w:val="es-ES"/>
                </w:rPr>
                <w:t xml:space="preserve"> Bogotá: Universidad del Externado de Colombia.</w:t>
              </w:r>
            </w:p>
            <w:p w14:paraId="7CFFFE80" w14:textId="6F1FA910" w:rsidR="00923A48" w:rsidRDefault="00A01BF6" w:rsidP="000C426E">
              <w:pPr>
                <w:pStyle w:val="Bibliografa"/>
                <w:spacing w:line="360" w:lineRule="auto"/>
                <w:ind w:left="720" w:hanging="720"/>
                <w:rPr>
                  <w:noProof/>
                  <w:lang w:val="es-ES"/>
                </w:rPr>
              </w:pPr>
              <w:r>
                <w:rPr>
                  <w:noProof/>
                  <w:lang w:val="es-ES"/>
                </w:rPr>
                <w:t xml:space="preserve">Departamento Nacional de </w:t>
              </w:r>
              <w:r w:rsidR="00923A48">
                <w:rPr>
                  <w:noProof/>
                  <w:lang w:val="es-ES"/>
                </w:rPr>
                <w:t>Planeación</w:t>
              </w:r>
              <w:r>
                <w:rPr>
                  <w:noProof/>
                  <w:lang w:val="es-ES"/>
                </w:rPr>
                <w:t>.</w:t>
              </w:r>
              <w:r w:rsidR="00923A48">
                <w:rPr>
                  <w:noProof/>
                  <w:lang w:val="es-ES"/>
                </w:rPr>
                <w:t xml:space="preserve"> (2023). </w:t>
              </w:r>
              <w:r w:rsidR="00923A48">
                <w:rPr>
                  <w:i/>
                  <w:iCs/>
                  <w:noProof/>
                  <w:lang w:val="es-ES"/>
                </w:rPr>
                <w:t>Plan Nacional de Desarrollo 2022–2026: Colombia potencia mundial de la vida.</w:t>
              </w:r>
              <w:r w:rsidR="00923A48">
                <w:rPr>
                  <w:noProof/>
                  <w:lang w:val="es-ES"/>
                </w:rPr>
                <w:t xml:space="preserve"> </w:t>
              </w:r>
            </w:p>
            <w:p w14:paraId="03D35E87" w14:textId="46AC4BC6" w:rsidR="00923A48" w:rsidRDefault="00A01BF6" w:rsidP="000C426E">
              <w:pPr>
                <w:pStyle w:val="Bibliografa"/>
                <w:spacing w:line="360" w:lineRule="auto"/>
                <w:ind w:left="720" w:hanging="720"/>
                <w:rPr>
                  <w:noProof/>
                  <w:lang w:val="es-ES"/>
                </w:rPr>
              </w:pPr>
              <w:r>
                <w:rPr>
                  <w:noProof/>
                  <w:lang w:val="es-ES"/>
                </w:rPr>
                <w:t xml:space="preserve">Presidencia de la </w:t>
              </w:r>
              <w:r w:rsidR="00923A48">
                <w:rPr>
                  <w:noProof/>
                  <w:lang w:val="es-ES"/>
                </w:rPr>
                <w:t>República</w:t>
              </w:r>
              <w:r>
                <w:rPr>
                  <w:noProof/>
                  <w:lang w:val="es-ES"/>
                </w:rPr>
                <w:t>.</w:t>
              </w:r>
              <w:r w:rsidR="00923A48">
                <w:rPr>
                  <w:noProof/>
                  <w:lang w:val="es-ES"/>
                </w:rPr>
                <w:t xml:space="preserve"> (2012). </w:t>
              </w:r>
              <w:r w:rsidR="00923A48">
                <w:rPr>
                  <w:i/>
                  <w:iCs/>
                  <w:noProof/>
                  <w:lang w:val="es-ES"/>
                </w:rPr>
                <w:t>Decreto 381 de 2012. Por el cual se modifica la estructura del Ministerio de Minas y Energía.</w:t>
              </w:r>
              <w:r w:rsidR="00923A48">
                <w:rPr>
                  <w:noProof/>
                  <w:lang w:val="es-ES"/>
                </w:rPr>
                <w:t xml:space="preserve"> </w:t>
              </w:r>
            </w:p>
            <w:p w14:paraId="5EDE156B" w14:textId="56078548" w:rsidR="00923A48" w:rsidRDefault="00A01BF6" w:rsidP="000C426E">
              <w:pPr>
                <w:pStyle w:val="Bibliografa"/>
                <w:spacing w:line="360" w:lineRule="auto"/>
                <w:ind w:left="720" w:hanging="720"/>
                <w:rPr>
                  <w:noProof/>
                  <w:lang w:val="es-ES"/>
                </w:rPr>
              </w:pPr>
              <w:r>
                <w:rPr>
                  <w:noProof/>
                  <w:lang w:val="es-ES"/>
                </w:rPr>
                <w:t xml:space="preserve">Presidencia de la </w:t>
              </w:r>
              <w:r w:rsidR="00923A48">
                <w:rPr>
                  <w:noProof/>
                  <w:lang w:val="es-ES"/>
                </w:rPr>
                <w:t>República</w:t>
              </w:r>
              <w:r>
                <w:rPr>
                  <w:noProof/>
                  <w:lang w:val="es-ES"/>
                </w:rPr>
                <w:t>.</w:t>
              </w:r>
              <w:r w:rsidR="00923A48">
                <w:rPr>
                  <w:noProof/>
                  <w:lang w:val="es-ES"/>
                </w:rPr>
                <w:t xml:space="preserve">(2013). </w:t>
              </w:r>
              <w:r w:rsidR="00923A48">
                <w:rPr>
                  <w:i/>
                  <w:iCs/>
                  <w:noProof/>
                  <w:lang w:val="es-ES"/>
                </w:rPr>
                <w:t>Decreto 1260 de 2013. Por el cual se modifica la estructura de la Comisión de Regulación de Energía y Gas.</w:t>
              </w:r>
              <w:r w:rsidR="00923A48">
                <w:rPr>
                  <w:noProof/>
                  <w:lang w:val="es-ES"/>
                </w:rPr>
                <w:t xml:space="preserve"> </w:t>
              </w:r>
            </w:p>
            <w:p w14:paraId="08E88271" w14:textId="3FF54406" w:rsidR="00923A48" w:rsidRDefault="00A01BF6" w:rsidP="000C426E">
              <w:pPr>
                <w:pStyle w:val="Bibliografa"/>
                <w:spacing w:line="360" w:lineRule="auto"/>
                <w:ind w:left="720" w:hanging="720"/>
                <w:rPr>
                  <w:noProof/>
                  <w:lang w:val="es-ES"/>
                </w:rPr>
              </w:pPr>
              <w:r>
                <w:rPr>
                  <w:noProof/>
                  <w:lang w:val="es-ES"/>
                </w:rPr>
                <w:t xml:space="preserve">Presidencia de la </w:t>
              </w:r>
              <w:r w:rsidR="00923A48">
                <w:rPr>
                  <w:noProof/>
                  <w:lang w:val="es-ES"/>
                </w:rPr>
                <w:t>República</w:t>
              </w:r>
              <w:r>
                <w:rPr>
                  <w:noProof/>
                  <w:lang w:val="es-ES"/>
                </w:rPr>
                <w:t>.</w:t>
              </w:r>
              <w:r w:rsidR="00923A48">
                <w:rPr>
                  <w:noProof/>
                  <w:lang w:val="es-ES"/>
                </w:rPr>
                <w:t xml:space="preserve">(2015). </w:t>
              </w:r>
              <w:r w:rsidR="00923A48">
                <w:rPr>
                  <w:i/>
                  <w:iCs/>
                  <w:noProof/>
                  <w:lang w:val="es-ES"/>
                </w:rPr>
                <w:t>Decreto 1073 de 2015. Decreto Único Reglamentario del Sector Administrativo de Minas y Energía.</w:t>
              </w:r>
              <w:r w:rsidR="00923A48">
                <w:rPr>
                  <w:noProof/>
                  <w:lang w:val="es-ES"/>
                </w:rPr>
                <w:t xml:space="preserve"> </w:t>
              </w:r>
            </w:p>
            <w:p w14:paraId="5AE0D0FC" w14:textId="13B8C0C7" w:rsidR="00923A48" w:rsidRDefault="00A01BF6" w:rsidP="000C426E">
              <w:pPr>
                <w:pStyle w:val="Bibliografa"/>
                <w:spacing w:line="360" w:lineRule="auto"/>
                <w:ind w:left="720" w:hanging="720"/>
                <w:rPr>
                  <w:noProof/>
                  <w:lang w:val="es-ES"/>
                </w:rPr>
              </w:pPr>
              <w:r>
                <w:rPr>
                  <w:noProof/>
                  <w:lang w:val="es-ES"/>
                </w:rPr>
                <w:t xml:space="preserve">Presidencia de la </w:t>
              </w:r>
              <w:r w:rsidR="00923A48">
                <w:rPr>
                  <w:noProof/>
                  <w:lang w:val="es-ES"/>
                </w:rPr>
                <w:t>República</w:t>
              </w:r>
              <w:r>
                <w:rPr>
                  <w:noProof/>
                  <w:lang w:val="es-ES"/>
                </w:rPr>
                <w:t>.</w:t>
              </w:r>
              <w:r w:rsidR="00923A48">
                <w:rPr>
                  <w:noProof/>
                  <w:lang w:val="es-ES"/>
                </w:rPr>
                <w:t xml:space="preserve"> (2020). </w:t>
              </w:r>
              <w:r w:rsidR="00923A48">
                <w:rPr>
                  <w:i/>
                  <w:iCs/>
                  <w:noProof/>
                  <w:lang w:val="es-ES"/>
                </w:rPr>
                <w:t>Decreto 1369 de 2020. Por el cual se modifica la estructura de la Superintendencia de Servicios Públicos Domiciliarios.</w:t>
              </w:r>
              <w:r w:rsidR="00923A48">
                <w:rPr>
                  <w:noProof/>
                  <w:lang w:val="es-ES"/>
                </w:rPr>
                <w:t xml:space="preserve"> </w:t>
              </w:r>
            </w:p>
            <w:p w14:paraId="7DBE4CA1" w14:textId="218298C1" w:rsidR="00923A48" w:rsidRDefault="00A01BF6" w:rsidP="000C426E">
              <w:pPr>
                <w:pStyle w:val="Bibliografa"/>
                <w:spacing w:line="360" w:lineRule="auto"/>
                <w:ind w:left="720" w:hanging="720"/>
                <w:rPr>
                  <w:noProof/>
                  <w:lang w:val="es-ES"/>
                </w:rPr>
              </w:pPr>
              <w:r>
                <w:rPr>
                  <w:noProof/>
                  <w:lang w:val="es-ES"/>
                </w:rPr>
                <w:lastRenderedPageBreak/>
                <w:t xml:space="preserve">Presidencia de la </w:t>
              </w:r>
              <w:r w:rsidR="00923A48">
                <w:rPr>
                  <w:noProof/>
                  <w:lang w:val="es-ES"/>
                </w:rPr>
                <w:t xml:space="preserve">República. (2024). </w:t>
              </w:r>
              <w:r w:rsidR="00923A48">
                <w:rPr>
                  <w:i/>
                  <w:iCs/>
                  <w:noProof/>
                  <w:lang w:val="es-ES"/>
                </w:rPr>
                <w:t>Decreto 1310 de 2024. Por el cual se adoptan disposiciones relacionadas con el almacenamiento estratégico de Gas Licuado del Petróleo (GLP).</w:t>
              </w:r>
              <w:r w:rsidR="00923A48">
                <w:rPr>
                  <w:noProof/>
                  <w:lang w:val="es-ES"/>
                </w:rPr>
                <w:t xml:space="preserve"> </w:t>
              </w:r>
            </w:p>
            <w:p w14:paraId="088EAAB6" w14:textId="2379B5EF" w:rsidR="00923A48" w:rsidRDefault="00A01BF6" w:rsidP="000C426E">
              <w:pPr>
                <w:pStyle w:val="Bibliografa"/>
                <w:spacing w:line="360" w:lineRule="auto"/>
                <w:ind w:left="720" w:hanging="720"/>
                <w:rPr>
                  <w:noProof/>
                  <w:lang w:val="es-ES"/>
                </w:rPr>
              </w:pPr>
              <w:r>
                <w:rPr>
                  <w:noProof/>
                  <w:lang w:val="es-ES"/>
                </w:rPr>
                <w:t xml:space="preserve">CQM Consultoría </w:t>
              </w:r>
              <w:r w:rsidR="00923A48">
                <w:rPr>
                  <w:noProof/>
                  <w:lang w:val="es-ES"/>
                </w:rPr>
                <w:t xml:space="preserve">S.A.S. (2023). </w:t>
              </w:r>
              <w:r w:rsidR="00923A48">
                <w:rPr>
                  <w:i/>
                  <w:iCs/>
                  <w:noProof/>
                  <w:lang w:val="es-ES"/>
                </w:rPr>
                <w:t>Caracterización de la cadena de prestación del servicio público domiciliario de GLP, definición de mercados relevantes e identificación de fallas de mercado.</w:t>
              </w:r>
              <w:r w:rsidR="00923A48">
                <w:rPr>
                  <w:noProof/>
                  <w:lang w:val="es-ES"/>
                </w:rPr>
                <w:t xml:space="preserve"> Estudio elaborado para la Comisión de Regulación de Energía y Gas.</w:t>
              </w:r>
            </w:p>
            <w:p w14:paraId="52ADA2F8" w14:textId="7F65722A" w:rsidR="000563C4" w:rsidRDefault="00CB68FC" w:rsidP="000C426E">
              <w:pPr>
                <w:spacing w:line="360" w:lineRule="auto"/>
                <w:jc w:val="left"/>
              </w:pPr>
              <w:r>
                <w:rPr>
                  <w:b/>
                  <w:bCs/>
                </w:rPr>
                <w:fldChar w:fldCharType="end"/>
              </w:r>
            </w:p>
          </w:sdtContent>
        </w:sdt>
      </w:sdtContent>
    </w:sdt>
    <w:sectPr w:rsidR="000563C4" w:rsidSect="00C43414">
      <w:headerReference w:type="default" r:id="rId80"/>
      <w:footerReference w:type="default" r:id="rId81"/>
      <w:headerReference w:type="first" r:id="rId82"/>
      <w:footerReference w:type="first" r:id="rId83"/>
      <w:pgSz w:w="12242" w:h="15842" w:code="1"/>
      <w:pgMar w:top="1418" w:right="1418" w:bottom="1701" w:left="1418" w:header="851"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579F0" w14:textId="77777777" w:rsidR="00366E5B" w:rsidRDefault="00366E5B">
      <w:r>
        <w:separator/>
      </w:r>
    </w:p>
  </w:endnote>
  <w:endnote w:type="continuationSeparator" w:id="0">
    <w:p w14:paraId="777CE92E" w14:textId="77777777" w:rsidR="00366E5B" w:rsidRDefault="00366E5B">
      <w:r>
        <w:continuationSeparator/>
      </w:r>
    </w:p>
  </w:endnote>
  <w:endnote w:type="continuationNotice" w:id="1">
    <w:p w14:paraId="45A46464" w14:textId="77777777" w:rsidR="00366E5B" w:rsidRDefault="00366E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n-ea">
    <w:altName w:val="Cambria"/>
    <w:panose1 w:val="00000000000000000000"/>
    <w:charset w:val="00"/>
    <w:family w:val="roman"/>
    <w:notTrueType/>
    <w:pitch w:val="default"/>
  </w:font>
  <w:font w:name="+mn-cs">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3A0A7" w14:textId="1279E4C3" w:rsidR="0007286A" w:rsidRDefault="0007286A" w:rsidP="0007286A">
    <w:pPr>
      <w:pStyle w:val="Piedepgina"/>
      <w:rPr>
        <w:b/>
        <w:sz w:val="16"/>
        <w:lang w:val="es-CO"/>
      </w:rPr>
    </w:pPr>
    <w:r w:rsidRPr="00EA5EF4">
      <w:rPr>
        <w:b/>
        <w:bCs/>
        <w:sz w:val="16"/>
        <w:lang w:val="es-CO"/>
      </w:rPr>
      <w:t>D</w:t>
    </w:r>
    <w:r w:rsidR="00EA5EF4" w:rsidRPr="00EA5EF4">
      <w:rPr>
        <w:b/>
        <w:bCs/>
        <w:sz w:val="16"/>
        <w:lang w:val="es-CO"/>
      </w:rPr>
      <w:t xml:space="preserve">OCUMENTO </w:t>
    </w:r>
    <w:r w:rsidRPr="00EA5EF4">
      <w:rPr>
        <w:b/>
        <w:bCs/>
        <w:sz w:val="16"/>
        <w:lang w:val="es-CO"/>
      </w:rPr>
      <w:t>CRE</w:t>
    </w:r>
    <w:r w:rsidR="00EA5EF4" w:rsidRPr="00EA5EF4">
      <w:rPr>
        <w:b/>
        <w:bCs/>
        <w:sz w:val="16"/>
        <w:lang w:val="es-CO"/>
      </w:rPr>
      <w:t>G 90</w:t>
    </w:r>
    <w:r w:rsidR="00393AEE">
      <w:rPr>
        <w:b/>
        <w:bCs/>
        <w:sz w:val="16"/>
        <w:lang w:val="es-CO"/>
      </w:rPr>
      <w:t>3</w:t>
    </w:r>
    <w:r w:rsidR="00EA5EF4">
      <w:rPr>
        <w:b/>
        <w:sz w:val="16"/>
        <w:lang w:val="es-CO"/>
      </w:rPr>
      <w:t xml:space="preserve"> </w:t>
    </w:r>
    <w:r w:rsidR="00555A31">
      <w:rPr>
        <w:b/>
        <w:sz w:val="16"/>
        <w:lang w:val="es-CO"/>
      </w:rPr>
      <w:t>015</w:t>
    </w:r>
    <w:r w:rsidR="00EA5EF4">
      <w:rPr>
        <w:b/>
        <w:sz w:val="16"/>
        <w:lang w:val="es-CO"/>
      </w:rPr>
      <w:t xml:space="preserve"> DE 2026</w:t>
    </w:r>
  </w:p>
  <w:p w14:paraId="3395E256" w14:textId="77777777" w:rsidR="00EA5EF4" w:rsidRPr="00C43414" w:rsidRDefault="00EA5EF4" w:rsidP="0007286A">
    <w:pPr>
      <w:pStyle w:val="Piedepgina"/>
      <w:rPr>
        <w:b/>
        <w:sz w:val="12"/>
        <w:szCs w:val="12"/>
        <w:lang w:val="es-CO"/>
      </w:rPr>
    </w:pPr>
  </w:p>
  <w:tbl>
    <w:tblPr>
      <w:tblW w:w="53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3"/>
      <w:gridCol w:w="2791"/>
      <w:gridCol w:w="2633"/>
    </w:tblGrid>
    <w:tr w:rsidR="0007286A" w:rsidRPr="00456730" w14:paraId="6438DCB3" w14:textId="77777777">
      <w:trPr>
        <w:cantSplit/>
        <w:trHeight w:val="254"/>
        <w:jc w:val="center"/>
      </w:trPr>
      <w:tc>
        <w:tcPr>
          <w:tcW w:w="2314" w:type="pct"/>
          <w:vAlign w:val="center"/>
        </w:tcPr>
        <w:p w14:paraId="5606FA10" w14:textId="77777777" w:rsidR="0007286A" w:rsidRPr="00456730" w:rsidRDefault="0007286A" w:rsidP="0007286A">
          <w:pPr>
            <w:contextualSpacing/>
            <w:rPr>
              <w:iCs/>
              <w:sz w:val="14"/>
            </w:rPr>
          </w:pPr>
          <w:r w:rsidRPr="00456730">
            <w:rPr>
              <w:rFonts w:cs="Arial"/>
              <w:iCs/>
              <w:sz w:val="14"/>
            </w:rPr>
            <w:t xml:space="preserve">Proceso        </w:t>
          </w:r>
          <w:r w:rsidRPr="00456730">
            <w:rPr>
              <w:rFonts w:cs="Arial"/>
              <w:b/>
              <w:iCs/>
              <w:sz w:val="14"/>
            </w:rPr>
            <w:t>REGULACIÓN</w:t>
          </w:r>
        </w:p>
      </w:tc>
      <w:tc>
        <w:tcPr>
          <w:tcW w:w="1382" w:type="pct"/>
          <w:vAlign w:val="center"/>
        </w:tcPr>
        <w:p w14:paraId="64B41805" w14:textId="77777777" w:rsidR="0007286A" w:rsidRPr="00456730" w:rsidRDefault="0007286A" w:rsidP="0007286A">
          <w:pPr>
            <w:contextualSpacing/>
            <w:rPr>
              <w:rFonts w:cs="Arial"/>
              <w:iCs/>
              <w:sz w:val="14"/>
            </w:rPr>
          </w:pPr>
          <w:r w:rsidRPr="00456730">
            <w:rPr>
              <w:rFonts w:cs="Arial"/>
              <w:b/>
              <w:iCs/>
              <w:sz w:val="14"/>
            </w:rPr>
            <w:t xml:space="preserve">Código: </w:t>
          </w:r>
          <w:r w:rsidRPr="00456730">
            <w:rPr>
              <w:rFonts w:cs="Arial"/>
              <w:iCs/>
              <w:sz w:val="14"/>
            </w:rPr>
            <w:t>RG-FT-005</w:t>
          </w:r>
        </w:p>
      </w:tc>
      <w:tc>
        <w:tcPr>
          <w:tcW w:w="1304" w:type="pct"/>
          <w:vAlign w:val="center"/>
        </w:tcPr>
        <w:p w14:paraId="6C0A5A58" w14:textId="77777777" w:rsidR="0007286A" w:rsidRPr="00456730" w:rsidRDefault="0007286A" w:rsidP="0007286A">
          <w:pPr>
            <w:contextualSpacing/>
            <w:rPr>
              <w:rFonts w:cs="Arial"/>
              <w:iCs/>
              <w:sz w:val="14"/>
            </w:rPr>
          </w:pPr>
          <w:r w:rsidRPr="00456730">
            <w:rPr>
              <w:rFonts w:cs="Arial"/>
              <w:b/>
              <w:iCs/>
              <w:sz w:val="14"/>
            </w:rPr>
            <w:t xml:space="preserve">Versión: </w:t>
          </w:r>
          <w:r>
            <w:rPr>
              <w:rFonts w:cs="Arial"/>
              <w:iCs/>
              <w:sz w:val="14"/>
            </w:rPr>
            <w:t>1</w:t>
          </w:r>
        </w:p>
      </w:tc>
    </w:tr>
    <w:tr w:rsidR="0007286A" w:rsidRPr="00456730" w14:paraId="74059ED4" w14:textId="77777777">
      <w:trPr>
        <w:cantSplit/>
        <w:trHeight w:val="261"/>
        <w:jc w:val="center"/>
      </w:trPr>
      <w:tc>
        <w:tcPr>
          <w:tcW w:w="2314" w:type="pct"/>
          <w:vAlign w:val="center"/>
        </w:tcPr>
        <w:p w14:paraId="7477AD3E" w14:textId="77777777" w:rsidR="0007286A" w:rsidRPr="00456730" w:rsidRDefault="0007286A" w:rsidP="0007286A">
          <w:pPr>
            <w:ind w:left="923" w:hanging="923"/>
            <w:contextualSpacing/>
            <w:rPr>
              <w:rFonts w:cs="Arial"/>
              <w:sz w:val="14"/>
              <w:szCs w:val="14"/>
              <w:lang w:val="es-ES"/>
            </w:rPr>
          </w:pPr>
          <w:r w:rsidRPr="3702CEB7">
            <w:rPr>
              <w:rFonts w:cs="Arial"/>
              <w:sz w:val="14"/>
              <w:szCs w:val="14"/>
              <w:lang w:val="es-ES"/>
            </w:rPr>
            <w:t xml:space="preserve">Documento   </w:t>
          </w:r>
          <w:proofErr w:type="spellStart"/>
          <w:r w:rsidRPr="3702CEB7">
            <w:rPr>
              <w:rFonts w:cs="Arial"/>
              <w:b/>
              <w:bCs/>
              <w:sz w:val="14"/>
              <w:szCs w:val="14"/>
              <w:lang w:val="es-ES"/>
            </w:rPr>
            <w:t>DOCUMENTO</w:t>
          </w:r>
          <w:proofErr w:type="spellEnd"/>
          <w:r w:rsidRPr="3702CEB7">
            <w:rPr>
              <w:rFonts w:cs="Arial"/>
              <w:b/>
              <w:bCs/>
              <w:sz w:val="14"/>
              <w:szCs w:val="14"/>
              <w:lang w:val="es-ES"/>
            </w:rPr>
            <w:t xml:space="preserve"> CREG</w:t>
          </w:r>
        </w:p>
      </w:tc>
      <w:tc>
        <w:tcPr>
          <w:tcW w:w="1382" w:type="pct"/>
          <w:vAlign w:val="center"/>
        </w:tcPr>
        <w:p w14:paraId="2E3E2B25" w14:textId="77777777" w:rsidR="0007286A" w:rsidRPr="00456730" w:rsidRDefault="0007286A" w:rsidP="0007286A">
          <w:pPr>
            <w:contextualSpacing/>
            <w:rPr>
              <w:rFonts w:cs="Arial"/>
              <w:iCs/>
              <w:sz w:val="14"/>
            </w:rPr>
          </w:pPr>
          <w:r w:rsidRPr="00456730">
            <w:rPr>
              <w:rFonts w:cs="Arial"/>
              <w:b/>
              <w:iCs/>
              <w:sz w:val="14"/>
            </w:rPr>
            <w:t xml:space="preserve">Fecha última revisión: </w:t>
          </w:r>
          <w:r>
            <w:rPr>
              <w:rFonts w:cs="Arial"/>
              <w:b/>
              <w:iCs/>
              <w:sz w:val="14"/>
            </w:rPr>
            <w:t>14/11/2017</w:t>
          </w:r>
        </w:p>
      </w:tc>
      <w:tc>
        <w:tcPr>
          <w:tcW w:w="1304" w:type="pct"/>
          <w:vAlign w:val="center"/>
        </w:tcPr>
        <w:p w14:paraId="2209FB97" w14:textId="77777777" w:rsidR="0007286A" w:rsidRPr="00456730" w:rsidRDefault="0007286A" w:rsidP="0007286A">
          <w:pPr>
            <w:contextualSpacing/>
            <w:rPr>
              <w:rFonts w:cs="Arial"/>
              <w:iCs/>
              <w:sz w:val="14"/>
            </w:rPr>
          </w:pPr>
          <w:r w:rsidRPr="00456730">
            <w:rPr>
              <w:rFonts w:cs="Arial"/>
              <w:b/>
              <w:iCs/>
              <w:sz w:val="14"/>
            </w:rPr>
            <w:t>Página:</w:t>
          </w:r>
          <w:r w:rsidRPr="00456730">
            <w:rPr>
              <w:rFonts w:cs="Arial"/>
              <w:iCs/>
              <w:sz w:val="14"/>
            </w:rPr>
            <w:t xml:space="preserve"> </w:t>
          </w:r>
          <w:r w:rsidRPr="00456730">
            <w:rPr>
              <w:rFonts w:cs="Arial"/>
              <w:iCs/>
              <w:sz w:val="14"/>
            </w:rPr>
            <w:fldChar w:fldCharType="begin"/>
          </w:r>
          <w:r w:rsidRPr="00456730">
            <w:rPr>
              <w:rFonts w:cs="Arial"/>
              <w:iCs/>
              <w:sz w:val="14"/>
            </w:rPr>
            <w:instrText xml:space="preserve"> PAGE </w:instrText>
          </w:r>
          <w:r w:rsidRPr="00456730">
            <w:rPr>
              <w:rFonts w:cs="Arial"/>
              <w:iCs/>
              <w:sz w:val="14"/>
            </w:rPr>
            <w:fldChar w:fldCharType="separate"/>
          </w:r>
          <w:r>
            <w:rPr>
              <w:rFonts w:cs="Arial"/>
              <w:iCs/>
              <w:sz w:val="14"/>
            </w:rPr>
            <w:t>2</w:t>
          </w:r>
          <w:r w:rsidRPr="00456730">
            <w:rPr>
              <w:rFonts w:cs="Arial"/>
              <w:iCs/>
              <w:sz w:val="14"/>
            </w:rPr>
            <w:fldChar w:fldCharType="end"/>
          </w:r>
          <w:r>
            <w:rPr>
              <w:rFonts w:cs="Arial"/>
              <w:iCs/>
              <w:sz w:val="14"/>
            </w:rPr>
            <w:t xml:space="preserve"> </w:t>
          </w:r>
        </w:p>
      </w:tc>
    </w:tr>
  </w:tbl>
  <w:p w14:paraId="1013538B" w14:textId="69803F67" w:rsidR="0007286A" w:rsidRPr="00C43414" w:rsidRDefault="0007286A" w:rsidP="0007286A">
    <w:pPr>
      <w:ind w:right="-449"/>
      <w:rPr>
        <w:sz w:val="12"/>
        <w:szCs w:val="12"/>
        <w:lang w:val="es-C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35"/>
      <w:gridCol w:w="3135"/>
      <w:gridCol w:w="3135"/>
    </w:tblGrid>
    <w:tr w:rsidR="1A8F1754" w14:paraId="165DBCC9" w14:textId="77777777" w:rsidTr="1A8F1754">
      <w:trPr>
        <w:trHeight w:val="300"/>
      </w:trPr>
      <w:tc>
        <w:tcPr>
          <w:tcW w:w="3135" w:type="dxa"/>
        </w:tcPr>
        <w:p w14:paraId="738A72DD" w14:textId="0F64E846" w:rsidR="1A8F1754" w:rsidRDefault="1A8F1754" w:rsidP="1A8F1754">
          <w:pPr>
            <w:pStyle w:val="Encabezado"/>
            <w:ind w:left="-115"/>
            <w:jc w:val="left"/>
          </w:pPr>
        </w:p>
      </w:tc>
      <w:tc>
        <w:tcPr>
          <w:tcW w:w="3135" w:type="dxa"/>
        </w:tcPr>
        <w:p w14:paraId="489D7185" w14:textId="5D373B66" w:rsidR="1A8F1754" w:rsidRDefault="1A8F1754" w:rsidP="1A8F1754">
          <w:pPr>
            <w:pStyle w:val="Encabezado"/>
            <w:jc w:val="center"/>
          </w:pPr>
        </w:p>
      </w:tc>
      <w:tc>
        <w:tcPr>
          <w:tcW w:w="3135" w:type="dxa"/>
        </w:tcPr>
        <w:p w14:paraId="4468468E" w14:textId="44D35057" w:rsidR="1A8F1754" w:rsidRDefault="1A8F1754" w:rsidP="1A8F1754">
          <w:pPr>
            <w:pStyle w:val="Encabezado"/>
            <w:ind w:right="-115"/>
            <w:jc w:val="right"/>
          </w:pPr>
        </w:p>
      </w:tc>
    </w:tr>
  </w:tbl>
  <w:p w14:paraId="16EDC44C" w14:textId="7A26A1F5" w:rsidR="00BA6ECB" w:rsidRDefault="00BA6EC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9D241" w14:textId="77777777" w:rsidR="00366E5B" w:rsidRDefault="00366E5B">
      <w:r>
        <w:separator/>
      </w:r>
    </w:p>
  </w:footnote>
  <w:footnote w:type="continuationSeparator" w:id="0">
    <w:p w14:paraId="524A5155" w14:textId="77777777" w:rsidR="00366E5B" w:rsidRDefault="00366E5B">
      <w:r>
        <w:continuationSeparator/>
      </w:r>
    </w:p>
  </w:footnote>
  <w:footnote w:type="continuationNotice" w:id="1">
    <w:p w14:paraId="28A21E3C" w14:textId="77777777" w:rsidR="00366E5B" w:rsidRDefault="00366E5B"/>
  </w:footnote>
  <w:footnote w:id="2">
    <w:p w14:paraId="4889C4F4" w14:textId="148B6BCB" w:rsidR="00940C95" w:rsidRPr="004F1AA5" w:rsidRDefault="00940C95">
      <w:pPr>
        <w:pStyle w:val="Textonotapie"/>
        <w:rPr>
          <w:sz w:val="18"/>
          <w:szCs w:val="18"/>
          <w:lang w:val="es-ES"/>
        </w:rPr>
      </w:pPr>
      <w:r w:rsidRPr="004F1AA5">
        <w:rPr>
          <w:rStyle w:val="Refdenotaalpie"/>
          <w:sz w:val="18"/>
          <w:szCs w:val="18"/>
        </w:rPr>
        <w:footnoteRef/>
      </w:r>
      <w:r w:rsidRPr="004F1AA5">
        <w:rPr>
          <w:sz w:val="18"/>
          <w:szCs w:val="18"/>
        </w:rPr>
        <w:t xml:space="preserve"> </w:t>
      </w:r>
      <w:r w:rsidR="007B0A49" w:rsidRPr="004F1AA5">
        <w:rPr>
          <w:sz w:val="18"/>
          <w:szCs w:val="18"/>
        </w:rPr>
        <w:t xml:space="preserve">Ley 2099 de 2021, </w:t>
      </w:r>
      <w:r w:rsidR="007B0A49" w:rsidRPr="004F1AA5">
        <w:rPr>
          <w:i/>
          <w:sz w:val="18"/>
          <w:szCs w:val="18"/>
        </w:rPr>
        <w:t>“Por medio de la cual se dictan disposiciones para la transición energética, la dinamización del mercado energético y la reactivación económica del país, y se dictan otras disposiciones”.</w:t>
      </w:r>
    </w:p>
  </w:footnote>
  <w:footnote w:id="3">
    <w:p w14:paraId="78A5A7F8" w14:textId="3EEF0672" w:rsidR="000163F6" w:rsidRPr="000163F6" w:rsidRDefault="000163F6">
      <w:pPr>
        <w:pStyle w:val="Textonotapie"/>
        <w:rPr>
          <w:lang w:val="es-ES"/>
        </w:rPr>
      </w:pPr>
      <w:r w:rsidRPr="004F1AA5">
        <w:rPr>
          <w:rStyle w:val="Refdenotaalpie"/>
          <w:sz w:val="18"/>
          <w:szCs w:val="18"/>
        </w:rPr>
        <w:footnoteRef/>
      </w:r>
      <w:r w:rsidRPr="004F1AA5">
        <w:rPr>
          <w:sz w:val="18"/>
          <w:szCs w:val="18"/>
        </w:rPr>
        <w:t xml:space="preserve"> </w:t>
      </w:r>
      <w:r w:rsidR="0081622C" w:rsidRPr="004F1AA5">
        <w:rPr>
          <w:sz w:val="18"/>
          <w:szCs w:val="18"/>
        </w:rPr>
        <w:t>El Sistema Único de Información – SUI, es la plataforma administrada por la Superintendencia de Servicios Públicos Domiciliarios donde los prestadores de servicios públicos reportan información técnica, comercial, financiera, administrativa y operativa sobre la prestación del servicio.</w:t>
      </w:r>
    </w:p>
  </w:footnote>
  <w:footnote w:id="4">
    <w:p w14:paraId="4345DF4A" w14:textId="52438F4B" w:rsidR="00F3094D" w:rsidRPr="00F3094D" w:rsidRDefault="00F3094D">
      <w:pPr>
        <w:pStyle w:val="Textonotapie"/>
        <w:rPr>
          <w:lang w:val="es-ES"/>
        </w:rPr>
      </w:pPr>
      <w:r>
        <w:rPr>
          <w:rStyle w:val="Refdenotaalpie"/>
        </w:rPr>
        <w:footnoteRef/>
      </w:r>
      <w:r>
        <w:t xml:space="preserve"> </w:t>
      </w:r>
      <w:r w:rsidRPr="00F3094D">
        <w:t>Sistema Único de Información</w:t>
      </w:r>
    </w:p>
  </w:footnote>
  <w:footnote w:id="5">
    <w:p w14:paraId="50517290" w14:textId="44BA3C4A" w:rsidR="001207FC" w:rsidRPr="004F1AA5" w:rsidRDefault="001207FC">
      <w:pPr>
        <w:pStyle w:val="Textonotapie"/>
        <w:rPr>
          <w:sz w:val="18"/>
          <w:szCs w:val="18"/>
          <w:lang w:val="es-ES"/>
        </w:rPr>
      </w:pPr>
      <w:r w:rsidRPr="004F1AA5">
        <w:rPr>
          <w:rStyle w:val="Refdenotaalpie"/>
          <w:sz w:val="18"/>
          <w:szCs w:val="18"/>
        </w:rPr>
        <w:footnoteRef/>
      </w:r>
      <w:r w:rsidRPr="004F1AA5">
        <w:rPr>
          <w:sz w:val="18"/>
          <w:szCs w:val="18"/>
        </w:rPr>
        <w:t xml:space="preserve"> </w:t>
      </w:r>
      <w:r w:rsidRPr="004F1AA5">
        <w:rPr>
          <w:sz w:val="18"/>
          <w:szCs w:val="18"/>
          <w:lang w:val="es-ES"/>
        </w:rPr>
        <w:t xml:space="preserve">Unidad de Planeación </w:t>
      </w:r>
      <w:proofErr w:type="gramStart"/>
      <w:r w:rsidRPr="004F1AA5">
        <w:rPr>
          <w:sz w:val="18"/>
          <w:szCs w:val="18"/>
          <w:lang w:val="es-ES"/>
        </w:rPr>
        <w:t>Minero Energética</w:t>
      </w:r>
      <w:proofErr w:type="gramEnd"/>
      <w:r w:rsidRPr="004F1AA5">
        <w:rPr>
          <w:sz w:val="18"/>
          <w:szCs w:val="18"/>
          <w:lang w:val="es-ES"/>
        </w:rPr>
        <w:t xml:space="preserve"> </w:t>
      </w:r>
    </w:p>
  </w:footnote>
  <w:footnote w:id="6">
    <w:p w14:paraId="760E84D8" w14:textId="5204F4A5" w:rsidR="00D5689E" w:rsidRPr="004F1AA5" w:rsidRDefault="00D5689E">
      <w:pPr>
        <w:pStyle w:val="Textonotapie"/>
        <w:rPr>
          <w:sz w:val="18"/>
          <w:szCs w:val="18"/>
        </w:rPr>
      </w:pPr>
      <w:r w:rsidRPr="004F1AA5">
        <w:rPr>
          <w:rStyle w:val="Refdenotaalpie"/>
          <w:sz w:val="18"/>
          <w:szCs w:val="18"/>
        </w:rPr>
        <w:footnoteRef/>
      </w:r>
      <w:r w:rsidRPr="004F1AA5">
        <w:rPr>
          <w:sz w:val="18"/>
          <w:szCs w:val="18"/>
        </w:rPr>
        <w:t xml:space="preserve"> Artículo 6 de la Resolución CREG 066 de 2007</w:t>
      </w:r>
      <w:r w:rsidR="00D5362B" w:rsidRPr="004F1AA5">
        <w:rPr>
          <w:sz w:val="18"/>
          <w:szCs w:val="18"/>
        </w:rPr>
        <w:t xml:space="preserve"> </w:t>
      </w:r>
      <w:r w:rsidR="00205204" w:rsidRPr="004F1AA5">
        <w:rPr>
          <w:i/>
          <w:sz w:val="18"/>
          <w:szCs w:val="18"/>
        </w:rPr>
        <w:t>“PRECIO MÁXIMO DE VENTA O SUMINISTRO PARA EL GLP IMPORTADO POR ECOPETROL. El precio máximo de venta o suministro del GLP importado por Ecopetrol con destino al servicio público domiciliario será aquel equivalente al costo de dicha transacción establecido en los respectivos registros de importación más un margen por concepto de comercialización igual al ocho por ciento (8%)”</w:t>
      </w:r>
      <w:r w:rsidR="00205204" w:rsidRPr="004F1AA5">
        <w:rPr>
          <w:sz w:val="18"/>
          <w:szCs w:val="18"/>
        </w:rPr>
        <w:t>.</w:t>
      </w:r>
    </w:p>
  </w:footnote>
  <w:footnote w:id="7">
    <w:p w14:paraId="1374EAEA" w14:textId="77777777" w:rsidR="00D33255" w:rsidRPr="004F1AA5" w:rsidRDefault="00D33255" w:rsidP="00D33255">
      <w:pPr>
        <w:pStyle w:val="Textonotapie"/>
        <w:rPr>
          <w:sz w:val="18"/>
          <w:szCs w:val="18"/>
          <w:lang w:val="es-CO"/>
        </w:rPr>
      </w:pPr>
      <w:r w:rsidRPr="00355A04">
        <w:rPr>
          <w:rStyle w:val="Refdenotaalpie"/>
          <w:sz w:val="18"/>
          <w:szCs w:val="18"/>
        </w:rPr>
        <w:footnoteRef/>
      </w:r>
      <w:r w:rsidRPr="00355A04">
        <w:rPr>
          <w:sz w:val="18"/>
          <w:szCs w:val="18"/>
        </w:rPr>
        <w:t xml:space="preserve"> </w:t>
      </w:r>
      <w:r>
        <w:rPr>
          <w:sz w:val="18"/>
          <w:szCs w:val="18"/>
        </w:rPr>
        <w:t xml:space="preserve">Definición Precio Máximo Regulado (Resolución CREG 066 de 2007): </w:t>
      </w:r>
      <w:r w:rsidRPr="00355A04">
        <w:rPr>
          <w:sz w:val="18"/>
          <w:szCs w:val="18"/>
        </w:rPr>
        <w:t>“</w:t>
      </w:r>
      <w:r w:rsidRPr="00E9287A">
        <w:rPr>
          <w:i/>
          <w:sz w:val="18"/>
          <w:szCs w:val="18"/>
        </w:rPr>
        <w:t>precio máximo que por todo concepto paga el distribuidor por el GLP entregado por el comercializador mayorista, en el punto de entrada al sistema de transporte o en las instalaciones que para entrega directa adecue el segundo, en las condiciones y cantidades pactadas en el contrato firme celebrado entre ellos. Este precio es establecido por la CREG para cada punto de suministro indicado en esta resolución</w:t>
      </w:r>
      <w:r w:rsidRPr="00355A04">
        <w:rPr>
          <w:sz w:val="18"/>
          <w:szCs w:val="18"/>
        </w:rPr>
        <w:t>”.</w:t>
      </w:r>
    </w:p>
  </w:footnote>
  <w:footnote w:id="8">
    <w:p w14:paraId="0764C6DD" w14:textId="77777777" w:rsidR="00D33255" w:rsidRPr="00644FDC" w:rsidRDefault="00D33255" w:rsidP="00D33255">
      <w:pPr>
        <w:pStyle w:val="Textonotapie"/>
        <w:rPr>
          <w:rFonts w:cs="Arial"/>
          <w:sz w:val="18"/>
          <w:szCs w:val="18"/>
        </w:rPr>
      </w:pPr>
      <w:r w:rsidRPr="00644FDC">
        <w:rPr>
          <w:rFonts w:cs="Arial"/>
          <w:sz w:val="18"/>
          <w:szCs w:val="18"/>
          <w:vertAlign w:val="superscript"/>
        </w:rPr>
        <w:footnoteRef/>
      </w:r>
      <w:r w:rsidRPr="00644FDC">
        <w:rPr>
          <w:rFonts w:cs="Arial"/>
          <w:sz w:val="18"/>
          <w:szCs w:val="18"/>
        </w:rPr>
        <w:t xml:space="preserve"> El concepto de costo de oportunidad da una señal de precio eficiente a la oferta, puesto que quien produce el GLP obtiene al menos, lo que obtendría por venderlo en la segunda mejor alternativa.</w:t>
      </w:r>
    </w:p>
  </w:footnote>
  <w:footnote w:id="9">
    <w:p w14:paraId="402DB413" w14:textId="77777777" w:rsidR="00D33255" w:rsidRPr="00644FDC" w:rsidRDefault="00D33255" w:rsidP="00D33255">
      <w:pPr>
        <w:pStyle w:val="Textonotapie"/>
        <w:rPr>
          <w:rFonts w:cs="Arial"/>
          <w:sz w:val="18"/>
          <w:szCs w:val="18"/>
          <w:lang w:val="es-CO"/>
        </w:rPr>
      </w:pPr>
      <w:r w:rsidRPr="00644FDC">
        <w:rPr>
          <w:rStyle w:val="Refdenotaalpie"/>
          <w:rFonts w:cs="Arial"/>
          <w:sz w:val="18"/>
          <w:szCs w:val="18"/>
        </w:rPr>
        <w:footnoteRef/>
      </w:r>
      <w:r w:rsidRPr="00644FDC">
        <w:rPr>
          <w:rFonts w:cs="Arial"/>
          <w:sz w:val="18"/>
          <w:szCs w:val="18"/>
        </w:rPr>
        <w:t xml:space="preserve"> Ver </w:t>
      </w:r>
      <w:r w:rsidRPr="00644FDC">
        <w:rPr>
          <w:rFonts w:cs="Arial"/>
          <w:spacing w:val="-3"/>
          <w:sz w:val="18"/>
          <w:szCs w:val="18"/>
          <w:lang w:val="es-CO"/>
        </w:rPr>
        <w:t>Resolución CREG 066 de 2007 y sus modificaciones.</w:t>
      </w:r>
    </w:p>
  </w:footnote>
  <w:footnote w:id="10">
    <w:p w14:paraId="346201B0" w14:textId="77777777" w:rsidR="00D33255" w:rsidRPr="00644FDC" w:rsidRDefault="00D33255" w:rsidP="00D33255">
      <w:pPr>
        <w:pStyle w:val="Textonotapie"/>
        <w:rPr>
          <w:rFonts w:cs="Arial"/>
          <w:sz w:val="18"/>
          <w:szCs w:val="18"/>
        </w:rPr>
      </w:pPr>
      <w:r w:rsidRPr="00644FDC">
        <w:rPr>
          <w:rFonts w:cs="Arial"/>
          <w:sz w:val="18"/>
          <w:szCs w:val="18"/>
          <w:vertAlign w:val="superscript"/>
        </w:rPr>
        <w:footnoteRef/>
      </w:r>
      <w:r w:rsidRPr="00644FDC">
        <w:rPr>
          <w:rFonts w:cs="Arial"/>
          <w:sz w:val="18"/>
          <w:szCs w:val="18"/>
          <w:vertAlign w:val="superscript"/>
        </w:rPr>
        <w:t xml:space="preserve"> </w:t>
      </w:r>
      <w:r w:rsidRPr="00644FDC">
        <w:rPr>
          <w:rFonts w:cs="Arial"/>
          <w:sz w:val="18"/>
          <w:szCs w:val="18"/>
        </w:rPr>
        <w:t>Esta decisión fue adoptada bajo la consideración de que el costo de oportunidad de dicho producto, debido a la dificultad de exportarlo, era comercializarlo en el mercado doméstico del interior del país.</w:t>
      </w:r>
    </w:p>
  </w:footnote>
  <w:footnote w:id="11">
    <w:p w14:paraId="2EE78D0A" w14:textId="77777777" w:rsidR="00D33255" w:rsidRPr="00644FDC" w:rsidRDefault="00D33255" w:rsidP="00D33255">
      <w:pPr>
        <w:pStyle w:val="Textonotapie"/>
        <w:rPr>
          <w:rFonts w:cs="Arial"/>
          <w:sz w:val="18"/>
          <w:szCs w:val="18"/>
          <w:lang w:val="es-CO"/>
        </w:rPr>
      </w:pPr>
      <w:r w:rsidRPr="00644FDC">
        <w:rPr>
          <w:rStyle w:val="Refdenotaalpie"/>
          <w:rFonts w:cs="Arial"/>
          <w:sz w:val="18"/>
          <w:szCs w:val="18"/>
        </w:rPr>
        <w:footnoteRef/>
      </w:r>
      <w:r w:rsidRPr="00644FDC">
        <w:rPr>
          <w:rFonts w:cs="Arial"/>
          <w:sz w:val="18"/>
          <w:szCs w:val="18"/>
        </w:rPr>
        <w:t xml:space="preserve"> Este mecanismo se encuentra reglamentado a través de la Resolución CREG 053 de 2011 y fue puesto en marcha a partir de </w:t>
      </w:r>
      <w:proofErr w:type="gramStart"/>
      <w:r w:rsidRPr="00644FDC">
        <w:rPr>
          <w:rFonts w:cs="Arial"/>
          <w:sz w:val="18"/>
          <w:szCs w:val="18"/>
        </w:rPr>
        <w:t>Octubre</w:t>
      </w:r>
      <w:proofErr w:type="gramEnd"/>
      <w:r w:rsidRPr="00644FDC">
        <w:rPr>
          <w:rFonts w:cs="Arial"/>
          <w:sz w:val="18"/>
          <w:szCs w:val="18"/>
        </w:rPr>
        <w:t xml:space="preserve"> de 2011.</w:t>
      </w:r>
    </w:p>
  </w:footnote>
  <w:footnote w:id="12">
    <w:p w14:paraId="0B1A41ED" w14:textId="77777777" w:rsidR="003C4FE0" w:rsidRPr="00B23591" w:rsidRDefault="003C4FE0" w:rsidP="003C4FE0">
      <w:pPr>
        <w:pStyle w:val="Textonotapie"/>
      </w:pPr>
      <w:r>
        <w:rPr>
          <w:rStyle w:val="Refdenotaalpie"/>
        </w:rPr>
        <w:footnoteRef/>
      </w:r>
      <w:r>
        <w:t xml:space="preserve"> </w:t>
      </w:r>
      <w:hyperlink r:id="rId1" w:history="1">
        <w:r w:rsidRPr="00D84FCA">
          <w:rPr>
            <w:rStyle w:val="Hipervnculo"/>
          </w:rPr>
          <w:t>https://www.cenit-transporte.com/glp-3/</w:t>
        </w:r>
      </w:hyperlink>
      <w:r>
        <w:t xml:space="preserve"> </w:t>
      </w:r>
    </w:p>
  </w:footnote>
  <w:footnote w:id="13">
    <w:p w14:paraId="3CCFBEA5" w14:textId="77777777" w:rsidR="00187DD3" w:rsidRPr="00D10917" w:rsidRDefault="00187DD3" w:rsidP="00187DD3">
      <w:pPr>
        <w:pStyle w:val="Textonotapie"/>
        <w:rPr>
          <w:rStyle w:val="Refdenotaalpie"/>
          <w:rFonts w:cs="Arial"/>
          <w:sz w:val="18"/>
          <w:szCs w:val="18"/>
        </w:rPr>
      </w:pPr>
      <w:r w:rsidRPr="00D10917">
        <w:rPr>
          <w:rStyle w:val="Refdenotaalpie"/>
          <w:rFonts w:cs="Arial"/>
          <w:sz w:val="18"/>
          <w:szCs w:val="18"/>
        </w:rPr>
        <w:footnoteRef/>
      </w:r>
      <w:r w:rsidRPr="00D10917">
        <w:rPr>
          <w:rStyle w:val="Refdenotaalpie"/>
          <w:rFonts w:cs="Arial"/>
          <w:sz w:val="18"/>
          <w:szCs w:val="18"/>
        </w:rPr>
        <w:t xml:space="preserve"> </w:t>
      </w:r>
      <w:r w:rsidRPr="00D10917">
        <w:rPr>
          <w:rFonts w:cs="Arial"/>
          <w:sz w:val="18"/>
        </w:rPr>
        <w:t>Modificado por la</w:t>
      </w:r>
      <w:r>
        <w:rPr>
          <w:rFonts w:cs="Arial"/>
          <w:sz w:val="18"/>
        </w:rPr>
        <w:t>s</w:t>
      </w:r>
      <w:r w:rsidRPr="00D10917">
        <w:rPr>
          <w:rFonts w:cs="Arial"/>
          <w:sz w:val="18"/>
        </w:rPr>
        <w:t xml:space="preserve"> resoluciones CREG 165 de 2008 y 177 de 2011.</w:t>
      </w:r>
    </w:p>
  </w:footnote>
  <w:footnote w:id="14">
    <w:p w14:paraId="51F3345F" w14:textId="77777777" w:rsidR="00747BA6" w:rsidRPr="004207FA" w:rsidRDefault="00747BA6" w:rsidP="00747BA6">
      <w:pPr>
        <w:pStyle w:val="Textonotapie"/>
        <w:rPr>
          <w:sz w:val="18"/>
          <w:szCs w:val="18"/>
        </w:rPr>
      </w:pPr>
      <w:r w:rsidRPr="004207FA">
        <w:rPr>
          <w:rStyle w:val="Refdenotaalpie"/>
          <w:sz w:val="18"/>
          <w:szCs w:val="18"/>
        </w:rPr>
        <w:footnoteRef/>
      </w:r>
      <w:r w:rsidRPr="004207FA">
        <w:rPr>
          <w:sz w:val="18"/>
          <w:szCs w:val="18"/>
        </w:rPr>
        <w:t xml:space="preserve"> Resoluciones Ministerio de Minas y Energía No. 40245, 40246, 40247 y 40248 de 2016 y sus modificaciones o adiciones.</w:t>
      </w:r>
    </w:p>
  </w:footnote>
  <w:footnote w:id="15">
    <w:p w14:paraId="56021DFC" w14:textId="77BFBD32" w:rsidR="00FC754C" w:rsidRPr="004207FA" w:rsidRDefault="00FC754C" w:rsidP="00FC754C">
      <w:pPr>
        <w:pStyle w:val="Textonotapie"/>
        <w:rPr>
          <w:rFonts w:cs="Arial"/>
          <w:sz w:val="18"/>
          <w:szCs w:val="18"/>
        </w:rPr>
      </w:pPr>
      <w:r w:rsidRPr="000A00FB">
        <w:rPr>
          <w:rFonts w:cs="Arial"/>
          <w:sz w:val="18"/>
          <w:szCs w:val="18"/>
          <w:vertAlign w:val="superscript"/>
        </w:rPr>
        <w:footnoteRef/>
      </w:r>
      <w:r w:rsidRPr="000A00FB">
        <w:rPr>
          <w:rFonts w:cs="Arial"/>
          <w:sz w:val="18"/>
          <w:szCs w:val="18"/>
          <w:vertAlign w:val="superscript"/>
        </w:rPr>
        <w:t xml:space="preserve"> </w:t>
      </w:r>
      <w:r w:rsidRPr="004207FA">
        <w:rPr>
          <w:rFonts w:cs="Arial"/>
          <w:sz w:val="18"/>
          <w:szCs w:val="18"/>
        </w:rPr>
        <w:t>De acuerdo con la Resolución CREG 164 de 2014 se definieron los “Cilindros Universales Remanentes” como: los cilindros universales que no tienen marca asociada a un prestador del servicio, que no fueron objeto de destrucción y/o adecuación dentro de los períodos de transición y de cierre que finalizó el 1 de julio de 2012, y que después de esta fecha permanecen en el mercado. Estos cilindros no pueden ser utilizados en la prestación del servicio de GLP y por tanto deben ser destruidos.</w:t>
      </w:r>
    </w:p>
  </w:footnote>
  <w:footnote w:id="16">
    <w:p w14:paraId="2A452F61" w14:textId="77777777" w:rsidR="00FC754C" w:rsidRPr="000A00FB" w:rsidRDefault="00FC754C" w:rsidP="00FC754C">
      <w:pPr>
        <w:pStyle w:val="Textonotapie"/>
        <w:rPr>
          <w:sz w:val="18"/>
          <w:szCs w:val="18"/>
        </w:rPr>
      </w:pPr>
      <w:r w:rsidRPr="000A00FB">
        <w:rPr>
          <w:rFonts w:cs="Arial"/>
          <w:sz w:val="18"/>
          <w:szCs w:val="18"/>
          <w:vertAlign w:val="superscript"/>
        </w:rPr>
        <w:footnoteRef/>
      </w:r>
      <w:r w:rsidRPr="000A00FB">
        <w:rPr>
          <w:rFonts w:cs="Arial"/>
          <w:sz w:val="18"/>
          <w:szCs w:val="18"/>
          <w:vertAlign w:val="superscript"/>
        </w:rPr>
        <w:t xml:space="preserve"> </w:t>
      </w:r>
      <w:r w:rsidRPr="004207FA">
        <w:rPr>
          <w:rFonts w:cs="Arial"/>
          <w:sz w:val="18"/>
          <w:szCs w:val="18"/>
        </w:rPr>
        <w:t>Periodo de transición establecido mediante las resoluciones CREG 045 de 2008, CREG 147 de 2010, CREG 178 de 2011 y CREG 098 de 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DA521" w14:textId="2F5E7955" w:rsidR="00605158" w:rsidRDefault="00605158">
    <w:pPr>
      <w:pStyle w:val="Encabezado"/>
    </w:pPr>
    <w:r>
      <w:rPr>
        <w:rFonts w:cs="Arial"/>
        <w:b/>
        <w:i/>
        <w:color w:val="808080"/>
        <w:sz w:val="16"/>
      </w:rPr>
      <w:t xml:space="preserve">Sesión No. </w:t>
    </w:r>
    <w:r w:rsidR="008E4411">
      <w:rPr>
        <w:rFonts w:cs="Arial"/>
        <w:b/>
        <w:i/>
        <w:color w:val="808080"/>
        <w:sz w:val="16"/>
      </w:rPr>
      <w:t>1478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35"/>
      <w:gridCol w:w="3135"/>
      <w:gridCol w:w="3135"/>
    </w:tblGrid>
    <w:tr w:rsidR="1A8F1754" w14:paraId="5BA3AFC4" w14:textId="77777777" w:rsidTr="1A8F1754">
      <w:trPr>
        <w:trHeight w:val="300"/>
      </w:trPr>
      <w:tc>
        <w:tcPr>
          <w:tcW w:w="3135" w:type="dxa"/>
        </w:tcPr>
        <w:p w14:paraId="398E29C3" w14:textId="164DFA72" w:rsidR="1A8F1754" w:rsidRDefault="1A8F1754" w:rsidP="1A8F1754">
          <w:pPr>
            <w:pStyle w:val="Encabezado"/>
            <w:ind w:left="-115"/>
            <w:jc w:val="left"/>
          </w:pPr>
        </w:p>
      </w:tc>
      <w:tc>
        <w:tcPr>
          <w:tcW w:w="3135" w:type="dxa"/>
        </w:tcPr>
        <w:p w14:paraId="78C4695E" w14:textId="54B1EFBC" w:rsidR="1A8F1754" w:rsidRDefault="1A8F1754" w:rsidP="1A8F1754">
          <w:pPr>
            <w:pStyle w:val="Encabezado"/>
            <w:jc w:val="center"/>
          </w:pPr>
        </w:p>
      </w:tc>
      <w:tc>
        <w:tcPr>
          <w:tcW w:w="3135" w:type="dxa"/>
        </w:tcPr>
        <w:p w14:paraId="634554E9" w14:textId="0705BA11" w:rsidR="1A8F1754" w:rsidRDefault="1A8F1754" w:rsidP="1A8F1754">
          <w:pPr>
            <w:pStyle w:val="Encabezado"/>
            <w:ind w:right="-115"/>
            <w:jc w:val="right"/>
          </w:pPr>
        </w:p>
      </w:tc>
    </w:tr>
  </w:tbl>
  <w:p w14:paraId="073765E4" w14:textId="00EB08ED" w:rsidR="00BA6ECB" w:rsidRDefault="00BA6ECB">
    <w:pPr>
      <w:pStyle w:val="Encabezado"/>
    </w:pPr>
  </w:p>
</w:hdr>
</file>

<file path=word/intelligence2.xml><?xml version="1.0" encoding="utf-8"?>
<int2:intelligence xmlns:int2="http://schemas.microsoft.com/office/intelligence/2020/intelligence" xmlns:oel="http://schemas.microsoft.com/office/2019/extlst">
  <int2:observations>
    <int2:textHash int2:hashCode="WZXdQCZz+QKaGl" int2:id="NelN1niB">
      <int2:state int2:value="Rejected" int2:type="spell"/>
    </int2:textHash>
    <int2:textHash int2:hashCode="114ag50TVtTL2C" int2:id="q9vMfJkj">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D804C36"/>
    <w:lvl w:ilvl="0">
      <w:start w:val="1"/>
      <w:numFmt w:val="bullet"/>
      <w:pStyle w:val="Listaconvietas"/>
      <w:lvlText w:val=""/>
      <w:lvlJc w:val="left"/>
      <w:pPr>
        <w:tabs>
          <w:tab w:val="num" w:pos="-720"/>
        </w:tabs>
        <w:ind w:left="-720" w:hanging="360"/>
      </w:pPr>
      <w:rPr>
        <w:rFonts w:ascii="Symbol" w:hAnsi="Symbol" w:hint="default"/>
      </w:rPr>
    </w:lvl>
  </w:abstractNum>
  <w:abstractNum w:abstractNumId="1" w15:restartNumberingAfterBreak="0">
    <w:nsid w:val="03173897"/>
    <w:multiLevelType w:val="multilevel"/>
    <w:tmpl w:val="8E8AB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38104A"/>
    <w:multiLevelType w:val="multilevel"/>
    <w:tmpl w:val="94C85B5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6E2541"/>
    <w:multiLevelType w:val="hybridMultilevel"/>
    <w:tmpl w:val="C136BEA6"/>
    <w:lvl w:ilvl="0" w:tplc="82604250">
      <w:start w:val="1"/>
      <w:numFmt w:val="bullet"/>
      <w:lvlText w:val="•"/>
      <w:lvlJc w:val="left"/>
      <w:pPr>
        <w:ind w:left="720" w:hanging="360"/>
      </w:pPr>
    </w:lvl>
    <w:lvl w:ilvl="1" w:tplc="56C65AEA">
      <w:start w:val="1"/>
      <w:numFmt w:val="bullet"/>
      <w:lvlText w:val="◦"/>
      <w:lvlJc w:val="left"/>
      <w:pPr>
        <w:ind w:left="1080" w:hanging="360"/>
      </w:pPr>
    </w:lvl>
    <w:lvl w:ilvl="2" w:tplc="20666460">
      <w:numFmt w:val="decimal"/>
      <w:lvlText w:val=""/>
      <w:lvlJc w:val="left"/>
    </w:lvl>
    <w:lvl w:ilvl="3" w:tplc="1EDC5AC4">
      <w:numFmt w:val="decimal"/>
      <w:lvlText w:val=""/>
      <w:lvlJc w:val="left"/>
    </w:lvl>
    <w:lvl w:ilvl="4" w:tplc="8D9AB470">
      <w:numFmt w:val="decimal"/>
      <w:lvlText w:val=""/>
      <w:lvlJc w:val="left"/>
    </w:lvl>
    <w:lvl w:ilvl="5" w:tplc="B8C61508">
      <w:numFmt w:val="decimal"/>
      <w:lvlText w:val=""/>
      <w:lvlJc w:val="left"/>
    </w:lvl>
    <w:lvl w:ilvl="6" w:tplc="14767478">
      <w:numFmt w:val="decimal"/>
      <w:lvlText w:val=""/>
      <w:lvlJc w:val="left"/>
    </w:lvl>
    <w:lvl w:ilvl="7" w:tplc="AE8001E4">
      <w:numFmt w:val="decimal"/>
      <w:lvlText w:val=""/>
      <w:lvlJc w:val="left"/>
    </w:lvl>
    <w:lvl w:ilvl="8" w:tplc="D310A310">
      <w:numFmt w:val="decimal"/>
      <w:lvlText w:val=""/>
      <w:lvlJc w:val="left"/>
    </w:lvl>
  </w:abstractNum>
  <w:abstractNum w:abstractNumId="4" w15:restartNumberingAfterBreak="0">
    <w:nsid w:val="05CE52EA"/>
    <w:multiLevelType w:val="hybridMultilevel"/>
    <w:tmpl w:val="2B8277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8BA7CD4"/>
    <w:multiLevelType w:val="multilevel"/>
    <w:tmpl w:val="35A218A0"/>
    <w:styleLink w:val="Estilo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1462DA"/>
    <w:multiLevelType w:val="multilevel"/>
    <w:tmpl w:val="12940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B233E3"/>
    <w:multiLevelType w:val="multilevel"/>
    <w:tmpl w:val="8942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685127"/>
    <w:multiLevelType w:val="multilevel"/>
    <w:tmpl w:val="776CF2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F746A0"/>
    <w:multiLevelType w:val="hybridMultilevel"/>
    <w:tmpl w:val="522272DA"/>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16031C35"/>
    <w:multiLevelType w:val="multilevel"/>
    <w:tmpl w:val="CA5E2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5D6B26"/>
    <w:multiLevelType w:val="hybridMultilevel"/>
    <w:tmpl w:val="FFFFFFFF"/>
    <w:lvl w:ilvl="0" w:tplc="0CBA7EDC">
      <w:start w:val="1"/>
      <w:numFmt w:val="bullet"/>
      <w:lvlText w:val=""/>
      <w:lvlJc w:val="left"/>
      <w:pPr>
        <w:ind w:left="720" w:hanging="360"/>
      </w:pPr>
      <w:rPr>
        <w:rFonts w:ascii="Symbol" w:hAnsi="Symbol" w:hint="default"/>
      </w:rPr>
    </w:lvl>
    <w:lvl w:ilvl="1" w:tplc="38DA8C7C">
      <w:start w:val="1"/>
      <w:numFmt w:val="bullet"/>
      <w:lvlText w:val="o"/>
      <w:lvlJc w:val="left"/>
      <w:pPr>
        <w:ind w:left="1440" w:hanging="360"/>
      </w:pPr>
      <w:rPr>
        <w:rFonts w:ascii="Courier New" w:hAnsi="Courier New" w:hint="default"/>
      </w:rPr>
    </w:lvl>
    <w:lvl w:ilvl="2" w:tplc="E82EAFA8">
      <w:start w:val="1"/>
      <w:numFmt w:val="bullet"/>
      <w:lvlText w:val=""/>
      <w:lvlJc w:val="left"/>
      <w:pPr>
        <w:ind w:left="2160" w:hanging="360"/>
      </w:pPr>
      <w:rPr>
        <w:rFonts w:ascii="Wingdings" w:hAnsi="Wingdings" w:hint="default"/>
      </w:rPr>
    </w:lvl>
    <w:lvl w:ilvl="3" w:tplc="6EE4A428">
      <w:start w:val="1"/>
      <w:numFmt w:val="bullet"/>
      <w:lvlText w:val=""/>
      <w:lvlJc w:val="left"/>
      <w:pPr>
        <w:ind w:left="2880" w:hanging="360"/>
      </w:pPr>
      <w:rPr>
        <w:rFonts w:ascii="Symbol" w:hAnsi="Symbol" w:hint="default"/>
      </w:rPr>
    </w:lvl>
    <w:lvl w:ilvl="4" w:tplc="FBB84E3E">
      <w:start w:val="1"/>
      <w:numFmt w:val="bullet"/>
      <w:lvlText w:val="o"/>
      <w:lvlJc w:val="left"/>
      <w:pPr>
        <w:ind w:left="3600" w:hanging="360"/>
      </w:pPr>
      <w:rPr>
        <w:rFonts w:ascii="Courier New" w:hAnsi="Courier New" w:hint="default"/>
      </w:rPr>
    </w:lvl>
    <w:lvl w:ilvl="5" w:tplc="07963ED4">
      <w:start w:val="1"/>
      <w:numFmt w:val="bullet"/>
      <w:lvlText w:val=""/>
      <w:lvlJc w:val="left"/>
      <w:pPr>
        <w:ind w:left="4320" w:hanging="360"/>
      </w:pPr>
      <w:rPr>
        <w:rFonts w:ascii="Wingdings" w:hAnsi="Wingdings" w:hint="default"/>
      </w:rPr>
    </w:lvl>
    <w:lvl w:ilvl="6" w:tplc="B8EA8C16">
      <w:start w:val="1"/>
      <w:numFmt w:val="bullet"/>
      <w:lvlText w:val=""/>
      <w:lvlJc w:val="left"/>
      <w:pPr>
        <w:ind w:left="5040" w:hanging="360"/>
      </w:pPr>
      <w:rPr>
        <w:rFonts w:ascii="Symbol" w:hAnsi="Symbol" w:hint="default"/>
      </w:rPr>
    </w:lvl>
    <w:lvl w:ilvl="7" w:tplc="9F82EFA6">
      <w:start w:val="1"/>
      <w:numFmt w:val="bullet"/>
      <w:lvlText w:val="o"/>
      <w:lvlJc w:val="left"/>
      <w:pPr>
        <w:ind w:left="5760" w:hanging="360"/>
      </w:pPr>
      <w:rPr>
        <w:rFonts w:ascii="Courier New" w:hAnsi="Courier New" w:hint="default"/>
      </w:rPr>
    </w:lvl>
    <w:lvl w:ilvl="8" w:tplc="629A3E38">
      <w:start w:val="1"/>
      <w:numFmt w:val="bullet"/>
      <w:lvlText w:val=""/>
      <w:lvlJc w:val="left"/>
      <w:pPr>
        <w:ind w:left="6480" w:hanging="360"/>
      </w:pPr>
      <w:rPr>
        <w:rFonts w:ascii="Wingdings" w:hAnsi="Wingdings" w:hint="default"/>
      </w:rPr>
    </w:lvl>
  </w:abstractNum>
  <w:abstractNum w:abstractNumId="12" w15:restartNumberingAfterBreak="0">
    <w:nsid w:val="201B64D0"/>
    <w:multiLevelType w:val="hybridMultilevel"/>
    <w:tmpl w:val="725487A4"/>
    <w:lvl w:ilvl="0" w:tplc="708AFF1C">
      <w:start w:val="1"/>
      <w:numFmt w:val="bullet"/>
      <w:lvlText w:val="-"/>
      <w:lvlJc w:val="left"/>
      <w:pPr>
        <w:ind w:left="1080" w:hanging="360"/>
      </w:pPr>
      <w:rPr>
        <w:rFonts w:ascii="Arial" w:eastAsia="Times New Roman"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3" w15:restartNumberingAfterBreak="0">
    <w:nsid w:val="21C83955"/>
    <w:multiLevelType w:val="hybridMultilevel"/>
    <w:tmpl w:val="5E82FB2A"/>
    <w:lvl w:ilvl="0" w:tplc="708AFF1C">
      <w:start w:val="1"/>
      <w:numFmt w:val="bullet"/>
      <w:lvlText w:val="-"/>
      <w:lvlJc w:val="left"/>
      <w:pPr>
        <w:ind w:left="1077" w:hanging="360"/>
      </w:pPr>
      <w:rPr>
        <w:rFonts w:ascii="Arial" w:eastAsia="Times New Roman" w:hAnsi="Arial" w:cs="Aria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14" w15:restartNumberingAfterBreak="0">
    <w:nsid w:val="22275E97"/>
    <w:multiLevelType w:val="multilevel"/>
    <w:tmpl w:val="23745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674170"/>
    <w:multiLevelType w:val="hybridMultilevel"/>
    <w:tmpl w:val="39C0FF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27942370"/>
    <w:multiLevelType w:val="multilevel"/>
    <w:tmpl w:val="65528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B30D16"/>
    <w:multiLevelType w:val="hybridMultilevel"/>
    <w:tmpl w:val="7DBC2A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8D70707"/>
    <w:multiLevelType w:val="multilevel"/>
    <w:tmpl w:val="6A7C8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6959D7"/>
    <w:multiLevelType w:val="multilevel"/>
    <w:tmpl w:val="5CB05F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6D2327"/>
    <w:multiLevelType w:val="multilevel"/>
    <w:tmpl w:val="276CE75A"/>
    <w:lvl w:ilvl="0">
      <w:start w:val="1"/>
      <w:numFmt w:val="bullet"/>
      <w:lvlText w:val="-"/>
      <w:lvlJc w:val="left"/>
      <w:pPr>
        <w:tabs>
          <w:tab w:val="num" w:pos="720"/>
        </w:tabs>
        <w:ind w:left="720" w:hanging="360"/>
      </w:pPr>
      <w:rPr>
        <w:rFonts w:ascii="Arial" w:eastAsia="Times New Roman"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BB567E"/>
    <w:multiLevelType w:val="multilevel"/>
    <w:tmpl w:val="F5124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ECE5E74"/>
    <w:multiLevelType w:val="hybridMultilevel"/>
    <w:tmpl w:val="E6E805E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2EE24027"/>
    <w:multiLevelType w:val="multilevel"/>
    <w:tmpl w:val="232CD6B2"/>
    <w:lvl w:ilvl="0">
      <w:start w:val="1"/>
      <w:numFmt w:val="bullet"/>
      <w:lvlText w:val="-"/>
      <w:lvlJc w:val="left"/>
      <w:pPr>
        <w:tabs>
          <w:tab w:val="num" w:pos="720"/>
        </w:tabs>
        <w:ind w:left="720" w:hanging="360"/>
      </w:pPr>
      <w:rPr>
        <w:rFonts w:ascii="Arial" w:eastAsia="Times New Roman"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3736F70"/>
    <w:multiLevelType w:val="multilevel"/>
    <w:tmpl w:val="CA329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A66221"/>
    <w:multiLevelType w:val="multilevel"/>
    <w:tmpl w:val="A028AC3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7B607A0"/>
    <w:multiLevelType w:val="hybridMultilevel"/>
    <w:tmpl w:val="5E6E370E"/>
    <w:lvl w:ilvl="0" w:tplc="985A48F6">
      <w:start w:val="1"/>
      <w:numFmt w:val="bullet"/>
      <w:lvlText w:val="•"/>
      <w:lvlJc w:val="left"/>
      <w:pPr>
        <w:tabs>
          <w:tab w:val="num" w:pos="720"/>
        </w:tabs>
        <w:ind w:left="720" w:hanging="360"/>
      </w:pPr>
      <w:rPr>
        <w:rFonts w:ascii="Arial" w:hAnsi="Arial" w:hint="default"/>
      </w:rPr>
    </w:lvl>
    <w:lvl w:ilvl="1" w:tplc="5170C79E" w:tentative="1">
      <w:start w:val="1"/>
      <w:numFmt w:val="bullet"/>
      <w:lvlText w:val="•"/>
      <w:lvlJc w:val="left"/>
      <w:pPr>
        <w:tabs>
          <w:tab w:val="num" w:pos="1440"/>
        </w:tabs>
        <w:ind w:left="1440" w:hanging="360"/>
      </w:pPr>
      <w:rPr>
        <w:rFonts w:ascii="Arial" w:hAnsi="Arial" w:hint="default"/>
      </w:rPr>
    </w:lvl>
    <w:lvl w:ilvl="2" w:tplc="88803EDA" w:tentative="1">
      <w:start w:val="1"/>
      <w:numFmt w:val="bullet"/>
      <w:lvlText w:val="•"/>
      <w:lvlJc w:val="left"/>
      <w:pPr>
        <w:tabs>
          <w:tab w:val="num" w:pos="2160"/>
        </w:tabs>
        <w:ind w:left="2160" w:hanging="360"/>
      </w:pPr>
      <w:rPr>
        <w:rFonts w:ascii="Arial" w:hAnsi="Arial" w:hint="default"/>
      </w:rPr>
    </w:lvl>
    <w:lvl w:ilvl="3" w:tplc="89F2825C" w:tentative="1">
      <w:start w:val="1"/>
      <w:numFmt w:val="bullet"/>
      <w:lvlText w:val="•"/>
      <w:lvlJc w:val="left"/>
      <w:pPr>
        <w:tabs>
          <w:tab w:val="num" w:pos="2880"/>
        </w:tabs>
        <w:ind w:left="2880" w:hanging="360"/>
      </w:pPr>
      <w:rPr>
        <w:rFonts w:ascii="Arial" w:hAnsi="Arial" w:hint="default"/>
      </w:rPr>
    </w:lvl>
    <w:lvl w:ilvl="4" w:tplc="8126F872" w:tentative="1">
      <w:start w:val="1"/>
      <w:numFmt w:val="bullet"/>
      <w:lvlText w:val="•"/>
      <w:lvlJc w:val="left"/>
      <w:pPr>
        <w:tabs>
          <w:tab w:val="num" w:pos="3600"/>
        </w:tabs>
        <w:ind w:left="3600" w:hanging="360"/>
      </w:pPr>
      <w:rPr>
        <w:rFonts w:ascii="Arial" w:hAnsi="Arial" w:hint="default"/>
      </w:rPr>
    </w:lvl>
    <w:lvl w:ilvl="5" w:tplc="F586BA08" w:tentative="1">
      <w:start w:val="1"/>
      <w:numFmt w:val="bullet"/>
      <w:lvlText w:val="•"/>
      <w:lvlJc w:val="left"/>
      <w:pPr>
        <w:tabs>
          <w:tab w:val="num" w:pos="4320"/>
        </w:tabs>
        <w:ind w:left="4320" w:hanging="360"/>
      </w:pPr>
      <w:rPr>
        <w:rFonts w:ascii="Arial" w:hAnsi="Arial" w:hint="default"/>
      </w:rPr>
    </w:lvl>
    <w:lvl w:ilvl="6" w:tplc="51D6D498" w:tentative="1">
      <w:start w:val="1"/>
      <w:numFmt w:val="bullet"/>
      <w:lvlText w:val="•"/>
      <w:lvlJc w:val="left"/>
      <w:pPr>
        <w:tabs>
          <w:tab w:val="num" w:pos="5040"/>
        </w:tabs>
        <w:ind w:left="5040" w:hanging="360"/>
      </w:pPr>
      <w:rPr>
        <w:rFonts w:ascii="Arial" w:hAnsi="Arial" w:hint="default"/>
      </w:rPr>
    </w:lvl>
    <w:lvl w:ilvl="7" w:tplc="82B4D388" w:tentative="1">
      <w:start w:val="1"/>
      <w:numFmt w:val="bullet"/>
      <w:lvlText w:val="•"/>
      <w:lvlJc w:val="left"/>
      <w:pPr>
        <w:tabs>
          <w:tab w:val="num" w:pos="5760"/>
        </w:tabs>
        <w:ind w:left="5760" w:hanging="360"/>
      </w:pPr>
      <w:rPr>
        <w:rFonts w:ascii="Arial" w:hAnsi="Arial" w:hint="default"/>
      </w:rPr>
    </w:lvl>
    <w:lvl w:ilvl="8" w:tplc="9FDA0CE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8525494"/>
    <w:multiLevelType w:val="multilevel"/>
    <w:tmpl w:val="DF42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BC4B6D"/>
    <w:multiLevelType w:val="hybridMultilevel"/>
    <w:tmpl w:val="AE2A13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3992658B"/>
    <w:multiLevelType w:val="hybridMultilevel"/>
    <w:tmpl w:val="C17090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3AA04739"/>
    <w:multiLevelType w:val="multilevel"/>
    <w:tmpl w:val="246C8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B95720"/>
    <w:multiLevelType w:val="multilevel"/>
    <w:tmpl w:val="411C2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EFC0B1B"/>
    <w:multiLevelType w:val="hybridMultilevel"/>
    <w:tmpl w:val="8810520C"/>
    <w:lvl w:ilvl="0" w:tplc="2D4AFF9A">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43903ED1"/>
    <w:multiLevelType w:val="multilevel"/>
    <w:tmpl w:val="756C2366"/>
    <w:lvl w:ilvl="0">
      <w:start w:val="1"/>
      <w:numFmt w:val="decimal"/>
      <w:lvlText w:val="%1."/>
      <w:lvlJc w:val="left"/>
      <w:pPr>
        <w:ind w:left="360" w:hanging="360"/>
      </w:pPr>
    </w:lvl>
    <w:lvl w:ilvl="1">
      <w:start w:val="1"/>
      <w:numFmt w:val="decimal"/>
      <w:pStyle w:val="Ttulo2"/>
      <w:lvlText w:val="%1.%2."/>
      <w:lvlJc w:val="left"/>
      <w:pPr>
        <w:ind w:left="432" w:hanging="432"/>
      </w:pPr>
    </w:lvl>
    <w:lvl w:ilvl="2">
      <w:start w:val="1"/>
      <w:numFmt w:val="decimal"/>
      <w:pStyle w:val="Ttulo3"/>
      <w:lvlText w:val="%1.%2.%3."/>
      <w:lvlJc w:val="left"/>
      <w:pPr>
        <w:ind w:left="504" w:hanging="504"/>
      </w:pPr>
      <w:rPr>
        <w:b/>
        <w:bCs/>
      </w:rPr>
    </w:lvl>
    <w:lvl w:ilvl="3">
      <w:start w:val="1"/>
      <w:numFmt w:val="decimal"/>
      <w:pStyle w:val="Ttulo4"/>
      <w:lvlText w:val="%1.%2.%3.%4."/>
      <w:lvlJc w:val="left"/>
      <w:pPr>
        <w:ind w:left="790" w:hanging="648"/>
      </w:pPr>
      <w:rPr>
        <w:b/>
        <w:bCs w:val="0"/>
      </w:rPr>
    </w:lvl>
    <w:lvl w:ilvl="4">
      <w:start w:val="1"/>
      <w:numFmt w:val="decimal"/>
      <w:lvlText w:val="%1.%2.%3.%4.%5."/>
      <w:lvlJc w:val="left"/>
      <w:pPr>
        <w:ind w:left="2232" w:hanging="792"/>
      </w:pPr>
      <w:rPr>
        <w:b/>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3BE0FAE"/>
    <w:multiLevelType w:val="multilevel"/>
    <w:tmpl w:val="76F89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6031ABD"/>
    <w:multiLevelType w:val="multilevel"/>
    <w:tmpl w:val="DFA42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AD63126"/>
    <w:multiLevelType w:val="hybridMultilevel"/>
    <w:tmpl w:val="92FA1DCC"/>
    <w:lvl w:ilvl="0" w:tplc="5BB24F68">
      <w:start w:val="1"/>
      <w:numFmt w:val="bullet"/>
      <w:lvlText w:val="•"/>
      <w:lvlJc w:val="left"/>
      <w:pPr>
        <w:tabs>
          <w:tab w:val="num" w:pos="720"/>
        </w:tabs>
        <w:ind w:left="720" w:hanging="360"/>
      </w:pPr>
      <w:rPr>
        <w:rFonts w:ascii="Arial" w:hAnsi="Arial" w:hint="default"/>
      </w:rPr>
    </w:lvl>
    <w:lvl w:ilvl="1" w:tplc="AC92F742" w:tentative="1">
      <w:start w:val="1"/>
      <w:numFmt w:val="bullet"/>
      <w:lvlText w:val="•"/>
      <w:lvlJc w:val="left"/>
      <w:pPr>
        <w:tabs>
          <w:tab w:val="num" w:pos="1440"/>
        </w:tabs>
        <w:ind w:left="1440" w:hanging="360"/>
      </w:pPr>
      <w:rPr>
        <w:rFonts w:ascii="Arial" w:hAnsi="Arial" w:hint="default"/>
      </w:rPr>
    </w:lvl>
    <w:lvl w:ilvl="2" w:tplc="642689BA" w:tentative="1">
      <w:start w:val="1"/>
      <w:numFmt w:val="bullet"/>
      <w:lvlText w:val="•"/>
      <w:lvlJc w:val="left"/>
      <w:pPr>
        <w:tabs>
          <w:tab w:val="num" w:pos="2160"/>
        </w:tabs>
        <w:ind w:left="2160" w:hanging="360"/>
      </w:pPr>
      <w:rPr>
        <w:rFonts w:ascii="Arial" w:hAnsi="Arial" w:hint="default"/>
      </w:rPr>
    </w:lvl>
    <w:lvl w:ilvl="3" w:tplc="078C05EA" w:tentative="1">
      <w:start w:val="1"/>
      <w:numFmt w:val="bullet"/>
      <w:lvlText w:val="•"/>
      <w:lvlJc w:val="left"/>
      <w:pPr>
        <w:tabs>
          <w:tab w:val="num" w:pos="2880"/>
        </w:tabs>
        <w:ind w:left="2880" w:hanging="360"/>
      </w:pPr>
      <w:rPr>
        <w:rFonts w:ascii="Arial" w:hAnsi="Arial" w:hint="default"/>
      </w:rPr>
    </w:lvl>
    <w:lvl w:ilvl="4" w:tplc="3B2EA0FE" w:tentative="1">
      <w:start w:val="1"/>
      <w:numFmt w:val="bullet"/>
      <w:lvlText w:val="•"/>
      <w:lvlJc w:val="left"/>
      <w:pPr>
        <w:tabs>
          <w:tab w:val="num" w:pos="3600"/>
        </w:tabs>
        <w:ind w:left="3600" w:hanging="360"/>
      </w:pPr>
      <w:rPr>
        <w:rFonts w:ascii="Arial" w:hAnsi="Arial" w:hint="default"/>
      </w:rPr>
    </w:lvl>
    <w:lvl w:ilvl="5" w:tplc="D766175C" w:tentative="1">
      <w:start w:val="1"/>
      <w:numFmt w:val="bullet"/>
      <w:lvlText w:val="•"/>
      <w:lvlJc w:val="left"/>
      <w:pPr>
        <w:tabs>
          <w:tab w:val="num" w:pos="4320"/>
        </w:tabs>
        <w:ind w:left="4320" w:hanging="360"/>
      </w:pPr>
      <w:rPr>
        <w:rFonts w:ascii="Arial" w:hAnsi="Arial" w:hint="default"/>
      </w:rPr>
    </w:lvl>
    <w:lvl w:ilvl="6" w:tplc="8668D5EA" w:tentative="1">
      <w:start w:val="1"/>
      <w:numFmt w:val="bullet"/>
      <w:lvlText w:val="•"/>
      <w:lvlJc w:val="left"/>
      <w:pPr>
        <w:tabs>
          <w:tab w:val="num" w:pos="5040"/>
        </w:tabs>
        <w:ind w:left="5040" w:hanging="360"/>
      </w:pPr>
      <w:rPr>
        <w:rFonts w:ascii="Arial" w:hAnsi="Arial" w:hint="default"/>
      </w:rPr>
    </w:lvl>
    <w:lvl w:ilvl="7" w:tplc="FE8CEF48" w:tentative="1">
      <w:start w:val="1"/>
      <w:numFmt w:val="bullet"/>
      <w:lvlText w:val="•"/>
      <w:lvlJc w:val="left"/>
      <w:pPr>
        <w:tabs>
          <w:tab w:val="num" w:pos="5760"/>
        </w:tabs>
        <w:ind w:left="5760" w:hanging="360"/>
      </w:pPr>
      <w:rPr>
        <w:rFonts w:ascii="Arial" w:hAnsi="Arial" w:hint="default"/>
      </w:rPr>
    </w:lvl>
    <w:lvl w:ilvl="8" w:tplc="59105496"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4BFF48A6"/>
    <w:multiLevelType w:val="multilevel"/>
    <w:tmpl w:val="B1EAF9D8"/>
    <w:lvl w:ilvl="0">
      <w:start w:val="1"/>
      <w:numFmt w:val="bullet"/>
      <w:lvlText w:val="-"/>
      <w:lvlJc w:val="left"/>
      <w:pPr>
        <w:tabs>
          <w:tab w:val="num" w:pos="720"/>
        </w:tabs>
        <w:ind w:left="720" w:hanging="360"/>
      </w:pPr>
      <w:rPr>
        <w:rFonts w:ascii="Arial" w:eastAsia="Times New Roman"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C482FA6"/>
    <w:multiLevelType w:val="multilevel"/>
    <w:tmpl w:val="4CEC7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C4A6FF2"/>
    <w:multiLevelType w:val="hybridMultilevel"/>
    <w:tmpl w:val="C3B69D66"/>
    <w:lvl w:ilvl="0" w:tplc="B7744ABC">
      <w:start w:val="1"/>
      <w:numFmt w:val="bullet"/>
      <w:lvlText w:val="•"/>
      <w:lvlJc w:val="left"/>
      <w:pPr>
        <w:tabs>
          <w:tab w:val="num" w:pos="720"/>
        </w:tabs>
        <w:ind w:left="720" w:hanging="360"/>
      </w:pPr>
      <w:rPr>
        <w:rFonts w:ascii="Arial" w:hAnsi="Arial" w:hint="default"/>
      </w:rPr>
    </w:lvl>
    <w:lvl w:ilvl="1" w:tplc="5C7A16A4" w:tentative="1">
      <w:start w:val="1"/>
      <w:numFmt w:val="bullet"/>
      <w:lvlText w:val="•"/>
      <w:lvlJc w:val="left"/>
      <w:pPr>
        <w:tabs>
          <w:tab w:val="num" w:pos="1440"/>
        </w:tabs>
        <w:ind w:left="1440" w:hanging="360"/>
      </w:pPr>
      <w:rPr>
        <w:rFonts w:ascii="Arial" w:hAnsi="Arial" w:hint="default"/>
      </w:rPr>
    </w:lvl>
    <w:lvl w:ilvl="2" w:tplc="1284C51A" w:tentative="1">
      <w:start w:val="1"/>
      <w:numFmt w:val="bullet"/>
      <w:lvlText w:val="•"/>
      <w:lvlJc w:val="left"/>
      <w:pPr>
        <w:tabs>
          <w:tab w:val="num" w:pos="2160"/>
        </w:tabs>
        <w:ind w:left="2160" w:hanging="360"/>
      </w:pPr>
      <w:rPr>
        <w:rFonts w:ascii="Arial" w:hAnsi="Arial" w:hint="default"/>
      </w:rPr>
    </w:lvl>
    <w:lvl w:ilvl="3" w:tplc="23DE6B62" w:tentative="1">
      <w:start w:val="1"/>
      <w:numFmt w:val="bullet"/>
      <w:lvlText w:val="•"/>
      <w:lvlJc w:val="left"/>
      <w:pPr>
        <w:tabs>
          <w:tab w:val="num" w:pos="2880"/>
        </w:tabs>
        <w:ind w:left="2880" w:hanging="360"/>
      </w:pPr>
      <w:rPr>
        <w:rFonts w:ascii="Arial" w:hAnsi="Arial" w:hint="default"/>
      </w:rPr>
    </w:lvl>
    <w:lvl w:ilvl="4" w:tplc="F00809D4" w:tentative="1">
      <w:start w:val="1"/>
      <w:numFmt w:val="bullet"/>
      <w:lvlText w:val="•"/>
      <w:lvlJc w:val="left"/>
      <w:pPr>
        <w:tabs>
          <w:tab w:val="num" w:pos="3600"/>
        </w:tabs>
        <w:ind w:left="3600" w:hanging="360"/>
      </w:pPr>
      <w:rPr>
        <w:rFonts w:ascii="Arial" w:hAnsi="Arial" w:hint="default"/>
      </w:rPr>
    </w:lvl>
    <w:lvl w:ilvl="5" w:tplc="7FC66B46" w:tentative="1">
      <w:start w:val="1"/>
      <w:numFmt w:val="bullet"/>
      <w:lvlText w:val="•"/>
      <w:lvlJc w:val="left"/>
      <w:pPr>
        <w:tabs>
          <w:tab w:val="num" w:pos="4320"/>
        </w:tabs>
        <w:ind w:left="4320" w:hanging="360"/>
      </w:pPr>
      <w:rPr>
        <w:rFonts w:ascii="Arial" w:hAnsi="Arial" w:hint="default"/>
      </w:rPr>
    </w:lvl>
    <w:lvl w:ilvl="6" w:tplc="C49E9E8C" w:tentative="1">
      <w:start w:val="1"/>
      <w:numFmt w:val="bullet"/>
      <w:lvlText w:val="•"/>
      <w:lvlJc w:val="left"/>
      <w:pPr>
        <w:tabs>
          <w:tab w:val="num" w:pos="5040"/>
        </w:tabs>
        <w:ind w:left="5040" w:hanging="360"/>
      </w:pPr>
      <w:rPr>
        <w:rFonts w:ascii="Arial" w:hAnsi="Arial" w:hint="default"/>
      </w:rPr>
    </w:lvl>
    <w:lvl w:ilvl="7" w:tplc="CE1C868C" w:tentative="1">
      <w:start w:val="1"/>
      <w:numFmt w:val="bullet"/>
      <w:lvlText w:val="•"/>
      <w:lvlJc w:val="left"/>
      <w:pPr>
        <w:tabs>
          <w:tab w:val="num" w:pos="5760"/>
        </w:tabs>
        <w:ind w:left="5760" w:hanging="360"/>
      </w:pPr>
      <w:rPr>
        <w:rFonts w:ascii="Arial" w:hAnsi="Arial" w:hint="default"/>
      </w:rPr>
    </w:lvl>
    <w:lvl w:ilvl="8" w:tplc="4D203A2A"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4E5E37A4"/>
    <w:multiLevelType w:val="hybridMultilevel"/>
    <w:tmpl w:val="AAC85F7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51E62F49"/>
    <w:multiLevelType w:val="hybridMultilevel"/>
    <w:tmpl w:val="5C2460AC"/>
    <w:lvl w:ilvl="0" w:tplc="3A94AD42">
      <w:start w:val="1"/>
      <w:numFmt w:val="bullet"/>
      <w:lvlText w:val="•"/>
      <w:lvlJc w:val="left"/>
      <w:pPr>
        <w:tabs>
          <w:tab w:val="num" w:pos="720"/>
        </w:tabs>
        <w:ind w:left="720" w:hanging="360"/>
      </w:pPr>
      <w:rPr>
        <w:rFonts w:ascii="Arial" w:hAnsi="Arial" w:hint="default"/>
      </w:rPr>
    </w:lvl>
    <w:lvl w:ilvl="1" w:tplc="4306AD66" w:tentative="1">
      <w:start w:val="1"/>
      <w:numFmt w:val="bullet"/>
      <w:lvlText w:val="•"/>
      <w:lvlJc w:val="left"/>
      <w:pPr>
        <w:tabs>
          <w:tab w:val="num" w:pos="1440"/>
        </w:tabs>
        <w:ind w:left="1440" w:hanging="360"/>
      </w:pPr>
      <w:rPr>
        <w:rFonts w:ascii="Arial" w:hAnsi="Arial" w:hint="default"/>
      </w:rPr>
    </w:lvl>
    <w:lvl w:ilvl="2" w:tplc="AA447C28" w:tentative="1">
      <w:start w:val="1"/>
      <w:numFmt w:val="bullet"/>
      <w:lvlText w:val="•"/>
      <w:lvlJc w:val="left"/>
      <w:pPr>
        <w:tabs>
          <w:tab w:val="num" w:pos="2160"/>
        </w:tabs>
        <w:ind w:left="2160" w:hanging="360"/>
      </w:pPr>
      <w:rPr>
        <w:rFonts w:ascii="Arial" w:hAnsi="Arial" w:hint="default"/>
      </w:rPr>
    </w:lvl>
    <w:lvl w:ilvl="3" w:tplc="99024FE2" w:tentative="1">
      <w:start w:val="1"/>
      <w:numFmt w:val="bullet"/>
      <w:lvlText w:val="•"/>
      <w:lvlJc w:val="left"/>
      <w:pPr>
        <w:tabs>
          <w:tab w:val="num" w:pos="2880"/>
        </w:tabs>
        <w:ind w:left="2880" w:hanging="360"/>
      </w:pPr>
      <w:rPr>
        <w:rFonts w:ascii="Arial" w:hAnsi="Arial" w:hint="default"/>
      </w:rPr>
    </w:lvl>
    <w:lvl w:ilvl="4" w:tplc="2876B2AA" w:tentative="1">
      <w:start w:val="1"/>
      <w:numFmt w:val="bullet"/>
      <w:lvlText w:val="•"/>
      <w:lvlJc w:val="left"/>
      <w:pPr>
        <w:tabs>
          <w:tab w:val="num" w:pos="3600"/>
        </w:tabs>
        <w:ind w:left="3600" w:hanging="360"/>
      </w:pPr>
      <w:rPr>
        <w:rFonts w:ascii="Arial" w:hAnsi="Arial" w:hint="default"/>
      </w:rPr>
    </w:lvl>
    <w:lvl w:ilvl="5" w:tplc="BA141B4E" w:tentative="1">
      <w:start w:val="1"/>
      <w:numFmt w:val="bullet"/>
      <w:lvlText w:val="•"/>
      <w:lvlJc w:val="left"/>
      <w:pPr>
        <w:tabs>
          <w:tab w:val="num" w:pos="4320"/>
        </w:tabs>
        <w:ind w:left="4320" w:hanging="360"/>
      </w:pPr>
      <w:rPr>
        <w:rFonts w:ascii="Arial" w:hAnsi="Arial" w:hint="default"/>
      </w:rPr>
    </w:lvl>
    <w:lvl w:ilvl="6" w:tplc="C7F2199E" w:tentative="1">
      <w:start w:val="1"/>
      <w:numFmt w:val="bullet"/>
      <w:lvlText w:val="•"/>
      <w:lvlJc w:val="left"/>
      <w:pPr>
        <w:tabs>
          <w:tab w:val="num" w:pos="5040"/>
        </w:tabs>
        <w:ind w:left="5040" w:hanging="360"/>
      </w:pPr>
      <w:rPr>
        <w:rFonts w:ascii="Arial" w:hAnsi="Arial" w:hint="default"/>
      </w:rPr>
    </w:lvl>
    <w:lvl w:ilvl="7" w:tplc="1B283F76" w:tentative="1">
      <w:start w:val="1"/>
      <w:numFmt w:val="bullet"/>
      <w:lvlText w:val="•"/>
      <w:lvlJc w:val="left"/>
      <w:pPr>
        <w:tabs>
          <w:tab w:val="num" w:pos="5760"/>
        </w:tabs>
        <w:ind w:left="5760" w:hanging="360"/>
      </w:pPr>
      <w:rPr>
        <w:rFonts w:ascii="Arial" w:hAnsi="Arial" w:hint="default"/>
      </w:rPr>
    </w:lvl>
    <w:lvl w:ilvl="8" w:tplc="1E68D7F2"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52C93C35"/>
    <w:multiLevelType w:val="multilevel"/>
    <w:tmpl w:val="DF42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2FD7597"/>
    <w:multiLevelType w:val="hybridMultilevel"/>
    <w:tmpl w:val="E7125CC0"/>
    <w:lvl w:ilvl="0" w:tplc="BCF8F76A">
      <w:start w:val="1"/>
      <w:numFmt w:val="bullet"/>
      <w:lvlText w:val="•"/>
      <w:lvlJc w:val="left"/>
      <w:pPr>
        <w:tabs>
          <w:tab w:val="num" w:pos="720"/>
        </w:tabs>
        <w:ind w:left="720" w:hanging="360"/>
      </w:pPr>
      <w:rPr>
        <w:rFonts w:ascii="Arial" w:hAnsi="Arial" w:hint="default"/>
      </w:rPr>
    </w:lvl>
    <w:lvl w:ilvl="1" w:tplc="2FCE3D7E" w:tentative="1">
      <w:start w:val="1"/>
      <w:numFmt w:val="bullet"/>
      <w:lvlText w:val="•"/>
      <w:lvlJc w:val="left"/>
      <w:pPr>
        <w:tabs>
          <w:tab w:val="num" w:pos="1440"/>
        </w:tabs>
        <w:ind w:left="1440" w:hanging="360"/>
      </w:pPr>
      <w:rPr>
        <w:rFonts w:ascii="Arial" w:hAnsi="Arial" w:hint="default"/>
      </w:rPr>
    </w:lvl>
    <w:lvl w:ilvl="2" w:tplc="602285CC" w:tentative="1">
      <w:start w:val="1"/>
      <w:numFmt w:val="bullet"/>
      <w:lvlText w:val="•"/>
      <w:lvlJc w:val="left"/>
      <w:pPr>
        <w:tabs>
          <w:tab w:val="num" w:pos="2160"/>
        </w:tabs>
        <w:ind w:left="2160" w:hanging="360"/>
      </w:pPr>
      <w:rPr>
        <w:rFonts w:ascii="Arial" w:hAnsi="Arial" w:hint="default"/>
      </w:rPr>
    </w:lvl>
    <w:lvl w:ilvl="3" w:tplc="57CA42C8" w:tentative="1">
      <w:start w:val="1"/>
      <w:numFmt w:val="bullet"/>
      <w:lvlText w:val="•"/>
      <w:lvlJc w:val="left"/>
      <w:pPr>
        <w:tabs>
          <w:tab w:val="num" w:pos="2880"/>
        </w:tabs>
        <w:ind w:left="2880" w:hanging="360"/>
      </w:pPr>
      <w:rPr>
        <w:rFonts w:ascii="Arial" w:hAnsi="Arial" w:hint="default"/>
      </w:rPr>
    </w:lvl>
    <w:lvl w:ilvl="4" w:tplc="76EA8206" w:tentative="1">
      <w:start w:val="1"/>
      <w:numFmt w:val="bullet"/>
      <w:lvlText w:val="•"/>
      <w:lvlJc w:val="left"/>
      <w:pPr>
        <w:tabs>
          <w:tab w:val="num" w:pos="3600"/>
        </w:tabs>
        <w:ind w:left="3600" w:hanging="360"/>
      </w:pPr>
      <w:rPr>
        <w:rFonts w:ascii="Arial" w:hAnsi="Arial" w:hint="default"/>
      </w:rPr>
    </w:lvl>
    <w:lvl w:ilvl="5" w:tplc="A61ABA78" w:tentative="1">
      <w:start w:val="1"/>
      <w:numFmt w:val="bullet"/>
      <w:lvlText w:val="•"/>
      <w:lvlJc w:val="left"/>
      <w:pPr>
        <w:tabs>
          <w:tab w:val="num" w:pos="4320"/>
        </w:tabs>
        <w:ind w:left="4320" w:hanging="360"/>
      </w:pPr>
      <w:rPr>
        <w:rFonts w:ascii="Arial" w:hAnsi="Arial" w:hint="default"/>
      </w:rPr>
    </w:lvl>
    <w:lvl w:ilvl="6" w:tplc="30E2AE2C" w:tentative="1">
      <w:start w:val="1"/>
      <w:numFmt w:val="bullet"/>
      <w:lvlText w:val="•"/>
      <w:lvlJc w:val="left"/>
      <w:pPr>
        <w:tabs>
          <w:tab w:val="num" w:pos="5040"/>
        </w:tabs>
        <w:ind w:left="5040" w:hanging="360"/>
      </w:pPr>
      <w:rPr>
        <w:rFonts w:ascii="Arial" w:hAnsi="Arial" w:hint="default"/>
      </w:rPr>
    </w:lvl>
    <w:lvl w:ilvl="7" w:tplc="5358C922" w:tentative="1">
      <w:start w:val="1"/>
      <w:numFmt w:val="bullet"/>
      <w:lvlText w:val="•"/>
      <w:lvlJc w:val="left"/>
      <w:pPr>
        <w:tabs>
          <w:tab w:val="num" w:pos="5760"/>
        </w:tabs>
        <w:ind w:left="5760" w:hanging="360"/>
      </w:pPr>
      <w:rPr>
        <w:rFonts w:ascii="Arial" w:hAnsi="Arial" w:hint="default"/>
      </w:rPr>
    </w:lvl>
    <w:lvl w:ilvl="8" w:tplc="D31EABB4"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53A516F8"/>
    <w:multiLevelType w:val="hybridMultilevel"/>
    <w:tmpl w:val="D26063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565A0DE0"/>
    <w:multiLevelType w:val="hybridMultilevel"/>
    <w:tmpl w:val="D60E661A"/>
    <w:lvl w:ilvl="0" w:tplc="8C262146">
      <w:start w:val="1"/>
      <w:numFmt w:val="bullet"/>
      <w:lvlText w:val="•"/>
      <w:lvlJc w:val="left"/>
      <w:pPr>
        <w:tabs>
          <w:tab w:val="num" w:pos="720"/>
        </w:tabs>
        <w:ind w:left="720" w:hanging="360"/>
      </w:pPr>
      <w:rPr>
        <w:rFonts w:ascii="Arial" w:hAnsi="Arial" w:hint="default"/>
      </w:rPr>
    </w:lvl>
    <w:lvl w:ilvl="1" w:tplc="C1D6AFE8" w:tentative="1">
      <w:start w:val="1"/>
      <w:numFmt w:val="bullet"/>
      <w:lvlText w:val="•"/>
      <w:lvlJc w:val="left"/>
      <w:pPr>
        <w:tabs>
          <w:tab w:val="num" w:pos="1440"/>
        </w:tabs>
        <w:ind w:left="1440" w:hanging="360"/>
      </w:pPr>
      <w:rPr>
        <w:rFonts w:ascii="Arial" w:hAnsi="Arial" w:hint="default"/>
      </w:rPr>
    </w:lvl>
    <w:lvl w:ilvl="2" w:tplc="E15ACE9A" w:tentative="1">
      <w:start w:val="1"/>
      <w:numFmt w:val="bullet"/>
      <w:lvlText w:val="•"/>
      <w:lvlJc w:val="left"/>
      <w:pPr>
        <w:tabs>
          <w:tab w:val="num" w:pos="2160"/>
        </w:tabs>
        <w:ind w:left="2160" w:hanging="360"/>
      </w:pPr>
      <w:rPr>
        <w:rFonts w:ascii="Arial" w:hAnsi="Arial" w:hint="default"/>
      </w:rPr>
    </w:lvl>
    <w:lvl w:ilvl="3" w:tplc="91C6C6CA" w:tentative="1">
      <w:start w:val="1"/>
      <w:numFmt w:val="bullet"/>
      <w:lvlText w:val="•"/>
      <w:lvlJc w:val="left"/>
      <w:pPr>
        <w:tabs>
          <w:tab w:val="num" w:pos="2880"/>
        </w:tabs>
        <w:ind w:left="2880" w:hanging="360"/>
      </w:pPr>
      <w:rPr>
        <w:rFonts w:ascii="Arial" w:hAnsi="Arial" w:hint="default"/>
      </w:rPr>
    </w:lvl>
    <w:lvl w:ilvl="4" w:tplc="DFFA2E04" w:tentative="1">
      <w:start w:val="1"/>
      <w:numFmt w:val="bullet"/>
      <w:lvlText w:val="•"/>
      <w:lvlJc w:val="left"/>
      <w:pPr>
        <w:tabs>
          <w:tab w:val="num" w:pos="3600"/>
        </w:tabs>
        <w:ind w:left="3600" w:hanging="360"/>
      </w:pPr>
      <w:rPr>
        <w:rFonts w:ascii="Arial" w:hAnsi="Arial" w:hint="default"/>
      </w:rPr>
    </w:lvl>
    <w:lvl w:ilvl="5" w:tplc="C72A3B66" w:tentative="1">
      <w:start w:val="1"/>
      <w:numFmt w:val="bullet"/>
      <w:lvlText w:val="•"/>
      <w:lvlJc w:val="left"/>
      <w:pPr>
        <w:tabs>
          <w:tab w:val="num" w:pos="4320"/>
        </w:tabs>
        <w:ind w:left="4320" w:hanging="360"/>
      </w:pPr>
      <w:rPr>
        <w:rFonts w:ascii="Arial" w:hAnsi="Arial" w:hint="default"/>
      </w:rPr>
    </w:lvl>
    <w:lvl w:ilvl="6" w:tplc="4AB2F19C" w:tentative="1">
      <w:start w:val="1"/>
      <w:numFmt w:val="bullet"/>
      <w:lvlText w:val="•"/>
      <w:lvlJc w:val="left"/>
      <w:pPr>
        <w:tabs>
          <w:tab w:val="num" w:pos="5040"/>
        </w:tabs>
        <w:ind w:left="5040" w:hanging="360"/>
      </w:pPr>
      <w:rPr>
        <w:rFonts w:ascii="Arial" w:hAnsi="Arial" w:hint="default"/>
      </w:rPr>
    </w:lvl>
    <w:lvl w:ilvl="7" w:tplc="B88EC338" w:tentative="1">
      <w:start w:val="1"/>
      <w:numFmt w:val="bullet"/>
      <w:lvlText w:val="•"/>
      <w:lvlJc w:val="left"/>
      <w:pPr>
        <w:tabs>
          <w:tab w:val="num" w:pos="5760"/>
        </w:tabs>
        <w:ind w:left="5760" w:hanging="360"/>
      </w:pPr>
      <w:rPr>
        <w:rFonts w:ascii="Arial" w:hAnsi="Arial" w:hint="default"/>
      </w:rPr>
    </w:lvl>
    <w:lvl w:ilvl="8" w:tplc="AE625820"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584D45C2"/>
    <w:multiLevelType w:val="multilevel"/>
    <w:tmpl w:val="E0DE6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9320A1D"/>
    <w:multiLevelType w:val="multilevel"/>
    <w:tmpl w:val="B650CF22"/>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8" w15:restartNumberingAfterBreak="0">
    <w:nsid w:val="59AE218E"/>
    <w:multiLevelType w:val="multilevel"/>
    <w:tmpl w:val="D77EA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9B237BE"/>
    <w:multiLevelType w:val="multilevel"/>
    <w:tmpl w:val="FD5090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A647A3C"/>
    <w:multiLevelType w:val="hybridMultilevel"/>
    <w:tmpl w:val="0F42B2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15:restartNumberingAfterBreak="0">
    <w:nsid w:val="5B3E2150"/>
    <w:multiLevelType w:val="hybridMultilevel"/>
    <w:tmpl w:val="05E0A3A6"/>
    <w:lvl w:ilvl="0" w:tplc="080A0015">
      <w:start w:val="1"/>
      <w:numFmt w:val="decimal"/>
      <w:pStyle w:val="Respuestas"/>
      <w:lvlText w:val="Respuesta %1."/>
      <w:lvlJc w:val="left"/>
      <w:pPr>
        <w:ind w:left="1070" w:hanging="360"/>
      </w:pPr>
      <w:rPr>
        <w:rFonts w:ascii="Arial" w:hAnsi="Arial" w:hint="default"/>
        <w:b/>
        <w:i w:val="0"/>
        <w:sz w:val="22"/>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5C73024E"/>
    <w:multiLevelType w:val="multilevel"/>
    <w:tmpl w:val="130E6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01960CD"/>
    <w:multiLevelType w:val="hybridMultilevel"/>
    <w:tmpl w:val="EBF4A20C"/>
    <w:lvl w:ilvl="0" w:tplc="2420675E">
      <w:start w:val="1"/>
      <w:numFmt w:val="bullet"/>
      <w:lvlText w:val="•"/>
      <w:lvlJc w:val="left"/>
      <w:pPr>
        <w:tabs>
          <w:tab w:val="num" w:pos="720"/>
        </w:tabs>
        <w:ind w:left="720" w:hanging="360"/>
      </w:pPr>
      <w:rPr>
        <w:rFonts w:ascii="Arial" w:hAnsi="Arial" w:hint="default"/>
      </w:rPr>
    </w:lvl>
    <w:lvl w:ilvl="1" w:tplc="EE921A78" w:tentative="1">
      <w:start w:val="1"/>
      <w:numFmt w:val="bullet"/>
      <w:lvlText w:val="•"/>
      <w:lvlJc w:val="left"/>
      <w:pPr>
        <w:tabs>
          <w:tab w:val="num" w:pos="1440"/>
        </w:tabs>
        <w:ind w:left="1440" w:hanging="360"/>
      </w:pPr>
      <w:rPr>
        <w:rFonts w:ascii="Arial" w:hAnsi="Arial" w:hint="default"/>
      </w:rPr>
    </w:lvl>
    <w:lvl w:ilvl="2" w:tplc="E98EA21C" w:tentative="1">
      <w:start w:val="1"/>
      <w:numFmt w:val="bullet"/>
      <w:lvlText w:val="•"/>
      <w:lvlJc w:val="left"/>
      <w:pPr>
        <w:tabs>
          <w:tab w:val="num" w:pos="2160"/>
        </w:tabs>
        <w:ind w:left="2160" w:hanging="360"/>
      </w:pPr>
      <w:rPr>
        <w:rFonts w:ascii="Arial" w:hAnsi="Arial" w:hint="default"/>
      </w:rPr>
    </w:lvl>
    <w:lvl w:ilvl="3" w:tplc="8708AA52" w:tentative="1">
      <w:start w:val="1"/>
      <w:numFmt w:val="bullet"/>
      <w:lvlText w:val="•"/>
      <w:lvlJc w:val="left"/>
      <w:pPr>
        <w:tabs>
          <w:tab w:val="num" w:pos="2880"/>
        </w:tabs>
        <w:ind w:left="2880" w:hanging="360"/>
      </w:pPr>
      <w:rPr>
        <w:rFonts w:ascii="Arial" w:hAnsi="Arial" w:hint="default"/>
      </w:rPr>
    </w:lvl>
    <w:lvl w:ilvl="4" w:tplc="ADC4C9B8" w:tentative="1">
      <w:start w:val="1"/>
      <w:numFmt w:val="bullet"/>
      <w:lvlText w:val="•"/>
      <w:lvlJc w:val="left"/>
      <w:pPr>
        <w:tabs>
          <w:tab w:val="num" w:pos="3600"/>
        </w:tabs>
        <w:ind w:left="3600" w:hanging="360"/>
      </w:pPr>
      <w:rPr>
        <w:rFonts w:ascii="Arial" w:hAnsi="Arial" w:hint="default"/>
      </w:rPr>
    </w:lvl>
    <w:lvl w:ilvl="5" w:tplc="2ED86C14" w:tentative="1">
      <w:start w:val="1"/>
      <w:numFmt w:val="bullet"/>
      <w:lvlText w:val="•"/>
      <w:lvlJc w:val="left"/>
      <w:pPr>
        <w:tabs>
          <w:tab w:val="num" w:pos="4320"/>
        </w:tabs>
        <w:ind w:left="4320" w:hanging="360"/>
      </w:pPr>
      <w:rPr>
        <w:rFonts w:ascii="Arial" w:hAnsi="Arial" w:hint="default"/>
      </w:rPr>
    </w:lvl>
    <w:lvl w:ilvl="6" w:tplc="D8189DBC" w:tentative="1">
      <w:start w:val="1"/>
      <w:numFmt w:val="bullet"/>
      <w:lvlText w:val="•"/>
      <w:lvlJc w:val="left"/>
      <w:pPr>
        <w:tabs>
          <w:tab w:val="num" w:pos="5040"/>
        </w:tabs>
        <w:ind w:left="5040" w:hanging="360"/>
      </w:pPr>
      <w:rPr>
        <w:rFonts w:ascii="Arial" w:hAnsi="Arial" w:hint="default"/>
      </w:rPr>
    </w:lvl>
    <w:lvl w:ilvl="7" w:tplc="CEC26F7E" w:tentative="1">
      <w:start w:val="1"/>
      <w:numFmt w:val="bullet"/>
      <w:lvlText w:val="•"/>
      <w:lvlJc w:val="left"/>
      <w:pPr>
        <w:tabs>
          <w:tab w:val="num" w:pos="5760"/>
        </w:tabs>
        <w:ind w:left="5760" w:hanging="360"/>
      </w:pPr>
      <w:rPr>
        <w:rFonts w:ascii="Arial" w:hAnsi="Arial" w:hint="default"/>
      </w:rPr>
    </w:lvl>
    <w:lvl w:ilvl="8" w:tplc="BE0A40B8"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63906978"/>
    <w:multiLevelType w:val="multilevel"/>
    <w:tmpl w:val="DF42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47A72EF"/>
    <w:multiLevelType w:val="multilevel"/>
    <w:tmpl w:val="13B69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7CC4CA9"/>
    <w:multiLevelType w:val="multilevel"/>
    <w:tmpl w:val="59326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9995F25"/>
    <w:multiLevelType w:val="multilevel"/>
    <w:tmpl w:val="246C8FBE"/>
    <w:styleLink w:val="Estilo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A267E45"/>
    <w:multiLevelType w:val="multilevel"/>
    <w:tmpl w:val="D64836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DE06EB0"/>
    <w:multiLevelType w:val="hybridMultilevel"/>
    <w:tmpl w:val="DDE8BD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15:restartNumberingAfterBreak="0">
    <w:nsid w:val="730E254D"/>
    <w:multiLevelType w:val="multilevel"/>
    <w:tmpl w:val="C770B096"/>
    <w:lvl w:ilvl="0">
      <w:start w:val="1"/>
      <w:numFmt w:val="bullet"/>
      <w:lvlText w:val="-"/>
      <w:lvlJc w:val="left"/>
      <w:pPr>
        <w:tabs>
          <w:tab w:val="num" w:pos="720"/>
        </w:tabs>
        <w:ind w:left="720" w:hanging="360"/>
      </w:pPr>
      <w:rPr>
        <w:rFonts w:ascii="Arial" w:eastAsia="Times New Roman"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43B5A68"/>
    <w:multiLevelType w:val="hybridMultilevel"/>
    <w:tmpl w:val="27C8A7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2" w15:restartNumberingAfterBreak="0">
    <w:nsid w:val="79061F2D"/>
    <w:multiLevelType w:val="multilevel"/>
    <w:tmpl w:val="71286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D811F17"/>
    <w:multiLevelType w:val="multilevel"/>
    <w:tmpl w:val="B40A5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7334974">
    <w:abstractNumId w:val="33"/>
  </w:num>
  <w:num w:numId="2" w16cid:durableId="701322882">
    <w:abstractNumId w:val="51"/>
  </w:num>
  <w:num w:numId="3" w16cid:durableId="960385324">
    <w:abstractNumId w:val="0"/>
  </w:num>
  <w:num w:numId="4" w16cid:durableId="340668798">
    <w:abstractNumId w:val="59"/>
  </w:num>
  <w:num w:numId="5" w16cid:durableId="739451642">
    <w:abstractNumId w:val="9"/>
  </w:num>
  <w:num w:numId="6" w16cid:durableId="18385752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233045">
    <w:abstractNumId w:val="5"/>
  </w:num>
  <w:num w:numId="8" w16cid:durableId="312760908">
    <w:abstractNumId w:val="35"/>
  </w:num>
  <w:num w:numId="9" w16cid:durableId="457728424">
    <w:abstractNumId w:val="55"/>
  </w:num>
  <w:num w:numId="10" w16cid:durableId="839736221">
    <w:abstractNumId w:val="19"/>
  </w:num>
  <w:num w:numId="11" w16cid:durableId="518667724">
    <w:abstractNumId w:val="52"/>
  </w:num>
  <w:num w:numId="12" w16cid:durableId="1453864901">
    <w:abstractNumId w:val="22"/>
  </w:num>
  <w:num w:numId="13" w16cid:durableId="1491485845">
    <w:abstractNumId w:val="57"/>
  </w:num>
  <w:num w:numId="14" w16cid:durableId="216360355">
    <w:abstractNumId w:val="30"/>
  </w:num>
  <w:num w:numId="15" w16cid:durableId="155805388">
    <w:abstractNumId w:val="48"/>
  </w:num>
  <w:num w:numId="16" w16cid:durableId="691228821">
    <w:abstractNumId w:val="3"/>
    <w:lvlOverride w:ilvl="0">
      <w:startOverride w:val="1"/>
    </w:lvlOverride>
  </w:num>
  <w:num w:numId="17" w16cid:durableId="603269085">
    <w:abstractNumId w:val="2"/>
  </w:num>
  <w:num w:numId="18" w16cid:durableId="1058163874">
    <w:abstractNumId w:val="40"/>
  </w:num>
  <w:num w:numId="19" w16cid:durableId="849685183">
    <w:abstractNumId w:val="13"/>
  </w:num>
  <w:num w:numId="20" w16cid:durableId="428040629">
    <w:abstractNumId w:val="12"/>
  </w:num>
  <w:num w:numId="21" w16cid:durableId="1112363150">
    <w:abstractNumId w:val="43"/>
  </w:num>
  <w:num w:numId="22" w16cid:durableId="762385196">
    <w:abstractNumId w:val="36"/>
  </w:num>
  <w:num w:numId="23" w16cid:durableId="955016602">
    <w:abstractNumId w:val="26"/>
  </w:num>
  <w:num w:numId="24" w16cid:durableId="1831870787">
    <w:abstractNumId w:val="39"/>
  </w:num>
  <w:num w:numId="25" w16cid:durableId="1178036678">
    <w:abstractNumId w:val="15"/>
  </w:num>
  <w:num w:numId="26" w16cid:durableId="665012715">
    <w:abstractNumId w:val="45"/>
  </w:num>
  <w:num w:numId="27" w16cid:durableId="48188088">
    <w:abstractNumId w:val="41"/>
  </w:num>
  <w:num w:numId="28" w16cid:durableId="862792951">
    <w:abstractNumId w:val="29"/>
  </w:num>
  <w:num w:numId="29" w16cid:durableId="451872826">
    <w:abstractNumId w:val="44"/>
  </w:num>
  <w:num w:numId="30" w16cid:durableId="431438377">
    <w:abstractNumId w:val="61"/>
  </w:num>
  <w:num w:numId="31" w16cid:durableId="260769150">
    <w:abstractNumId w:val="11"/>
  </w:num>
  <w:num w:numId="32" w16cid:durableId="1394280103">
    <w:abstractNumId w:val="37"/>
  </w:num>
  <w:num w:numId="33" w16cid:durableId="980116853">
    <w:abstractNumId w:val="20"/>
  </w:num>
  <w:num w:numId="34" w16cid:durableId="1021707222">
    <w:abstractNumId w:val="60"/>
  </w:num>
  <w:num w:numId="35" w16cid:durableId="1053240064">
    <w:abstractNumId w:val="47"/>
  </w:num>
  <w:num w:numId="36" w16cid:durableId="1384478404">
    <w:abstractNumId w:val="23"/>
  </w:num>
  <w:num w:numId="37" w16cid:durableId="1208951286">
    <w:abstractNumId w:val="4"/>
  </w:num>
  <w:num w:numId="38" w16cid:durableId="494105068">
    <w:abstractNumId w:val="53"/>
  </w:num>
  <w:num w:numId="39" w16cid:durableId="1259371459">
    <w:abstractNumId w:val="6"/>
  </w:num>
  <w:num w:numId="40" w16cid:durableId="2125347001">
    <w:abstractNumId w:val="8"/>
  </w:num>
  <w:num w:numId="41" w16cid:durableId="645667577">
    <w:abstractNumId w:val="25"/>
  </w:num>
  <w:num w:numId="42" w16cid:durableId="202064937">
    <w:abstractNumId w:val="62"/>
  </w:num>
  <w:num w:numId="43" w16cid:durableId="407578151">
    <w:abstractNumId w:val="21"/>
  </w:num>
  <w:num w:numId="44" w16cid:durableId="877669645">
    <w:abstractNumId w:val="49"/>
  </w:num>
  <w:num w:numId="45" w16cid:durableId="1049376556">
    <w:abstractNumId w:val="32"/>
  </w:num>
  <w:num w:numId="46" w16cid:durableId="1976334045">
    <w:abstractNumId w:val="27"/>
  </w:num>
  <w:num w:numId="47" w16cid:durableId="244460222">
    <w:abstractNumId w:val="42"/>
  </w:num>
  <w:num w:numId="48" w16cid:durableId="1552038969">
    <w:abstractNumId w:val="54"/>
  </w:num>
  <w:num w:numId="49" w16cid:durableId="289628754">
    <w:abstractNumId w:val="28"/>
  </w:num>
  <w:num w:numId="50" w16cid:durableId="1323503065">
    <w:abstractNumId w:val="34"/>
  </w:num>
  <w:num w:numId="51" w16cid:durableId="1220361457">
    <w:abstractNumId w:val="58"/>
  </w:num>
  <w:num w:numId="52" w16cid:durableId="124277425">
    <w:abstractNumId w:val="24"/>
  </w:num>
  <w:num w:numId="53" w16cid:durableId="524949162">
    <w:abstractNumId w:val="10"/>
  </w:num>
  <w:num w:numId="54" w16cid:durableId="2054111669">
    <w:abstractNumId w:val="14"/>
  </w:num>
  <w:num w:numId="55" w16cid:durableId="229660342">
    <w:abstractNumId w:val="7"/>
  </w:num>
  <w:num w:numId="56" w16cid:durableId="103355300">
    <w:abstractNumId w:val="38"/>
  </w:num>
  <w:num w:numId="57" w16cid:durableId="2105178766">
    <w:abstractNumId w:val="18"/>
  </w:num>
  <w:num w:numId="58" w16cid:durableId="387076214">
    <w:abstractNumId w:val="56"/>
  </w:num>
  <w:num w:numId="59" w16cid:durableId="1354768113">
    <w:abstractNumId w:val="1"/>
  </w:num>
  <w:num w:numId="60" w16cid:durableId="2139375366">
    <w:abstractNumId w:val="46"/>
  </w:num>
  <w:num w:numId="61" w16cid:durableId="386343792">
    <w:abstractNumId w:val="63"/>
  </w:num>
  <w:num w:numId="62" w16cid:durableId="2074504931">
    <w:abstractNumId w:val="16"/>
  </w:num>
  <w:num w:numId="63" w16cid:durableId="18688364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158926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707149313">
    <w:abstractNumId w:val="31"/>
  </w:num>
  <w:num w:numId="66" w16cid:durableId="1405839178">
    <w:abstractNumId w:val="50"/>
  </w:num>
  <w:num w:numId="67" w16cid:durableId="1974208956">
    <w:abstractNumId w:val="1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852"/>
    <w:rsid w:val="00000209"/>
    <w:rsid w:val="000002A6"/>
    <w:rsid w:val="00000356"/>
    <w:rsid w:val="0000044B"/>
    <w:rsid w:val="00000512"/>
    <w:rsid w:val="00000676"/>
    <w:rsid w:val="00000695"/>
    <w:rsid w:val="00000719"/>
    <w:rsid w:val="000007FC"/>
    <w:rsid w:val="0000084A"/>
    <w:rsid w:val="0000085A"/>
    <w:rsid w:val="00000A40"/>
    <w:rsid w:val="00000B97"/>
    <w:rsid w:val="00000C62"/>
    <w:rsid w:val="00000DA0"/>
    <w:rsid w:val="00000E4C"/>
    <w:rsid w:val="00000E7A"/>
    <w:rsid w:val="00001037"/>
    <w:rsid w:val="00001050"/>
    <w:rsid w:val="000011A4"/>
    <w:rsid w:val="000012CE"/>
    <w:rsid w:val="0000133C"/>
    <w:rsid w:val="00001341"/>
    <w:rsid w:val="00001407"/>
    <w:rsid w:val="00001568"/>
    <w:rsid w:val="000016CB"/>
    <w:rsid w:val="00001826"/>
    <w:rsid w:val="000018B8"/>
    <w:rsid w:val="00001A16"/>
    <w:rsid w:val="00001A6B"/>
    <w:rsid w:val="00001D0D"/>
    <w:rsid w:val="00001D17"/>
    <w:rsid w:val="00001E3D"/>
    <w:rsid w:val="00001E5A"/>
    <w:rsid w:val="00001F6A"/>
    <w:rsid w:val="00002116"/>
    <w:rsid w:val="00002155"/>
    <w:rsid w:val="00002173"/>
    <w:rsid w:val="0000217F"/>
    <w:rsid w:val="00002253"/>
    <w:rsid w:val="00002394"/>
    <w:rsid w:val="0000242E"/>
    <w:rsid w:val="00002504"/>
    <w:rsid w:val="0000251A"/>
    <w:rsid w:val="0000262D"/>
    <w:rsid w:val="00002710"/>
    <w:rsid w:val="00002847"/>
    <w:rsid w:val="00002965"/>
    <w:rsid w:val="000029BA"/>
    <w:rsid w:val="00002A68"/>
    <w:rsid w:val="00002BB7"/>
    <w:rsid w:val="00002BC9"/>
    <w:rsid w:val="00002C4E"/>
    <w:rsid w:val="00002F74"/>
    <w:rsid w:val="0000301B"/>
    <w:rsid w:val="000030A8"/>
    <w:rsid w:val="00003152"/>
    <w:rsid w:val="00003171"/>
    <w:rsid w:val="0000338B"/>
    <w:rsid w:val="0000345D"/>
    <w:rsid w:val="000034C3"/>
    <w:rsid w:val="000034D7"/>
    <w:rsid w:val="0000353F"/>
    <w:rsid w:val="000035BD"/>
    <w:rsid w:val="0000367D"/>
    <w:rsid w:val="000036CB"/>
    <w:rsid w:val="00003766"/>
    <w:rsid w:val="0000379A"/>
    <w:rsid w:val="000037BB"/>
    <w:rsid w:val="000038F4"/>
    <w:rsid w:val="00003995"/>
    <w:rsid w:val="0000399A"/>
    <w:rsid w:val="00003ADC"/>
    <w:rsid w:val="00003AE3"/>
    <w:rsid w:val="00003B91"/>
    <w:rsid w:val="00003CD8"/>
    <w:rsid w:val="00003E38"/>
    <w:rsid w:val="00003E48"/>
    <w:rsid w:val="00003F83"/>
    <w:rsid w:val="000040BC"/>
    <w:rsid w:val="0000415C"/>
    <w:rsid w:val="0000438A"/>
    <w:rsid w:val="00004592"/>
    <w:rsid w:val="0000471A"/>
    <w:rsid w:val="0000480A"/>
    <w:rsid w:val="00004861"/>
    <w:rsid w:val="00004941"/>
    <w:rsid w:val="00004B86"/>
    <w:rsid w:val="00004BA9"/>
    <w:rsid w:val="00004C74"/>
    <w:rsid w:val="00004DD9"/>
    <w:rsid w:val="00004E00"/>
    <w:rsid w:val="00004E4C"/>
    <w:rsid w:val="00004EAA"/>
    <w:rsid w:val="00004F1E"/>
    <w:rsid w:val="00004FB8"/>
    <w:rsid w:val="00005011"/>
    <w:rsid w:val="000050D2"/>
    <w:rsid w:val="0000521C"/>
    <w:rsid w:val="000052DD"/>
    <w:rsid w:val="00005311"/>
    <w:rsid w:val="000053F6"/>
    <w:rsid w:val="00005452"/>
    <w:rsid w:val="0000546F"/>
    <w:rsid w:val="000054C8"/>
    <w:rsid w:val="0000553B"/>
    <w:rsid w:val="00005597"/>
    <w:rsid w:val="000055A6"/>
    <w:rsid w:val="000056E1"/>
    <w:rsid w:val="0000574E"/>
    <w:rsid w:val="00005825"/>
    <w:rsid w:val="00005898"/>
    <w:rsid w:val="0000597C"/>
    <w:rsid w:val="000059C6"/>
    <w:rsid w:val="00005A5E"/>
    <w:rsid w:val="00005BDE"/>
    <w:rsid w:val="00005CA1"/>
    <w:rsid w:val="00005E11"/>
    <w:rsid w:val="00005ECC"/>
    <w:rsid w:val="00005EFB"/>
    <w:rsid w:val="00005FB6"/>
    <w:rsid w:val="0000603F"/>
    <w:rsid w:val="000060B2"/>
    <w:rsid w:val="0000610B"/>
    <w:rsid w:val="000061B9"/>
    <w:rsid w:val="0000626B"/>
    <w:rsid w:val="0000634C"/>
    <w:rsid w:val="00006466"/>
    <w:rsid w:val="000064E3"/>
    <w:rsid w:val="0000655D"/>
    <w:rsid w:val="00006741"/>
    <w:rsid w:val="0000675C"/>
    <w:rsid w:val="000067BC"/>
    <w:rsid w:val="000067CC"/>
    <w:rsid w:val="000068B3"/>
    <w:rsid w:val="000069FD"/>
    <w:rsid w:val="00006B2D"/>
    <w:rsid w:val="00006DAA"/>
    <w:rsid w:val="00006DB3"/>
    <w:rsid w:val="00006E2A"/>
    <w:rsid w:val="00006EB1"/>
    <w:rsid w:val="00006F3D"/>
    <w:rsid w:val="0000700C"/>
    <w:rsid w:val="00007077"/>
    <w:rsid w:val="00007089"/>
    <w:rsid w:val="0000725E"/>
    <w:rsid w:val="000072A4"/>
    <w:rsid w:val="000074C3"/>
    <w:rsid w:val="000075FD"/>
    <w:rsid w:val="00007790"/>
    <w:rsid w:val="0000788C"/>
    <w:rsid w:val="000078FC"/>
    <w:rsid w:val="00007B24"/>
    <w:rsid w:val="00007C68"/>
    <w:rsid w:val="00007C74"/>
    <w:rsid w:val="00007DE1"/>
    <w:rsid w:val="00007E33"/>
    <w:rsid w:val="00007E45"/>
    <w:rsid w:val="00007EAD"/>
    <w:rsid w:val="00010100"/>
    <w:rsid w:val="00010279"/>
    <w:rsid w:val="000102D2"/>
    <w:rsid w:val="000103ED"/>
    <w:rsid w:val="000104B9"/>
    <w:rsid w:val="00010576"/>
    <w:rsid w:val="00010792"/>
    <w:rsid w:val="00010874"/>
    <w:rsid w:val="000108F5"/>
    <w:rsid w:val="00010A23"/>
    <w:rsid w:val="00010A41"/>
    <w:rsid w:val="00010A76"/>
    <w:rsid w:val="00010B44"/>
    <w:rsid w:val="00010B52"/>
    <w:rsid w:val="00010C17"/>
    <w:rsid w:val="00010C3C"/>
    <w:rsid w:val="00010DBD"/>
    <w:rsid w:val="00010DCF"/>
    <w:rsid w:val="00010E4A"/>
    <w:rsid w:val="00010EB2"/>
    <w:rsid w:val="00010F60"/>
    <w:rsid w:val="00011099"/>
    <w:rsid w:val="000110B3"/>
    <w:rsid w:val="000110DD"/>
    <w:rsid w:val="000110E8"/>
    <w:rsid w:val="00011167"/>
    <w:rsid w:val="00011465"/>
    <w:rsid w:val="0001159A"/>
    <w:rsid w:val="000115C3"/>
    <w:rsid w:val="00011601"/>
    <w:rsid w:val="00011628"/>
    <w:rsid w:val="000116CE"/>
    <w:rsid w:val="00011814"/>
    <w:rsid w:val="00011963"/>
    <w:rsid w:val="000119BB"/>
    <w:rsid w:val="000119D9"/>
    <w:rsid w:val="00011A93"/>
    <w:rsid w:val="00011C2B"/>
    <w:rsid w:val="00011C45"/>
    <w:rsid w:val="00011C8C"/>
    <w:rsid w:val="00011D4B"/>
    <w:rsid w:val="00011D5A"/>
    <w:rsid w:val="00011DD3"/>
    <w:rsid w:val="00011E17"/>
    <w:rsid w:val="00011E20"/>
    <w:rsid w:val="00011EB8"/>
    <w:rsid w:val="00011F53"/>
    <w:rsid w:val="00012077"/>
    <w:rsid w:val="000120A0"/>
    <w:rsid w:val="000120C1"/>
    <w:rsid w:val="000120FD"/>
    <w:rsid w:val="000121EB"/>
    <w:rsid w:val="00012432"/>
    <w:rsid w:val="000125A7"/>
    <w:rsid w:val="00012983"/>
    <w:rsid w:val="00012A1B"/>
    <w:rsid w:val="00012AD0"/>
    <w:rsid w:val="00012AEC"/>
    <w:rsid w:val="00012CF2"/>
    <w:rsid w:val="00012D07"/>
    <w:rsid w:val="00012D1B"/>
    <w:rsid w:val="00012D2A"/>
    <w:rsid w:val="00012D74"/>
    <w:rsid w:val="00012E20"/>
    <w:rsid w:val="00012E76"/>
    <w:rsid w:val="0001310B"/>
    <w:rsid w:val="0001322E"/>
    <w:rsid w:val="00013318"/>
    <w:rsid w:val="0001338E"/>
    <w:rsid w:val="00013400"/>
    <w:rsid w:val="0001345D"/>
    <w:rsid w:val="000134BC"/>
    <w:rsid w:val="0001367E"/>
    <w:rsid w:val="00013681"/>
    <w:rsid w:val="000137EE"/>
    <w:rsid w:val="0001385D"/>
    <w:rsid w:val="00013864"/>
    <w:rsid w:val="000138FD"/>
    <w:rsid w:val="0001394F"/>
    <w:rsid w:val="000139C3"/>
    <w:rsid w:val="000139EB"/>
    <w:rsid w:val="00013A78"/>
    <w:rsid w:val="00013AD0"/>
    <w:rsid w:val="00013AFA"/>
    <w:rsid w:val="00013BC2"/>
    <w:rsid w:val="00013C06"/>
    <w:rsid w:val="00013CBE"/>
    <w:rsid w:val="00013DBD"/>
    <w:rsid w:val="00013E95"/>
    <w:rsid w:val="00013F0E"/>
    <w:rsid w:val="00014071"/>
    <w:rsid w:val="00014266"/>
    <w:rsid w:val="000143DF"/>
    <w:rsid w:val="000143E1"/>
    <w:rsid w:val="0001451D"/>
    <w:rsid w:val="0001453E"/>
    <w:rsid w:val="00014590"/>
    <w:rsid w:val="00014626"/>
    <w:rsid w:val="000146AE"/>
    <w:rsid w:val="0001491F"/>
    <w:rsid w:val="0001492B"/>
    <w:rsid w:val="0001498A"/>
    <w:rsid w:val="00014AC0"/>
    <w:rsid w:val="00014CAE"/>
    <w:rsid w:val="00014D8D"/>
    <w:rsid w:val="00014DEB"/>
    <w:rsid w:val="0001509D"/>
    <w:rsid w:val="00015102"/>
    <w:rsid w:val="000152D8"/>
    <w:rsid w:val="00015388"/>
    <w:rsid w:val="000153C8"/>
    <w:rsid w:val="0001564C"/>
    <w:rsid w:val="00015699"/>
    <w:rsid w:val="000158A4"/>
    <w:rsid w:val="000159A9"/>
    <w:rsid w:val="00015A19"/>
    <w:rsid w:val="00015A6F"/>
    <w:rsid w:val="00015A8A"/>
    <w:rsid w:val="00015AAE"/>
    <w:rsid w:val="00015B92"/>
    <w:rsid w:val="00015CD6"/>
    <w:rsid w:val="00015CDB"/>
    <w:rsid w:val="00015DB3"/>
    <w:rsid w:val="00015E43"/>
    <w:rsid w:val="00016061"/>
    <w:rsid w:val="000160EE"/>
    <w:rsid w:val="000161C6"/>
    <w:rsid w:val="00016297"/>
    <w:rsid w:val="000162A3"/>
    <w:rsid w:val="000162F4"/>
    <w:rsid w:val="00016383"/>
    <w:rsid w:val="000163F6"/>
    <w:rsid w:val="00016442"/>
    <w:rsid w:val="000165D7"/>
    <w:rsid w:val="000165E7"/>
    <w:rsid w:val="00016622"/>
    <w:rsid w:val="0001666C"/>
    <w:rsid w:val="000166EA"/>
    <w:rsid w:val="000166EB"/>
    <w:rsid w:val="000166FA"/>
    <w:rsid w:val="00016702"/>
    <w:rsid w:val="000168D8"/>
    <w:rsid w:val="000169EC"/>
    <w:rsid w:val="00016BD8"/>
    <w:rsid w:val="00016D16"/>
    <w:rsid w:val="00016D8C"/>
    <w:rsid w:val="00016E3A"/>
    <w:rsid w:val="00016ED9"/>
    <w:rsid w:val="00016F2C"/>
    <w:rsid w:val="00017067"/>
    <w:rsid w:val="000170AD"/>
    <w:rsid w:val="000170BC"/>
    <w:rsid w:val="0001712B"/>
    <w:rsid w:val="0001727D"/>
    <w:rsid w:val="00017799"/>
    <w:rsid w:val="000177CE"/>
    <w:rsid w:val="000178AC"/>
    <w:rsid w:val="000178FE"/>
    <w:rsid w:val="00017944"/>
    <w:rsid w:val="000179D1"/>
    <w:rsid w:val="00017B03"/>
    <w:rsid w:val="00017B33"/>
    <w:rsid w:val="00017B91"/>
    <w:rsid w:val="00017C21"/>
    <w:rsid w:val="00017F7B"/>
    <w:rsid w:val="00017F8D"/>
    <w:rsid w:val="00020080"/>
    <w:rsid w:val="00020093"/>
    <w:rsid w:val="00020106"/>
    <w:rsid w:val="0002011D"/>
    <w:rsid w:val="0002022B"/>
    <w:rsid w:val="0002026F"/>
    <w:rsid w:val="0002033A"/>
    <w:rsid w:val="00020400"/>
    <w:rsid w:val="00020438"/>
    <w:rsid w:val="00020441"/>
    <w:rsid w:val="00020550"/>
    <w:rsid w:val="000205CB"/>
    <w:rsid w:val="000205F0"/>
    <w:rsid w:val="0002076B"/>
    <w:rsid w:val="000207E9"/>
    <w:rsid w:val="000208AD"/>
    <w:rsid w:val="000209D7"/>
    <w:rsid w:val="00020ABC"/>
    <w:rsid w:val="00020C66"/>
    <w:rsid w:val="00020D4E"/>
    <w:rsid w:val="00020D85"/>
    <w:rsid w:val="00020E58"/>
    <w:rsid w:val="00020F34"/>
    <w:rsid w:val="00021273"/>
    <w:rsid w:val="0002129A"/>
    <w:rsid w:val="00021330"/>
    <w:rsid w:val="00021355"/>
    <w:rsid w:val="00021392"/>
    <w:rsid w:val="000213EC"/>
    <w:rsid w:val="000213F8"/>
    <w:rsid w:val="0002154E"/>
    <w:rsid w:val="00021607"/>
    <w:rsid w:val="000217AB"/>
    <w:rsid w:val="000217B2"/>
    <w:rsid w:val="000217B7"/>
    <w:rsid w:val="000218E0"/>
    <w:rsid w:val="0002193A"/>
    <w:rsid w:val="00021988"/>
    <w:rsid w:val="00021994"/>
    <w:rsid w:val="00021B4F"/>
    <w:rsid w:val="00021C18"/>
    <w:rsid w:val="00021CD6"/>
    <w:rsid w:val="00021D2C"/>
    <w:rsid w:val="00021E3F"/>
    <w:rsid w:val="00022007"/>
    <w:rsid w:val="0002202C"/>
    <w:rsid w:val="00022099"/>
    <w:rsid w:val="00022208"/>
    <w:rsid w:val="0002270D"/>
    <w:rsid w:val="00022757"/>
    <w:rsid w:val="0002276F"/>
    <w:rsid w:val="00022808"/>
    <w:rsid w:val="000228B0"/>
    <w:rsid w:val="00022972"/>
    <w:rsid w:val="000229B0"/>
    <w:rsid w:val="000229BD"/>
    <w:rsid w:val="00022B14"/>
    <w:rsid w:val="00022B17"/>
    <w:rsid w:val="00022B37"/>
    <w:rsid w:val="00022DC1"/>
    <w:rsid w:val="00022FCC"/>
    <w:rsid w:val="00023086"/>
    <w:rsid w:val="000230AD"/>
    <w:rsid w:val="000230B4"/>
    <w:rsid w:val="0002313C"/>
    <w:rsid w:val="000233FF"/>
    <w:rsid w:val="00023442"/>
    <w:rsid w:val="00023460"/>
    <w:rsid w:val="00023879"/>
    <w:rsid w:val="0002391D"/>
    <w:rsid w:val="00023C55"/>
    <w:rsid w:val="00023C94"/>
    <w:rsid w:val="00023D26"/>
    <w:rsid w:val="00023DE9"/>
    <w:rsid w:val="00023DFB"/>
    <w:rsid w:val="00023E98"/>
    <w:rsid w:val="0002408F"/>
    <w:rsid w:val="0002425D"/>
    <w:rsid w:val="000242E4"/>
    <w:rsid w:val="00024366"/>
    <w:rsid w:val="00024453"/>
    <w:rsid w:val="000244E7"/>
    <w:rsid w:val="00024509"/>
    <w:rsid w:val="0002450D"/>
    <w:rsid w:val="0002462C"/>
    <w:rsid w:val="00024676"/>
    <w:rsid w:val="0002467C"/>
    <w:rsid w:val="00024684"/>
    <w:rsid w:val="000248A8"/>
    <w:rsid w:val="000249C1"/>
    <w:rsid w:val="000249DF"/>
    <w:rsid w:val="00024A8F"/>
    <w:rsid w:val="00024AA7"/>
    <w:rsid w:val="00024AE6"/>
    <w:rsid w:val="00024B9B"/>
    <w:rsid w:val="00024CE7"/>
    <w:rsid w:val="00024CFD"/>
    <w:rsid w:val="00024DB6"/>
    <w:rsid w:val="00024DF7"/>
    <w:rsid w:val="00025009"/>
    <w:rsid w:val="0002512A"/>
    <w:rsid w:val="000251A7"/>
    <w:rsid w:val="00025278"/>
    <w:rsid w:val="000252B8"/>
    <w:rsid w:val="000252BA"/>
    <w:rsid w:val="000253DF"/>
    <w:rsid w:val="000253E8"/>
    <w:rsid w:val="000256D4"/>
    <w:rsid w:val="000257A7"/>
    <w:rsid w:val="00025999"/>
    <w:rsid w:val="0002599F"/>
    <w:rsid w:val="000259A4"/>
    <w:rsid w:val="000259F1"/>
    <w:rsid w:val="00025A61"/>
    <w:rsid w:val="00025B73"/>
    <w:rsid w:val="00025E53"/>
    <w:rsid w:val="00025F98"/>
    <w:rsid w:val="00026048"/>
    <w:rsid w:val="000262F0"/>
    <w:rsid w:val="00026370"/>
    <w:rsid w:val="000263A9"/>
    <w:rsid w:val="000265A0"/>
    <w:rsid w:val="000265F9"/>
    <w:rsid w:val="00026627"/>
    <w:rsid w:val="0002672E"/>
    <w:rsid w:val="00026964"/>
    <w:rsid w:val="0002697B"/>
    <w:rsid w:val="00026B27"/>
    <w:rsid w:val="00026B52"/>
    <w:rsid w:val="00026BBE"/>
    <w:rsid w:val="00026C0D"/>
    <w:rsid w:val="00026DF7"/>
    <w:rsid w:val="00026E3C"/>
    <w:rsid w:val="00026FAD"/>
    <w:rsid w:val="0002721E"/>
    <w:rsid w:val="00027238"/>
    <w:rsid w:val="0002728B"/>
    <w:rsid w:val="000272AE"/>
    <w:rsid w:val="000273A9"/>
    <w:rsid w:val="00027411"/>
    <w:rsid w:val="0002745E"/>
    <w:rsid w:val="00027624"/>
    <w:rsid w:val="00027660"/>
    <w:rsid w:val="000277F5"/>
    <w:rsid w:val="0002782E"/>
    <w:rsid w:val="00027867"/>
    <w:rsid w:val="0002787A"/>
    <w:rsid w:val="000278E1"/>
    <w:rsid w:val="00027927"/>
    <w:rsid w:val="00027AD5"/>
    <w:rsid w:val="00027AD9"/>
    <w:rsid w:val="00027BBD"/>
    <w:rsid w:val="00027BEF"/>
    <w:rsid w:val="00027D67"/>
    <w:rsid w:val="00027E37"/>
    <w:rsid w:val="00027E51"/>
    <w:rsid w:val="00027EA8"/>
    <w:rsid w:val="00027F04"/>
    <w:rsid w:val="00027F96"/>
    <w:rsid w:val="00027FC2"/>
    <w:rsid w:val="00030167"/>
    <w:rsid w:val="00030279"/>
    <w:rsid w:val="00030520"/>
    <w:rsid w:val="00030549"/>
    <w:rsid w:val="00030663"/>
    <w:rsid w:val="0003072D"/>
    <w:rsid w:val="0003081D"/>
    <w:rsid w:val="00030836"/>
    <w:rsid w:val="00030961"/>
    <w:rsid w:val="00030AA3"/>
    <w:rsid w:val="00030B04"/>
    <w:rsid w:val="00030C2D"/>
    <w:rsid w:val="00030D8B"/>
    <w:rsid w:val="00030EDF"/>
    <w:rsid w:val="00030F31"/>
    <w:rsid w:val="00030F5C"/>
    <w:rsid w:val="00030F5F"/>
    <w:rsid w:val="00030F70"/>
    <w:rsid w:val="00030F73"/>
    <w:rsid w:val="0003101C"/>
    <w:rsid w:val="00031057"/>
    <w:rsid w:val="0003106A"/>
    <w:rsid w:val="00031272"/>
    <w:rsid w:val="000312AA"/>
    <w:rsid w:val="000313B7"/>
    <w:rsid w:val="00031428"/>
    <w:rsid w:val="000314C7"/>
    <w:rsid w:val="00031739"/>
    <w:rsid w:val="000317A6"/>
    <w:rsid w:val="00031870"/>
    <w:rsid w:val="000318A4"/>
    <w:rsid w:val="000318DB"/>
    <w:rsid w:val="0003194F"/>
    <w:rsid w:val="00031ABC"/>
    <w:rsid w:val="00031BAF"/>
    <w:rsid w:val="00031BF3"/>
    <w:rsid w:val="00031D66"/>
    <w:rsid w:val="00031DD5"/>
    <w:rsid w:val="00031EEA"/>
    <w:rsid w:val="000320AE"/>
    <w:rsid w:val="000320B3"/>
    <w:rsid w:val="000320FF"/>
    <w:rsid w:val="00032124"/>
    <w:rsid w:val="00032157"/>
    <w:rsid w:val="000322B1"/>
    <w:rsid w:val="00032508"/>
    <w:rsid w:val="000327AA"/>
    <w:rsid w:val="000327BE"/>
    <w:rsid w:val="000327F4"/>
    <w:rsid w:val="00032815"/>
    <w:rsid w:val="00032848"/>
    <w:rsid w:val="00032A32"/>
    <w:rsid w:val="00032A56"/>
    <w:rsid w:val="00032AB3"/>
    <w:rsid w:val="00032B3F"/>
    <w:rsid w:val="00032D21"/>
    <w:rsid w:val="00032D72"/>
    <w:rsid w:val="00032F3A"/>
    <w:rsid w:val="00033234"/>
    <w:rsid w:val="000334D8"/>
    <w:rsid w:val="000335B1"/>
    <w:rsid w:val="00033692"/>
    <w:rsid w:val="000337B2"/>
    <w:rsid w:val="000337CB"/>
    <w:rsid w:val="000337D6"/>
    <w:rsid w:val="0003382B"/>
    <w:rsid w:val="00033985"/>
    <w:rsid w:val="00033AD1"/>
    <w:rsid w:val="00033B0A"/>
    <w:rsid w:val="00033B1A"/>
    <w:rsid w:val="00033E34"/>
    <w:rsid w:val="00033F22"/>
    <w:rsid w:val="00033F35"/>
    <w:rsid w:val="00034049"/>
    <w:rsid w:val="000344F1"/>
    <w:rsid w:val="00034512"/>
    <w:rsid w:val="0003455B"/>
    <w:rsid w:val="00034626"/>
    <w:rsid w:val="0003478B"/>
    <w:rsid w:val="00034ADF"/>
    <w:rsid w:val="00034C90"/>
    <w:rsid w:val="00034D06"/>
    <w:rsid w:val="00034E6F"/>
    <w:rsid w:val="00034FC6"/>
    <w:rsid w:val="0003515F"/>
    <w:rsid w:val="000351BF"/>
    <w:rsid w:val="00035230"/>
    <w:rsid w:val="00035321"/>
    <w:rsid w:val="00035351"/>
    <w:rsid w:val="00035382"/>
    <w:rsid w:val="000355FA"/>
    <w:rsid w:val="00035790"/>
    <w:rsid w:val="000358E2"/>
    <w:rsid w:val="00035933"/>
    <w:rsid w:val="00035953"/>
    <w:rsid w:val="000359F0"/>
    <w:rsid w:val="00035A91"/>
    <w:rsid w:val="00035A9A"/>
    <w:rsid w:val="00035DB7"/>
    <w:rsid w:val="00035FB1"/>
    <w:rsid w:val="00035FD9"/>
    <w:rsid w:val="000360A4"/>
    <w:rsid w:val="000360C2"/>
    <w:rsid w:val="000360F7"/>
    <w:rsid w:val="000360FA"/>
    <w:rsid w:val="00036142"/>
    <w:rsid w:val="00036203"/>
    <w:rsid w:val="000362B7"/>
    <w:rsid w:val="000362B8"/>
    <w:rsid w:val="00036326"/>
    <w:rsid w:val="00036774"/>
    <w:rsid w:val="00036870"/>
    <w:rsid w:val="000368D0"/>
    <w:rsid w:val="0003695F"/>
    <w:rsid w:val="000369A9"/>
    <w:rsid w:val="00036A4F"/>
    <w:rsid w:val="00036A86"/>
    <w:rsid w:val="00036B1B"/>
    <w:rsid w:val="00036B24"/>
    <w:rsid w:val="00036C75"/>
    <w:rsid w:val="00036C93"/>
    <w:rsid w:val="00036D1C"/>
    <w:rsid w:val="00036DEE"/>
    <w:rsid w:val="000371A4"/>
    <w:rsid w:val="000371E0"/>
    <w:rsid w:val="0003726A"/>
    <w:rsid w:val="000372AC"/>
    <w:rsid w:val="000372CF"/>
    <w:rsid w:val="00037318"/>
    <w:rsid w:val="00037344"/>
    <w:rsid w:val="000373CF"/>
    <w:rsid w:val="000373E6"/>
    <w:rsid w:val="000375A6"/>
    <w:rsid w:val="000375DD"/>
    <w:rsid w:val="00037603"/>
    <w:rsid w:val="00037628"/>
    <w:rsid w:val="00037667"/>
    <w:rsid w:val="00037777"/>
    <w:rsid w:val="00037798"/>
    <w:rsid w:val="000377B5"/>
    <w:rsid w:val="000377BD"/>
    <w:rsid w:val="00037815"/>
    <w:rsid w:val="00037913"/>
    <w:rsid w:val="00037947"/>
    <w:rsid w:val="00037B1D"/>
    <w:rsid w:val="00037B92"/>
    <w:rsid w:val="00037CB3"/>
    <w:rsid w:val="00037E87"/>
    <w:rsid w:val="00037F52"/>
    <w:rsid w:val="000400B4"/>
    <w:rsid w:val="0004019A"/>
    <w:rsid w:val="000401D1"/>
    <w:rsid w:val="000401F7"/>
    <w:rsid w:val="00040231"/>
    <w:rsid w:val="00040247"/>
    <w:rsid w:val="00040449"/>
    <w:rsid w:val="0004051D"/>
    <w:rsid w:val="000406F9"/>
    <w:rsid w:val="0004074B"/>
    <w:rsid w:val="0004076E"/>
    <w:rsid w:val="00040865"/>
    <w:rsid w:val="00040898"/>
    <w:rsid w:val="000409A5"/>
    <w:rsid w:val="00040B10"/>
    <w:rsid w:val="00040B8E"/>
    <w:rsid w:val="00040C1C"/>
    <w:rsid w:val="00040C95"/>
    <w:rsid w:val="00040CB7"/>
    <w:rsid w:val="00040E61"/>
    <w:rsid w:val="00040E92"/>
    <w:rsid w:val="00040F7E"/>
    <w:rsid w:val="00041053"/>
    <w:rsid w:val="00041198"/>
    <w:rsid w:val="000411A0"/>
    <w:rsid w:val="00041388"/>
    <w:rsid w:val="000413C0"/>
    <w:rsid w:val="000413DD"/>
    <w:rsid w:val="000414E2"/>
    <w:rsid w:val="000414E6"/>
    <w:rsid w:val="000414EF"/>
    <w:rsid w:val="00041590"/>
    <w:rsid w:val="000416B9"/>
    <w:rsid w:val="000417A9"/>
    <w:rsid w:val="0004182D"/>
    <w:rsid w:val="000419D0"/>
    <w:rsid w:val="00041C98"/>
    <w:rsid w:val="00041E84"/>
    <w:rsid w:val="00041F60"/>
    <w:rsid w:val="00041F79"/>
    <w:rsid w:val="0004201D"/>
    <w:rsid w:val="000420E1"/>
    <w:rsid w:val="000421C4"/>
    <w:rsid w:val="000421CC"/>
    <w:rsid w:val="000421E5"/>
    <w:rsid w:val="0004221F"/>
    <w:rsid w:val="0004223D"/>
    <w:rsid w:val="00042262"/>
    <w:rsid w:val="000423EE"/>
    <w:rsid w:val="00042682"/>
    <w:rsid w:val="0004268E"/>
    <w:rsid w:val="000426CF"/>
    <w:rsid w:val="000426DA"/>
    <w:rsid w:val="000426E7"/>
    <w:rsid w:val="00042775"/>
    <w:rsid w:val="00042813"/>
    <w:rsid w:val="000429F4"/>
    <w:rsid w:val="00042A10"/>
    <w:rsid w:val="00042A55"/>
    <w:rsid w:val="00042B93"/>
    <w:rsid w:val="00042BD9"/>
    <w:rsid w:val="00042D37"/>
    <w:rsid w:val="00042D43"/>
    <w:rsid w:val="00042EBF"/>
    <w:rsid w:val="00042ED1"/>
    <w:rsid w:val="00042FD1"/>
    <w:rsid w:val="0004315C"/>
    <w:rsid w:val="0004344C"/>
    <w:rsid w:val="0004350A"/>
    <w:rsid w:val="00043738"/>
    <w:rsid w:val="000437B4"/>
    <w:rsid w:val="0004380F"/>
    <w:rsid w:val="00043879"/>
    <w:rsid w:val="000438AF"/>
    <w:rsid w:val="000438C7"/>
    <w:rsid w:val="00043A5A"/>
    <w:rsid w:val="00043AF5"/>
    <w:rsid w:val="00043B55"/>
    <w:rsid w:val="00043B98"/>
    <w:rsid w:val="00043DEE"/>
    <w:rsid w:val="00043EFA"/>
    <w:rsid w:val="00043F1E"/>
    <w:rsid w:val="00043F70"/>
    <w:rsid w:val="0004402A"/>
    <w:rsid w:val="0004403D"/>
    <w:rsid w:val="00044086"/>
    <w:rsid w:val="00044147"/>
    <w:rsid w:val="000441E1"/>
    <w:rsid w:val="00044202"/>
    <w:rsid w:val="0004429C"/>
    <w:rsid w:val="00044310"/>
    <w:rsid w:val="000443C6"/>
    <w:rsid w:val="0004463C"/>
    <w:rsid w:val="000446FC"/>
    <w:rsid w:val="000447F2"/>
    <w:rsid w:val="000448C7"/>
    <w:rsid w:val="000449DD"/>
    <w:rsid w:val="00044AE8"/>
    <w:rsid w:val="00044B67"/>
    <w:rsid w:val="00044BC9"/>
    <w:rsid w:val="00044C75"/>
    <w:rsid w:val="00044CC2"/>
    <w:rsid w:val="00044D49"/>
    <w:rsid w:val="00044E75"/>
    <w:rsid w:val="00044ED2"/>
    <w:rsid w:val="00044FD8"/>
    <w:rsid w:val="00045022"/>
    <w:rsid w:val="000450CB"/>
    <w:rsid w:val="000450DD"/>
    <w:rsid w:val="00045217"/>
    <w:rsid w:val="000452B0"/>
    <w:rsid w:val="000452D7"/>
    <w:rsid w:val="00045320"/>
    <w:rsid w:val="00045357"/>
    <w:rsid w:val="000453C9"/>
    <w:rsid w:val="000453DA"/>
    <w:rsid w:val="000454DB"/>
    <w:rsid w:val="0004573B"/>
    <w:rsid w:val="0004577E"/>
    <w:rsid w:val="000457EE"/>
    <w:rsid w:val="0004594A"/>
    <w:rsid w:val="000459D6"/>
    <w:rsid w:val="00045A1D"/>
    <w:rsid w:val="00045A3A"/>
    <w:rsid w:val="00045B96"/>
    <w:rsid w:val="00045C59"/>
    <w:rsid w:val="00045D15"/>
    <w:rsid w:val="00045E47"/>
    <w:rsid w:val="00045E6C"/>
    <w:rsid w:val="00045E76"/>
    <w:rsid w:val="00045F7B"/>
    <w:rsid w:val="00045F9A"/>
    <w:rsid w:val="00045FD0"/>
    <w:rsid w:val="0004603D"/>
    <w:rsid w:val="0004608F"/>
    <w:rsid w:val="00046239"/>
    <w:rsid w:val="000462CC"/>
    <w:rsid w:val="00046520"/>
    <w:rsid w:val="000465BB"/>
    <w:rsid w:val="000465E6"/>
    <w:rsid w:val="0004661C"/>
    <w:rsid w:val="000466C9"/>
    <w:rsid w:val="00046739"/>
    <w:rsid w:val="000467E4"/>
    <w:rsid w:val="00046833"/>
    <w:rsid w:val="00046841"/>
    <w:rsid w:val="0004692F"/>
    <w:rsid w:val="00046972"/>
    <w:rsid w:val="00046B26"/>
    <w:rsid w:val="00046BF1"/>
    <w:rsid w:val="00046C86"/>
    <w:rsid w:val="00046D9F"/>
    <w:rsid w:val="00046E1F"/>
    <w:rsid w:val="00046ECA"/>
    <w:rsid w:val="00046F13"/>
    <w:rsid w:val="0004708C"/>
    <w:rsid w:val="00047090"/>
    <w:rsid w:val="00047096"/>
    <w:rsid w:val="000470B3"/>
    <w:rsid w:val="000470CB"/>
    <w:rsid w:val="00047219"/>
    <w:rsid w:val="0004723F"/>
    <w:rsid w:val="00047317"/>
    <w:rsid w:val="000473AA"/>
    <w:rsid w:val="00047438"/>
    <w:rsid w:val="00047568"/>
    <w:rsid w:val="000475A7"/>
    <w:rsid w:val="000475E3"/>
    <w:rsid w:val="00047626"/>
    <w:rsid w:val="00047769"/>
    <w:rsid w:val="00047931"/>
    <w:rsid w:val="00047A22"/>
    <w:rsid w:val="00047AEC"/>
    <w:rsid w:val="00047AF1"/>
    <w:rsid w:val="00047BE8"/>
    <w:rsid w:val="00047BE9"/>
    <w:rsid w:val="00047C2A"/>
    <w:rsid w:val="00047C95"/>
    <w:rsid w:val="00047CA9"/>
    <w:rsid w:val="00050013"/>
    <w:rsid w:val="00050077"/>
    <w:rsid w:val="000500A6"/>
    <w:rsid w:val="000501A7"/>
    <w:rsid w:val="00050206"/>
    <w:rsid w:val="00050270"/>
    <w:rsid w:val="00050274"/>
    <w:rsid w:val="0005028E"/>
    <w:rsid w:val="00050331"/>
    <w:rsid w:val="000503ED"/>
    <w:rsid w:val="00050472"/>
    <w:rsid w:val="0005047A"/>
    <w:rsid w:val="000504AE"/>
    <w:rsid w:val="000504C2"/>
    <w:rsid w:val="00050586"/>
    <w:rsid w:val="00050690"/>
    <w:rsid w:val="0005072A"/>
    <w:rsid w:val="0005076F"/>
    <w:rsid w:val="0005081E"/>
    <w:rsid w:val="000508D8"/>
    <w:rsid w:val="000509C1"/>
    <w:rsid w:val="000509CF"/>
    <w:rsid w:val="00050A91"/>
    <w:rsid w:val="00050BAB"/>
    <w:rsid w:val="00050C57"/>
    <w:rsid w:val="00050C7D"/>
    <w:rsid w:val="00050DBA"/>
    <w:rsid w:val="00050E44"/>
    <w:rsid w:val="00050E85"/>
    <w:rsid w:val="00050ED8"/>
    <w:rsid w:val="000510D7"/>
    <w:rsid w:val="00051199"/>
    <w:rsid w:val="000511AF"/>
    <w:rsid w:val="000511F4"/>
    <w:rsid w:val="0005127E"/>
    <w:rsid w:val="0005128B"/>
    <w:rsid w:val="0005144A"/>
    <w:rsid w:val="00051530"/>
    <w:rsid w:val="000517D2"/>
    <w:rsid w:val="00051909"/>
    <w:rsid w:val="000519C5"/>
    <w:rsid w:val="000519F9"/>
    <w:rsid w:val="00051A00"/>
    <w:rsid w:val="00051AB4"/>
    <w:rsid w:val="00051BF2"/>
    <w:rsid w:val="00051C44"/>
    <w:rsid w:val="00051C47"/>
    <w:rsid w:val="00051C67"/>
    <w:rsid w:val="00051C8E"/>
    <w:rsid w:val="00051CE2"/>
    <w:rsid w:val="00051CEF"/>
    <w:rsid w:val="00051D49"/>
    <w:rsid w:val="00051D9C"/>
    <w:rsid w:val="00051E5D"/>
    <w:rsid w:val="000521E9"/>
    <w:rsid w:val="0005229A"/>
    <w:rsid w:val="000522C3"/>
    <w:rsid w:val="000522CF"/>
    <w:rsid w:val="000524D4"/>
    <w:rsid w:val="0005263A"/>
    <w:rsid w:val="000526B9"/>
    <w:rsid w:val="000526E8"/>
    <w:rsid w:val="00052820"/>
    <w:rsid w:val="000529F8"/>
    <w:rsid w:val="00052A87"/>
    <w:rsid w:val="00052BBC"/>
    <w:rsid w:val="00052BC5"/>
    <w:rsid w:val="00052C78"/>
    <w:rsid w:val="00052C88"/>
    <w:rsid w:val="00052CDC"/>
    <w:rsid w:val="00052E1D"/>
    <w:rsid w:val="00052E29"/>
    <w:rsid w:val="00052E56"/>
    <w:rsid w:val="00052F18"/>
    <w:rsid w:val="00053006"/>
    <w:rsid w:val="0005306F"/>
    <w:rsid w:val="00053179"/>
    <w:rsid w:val="0005324D"/>
    <w:rsid w:val="00053269"/>
    <w:rsid w:val="00053274"/>
    <w:rsid w:val="00053578"/>
    <w:rsid w:val="000535AF"/>
    <w:rsid w:val="000536B2"/>
    <w:rsid w:val="00053724"/>
    <w:rsid w:val="0005376C"/>
    <w:rsid w:val="000537D1"/>
    <w:rsid w:val="00053860"/>
    <w:rsid w:val="00053916"/>
    <w:rsid w:val="0005393B"/>
    <w:rsid w:val="00053952"/>
    <w:rsid w:val="00053A94"/>
    <w:rsid w:val="00053AB6"/>
    <w:rsid w:val="00053AD2"/>
    <w:rsid w:val="00053D31"/>
    <w:rsid w:val="00053D4B"/>
    <w:rsid w:val="00053DE4"/>
    <w:rsid w:val="00053E44"/>
    <w:rsid w:val="0005400C"/>
    <w:rsid w:val="00054044"/>
    <w:rsid w:val="000540B4"/>
    <w:rsid w:val="0005417D"/>
    <w:rsid w:val="000541B4"/>
    <w:rsid w:val="000541E4"/>
    <w:rsid w:val="00054237"/>
    <w:rsid w:val="0005424C"/>
    <w:rsid w:val="000542D4"/>
    <w:rsid w:val="0005443B"/>
    <w:rsid w:val="00054480"/>
    <w:rsid w:val="000544B9"/>
    <w:rsid w:val="000546AD"/>
    <w:rsid w:val="0005482C"/>
    <w:rsid w:val="00054851"/>
    <w:rsid w:val="0005492B"/>
    <w:rsid w:val="000549AC"/>
    <w:rsid w:val="00054B5C"/>
    <w:rsid w:val="00054C28"/>
    <w:rsid w:val="00054E7B"/>
    <w:rsid w:val="00054E90"/>
    <w:rsid w:val="00055063"/>
    <w:rsid w:val="00055089"/>
    <w:rsid w:val="00055090"/>
    <w:rsid w:val="00055136"/>
    <w:rsid w:val="0005514F"/>
    <w:rsid w:val="0005534D"/>
    <w:rsid w:val="0005535D"/>
    <w:rsid w:val="00055478"/>
    <w:rsid w:val="000554CA"/>
    <w:rsid w:val="00055536"/>
    <w:rsid w:val="00055546"/>
    <w:rsid w:val="00055555"/>
    <w:rsid w:val="00055692"/>
    <w:rsid w:val="00055696"/>
    <w:rsid w:val="000556E7"/>
    <w:rsid w:val="0005586D"/>
    <w:rsid w:val="000558D4"/>
    <w:rsid w:val="000558F4"/>
    <w:rsid w:val="000559D3"/>
    <w:rsid w:val="00055B26"/>
    <w:rsid w:val="00055B3E"/>
    <w:rsid w:val="00055B9C"/>
    <w:rsid w:val="00055BB7"/>
    <w:rsid w:val="00055BEE"/>
    <w:rsid w:val="00055D57"/>
    <w:rsid w:val="00055D8A"/>
    <w:rsid w:val="00055D95"/>
    <w:rsid w:val="00055EE9"/>
    <w:rsid w:val="00055F1B"/>
    <w:rsid w:val="00056184"/>
    <w:rsid w:val="00056233"/>
    <w:rsid w:val="00056354"/>
    <w:rsid w:val="000563C4"/>
    <w:rsid w:val="00056508"/>
    <w:rsid w:val="000565D0"/>
    <w:rsid w:val="000565F7"/>
    <w:rsid w:val="00056837"/>
    <w:rsid w:val="0005688A"/>
    <w:rsid w:val="0005695A"/>
    <w:rsid w:val="000569A6"/>
    <w:rsid w:val="00056A6A"/>
    <w:rsid w:val="00056B6F"/>
    <w:rsid w:val="00056C78"/>
    <w:rsid w:val="00056C9E"/>
    <w:rsid w:val="00056CE4"/>
    <w:rsid w:val="00056D67"/>
    <w:rsid w:val="00056DF5"/>
    <w:rsid w:val="00056DFC"/>
    <w:rsid w:val="00056F92"/>
    <w:rsid w:val="00056FC6"/>
    <w:rsid w:val="000570B7"/>
    <w:rsid w:val="00057166"/>
    <w:rsid w:val="000572FB"/>
    <w:rsid w:val="000573DB"/>
    <w:rsid w:val="0005741B"/>
    <w:rsid w:val="0005757C"/>
    <w:rsid w:val="00057581"/>
    <w:rsid w:val="0005760F"/>
    <w:rsid w:val="00057612"/>
    <w:rsid w:val="00057A23"/>
    <w:rsid w:val="00057ABB"/>
    <w:rsid w:val="00057B5C"/>
    <w:rsid w:val="00057BA7"/>
    <w:rsid w:val="00057BD0"/>
    <w:rsid w:val="00057C1D"/>
    <w:rsid w:val="00057C20"/>
    <w:rsid w:val="00057C8E"/>
    <w:rsid w:val="00057DD4"/>
    <w:rsid w:val="00057E65"/>
    <w:rsid w:val="00057EA2"/>
    <w:rsid w:val="00057F67"/>
    <w:rsid w:val="0006001C"/>
    <w:rsid w:val="00060028"/>
    <w:rsid w:val="00060035"/>
    <w:rsid w:val="000600DC"/>
    <w:rsid w:val="00060129"/>
    <w:rsid w:val="00060236"/>
    <w:rsid w:val="00060305"/>
    <w:rsid w:val="00060316"/>
    <w:rsid w:val="00060376"/>
    <w:rsid w:val="0006043B"/>
    <w:rsid w:val="00060446"/>
    <w:rsid w:val="00060463"/>
    <w:rsid w:val="000604AF"/>
    <w:rsid w:val="00060544"/>
    <w:rsid w:val="000605AA"/>
    <w:rsid w:val="000606EA"/>
    <w:rsid w:val="00060758"/>
    <w:rsid w:val="00060BC7"/>
    <w:rsid w:val="00060BD8"/>
    <w:rsid w:val="00060C00"/>
    <w:rsid w:val="00060CEC"/>
    <w:rsid w:val="00060E9D"/>
    <w:rsid w:val="00060F7E"/>
    <w:rsid w:val="00061068"/>
    <w:rsid w:val="000610CA"/>
    <w:rsid w:val="00061174"/>
    <w:rsid w:val="00061176"/>
    <w:rsid w:val="0006126F"/>
    <w:rsid w:val="0006128F"/>
    <w:rsid w:val="0006129C"/>
    <w:rsid w:val="000612FD"/>
    <w:rsid w:val="000613FB"/>
    <w:rsid w:val="00061650"/>
    <w:rsid w:val="000616A1"/>
    <w:rsid w:val="0006176D"/>
    <w:rsid w:val="00061912"/>
    <w:rsid w:val="00061994"/>
    <w:rsid w:val="00061A4E"/>
    <w:rsid w:val="00061B0B"/>
    <w:rsid w:val="00061BED"/>
    <w:rsid w:val="00061CD0"/>
    <w:rsid w:val="00061FA6"/>
    <w:rsid w:val="0006202C"/>
    <w:rsid w:val="00062061"/>
    <w:rsid w:val="00062062"/>
    <w:rsid w:val="000621D1"/>
    <w:rsid w:val="000621E2"/>
    <w:rsid w:val="000623EF"/>
    <w:rsid w:val="00062435"/>
    <w:rsid w:val="00062504"/>
    <w:rsid w:val="00062505"/>
    <w:rsid w:val="00062595"/>
    <w:rsid w:val="0006273A"/>
    <w:rsid w:val="000627BD"/>
    <w:rsid w:val="00062B07"/>
    <w:rsid w:val="00062BA8"/>
    <w:rsid w:val="00062BBF"/>
    <w:rsid w:val="00062D13"/>
    <w:rsid w:val="00062E13"/>
    <w:rsid w:val="0006302E"/>
    <w:rsid w:val="00063082"/>
    <w:rsid w:val="00063097"/>
    <w:rsid w:val="00063133"/>
    <w:rsid w:val="000631D8"/>
    <w:rsid w:val="00063202"/>
    <w:rsid w:val="00063217"/>
    <w:rsid w:val="0006323B"/>
    <w:rsid w:val="00063292"/>
    <w:rsid w:val="000632D1"/>
    <w:rsid w:val="000632F5"/>
    <w:rsid w:val="00063405"/>
    <w:rsid w:val="000637B1"/>
    <w:rsid w:val="000638BA"/>
    <w:rsid w:val="00063918"/>
    <w:rsid w:val="00063B63"/>
    <w:rsid w:val="00063CA9"/>
    <w:rsid w:val="00063CCA"/>
    <w:rsid w:val="00063E2F"/>
    <w:rsid w:val="00063E60"/>
    <w:rsid w:val="00063EBF"/>
    <w:rsid w:val="00063F72"/>
    <w:rsid w:val="00063FB1"/>
    <w:rsid w:val="00063FD8"/>
    <w:rsid w:val="000640DE"/>
    <w:rsid w:val="000641E8"/>
    <w:rsid w:val="00064272"/>
    <w:rsid w:val="000642AD"/>
    <w:rsid w:val="000645FD"/>
    <w:rsid w:val="00064740"/>
    <w:rsid w:val="000647FC"/>
    <w:rsid w:val="0006481B"/>
    <w:rsid w:val="00064821"/>
    <w:rsid w:val="0006495A"/>
    <w:rsid w:val="00064AFC"/>
    <w:rsid w:val="00064B22"/>
    <w:rsid w:val="00064B51"/>
    <w:rsid w:val="00064BF0"/>
    <w:rsid w:val="00064CF5"/>
    <w:rsid w:val="00064E9D"/>
    <w:rsid w:val="00064EE6"/>
    <w:rsid w:val="00064F33"/>
    <w:rsid w:val="00064FED"/>
    <w:rsid w:val="00065110"/>
    <w:rsid w:val="00065206"/>
    <w:rsid w:val="00065234"/>
    <w:rsid w:val="00065276"/>
    <w:rsid w:val="000652B1"/>
    <w:rsid w:val="000652B4"/>
    <w:rsid w:val="00065357"/>
    <w:rsid w:val="000653C0"/>
    <w:rsid w:val="0006547D"/>
    <w:rsid w:val="0006557F"/>
    <w:rsid w:val="00065671"/>
    <w:rsid w:val="00065830"/>
    <w:rsid w:val="00065869"/>
    <w:rsid w:val="00065897"/>
    <w:rsid w:val="000658A0"/>
    <w:rsid w:val="000659D9"/>
    <w:rsid w:val="00065A0E"/>
    <w:rsid w:val="00065B05"/>
    <w:rsid w:val="00065B46"/>
    <w:rsid w:val="00065BBC"/>
    <w:rsid w:val="00065D07"/>
    <w:rsid w:val="00065E1D"/>
    <w:rsid w:val="000660EB"/>
    <w:rsid w:val="000660ED"/>
    <w:rsid w:val="00066329"/>
    <w:rsid w:val="00066366"/>
    <w:rsid w:val="0006636C"/>
    <w:rsid w:val="000663AE"/>
    <w:rsid w:val="0006641C"/>
    <w:rsid w:val="00066578"/>
    <w:rsid w:val="0006661B"/>
    <w:rsid w:val="000667C4"/>
    <w:rsid w:val="00066B01"/>
    <w:rsid w:val="00066B34"/>
    <w:rsid w:val="00066BAE"/>
    <w:rsid w:val="00066BDA"/>
    <w:rsid w:val="00066C57"/>
    <w:rsid w:val="00066E6B"/>
    <w:rsid w:val="00066FDC"/>
    <w:rsid w:val="0006708A"/>
    <w:rsid w:val="000670E5"/>
    <w:rsid w:val="00067255"/>
    <w:rsid w:val="00067297"/>
    <w:rsid w:val="000672C7"/>
    <w:rsid w:val="000672EA"/>
    <w:rsid w:val="000674B3"/>
    <w:rsid w:val="00067516"/>
    <w:rsid w:val="00067588"/>
    <w:rsid w:val="000675A1"/>
    <w:rsid w:val="0006765B"/>
    <w:rsid w:val="000676A0"/>
    <w:rsid w:val="000677DA"/>
    <w:rsid w:val="00067807"/>
    <w:rsid w:val="000678EE"/>
    <w:rsid w:val="00067920"/>
    <w:rsid w:val="00067942"/>
    <w:rsid w:val="00067956"/>
    <w:rsid w:val="000679AB"/>
    <w:rsid w:val="00067AF1"/>
    <w:rsid w:val="00067B18"/>
    <w:rsid w:val="00067B67"/>
    <w:rsid w:val="00067C4B"/>
    <w:rsid w:val="00067C80"/>
    <w:rsid w:val="00067D5C"/>
    <w:rsid w:val="00067E0A"/>
    <w:rsid w:val="00067E20"/>
    <w:rsid w:val="00067EA6"/>
    <w:rsid w:val="00067ED7"/>
    <w:rsid w:val="00070175"/>
    <w:rsid w:val="00070180"/>
    <w:rsid w:val="000703B1"/>
    <w:rsid w:val="000703B9"/>
    <w:rsid w:val="00070448"/>
    <w:rsid w:val="000705C7"/>
    <w:rsid w:val="00070659"/>
    <w:rsid w:val="000706F9"/>
    <w:rsid w:val="00070705"/>
    <w:rsid w:val="0007079E"/>
    <w:rsid w:val="00070834"/>
    <w:rsid w:val="000708BC"/>
    <w:rsid w:val="000708D7"/>
    <w:rsid w:val="00070BB2"/>
    <w:rsid w:val="00070D88"/>
    <w:rsid w:val="00070FCC"/>
    <w:rsid w:val="00071009"/>
    <w:rsid w:val="00071297"/>
    <w:rsid w:val="00071303"/>
    <w:rsid w:val="000713C2"/>
    <w:rsid w:val="00071661"/>
    <w:rsid w:val="000716A8"/>
    <w:rsid w:val="0007173E"/>
    <w:rsid w:val="00071785"/>
    <w:rsid w:val="000717F6"/>
    <w:rsid w:val="0007188A"/>
    <w:rsid w:val="000719C4"/>
    <w:rsid w:val="00071A64"/>
    <w:rsid w:val="00071B66"/>
    <w:rsid w:val="00071CD5"/>
    <w:rsid w:val="00071D14"/>
    <w:rsid w:val="00071DD7"/>
    <w:rsid w:val="00071E6C"/>
    <w:rsid w:val="00071F4D"/>
    <w:rsid w:val="00071FAC"/>
    <w:rsid w:val="0007206C"/>
    <w:rsid w:val="0007213B"/>
    <w:rsid w:val="00072165"/>
    <w:rsid w:val="000722BA"/>
    <w:rsid w:val="0007235B"/>
    <w:rsid w:val="000724DE"/>
    <w:rsid w:val="000724F1"/>
    <w:rsid w:val="0007253A"/>
    <w:rsid w:val="00072629"/>
    <w:rsid w:val="0007263C"/>
    <w:rsid w:val="0007286A"/>
    <w:rsid w:val="000729DD"/>
    <w:rsid w:val="00072A04"/>
    <w:rsid w:val="00072EF9"/>
    <w:rsid w:val="00072FA2"/>
    <w:rsid w:val="00072FAE"/>
    <w:rsid w:val="0007317C"/>
    <w:rsid w:val="0007319E"/>
    <w:rsid w:val="000733FF"/>
    <w:rsid w:val="0007346E"/>
    <w:rsid w:val="00073503"/>
    <w:rsid w:val="00073534"/>
    <w:rsid w:val="0007360A"/>
    <w:rsid w:val="0007362D"/>
    <w:rsid w:val="00073768"/>
    <w:rsid w:val="000737AC"/>
    <w:rsid w:val="000737CB"/>
    <w:rsid w:val="000737D3"/>
    <w:rsid w:val="0007382C"/>
    <w:rsid w:val="00073A35"/>
    <w:rsid w:val="00073A4D"/>
    <w:rsid w:val="00073AA8"/>
    <w:rsid w:val="00073BB7"/>
    <w:rsid w:val="00073E88"/>
    <w:rsid w:val="00073F44"/>
    <w:rsid w:val="00073FC6"/>
    <w:rsid w:val="000740E3"/>
    <w:rsid w:val="00074211"/>
    <w:rsid w:val="0007432B"/>
    <w:rsid w:val="00074426"/>
    <w:rsid w:val="000744DA"/>
    <w:rsid w:val="00074520"/>
    <w:rsid w:val="0007457A"/>
    <w:rsid w:val="0007472C"/>
    <w:rsid w:val="000747E2"/>
    <w:rsid w:val="000748DF"/>
    <w:rsid w:val="00074999"/>
    <w:rsid w:val="00074AAE"/>
    <w:rsid w:val="00074ABA"/>
    <w:rsid w:val="00074C8D"/>
    <w:rsid w:val="00074D49"/>
    <w:rsid w:val="00074D61"/>
    <w:rsid w:val="00074D64"/>
    <w:rsid w:val="00074DB5"/>
    <w:rsid w:val="00074E23"/>
    <w:rsid w:val="00074E3E"/>
    <w:rsid w:val="00074E67"/>
    <w:rsid w:val="00074ED1"/>
    <w:rsid w:val="00075137"/>
    <w:rsid w:val="0007517D"/>
    <w:rsid w:val="00075188"/>
    <w:rsid w:val="0007533E"/>
    <w:rsid w:val="0007537E"/>
    <w:rsid w:val="000753AF"/>
    <w:rsid w:val="00075406"/>
    <w:rsid w:val="0007554C"/>
    <w:rsid w:val="0007561C"/>
    <w:rsid w:val="00075660"/>
    <w:rsid w:val="00075694"/>
    <w:rsid w:val="000756D4"/>
    <w:rsid w:val="000756F3"/>
    <w:rsid w:val="000756F8"/>
    <w:rsid w:val="00075740"/>
    <w:rsid w:val="00075759"/>
    <w:rsid w:val="000757D5"/>
    <w:rsid w:val="000757FE"/>
    <w:rsid w:val="0007582E"/>
    <w:rsid w:val="000758FF"/>
    <w:rsid w:val="00075906"/>
    <w:rsid w:val="0007590E"/>
    <w:rsid w:val="000759B1"/>
    <w:rsid w:val="000759D5"/>
    <w:rsid w:val="00075C1B"/>
    <w:rsid w:val="00075D2E"/>
    <w:rsid w:val="00075D8E"/>
    <w:rsid w:val="00075E3E"/>
    <w:rsid w:val="00075FBC"/>
    <w:rsid w:val="00076222"/>
    <w:rsid w:val="0007635C"/>
    <w:rsid w:val="000763FA"/>
    <w:rsid w:val="000764E1"/>
    <w:rsid w:val="0007650B"/>
    <w:rsid w:val="0007656E"/>
    <w:rsid w:val="00076623"/>
    <w:rsid w:val="000766BC"/>
    <w:rsid w:val="00076732"/>
    <w:rsid w:val="0007679F"/>
    <w:rsid w:val="000768C3"/>
    <w:rsid w:val="000768C5"/>
    <w:rsid w:val="0007694C"/>
    <w:rsid w:val="00076C1A"/>
    <w:rsid w:val="00076CF7"/>
    <w:rsid w:val="00076DFF"/>
    <w:rsid w:val="00076E39"/>
    <w:rsid w:val="00076E8C"/>
    <w:rsid w:val="00076F05"/>
    <w:rsid w:val="00077010"/>
    <w:rsid w:val="0007718B"/>
    <w:rsid w:val="000771AA"/>
    <w:rsid w:val="000771EB"/>
    <w:rsid w:val="00077298"/>
    <w:rsid w:val="000772B5"/>
    <w:rsid w:val="00077341"/>
    <w:rsid w:val="0007738B"/>
    <w:rsid w:val="000774B6"/>
    <w:rsid w:val="0007759B"/>
    <w:rsid w:val="00077609"/>
    <w:rsid w:val="0007763F"/>
    <w:rsid w:val="000776CF"/>
    <w:rsid w:val="0007774C"/>
    <w:rsid w:val="00077798"/>
    <w:rsid w:val="000778FC"/>
    <w:rsid w:val="00077999"/>
    <w:rsid w:val="00077A91"/>
    <w:rsid w:val="00077B8F"/>
    <w:rsid w:val="00077C31"/>
    <w:rsid w:val="00077C5E"/>
    <w:rsid w:val="00077CB3"/>
    <w:rsid w:val="00077EA0"/>
    <w:rsid w:val="00077F22"/>
    <w:rsid w:val="00077F7A"/>
    <w:rsid w:val="00077F82"/>
    <w:rsid w:val="00077F8C"/>
    <w:rsid w:val="00077FD4"/>
    <w:rsid w:val="00077FF2"/>
    <w:rsid w:val="00080024"/>
    <w:rsid w:val="00080130"/>
    <w:rsid w:val="00080187"/>
    <w:rsid w:val="00080225"/>
    <w:rsid w:val="00080255"/>
    <w:rsid w:val="00080294"/>
    <w:rsid w:val="00080495"/>
    <w:rsid w:val="00080674"/>
    <w:rsid w:val="0008067A"/>
    <w:rsid w:val="000808F6"/>
    <w:rsid w:val="00080A68"/>
    <w:rsid w:val="00080A7F"/>
    <w:rsid w:val="00080AD1"/>
    <w:rsid w:val="00080B67"/>
    <w:rsid w:val="00080B7C"/>
    <w:rsid w:val="00080CAA"/>
    <w:rsid w:val="00080DDC"/>
    <w:rsid w:val="000810AC"/>
    <w:rsid w:val="000810DC"/>
    <w:rsid w:val="0008111A"/>
    <w:rsid w:val="0008130C"/>
    <w:rsid w:val="0008131D"/>
    <w:rsid w:val="00081345"/>
    <w:rsid w:val="00081476"/>
    <w:rsid w:val="000814FB"/>
    <w:rsid w:val="00081604"/>
    <w:rsid w:val="000816B4"/>
    <w:rsid w:val="00081792"/>
    <w:rsid w:val="000817F2"/>
    <w:rsid w:val="00081913"/>
    <w:rsid w:val="00081AA6"/>
    <w:rsid w:val="00081B6A"/>
    <w:rsid w:val="00081BA7"/>
    <w:rsid w:val="00081C67"/>
    <w:rsid w:val="00081D02"/>
    <w:rsid w:val="00081D1D"/>
    <w:rsid w:val="00081D50"/>
    <w:rsid w:val="00081D63"/>
    <w:rsid w:val="00081DBE"/>
    <w:rsid w:val="00081E89"/>
    <w:rsid w:val="00081EA3"/>
    <w:rsid w:val="00081F80"/>
    <w:rsid w:val="00082003"/>
    <w:rsid w:val="00082067"/>
    <w:rsid w:val="0008208E"/>
    <w:rsid w:val="000822D8"/>
    <w:rsid w:val="00082342"/>
    <w:rsid w:val="00082390"/>
    <w:rsid w:val="0008259C"/>
    <w:rsid w:val="000825B9"/>
    <w:rsid w:val="000825C0"/>
    <w:rsid w:val="000825CB"/>
    <w:rsid w:val="000825CF"/>
    <w:rsid w:val="00082746"/>
    <w:rsid w:val="000828F6"/>
    <w:rsid w:val="000829B8"/>
    <w:rsid w:val="000829C7"/>
    <w:rsid w:val="00082A4E"/>
    <w:rsid w:val="00082B32"/>
    <w:rsid w:val="00082B45"/>
    <w:rsid w:val="00082C13"/>
    <w:rsid w:val="00082C6D"/>
    <w:rsid w:val="00082D36"/>
    <w:rsid w:val="00082E23"/>
    <w:rsid w:val="00082EDA"/>
    <w:rsid w:val="00082F59"/>
    <w:rsid w:val="00083074"/>
    <w:rsid w:val="000830EE"/>
    <w:rsid w:val="00083104"/>
    <w:rsid w:val="00083173"/>
    <w:rsid w:val="000831B4"/>
    <w:rsid w:val="000831FA"/>
    <w:rsid w:val="00083304"/>
    <w:rsid w:val="00083452"/>
    <w:rsid w:val="000835D8"/>
    <w:rsid w:val="0008363D"/>
    <w:rsid w:val="00083827"/>
    <w:rsid w:val="000838BD"/>
    <w:rsid w:val="00083AE6"/>
    <w:rsid w:val="00083B26"/>
    <w:rsid w:val="00083C91"/>
    <w:rsid w:val="00083CB9"/>
    <w:rsid w:val="00083E26"/>
    <w:rsid w:val="00083F4D"/>
    <w:rsid w:val="00084022"/>
    <w:rsid w:val="00084057"/>
    <w:rsid w:val="000840CF"/>
    <w:rsid w:val="0008410A"/>
    <w:rsid w:val="00084119"/>
    <w:rsid w:val="00084174"/>
    <w:rsid w:val="0008422B"/>
    <w:rsid w:val="00084283"/>
    <w:rsid w:val="0008429D"/>
    <w:rsid w:val="000843AB"/>
    <w:rsid w:val="000843D3"/>
    <w:rsid w:val="0008445D"/>
    <w:rsid w:val="000844F7"/>
    <w:rsid w:val="000846F8"/>
    <w:rsid w:val="00084836"/>
    <w:rsid w:val="0008486D"/>
    <w:rsid w:val="0008499E"/>
    <w:rsid w:val="00084AA0"/>
    <w:rsid w:val="00084AAC"/>
    <w:rsid w:val="00084AC5"/>
    <w:rsid w:val="00084B08"/>
    <w:rsid w:val="00084D2A"/>
    <w:rsid w:val="00084E35"/>
    <w:rsid w:val="00085031"/>
    <w:rsid w:val="00085047"/>
    <w:rsid w:val="000852AB"/>
    <w:rsid w:val="0008552B"/>
    <w:rsid w:val="000855B8"/>
    <w:rsid w:val="0008562C"/>
    <w:rsid w:val="00085638"/>
    <w:rsid w:val="000856E8"/>
    <w:rsid w:val="000858A7"/>
    <w:rsid w:val="0008596B"/>
    <w:rsid w:val="00085985"/>
    <w:rsid w:val="00085A4B"/>
    <w:rsid w:val="00085BE3"/>
    <w:rsid w:val="00085C1C"/>
    <w:rsid w:val="00085CCE"/>
    <w:rsid w:val="00085F8B"/>
    <w:rsid w:val="000860AD"/>
    <w:rsid w:val="000860B2"/>
    <w:rsid w:val="0008618B"/>
    <w:rsid w:val="000861C0"/>
    <w:rsid w:val="000862A4"/>
    <w:rsid w:val="000864AC"/>
    <w:rsid w:val="000864CE"/>
    <w:rsid w:val="000865AD"/>
    <w:rsid w:val="00086650"/>
    <w:rsid w:val="000867BD"/>
    <w:rsid w:val="0008682F"/>
    <w:rsid w:val="0008687A"/>
    <w:rsid w:val="0008688A"/>
    <w:rsid w:val="000868D1"/>
    <w:rsid w:val="0008691D"/>
    <w:rsid w:val="0008697B"/>
    <w:rsid w:val="00086E32"/>
    <w:rsid w:val="00086E78"/>
    <w:rsid w:val="00086EFA"/>
    <w:rsid w:val="00087002"/>
    <w:rsid w:val="0008702E"/>
    <w:rsid w:val="0008704E"/>
    <w:rsid w:val="000871C5"/>
    <w:rsid w:val="000872FC"/>
    <w:rsid w:val="0008734E"/>
    <w:rsid w:val="00087403"/>
    <w:rsid w:val="0008743B"/>
    <w:rsid w:val="00087627"/>
    <w:rsid w:val="00087666"/>
    <w:rsid w:val="0008769E"/>
    <w:rsid w:val="00087965"/>
    <w:rsid w:val="00087A42"/>
    <w:rsid w:val="00087A56"/>
    <w:rsid w:val="00087C0B"/>
    <w:rsid w:val="00087C59"/>
    <w:rsid w:val="00087E6D"/>
    <w:rsid w:val="00087F44"/>
    <w:rsid w:val="00087F5F"/>
    <w:rsid w:val="00090084"/>
    <w:rsid w:val="000900E0"/>
    <w:rsid w:val="00090230"/>
    <w:rsid w:val="000902DD"/>
    <w:rsid w:val="000902ED"/>
    <w:rsid w:val="000902FD"/>
    <w:rsid w:val="0009034D"/>
    <w:rsid w:val="000903F2"/>
    <w:rsid w:val="0009040B"/>
    <w:rsid w:val="0009047B"/>
    <w:rsid w:val="000904E8"/>
    <w:rsid w:val="00090509"/>
    <w:rsid w:val="000906E1"/>
    <w:rsid w:val="00090746"/>
    <w:rsid w:val="00090754"/>
    <w:rsid w:val="00090890"/>
    <w:rsid w:val="000909D8"/>
    <w:rsid w:val="00090B5A"/>
    <w:rsid w:val="00090B8D"/>
    <w:rsid w:val="00090D9F"/>
    <w:rsid w:val="00090E47"/>
    <w:rsid w:val="00090EB5"/>
    <w:rsid w:val="00090F64"/>
    <w:rsid w:val="00090FBB"/>
    <w:rsid w:val="0009103E"/>
    <w:rsid w:val="000910A0"/>
    <w:rsid w:val="00091108"/>
    <w:rsid w:val="00091256"/>
    <w:rsid w:val="00091276"/>
    <w:rsid w:val="000912CE"/>
    <w:rsid w:val="0009133F"/>
    <w:rsid w:val="0009147E"/>
    <w:rsid w:val="0009155E"/>
    <w:rsid w:val="000915D5"/>
    <w:rsid w:val="0009179D"/>
    <w:rsid w:val="00091817"/>
    <w:rsid w:val="00091823"/>
    <w:rsid w:val="000918F6"/>
    <w:rsid w:val="00091933"/>
    <w:rsid w:val="00091946"/>
    <w:rsid w:val="00091B33"/>
    <w:rsid w:val="00091CD9"/>
    <w:rsid w:val="00091D49"/>
    <w:rsid w:val="0009211A"/>
    <w:rsid w:val="00092172"/>
    <w:rsid w:val="000921DF"/>
    <w:rsid w:val="0009227E"/>
    <w:rsid w:val="0009248D"/>
    <w:rsid w:val="000926D5"/>
    <w:rsid w:val="0009277A"/>
    <w:rsid w:val="000927E7"/>
    <w:rsid w:val="000929DD"/>
    <w:rsid w:val="00092C6C"/>
    <w:rsid w:val="00092DD1"/>
    <w:rsid w:val="00092E12"/>
    <w:rsid w:val="00092E95"/>
    <w:rsid w:val="00092EC0"/>
    <w:rsid w:val="00093075"/>
    <w:rsid w:val="000930E1"/>
    <w:rsid w:val="0009321C"/>
    <w:rsid w:val="00093248"/>
    <w:rsid w:val="000932E5"/>
    <w:rsid w:val="000933DC"/>
    <w:rsid w:val="00093539"/>
    <w:rsid w:val="00093593"/>
    <w:rsid w:val="000936E9"/>
    <w:rsid w:val="00093737"/>
    <w:rsid w:val="000937FB"/>
    <w:rsid w:val="00093994"/>
    <w:rsid w:val="00093A9C"/>
    <w:rsid w:val="00093B3B"/>
    <w:rsid w:val="00093E14"/>
    <w:rsid w:val="00093E8E"/>
    <w:rsid w:val="00093F1F"/>
    <w:rsid w:val="00093F72"/>
    <w:rsid w:val="00093F97"/>
    <w:rsid w:val="00094012"/>
    <w:rsid w:val="0009414A"/>
    <w:rsid w:val="00094151"/>
    <w:rsid w:val="0009416F"/>
    <w:rsid w:val="0009440D"/>
    <w:rsid w:val="0009445E"/>
    <w:rsid w:val="00094473"/>
    <w:rsid w:val="000944CF"/>
    <w:rsid w:val="00094540"/>
    <w:rsid w:val="000945E5"/>
    <w:rsid w:val="00094717"/>
    <w:rsid w:val="0009475E"/>
    <w:rsid w:val="00094853"/>
    <w:rsid w:val="00094887"/>
    <w:rsid w:val="00094908"/>
    <w:rsid w:val="00094AD9"/>
    <w:rsid w:val="00094B0B"/>
    <w:rsid w:val="00094B45"/>
    <w:rsid w:val="00094BF5"/>
    <w:rsid w:val="00094E71"/>
    <w:rsid w:val="0009501D"/>
    <w:rsid w:val="00095108"/>
    <w:rsid w:val="000951A0"/>
    <w:rsid w:val="000952EC"/>
    <w:rsid w:val="000952EE"/>
    <w:rsid w:val="00095313"/>
    <w:rsid w:val="00095470"/>
    <w:rsid w:val="00095546"/>
    <w:rsid w:val="00095594"/>
    <w:rsid w:val="000955D9"/>
    <w:rsid w:val="000955FC"/>
    <w:rsid w:val="000956A6"/>
    <w:rsid w:val="000956B0"/>
    <w:rsid w:val="000956B7"/>
    <w:rsid w:val="00095710"/>
    <w:rsid w:val="000959DA"/>
    <w:rsid w:val="00095A83"/>
    <w:rsid w:val="00095A97"/>
    <w:rsid w:val="00095AB5"/>
    <w:rsid w:val="00095AC6"/>
    <w:rsid w:val="00095B77"/>
    <w:rsid w:val="00095C1F"/>
    <w:rsid w:val="00095E05"/>
    <w:rsid w:val="00095F7F"/>
    <w:rsid w:val="00096081"/>
    <w:rsid w:val="000960B9"/>
    <w:rsid w:val="0009614B"/>
    <w:rsid w:val="000961C8"/>
    <w:rsid w:val="0009636C"/>
    <w:rsid w:val="000963AF"/>
    <w:rsid w:val="00096438"/>
    <w:rsid w:val="000965E3"/>
    <w:rsid w:val="000965E4"/>
    <w:rsid w:val="0009676B"/>
    <w:rsid w:val="000967C5"/>
    <w:rsid w:val="000967D0"/>
    <w:rsid w:val="00096911"/>
    <w:rsid w:val="00096A34"/>
    <w:rsid w:val="00096B48"/>
    <w:rsid w:val="00096B85"/>
    <w:rsid w:val="00096C82"/>
    <w:rsid w:val="00096CEE"/>
    <w:rsid w:val="00096DA4"/>
    <w:rsid w:val="00096F24"/>
    <w:rsid w:val="00096F64"/>
    <w:rsid w:val="00097068"/>
    <w:rsid w:val="000970BA"/>
    <w:rsid w:val="000970C9"/>
    <w:rsid w:val="000970D8"/>
    <w:rsid w:val="000970E6"/>
    <w:rsid w:val="000971FC"/>
    <w:rsid w:val="0009721A"/>
    <w:rsid w:val="000974D9"/>
    <w:rsid w:val="000974F7"/>
    <w:rsid w:val="0009768A"/>
    <w:rsid w:val="000978B7"/>
    <w:rsid w:val="00097B10"/>
    <w:rsid w:val="00097C57"/>
    <w:rsid w:val="00097C93"/>
    <w:rsid w:val="00097CC1"/>
    <w:rsid w:val="00097D54"/>
    <w:rsid w:val="00097D78"/>
    <w:rsid w:val="00097D7E"/>
    <w:rsid w:val="00097DAD"/>
    <w:rsid w:val="00097FE2"/>
    <w:rsid w:val="000A0035"/>
    <w:rsid w:val="000A00DF"/>
    <w:rsid w:val="000A00FB"/>
    <w:rsid w:val="000A03A8"/>
    <w:rsid w:val="000A0446"/>
    <w:rsid w:val="000A0489"/>
    <w:rsid w:val="000A04BE"/>
    <w:rsid w:val="000A04D5"/>
    <w:rsid w:val="000A04E9"/>
    <w:rsid w:val="000A0644"/>
    <w:rsid w:val="000A064A"/>
    <w:rsid w:val="000A06DE"/>
    <w:rsid w:val="000A0812"/>
    <w:rsid w:val="000A0830"/>
    <w:rsid w:val="000A083D"/>
    <w:rsid w:val="000A0980"/>
    <w:rsid w:val="000A0A2F"/>
    <w:rsid w:val="000A0AA5"/>
    <w:rsid w:val="000A0B3E"/>
    <w:rsid w:val="000A0BCC"/>
    <w:rsid w:val="000A0BED"/>
    <w:rsid w:val="000A0E52"/>
    <w:rsid w:val="000A0F8C"/>
    <w:rsid w:val="000A1004"/>
    <w:rsid w:val="000A106F"/>
    <w:rsid w:val="000A10BE"/>
    <w:rsid w:val="000A10CD"/>
    <w:rsid w:val="000A10E9"/>
    <w:rsid w:val="000A11BD"/>
    <w:rsid w:val="000A121D"/>
    <w:rsid w:val="000A1225"/>
    <w:rsid w:val="000A129A"/>
    <w:rsid w:val="000A1365"/>
    <w:rsid w:val="000A1402"/>
    <w:rsid w:val="000A1452"/>
    <w:rsid w:val="000A14A7"/>
    <w:rsid w:val="000A173B"/>
    <w:rsid w:val="000A1768"/>
    <w:rsid w:val="000A1786"/>
    <w:rsid w:val="000A17A8"/>
    <w:rsid w:val="000A17E2"/>
    <w:rsid w:val="000A1A22"/>
    <w:rsid w:val="000A1A6C"/>
    <w:rsid w:val="000A1A8A"/>
    <w:rsid w:val="000A1B09"/>
    <w:rsid w:val="000A1BC7"/>
    <w:rsid w:val="000A1C78"/>
    <w:rsid w:val="000A1CB9"/>
    <w:rsid w:val="000A1D60"/>
    <w:rsid w:val="000A1F2F"/>
    <w:rsid w:val="000A1F68"/>
    <w:rsid w:val="000A1FA3"/>
    <w:rsid w:val="000A2075"/>
    <w:rsid w:val="000A210C"/>
    <w:rsid w:val="000A22D6"/>
    <w:rsid w:val="000A2329"/>
    <w:rsid w:val="000A239E"/>
    <w:rsid w:val="000A2546"/>
    <w:rsid w:val="000A2560"/>
    <w:rsid w:val="000A25BD"/>
    <w:rsid w:val="000A2638"/>
    <w:rsid w:val="000A2653"/>
    <w:rsid w:val="000A27A7"/>
    <w:rsid w:val="000A289D"/>
    <w:rsid w:val="000A28D9"/>
    <w:rsid w:val="000A2992"/>
    <w:rsid w:val="000A2A19"/>
    <w:rsid w:val="000A2B1D"/>
    <w:rsid w:val="000A2D26"/>
    <w:rsid w:val="000A2DBB"/>
    <w:rsid w:val="000A2F69"/>
    <w:rsid w:val="000A2FC4"/>
    <w:rsid w:val="000A301D"/>
    <w:rsid w:val="000A30B0"/>
    <w:rsid w:val="000A3188"/>
    <w:rsid w:val="000A326E"/>
    <w:rsid w:val="000A33AE"/>
    <w:rsid w:val="000A34B1"/>
    <w:rsid w:val="000A3576"/>
    <w:rsid w:val="000A37F0"/>
    <w:rsid w:val="000A3960"/>
    <w:rsid w:val="000A3B0D"/>
    <w:rsid w:val="000A3B24"/>
    <w:rsid w:val="000A3B76"/>
    <w:rsid w:val="000A3B9F"/>
    <w:rsid w:val="000A3BDE"/>
    <w:rsid w:val="000A3CFD"/>
    <w:rsid w:val="000A3D9C"/>
    <w:rsid w:val="000A3E19"/>
    <w:rsid w:val="000A3EBF"/>
    <w:rsid w:val="000A3FD6"/>
    <w:rsid w:val="000A420E"/>
    <w:rsid w:val="000A4231"/>
    <w:rsid w:val="000A4253"/>
    <w:rsid w:val="000A442A"/>
    <w:rsid w:val="000A44CC"/>
    <w:rsid w:val="000A4561"/>
    <w:rsid w:val="000A456A"/>
    <w:rsid w:val="000A4573"/>
    <w:rsid w:val="000A458C"/>
    <w:rsid w:val="000A4682"/>
    <w:rsid w:val="000A471E"/>
    <w:rsid w:val="000A47A5"/>
    <w:rsid w:val="000A4870"/>
    <w:rsid w:val="000A48C4"/>
    <w:rsid w:val="000A48F9"/>
    <w:rsid w:val="000A4909"/>
    <w:rsid w:val="000A4994"/>
    <w:rsid w:val="000A4A65"/>
    <w:rsid w:val="000A4D0D"/>
    <w:rsid w:val="000A4D9F"/>
    <w:rsid w:val="000A4DB9"/>
    <w:rsid w:val="000A5253"/>
    <w:rsid w:val="000A547B"/>
    <w:rsid w:val="000A54A2"/>
    <w:rsid w:val="000A54DA"/>
    <w:rsid w:val="000A551A"/>
    <w:rsid w:val="000A5602"/>
    <w:rsid w:val="000A5667"/>
    <w:rsid w:val="000A573B"/>
    <w:rsid w:val="000A5793"/>
    <w:rsid w:val="000A5801"/>
    <w:rsid w:val="000A5855"/>
    <w:rsid w:val="000A5870"/>
    <w:rsid w:val="000A587F"/>
    <w:rsid w:val="000A58B1"/>
    <w:rsid w:val="000A58CB"/>
    <w:rsid w:val="000A5960"/>
    <w:rsid w:val="000A5A85"/>
    <w:rsid w:val="000A5A96"/>
    <w:rsid w:val="000A5AA3"/>
    <w:rsid w:val="000A5B44"/>
    <w:rsid w:val="000A5B64"/>
    <w:rsid w:val="000A5BE2"/>
    <w:rsid w:val="000A5D9F"/>
    <w:rsid w:val="000A5DD6"/>
    <w:rsid w:val="000A5DF0"/>
    <w:rsid w:val="000A5F18"/>
    <w:rsid w:val="000A5F27"/>
    <w:rsid w:val="000A6072"/>
    <w:rsid w:val="000A60BB"/>
    <w:rsid w:val="000A611E"/>
    <w:rsid w:val="000A618D"/>
    <w:rsid w:val="000A61C6"/>
    <w:rsid w:val="000A61E0"/>
    <w:rsid w:val="000A624E"/>
    <w:rsid w:val="000A6295"/>
    <w:rsid w:val="000A632A"/>
    <w:rsid w:val="000A6469"/>
    <w:rsid w:val="000A6490"/>
    <w:rsid w:val="000A67C8"/>
    <w:rsid w:val="000A6815"/>
    <w:rsid w:val="000A6A4C"/>
    <w:rsid w:val="000A6B56"/>
    <w:rsid w:val="000A6BA2"/>
    <w:rsid w:val="000A6BA7"/>
    <w:rsid w:val="000A6C51"/>
    <w:rsid w:val="000A6C70"/>
    <w:rsid w:val="000A6C87"/>
    <w:rsid w:val="000A6CAF"/>
    <w:rsid w:val="000A6CFF"/>
    <w:rsid w:val="000A6E26"/>
    <w:rsid w:val="000A7025"/>
    <w:rsid w:val="000A737C"/>
    <w:rsid w:val="000A7658"/>
    <w:rsid w:val="000A7728"/>
    <w:rsid w:val="000A77FE"/>
    <w:rsid w:val="000A7849"/>
    <w:rsid w:val="000A78F5"/>
    <w:rsid w:val="000A792C"/>
    <w:rsid w:val="000A7971"/>
    <w:rsid w:val="000A79E8"/>
    <w:rsid w:val="000A7A58"/>
    <w:rsid w:val="000A7A85"/>
    <w:rsid w:val="000A7B1A"/>
    <w:rsid w:val="000A7B8D"/>
    <w:rsid w:val="000A7BF6"/>
    <w:rsid w:val="000A7C56"/>
    <w:rsid w:val="000A7D10"/>
    <w:rsid w:val="000A7D57"/>
    <w:rsid w:val="000A7D66"/>
    <w:rsid w:val="000A7D6C"/>
    <w:rsid w:val="000A7D7F"/>
    <w:rsid w:val="000A7D82"/>
    <w:rsid w:val="000A7E65"/>
    <w:rsid w:val="000A7EAC"/>
    <w:rsid w:val="000A7F9D"/>
    <w:rsid w:val="000B0093"/>
    <w:rsid w:val="000B0145"/>
    <w:rsid w:val="000B0251"/>
    <w:rsid w:val="000B0260"/>
    <w:rsid w:val="000B02F9"/>
    <w:rsid w:val="000B0313"/>
    <w:rsid w:val="000B033C"/>
    <w:rsid w:val="000B03F6"/>
    <w:rsid w:val="000B0405"/>
    <w:rsid w:val="000B04B8"/>
    <w:rsid w:val="000B0544"/>
    <w:rsid w:val="000B0585"/>
    <w:rsid w:val="000B05BE"/>
    <w:rsid w:val="000B06D8"/>
    <w:rsid w:val="000B08D9"/>
    <w:rsid w:val="000B09C6"/>
    <w:rsid w:val="000B0A28"/>
    <w:rsid w:val="000B0ACD"/>
    <w:rsid w:val="000B0AD4"/>
    <w:rsid w:val="000B0B99"/>
    <w:rsid w:val="000B0BE3"/>
    <w:rsid w:val="000B0C1B"/>
    <w:rsid w:val="000B0CFE"/>
    <w:rsid w:val="000B0D1F"/>
    <w:rsid w:val="000B0D93"/>
    <w:rsid w:val="000B0E3B"/>
    <w:rsid w:val="000B0E88"/>
    <w:rsid w:val="000B0EEA"/>
    <w:rsid w:val="000B0F26"/>
    <w:rsid w:val="000B0F38"/>
    <w:rsid w:val="000B0FEA"/>
    <w:rsid w:val="000B112A"/>
    <w:rsid w:val="000B1218"/>
    <w:rsid w:val="000B129B"/>
    <w:rsid w:val="000B1305"/>
    <w:rsid w:val="000B13C5"/>
    <w:rsid w:val="000B1430"/>
    <w:rsid w:val="000B14A6"/>
    <w:rsid w:val="000B150C"/>
    <w:rsid w:val="000B1523"/>
    <w:rsid w:val="000B15F2"/>
    <w:rsid w:val="000B163F"/>
    <w:rsid w:val="000B1802"/>
    <w:rsid w:val="000B18A0"/>
    <w:rsid w:val="000B195D"/>
    <w:rsid w:val="000B196B"/>
    <w:rsid w:val="000B1A17"/>
    <w:rsid w:val="000B1B13"/>
    <w:rsid w:val="000B1B79"/>
    <w:rsid w:val="000B1D00"/>
    <w:rsid w:val="000B1F5D"/>
    <w:rsid w:val="000B1FDB"/>
    <w:rsid w:val="000B204E"/>
    <w:rsid w:val="000B2220"/>
    <w:rsid w:val="000B229F"/>
    <w:rsid w:val="000B22B9"/>
    <w:rsid w:val="000B22C3"/>
    <w:rsid w:val="000B22E5"/>
    <w:rsid w:val="000B23C8"/>
    <w:rsid w:val="000B259C"/>
    <w:rsid w:val="000B267E"/>
    <w:rsid w:val="000B26D1"/>
    <w:rsid w:val="000B26FF"/>
    <w:rsid w:val="000B27B8"/>
    <w:rsid w:val="000B27DC"/>
    <w:rsid w:val="000B2905"/>
    <w:rsid w:val="000B294D"/>
    <w:rsid w:val="000B2974"/>
    <w:rsid w:val="000B2AD0"/>
    <w:rsid w:val="000B2BB3"/>
    <w:rsid w:val="000B2D91"/>
    <w:rsid w:val="000B2DB8"/>
    <w:rsid w:val="000B2DCC"/>
    <w:rsid w:val="000B2F47"/>
    <w:rsid w:val="000B30AC"/>
    <w:rsid w:val="000B30D4"/>
    <w:rsid w:val="000B31C1"/>
    <w:rsid w:val="000B31E3"/>
    <w:rsid w:val="000B332B"/>
    <w:rsid w:val="000B33AF"/>
    <w:rsid w:val="000B3550"/>
    <w:rsid w:val="000B35F7"/>
    <w:rsid w:val="000B36F1"/>
    <w:rsid w:val="000B3844"/>
    <w:rsid w:val="000B389A"/>
    <w:rsid w:val="000B38B2"/>
    <w:rsid w:val="000B38E7"/>
    <w:rsid w:val="000B3985"/>
    <w:rsid w:val="000B3B5D"/>
    <w:rsid w:val="000B3B6D"/>
    <w:rsid w:val="000B3C03"/>
    <w:rsid w:val="000B3CBB"/>
    <w:rsid w:val="000B3F82"/>
    <w:rsid w:val="000B400B"/>
    <w:rsid w:val="000B40AA"/>
    <w:rsid w:val="000B40F5"/>
    <w:rsid w:val="000B42F1"/>
    <w:rsid w:val="000B4406"/>
    <w:rsid w:val="000B4495"/>
    <w:rsid w:val="000B44FB"/>
    <w:rsid w:val="000B4541"/>
    <w:rsid w:val="000B4637"/>
    <w:rsid w:val="000B478A"/>
    <w:rsid w:val="000B479E"/>
    <w:rsid w:val="000B4891"/>
    <w:rsid w:val="000B4A0F"/>
    <w:rsid w:val="000B4C1B"/>
    <w:rsid w:val="000B4CF6"/>
    <w:rsid w:val="000B4D3B"/>
    <w:rsid w:val="000B4DDA"/>
    <w:rsid w:val="000B4F7A"/>
    <w:rsid w:val="000B511F"/>
    <w:rsid w:val="000B5232"/>
    <w:rsid w:val="000B5310"/>
    <w:rsid w:val="000B53DE"/>
    <w:rsid w:val="000B5502"/>
    <w:rsid w:val="000B550F"/>
    <w:rsid w:val="000B5514"/>
    <w:rsid w:val="000B5552"/>
    <w:rsid w:val="000B556F"/>
    <w:rsid w:val="000B5570"/>
    <w:rsid w:val="000B5701"/>
    <w:rsid w:val="000B5737"/>
    <w:rsid w:val="000B5739"/>
    <w:rsid w:val="000B5BCD"/>
    <w:rsid w:val="000B5CC5"/>
    <w:rsid w:val="000B5CCB"/>
    <w:rsid w:val="000B5DA1"/>
    <w:rsid w:val="000B5EBD"/>
    <w:rsid w:val="000B5F6C"/>
    <w:rsid w:val="000B5FB4"/>
    <w:rsid w:val="000B62DA"/>
    <w:rsid w:val="000B62DD"/>
    <w:rsid w:val="000B63D4"/>
    <w:rsid w:val="000B6489"/>
    <w:rsid w:val="000B64FB"/>
    <w:rsid w:val="000B6538"/>
    <w:rsid w:val="000B67E6"/>
    <w:rsid w:val="000B68E5"/>
    <w:rsid w:val="000B69E8"/>
    <w:rsid w:val="000B6A82"/>
    <w:rsid w:val="000B6AB2"/>
    <w:rsid w:val="000B6C42"/>
    <w:rsid w:val="000B6C59"/>
    <w:rsid w:val="000B6D2F"/>
    <w:rsid w:val="000B6E14"/>
    <w:rsid w:val="000B6E34"/>
    <w:rsid w:val="000B6E95"/>
    <w:rsid w:val="000B6EA5"/>
    <w:rsid w:val="000B6F24"/>
    <w:rsid w:val="000B6FB4"/>
    <w:rsid w:val="000B7019"/>
    <w:rsid w:val="000B7172"/>
    <w:rsid w:val="000B71E1"/>
    <w:rsid w:val="000B726C"/>
    <w:rsid w:val="000B7368"/>
    <w:rsid w:val="000B7399"/>
    <w:rsid w:val="000B73CF"/>
    <w:rsid w:val="000B7416"/>
    <w:rsid w:val="000B745D"/>
    <w:rsid w:val="000B75C8"/>
    <w:rsid w:val="000B76F1"/>
    <w:rsid w:val="000B7727"/>
    <w:rsid w:val="000B77AB"/>
    <w:rsid w:val="000B77AF"/>
    <w:rsid w:val="000B78C6"/>
    <w:rsid w:val="000B7BF1"/>
    <w:rsid w:val="000B7C07"/>
    <w:rsid w:val="000B7C98"/>
    <w:rsid w:val="000B7E3F"/>
    <w:rsid w:val="000B7E5C"/>
    <w:rsid w:val="000B7ED4"/>
    <w:rsid w:val="000B7F40"/>
    <w:rsid w:val="000C0079"/>
    <w:rsid w:val="000C0117"/>
    <w:rsid w:val="000C018F"/>
    <w:rsid w:val="000C024A"/>
    <w:rsid w:val="000C024B"/>
    <w:rsid w:val="000C0259"/>
    <w:rsid w:val="000C0289"/>
    <w:rsid w:val="000C02BD"/>
    <w:rsid w:val="000C03B4"/>
    <w:rsid w:val="000C03EA"/>
    <w:rsid w:val="000C03F4"/>
    <w:rsid w:val="000C0473"/>
    <w:rsid w:val="000C05D5"/>
    <w:rsid w:val="000C0696"/>
    <w:rsid w:val="000C0715"/>
    <w:rsid w:val="000C078D"/>
    <w:rsid w:val="000C07E8"/>
    <w:rsid w:val="000C0861"/>
    <w:rsid w:val="000C08C1"/>
    <w:rsid w:val="000C09E9"/>
    <w:rsid w:val="000C0B6F"/>
    <w:rsid w:val="000C0BE5"/>
    <w:rsid w:val="000C0DC3"/>
    <w:rsid w:val="000C0F2C"/>
    <w:rsid w:val="000C10ED"/>
    <w:rsid w:val="000C1114"/>
    <w:rsid w:val="000C111C"/>
    <w:rsid w:val="000C11D3"/>
    <w:rsid w:val="000C11DC"/>
    <w:rsid w:val="000C125D"/>
    <w:rsid w:val="000C1326"/>
    <w:rsid w:val="000C1333"/>
    <w:rsid w:val="000C1479"/>
    <w:rsid w:val="000C151F"/>
    <w:rsid w:val="000C1641"/>
    <w:rsid w:val="000C1666"/>
    <w:rsid w:val="000C172B"/>
    <w:rsid w:val="000C18A8"/>
    <w:rsid w:val="000C1915"/>
    <w:rsid w:val="000C1928"/>
    <w:rsid w:val="000C197F"/>
    <w:rsid w:val="000C1BB1"/>
    <w:rsid w:val="000C1C22"/>
    <w:rsid w:val="000C1D14"/>
    <w:rsid w:val="000C1DDC"/>
    <w:rsid w:val="000C1EDE"/>
    <w:rsid w:val="000C2050"/>
    <w:rsid w:val="000C21A6"/>
    <w:rsid w:val="000C21E2"/>
    <w:rsid w:val="000C2277"/>
    <w:rsid w:val="000C238A"/>
    <w:rsid w:val="000C2722"/>
    <w:rsid w:val="000C2754"/>
    <w:rsid w:val="000C283D"/>
    <w:rsid w:val="000C29A4"/>
    <w:rsid w:val="000C2C0D"/>
    <w:rsid w:val="000C2CEB"/>
    <w:rsid w:val="000C2F0D"/>
    <w:rsid w:val="000C2F17"/>
    <w:rsid w:val="000C3100"/>
    <w:rsid w:val="000C311C"/>
    <w:rsid w:val="000C3212"/>
    <w:rsid w:val="000C33AE"/>
    <w:rsid w:val="000C340D"/>
    <w:rsid w:val="000C348B"/>
    <w:rsid w:val="000C35B0"/>
    <w:rsid w:val="000C3831"/>
    <w:rsid w:val="000C3867"/>
    <w:rsid w:val="000C389C"/>
    <w:rsid w:val="000C3C16"/>
    <w:rsid w:val="000C3E24"/>
    <w:rsid w:val="000C3E6C"/>
    <w:rsid w:val="000C3F7E"/>
    <w:rsid w:val="000C407D"/>
    <w:rsid w:val="000C40DF"/>
    <w:rsid w:val="000C4223"/>
    <w:rsid w:val="000C423F"/>
    <w:rsid w:val="000C426E"/>
    <w:rsid w:val="000C4330"/>
    <w:rsid w:val="000C4348"/>
    <w:rsid w:val="000C43CD"/>
    <w:rsid w:val="000C4524"/>
    <w:rsid w:val="000C45E1"/>
    <w:rsid w:val="000C4730"/>
    <w:rsid w:val="000C4796"/>
    <w:rsid w:val="000C49E8"/>
    <w:rsid w:val="000C4BB3"/>
    <w:rsid w:val="000C4D8A"/>
    <w:rsid w:val="000C4D8C"/>
    <w:rsid w:val="000C4D91"/>
    <w:rsid w:val="000C4D95"/>
    <w:rsid w:val="000C4EC1"/>
    <w:rsid w:val="000C4F43"/>
    <w:rsid w:val="000C4F6D"/>
    <w:rsid w:val="000C4F9D"/>
    <w:rsid w:val="000C5041"/>
    <w:rsid w:val="000C506E"/>
    <w:rsid w:val="000C5092"/>
    <w:rsid w:val="000C5174"/>
    <w:rsid w:val="000C5198"/>
    <w:rsid w:val="000C52E4"/>
    <w:rsid w:val="000C52E9"/>
    <w:rsid w:val="000C53EB"/>
    <w:rsid w:val="000C53F5"/>
    <w:rsid w:val="000C542D"/>
    <w:rsid w:val="000C5472"/>
    <w:rsid w:val="000C5489"/>
    <w:rsid w:val="000C54F8"/>
    <w:rsid w:val="000C5748"/>
    <w:rsid w:val="000C574F"/>
    <w:rsid w:val="000C5791"/>
    <w:rsid w:val="000C57F3"/>
    <w:rsid w:val="000C5874"/>
    <w:rsid w:val="000C59B9"/>
    <w:rsid w:val="000C59DE"/>
    <w:rsid w:val="000C5CC2"/>
    <w:rsid w:val="000C5D56"/>
    <w:rsid w:val="000C5E42"/>
    <w:rsid w:val="000C5E78"/>
    <w:rsid w:val="000C5F9F"/>
    <w:rsid w:val="000C5FF2"/>
    <w:rsid w:val="000C6189"/>
    <w:rsid w:val="000C61C8"/>
    <w:rsid w:val="000C61DE"/>
    <w:rsid w:val="000C640D"/>
    <w:rsid w:val="000C654E"/>
    <w:rsid w:val="000C669D"/>
    <w:rsid w:val="000C688B"/>
    <w:rsid w:val="000C6BB6"/>
    <w:rsid w:val="000C6D9F"/>
    <w:rsid w:val="000C6E16"/>
    <w:rsid w:val="000C6E3B"/>
    <w:rsid w:val="000C6EEE"/>
    <w:rsid w:val="000C6EF7"/>
    <w:rsid w:val="000C6F2C"/>
    <w:rsid w:val="000C7003"/>
    <w:rsid w:val="000C70AF"/>
    <w:rsid w:val="000C70D5"/>
    <w:rsid w:val="000C7288"/>
    <w:rsid w:val="000C72E2"/>
    <w:rsid w:val="000C740B"/>
    <w:rsid w:val="000C7499"/>
    <w:rsid w:val="000C757B"/>
    <w:rsid w:val="000C7599"/>
    <w:rsid w:val="000C77A8"/>
    <w:rsid w:val="000C77CF"/>
    <w:rsid w:val="000C781B"/>
    <w:rsid w:val="000C788F"/>
    <w:rsid w:val="000C7981"/>
    <w:rsid w:val="000C7989"/>
    <w:rsid w:val="000C7A82"/>
    <w:rsid w:val="000C7ACF"/>
    <w:rsid w:val="000C7AEE"/>
    <w:rsid w:val="000C7AFF"/>
    <w:rsid w:val="000C7BE4"/>
    <w:rsid w:val="000C7C44"/>
    <w:rsid w:val="000C7D56"/>
    <w:rsid w:val="000C7DD0"/>
    <w:rsid w:val="000C7E85"/>
    <w:rsid w:val="000C7F60"/>
    <w:rsid w:val="000C7FAE"/>
    <w:rsid w:val="000D0001"/>
    <w:rsid w:val="000D0034"/>
    <w:rsid w:val="000D01BC"/>
    <w:rsid w:val="000D0375"/>
    <w:rsid w:val="000D03C2"/>
    <w:rsid w:val="000D0425"/>
    <w:rsid w:val="000D04B1"/>
    <w:rsid w:val="000D0516"/>
    <w:rsid w:val="000D05D8"/>
    <w:rsid w:val="000D0641"/>
    <w:rsid w:val="000D0665"/>
    <w:rsid w:val="000D0726"/>
    <w:rsid w:val="000D07DB"/>
    <w:rsid w:val="000D094A"/>
    <w:rsid w:val="000D09DA"/>
    <w:rsid w:val="000D0A4C"/>
    <w:rsid w:val="000D0A90"/>
    <w:rsid w:val="000D0AB1"/>
    <w:rsid w:val="000D0C4D"/>
    <w:rsid w:val="000D0E9F"/>
    <w:rsid w:val="000D0EAE"/>
    <w:rsid w:val="000D0EB4"/>
    <w:rsid w:val="000D0EDA"/>
    <w:rsid w:val="000D103F"/>
    <w:rsid w:val="000D1109"/>
    <w:rsid w:val="000D12A9"/>
    <w:rsid w:val="000D12AE"/>
    <w:rsid w:val="000D12D0"/>
    <w:rsid w:val="000D166B"/>
    <w:rsid w:val="000D1744"/>
    <w:rsid w:val="000D177C"/>
    <w:rsid w:val="000D1796"/>
    <w:rsid w:val="000D17F2"/>
    <w:rsid w:val="000D18C5"/>
    <w:rsid w:val="000D1918"/>
    <w:rsid w:val="000D1931"/>
    <w:rsid w:val="000D1B9D"/>
    <w:rsid w:val="000D1D54"/>
    <w:rsid w:val="000D1DFC"/>
    <w:rsid w:val="000D210E"/>
    <w:rsid w:val="000D2145"/>
    <w:rsid w:val="000D21C8"/>
    <w:rsid w:val="000D222F"/>
    <w:rsid w:val="000D22BC"/>
    <w:rsid w:val="000D22EE"/>
    <w:rsid w:val="000D231B"/>
    <w:rsid w:val="000D23DF"/>
    <w:rsid w:val="000D2474"/>
    <w:rsid w:val="000D254D"/>
    <w:rsid w:val="000D264D"/>
    <w:rsid w:val="000D2743"/>
    <w:rsid w:val="000D27FE"/>
    <w:rsid w:val="000D2AAF"/>
    <w:rsid w:val="000D2B10"/>
    <w:rsid w:val="000D2BBD"/>
    <w:rsid w:val="000D2BCA"/>
    <w:rsid w:val="000D2D6A"/>
    <w:rsid w:val="000D2EB1"/>
    <w:rsid w:val="000D2ED6"/>
    <w:rsid w:val="000D2FC2"/>
    <w:rsid w:val="000D30CB"/>
    <w:rsid w:val="000D30F9"/>
    <w:rsid w:val="000D315A"/>
    <w:rsid w:val="000D3164"/>
    <w:rsid w:val="000D318D"/>
    <w:rsid w:val="000D3226"/>
    <w:rsid w:val="000D332A"/>
    <w:rsid w:val="000D3395"/>
    <w:rsid w:val="000D33AF"/>
    <w:rsid w:val="000D34F6"/>
    <w:rsid w:val="000D356C"/>
    <w:rsid w:val="000D36ED"/>
    <w:rsid w:val="000D3726"/>
    <w:rsid w:val="000D3797"/>
    <w:rsid w:val="000D37B3"/>
    <w:rsid w:val="000D3855"/>
    <w:rsid w:val="000D3890"/>
    <w:rsid w:val="000D38B7"/>
    <w:rsid w:val="000D38FF"/>
    <w:rsid w:val="000D3BC1"/>
    <w:rsid w:val="000D3CB6"/>
    <w:rsid w:val="000D3CD0"/>
    <w:rsid w:val="000D3D05"/>
    <w:rsid w:val="000D3E33"/>
    <w:rsid w:val="000D3EEF"/>
    <w:rsid w:val="000D3EFB"/>
    <w:rsid w:val="000D3F02"/>
    <w:rsid w:val="000D3F8C"/>
    <w:rsid w:val="000D4087"/>
    <w:rsid w:val="000D40FE"/>
    <w:rsid w:val="000D4176"/>
    <w:rsid w:val="000D4208"/>
    <w:rsid w:val="000D42A9"/>
    <w:rsid w:val="000D42BB"/>
    <w:rsid w:val="000D42F9"/>
    <w:rsid w:val="000D4305"/>
    <w:rsid w:val="000D43B8"/>
    <w:rsid w:val="000D441E"/>
    <w:rsid w:val="000D448D"/>
    <w:rsid w:val="000D4571"/>
    <w:rsid w:val="000D4605"/>
    <w:rsid w:val="000D4687"/>
    <w:rsid w:val="000D470E"/>
    <w:rsid w:val="000D475C"/>
    <w:rsid w:val="000D47AA"/>
    <w:rsid w:val="000D4953"/>
    <w:rsid w:val="000D4BC6"/>
    <w:rsid w:val="000D4BDB"/>
    <w:rsid w:val="000D4CC6"/>
    <w:rsid w:val="000D4F6E"/>
    <w:rsid w:val="000D4FCA"/>
    <w:rsid w:val="000D503A"/>
    <w:rsid w:val="000D5078"/>
    <w:rsid w:val="000D50C1"/>
    <w:rsid w:val="000D5142"/>
    <w:rsid w:val="000D51B2"/>
    <w:rsid w:val="000D51BB"/>
    <w:rsid w:val="000D52A8"/>
    <w:rsid w:val="000D54DC"/>
    <w:rsid w:val="000D556D"/>
    <w:rsid w:val="000D57C5"/>
    <w:rsid w:val="000D5875"/>
    <w:rsid w:val="000D5961"/>
    <w:rsid w:val="000D59A5"/>
    <w:rsid w:val="000D5CBD"/>
    <w:rsid w:val="000D6062"/>
    <w:rsid w:val="000D60A1"/>
    <w:rsid w:val="000D623D"/>
    <w:rsid w:val="000D6286"/>
    <w:rsid w:val="000D650F"/>
    <w:rsid w:val="000D651A"/>
    <w:rsid w:val="000D6627"/>
    <w:rsid w:val="000D677B"/>
    <w:rsid w:val="000D6858"/>
    <w:rsid w:val="000D6916"/>
    <w:rsid w:val="000D694A"/>
    <w:rsid w:val="000D6AAA"/>
    <w:rsid w:val="000D6AD2"/>
    <w:rsid w:val="000D6E7B"/>
    <w:rsid w:val="000D6F16"/>
    <w:rsid w:val="000D6F1A"/>
    <w:rsid w:val="000D6F3D"/>
    <w:rsid w:val="000D7942"/>
    <w:rsid w:val="000D7970"/>
    <w:rsid w:val="000D798B"/>
    <w:rsid w:val="000D7A97"/>
    <w:rsid w:val="000D7AF9"/>
    <w:rsid w:val="000D7BF0"/>
    <w:rsid w:val="000D7C39"/>
    <w:rsid w:val="000D7C94"/>
    <w:rsid w:val="000D7CD7"/>
    <w:rsid w:val="000D7D55"/>
    <w:rsid w:val="000D7E77"/>
    <w:rsid w:val="000D7EC4"/>
    <w:rsid w:val="000D7EE9"/>
    <w:rsid w:val="000D7F87"/>
    <w:rsid w:val="000D7FA2"/>
    <w:rsid w:val="000D7FCC"/>
    <w:rsid w:val="000E0053"/>
    <w:rsid w:val="000E00DB"/>
    <w:rsid w:val="000E0124"/>
    <w:rsid w:val="000E012F"/>
    <w:rsid w:val="000E017C"/>
    <w:rsid w:val="000E0190"/>
    <w:rsid w:val="000E0191"/>
    <w:rsid w:val="000E0293"/>
    <w:rsid w:val="000E0332"/>
    <w:rsid w:val="000E03C9"/>
    <w:rsid w:val="000E04D5"/>
    <w:rsid w:val="000E0661"/>
    <w:rsid w:val="000E07F8"/>
    <w:rsid w:val="000E097B"/>
    <w:rsid w:val="000E09CD"/>
    <w:rsid w:val="000E0A0D"/>
    <w:rsid w:val="000E0B2D"/>
    <w:rsid w:val="000E0B60"/>
    <w:rsid w:val="000E0B87"/>
    <w:rsid w:val="000E0B8A"/>
    <w:rsid w:val="000E0C5A"/>
    <w:rsid w:val="000E0E00"/>
    <w:rsid w:val="000E0E33"/>
    <w:rsid w:val="000E0F8C"/>
    <w:rsid w:val="000E0FEB"/>
    <w:rsid w:val="000E109E"/>
    <w:rsid w:val="000E118A"/>
    <w:rsid w:val="000E1241"/>
    <w:rsid w:val="000E12F2"/>
    <w:rsid w:val="000E150B"/>
    <w:rsid w:val="000E159E"/>
    <w:rsid w:val="000E1630"/>
    <w:rsid w:val="000E16B7"/>
    <w:rsid w:val="000E16FC"/>
    <w:rsid w:val="000E17F4"/>
    <w:rsid w:val="000E183B"/>
    <w:rsid w:val="000E19BC"/>
    <w:rsid w:val="000E1BC3"/>
    <w:rsid w:val="000E1C26"/>
    <w:rsid w:val="000E1C72"/>
    <w:rsid w:val="000E1C87"/>
    <w:rsid w:val="000E1CAC"/>
    <w:rsid w:val="000E1DD3"/>
    <w:rsid w:val="000E1E2C"/>
    <w:rsid w:val="000E1E2F"/>
    <w:rsid w:val="000E1F89"/>
    <w:rsid w:val="000E201C"/>
    <w:rsid w:val="000E205E"/>
    <w:rsid w:val="000E209C"/>
    <w:rsid w:val="000E2221"/>
    <w:rsid w:val="000E2240"/>
    <w:rsid w:val="000E2362"/>
    <w:rsid w:val="000E2450"/>
    <w:rsid w:val="000E249B"/>
    <w:rsid w:val="000E2534"/>
    <w:rsid w:val="000E25E4"/>
    <w:rsid w:val="000E2617"/>
    <w:rsid w:val="000E2671"/>
    <w:rsid w:val="000E26DF"/>
    <w:rsid w:val="000E2747"/>
    <w:rsid w:val="000E27A0"/>
    <w:rsid w:val="000E28DA"/>
    <w:rsid w:val="000E2977"/>
    <w:rsid w:val="000E29EC"/>
    <w:rsid w:val="000E2A53"/>
    <w:rsid w:val="000E2A97"/>
    <w:rsid w:val="000E2B01"/>
    <w:rsid w:val="000E2C16"/>
    <w:rsid w:val="000E2C35"/>
    <w:rsid w:val="000E2CBE"/>
    <w:rsid w:val="000E2D92"/>
    <w:rsid w:val="000E2F58"/>
    <w:rsid w:val="000E2F90"/>
    <w:rsid w:val="000E2FCC"/>
    <w:rsid w:val="000E30A4"/>
    <w:rsid w:val="000E311E"/>
    <w:rsid w:val="000E313E"/>
    <w:rsid w:val="000E316F"/>
    <w:rsid w:val="000E3229"/>
    <w:rsid w:val="000E3355"/>
    <w:rsid w:val="000E3478"/>
    <w:rsid w:val="000E35A8"/>
    <w:rsid w:val="000E367A"/>
    <w:rsid w:val="000E3682"/>
    <w:rsid w:val="000E3691"/>
    <w:rsid w:val="000E369F"/>
    <w:rsid w:val="000E388C"/>
    <w:rsid w:val="000E38BA"/>
    <w:rsid w:val="000E39CD"/>
    <w:rsid w:val="000E3A27"/>
    <w:rsid w:val="000E3A85"/>
    <w:rsid w:val="000E3AB7"/>
    <w:rsid w:val="000E3D6B"/>
    <w:rsid w:val="000E3EB2"/>
    <w:rsid w:val="000E3F7A"/>
    <w:rsid w:val="000E3FFE"/>
    <w:rsid w:val="000E416E"/>
    <w:rsid w:val="000E4200"/>
    <w:rsid w:val="000E4244"/>
    <w:rsid w:val="000E42F2"/>
    <w:rsid w:val="000E44E9"/>
    <w:rsid w:val="000E4515"/>
    <w:rsid w:val="000E4569"/>
    <w:rsid w:val="000E4581"/>
    <w:rsid w:val="000E4582"/>
    <w:rsid w:val="000E45F2"/>
    <w:rsid w:val="000E475A"/>
    <w:rsid w:val="000E48F5"/>
    <w:rsid w:val="000E491B"/>
    <w:rsid w:val="000E491D"/>
    <w:rsid w:val="000E4945"/>
    <w:rsid w:val="000E4954"/>
    <w:rsid w:val="000E4A14"/>
    <w:rsid w:val="000E4AB4"/>
    <w:rsid w:val="000E4C2A"/>
    <w:rsid w:val="000E4E19"/>
    <w:rsid w:val="000E4EA2"/>
    <w:rsid w:val="000E4F11"/>
    <w:rsid w:val="000E5019"/>
    <w:rsid w:val="000E51DA"/>
    <w:rsid w:val="000E539F"/>
    <w:rsid w:val="000E53BA"/>
    <w:rsid w:val="000E53D6"/>
    <w:rsid w:val="000E5509"/>
    <w:rsid w:val="000E5554"/>
    <w:rsid w:val="000E55BF"/>
    <w:rsid w:val="000E561E"/>
    <w:rsid w:val="000E56A6"/>
    <w:rsid w:val="000E5732"/>
    <w:rsid w:val="000E5754"/>
    <w:rsid w:val="000E5829"/>
    <w:rsid w:val="000E5842"/>
    <w:rsid w:val="000E5847"/>
    <w:rsid w:val="000E5A72"/>
    <w:rsid w:val="000E5A8D"/>
    <w:rsid w:val="000E5ACA"/>
    <w:rsid w:val="000E5AE7"/>
    <w:rsid w:val="000E5BE6"/>
    <w:rsid w:val="000E5C2D"/>
    <w:rsid w:val="000E5CAE"/>
    <w:rsid w:val="000E5D3A"/>
    <w:rsid w:val="000E5DA1"/>
    <w:rsid w:val="000E5DB4"/>
    <w:rsid w:val="000E5E5D"/>
    <w:rsid w:val="000E5F40"/>
    <w:rsid w:val="000E600F"/>
    <w:rsid w:val="000E608A"/>
    <w:rsid w:val="000E6119"/>
    <w:rsid w:val="000E6150"/>
    <w:rsid w:val="000E61B4"/>
    <w:rsid w:val="000E61D4"/>
    <w:rsid w:val="000E6208"/>
    <w:rsid w:val="000E633A"/>
    <w:rsid w:val="000E633B"/>
    <w:rsid w:val="000E65A3"/>
    <w:rsid w:val="000E65B3"/>
    <w:rsid w:val="000E65D1"/>
    <w:rsid w:val="000E6664"/>
    <w:rsid w:val="000E6725"/>
    <w:rsid w:val="000E6729"/>
    <w:rsid w:val="000E6742"/>
    <w:rsid w:val="000E6785"/>
    <w:rsid w:val="000E679A"/>
    <w:rsid w:val="000E680B"/>
    <w:rsid w:val="000E68D7"/>
    <w:rsid w:val="000E6A1D"/>
    <w:rsid w:val="000E6A9D"/>
    <w:rsid w:val="000E6AC4"/>
    <w:rsid w:val="000E6C77"/>
    <w:rsid w:val="000E6C98"/>
    <w:rsid w:val="000E6CDB"/>
    <w:rsid w:val="000E6CDF"/>
    <w:rsid w:val="000E6D61"/>
    <w:rsid w:val="000E6E1A"/>
    <w:rsid w:val="000E70C4"/>
    <w:rsid w:val="000E710A"/>
    <w:rsid w:val="000E7121"/>
    <w:rsid w:val="000E7131"/>
    <w:rsid w:val="000E717A"/>
    <w:rsid w:val="000E722C"/>
    <w:rsid w:val="000E728E"/>
    <w:rsid w:val="000E72D6"/>
    <w:rsid w:val="000E730C"/>
    <w:rsid w:val="000E73F2"/>
    <w:rsid w:val="000E7460"/>
    <w:rsid w:val="000E7622"/>
    <w:rsid w:val="000E76A6"/>
    <w:rsid w:val="000E79A4"/>
    <w:rsid w:val="000E7A54"/>
    <w:rsid w:val="000E7A8F"/>
    <w:rsid w:val="000E7BA2"/>
    <w:rsid w:val="000E7BB1"/>
    <w:rsid w:val="000E7C96"/>
    <w:rsid w:val="000E7CB9"/>
    <w:rsid w:val="000E7DC3"/>
    <w:rsid w:val="000E7E9C"/>
    <w:rsid w:val="000E7FFB"/>
    <w:rsid w:val="000F0018"/>
    <w:rsid w:val="000F0034"/>
    <w:rsid w:val="000F003C"/>
    <w:rsid w:val="000F006F"/>
    <w:rsid w:val="000F0108"/>
    <w:rsid w:val="000F01C4"/>
    <w:rsid w:val="000F024F"/>
    <w:rsid w:val="000F02C6"/>
    <w:rsid w:val="000F0656"/>
    <w:rsid w:val="000F0792"/>
    <w:rsid w:val="000F0924"/>
    <w:rsid w:val="000F0A23"/>
    <w:rsid w:val="000F0A4D"/>
    <w:rsid w:val="000F0C8C"/>
    <w:rsid w:val="000F0D15"/>
    <w:rsid w:val="000F0D50"/>
    <w:rsid w:val="000F0D62"/>
    <w:rsid w:val="000F0D91"/>
    <w:rsid w:val="000F0ECE"/>
    <w:rsid w:val="000F0F02"/>
    <w:rsid w:val="000F0F11"/>
    <w:rsid w:val="000F0F7F"/>
    <w:rsid w:val="000F0F92"/>
    <w:rsid w:val="000F1070"/>
    <w:rsid w:val="000F1179"/>
    <w:rsid w:val="000F11AE"/>
    <w:rsid w:val="000F11CD"/>
    <w:rsid w:val="000F1228"/>
    <w:rsid w:val="000F1352"/>
    <w:rsid w:val="000F1525"/>
    <w:rsid w:val="000F1645"/>
    <w:rsid w:val="000F17BD"/>
    <w:rsid w:val="000F17BE"/>
    <w:rsid w:val="000F17CD"/>
    <w:rsid w:val="000F1874"/>
    <w:rsid w:val="000F191E"/>
    <w:rsid w:val="000F1929"/>
    <w:rsid w:val="000F1C95"/>
    <w:rsid w:val="000F1DB7"/>
    <w:rsid w:val="000F1E06"/>
    <w:rsid w:val="000F1F56"/>
    <w:rsid w:val="000F1F91"/>
    <w:rsid w:val="000F2027"/>
    <w:rsid w:val="000F2261"/>
    <w:rsid w:val="000F2321"/>
    <w:rsid w:val="000F2369"/>
    <w:rsid w:val="000F25C2"/>
    <w:rsid w:val="000F2627"/>
    <w:rsid w:val="000F2793"/>
    <w:rsid w:val="000F2826"/>
    <w:rsid w:val="000F288D"/>
    <w:rsid w:val="000F28B8"/>
    <w:rsid w:val="000F28F7"/>
    <w:rsid w:val="000F2A4B"/>
    <w:rsid w:val="000F2B54"/>
    <w:rsid w:val="000F2C52"/>
    <w:rsid w:val="000F2D39"/>
    <w:rsid w:val="000F2DDD"/>
    <w:rsid w:val="000F2E0F"/>
    <w:rsid w:val="000F2E73"/>
    <w:rsid w:val="000F2F71"/>
    <w:rsid w:val="000F2F94"/>
    <w:rsid w:val="000F3048"/>
    <w:rsid w:val="000F30C9"/>
    <w:rsid w:val="000F3175"/>
    <w:rsid w:val="000F31FF"/>
    <w:rsid w:val="000F33AB"/>
    <w:rsid w:val="000F352F"/>
    <w:rsid w:val="000F3658"/>
    <w:rsid w:val="000F36B5"/>
    <w:rsid w:val="000F3755"/>
    <w:rsid w:val="000F3841"/>
    <w:rsid w:val="000F3B2A"/>
    <w:rsid w:val="000F3B88"/>
    <w:rsid w:val="000F3C78"/>
    <w:rsid w:val="000F3CD5"/>
    <w:rsid w:val="000F3D1C"/>
    <w:rsid w:val="000F3D94"/>
    <w:rsid w:val="000F3E15"/>
    <w:rsid w:val="000F4060"/>
    <w:rsid w:val="000F4138"/>
    <w:rsid w:val="000F4418"/>
    <w:rsid w:val="000F4673"/>
    <w:rsid w:val="000F46E9"/>
    <w:rsid w:val="000F4774"/>
    <w:rsid w:val="000F4793"/>
    <w:rsid w:val="000F47B4"/>
    <w:rsid w:val="000F48CE"/>
    <w:rsid w:val="000F49DE"/>
    <w:rsid w:val="000F4BA7"/>
    <w:rsid w:val="000F4FD1"/>
    <w:rsid w:val="000F50FE"/>
    <w:rsid w:val="000F5180"/>
    <w:rsid w:val="000F52D2"/>
    <w:rsid w:val="000F5327"/>
    <w:rsid w:val="000F5409"/>
    <w:rsid w:val="000F5607"/>
    <w:rsid w:val="000F565E"/>
    <w:rsid w:val="000F5669"/>
    <w:rsid w:val="000F5770"/>
    <w:rsid w:val="000F57EC"/>
    <w:rsid w:val="000F588E"/>
    <w:rsid w:val="000F59DC"/>
    <w:rsid w:val="000F5AF6"/>
    <w:rsid w:val="000F5B65"/>
    <w:rsid w:val="000F5B98"/>
    <w:rsid w:val="000F5CE5"/>
    <w:rsid w:val="000F5D8A"/>
    <w:rsid w:val="000F5E00"/>
    <w:rsid w:val="000F5FD1"/>
    <w:rsid w:val="000F60E3"/>
    <w:rsid w:val="000F6158"/>
    <w:rsid w:val="000F6217"/>
    <w:rsid w:val="000F6284"/>
    <w:rsid w:val="000F632A"/>
    <w:rsid w:val="000F6436"/>
    <w:rsid w:val="000F64D8"/>
    <w:rsid w:val="000F6699"/>
    <w:rsid w:val="000F6794"/>
    <w:rsid w:val="000F680C"/>
    <w:rsid w:val="000F6983"/>
    <w:rsid w:val="000F6A0C"/>
    <w:rsid w:val="000F6AE6"/>
    <w:rsid w:val="000F6B74"/>
    <w:rsid w:val="000F6C1C"/>
    <w:rsid w:val="000F6D68"/>
    <w:rsid w:val="000F6DD8"/>
    <w:rsid w:val="000F6FEE"/>
    <w:rsid w:val="000F6FFF"/>
    <w:rsid w:val="000F701A"/>
    <w:rsid w:val="000F718B"/>
    <w:rsid w:val="000F7227"/>
    <w:rsid w:val="000F74CE"/>
    <w:rsid w:val="000F74EA"/>
    <w:rsid w:val="000F764C"/>
    <w:rsid w:val="000F7872"/>
    <w:rsid w:val="000F7905"/>
    <w:rsid w:val="000F7956"/>
    <w:rsid w:val="000F7986"/>
    <w:rsid w:val="000F7A83"/>
    <w:rsid w:val="000F7BD7"/>
    <w:rsid w:val="000F7C15"/>
    <w:rsid w:val="000F7D36"/>
    <w:rsid w:val="000F7D59"/>
    <w:rsid w:val="000F7D72"/>
    <w:rsid w:val="000F7DA2"/>
    <w:rsid w:val="000F7DAD"/>
    <w:rsid w:val="000F7E59"/>
    <w:rsid w:val="000F7E72"/>
    <w:rsid w:val="000F7E84"/>
    <w:rsid w:val="000F7EEC"/>
    <w:rsid w:val="000F7F31"/>
    <w:rsid w:val="000F7FAF"/>
    <w:rsid w:val="001000BD"/>
    <w:rsid w:val="00100104"/>
    <w:rsid w:val="00100160"/>
    <w:rsid w:val="001001D1"/>
    <w:rsid w:val="001001D4"/>
    <w:rsid w:val="001001E9"/>
    <w:rsid w:val="0010022B"/>
    <w:rsid w:val="001002F2"/>
    <w:rsid w:val="0010032D"/>
    <w:rsid w:val="001003A8"/>
    <w:rsid w:val="00100658"/>
    <w:rsid w:val="00100735"/>
    <w:rsid w:val="001007B8"/>
    <w:rsid w:val="001007F8"/>
    <w:rsid w:val="00100979"/>
    <w:rsid w:val="00100B55"/>
    <w:rsid w:val="00100BDB"/>
    <w:rsid w:val="00100C01"/>
    <w:rsid w:val="00100C43"/>
    <w:rsid w:val="00100C70"/>
    <w:rsid w:val="00100CDF"/>
    <w:rsid w:val="00100EA6"/>
    <w:rsid w:val="00100ED9"/>
    <w:rsid w:val="00100EE9"/>
    <w:rsid w:val="00100F5D"/>
    <w:rsid w:val="00100F69"/>
    <w:rsid w:val="00100FDE"/>
    <w:rsid w:val="001010E2"/>
    <w:rsid w:val="001010FD"/>
    <w:rsid w:val="001011D1"/>
    <w:rsid w:val="001014E2"/>
    <w:rsid w:val="001014F2"/>
    <w:rsid w:val="0010190C"/>
    <w:rsid w:val="0010196D"/>
    <w:rsid w:val="00101BE6"/>
    <w:rsid w:val="00101D4B"/>
    <w:rsid w:val="00101E9A"/>
    <w:rsid w:val="00101EF0"/>
    <w:rsid w:val="00101F50"/>
    <w:rsid w:val="00101F69"/>
    <w:rsid w:val="00101FAA"/>
    <w:rsid w:val="00102279"/>
    <w:rsid w:val="0010227B"/>
    <w:rsid w:val="0010236D"/>
    <w:rsid w:val="0010237F"/>
    <w:rsid w:val="001023B9"/>
    <w:rsid w:val="001023C0"/>
    <w:rsid w:val="00102560"/>
    <w:rsid w:val="00102593"/>
    <w:rsid w:val="00102607"/>
    <w:rsid w:val="001026EA"/>
    <w:rsid w:val="0010281D"/>
    <w:rsid w:val="0010283D"/>
    <w:rsid w:val="00102933"/>
    <w:rsid w:val="00102A65"/>
    <w:rsid w:val="00102AEB"/>
    <w:rsid w:val="00102BAD"/>
    <w:rsid w:val="00102CC7"/>
    <w:rsid w:val="00102D23"/>
    <w:rsid w:val="00102DCD"/>
    <w:rsid w:val="00102F61"/>
    <w:rsid w:val="00103020"/>
    <w:rsid w:val="0010315C"/>
    <w:rsid w:val="0010326E"/>
    <w:rsid w:val="001032BD"/>
    <w:rsid w:val="00103304"/>
    <w:rsid w:val="00103405"/>
    <w:rsid w:val="00103454"/>
    <w:rsid w:val="001034E3"/>
    <w:rsid w:val="001035F0"/>
    <w:rsid w:val="001036C8"/>
    <w:rsid w:val="0010377F"/>
    <w:rsid w:val="001037D7"/>
    <w:rsid w:val="001038E1"/>
    <w:rsid w:val="0010399A"/>
    <w:rsid w:val="00103A33"/>
    <w:rsid w:val="00103BC3"/>
    <w:rsid w:val="00103BD8"/>
    <w:rsid w:val="00103CB6"/>
    <w:rsid w:val="00103CC2"/>
    <w:rsid w:val="00103EAE"/>
    <w:rsid w:val="00103F9D"/>
    <w:rsid w:val="00104099"/>
    <w:rsid w:val="001040B7"/>
    <w:rsid w:val="001042D8"/>
    <w:rsid w:val="00104574"/>
    <w:rsid w:val="00104841"/>
    <w:rsid w:val="0010491D"/>
    <w:rsid w:val="00104A81"/>
    <w:rsid w:val="00104C2E"/>
    <w:rsid w:val="00104CBF"/>
    <w:rsid w:val="00104D11"/>
    <w:rsid w:val="00104F22"/>
    <w:rsid w:val="0010505C"/>
    <w:rsid w:val="00105207"/>
    <w:rsid w:val="0010537A"/>
    <w:rsid w:val="001053CB"/>
    <w:rsid w:val="001054D1"/>
    <w:rsid w:val="00105583"/>
    <w:rsid w:val="001056B5"/>
    <w:rsid w:val="001056DD"/>
    <w:rsid w:val="001056EA"/>
    <w:rsid w:val="001058BB"/>
    <w:rsid w:val="00105918"/>
    <w:rsid w:val="00105992"/>
    <w:rsid w:val="00105A33"/>
    <w:rsid w:val="00105A9C"/>
    <w:rsid w:val="00105D2F"/>
    <w:rsid w:val="00105E1A"/>
    <w:rsid w:val="00105F34"/>
    <w:rsid w:val="00106054"/>
    <w:rsid w:val="001060F7"/>
    <w:rsid w:val="0010616B"/>
    <w:rsid w:val="001061BF"/>
    <w:rsid w:val="00106229"/>
    <w:rsid w:val="001062A0"/>
    <w:rsid w:val="001062C9"/>
    <w:rsid w:val="00106366"/>
    <w:rsid w:val="0010637B"/>
    <w:rsid w:val="00106382"/>
    <w:rsid w:val="001063E0"/>
    <w:rsid w:val="0010651A"/>
    <w:rsid w:val="00106647"/>
    <w:rsid w:val="001066BD"/>
    <w:rsid w:val="001067EC"/>
    <w:rsid w:val="001068FF"/>
    <w:rsid w:val="001069CB"/>
    <w:rsid w:val="00106A63"/>
    <w:rsid w:val="00106AEB"/>
    <w:rsid w:val="00106DDE"/>
    <w:rsid w:val="00106F41"/>
    <w:rsid w:val="00107184"/>
    <w:rsid w:val="001071A6"/>
    <w:rsid w:val="001072A2"/>
    <w:rsid w:val="0010730F"/>
    <w:rsid w:val="001075CE"/>
    <w:rsid w:val="001076F6"/>
    <w:rsid w:val="00107835"/>
    <w:rsid w:val="0010794C"/>
    <w:rsid w:val="00107C9D"/>
    <w:rsid w:val="0011004D"/>
    <w:rsid w:val="001100A3"/>
    <w:rsid w:val="0011011F"/>
    <w:rsid w:val="0011023A"/>
    <w:rsid w:val="0011057A"/>
    <w:rsid w:val="00110611"/>
    <w:rsid w:val="0011073C"/>
    <w:rsid w:val="00110793"/>
    <w:rsid w:val="00110838"/>
    <w:rsid w:val="00110937"/>
    <w:rsid w:val="00110A67"/>
    <w:rsid w:val="00110AF6"/>
    <w:rsid w:val="00110B07"/>
    <w:rsid w:val="00110B28"/>
    <w:rsid w:val="00110DF2"/>
    <w:rsid w:val="00110E53"/>
    <w:rsid w:val="00110EB6"/>
    <w:rsid w:val="00110F52"/>
    <w:rsid w:val="00111071"/>
    <w:rsid w:val="001110C5"/>
    <w:rsid w:val="001110E0"/>
    <w:rsid w:val="00111266"/>
    <w:rsid w:val="00111393"/>
    <w:rsid w:val="00111548"/>
    <w:rsid w:val="001115EB"/>
    <w:rsid w:val="00111829"/>
    <w:rsid w:val="00111885"/>
    <w:rsid w:val="0011199D"/>
    <w:rsid w:val="001119C2"/>
    <w:rsid w:val="00111BF3"/>
    <w:rsid w:val="00111CFD"/>
    <w:rsid w:val="00111DAA"/>
    <w:rsid w:val="00111E69"/>
    <w:rsid w:val="00111F12"/>
    <w:rsid w:val="00111FC4"/>
    <w:rsid w:val="001120AC"/>
    <w:rsid w:val="001120C0"/>
    <w:rsid w:val="001120E3"/>
    <w:rsid w:val="0011222A"/>
    <w:rsid w:val="00112257"/>
    <w:rsid w:val="00112438"/>
    <w:rsid w:val="00112488"/>
    <w:rsid w:val="001124B8"/>
    <w:rsid w:val="001124F6"/>
    <w:rsid w:val="001125A9"/>
    <w:rsid w:val="001125B0"/>
    <w:rsid w:val="001126C8"/>
    <w:rsid w:val="0011283A"/>
    <w:rsid w:val="001129CA"/>
    <w:rsid w:val="00112BA0"/>
    <w:rsid w:val="00112BAE"/>
    <w:rsid w:val="00112BD3"/>
    <w:rsid w:val="00112E9F"/>
    <w:rsid w:val="0011306B"/>
    <w:rsid w:val="0011337E"/>
    <w:rsid w:val="001134BA"/>
    <w:rsid w:val="00113537"/>
    <w:rsid w:val="001135E1"/>
    <w:rsid w:val="00113700"/>
    <w:rsid w:val="0011397E"/>
    <w:rsid w:val="001139F0"/>
    <w:rsid w:val="00113A7C"/>
    <w:rsid w:val="00113B2F"/>
    <w:rsid w:val="00113BE6"/>
    <w:rsid w:val="00113DBD"/>
    <w:rsid w:val="00113DE5"/>
    <w:rsid w:val="00113FB1"/>
    <w:rsid w:val="00114074"/>
    <w:rsid w:val="001140C3"/>
    <w:rsid w:val="001140E5"/>
    <w:rsid w:val="0011417A"/>
    <w:rsid w:val="00114282"/>
    <w:rsid w:val="0011428E"/>
    <w:rsid w:val="001142A0"/>
    <w:rsid w:val="00114308"/>
    <w:rsid w:val="001143C0"/>
    <w:rsid w:val="001143E1"/>
    <w:rsid w:val="001143EF"/>
    <w:rsid w:val="00114450"/>
    <w:rsid w:val="00114536"/>
    <w:rsid w:val="001145AD"/>
    <w:rsid w:val="00114601"/>
    <w:rsid w:val="00114634"/>
    <w:rsid w:val="0011483A"/>
    <w:rsid w:val="0011488E"/>
    <w:rsid w:val="0011497F"/>
    <w:rsid w:val="001149A8"/>
    <w:rsid w:val="001149F0"/>
    <w:rsid w:val="00114ABF"/>
    <w:rsid w:val="00114AC8"/>
    <w:rsid w:val="00114BF0"/>
    <w:rsid w:val="00114D74"/>
    <w:rsid w:val="00114E0B"/>
    <w:rsid w:val="00114F7F"/>
    <w:rsid w:val="00114FDE"/>
    <w:rsid w:val="0011526B"/>
    <w:rsid w:val="001152C6"/>
    <w:rsid w:val="001154A9"/>
    <w:rsid w:val="001157C4"/>
    <w:rsid w:val="00115970"/>
    <w:rsid w:val="00115A77"/>
    <w:rsid w:val="00115B0C"/>
    <w:rsid w:val="00115D22"/>
    <w:rsid w:val="00115D32"/>
    <w:rsid w:val="00115F14"/>
    <w:rsid w:val="00115F89"/>
    <w:rsid w:val="0011600D"/>
    <w:rsid w:val="00116221"/>
    <w:rsid w:val="001164C1"/>
    <w:rsid w:val="0011662E"/>
    <w:rsid w:val="00116817"/>
    <w:rsid w:val="001168CA"/>
    <w:rsid w:val="001168DA"/>
    <w:rsid w:val="00116943"/>
    <w:rsid w:val="00116A75"/>
    <w:rsid w:val="00116C52"/>
    <w:rsid w:val="00116CE3"/>
    <w:rsid w:val="00116CFE"/>
    <w:rsid w:val="00116D5F"/>
    <w:rsid w:val="00116E7E"/>
    <w:rsid w:val="0011718B"/>
    <w:rsid w:val="0011721F"/>
    <w:rsid w:val="0011723E"/>
    <w:rsid w:val="0011732F"/>
    <w:rsid w:val="001175B3"/>
    <w:rsid w:val="001175D5"/>
    <w:rsid w:val="001175F2"/>
    <w:rsid w:val="001176A3"/>
    <w:rsid w:val="00117807"/>
    <w:rsid w:val="00117882"/>
    <w:rsid w:val="0011789F"/>
    <w:rsid w:val="00117A94"/>
    <w:rsid w:val="00117A9B"/>
    <w:rsid w:val="00117BB7"/>
    <w:rsid w:val="00117BEE"/>
    <w:rsid w:val="00117D70"/>
    <w:rsid w:val="00117DAA"/>
    <w:rsid w:val="00117ED4"/>
    <w:rsid w:val="00117F47"/>
    <w:rsid w:val="00120062"/>
    <w:rsid w:val="0012016C"/>
    <w:rsid w:val="001202B8"/>
    <w:rsid w:val="00120406"/>
    <w:rsid w:val="0012042F"/>
    <w:rsid w:val="001204B5"/>
    <w:rsid w:val="001207FC"/>
    <w:rsid w:val="001209E6"/>
    <w:rsid w:val="00120A38"/>
    <w:rsid w:val="00120A4B"/>
    <w:rsid w:val="00120A6C"/>
    <w:rsid w:val="00120A95"/>
    <w:rsid w:val="00120B84"/>
    <w:rsid w:val="00120B89"/>
    <w:rsid w:val="00120BE6"/>
    <w:rsid w:val="00120C31"/>
    <w:rsid w:val="00120C5C"/>
    <w:rsid w:val="00120C77"/>
    <w:rsid w:val="00120D49"/>
    <w:rsid w:val="00120F76"/>
    <w:rsid w:val="001210CA"/>
    <w:rsid w:val="0012111B"/>
    <w:rsid w:val="0012113A"/>
    <w:rsid w:val="001211F3"/>
    <w:rsid w:val="00121248"/>
    <w:rsid w:val="0012126B"/>
    <w:rsid w:val="00121542"/>
    <w:rsid w:val="00121564"/>
    <w:rsid w:val="0012158C"/>
    <w:rsid w:val="0012171B"/>
    <w:rsid w:val="001217AE"/>
    <w:rsid w:val="001217F6"/>
    <w:rsid w:val="001218CB"/>
    <w:rsid w:val="00121920"/>
    <w:rsid w:val="0012194E"/>
    <w:rsid w:val="00121987"/>
    <w:rsid w:val="00121AD6"/>
    <w:rsid w:val="00121B7B"/>
    <w:rsid w:val="00121BB9"/>
    <w:rsid w:val="00121BD6"/>
    <w:rsid w:val="00121E5C"/>
    <w:rsid w:val="00121EDA"/>
    <w:rsid w:val="00121F8B"/>
    <w:rsid w:val="00121FB8"/>
    <w:rsid w:val="00122001"/>
    <w:rsid w:val="0012208C"/>
    <w:rsid w:val="001220D1"/>
    <w:rsid w:val="00122501"/>
    <w:rsid w:val="0012255A"/>
    <w:rsid w:val="00122615"/>
    <w:rsid w:val="001226C6"/>
    <w:rsid w:val="001226F0"/>
    <w:rsid w:val="00122807"/>
    <w:rsid w:val="00122831"/>
    <w:rsid w:val="0012292F"/>
    <w:rsid w:val="00122B01"/>
    <w:rsid w:val="00122BAE"/>
    <w:rsid w:val="00122CE6"/>
    <w:rsid w:val="00122E4A"/>
    <w:rsid w:val="00122EA4"/>
    <w:rsid w:val="00122EC6"/>
    <w:rsid w:val="00122ED8"/>
    <w:rsid w:val="00123007"/>
    <w:rsid w:val="00123063"/>
    <w:rsid w:val="001230CD"/>
    <w:rsid w:val="0012310F"/>
    <w:rsid w:val="00123115"/>
    <w:rsid w:val="001231F0"/>
    <w:rsid w:val="00123282"/>
    <w:rsid w:val="001232BD"/>
    <w:rsid w:val="00123470"/>
    <w:rsid w:val="001234CC"/>
    <w:rsid w:val="00123519"/>
    <w:rsid w:val="0012365C"/>
    <w:rsid w:val="0012372E"/>
    <w:rsid w:val="00123840"/>
    <w:rsid w:val="0012388E"/>
    <w:rsid w:val="0012394F"/>
    <w:rsid w:val="00123962"/>
    <w:rsid w:val="00123A24"/>
    <w:rsid w:val="00123A56"/>
    <w:rsid w:val="00123B1A"/>
    <w:rsid w:val="00123BD8"/>
    <w:rsid w:val="00123C2F"/>
    <w:rsid w:val="00123D91"/>
    <w:rsid w:val="00123DCA"/>
    <w:rsid w:val="00123E38"/>
    <w:rsid w:val="0012401C"/>
    <w:rsid w:val="001242B0"/>
    <w:rsid w:val="0012430E"/>
    <w:rsid w:val="0012438D"/>
    <w:rsid w:val="00124453"/>
    <w:rsid w:val="001244FB"/>
    <w:rsid w:val="00124503"/>
    <w:rsid w:val="00124540"/>
    <w:rsid w:val="0012458A"/>
    <w:rsid w:val="001245CD"/>
    <w:rsid w:val="001245D6"/>
    <w:rsid w:val="00124636"/>
    <w:rsid w:val="001246A8"/>
    <w:rsid w:val="001246AD"/>
    <w:rsid w:val="001246DE"/>
    <w:rsid w:val="001248EC"/>
    <w:rsid w:val="001249AA"/>
    <w:rsid w:val="00124A76"/>
    <w:rsid w:val="00124BEE"/>
    <w:rsid w:val="00124C75"/>
    <w:rsid w:val="00124C92"/>
    <w:rsid w:val="00124D0F"/>
    <w:rsid w:val="00124D9A"/>
    <w:rsid w:val="00124DA4"/>
    <w:rsid w:val="00125045"/>
    <w:rsid w:val="001250B8"/>
    <w:rsid w:val="001250EA"/>
    <w:rsid w:val="0012516F"/>
    <w:rsid w:val="0012522D"/>
    <w:rsid w:val="0012531F"/>
    <w:rsid w:val="001255A3"/>
    <w:rsid w:val="001255E3"/>
    <w:rsid w:val="001255E7"/>
    <w:rsid w:val="00125639"/>
    <w:rsid w:val="00125690"/>
    <w:rsid w:val="00125718"/>
    <w:rsid w:val="0012574B"/>
    <w:rsid w:val="001258B2"/>
    <w:rsid w:val="001258DA"/>
    <w:rsid w:val="001258F6"/>
    <w:rsid w:val="0012599C"/>
    <w:rsid w:val="001259AA"/>
    <w:rsid w:val="00125AD2"/>
    <w:rsid w:val="00125C0D"/>
    <w:rsid w:val="00125D26"/>
    <w:rsid w:val="00125D48"/>
    <w:rsid w:val="00125DE4"/>
    <w:rsid w:val="00125EFC"/>
    <w:rsid w:val="00125F67"/>
    <w:rsid w:val="00125FB5"/>
    <w:rsid w:val="00126063"/>
    <w:rsid w:val="001261DB"/>
    <w:rsid w:val="00126375"/>
    <w:rsid w:val="0012647D"/>
    <w:rsid w:val="0012652F"/>
    <w:rsid w:val="0012653A"/>
    <w:rsid w:val="00126593"/>
    <w:rsid w:val="001265FA"/>
    <w:rsid w:val="00126618"/>
    <w:rsid w:val="0012667E"/>
    <w:rsid w:val="001266C6"/>
    <w:rsid w:val="00126730"/>
    <w:rsid w:val="00126769"/>
    <w:rsid w:val="0012676F"/>
    <w:rsid w:val="00126798"/>
    <w:rsid w:val="00126A96"/>
    <w:rsid w:val="00126AF7"/>
    <w:rsid w:val="00126B0D"/>
    <w:rsid w:val="00126B3C"/>
    <w:rsid w:val="00126C96"/>
    <w:rsid w:val="00126D70"/>
    <w:rsid w:val="00126D84"/>
    <w:rsid w:val="00126DDB"/>
    <w:rsid w:val="00126E2E"/>
    <w:rsid w:val="00126E7D"/>
    <w:rsid w:val="0012704A"/>
    <w:rsid w:val="0012715C"/>
    <w:rsid w:val="00127210"/>
    <w:rsid w:val="00127221"/>
    <w:rsid w:val="00127526"/>
    <w:rsid w:val="0012766F"/>
    <w:rsid w:val="0012770A"/>
    <w:rsid w:val="0012775A"/>
    <w:rsid w:val="00127B43"/>
    <w:rsid w:val="00127BF7"/>
    <w:rsid w:val="00127BFA"/>
    <w:rsid w:val="00127D48"/>
    <w:rsid w:val="00127DB4"/>
    <w:rsid w:val="00127EF0"/>
    <w:rsid w:val="00130078"/>
    <w:rsid w:val="001302C6"/>
    <w:rsid w:val="0013063E"/>
    <w:rsid w:val="001306F6"/>
    <w:rsid w:val="0013071E"/>
    <w:rsid w:val="001307F7"/>
    <w:rsid w:val="001308D4"/>
    <w:rsid w:val="00130A1F"/>
    <w:rsid w:val="00130A4C"/>
    <w:rsid w:val="00130B1A"/>
    <w:rsid w:val="00130B6D"/>
    <w:rsid w:val="00130C95"/>
    <w:rsid w:val="00130DD4"/>
    <w:rsid w:val="00130E0F"/>
    <w:rsid w:val="00130FEE"/>
    <w:rsid w:val="00131063"/>
    <w:rsid w:val="001310B6"/>
    <w:rsid w:val="00131142"/>
    <w:rsid w:val="00131173"/>
    <w:rsid w:val="0013117E"/>
    <w:rsid w:val="00131302"/>
    <w:rsid w:val="00131355"/>
    <w:rsid w:val="001313F1"/>
    <w:rsid w:val="00131460"/>
    <w:rsid w:val="0013153B"/>
    <w:rsid w:val="001316D8"/>
    <w:rsid w:val="00131780"/>
    <w:rsid w:val="00131858"/>
    <w:rsid w:val="00131A61"/>
    <w:rsid w:val="00131B92"/>
    <w:rsid w:val="00131D71"/>
    <w:rsid w:val="00131DB1"/>
    <w:rsid w:val="00131E07"/>
    <w:rsid w:val="00131E36"/>
    <w:rsid w:val="00131F1D"/>
    <w:rsid w:val="00131F5E"/>
    <w:rsid w:val="00131FA0"/>
    <w:rsid w:val="0013201B"/>
    <w:rsid w:val="001320A0"/>
    <w:rsid w:val="001320CF"/>
    <w:rsid w:val="001321D1"/>
    <w:rsid w:val="00132314"/>
    <w:rsid w:val="00132375"/>
    <w:rsid w:val="00132400"/>
    <w:rsid w:val="001324E6"/>
    <w:rsid w:val="001324FD"/>
    <w:rsid w:val="00132569"/>
    <w:rsid w:val="001325B1"/>
    <w:rsid w:val="001326DA"/>
    <w:rsid w:val="00132944"/>
    <w:rsid w:val="00132947"/>
    <w:rsid w:val="00132BE1"/>
    <w:rsid w:val="00132C36"/>
    <w:rsid w:val="00132CB7"/>
    <w:rsid w:val="00132CCD"/>
    <w:rsid w:val="00132F53"/>
    <w:rsid w:val="00132F9C"/>
    <w:rsid w:val="0013310F"/>
    <w:rsid w:val="0013311C"/>
    <w:rsid w:val="0013312C"/>
    <w:rsid w:val="001331F7"/>
    <w:rsid w:val="0013327E"/>
    <w:rsid w:val="00133289"/>
    <w:rsid w:val="00133293"/>
    <w:rsid w:val="00133326"/>
    <w:rsid w:val="0013354C"/>
    <w:rsid w:val="0013356E"/>
    <w:rsid w:val="001335AD"/>
    <w:rsid w:val="001335B5"/>
    <w:rsid w:val="0013365C"/>
    <w:rsid w:val="001336C9"/>
    <w:rsid w:val="001336F0"/>
    <w:rsid w:val="00133A34"/>
    <w:rsid w:val="00133A5D"/>
    <w:rsid w:val="00133AAA"/>
    <w:rsid w:val="00133BA4"/>
    <w:rsid w:val="00133BD3"/>
    <w:rsid w:val="00133CED"/>
    <w:rsid w:val="00133D0E"/>
    <w:rsid w:val="00133D54"/>
    <w:rsid w:val="00133ED8"/>
    <w:rsid w:val="00133EF0"/>
    <w:rsid w:val="00134078"/>
    <w:rsid w:val="00134110"/>
    <w:rsid w:val="00134129"/>
    <w:rsid w:val="00134191"/>
    <w:rsid w:val="001343F1"/>
    <w:rsid w:val="00134407"/>
    <w:rsid w:val="0013444C"/>
    <w:rsid w:val="0013454B"/>
    <w:rsid w:val="00134612"/>
    <w:rsid w:val="00134636"/>
    <w:rsid w:val="00134724"/>
    <w:rsid w:val="00134758"/>
    <w:rsid w:val="00134838"/>
    <w:rsid w:val="00134A5C"/>
    <w:rsid w:val="00134ACC"/>
    <w:rsid w:val="00134D0E"/>
    <w:rsid w:val="00134D45"/>
    <w:rsid w:val="00134DFD"/>
    <w:rsid w:val="00135007"/>
    <w:rsid w:val="0013505E"/>
    <w:rsid w:val="001351C0"/>
    <w:rsid w:val="00135302"/>
    <w:rsid w:val="001353E2"/>
    <w:rsid w:val="001354B9"/>
    <w:rsid w:val="00135551"/>
    <w:rsid w:val="00135B0C"/>
    <w:rsid w:val="00135B1C"/>
    <w:rsid w:val="00135B90"/>
    <w:rsid w:val="00135C42"/>
    <w:rsid w:val="00135DD8"/>
    <w:rsid w:val="00135E51"/>
    <w:rsid w:val="00135EFA"/>
    <w:rsid w:val="00135FAA"/>
    <w:rsid w:val="0013627F"/>
    <w:rsid w:val="00136477"/>
    <w:rsid w:val="0013658F"/>
    <w:rsid w:val="0013663E"/>
    <w:rsid w:val="001367D3"/>
    <w:rsid w:val="00136909"/>
    <w:rsid w:val="0013693D"/>
    <w:rsid w:val="00136996"/>
    <w:rsid w:val="00136BDD"/>
    <w:rsid w:val="00136C16"/>
    <w:rsid w:val="00136CAE"/>
    <w:rsid w:val="00136CC3"/>
    <w:rsid w:val="00136E66"/>
    <w:rsid w:val="0013703F"/>
    <w:rsid w:val="0013710F"/>
    <w:rsid w:val="00137244"/>
    <w:rsid w:val="00137253"/>
    <w:rsid w:val="0013731F"/>
    <w:rsid w:val="00137590"/>
    <w:rsid w:val="00137598"/>
    <w:rsid w:val="00137618"/>
    <w:rsid w:val="001376DF"/>
    <w:rsid w:val="0013782E"/>
    <w:rsid w:val="001378A7"/>
    <w:rsid w:val="00137B31"/>
    <w:rsid w:val="00137C10"/>
    <w:rsid w:val="00137C9A"/>
    <w:rsid w:val="00137CE6"/>
    <w:rsid w:val="00137E3E"/>
    <w:rsid w:val="00137E54"/>
    <w:rsid w:val="00137E6D"/>
    <w:rsid w:val="00137EEE"/>
    <w:rsid w:val="00137F1A"/>
    <w:rsid w:val="00137F97"/>
    <w:rsid w:val="00140011"/>
    <w:rsid w:val="001401B7"/>
    <w:rsid w:val="001401F4"/>
    <w:rsid w:val="0014024E"/>
    <w:rsid w:val="0014024F"/>
    <w:rsid w:val="00140298"/>
    <w:rsid w:val="001403B8"/>
    <w:rsid w:val="00140495"/>
    <w:rsid w:val="001404FA"/>
    <w:rsid w:val="001405CF"/>
    <w:rsid w:val="001405D3"/>
    <w:rsid w:val="001406B5"/>
    <w:rsid w:val="001407C2"/>
    <w:rsid w:val="0014081E"/>
    <w:rsid w:val="00140823"/>
    <w:rsid w:val="0014084D"/>
    <w:rsid w:val="00140904"/>
    <w:rsid w:val="0014093D"/>
    <w:rsid w:val="00140A0C"/>
    <w:rsid w:val="00140A31"/>
    <w:rsid w:val="00140B39"/>
    <w:rsid w:val="00140BDB"/>
    <w:rsid w:val="00140C3D"/>
    <w:rsid w:val="00140D8D"/>
    <w:rsid w:val="00140D92"/>
    <w:rsid w:val="00140DF8"/>
    <w:rsid w:val="00140E50"/>
    <w:rsid w:val="00141077"/>
    <w:rsid w:val="0014114F"/>
    <w:rsid w:val="00141230"/>
    <w:rsid w:val="00141283"/>
    <w:rsid w:val="001412A0"/>
    <w:rsid w:val="001412CB"/>
    <w:rsid w:val="001412CC"/>
    <w:rsid w:val="0014142F"/>
    <w:rsid w:val="0014196B"/>
    <w:rsid w:val="001419D3"/>
    <w:rsid w:val="00141BCF"/>
    <w:rsid w:val="00141CBA"/>
    <w:rsid w:val="00141D96"/>
    <w:rsid w:val="00141DB6"/>
    <w:rsid w:val="001420CB"/>
    <w:rsid w:val="00142325"/>
    <w:rsid w:val="0014243B"/>
    <w:rsid w:val="00142454"/>
    <w:rsid w:val="001424E3"/>
    <w:rsid w:val="00142543"/>
    <w:rsid w:val="00142546"/>
    <w:rsid w:val="00142592"/>
    <w:rsid w:val="0014261B"/>
    <w:rsid w:val="0014289C"/>
    <w:rsid w:val="0014294A"/>
    <w:rsid w:val="00142989"/>
    <w:rsid w:val="00142A7A"/>
    <w:rsid w:val="00142BDC"/>
    <w:rsid w:val="00142D51"/>
    <w:rsid w:val="00142DB3"/>
    <w:rsid w:val="00142DF3"/>
    <w:rsid w:val="00142EE2"/>
    <w:rsid w:val="00142F07"/>
    <w:rsid w:val="00142F84"/>
    <w:rsid w:val="00143055"/>
    <w:rsid w:val="001430DF"/>
    <w:rsid w:val="00143269"/>
    <w:rsid w:val="0014326A"/>
    <w:rsid w:val="00143273"/>
    <w:rsid w:val="001432B4"/>
    <w:rsid w:val="001432FB"/>
    <w:rsid w:val="001433D6"/>
    <w:rsid w:val="00143579"/>
    <w:rsid w:val="00143590"/>
    <w:rsid w:val="0014371E"/>
    <w:rsid w:val="001437D1"/>
    <w:rsid w:val="00143931"/>
    <w:rsid w:val="0014398C"/>
    <w:rsid w:val="00143B70"/>
    <w:rsid w:val="00143CF3"/>
    <w:rsid w:val="00143E92"/>
    <w:rsid w:val="00143EF7"/>
    <w:rsid w:val="00143FD2"/>
    <w:rsid w:val="00144035"/>
    <w:rsid w:val="001440FB"/>
    <w:rsid w:val="001441CA"/>
    <w:rsid w:val="001442B2"/>
    <w:rsid w:val="0014441A"/>
    <w:rsid w:val="0014455B"/>
    <w:rsid w:val="0014457D"/>
    <w:rsid w:val="001447C3"/>
    <w:rsid w:val="00144988"/>
    <w:rsid w:val="0014498C"/>
    <w:rsid w:val="001449EA"/>
    <w:rsid w:val="00144AB3"/>
    <w:rsid w:val="00144AC4"/>
    <w:rsid w:val="00144B93"/>
    <w:rsid w:val="00144BFA"/>
    <w:rsid w:val="00144C8C"/>
    <w:rsid w:val="00144CBA"/>
    <w:rsid w:val="00144E45"/>
    <w:rsid w:val="00144E88"/>
    <w:rsid w:val="00144F2D"/>
    <w:rsid w:val="00145191"/>
    <w:rsid w:val="0014524C"/>
    <w:rsid w:val="001454D3"/>
    <w:rsid w:val="00145648"/>
    <w:rsid w:val="001457A7"/>
    <w:rsid w:val="001458A5"/>
    <w:rsid w:val="001459EE"/>
    <w:rsid w:val="00145B9A"/>
    <w:rsid w:val="00145D6A"/>
    <w:rsid w:val="00146036"/>
    <w:rsid w:val="001460BA"/>
    <w:rsid w:val="001460F5"/>
    <w:rsid w:val="001461A4"/>
    <w:rsid w:val="0014621F"/>
    <w:rsid w:val="001462B3"/>
    <w:rsid w:val="00146300"/>
    <w:rsid w:val="0014639A"/>
    <w:rsid w:val="001463CF"/>
    <w:rsid w:val="001464B5"/>
    <w:rsid w:val="001464EC"/>
    <w:rsid w:val="00146661"/>
    <w:rsid w:val="00146694"/>
    <w:rsid w:val="001466AD"/>
    <w:rsid w:val="00146874"/>
    <w:rsid w:val="001468EE"/>
    <w:rsid w:val="00146BE9"/>
    <w:rsid w:val="00146C3D"/>
    <w:rsid w:val="00146D13"/>
    <w:rsid w:val="00146D9E"/>
    <w:rsid w:val="00146EA4"/>
    <w:rsid w:val="00146EC0"/>
    <w:rsid w:val="0014700B"/>
    <w:rsid w:val="0014709C"/>
    <w:rsid w:val="001472B2"/>
    <w:rsid w:val="001474AA"/>
    <w:rsid w:val="001474CB"/>
    <w:rsid w:val="00147566"/>
    <w:rsid w:val="001477FD"/>
    <w:rsid w:val="0014787B"/>
    <w:rsid w:val="0014787F"/>
    <w:rsid w:val="0014793D"/>
    <w:rsid w:val="0014795A"/>
    <w:rsid w:val="00147980"/>
    <w:rsid w:val="0014798E"/>
    <w:rsid w:val="00147CCC"/>
    <w:rsid w:val="00147F01"/>
    <w:rsid w:val="00147F1D"/>
    <w:rsid w:val="0015002B"/>
    <w:rsid w:val="001500CF"/>
    <w:rsid w:val="0015023A"/>
    <w:rsid w:val="0015035E"/>
    <w:rsid w:val="00150493"/>
    <w:rsid w:val="001504AF"/>
    <w:rsid w:val="00150685"/>
    <w:rsid w:val="001507E0"/>
    <w:rsid w:val="00150853"/>
    <w:rsid w:val="00150858"/>
    <w:rsid w:val="00150988"/>
    <w:rsid w:val="00150A59"/>
    <w:rsid w:val="00150A69"/>
    <w:rsid w:val="00150AE2"/>
    <w:rsid w:val="00150C70"/>
    <w:rsid w:val="00150CCE"/>
    <w:rsid w:val="00150CD1"/>
    <w:rsid w:val="00150D48"/>
    <w:rsid w:val="00150F14"/>
    <w:rsid w:val="00150FAE"/>
    <w:rsid w:val="0015101B"/>
    <w:rsid w:val="00151066"/>
    <w:rsid w:val="001510D7"/>
    <w:rsid w:val="001510E1"/>
    <w:rsid w:val="001511DB"/>
    <w:rsid w:val="00151220"/>
    <w:rsid w:val="0015128E"/>
    <w:rsid w:val="001512F4"/>
    <w:rsid w:val="0015144D"/>
    <w:rsid w:val="0015148A"/>
    <w:rsid w:val="00151524"/>
    <w:rsid w:val="001516E4"/>
    <w:rsid w:val="001517C6"/>
    <w:rsid w:val="00151987"/>
    <w:rsid w:val="001519EB"/>
    <w:rsid w:val="00151A1E"/>
    <w:rsid w:val="00151ACB"/>
    <w:rsid w:val="00151B12"/>
    <w:rsid w:val="00151B49"/>
    <w:rsid w:val="00151C37"/>
    <w:rsid w:val="00151CFC"/>
    <w:rsid w:val="00151E99"/>
    <w:rsid w:val="00151F32"/>
    <w:rsid w:val="0015208B"/>
    <w:rsid w:val="001520A6"/>
    <w:rsid w:val="00152146"/>
    <w:rsid w:val="001521FF"/>
    <w:rsid w:val="001522E7"/>
    <w:rsid w:val="001522E8"/>
    <w:rsid w:val="001523E1"/>
    <w:rsid w:val="001523F0"/>
    <w:rsid w:val="0015255E"/>
    <w:rsid w:val="0015257A"/>
    <w:rsid w:val="00152655"/>
    <w:rsid w:val="00152686"/>
    <w:rsid w:val="001526F1"/>
    <w:rsid w:val="00152758"/>
    <w:rsid w:val="0015278B"/>
    <w:rsid w:val="00152A6E"/>
    <w:rsid w:val="00152BC9"/>
    <w:rsid w:val="00152C09"/>
    <w:rsid w:val="00152C1C"/>
    <w:rsid w:val="00152C4E"/>
    <w:rsid w:val="00152CA5"/>
    <w:rsid w:val="00152D08"/>
    <w:rsid w:val="00152D71"/>
    <w:rsid w:val="00152E8D"/>
    <w:rsid w:val="00152F1B"/>
    <w:rsid w:val="00153001"/>
    <w:rsid w:val="00153009"/>
    <w:rsid w:val="001530BD"/>
    <w:rsid w:val="0015311E"/>
    <w:rsid w:val="00153170"/>
    <w:rsid w:val="001532CC"/>
    <w:rsid w:val="00153309"/>
    <w:rsid w:val="0015336C"/>
    <w:rsid w:val="001534C2"/>
    <w:rsid w:val="001534F2"/>
    <w:rsid w:val="00153523"/>
    <w:rsid w:val="00153643"/>
    <w:rsid w:val="00153976"/>
    <w:rsid w:val="00153B5B"/>
    <w:rsid w:val="00153C4E"/>
    <w:rsid w:val="00153C79"/>
    <w:rsid w:val="00153CF1"/>
    <w:rsid w:val="00153EE4"/>
    <w:rsid w:val="00153F9B"/>
    <w:rsid w:val="00153FCE"/>
    <w:rsid w:val="00154053"/>
    <w:rsid w:val="00154140"/>
    <w:rsid w:val="00154196"/>
    <w:rsid w:val="0015428B"/>
    <w:rsid w:val="00154368"/>
    <w:rsid w:val="0015448A"/>
    <w:rsid w:val="0015453D"/>
    <w:rsid w:val="00154581"/>
    <w:rsid w:val="0015467C"/>
    <w:rsid w:val="00154688"/>
    <w:rsid w:val="001546A6"/>
    <w:rsid w:val="00154706"/>
    <w:rsid w:val="0015478D"/>
    <w:rsid w:val="00154848"/>
    <w:rsid w:val="0015484C"/>
    <w:rsid w:val="001548A0"/>
    <w:rsid w:val="001548AF"/>
    <w:rsid w:val="00154942"/>
    <w:rsid w:val="0015496B"/>
    <w:rsid w:val="00154AE8"/>
    <w:rsid w:val="00154BDB"/>
    <w:rsid w:val="00154C60"/>
    <w:rsid w:val="00154D01"/>
    <w:rsid w:val="00154DC6"/>
    <w:rsid w:val="00154DF4"/>
    <w:rsid w:val="00154FD5"/>
    <w:rsid w:val="00154FEA"/>
    <w:rsid w:val="00154FFD"/>
    <w:rsid w:val="001550BC"/>
    <w:rsid w:val="0015511B"/>
    <w:rsid w:val="0015518A"/>
    <w:rsid w:val="0015525A"/>
    <w:rsid w:val="0015530D"/>
    <w:rsid w:val="0015537E"/>
    <w:rsid w:val="00155468"/>
    <w:rsid w:val="0015558E"/>
    <w:rsid w:val="0015560B"/>
    <w:rsid w:val="00155630"/>
    <w:rsid w:val="00155646"/>
    <w:rsid w:val="00155654"/>
    <w:rsid w:val="001556F4"/>
    <w:rsid w:val="001557F5"/>
    <w:rsid w:val="00155850"/>
    <w:rsid w:val="001558D8"/>
    <w:rsid w:val="001558E6"/>
    <w:rsid w:val="0015599A"/>
    <w:rsid w:val="00155B1A"/>
    <w:rsid w:val="00155BF8"/>
    <w:rsid w:val="00155C18"/>
    <w:rsid w:val="00155C45"/>
    <w:rsid w:val="00155C8E"/>
    <w:rsid w:val="00155CB9"/>
    <w:rsid w:val="00155DAE"/>
    <w:rsid w:val="00155DFE"/>
    <w:rsid w:val="00155E81"/>
    <w:rsid w:val="00155EB8"/>
    <w:rsid w:val="0015619D"/>
    <w:rsid w:val="00156207"/>
    <w:rsid w:val="001562B7"/>
    <w:rsid w:val="00156431"/>
    <w:rsid w:val="00156486"/>
    <w:rsid w:val="001564D0"/>
    <w:rsid w:val="001564F9"/>
    <w:rsid w:val="00156542"/>
    <w:rsid w:val="001566C1"/>
    <w:rsid w:val="0015684E"/>
    <w:rsid w:val="0015699E"/>
    <w:rsid w:val="00156CB3"/>
    <w:rsid w:val="00156FA0"/>
    <w:rsid w:val="0015701A"/>
    <w:rsid w:val="00157059"/>
    <w:rsid w:val="0015707C"/>
    <w:rsid w:val="001570E6"/>
    <w:rsid w:val="00157293"/>
    <w:rsid w:val="0015733A"/>
    <w:rsid w:val="0015734F"/>
    <w:rsid w:val="001573B1"/>
    <w:rsid w:val="0015760C"/>
    <w:rsid w:val="001576BB"/>
    <w:rsid w:val="00157727"/>
    <w:rsid w:val="00157762"/>
    <w:rsid w:val="00157884"/>
    <w:rsid w:val="00157960"/>
    <w:rsid w:val="00157A09"/>
    <w:rsid w:val="00157A0E"/>
    <w:rsid w:val="00157AA4"/>
    <w:rsid w:val="00157B2C"/>
    <w:rsid w:val="00157B30"/>
    <w:rsid w:val="00157B3A"/>
    <w:rsid w:val="00157C09"/>
    <w:rsid w:val="00157C20"/>
    <w:rsid w:val="00157C73"/>
    <w:rsid w:val="00157D53"/>
    <w:rsid w:val="00157D60"/>
    <w:rsid w:val="00157DD8"/>
    <w:rsid w:val="00157E0B"/>
    <w:rsid w:val="00157E16"/>
    <w:rsid w:val="00157E46"/>
    <w:rsid w:val="00157E66"/>
    <w:rsid w:val="00157FF5"/>
    <w:rsid w:val="00160046"/>
    <w:rsid w:val="00160062"/>
    <w:rsid w:val="0016006A"/>
    <w:rsid w:val="0016011A"/>
    <w:rsid w:val="00160142"/>
    <w:rsid w:val="00160184"/>
    <w:rsid w:val="001601DB"/>
    <w:rsid w:val="001602EB"/>
    <w:rsid w:val="001603C9"/>
    <w:rsid w:val="0016050B"/>
    <w:rsid w:val="0016053E"/>
    <w:rsid w:val="00160676"/>
    <w:rsid w:val="00160839"/>
    <w:rsid w:val="001609DB"/>
    <w:rsid w:val="00160A66"/>
    <w:rsid w:val="00160AF3"/>
    <w:rsid w:val="00160B38"/>
    <w:rsid w:val="00160BF5"/>
    <w:rsid w:val="00160D2C"/>
    <w:rsid w:val="00160D8C"/>
    <w:rsid w:val="00160DAA"/>
    <w:rsid w:val="00161062"/>
    <w:rsid w:val="001610BE"/>
    <w:rsid w:val="0016114D"/>
    <w:rsid w:val="001611A7"/>
    <w:rsid w:val="00161237"/>
    <w:rsid w:val="001613EF"/>
    <w:rsid w:val="0016150B"/>
    <w:rsid w:val="001615EF"/>
    <w:rsid w:val="0016162E"/>
    <w:rsid w:val="001617B9"/>
    <w:rsid w:val="001617DB"/>
    <w:rsid w:val="001617E6"/>
    <w:rsid w:val="001618E2"/>
    <w:rsid w:val="00161963"/>
    <w:rsid w:val="00161A7B"/>
    <w:rsid w:val="00161AA1"/>
    <w:rsid w:val="00161C24"/>
    <w:rsid w:val="00161D13"/>
    <w:rsid w:val="00161D20"/>
    <w:rsid w:val="00161DDC"/>
    <w:rsid w:val="00161E7A"/>
    <w:rsid w:val="00161EB1"/>
    <w:rsid w:val="00161EFF"/>
    <w:rsid w:val="00161F1B"/>
    <w:rsid w:val="00161F25"/>
    <w:rsid w:val="00161F79"/>
    <w:rsid w:val="00161FCE"/>
    <w:rsid w:val="0016210A"/>
    <w:rsid w:val="0016240F"/>
    <w:rsid w:val="001625EA"/>
    <w:rsid w:val="001626C1"/>
    <w:rsid w:val="00162791"/>
    <w:rsid w:val="0016279D"/>
    <w:rsid w:val="00162848"/>
    <w:rsid w:val="00162955"/>
    <w:rsid w:val="001629D7"/>
    <w:rsid w:val="00162AB2"/>
    <w:rsid w:val="00162ADC"/>
    <w:rsid w:val="00162B25"/>
    <w:rsid w:val="00162BA4"/>
    <w:rsid w:val="00162D3E"/>
    <w:rsid w:val="00162D59"/>
    <w:rsid w:val="00162DAF"/>
    <w:rsid w:val="00162ED8"/>
    <w:rsid w:val="00162F1F"/>
    <w:rsid w:val="0016300D"/>
    <w:rsid w:val="00163133"/>
    <w:rsid w:val="00163171"/>
    <w:rsid w:val="001633E8"/>
    <w:rsid w:val="001636B3"/>
    <w:rsid w:val="0016387E"/>
    <w:rsid w:val="0016390F"/>
    <w:rsid w:val="00163990"/>
    <w:rsid w:val="00163A06"/>
    <w:rsid w:val="00163A4E"/>
    <w:rsid w:val="00163B0C"/>
    <w:rsid w:val="00163BEA"/>
    <w:rsid w:val="00163C4C"/>
    <w:rsid w:val="00163CA5"/>
    <w:rsid w:val="00163D09"/>
    <w:rsid w:val="00163F23"/>
    <w:rsid w:val="001640F9"/>
    <w:rsid w:val="00164314"/>
    <w:rsid w:val="00164403"/>
    <w:rsid w:val="001644A4"/>
    <w:rsid w:val="0016454A"/>
    <w:rsid w:val="001646ED"/>
    <w:rsid w:val="00164738"/>
    <w:rsid w:val="00164745"/>
    <w:rsid w:val="001647CB"/>
    <w:rsid w:val="001648EF"/>
    <w:rsid w:val="00164910"/>
    <w:rsid w:val="001649CB"/>
    <w:rsid w:val="00164A92"/>
    <w:rsid w:val="00164ADD"/>
    <w:rsid w:val="00164BB5"/>
    <w:rsid w:val="00164C5B"/>
    <w:rsid w:val="00164DB8"/>
    <w:rsid w:val="00164E13"/>
    <w:rsid w:val="00164E57"/>
    <w:rsid w:val="00164E9B"/>
    <w:rsid w:val="00164F52"/>
    <w:rsid w:val="0016501E"/>
    <w:rsid w:val="00165059"/>
    <w:rsid w:val="00165146"/>
    <w:rsid w:val="00165297"/>
    <w:rsid w:val="0016535D"/>
    <w:rsid w:val="00165399"/>
    <w:rsid w:val="0016543F"/>
    <w:rsid w:val="001654DF"/>
    <w:rsid w:val="0016550B"/>
    <w:rsid w:val="001656BC"/>
    <w:rsid w:val="00165711"/>
    <w:rsid w:val="001657B7"/>
    <w:rsid w:val="001658DE"/>
    <w:rsid w:val="00165B1F"/>
    <w:rsid w:val="00165C8D"/>
    <w:rsid w:val="00165CEC"/>
    <w:rsid w:val="00165D51"/>
    <w:rsid w:val="00165D9F"/>
    <w:rsid w:val="00165F26"/>
    <w:rsid w:val="00165FAE"/>
    <w:rsid w:val="0016601A"/>
    <w:rsid w:val="001660F2"/>
    <w:rsid w:val="00166167"/>
    <w:rsid w:val="0016619E"/>
    <w:rsid w:val="001663AA"/>
    <w:rsid w:val="001663C8"/>
    <w:rsid w:val="001665EF"/>
    <w:rsid w:val="0016668E"/>
    <w:rsid w:val="001666C1"/>
    <w:rsid w:val="00166885"/>
    <w:rsid w:val="00166A01"/>
    <w:rsid w:val="00166A24"/>
    <w:rsid w:val="00166A5C"/>
    <w:rsid w:val="00166ABB"/>
    <w:rsid w:val="00166CD8"/>
    <w:rsid w:val="00166DCD"/>
    <w:rsid w:val="00166E5E"/>
    <w:rsid w:val="00166EDE"/>
    <w:rsid w:val="00166EE1"/>
    <w:rsid w:val="00166F4A"/>
    <w:rsid w:val="00166FB8"/>
    <w:rsid w:val="00167079"/>
    <w:rsid w:val="0016709F"/>
    <w:rsid w:val="001671D4"/>
    <w:rsid w:val="001673C4"/>
    <w:rsid w:val="001673DA"/>
    <w:rsid w:val="0016761E"/>
    <w:rsid w:val="001677F4"/>
    <w:rsid w:val="00167A5C"/>
    <w:rsid w:val="00167B8F"/>
    <w:rsid w:val="00167C06"/>
    <w:rsid w:val="00167C3F"/>
    <w:rsid w:val="00167CDA"/>
    <w:rsid w:val="00167CDC"/>
    <w:rsid w:val="00167CE3"/>
    <w:rsid w:val="00167DB1"/>
    <w:rsid w:val="00167F90"/>
    <w:rsid w:val="00167FE8"/>
    <w:rsid w:val="001700C2"/>
    <w:rsid w:val="001701AA"/>
    <w:rsid w:val="00170207"/>
    <w:rsid w:val="00170336"/>
    <w:rsid w:val="00170415"/>
    <w:rsid w:val="00170460"/>
    <w:rsid w:val="001704D8"/>
    <w:rsid w:val="00170805"/>
    <w:rsid w:val="001708CA"/>
    <w:rsid w:val="00170901"/>
    <w:rsid w:val="00170915"/>
    <w:rsid w:val="0017093A"/>
    <w:rsid w:val="00170984"/>
    <w:rsid w:val="00170ABA"/>
    <w:rsid w:val="00170AE7"/>
    <w:rsid w:val="00170B2B"/>
    <w:rsid w:val="00170C8C"/>
    <w:rsid w:val="00170E9D"/>
    <w:rsid w:val="0017102A"/>
    <w:rsid w:val="001710C1"/>
    <w:rsid w:val="00171655"/>
    <w:rsid w:val="001717A2"/>
    <w:rsid w:val="001717EF"/>
    <w:rsid w:val="0017186F"/>
    <w:rsid w:val="00171A2D"/>
    <w:rsid w:val="00171A48"/>
    <w:rsid w:val="00171ADA"/>
    <w:rsid w:val="00171BB0"/>
    <w:rsid w:val="00171E5E"/>
    <w:rsid w:val="00171F04"/>
    <w:rsid w:val="0017201B"/>
    <w:rsid w:val="0017225C"/>
    <w:rsid w:val="001722BA"/>
    <w:rsid w:val="001722FC"/>
    <w:rsid w:val="00172306"/>
    <w:rsid w:val="00172468"/>
    <w:rsid w:val="001724AC"/>
    <w:rsid w:val="001725B3"/>
    <w:rsid w:val="001726FA"/>
    <w:rsid w:val="0017274D"/>
    <w:rsid w:val="00172894"/>
    <w:rsid w:val="001728A7"/>
    <w:rsid w:val="00172912"/>
    <w:rsid w:val="00172AFB"/>
    <w:rsid w:val="00172B93"/>
    <w:rsid w:val="00172B9F"/>
    <w:rsid w:val="00172BB6"/>
    <w:rsid w:val="00172BF8"/>
    <w:rsid w:val="00172C74"/>
    <w:rsid w:val="00172DD4"/>
    <w:rsid w:val="00172E4D"/>
    <w:rsid w:val="00172F6C"/>
    <w:rsid w:val="001730A7"/>
    <w:rsid w:val="001731EC"/>
    <w:rsid w:val="001732CA"/>
    <w:rsid w:val="00173306"/>
    <w:rsid w:val="00173437"/>
    <w:rsid w:val="00173462"/>
    <w:rsid w:val="001734B3"/>
    <w:rsid w:val="00173502"/>
    <w:rsid w:val="00173537"/>
    <w:rsid w:val="0017359F"/>
    <w:rsid w:val="001735F6"/>
    <w:rsid w:val="0017365B"/>
    <w:rsid w:val="0017380A"/>
    <w:rsid w:val="001739EE"/>
    <w:rsid w:val="00173B4D"/>
    <w:rsid w:val="00173BE4"/>
    <w:rsid w:val="00173D09"/>
    <w:rsid w:val="00173D9A"/>
    <w:rsid w:val="00173DDA"/>
    <w:rsid w:val="00173DFA"/>
    <w:rsid w:val="00173EEE"/>
    <w:rsid w:val="00173FFE"/>
    <w:rsid w:val="0017412A"/>
    <w:rsid w:val="001742CD"/>
    <w:rsid w:val="0017440A"/>
    <w:rsid w:val="00174421"/>
    <w:rsid w:val="00174521"/>
    <w:rsid w:val="001745FB"/>
    <w:rsid w:val="001746CE"/>
    <w:rsid w:val="001746DE"/>
    <w:rsid w:val="00174841"/>
    <w:rsid w:val="001748AA"/>
    <w:rsid w:val="00174A96"/>
    <w:rsid w:val="00174BA3"/>
    <w:rsid w:val="00174BE0"/>
    <w:rsid w:val="00174C27"/>
    <w:rsid w:val="00174C46"/>
    <w:rsid w:val="00174C82"/>
    <w:rsid w:val="00174C87"/>
    <w:rsid w:val="00174C98"/>
    <w:rsid w:val="00174CF2"/>
    <w:rsid w:val="00174E23"/>
    <w:rsid w:val="00174E87"/>
    <w:rsid w:val="00174EA2"/>
    <w:rsid w:val="00174FB9"/>
    <w:rsid w:val="00174FD4"/>
    <w:rsid w:val="00174FD8"/>
    <w:rsid w:val="001750DA"/>
    <w:rsid w:val="00175247"/>
    <w:rsid w:val="001752E6"/>
    <w:rsid w:val="0017531A"/>
    <w:rsid w:val="001753DA"/>
    <w:rsid w:val="001754A0"/>
    <w:rsid w:val="00175596"/>
    <w:rsid w:val="00175682"/>
    <w:rsid w:val="001756C5"/>
    <w:rsid w:val="001757CD"/>
    <w:rsid w:val="00175815"/>
    <w:rsid w:val="0017581C"/>
    <w:rsid w:val="00175871"/>
    <w:rsid w:val="00175AC6"/>
    <w:rsid w:val="00175ADA"/>
    <w:rsid w:val="00175B16"/>
    <w:rsid w:val="00175B41"/>
    <w:rsid w:val="00175C5C"/>
    <w:rsid w:val="00175CE5"/>
    <w:rsid w:val="00175CF3"/>
    <w:rsid w:val="00175D56"/>
    <w:rsid w:val="00175DD4"/>
    <w:rsid w:val="00175E2F"/>
    <w:rsid w:val="00175EA4"/>
    <w:rsid w:val="00175EAD"/>
    <w:rsid w:val="00176137"/>
    <w:rsid w:val="00176365"/>
    <w:rsid w:val="0017637D"/>
    <w:rsid w:val="001763E2"/>
    <w:rsid w:val="00176492"/>
    <w:rsid w:val="00176518"/>
    <w:rsid w:val="00176592"/>
    <w:rsid w:val="00176618"/>
    <w:rsid w:val="00176829"/>
    <w:rsid w:val="00176868"/>
    <w:rsid w:val="00176AA2"/>
    <w:rsid w:val="00176C40"/>
    <w:rsid w:val="00176D83"/>
    <w:rsid w:val="00176DA1"/>
    <w:rsid w:val="00176DB8"/>
    <w:rsid w:val="00176E50"/>
    <w:rsid w:val="00176E72"/>
    <w:rsid w:val="00176F3F"/>
    <w:rsid w:val="00176F74"/>
    <w:rsid w:val="00176F91"/>
    <w:rsid w:val="00176FB3"/>
    <w:rsid w:val="001770AF"/>
    <w:rsid w:val="0017719C"/>
    <w:rsid w:val="00177305"/>
    <w:rsid w:val="00177339"/>
    <w:rsid w:val="001774D8"/>
    <w:rsid w:val="00177534"/>
    <w:rsid w:val="0017754B"/>
    <w:rsid w:val="00177555"/>
    <w:rsid w:val="00177673"/>
    <w:rsid w:val="001776EF"/>
    <w:rsid w:val="00177874"/>
    <w:rsid w:val="001779AC"/>
    <w:rsid w:val="00177B0C"/>
    <w:rsid w:val="00177B25"/>
    <w:rsid w:val="00177CC3"/>
    <w:rsid w:val="00177D01"/>
    <w:rsid w:val="00177E39"/>
    <w:rsid w:val="00177F68"/>
    <w:rsid w:val="00177FAD"/>
    <w:rsid w:val="00177FC2"/>
    <w:rsid w:val="0018010B"/>
    <w:rsid w:val="001801CB"/>
    <w:rsid w:val="001801F0"/>
    <w:rsid w:val="001801FB"/>
    <w:rsid w:val="001802C9"/>
    <w:rsid w:val="00180310"/>
    <w:rsid w:val="0018037B"/>
    <w:rsid w:val="001803A6"/>
    <w:rsid w:val="00180516"/>
    <w:rsid w:val="00180517"/>
    <w:rsid w:val="00180536"/>
    <w:rsid w:val="001805EA"/>
    <w:rsid w:val="00180694"/>
    <w:rsid w:val="001806B1"/>
    <w:rsid w:val="001806CE"/>
    <w:rsid w:val="001807B7"/>
    <w:rsid w:val="001807C4"/>
    <w:rsid w:val="00180825"/>
    <w:rsid w:val="0018084D"/>
    <w:rsid w:val="00180925"/>
    <w:rsid w:val="001809E9"/>
    <w:rsid w:val="00180A4E"/>
    <w:rsid w:val="00180C5B"/>
    <w:rsid w:val="00180C5D"/>
    <w:rsid w:val="00180CB9"/>
    <w:rsid w:val="00180D4F"/>
    <w:rsid w:val="00180D51"/>
    <w:rsid w:val="00180E5C"/>
    <w:rsid w:val="00180ED6"/>
    <w:rsid w:val="00181019"/>
    <w:rsid w:val="001812FB"/>
    <w:rsid w:val="001813EC"/>
    <w:rsid w:val="001814BF"/>
    <w:rsid w:val="0018151A"/>
    <w:rsid w:val="00181624"/>
    <w:rsid w:val="001816C9"/>
    <w:rsid w:val="0018178E"/>
    <w:rsid w:val="001817D3"/>
    <w:rsid w:val="001817F9"/>
    <w:rsid w:val="00181AC1"/>
    <w:rsid w:val="00181B0E"/>
    <w:rsid w:val="00181B87"/>
    <w:rsid w:val="00181BD2"/>
    <w:rsid w:val="00181C83"/>
    <w:rsid w:val="00181E41"/>
    <w:rsid w:val="00181EEE"/>
    <w:rsid w:val="00181EEF"/>
    <w:rsid w:val="00181F3A"/>
    <w:rsid w:val="00181F76"/>
    <w:rsid w:val="00181FB3"/>
    <w:rsid w:val="001821A1"/>
    <w:rsid w:val="001822EF"/>
    <w:rsid w:val="00182364"/>
    <w:rsid w:val="00182637"/>
    <w:rsid w:val="00182681"/>
    <w:rsid w:val="001826B5"/>
    <w:rsid w:val="001829CC"/>
    <w:rsid w:val="00182BE7"/>
    <w:rsid w:val="00182C4D"/>
    <w:rsid w:val="00182CCF"/>
    <w:rsid w:val="00182CD1"/>
    <w:rsid w:val="00182DD8"/>
    <w:rsid w:val="00182DE8"/>
    <w:rsid w:val="00182DF6"/>
    <w:rsid w:val="00182E6A"/>
    <w:rsid w:val="00182F62"/>
    <w:rsid w:val="00182FE8"/>
    <w:rsid w:val="0018307E"/>
    <w:rsid w:val="001830C2"/>
    <w:rsid w:val="0018326C"/>
    <w:rsid w:val="00183273"/>
    <w:rsid w:val="001832BD"/>
    <w:rsid w:val="0018330D"/>
    <w:rsid w:val="0018332F"/>
    <w:rsid w:val="00183424"/>
    <w:rsid w:val="0018345F"/>
    <w:rsid w:val="00183469"/>
    <w:rsid w:val="00183667"/>
    <w:rsid w:val="0018385C"/>
    <w:rsid w:val="00183890"/>
    <w:rsid w:val="001838FB"/>
    <w:rsid w:val="00183A47"/>
    <w:rsid w:val="00183C11"/>
    <w:rsid w:val="00183C18"/>
    <w:rsid w:val="00183E0D"/>
    <w:rsid w:val="00183E1E"/>
    <w:rsid w:val="00183FA1"/>
    <w:rsid w:val="00183FE7"/>
    <w:rsid w:val="00184098"/>
    <w:rsid w:val="00184156"/>
    <w:rsid w:val="00184242"/>
    <w:rsid w:val="001842A6"/>
    <w:rsid w:val="00184307"/>
    <w:rsid w:val="00184493"/>
    <w:rsid w:val="001844CA"/>
    <w:rsid w:val="00184754"/>
    <w:rsid w:val="00184A56"/>
    <w:rsid w:val="00184AFE"/>
    <w:rsid w:val="00184B03"/>
    <w:rsid w:val="00184B86"/>
    <w:rsid w:val="00184C63"/>
    <w:rsid w:val="00184D8D"/>
    <w:rsid w:val="00184E00"/>
    <w:rsid w:val="00184E82"/>
    <w:rsid w:val="00184EE0"/>
    <w:rsid w:val="00184F67"/>
    <w:rsid w:val="00185120"/>
    <w:rsid w:val="00185373"/>
    <w:rsid w:val="0018537A"/>
    <w:rsid w:val="001853E6"/>
    <w:rsid w:val="001855D3"/>
    <w:rsid w:val="0018567F"/>
    <w:rsid w:val="001858C5"/>
    <w:rsid w:val="0018590D"/>
    <w:rsid w:val="00185911"/>
    <w:rsid w:val="00185930"/>
    <w:rsid w:val="001859EC"/>
    <w:rsid w:val="00185AFF"/>
    <w:rsid w:val="00185BAE"/>
    <w:rsid w:val="00185BB1"/>
    <w:rsid w:val="00185BBC"/>
    <w:rsid w:val="00185C56"/>
    <w:rsid w:val="00185D12"/>
    <w:rsid w:val="00185D6E"/>
    <w:rsid w:val="00185E41"/>
    <w:rsid w:val="00185ED2"/>
    <w:rsid w:val="0018615E"/>
    <w:rsid w:val="00186230"/>
    <w:rsid w:val="001863AE"/>
    <w:rsid w:val="00186400"/>
    <w:rsid w:val="0018647F"/>
    <w:rsid w:val="001865CB"/>
    <w:rsid w:val="00186643"/>
    <w:rsid w:val="00186657"/>
    <w:rsid w:val="0018665B"/>
    <w:rsid w:val="001866B2"/>
    <w:rsid w:val="0018672E"/>
    <w:rsid w:val="00186753"/>
    <w:rsid w:val="0018689E"/>
    <w:rsid w:val="001868D5"/>
    <w:rsid w:val="001868F0"/>
    <w:rsid w:val="00186A49"/>
    <w:rsid w:val="00186AB4"/>
    <w:rsid w:val="00186AD8"/>
    <w:rsid w:val="00186B25"/>
    <w:rsid w:val="00186C58"/>
    <w:rsid w:val="00186DA5"/>
    <w:rsid w:val="00186F31"/>
    <w:rsid w:val="00186F4F"/>
    <w:rsid w:val="00186F5D"/>
    <w:rsid w:val="001870BC"/>
    <w:rsid w:val="0018718E"/>
    <w:rsid w:val="001871F8"/>
    <w:rsid w:val="00187214"/>
    <w:rsid w:val="00187355"/>
    <w:rsid w:val="00187455"/>
    <w:rsid w:val="0018749F"/>
    <w:rsid w:val="001874D3"/>
    <w:rsid w:val="00187524"/>
    <w:rsid w:val="00187565"/>
    <w:rsid w:val="0018762A"/>
    <w:rsid w:val="00187657"/>
    <w:rsid w:val="0018767D"/>
    <w:rsid w:val="00187896"/>
    <w:rsid w:val="0018792A"/>
    <w:rsid w:val="00187A8E"/>
    <w:rsid w:val="00187B9D"/>
    <w:rsid w:val="00187BC1"/>
    <w:rsid w:val="00187C12"/>
    <w:rsid w:val="00187C26"/>
    <w:rsid w:val="00187C41"/>
    <w:rsid w:val="00187C76"/>
    <w:rsid w:val="00187CCC"/>
    <w:rsid w:val="00187D79"/>
    <w:rsid w:val="00187DD3"/>
    <w:rsid w:val="00187F77"/>
    <w:rsid w:val="00187FC0"/>
    <w:rsid w:val="001902CE"/>
    <w:rsid w:val="0019031B"/>
    <w:rsid w:val="001903A1"/>
    <w:rsid w:val="001903D7"/>
    <w:rsid w:val="00190440"/>
    <w:rsid w:val="00190450"/>
    <w:rsid w:val="001904BF"/>
    <w:rsid w:val="0019055E"/>
    <w:rsid w:val="0019061B"/>
    <w:rsid w:val="0019061D"/>
    <w:rsid w:val="0019062B"/>
    <w:rsid w:val="00190799"/>
    <w:rsid w:val="0019081E"/>
    <w:rsid w:val="0019085B"/>
    <w:rsid w:val="00190864"/>
    <w:rsid w:val="0019095B"/>
    <w:rsid w:val="00190A95"/>
    <w:rsid w:val="00190B31"/>
    <w:rsid w:val="00190B96"/>
    <w:rsid w:val="00190D0F"/>
    <w:rsid w:val="00190F09"/>
    <w:rsid w:val="00190F1D"/>
    <w:rsid w:val="00190F25"/>
    <w:rsid w:val="00190F8A"/>
    <w:rsid w:val="00191085"/>
    <w:rsid w:val="0019120A"/>
    <w:rsid w:val="00191238"/>
    <w:rsid w:val="001914E7"/>
    <w:rsid w:val="00191593"/>
    <w:rsid w:val="0019172A"/>
    <w:rsid w:val="001917C1"/>
    <w:rsid w:val="00191845"/>
    <w:rsid w:val="00191895"/>
    <w:rsid w:val="00191950"/>
    <w:rsid w:val="001919C0"/>
    <w:rsid w:val="00191D68"/>
    <w:rsid w:val="00191E58"/>
    <w:rsid w:val="00191F7E"/>
    <w:rsid w:val="00191F8E"/>
    <w:rsid w:val="00191FB5"/>
    <w:rsid w:val="00192167"/>
    <w:rsid w:val="00192188"/>
    <w:rsid w:val="001921A3"/>
    <w:rsid w:val="0019225E"/>
    <w:rsid w:val="001923F2"/>
    <w:rsid w:val="001925CA"/>
    <w:rsid w:val="001925E1"/>
    <w:rsid w:val="00192612"/>
    <w:rsid w:val="00192687"/>
    <w:rsid w:val="001926BC"/>
    <w:rsid w:val="00192718"/>
    <w:rsid w:val="00192767"/>
    <w:rsid w:val="001927C5"/>
    <w:rsid w:val="001928AF"/>
    <w:rsid w:val="00192930"/>
    <w:rsid w:val="00192C8D"/>
    <w:rsid w:val="00192E2D"/>
    <w:rsid w:val="00192E89"/>
    <w:rsid w:val="00192ECB"/>
    <w:rsid w:val="00192F01"/>
    <w:rsid w:val="00192FB3"/>
    <w:rsid w:val="00193112"/>
    <w:rsid w:val="00193240"/>
    <w:rsid w:val="001932F8"/>
    <w:rsid w:val="0019330E"/>
    <w:rsid w:val="001933DF"/>
    <w:rsid w:val="00193433"/>
    <w:rsid w:val="0019345E"/>
    <w:rsid w:val="0019354B"/>
    <w:rsid w:val="00193657"/>
    <w:rsid w:val="001936CC"/>
    <w:rsid w:val="00193794"/>
    <w:rsid w:val="0019379B"/>
    <w:rsid w:val="00193823"/>
    <w:rsid w:val="001938BF"/>
    <w:rsid w:val="001938E5"/>
    <w:rsid w:val="001939B7"/>
    <w:rsid w:val="00193B6B"/>
    <w:rsid w:val="00193F20"/>
    <w:rsid w:val="00193F51"/>
    <w:rsid w:val="00193FC4"/>
    <w:rsid w:val="0019406E"/>
    <w:rsid w:val="001941AB"/>
    <w:rsid w:val="0019425F"/>
    <w:rsid w:val="0019435B"/>
    <w:rsid w:val="00194451"/>
    <w:rsid w:val="00194570"/>
    <w:rsid w:val="001946C6"/>
    <w:rsid w:val="00194766"/>
    <w:rsid w:val="00194767"/>
    <w:rsid w:val="00194778"/>
    <w:rsid w:val="00194779"/>
    <w:rsid w:val="001948A5"/>
    <w:rsid w:val="001948B0"/>
    <w:rsid w:val="00194928"/>
    <w:rsid w:val="00194A10"/>
    <w:rsid w:val="00194C20"/>
    <w:rsid w:val="00194CE5"/>
    <w:rsid w:val="00194D14"/>
    <w:rsid w:val="00194DAC"/>
    <w:rsid w:val="00194E77"/>
    <w:rsid w:val="001951A6"/>
    <w:rsid w:val="001952DA"/>
    <w:rsid w:val="0019532C"/>
    <w:rsid w:val="00195372"/>
    <w:rsid w:val="00195479"/>
    <w:rsid w:val="00195546"/>
    <w:rsid w:val="0019561E"/>
    <w:rsid w:val="001957D6"/>
    <w:rsid w:val="00195844"/>
    <w:rsid w:val="001958F1"/>
    <w:rsid w:val="0019592B"/>
    <w:rsid w:val="00195A76"/>
    <w:rsid w:val="00195B08"/>
    <w:rsid w:val="00195B52"/>
    <w:rsid w:val="00195BE1"/>
    <w:rsid w:val="00195C39"/>
    <w:rsid w:val="00195DD3"/>
    <w:rsid w:val="00195E3C"/>
    <w:rsid w:val="00195EF1"/>
    <w:rsid w:val="00195F27"/>
    <w:rsid w:val="00195F4B"/>
    <w:rsid w:val="00195FA5"/>
    <w:rsid w:val="001960C7"/>
    <w:rsid w:val="00196165"/>
    <w:rsid w:val="00196288"/>
    <w:rsid w:val="0019642E"/>
    <w:rsid w:val="001964AF"/>
    <w:rsid w:val="001964CC"/>
    <w:rsid w:val="0019662D"/>
    <w:rsid w:val="0019666E"/>
    <w:rsid w:val="001966AD"/>
    <w:rsid w:val="0019686A"/>
    <w:rsid w:val="001968A5"/>
    <w:rsid w:val="00196A6B"/>
    <w:rsid w:val="00196AD5"/>
    <w:rsid w:val="00196B1D"/>
    <w:rsid w:val="00196B5E"/>
    <w:rsid w:val="00196BE6"/>
    <w:rsid w:val="00196C54"/>
    <w:rsid w:val="00196C8F"/>
    <w:rsid w:val="00196C9A"/>
    <w:rsid w:val="00196CC4"/>
    <w:rsid w:val="00196DC4"/>
    <w:rsid w:val="00196F66"/>
    <w:rsid w:val="00196FCC"/>
    <w:rsid w:val="00196FF4"/>
    <w:rsid w:val="00197082"/>
    <w:rsid w:val="001970CF"/>
    <w:rsid w:val="00197125"/>
    <w:rsid w:val="001972B6"/>
    <w:rsid w:val="001973F3"/>
    <w:rsid w:val="0019740C"/>
    <w:rsid w:val="001975CE"/>
    <w:rsid w:val="001975FF"/>
    <w:rsid w:val="0019762B"/>
    <w:rsid w:val="00197665"/>
    <w:rsid w:val="001976AB"/>
    <w:rsid w:val="00197805"/>
    <w:rsid w:val="0019799F"/>
    <w:rsid w:val="00197A5E"/>
    <w:rsid w:val="00197A5F"/>
    <w:rsid w:val="00197AAE"/>
    <w:rsid w:val="00197ABC"/>
    <w:rsid w:val="00197B6D"/>
    <w:rsid w:val="00197B74"/>
    <w:rsid w:val="00197CB2"/>
    <w:rsid w:val="00197CCD"/>
    <w:rsid w:val="00197D4F"/>
    <w:rsid w:val="00197E01"/>
    <w:rsid w:val="00197E10"/>
    <w:rsid w:val="00197E5C"/>
    <w:rsid w:val="00197E95"/>
    <w:rsid w:val="00197F46"/>
    <w:rsid w:val="00197F8D"/>
    <w:rsid w:val="00197FB5"/>
    <w:rsid w:val="001A008C"/>
    <w:rsid w:val="001A011B"/>
    <w:rsid w:val="001A03BF"/>
    <w:rsid w:val="001A03F9"/>
    <w:rsid w:val="001A04C9"/>
    <w:rsid w:val="001A0559"/>
    <w:rsid w:val="001A0589"/>
    <w:rsid w:val="001A05B5"/>
    <w:rsid w:val="001A06CE"/>
    <w:rsid w:val="001A074A"/>
    <w:rsid w:val="001A078D"/>
    <w:rsid w:val="001A08BE"/>
    <w:rsid w:val="001A0939"/>
    <w:rsid w:val="001A0B6D"/>
    <w:rsid w:val="001A0CD5"/>
    <w:rsid w:val="001A0DAB"/>
    <w:rsid w:val="001A0DDB"/>
    <w:rsid w:val="001A0EE1"/>
    <w:rsid w:val="001A1065"/>
    <w:rsid w:val="001A108E"/>
    <w:rsid w:val="001A1136"/>
    <w:rsid w:val="001A1181"/>
    <w:rsid w:val="001A14B4"/>
    <w:rsid w:val="001A1567"/>
    <w:rsid w:val="001A15DD"/>
    <w:rsid w:val="001A165C"/>
    <w:rsid w:val="001A168E"/>
    <w:rsid w:val="001A1702"/>
    <w:rsid w:val="001A1849"/>
    <w:rsid w:val="001A184B"/>
    <w:rsid w:val="001A1979"/>
    <w:rsid w:val="001A1B08"/>
    <w:rsid w:val="001A1B27"/>
    <w:rsid w:val="001A1B97"/>
    <w:rsid w:val="001A1C3C"/>
    <w:rsid w:val="001A1CB7"/>
    <w:rsid w:val="001A1DFA"/>
    <w:rsid w:val="001A1FCA"/>
    <w:rsid w:val="001A209E"/>
    <w:rsid w:val="001A2105"/>
    <w:rsid w:val="001A2208"/>
    <w:rsid w:val="001A2316"/>
    <w:rsid w:val="001A2343"/>
    <w:rsid w:val="001A2346"/>
    <w:rsid w:val="001A24A8"/>
    <w:rsid w:val="001A252F"/>
    <w:rsid w:val="001A2553"/>
    <w:rsid w:val="001A26D2"/>
    <w:rsid w:val="001A27B1"/>
    <w:rsid w:val="001A2AB2"/>
    <w:rsid w:val="001A2C37"/>
    <w:rsid w:val="001A2C4E"/>
    <w:rsid w:val="001A2F21"/>
    <w:rsid w:val="001A2F4B"/>
    <w:rsid w:val="001A2FB5"/>
    <w:rsid w:val="001A30A2"/>
    <w:rsid w:val="001A31B6"/>
    <w:rsid w:val="001A326A"/>
    <w:rsid w:val="001A327F"/>
    <w:rsid w:val="001A3282"/>
    <w:rsid w:val="001A330E"/>
    <w:rsid w:val="001A334D"/>
    <w:rsid w:val="001A344A"/>
    <w:rsid w:val="001A34D4"/>
    <w:rsid w:val="001A35FC"/>
    <w:rsid w:val="001A3798"/>
    <w:rsid w:val="001A3D9A"/>
    <w:rsid w:val="001A3DD2"/>
    <w:rsid w:val="001A3E95"/>
    <w:rsid w:val="001A3F7E"/>
    <w:rsid w:val="001A3FF7"/>
    <w:rsid w:val="001A4036"/>
    <w:rsid w:val="001A40DB"/>
    <w:rsid w:val="001A41B4"/>
    <w:rsid w:val="001A4240"/>
    <w:rsid w:val="001A4332"/>
    <w:rsid w:val="001A445E"/>
    <w:rsid w:val="001A44AA"/>
    <w:rsid w:val="001A458E"/>
    <w:rsid w:val="001A45C9"/>
    <w:rsid w:val="001A4801"/>
    <w:rsid w:val="001A48C9"/>
    <w:rsid w:val="001A48DC"/>
    <w:rsid w:val="001A4902"/>
    <w:rsid w:val="001A4977"/>
    <w:rsid w:val="001A49BD"/>
    <w:rsid w:val="001A4A06"/>
    <w:rsid w:val="001A4AA8"/>
    <w:rsid w:val="001A4ABD"/>
    <w:rsid w:val="001A4AC5"/>
    <w:rsid w:val="001A4C98"/>
    <w:rsid w:val="001A4FA8"/>
    <w:rsid w:val="001A50E8"/>
    <w:rsid w:val="001A54DD"/>
    <w:rsid w:val="001A5566"/>
    <w:rsid w:val="001A5662"/>
    <w:rsid w:val="001A56BA"/>
    <w:rsid w:val="001A571C"/>
    <w:rsid w:val="001A5790"/>
    <w:rsid w:val="001A583C"/>
    <w:rsid w:val="001A5877"/>
    <w:rsid w:val="001A58E7"/>
    <w:rsid w:val="001A5B51"/>
    <w:rsid w:val="001A5B5B"/>
    <w:rsid w:val="001A5C05"/>
    <w:rsid w:val="001A5C51"/>
    <w:rsid w:val="001A606B"/>
    <w:rsid w:val="001A60A2"/>
    <w:rsid w:val="001A60D3"/>
    <w:rsid w:val="001A61C0"/>
    <w:rsid w:val="001A61D8"/>
    <w:rsid w:val="001A632F"/>
    <w:rsid w:val="001A63FF"/>
    <w:rsid w:val="001A665F"/>
    <w:rsid w:val="001A66DD"/>
    <w:rsid w:val="001A684B"/>
    <w:rsid w:val="001A684D"/>
    <w:rsid w:val="001A69DA"/>
    <w:rsid w:val="001A69F9"/>
    <w:rsid w:val="001A6A08"/>
    <w:rsid w:val="001A6AA9"/>
    <w:rsid w:val="001A6AF4"/>
    <w:rsid w:val="001A6B6D"/>
    <w:rsid w:val="001A6BED"/>
    <w:rsid w:val="001A6BFC"/>
    <w:rsid w:val="001A6D30"/>
    <w:rsid w:val="001A6D61"/>
    <w:rsid w:val="001A6E0C"/>
    <w:rsid w:val="001A7073"/>
    <w:rsid w:val="001A715E"/>
    <w:rsid w:val="001A7182"/>
    <w:rsid w:val="001A71D0"/>
    <w:rsid w:val="001A72A1"/>
    <w:rsid w:val="001A72CC"/>
    <w:rsid w:val="001A737C"/>
    <w:rsid w:val="001A751A"/>
    <w:rsid w:val="001A755E"/>
    <w:rsid w:val="001A757F"/>
    <w:rsid w:val="001A7609"/>
    <w:rsid w:val="001A770E"/>
    <w:rsid w:val="001A77F2"/>
    <w:rsid w:val="001A7919"/>
    <w:rsid w:val="001A79C4"/>
    <w:rsid w:val="001A7A00"/>
    <w:rsid w:val="001A7ADD"/>
    <w:rsid w:val="001A7AED"/>
    <w:rsid w:val="001A7B07"/>
    <w:rsid w:val="001A7D1F"/>
    <w:rsid w:val="001A7DC0"/>
    <w:rsid w:val="001A7E15"/>
    <w:rsid w:val="001A7E48"/>
    <w:rsid w:val="001A7EAF"/>
    <w:rsid w:val="001B0194"/>
    <w:rsid w:val="001B0202"/>
    <w:rsid w:val="001B0242"/>
    <w:rsid w:val="001B02ED"/>
    <w:rsid w:val="001B03D9"/>
    <w:rsid w:val="001B0581"/>
    <w:rsid w:val="001B0692"/>
    <w:rsid w:val="001B06D8"/>
    <w:rsid w:val="001B073F"/>
    <w:rsid w:val="001B075D"/>
    <w:rsid w:val="001B0798"/>
    <w:rsid w:val="001B07BF"/>
    <w:rsid w:val="001B080F"/>
    <w:rsid w:val="001B08AE"/>
    <w:rsid w:val="001B092F"/>
    <w:rsid w:val="001B0A72"/>
    <w:rsid w:val="001B0B24"/>
    <w:rsid w:val="001B0C87"/>
    <w:rsid w:val="001B0DC8"/>
    <w:rsid w:val="001B0E73"/>
    <w:rsid w:val="001B0EA5"/>
    <w:rsid w:val="001B1005"/>
    <w:rsid w:val="001B102C"/>
    <w:rsid w:val="001B14E9"/>
    <w:rsid w:val="001B1561"/>
    <w:rsid w:val="001B158C"/>
    <w:rsid w:val="001B15D5"/>
    <w:rsid w:val="001B165B"/>
    <w:rsid w:val="001B17AA"/>
    <w:rsid w:val="001B1B99"/>
    <w:rsid w:val="001B1C75"/>
    <w:rsid w:val="001B1D98"/>
    <w:rsid w:val="001B1EDA"/>
    <w:rsid w:val="001B1EE1"/>
    <w:rsid w:val="001B1F56"/>
    <w:rsid w:val="001B201B"/>
    <w:rsid w:val="001B20F2"/>
    <w:rsid w:val="001B219A"/>
    <w:rsid w:val="001B2328"/>
    <w:rsid w:val="001B2428"/>
    <w:rsid w:val="001B24E6"/>
    <w:rsid w:val="001B2508"/>
    <w:rsid w:val="001B2580"/>
    <w:rsid w:val="001B25DA"/>
    <w:rsid w:val="001B279F"/>
    <w:rsid w:val="001B2844"/>
    <w:rsid w:val="001B292B"/>
    <w:rsid w:val="001B29FA"/>
    <w:rsid w:val="001B2A27"/>
    <w:rsid w:val="001B2AA6"/>
    <w:rsid w:val="001B2B6A"/>
    <w:rsid w:val="001B2BD1"/>
    <w:rsid w:val="001B2BED"/>
    <w:rsid w:val="001B2D15"/>
    <w:rsid w:val="001B2E8A"/>
    <w:rsid w:val="001B2EC1"/>
    <w:rsid w:val="001B2F05"/>
    <w:rsid w:val="001B2F85"/>
    <w:rsid w:val="001B2F87"/>
    <w:rsid w:val="001B3101"/>
    <w:rsid w:val="001B3251"/>
    <w:rsid w:val="001B3286"/>
    <w:rsid w:val="001B32BB"/>
    <w:rsid w:val="001B3313"/>
    <w:rsid w:val="001B3351"/>
    <w:rsid w:val="001B33E8"/>
    <w:rsid w:val="001B3683"/>
    <w:rsid w:val="001B3731"/>
    <w:rsid w:val="001B3748"/>
    <w:rsid w:val="001B37A3"/>
    <w:rsid w:val="001B37F8"/>
    <w:rsid w:val="001B38F9"/>
    <w:rsid w:val="001B38FB"/>
    <w:rsid w:val="001B3A44"/>
    <w:rsid w:val="001B3CAE"/>
    <w:rsid w:val="001B422E"/>
    <w:rsid w:val="001B423B"/>
    <w:rsid w:val="001B44C6"/>
    <w:rsid w:val="001B4584"/>
    <w:rsid w:val="001B4665"/>
    <w:rsid w:val="001B4838"/>
    <w:rsid w:val="001B4956"/>
    <w:rsid w:val="001B4B0C"/>
    <w:rsid w:val="001B4BD4"/>
    <w:rsid w:val="001B4CB0"/>
    <w:rsid w:val="001B4CB9"/>
    <w:rsid w:val="001B4CC5"/>
    <w:rsid w:val="001B4F2D"/>
    <w:rsid w:val="001B4FB4"/>
    <w:rsid w:val="001B4FDF"/>
    <w:rsid w:val="001B5249"/>
    <w:rsid w:val="001B5277"/>
    <w:rsid w:val="001B53DB"/>
    <w:rsid w:val="001B5556"/>
    <w:rsid w:val="001B5609"/>
    <w:rsid w:val="001B5743"/>
    <w:rsid w:val="001B57B6"/>
    <w:rsid w:val="001B5851"/>
    <w:rsid w:val="001B5B6F"/>
    <w:rsid w:val="001B5CA7"/>
    <w:rsid w:val="001B5DD5"/>
    <w:rsid w:val="001B5DD9"/>
    <w:rsid w:val="001B5DF0"/>
    <w:rsid w:val="001B609E"/>
    <w:rsid w:val="001B609F"/>
    <w:rsid w:val="001B61AC"/>
    <w:rsid w:val="001B62E0"/>
    <w:rsid w:val="001B6426"/>
    <w:rsid w:val="001B6481"/>
    <w:rsid w:val="001B6588"/>
    <w:rsid w:val="001B658E"/>
    <w:rsid w:val="001B65EA"/>
    <w:rsid w:val="001B6670"/>
    <w:rsid w:val="001B6AD2"/>
    <w:rsid w:val="001B6C0E"/>
    <w:rsid w:val="001B6C18"/>
    <w:rsid w:val="001B6C1E"/>
    <w:rsid w:val="001B6C63"/>
    <w:rsid w:val="001B6D49"/>
    <w:rsid w:val="001B6F6C"/>
    <w:rsid w:val="001B714B"/>
    <w:rsid w:val="001B72D9"/>
    <w:rsid w:val="001B75FA"/>
    <w:rsid w:val="001B7646"/>
    <w:rsid w:val="001B767F"/>
    <w:rsid w:val="001B7697"/>
    <w:rsid w:val="001B76A7"/>
    <w:rsid w:val="001B76E1"/>
    <w:rsid w:val="001B7790"/>
    <w:rsid w:val="001B77E2"/>
    <w:rsid w:val="001B787E"/>
    <w:rsid w:val="001B78FD"/>
    <w:rsid w:val="001B7ABD"/>
    <w:rsid w:val="001B7BAE"/>
    <w:rsid w:val="001B7BF1"/>
    <w:rsid w:val="001B7E41"/>
    <w:rsid w:val="001B7E7D"/>
    <w:rsid w:val="001C0007"/>
    <w:rsid w:val="001C00BF"/>
    <w:rsid w:val="001C025D"/>
    <w:rsid w:val="001C0605"/>
    <w:rsid w:val="001C0648"/>
    <w:rsid w:val="001C06B3"/>
    <w:rsid w:val="001C06E8"/>
    <w:rsid w:val="001C07CA"/>
    <w:rsid w:val="001C0826"/>
    <w:rsid w:val="001C0844"/>
    <w:rsid w:val="001C0A37"/>
    <w:rsid w:val="001C0AD9"/>
    <w:rsid w:val="001C0B65"/>
    <w:rsid w:val="001C0B6D"/>
    <w:rsid w:val="001C0BE6"/>
    <w:rsid w:val="001C0C1B"/>
    <w:rsid w:val="001C0E09"/>
    <w:rsid w:val="001C0E0A"/>
    <w:rsid w:val="001C0E1F"/>
    <w:rsid w:val="001C0F81"/>
    <w:rsid w:val="001C10F0"/>
    <w:rsid w:val="001C114C"/>
    <w:rsid w:val="001C1250"/>
    <w:rsid w:val="001C1328"/>
    <w:rsid w:val="001C154B"/>
    <w:rsid w:val="001C15DD"/>
    <w:rsid w:val="001C15DE"/>
    <w:rsid w:val="001C1605"/>
    <w:rsid w:val="001C165D"/>
    <w:rsid w:val="001C16DD"/>
    <w:rsid w:val="001C1712"/>
    <w:rsid w:val="001C171C"/>
    <w:rsid w:val="001C17D9"/>
    <w:rsid w:val="001C1A5C"/>
    <w:rsid w:val="001C1B3A"/>
    <w:rsid w:val="001C1B74"/>
    <w:rsid w:val="001C1B9F"/>
    <w:rsid w:val="001C1C26"/>
    <w:rsid w:val="001C1D6C"/>
    <w:rsid w:val="001C1E06"/>
    <w:rsid w:val="001C1E1F"/>
    <w:rsid w:val="001C1E83"/>
    <w:rsid w:val="001C1F42"/>
    <w:rsid w:val="001C1F4A"/>
    <w:rsid w:val="001C202E"/>
    <w:rsid w:val="001C20AC"/>
    <w:rsid w:val="001C20CE"/>
    <w:rsid w:val="001C21BE"/>
    <w:rsid w:val="001C21E8"/>
    <w:rsid w:val="001C2332"/>
    <w:rsid w:val="001C2419"/>
    <w:rsid w:val="001C25AD"/>
    <w:rsid w:val="001C269E"/>
    <w:rsid w:val="001C26F4"/>
    <w:rsid w:val="001C273C"/>
    <w:rsid w:val="001C275C"/>
    <w:rsid w:val="001C2768"/>
    <w:rsid w:val="001C2849"/>
    <w:rsid w:val="001C286B"/>
    <w:rsid w:val="001C287A"/>
    <w:rsid w:val="001C2904"/>
    <w:rsid w:val="001C2C90"/>
    <w:rsid w:val="001C2FC2"/>
    <w:rsid w:val="001C2FE3"/>
    <w:rsid w:val="001C3004"/>
    <w:rsid w:val="001C3056"/>
    <w:rsid w:val="001C3163"/>
    <w:rsid w:val="001C318F"/>
    <w:rsid w:val="001C3280"/>
    <w:rsid w:val="001C32C0"/>
    <w:rsid w:val="001C356B"/>
    <w:rsid w:val="001C35CA"/>
    <w:rsid w:val="001C35E4"/>
    <w:rsid w:val="001C367F"/>
    <w:rsid w:val="001C3764"/>
    <w:rsid w:val="001C380A"/>
    <w:rsid w:val="001C38C3"/>
    <w:rsid w:val="001C39CA"/>
    <w:rsid w:val="001C3A8D"/>
    <w:rsid w:val="001C3AB6"/>
    <w:rsid w:val="001C3B93"/>
    <w:rsid w:val="001C3CA8"/>
    <w:rsid w:val="001C3CFC"/>
    <w:rsid w:val="001C3F4C"/>
    <w:rsid w:val="001C40BF"/>
    <w:rsid w:val="001C4133"/>
    <w:rsid w:val="001C413F"/>
    <w:rsid w:val="001C417D"/>
    <w:rsid w:val="001C42C8"/>
    <w:rsid w:val="001C43F9"/>
    <w:rsid w:val="001C4499"/>
    <w:rsid w:val="001C44B0"/>
    <w:rsid w:val="001C4525"/>
    <w:rsid w:val="001C45C2"/>
    <w:rsid w:val="001C45C4"/>
    <w:rsid w:val="001C4659"/>
    <w:rsid w:val="001C468B"/>
    <w:rsid w:val="001C4691"/>
    <w:rsid w:val="001C4829"/>
    <w:rsid w:val="001C4949"/>
    <w:rsid w:val="001C4992"/>
    <w:rsid w:val="001C4ABF"/>
    <w:rsid w:val="001C4ACA"/>
    <w:rsid w:val="001C4D4D"/>
    <w:rsid w:val="001C4D92"/>
    <w:rsid w:val="001C4E47"/>
    <w:rsid w:val="001C509F"/>
    <w:rsid w:val="001C5145"/>
    <w:rsid w:val="001C51C3"/>
    <w:rsid w:val="001C52C3"/>
    <w:rsid w:val="001C5359"/>
    <w:rsid w:val="001C5437"/>
    <w:rsid w:val="001C58EF"/>
    <w:rsid w:val="001C5906"/>
    <w:rsid w:val="001C5919"/>
    <w:rsid w:val="001C598D"/>
    <w:rsid w:val="001C5ACD"/>
    <w:rsid w:val="001C5C7A"/>
    <w:rsid w:val="001C5CDE"/>
    <w:rsid w:val="001C5D58"/>
    <w:rsid w:val="001C5DA4"/>
    <w:rsid w:val="001C5DF4"/>
    <w:rsid w:val="001C6111"/>
    <w:rsid w:val="001C6184"/>
    <w:rsid w:val="001C62A2"/>
    <w:rsid w:val="001C632F"/>
    <w:rsid w:val="001C6525"/>
    <w:rsid w:val="001C672F"/>
    <w:rsid w:val="001C6772"/>
    <w:rsid w:val="001C678D"/>
    <w:rsid w:val="001C6813"/>
    <w:rsid w:val="001C6852"/>
    <w:rsid w:val="001C69E6"/>
    <w:rsid w:val="001C6AF6"/>
    <w:rsid w:val="001C6B33"/>
    <w:rsid w:val="001C709B"/>
    <w:rsid w:val="001C718C"/>
    <w:rsid w:val="001C73BE"/>
    <w:rsid w:val="001C7532"/>
    <w:rsid w:val="001C7539"/>
    <w:rsid w:val="001C7589"/>
    <w:rsid w:val="001C76B2"/>
    <w:rsid w:val="001C7787"/>
    <w:rsid w:val="001C7AF1"/>
    <w:rsid w:val="001C7C03"/>
    <w:rsid w:val="001C7C29"/>
    <w:rsid w:val="001C7C6A"/>
    <w:rsid w:val="001C7DB5"/>
    <w:rsid w:val="001C7DD3"/>
    <w:rsid w:val="001D0154"/>
    <w:rsid w:val="001D019B"/>
    <w:rsid w:val="001D01A8"/>
    <w:rsid w:val="001D02A4"/>
    <w:rsid w:val="001D031E"/>
    <w:rsid w:val="001D031F"/>
    <w:rsid w:val="001D0373"/>
    <w:rsid w:val="001D04F2"/>
    <w:rsid w:val="001D051C"/>
    <w:rsid w:val="001D058F"/>
    <w:rsid w:val="001D05DF"/>
    <w:rsid w:val="001D060D"/>
    <w:rsid w:val="001D0826"/>
    <w:rsid w:val="001D0835"/>
    <w:rsid w:val="001D0944"/>
    <w:rsid w:val="001D09B4"/>
    <w:rsid w:val="001D0AFE"/>
    <w:rsid w:val="001D0B01"/>
    <w:rsid w:val="001D0D36"/>
    <w:rsid w:val="001D0D60"/>
    <w:rsid w:val="001D0E04"/>
    <w:rsid w:val="001D0E37"/>
    <w:rsid w:val="001D0E4E"/>
    <w:rsid w:val="001D0EC0"/>
    <w:rsid w:val="001D0F3A"/>
    <w:rsid w:val="001D1000"/>
    <w:rsid w:val="001D109D"/>
    <w:rsid w:val="001D10FB"/>
    <w:rsid w:val="001D11EB"/>
    <w:rsid w:val="001D11FF"/>
    <w:rsid w:val="001D128D"/>
    <w:rsid w:val="001D13C4"/>
    <w:rsid w:val="001D13E9"/>
    <w:rsid w:val="001D144D"/>
    <w:rsid w:val="001D14D7"/>
    <w:rsid w:val="001D1559"/>
    <w:rsid w:val="001D1581"/>
    <w:rsid w:val="001D16D3"/>
    <w:rsid w:val="001D16DA"/>
    <w:rsid w:val="001D174B"/>
    <w:rsid w:val="001D177A"/>
    <w:rsid w:val="001D17BF"/>
    <w:rsid w:val="001D1820"/>
    <w:rsid w:val="001D18D4"/>
    <w:rsid w:val="001D18F3"/>
    <w:rsid w:val="001D19E5"/>
    <w:rsid w:val="001D1A4E"/>
    <w:rsid w:val="001D1BA1"/>
    <w:rsid w:val="001D1CB7"/>
    <w:rsid w:val="001D1E40"/>
    <w:rsid w:val="001D1E49"/>
    <w:rsid w:val="001D1F12"/>
    <w:rsid w:val="001D1F3E"/>
    <w:rsid w:val="001D1F7E"/>
    <w:rsid w:val="001D2038"/>
    <w:rsid w:val="001D2092"/>
    <w:rsid w:val="001D20B5"/>
    <w:rsid w:val="001D211B"/>
    <w:rsid w:val="001D21AC"/>
    <w:rsid w:val="001D2343"/>
    <w:rsid w:val="001D246B"/>
    <w:rsid w:val="001D2485"/>
    <w:rsid w:val="001D2735"/>
    <w:rsid w:val="001D27A7"/>
    <w:rsid w:val="001D28F0"/>
    <w:rsid w:val="001D2A1A"/>
    <w:rsid w:val="001D2A32"/>
    <w:rsid w:val="001D2A52"/>
    <w:rsid w:val="001D2AAB"/>
    <w:rsid w:val="001D2AE9"/>
    <w:rsid w:val="001D2AF6"/>
    <w:rsid w:val="001D2D9F"/>
    <w:rsid w:val="001D2DD3"/>
    <w:rsid w:val="001D2EE7"/>
    <w:rsid w:val="001D2FBE"/>
    <w:rsid w:val="001D309C"/>
    <w:rsid w:val="001D30B6"/>
    <w:rsid w:val="001D3245"/>
    <w:rsid w:val="001D32B5"/>
    <w:rsid w:val="001D32F9"/>
    <w:rsid w:val="001D345C"/>
    <w:rsid w:val="001D34B0"/>
    <w:rsid w:val="001D359B"/>
    <w:rsid w:val="001D3690"/>
    <w:rsid w:val="001D376A"/>
    <w:rsid w:val="001D3788"/>
    <w:rsid w:val="001D37D6"/>
    <w:rsid w:val="001D37E6"/>
    <w:rsid w:val="001D3826"/>
    <w:rsid w:val="001D382C"/>
    <w:rsid w:val="001D3834"/>
    <w:rsid w:val="001D392B"/>
    <w:rsid w:val="001D39C8"/>
    <w:rsid w:val="001D3A1D"/>
    <w:rsid w:val="001D3A9C"/>
    <w:rsid w:val="001D3CD7"/>
    <w:rsid w:val="001D3D69"/>
    <w:rsid w:val="001D3EF7"/>
    <w:rsid w:val="001D41B9"/>
    <w:rsid w:val="001D4201"/>
    <w:rsid w:val="001D43B1"/>
    <w:rsid w:val="001D4439"/>
    <w:rsid w:val="001D44F4"/>
    <w:rsid w:val="001D4501"/>
    <w:rsid w:val="001D451E"/>
    <w:rsid w:val="001D4528"/>
    <w:rsid w:val="001D471A"/>
    <w:rsid w:val="001D4727"/>
    <w:rsid w:val="001D4779"/>
    <w:rsid w:val="001D47BE"/>
    <w:rsid w:val="001D4843"/>
    <w:rsid w:val="001D485F"/>
    <w:rsid w:val="001D48B4"/>
    <w:rsid w:val="001D4ACC"/>
    <w:rsid w:val="001D4BB9"/>
    <w:rsid w:val="001D4BE2"/>
    <w:rsid w:val="001D4EC0"/>
    <w:rsid w:val="001D502D"/>
    <w:rsid w:val="001D509E"/>
    <w:rsid w:val="001D50B9"/>
    <w:rsid w:val="001D51A6"/>
    <w:rsid w:val="001D5220"/>
    <w:rsid w:val="001D5436"/>
    <w:rsid w:val="001D55F7"/>
    <w:rsid w:val="001D567F"/>
    <w:rsid w:val="001D5754"/>
    <w:rsid w:val="001D580B"/>
    <w:rsid w:val="001D5ACF"/>
    <w:rsid w:val="001D5AE3"/>
    <w:rsid w:val="001D5C72"/>
    <w:rsid w:val="001D5CBD"/>
    <w:rsid w:val="001D5D68"/>
    <w:rsid w:val="001D5E23"/>
    <w:rsid w:val="001D5ED7"/>
    <w:rsid w:val="001D5F77"/>
    <w:rsid w:val="001D5FA2"/>
    <w:rsid w:val="001D600E"/>
    <w:rsid w:val="001D60E1"/>
    <w:rsid w:val="001D620F"/>
    <w:rsid w:val="001D643D"/>
    <w:rsid w:val="001D662B"/>
    <w:rsid w:val="001D66AD"/>
    <w:rsid w:val="001D675C"/>
    <w:rsid w:val="001D675E"/>
    <w:rsid w:val="001D6815"/>
    <w:rsid w:val="001D6863"/>
    <w:rsid w:val="001D6890"/>
    <w:rsid w:val="001D6C4C"/>
    <w:rsid w:val="001D6C60"/>
    <w:rsid w:val="001D6E2B"/>
    <w:rsid w:val="001D6E4E"/>
    <w:rsid w:val="001D6E66"/>
    <w:rsid w:val="001D6EA6"/>
    <w:rsid w:val="001D6EB8"/>
    <w:rsid w:val="001D6F65"/>
    <w:rsid w:val="001D6FDF"/>
    <w:rsid w:val="001D7118"/>
    <w:rsid w:val="001D7262"/>
    <w:rsid w:val="001D726F"/>
    <w:rsid w:val="001D72B4"/>
    <w:rsid w:val="001D72DA"/>
    <w:rsid w:val="001D72DC"/>
    <w:rsid w:val="001D7322"/>
    <w:rsid w:val="001D7596"/>
    <w:rsid w:val="001D75C4"/>
    <w:rsid w:val="001D7623"/>
    <w:rsid w:val="001D77CD"/>
    <w:rsid w:val="001D7838"/>
    <w:rsid w:val="001D789B"/>
    <w:rsid w:val="001D78D2"/>
    <w:rsid w:val="001D7BD0"/>
    <w:rsid w:val="001D7E11"/>
    <w:rsid w:val="001D7F2C"/>
    <w:rsid w:val="001E005C"/>
    <w:rsid w:val="001E01C2"/>
    <w:rsid w:val="001E02AC"/>
    <w:rsid w:val="001E03C0"/>
    <w:rsid w:val="001E0481"/>
    <w:rsid w:val="001E0638"/>
    <w:rsid w:val="001E0645"/>
    <w:rsid w:val="001E0962"/>
    <w:rsid w:val="001E0A19"/>
    <w:rsid w:val="001E0B25"/>
    <w:rsid w:val="001E0F2C"/>
    <w:rsid w:val="001E10C5"/>
    <w:rsid w:val="001E1114"/>
    <w:rsid w:val="001E11E6"/>
    <w:rsid w:val="001E13BA"/>
    <w:rsid w:val="001E13F4"/>
    <w:rsid w:val="001E1432"/>
    <w:rsid w:val="001E157D"/>
    <w:rsid w:val="001E167A"/>
    <w:rsid w:val="001E17C3"/>
    <w:rsid w:val="001E17F9"/>
    <w:rsid w:val="001E1872"/>
    <w:rsid w:val="001E1AD5"/>
    <w:rsid w:val="001E1B78"/>
    <w:rsid w:val="001E1BFB"/>
    <w:rsid w:val="001E1C23"/>
    <w:rsid w:val="001E1C7A"/>
    <w:rsid w:val="001E1C80"/>
    <w:rsid w:val="001E1CBC"/>
    <w:rsid w:val="001E1DC4"/>
    <w:rsid w:val="001E1E11"/>
    <w:rsid w:val="001E1E26"/>
    <w:rsid w:val="001E1EF4"/>
    <w:rsid w:val="001E1F85"/>
    <w:rsid w:val="001E20EA"/>
    <w:rsid w:val="001E213B"/>
    <w:rsid w:val="001E216F"/>
    <w:rsid w:val="001E2204"/>
    <w:rsid w:val="001E23E1"/>
    <w:rsid w:val="001E247F"/>
    <w:rsid w:val="001E25A3"/>
    <w:rsid w:val="001E2605"/>
    <w:rsid w:val="001E26F6"/>
    <w:rsid w:val="001E2768"/>
    <w:rsid w:val="001E28E7"/>
    <w:rsid w:val="001E2905"/>
    <w:rsid w:val="001E295F"/>
    <w:rsid w:val="001E2A34"/>
    <w:rsid w:val="001E2BE8"/>
    <w:rsid w:val="001E2C9E"/>
    <w:rsid w:val="001E2D1C"/>
    <w:rsid w:val="001E3027"/>
    <w:rsid w:val="001E30D1"/>
    <w:rsid w:val="001E3115"/>
    <w:rsid w:val="001E3139"/>
    <w:rsid w:val="001E31B2"/>
    <w:rsid w:val="001E31E8"/>
    <w:rsid w:val="001E31ED"/>
    <w:rsid w:val="001E32A3"/>
    <w:rsid w:val="001E33CD"/>
    <w:rsid w:val="001E340F"/>
    <w:rsid w:val="001E34D8"/>
    <w:rsid w:val="001E3505"/>
    <w:rsid w:val="001E3525"/>
    <w:rsid w:val="001E363D"/>
    <w:rsid w:val="001E3821"/>
    <w:rsid w:val="001E3879"/>
    <w:rsid w:val="001E38E7"/>
    <w:rsid w:val="001E3A71"/>
    <w:rsid w:val="001E3B85"/>
    <w:rsid w:val="001E3BEE"/>
    <w:rsid w:val="001E3C96"/>
    <w:rsid w:val="001E3DD6"/>
    <w:rsid w:val="001E4088"/>
    <w:rsid w:val="001E40E9"/>
    <w:rsid w:val="001E42E4"/>
    <w:rsid w:val="001E42F3"/>
    <w:rsid w:val="001E43B8"/>
    <w:rsid w:val="001E4425"/>
    <w:rsid w:val="001E44F5"/>
    <w:rsid w:val="001E4563"/>
    <w:rsid w:val="001E458A"/>
    <w:rsid w:val="001E4598"/>
    <w:rsid w:val="001E4660"/>
    <w:rsid w:val="001E46D6"/>
    <w:rsid w:val="001E46E5"/>
    <w:rsid w:val="001E47D1"/>
    <w:rsid w:val="001E49F4"/>
    <w:rsid w:val="001E4A42"/>
    <w:rsid w:val="001E4A82"/>
    <w:rsid w:val="001E4AF9"/>
    <w:rsid w:val="001E4AFC"/>
    <w:rsid w:val="001E4D50"/>
    <w:rsid w:val="001E4D66"/>
    <w:rsid w:val="001E5058"/>
    <w:rsid w:val="001E528A"/>
    <w:rsid w:val="001E53B2"/>
    <w:rsid w:val="001E55B1"/>
    <w:rsid w:val="001E5686"/>
    <w:rsid w:val="001E56B6"/>
    <w:rsid w:val="001E56D0"/>
    <w:rsid w:val="001E5763"/>
    <w:rsid w:val="001E576C"/>
    <w:rsid w:val="001E586F"/>
    <w:rsid w:val="001E5B0E"/>
    <w:rsid w:val="001E5BE2"/>
    <w:rsid w:val="001E5BEC"/>
    <w:rsid w:val="001E5C13"/>
    <w:rsid w:val="001E5D1C"/>
    <w:rsid w:val="001E5E2A"/>
    <w:rsid w:val="001E5E41"/>
    <w:rsid w:val="001E5ECF"/>
    <w:rsid w:val="001E5F54"/>
    <w:rsid w:val="001E6180"/>
    <w:rsid w:val="001E6183"/>
    <w:rsid w:val="001E6253"/>
    <w:rsid w:val="001E640E"/>
    <w:rsid w:val="001E6484"/>
    <w:rsid w:val="001E64A8"/>
    <w:rsid w:val="001E657A"/>
    <w:rsid w:val="001E65C9"/>
    <w:rsid w:val="001E6653"/>
    <w:rsid w:val="001E66CC"/>
    <w:rsid w:val="001E67BB"/>
    <w:rsid w:val="001E6828"/>
    <w:rsid w:val="001E6864"/>
    <w:rsid w:val="001E6868"/>
    <w:rsid w:val="001E694A"/>
    <w:rsid w:val="001E6A58"/>
    <w:rsid w:val="001E6AA7"/>
    <w:rsid w:val="001E6AEC"/>
    <w:rsid w:val="001E6BA9"/>
    <w:rsid w:val="001E6BC3"/>
    <w:rsid w:val="001E6C07"/>
    <w:rsid w:val="001E6C17"/>
    <w:rsid w:val="001E6C85"/>
    <w:rsid w:val="001E6D14"/>
    <w:rsid w:val="001E6D5A"/>
    <w:rsid w:val="001E6E46"/>
    <w:rsid w:val="001E6E79"/>
    <w:rsid w:val="001E70E9"/>
    <w:rsid w:val="001E7177"/>
    <w:rsid w:val="001E71A4"/>
    <w:rsid w:val="001E71ED"/>
    <w:rsid w:val="001E74AF"/>
    <w:rsid w:val="001E758F"/>
    <w:rsid w:val="001E75C5"/>
    <w:rsid w:val="001E764B"/>
    <w:rsid w:val="001E77D1"/>
    <w:rsid w:val="001E77E1"/>
    <w:rsid w:val="001E789C"/>
    <w:rsid w:val="001E7A93"/>
    <w:rsid w:val="001E7AB5"/>
    <w:rsid w:val="001E7BBE"/>
    <w:rsid w:val="001E7BE7"/>
    <w:rsid w:val="001E7C30"/>
    <w:rsid w:val="001E7C79"/>
    <w:rsid w:val="001E7DCE"/>
    <w:rsid w:val="001E7E8D"/>
    <w:rsid w:val="001E7F51"/>
    <w:rsid w:val="001E7F73"/>
    <w:rsid w:val="001F014D"/>
    <w:rsid w:val="001F01A4"/>
    <w:rsid w:val="001F0229"/>
    <w:rsid w:val="001F0394"/>
    <w:rsid w:val="001F03FC"/>
    <w:rsid w:val="001F0604"/>
    <w:rsid w:val="001F063D"/>
    <w:rsid w:val="001F0989"/>
    <w:rsid w:val="001F09A6"/>
    <w:rsid w:val="001F0A04"/>
    <w:rsid w:val="001F0AE4"/>
    <w:rsid w:val="001F0B43"/>
    <w:rsid w:val="001F0B80"/>
    <w:rsid w:val="001F0FE6"/>
    <w:rsid w:val="001F0FEF"/>
    <w:rsid w:val="001F1037"/>
    <w:rsid w:val="001F1075"/>
    <w:rsid w:val="001F1177"/>
    <w:rsid w:val="001F11E2"/>
    <w:rsid w:val="001F1303"/>
    <w:rsid w:val="001F1357"/>
    <w:rsid w:val="001F13A7"/>
    <w:rsid w:val="001F1481"/>
    <w:rsid w:val="001F14C2"/>
    <w:rsid w:val="001F15B5"/>
    <w:rsid w:val="001F15D1"/>
    <w:rsid w:val="001F1725"/>
    <w:rsid w:val="001F19A7"/>
    <w:rsid w:val="001F1A14"/>
    <w:rsid w:val="001F1A55"/>
    <w:rsid w:val="001F1A56"/>
    <w:rsid w:val="001F1B03"/>
    <w:rsid w:val="001F1BBA"/>
    <w:rsid w:val="001F1E3B"/>
    <w:rsid w:val="001F1EE2"/>
    <w:rsid w:val="001F1F06"/>
    <w:rsid w:val="001F1F1E"/>
    <w:rsid w:val="001F1F3F"/>
    <w:rsid w:val="001F208E"/>
    <w:rsid w:val="001F20F7"/>
    <w:rsid w:val="001F2218"/>
    <w:rsid w:val="001F2252"/>
    <w:rsid w:val="001F2273"/>
    <w:rsid w:val="001F22B0"/>
    <w:rsid w:val="001F22C2"/>
    <w:rsid w:val="001F22CF"/>
    <w:rsid w:val="001F22D8"/>
    <w:rsid w:val="001F230B"/>
    <w:rsid w:val="001F25C2"/>
    <w:rsid w:val="001F2629"/>
    <w:rsid w:val="001F2742"/>
    <w:rsid w:val="001F2778"/>
    <w:rsid w:val="001F27A8"/>
    <w:rsid w:val="001F27B8"/>
    <w:rsid w:val="001F2846"/>
    <w:rsid w:val="001F2896"/>
    <w:rsid w:val="001F2967"/>
    <w:rsid w:val="001F2996"/>
    <w:rsid w:val="001F2B59"/>
    <w:rsid w:val="001F2D31"/>
    <w:rsid w:val="001F2DE5"/>
    <w:rsid w:val="001F2E3F"/>
    <w:rsid w:val="001F2FC4"/>
    <w:rsid w:val="001F3025"/>
    <w:rsid w:val="001F316B"/>
    <w:rsid w:val="001F3321"/>
    <w:rsid w:val="001F33FE"/>
    <w:rsid w:val="001F341F"/>
    <w:rsid w:val="001F34F6"/>
    <w:rsid w:val="001F354A"/>
    <w:rsid w:val="001F35D2"/>
    <w:rsid w:val="001F3607"/>
    <w:rsid w:val="001F3626"/>
    <w:rsid w:val="001F364E"/>
    <w:rsid w:val="001F3656"/>
    <w:rsid w:val="001F3671"/>
    <w:rsid w:val="001F3680"/>
    <w:rsid w:val="001F383A"/>
    <w:rsid w:val="001F387A"/>
    <w:rsid w:val="001F390A"/>
    <w:rsid w:val="001F39E9"/>
    <w:rsid w:val="001F3B03"/>
    <w:rsid w:val="001F3B07"/>
    <w:rsid w:val="001F3BE3"/>
    <w:rsid w:val="001F3D2B"/>
    <w:rsid w:val="001F3E91"/>
    <w:rsid w:val="001F3F06"/>
    <w:rsid w:val="001F3FB6"/>
    <w:rsid w:val="001F408B"/>
    <w:rsid w:val="001F4258"/>
    <w:rsid w:val="001F42B3"/>
    <w:rsid w:val="001F43C8"/>
    <w:rsid w:val="001F462A"/>
    <w:rsid w:val="001F4633"/>
    <w:rsid w:val="001F4690"/>
    <w:rsid w:val="001F46E7"/>
    <w:rsid w:val="001F4845"/>
    <w:rsid w:val="001F486F"/>
    <w:rsid w:val="001F489A"/>
    <w:rsid w:val="001F4997"/>
    <w:rsid w:val="001F49F2"/>
    <w:rsid w:val="001F4A60"/>
    <w:rsid w:val="001F4A74"/>
    <w:rsid w:val="001F4C63"/>
    <w:rsid w:val="001F4F23"/>
    <w:rsid w:val="001F4F84"/>
    <w:rsid w:val="001F500B"/>
    <w:rsid w:val="001F5040"/>
    <w:rsid w:val="001F5077"/>
    <w:rsid w:val="001F50CE"/>
    <w:rsid w:val="001F5160"/>
    <w:rsid w:val="001F51D5"/>
    <w:rsid w:val="001F53BA"/>
    <w:rsid w:val="001F53C1"/>
    <w:rsid w:val="001F53D4"/>
    <w:rsid w:val="001F54EF"/>
    <w:rsid w:val="001F565C"/>
    <w:rsid w:val="001F56F6"/>
    <w:rsid w:val="001F57F4"/>
    <w:rsid w:val="001F5836"/>
    <w:rsid w:val="001F5A22"/>
    <w:rsid w:val="001F5A44"/>
    <w:rsid w:val="001F5BDD"/>
    <w:rsid w:val="001F5C17"/>
    <w:rsid w:val="001F5C2F"/>
    <w:rsid w:val="001F5C33"/>
    <w:rsid w:val="001F5C8F"/>
    <w:rsid w:val="001F5D33"/>
    <w:rsid w:val="001F5E62"/>
    <w:rsid w:val="001F5E89"/>
    <w:rsid w:val="001F5EDA"/>
    <w:rsid w:val="001F5F45"/>
    <w:rsid w:val="001F6177"/>
    <w:rsid w:val="001F63A1"/>
    <w:rsid w:val="001F67D5"/>
    <w:rsid w:val="001F67E5"/>
    <w:rsid w:val="001F67F3"/>
    <w:rsid w:val="001F689D"/>
    <w:rsid w:val="001F69CC"/>
    <w:rsid w:val="001F6A10"/>
    <w:rsid w:val="001F6A8C"/>
    <w:rsid w:val="001F6B97"/>
    <w:rsid w:val="001F6C04"/>
    <w:rsid w:val="001F6CAA"/>
    <w:rsid w:val="001F6EC2"/>
    <w:rsid w:val="001F6F63"/>
    <w:rsid w:val="001F6F7D"/>
    <w:rsid w:val="001F70A2"/>
    <w:rsid w:val="001F70FF"/>
    <w:rsid w:val="001F717C"/>
    <w:rsid w:val="001F71E2"/>
    <w:rsid w:val="001F7262"/>
    <w:rsid w:val="001F72B2"/>
    <w:rsid w:val="001F72BB"/>
    <w:rsid w:val="001F72E0"/>
    <w:rsid w:val="001F73CE"/>
    <w:rsid w:val="001F7692"/>
    <w:rsid w:val="001F7717"/>
    <w:rsid w:val="001F7954"/>
    <w:rsid w:val="001F79EF"/>
    <w:rsid w:val="001F7A1E"/>
    <w:rsid w:val="001F7A51"/>
    <w:rsid w:val="001F7A74"/>
    <w:rsid w:val="001F7B8C"/>
    <w:rsid w:val="001F7B99"/>
    <w:rsid w:val="001F7BF0"/>
    <w:rsid w:val="001F7C72"/>
    <w:rsid w:val="001F7D0C"/>
    <w:rsid w:val="001F7D7B"/>
    <w:rsid w:val="001F7DC2"/>
    <w:rsid w:val="001F7E35"/>
    <w:rsid w:val="001F7EC6"/>
    <w:rsid w:val="001F7EDF"/>
    <w:rsid w:val="001F7FC0"/>
    <w:rsid w:val="00200277"/>
    <w:rsid w:val="0020033A"/>
    <w:rsid w:val="0020044C"/>
    <w:rsid w:val="0020048E"/>
    <w:rsid w:val="00200529"/>
    <w:rsid w:val="00200630"/>
    <w:rsid w:val="00200715"/>
    <w:rsid w:val="0020081E"/>
    <w:rsid w:val="00200C68"/>
    <w:rsid w:val="00200CBF"/>
    <w:rsid w:val="00200D41"/>
    <w:rsid w:val="00200DA6"/>
    <w:rsid w:val="00200EC4"/>
    <w:rsid w:val="00201198"/>
    <w:rsid w:val="0020133C"/>
    <w:rsid w:val="002013F5"/>
    <w:rsid w:val="00201418"/>
    <w:rsid w:val="00201430"/>
    <w:rsid w:val="00201439"/>
    <w:rsid w:val="002015A5"/>
    <w:rsid w:val="002015C9"/>
    <w:rsid w:val="00201678"/>
    <w:rsid w:val="002016F5"/>
    <w:rsid w:val="002018E3"/>
    <w:rsid w:val="002018F2"/>
    <w:rsid w:val="00201A15"/>
    <w:rsid w:val="00201A56"/>
    <w:rsid w:val="00201A88"/>
    <w:rsid w:val="00201B4C"/>
    <w:rsid w:val="00201B7E"/>
    <w:rsid w:val="00201BDB"/>
    <w:rsid w:val="00201ED3"/>
    <w:rsid w:val="002020DC"/>
    <w:rsid w:val="002021A9"/>
    <w:rsid w:val="002021C5"/>
    <w:rsid w:val="0020225C"/>
    <w:rsid w:val="002022A7"/>
    <w:rsid w:val="0020239F"/>
    <w:rsid w:val="002023A0"/>
    <w:rsid w:val="002023C4"/>
    <w:rsid w:val="00202526"/>
    <w:rsid w:val="0020253D"/>
    <w:rsid w:val="00202563"/>
    <w:rsid w:val="002028FB"/>
    <w:rsid w:val="0020296F"/>
    <w:rsid w:val="00202DEE"/>
    <w:rsid w:val="00202E5E"/>
    <w:rsid w:val="00202FDB"/>
    <w:rsid w:val="00202FF2"/>
    <w:rsid w:val="00203037"/>
    <w:rsid w:val="0020304A"/>
    <w:rsid w:val="00203353"/>
    <w:rsid w:val="002033AE"/>
    <w:rsid w:val="002033B1"/>
    <w:rsid w:val="00203505"/>
    <w:rsid w:val="00203548"/>
    <w:rsid w:val="0020361B"/>
    <w:rsid w:val="00203639"/>
    <w:rsid w:val="00203760"/>
    <w:rsid w:val="00203790"/>
    <w:rsid w:val="002037B2"/>
    <w:rsid w:val="0020387B"/>
    <w:rsid w:val="00203974"/>
    <w:rsid w:val="0020398A"/>
    <w:rsid w:val="002039BD"/>
    <w:rsid w:val="002039F6"/>
    <w:rsid w:val="00203BDF"/>
    <w:rsid w:val="00203CB5"/>
    <w:rsid w:val="00203CF9"/>
    <w:rsid w:val="00203E81"/>
    <w:rsid w:val="00203E88"/>
    <w:rsid w:val="00203E8E"/>
    <w:rsid w:val="00203F10"/>
    <w:rsid w:val="00203FD7"/>
    <w:rsid w:val="00203FEF"/>
    <w:rsid w:val="002041EB"/>
    <w:rsid w:val="002043CB"/>
    <w:rsid w:val="002043D8"/>
    <w:rsid w:val="0020448B"/>
    <w:rsid w:val="00204494"/>
    <w:rsid w:val="002044F0"/>
    <w:rsid w:val="0020460A"/>
    <w:rsid w:val="002046CC"/>
    <w:rsid w:val="002047D7"/>
    <w:rsid w:val="00204841"/>
    <w:rsid w:val="00204892"/>
    <w:rsid w:val="00204963"/>
    <w:rsid w:val="002049EA"/>
    <w:rsid w:val="00204A1B"/>
    <w:rsid w:val="00204AF9"/>
    <w:rsid w:val="00204B1E"/>
    <w:rsid w:val="00204C2C"/>
    <w:rsid w:val="00204CEF"/>
    <w:rsid w:val="00204D3F"/>
    <w:rsid w:val="00204D6D"/>
    <w:rsid w:val="00204D8F"/>
    <w:rsid w:val="00204DC9"/>
    <w:rsid w:val="00204DEC"/>
    <w:rsid w:val="00204E36"/>
    <w:rsid w:val="0020516F"/>
    <w:rsid w:val="00205195"/>
    <w:rsid w:val="00205204"/>
    <w:rsid w:val="002053CB"/>
    <w:rsid w:val="0020549D"/>
    <w:rsid w:val="00205510"/>
    <w:rsid w:val="0020559E"/>
    <w:rsid w:val="0020564C"/>
    <w:rsid w:val="00205959"/>
    <w:rsid w:val="00205A92"/>
    <w:rsid w:val="00205AAE"/>
    <w:rsid w:val="00205B6C"/>
    <w:rsid w:val="00205C58"/>
    <w:rsid w:val="00205CA5"/>
    <w:rsid w:val="00205CB8"/>
    <w:rsid w:val="00205D19"/>
    <w:rsid w:val="00205D33"/>
    <w:rsid w:val="00205DE5"/>
    <w:rsid w:val="00205E36"/>
    <w:rsid w:val="00205E4F"/>
    <w:rsid w:val="002062E0"/>
    <w:rsid w:val="00206325"/>
    <w:rsid w:val="00206353"/>
    <w:rsid w:val="002063CE"/>
    <w:rsid w:val="00206631"/>
    <w:rsid w:val="002068B6"/>
    <w:rsid w:val="00206D31"/>
    <w:rsid w:val="00206D68"/>
    <w:rsid w:val="00206DD9"/>
    <w:rsid w:val="00206F74"/>
    <w:rsid w:val="00206FB1"/>
    <w:rsid w:val="00206FDD"/>
    <w:rsid w:val="00207061"/>
    <w:rsid w:val="002071B1"/>
    <w:rsid w:val="002072D8"/>
    <w:rsid w:val="002072E7"/>
    <w:rsid w:val="002073D9"/>
    <w:rsid w:val="0020748E"/>
    <w:rsid w:val="00207586"/>
    <w:rsid w:val="002076C8"/>
    <w:rsid w:val="00207744"/>
    <w:rsid w:val="00207BD6"/>
    <w:rsid w:val="00207CBA"/>
    <w:rsid w:val="00207E8C"/>
    <w:rsid w:val="00207EAC"/>
    <w:rsid w:val="00207FEB"/>
    <w:rsid w:val="00210036"/>
    <w:rsid w:val="00210040"/>
    <w:rsid w:val="002100C4"/>
    <w:rsid w:val="002100C6"/>
    <w:rsid w:val="00210171"/>
    <w:rsid w:val="00210413"/>
    <w:rsid w:val="00210495"/>
    <w:rsid w:val="002104C4"/>
    <w:rsid w:val="00210501"/>
    <w:rsid w:val="002105AA"/>
    <w:rsid w:val="00210838"/>
    <w:rsid w:val="00210964"/>
    <w:rsid w:val="00210C5B"/>
    <w:rsid w:val="00210D8F"/>
    <w:rsid w:val="00210E08"/>
    <w:rsid w:val="00210EC6"/>
    <w:rsid w:val="00210EED"/>
    <w:rsid w:val="00210F54"/>
    <w:rsid w:val="00210F6D"/>
    <w:rsid w:val="002110D6"/>
    <w:rsid w:val="002110D9"/>
    <w:rsid w:val="0021112E"/>
    <w:rsid w:val="002111E3"/>
    <w:rsid w:val="002112A1"/>
    <w:rsid w:val="00211410"/>
    <w:rsid w:val="0021164B"/>
    <w:rsid w:val="002116B1"/>
    <w:rsid w:val="00211763"/>
    <w:rsid w:val="0021177D"/>
    <w:rsid w:val="002118A0"/>
    <w:rsid w:val="00211945"/>
    <w:rsid w:val="00211BBB"/>
    <w:rsid w:val="00211BFF"/>
    <w:rsid w:val="00211C10"/>
    <w:rsid w:val="00211C5C"/>
    <w:rsid w:val="00211D37"/>
    <w:rsid w:val="00211DF2"/>
    <w:rsid w:val="00211E25"/>
    <w:rsid w:val="00211E7B"/>
    <w:rsid w:val="00211F3A"/>
    <w:rsid w:val="00211F51"/>
    <w:rsid w:val="00211F87"/>
    <w:rsid w:val="00211F8E"/>
    <w:rsid w:val="00211FBA"/>
    <w:rsid w:val="00211FC9"/>
    <w:rsid w:val="00212012"/>
    <w:rsid w:val="00212611"/>
    <w:rsid w:val="0021264F"/>
    <w:rsid w:val="002126C6"/>
    <w:rsid w:val="0021274E"/>
    <w:rsid w:val="00212856"/>
    <w:rsid w:val="002128FF"/>
    <w:rsid w:val="002129A9"/>
    <w:rsid w:val="00212A12"/>
    <w:rsid w:val="00212AC7"/>
    <w:rsid w:val="00212B08"/>
    <w:rsid w:val="00212B36"/>
    <w:rsid w:val="00212C3D"/>
    <w:rsid w:val="00212CE1"/>
    <w:rsid w:val="00212EC4"/>
    <w:rsid w:val="00212ED3"/>
    <w:rsid w:val="00213019"/>
    <w:rsid w:val="002131C8"/>
    <w:rsid w:val="002131DC"/>
    <w:rsid w:val="002132B5"/>
    <w:rsid w:val="00213468"/>
    <w:rsid w:val="002134F0"/>
    <w:rsid w:val="0021350E"/>
    <w:rsid w:val="0021359D"/>
    <w:rsid w:val="00213666"/>
    <w:rsid w:val="0021366C"/>
    <w:rsid w:val="00213692"/>
    <w:rsid w:val="002138F6"/>
    <w:rsid w:val="0021397E"/>
    <w:rsid w:val="00213A79"/>
    <w:rsid w:val="00213C14"/>
    <w:rsid w:val="00213C49"/>
    <w:rsid w:val="00213D2D"/>
    <w:rsid w:val="00213E9B"/>
    <w:rsid w:val="00213FD0"/>
    <w:rsid w:val="00214033"/>
    <w:rsid w:val="0021411E"/>
    <w:rsid w:val="002141AF"/>
    <w:rsid w:val="002142FC"/>
    <w:rsid w:val="002142FE"/>
    <w:rsid w:val="00214377"/>
    <w:rsid w:val="002143C0"/>
    <w:rsid w:val="002143DE"/>
    <w:rsid w:val="002143E5"/>
    <w:rsid w:val="002146AA"/>
    <w:rsid w:val="00214856"/>
    <w:rsid w:val="00214919"/>
    <w:rsid w:val="002149B2"/>
    <w:rsid w:val="002149F6"/>
    <w:rsid w:val="00214A46"/>
    <w:rsid w:val="00214ACD"/>
    <w:rsid w:val="00214B28"/>
    <w:rsid w:val="00214B52"/>
    <w:rsid w:val="00214BBC"/>
    <w:rsid w:val="00214BDC"/>
    <w:rsid w:val="00214C43"/>
    <w:rsid w:val="00214CBF"/>
    <w:rsid w:val="00214CDD"/>
    <w:rsid w:val="00214E8A"/>
    <w:rsid w:val="00214F86"/>
    <w:rsid w:val="00214F9F"/>
    <w:rsid w:val="00215416"/>
    <w:rsid w:val="00215455"/>
    <w:rsid w:val="002154D0"/>
    <w:rsid w:val="002155BB"/>
    <w:rsid w:val="002155CD"/>
    <w:rsid w:val="00215607"/>
    <w:rsid w:val="002157FC"/>
    <w:rsid w:val="00215864"/>
    <w:rsid w:val="00215887"/>
    <w:rsid w:val="002158E2"/>
    <w:rsid w:val="002158FA"/>
    <w:rsid w:val="00215BBD"/>
    <w:rsid w:val="00215BCF"/>
    <w:rsid w:val="00215CAE"/>
    <w:rsid w:val="00215DF3"/>
    <w:rsid w:val="00216036"/>
    <w:rsid w:val="0021609A"/>
    <w:rsid w:val="00216300"/>
    <w:rsid w:val="002163F7"/>
    <w:rsid w:val="00216433"/>
    <w:rsid w:val="00216437"/>
    <w:rsid w:val="002165F9"/>
    <w:rsid w:val="00216677"/>
    <w:rsid w:val="00216693"/>
    <w:rsid w:val="002166B1"/>
    <w:rsid w:val="002166C8"/>
    <w:rsid w:val="002166E5"/>
    <w:rsid w:val="0021673E"/>
    <w:rsid w:val="002168F4"/>
    <w:rsid w:val="00216997"/>
    <w:rsid w:val="00216A7E"/>
    <w:rsid w:val="00216B3F"/>
    <w:rsid w:val="00216BA8"/>
    <w:rsid w:val="00216C04"/>
    <w:rsid w:val="00216C5C"/>
    <w:rsid w:val="00216CAC"/>
    <w:rsid w:val="00216D87"/>
    <w:rsid w:val="00216E49"/>
    <w:rsid w:val="00216E61"/>
    <w:rsid w:val="00216F51"/>
    <w:rsid w:val="002170CB"/>
    <w:rsid w:val="00217108"/>
    <w:rsid w:val="00217125"/>
    <w:rsid w:val="002171D1"/>
    <w:rsid w:val="002173AD"/>
    <w:rsid w:val="0021746A"/>
    <w:rsid w:val="00217613"/>
    <w:rsid w:val="00217735"/>
    <w:rsid w:val="0021774F"/>
    <w:rsid w:val="002177FD"/>
    <w:rsid w:val="002178D8"/>
    <w:rsid w:val="002178DB"/>
    <w:rsid w:val="002179D1"/>
    <w:rsid w:val="00217A64"/>
    <w:rsid w:val="00217AB4"/>
    <w:rsid w:val="00217B66"/>
    <w:rsid w:val="00217BD4"/>
    <w:rsid w:val="00217C0A"/>
    <w:rsid w:val="00217CE1"/>
    <w:rsid w:val="00217D01"/>
    <w:rsid w:val="00217DFA"/>
    <w:rsid w:val="00217E71"/>
    <w:rsid w:val="00217E98"/>
    <w:rsid w:val="00217EBF"/>
    <w:rsid w:val="0022007B"/>
    <w:rsid w:val="002200E3"/>
    <w:rsid w:val="0022015B"/>
    <w:rsid w:val="00220380"/>
    <w:rsid w:val="00220626"/>
    <w:rsid w:val="00220642"/>
    <w:rsid w:val="0022084E"/>
    <w:rsid w:val="00220909"/>
    <w:rsid w:val="00220917"/>
    <w:rsid w:val="00220A8D"/>
    <w:rsid w:val="00220DA6"/>
    <w:rsid w:val="00220DD2"/>
    <w:rsid w:val="00220E6C"/>
    <w:rsid w:val="00220EFA"/>
    <w:rsid w:val="00220F4D"/>
    <w:rsid w:val="0022104E"/>
    <w:rsid w:val="00221282"/>
    <w:rsid w:val="00221321"/>
    <w:rsid w:val="0022147B"/>
    <w:rsid w:val="002215FD"/>
    <w:rsid w:val="00221678"/>
    <w:rsid w:val="002217BC"/>
    <w:rsid w:val="002218CF"/>
    <w:rsid w:val="002218DA"/>
    <w:rsid w:val="00221A35"/>
    <w:rsid w:val="00221A84"/>
    <w:rsid w:val="00221AE7"/>
    <w:rsid w:val="00221D2E"/>
    <w:rsid w:val="00221FDB"/>
    <w:rsid w:val="00222007"/>
    <w:rsid w:val="002220ED"/>
    <w:rsid w:val="00222173"/>
    <w:rsid w:val="00222281"/>
    <w:rsid w:val="002222EB"/>
    <w:rsid w:val="0022239D"/>
    <w:rsid w:val="0022240B"/>
    <w:rsid w:val="00222417"/>
    <w:rsid w:val="002224AD"/>
    <w:rsid w:val="00222538"/>
    <w:rsid w:val="00222583"/>
    <w:rsid w:val="002225FD"/>
    <w:rsid w:val="00222761"/>
    <w:rsid w:val="0022276A"/>
    <w:rsid w:val="002227EA"/>
    <w:rsid w:val="002227F0"/>
    <w:rsid w:val="0022281E"/>
    <w:rsid w:val="00222867"/>
    <w:rsid w:val="0022286A"/>
    <w:rsid w:val="00222969"/>
    <w:rsid w:val="00222AB9"/>
    <w:rsid w:val="00222C92"/>
    <w:rsid w:val="00222CAB"/>
    <w:rsid w:val="00222CBD"/>
    <w:rsid w:val="00222D1C"/>
    <w:rsid w:val="00222D65"/>
    <w:rsid w:val="00222D6B"/>
    <w:rsid w:val="00222DEF"/>
    <w:rsid w:val="00222EA5"/>
    <w:rsid w:val="00222ED8"/>
    <w:rsid w:val="00222F51"/>
    <w:rsid w:val="00222F77"/>
    <w:rsid w:val="0022301E"/>
    <w:rsid w:val="00223258"/>
    <w:rsid w:val="002233B3"/>
    <w:rsid w:val="0022353E"/>
    <w:rsid w:val="00223556"/>
    <w:rsid w:val="00223576"/>
    <w:rsid w:val="0022359A"/>
    <w:rsid w:val="002235B8"/>
    <w:rsid w:val="00223612"/>
    <w:rsid w:val="00223732"/>
    <w:rsid w:val="00223773"/>
    <w:rsid w:val="002239FD"/>
    <w:rsid w:val="00223B2F"/>
    <w:rsid w:val="00223BC2"/>
    <w:rsid w:val="00223CD7"/>
    <w:rsid w:val="00223D8B"/>
    <w:rsid w:val="00223E9D"/>
    <w:rsid w:val="00223EC8"/>
    <w:rsid w:val="00223FCE"/>
    <w:rsid w:val="002240B3"/>
    <w:rsid w:val="00224252"/>
    <w:rsid w:val="002243B6"/>
    <w:rsid w:val="0022457E"/>
    <w:rsid w:val="002245DA"/>
    <w:rsid w:val="002245E0"/>
    <w:rsid w:val="00224600"/>
    <w:rsid w:val="00224687"/>
    <w:rsid w:val="00224751"/>
    <w:rsid w:val="0022475B"/>
    <w:rsid w:val="002247F9"/>
    <w:rsid w:val="00224844"/>
    <w:rsid w:val="00224857"/>
    <w:rsid w:val="0022487A"/>
    <w:rsid w:val="0022498E"/>
    <w:rsid w:val="00224A8C"/>
    <w:rsid w:val="00224C43"/>
    <w:rsid w:val="00224DD6"/>
    <w:rsid w:val="00224EED"/>
    <w:rsid w:val="00224F28"/>
    <w:rsid w:val="0022511F"/>
    <w:rsid w:val="002251CF"/>
    <w:rsid w:val="002252DD"/>
    <w:rsid w:val="0022543E"/>
    <w:rsid w:val="002255F2"/>
    <w:rsid w:val="00225618"/>
    <w:rsid w:val="0022578F"/>
    <w:rsid w:val="00225991"/>
    <w:rsid w:val="00225A26"/>
    <w:rsid w:val="00225AC8"/>
    <w:rsid w:val="00225B3D"/>
    <w:rsid w:val="00225CF9"/>
    <w:rsid w:val="00225D68"/>
    <w:rsid w:val="00225DE1"/>
    <w:rsid w:val="00225E0F"/>
    <w:rsid w:val="00225EA2"/>
    <w:rsid w:val="00225EAA"/>
    <w:rsid w:val="00225ECE"/>
    <w:rsid w:val="00225F52"/>
    <w:rsid w:val="00225FD8"/>
    <w:rsid w:val="002260C6"/>
    <w:rsid w:val="002261A1"/>
    <w:rsid w:val="0022629B"/>
    <w:rsid w:val="002263F7"/>
    <w:rsid w:val="00226402"/>
    <w:rsid w:val="00226442"/>
    <w:rsid w:val="00226455"/>
    <w:rsid w:val="002266C6"/>
    <w:rsid w:val="00226794"/>
    <w:rsid w:val="00226B28"/>
    <w:rsid w:val="00226C19"/>
    <w:rsid w:val="00226CFE"/>
    <w:rsid w:val="00226E18"/>
    <w:rsid w:val="00226E9F"/>
    <w:rsid w:val="00226EB0"/>
    <w:rsid w:val="0022709C"/>
    <w:rsid w:val="002274B0"/>
    <w:rsid w:val="00227515"/>
    <w:rsid w:val="00227752"/>
    <w:rsid w:val="002277C0"/>
    <w:rsid w:val="00227942"/>
    <w:rsid w:val="00227AD1"/>
    <w:rsid w:val="00227B4D"/>
    <w:rsid w:val="00227B6A"/>
    <w:rsid w:val="00227BE2"/>
    <w:rsid w:val="00227C48"/>
    <w:rsid w:val="00227C73"/>
    <w:rsid w:val="00227DA9"/>
    <w:rsid w:val="00227DBC"/>
    <w:rsid w:val="00227E46"/>
    <w:rsid w:val="00227E4F"/>
    <w:rsid w:val="00227F2E"/>
    <w:rsid w:val="0023001D"/>
    <w:rsid w:val="00230173"/>
    <w:rsid w:val="002301EE"/>
    <w:rsid w:val="002302D1"/>
    <w:rsid w:val="0023044C"/>
    <w:rsid w:val="0023046D"/>
    <w:rsid w:val="0023054D"/>
    <w:rsid w:val="0023057D"/>
    <w:rsid w:val="002306AE"/>
    <w:rsid w:val="00230747"/>
    <w:rsid w:val="002307FF"/>
    <w:rsid w:val="00230822"/>
    <w:rsid w:val="002308A5"/>
    <w:rsid w:val="0023097B"/>
    <w:rsid w:val="00230EC0"/>
    <w:rsid w:val="00230ECB"/>
    <w:rsid w:val="00230EFD"/>
    <w:rsid w:val="002310C9"/>
    <w:rsid w:val="00231147"/>
    <w:rsid w:val="0023119B"/>
    <w:rsid w:val="002311CA"/>
    <w:rsid w:val="002311E2"/>
    <w:rsid w:val="0023135D"/>
    <w:rsid w:val="00231449"/>
    <w:rsid w:val="002315C3"/>
    <w:rsid w:val="002315D4"/>
    <w:rsid w:val="002315EA"/>
    <w:rsid w:val="00231664"/>
    <w:rsid w:val="002316FD"/>
    <w:rsid w:val="00231774"/>
    <w:rsid w:val="0023177E"/>
    <w:rsid w:val="00231AD8"/>
    <w:rsid w:val="00231BF5"/>
    <w:rsid w:val="00231C1D"/>
    <w:rsid w:val="00231CC8"/>
    <w:rsid w:val="00231D77"/>
    <w:rsid w:val="00231EA1"/>
    <w:rsid w:val="00231F92"/>
    <w:rsid w:val="00231FEE"/>
    <w:rsid w:val="0023200B"/>
    <w:rsid w:val="00232293"/>
    <w:rsid w:val="0023232B"/>
    <w:rsid w:val="002324D4"/>
    <w:rsid w:val="00232532"/>
    <w:rsid w:val="002325F0"/>
    <w:rsid w:val="0023261F"/>
    <w:rsid w:val="0023275E"/>
    <w:rsid w:val="00232815"/>
    <w:rsid w:val="002328AA"/>
    <w:rsid w:val="002329AE"/>
    <w:rsid w:val="00232AE1"/>
    <w:rsid w:val="00232BF4"/>
    <w:rsid w:val="00232C90"/>
    <w:rsid w:val="00232D2A"/>
    <w:rsid w:val="00232DFD"/>
    <w:rsid w:val="00232E72"/>
    <w:rsid w:val="00232EC3"/>
    <w:rsid w:val="00232F80"/>
    <w:rsid w:val="00232F8D"/>
    <w:rsid w:val="00232FC9"/>
    <w:rsid w:val="002330C7"/>
    <w:rsid w:val="0023320D"/>
    <w:rsid w:val="00233215"/>
    <w:rsid w:val="00233222"/>
    <w:rsid w:val="00233419"/>
    <w:rsid w:val="00233420"/>
    <w:rsid w:val="00233477"/>
    <w:rsid w:val="00233BCA"/>
    <w:rsid w:val="00233C69"/>
    <w:rsid w:val="00233CC8"/>
    <w:rsid w:val="00233CE9"/>
    <w:rsid w:val="00233D4C"/>
    <w:rsid w:val="00233E81"/>
    <w:rsid w:val="00233EBD"/>
    <w:rsid w:val="00233F03"/>
    <w:rsid w:val="00233FA6"/>
    <w:rsid w:val="00233FAF"/>
    <w:rsid w:val="00234013"/>
    <w:rsid w:val="0023405B"/>
    <w:rsid w:val="00234329"/>
    <w:rsid w:val="00234378"/>
    <w:rsid w:val="002343F0"/>
    <w:rsid w:val="002343F5"/>
    <w:rsid w:val="00234407"/>
    <w:rsid w:val="00234691"/>
    <w:rsid w:val="0023482A"/>
    <w:rsid w:val="00234836"/>
    <w:rsid w:val="00234B7C"/>
    <w:rsid w:val="00234B82"/>
    <w:rsid w:val="00234D0F"/>
    <w:rsid w:val="00234D4D"/>
    <w:rsid w:val="00234E46"/>
    <w:rsid w:val="00234E77"/>
    <w:rsid w:val="00234EAA"/>
    <w:rsid w:val="00234F63"/>
    <w:rsid w:val="00234F77"/>
    <w:rsid w:val="00235009"/>
    <w:rsid w:val="00235063"/>
    <w:rsid w:val="002350A6"/>
    <w:rsid w:val="002350B1"/>
    <w:rsid w:val="0023511C"/>
    <w:rsid w:val="002351BE"/>
    <w:rsid w:val="00235219"/>
    <w:rsid w:val="00235366"/>
    <w:rsid w:val="00235379"/>
    <w:rsid w:val="002353BD"/>
    <w:rsid w:val="00235542"/>
    <w:rsid w:val="00235732"/>
    <w:rsid w:val="00235769"/>
    <w:rsid w:val="0023584B"/>
    <w:rsid w:val="00235A22"/>
    <w:rsid w:val="00235B27"/>
    <w:rsid w:val="00235C6D"/>
    <w:rsid w:val="00235C95"/>
    <w:rsid w:val="00235CA2"/>
    <w:rsid w:val="00235D46"/>
    <w:rsid w:val="00235D56"/>
    <w:rsid w:val="00235E85"/>
    <w:rsid w:val="00235F55"/>
    <w:rsid w:val="00236035"/>
    <w:rsid w:val="002360AB"/>
    <w:rsid w:val="002360F0"/>
    <w:rsid w:val="0023614F"/>
    <w:rsid w:val="00236176"/>
    <w:rsid w:val="002361AF"/>
    <w:rsid w:val="002361B6"/>
    <w:rsid w:val="002361F8"/>
    <w:rsid w:val="0023621A"/>
    <w:rsid w:val="002362AE"/>
    <w:rsid w:val="00236477"/>
    <w:rsid w:val="0023666A"/>
    <w:rsid w:val="00236721"/>
    <w:rsid w:val="00236798"/>
    <w:rsid w:val="00236836"/>
    <w:rsid w:val="002368AF"/>
    <w:rsid w:val="002368BA"/>
    <w:rsid w:val="00236907"/>
    <w:rsid w:val="00236A8D"/>
    <w:rsid w:val="00236B53"/>
    <w:rsid w:val="00236BC6"/>
    <w:rsid w:val="00236C90"/>
    <w:rsid w:val="00236CCD"/>
    <w:rsid w:val="00236CE2"/>
    <w:rsid w:val="00236D0F"/>
    <w:rsid w:val="00236D64"/>
    <w:rsid w:val="00236E04"/>
    <w:rsid w:val="00236E5F"/>
    <w:rsid w:val="00236E87"/>
    <w:rsid w:val="00237050"/>
    <w:rsid w:val="00237149"/>
    <w:rsid w:val="0023714D"/>
    <w:rsid w:val="0023719F"/>
    <w:rsid w:val="00237360"/>
    <w:rsid w:val="00237951"/>
    <w:rsid w:val="002379A1"/>
    <w:rsid w:val="00237A44"/>
    <w:rsid w:val="00237AAE"/>
    <w:rsid w:val="00237B1C"/>
    <w:rsid w:val="00237B70"/>
    <w:rsid w:val="00237D29"/>
    <w:rsid w:val="00237D6C"/>
    <w:rsid w:val="00237D6D"/>
    <w:rsid w:val="00237DAC"/>
    <w:rsid w:val="00237F82"/>
    <w:rsid w:val="00237FD5"/>
    <w:rsid w:val="00237FFD"/>
    <w:rsid w:val="00240022"/>
    <w:rsid w:val="00240064"/>
    <w:rsid w:val="002400F8"/>
    <w:rsid w:val="00240157"/>
    <w:rsid w:val="00240183"/>
    <w:rsid w:val="002401FA"/>
    <w:rsid w:val="00240216"/>
    <w:rsid w:val="0024026A"/>
    <w:rsid w:val="002402B9"/>
    <w:rsid w:val="0024036D"/>
    <w:rsid w:val="00240743"/>
    <w:rsid w:val="00240817"/>
    <w:rsid w:val="00240C13"/>
    <w:rsid w:val="00240C51"/>
    <w:rsid w:val="00240CC4"/>
    <w:rsid w:val="00240DCF"/>
    <w:rsid w:val="00240E6F"/>
    <w:rsid w:val="00240EA9"/>
    <w:rsid w:val="00240F09"/>
    <w:rsid w:val="0024100C"/>
    <w:rsid w:val="00241026"/>
    <w:rsid w:val="0024106D"/>
    <w:rsid w:val="00241377"/>
    <w:rsid w:val="00241386"/>
    <w:rsid w:val="00241416"/>
    <w:rsid w:val="00241608"/>
    <w:rsid w:val="00241904"/>
    <w:rsid w:val="00241B0D"/>
    <w:rsid w:val="00241B59"/>
    <w:rsid w:val="00241BBC"/>
    <w:rsid w:val="00241DB8"/>
    <w:rsid w:val="00241F38"/>
    <w:rsid w:val="00241F90"/>
    <w:rsid w:val="00241FAF"/>
    <w:rsid w:val="00242208"/>
    <w:rsid w:val="0024225C"/>
    <w:rsid w:val="0024226D"/>
    <w:rsid w:val="0024231E"/>
    <w:rsid w:val="00242338"/>
    <w:rsid w:val="00242340"/>
    <w:rsid w:val="00242415"/>
    <w:rsid w:val="00242488"/>
    <w:rsid w:val="00242495"/>
    <w:rsid w:val="002424ED"/>
    <w:rsid w:val="00242597"/>
    <w:rsid w:val="00242688"/>
    <w:rsid w:val="002426C6"/>
    <w:rsid w:val="0024273B"/>
    <w:rsid w:val="00242775"/>
    <w:rsid w:val="002427D6"/>
    <w:rsid w:val="00242A86"/>
    <w:rsid w:val="00242C1A"/>
    <w:rsid w:val="00242C3C"/>
    <w:rsid w:val="00242CA4"/>
    <w:rsid w:val="00242EB9"/>
    <w:rsid w:val="00242EBE"/>
    <w:rsid w:val="00243116"/>
    <w:rsid w:val="0024317A"/>
    <w:rsid w:val="002431CB"/>
    <w:rsid w:val="002431F9"/>
    <w:rsid w:val="00243379"/>
    <w:rsid w:val="002434D7"/>
    <w:rsid w:val="00243555"/>
    <w:rsid w:val="002435B0"/>
    <w:rsid w:val="00243697"/>
    <w:rsid w:val="002436A1"/>
    <w:rsid w:val="0024396C"/>
    <w:rsid w:val="00243ADB"/>
    <w:rsid w:val="00243BB1"/>
    <w:rsid w:val="00243D76"/>
    <w:rsid w:val="00243D89"/>
    <w:rsid w:val="00243E13"/>
    <w:rsid w:val="00243E9F"/>
    <w:rsid w:val="00244004"/>
    <w:rsid w:val="0024404D"/>
    <w:rsid w:val="002440A9"/>
    <w:rsid w:val="00244129"/>
    <w:rsid w:val="002441FC"/>
    <w:rsid w:val="002443A9"/>
    <w:rsid w:val="002443EE"/>
    <w:rsid w:val="0024452E"/>
    <w:rsid w:val="0024453B"/>
    <w:rsid w:val="00244645"/>
    <w:rsid w:val="00244669"/>
    <w:rsid w:val="00244784"/>
    <w:rsid w:val="002447E7"/>
    <w:rsid w:val="0024480A"/>
    <w:rsid w:val="002448AE"/>
    <w:rsid w:val="002448C5"/>
    <w:rsid w:val="002449C8"/>
    <w:rsid w:val="00244AFC"/>
    <w:rsid w:val="00244C11"/>
    <w:rsid w:val="00244CCC"/>
    <w:rsid w:val="00244E1E"/>
    <w:rsid w:val="00244E7F"/>
    <w:rsid w:val="00244E90"/>
    <w:rsid w:val="002450D4"/>
    <w:rsid w:val="00245266"/>
    <w:rsid w:val="00245286"/>
    <w:rsid w:val="002452C1"/>
    <w:rsid w:val="00245313"/>
    <w:rsid w:val="00245469"/>
    <w:rsid w:val="00245509"/>
    <w:rsid w:val="002455F0"/>
    <w:rsid w:val="002455F9"/>
    <w:rsid w:val="002457C4"/>
    <w:rsid w:val="00245890"/>
    <w:rsid w:val="002458AD"/>
    <w:rsid w:val="00245930"/>
    <w:rsid w:val="00245A41"/>
    <w:rsid w:val="00245AE0"/>
    <w:rsid w:val="00245D3F"/>
    <w:rsid w:val="00245EAF"/>
    <w:rsid w:val="00245F84"/>
    <w:rsid w:val="00246081"/>
    <w:rsid w:val="00246186"/>
    <w:rsid w:val="002463A6"/>
    <w:rsid w:val="0024644E"/>
    <w:rsid w:val="0024661C"/>
    <w:rsid w:val="00246883"/>
    <w:rsid w:val="002468BB"/>
    <w:rsid w:val="002468EF"/>
    <w:rsid w:val="00246932"/>
    <w:rsid w:val="002469F5"/>
    <w:rsid w:val="00246BEF"/>
    <w:rsid w:val="00246C01"/>
    <w:rsid w:val="00246CB4"/>
    <w:rsid w:val="00246D0F"/>
    <w:rsid w:val="00246DBA"/>
    <w:rsid w:val="00246DFA"/>
    <w:rsid w:val="00246F5D"/>
    <w:rsid w:val="00246F66"/>
    <w:rsid w:val="00247103"/>
    <w:rsid w:val="0024710F"/>
    <w:rsid w:val="00247123"/>
    <w:rsid w:val="00247182"/>
    <w:rsid w:val="00247466"/>
    <w:rsid w:val="002476C9"/>
    <w:rsid w:val="0024778F"/>
    <w:rsid w:val="00247814"/>
    <w:rsid w:val="0024785E"/>
    <w:rsid w:val="0024787C"/>
    <w:rsid w:val="002478EF"/>
    <w:rsid w:val="00247A6D"/>
    <w:rsid w:val="00247B1A"/>
    <w:rsid w:val="00247C1F"/>
    <w:rsid w:val="00247D4A"/>
    <w:rsid w:val="00247E46"/>
    <w:rsid w:val="00247E50"/>
    <w:rsid w:val="00247E57"/>
    <w:rsid w:val="00247FB1"/>
    <w:rsid w:val="002501DC"/>
    <w:rsid w:val="002501F5"/>
    <w:rsid w:val="0025023D"/>
    <w:rsid w:val="002504AE"/>
    <w:rsid w:val="002504E5"/>
    <w:rsid w:val="002504F3"/>
    <w:rsid w:val="00250524"/>
    <w:rsid w:val="0025054B"/>
    <w:rsid w:val="00250568"/>
    <w:rsid w:val="002505D4"/>
    <w:rsid w:val="00250623"/>
    <w:rsid w:val="0025062B"/>
    <w:rsid w:val="00250682"/>
    <w:rsid w:val="00250696"/>
    <w:rsid w:val="0025069F"/>
    <w:rsid w:val="00250782"/>
    <w:rsid w:val="002507DA"/>
    <w:rsid w:val="002507E6"/>
    <w:rsid w:val="0025081D"/>
    <w:rsid w:val="002508B8"/>
    <w:rsid w:val="00250957"/>
    <w:rsid w:val="00250988"/>
    <w:rsid w:val="00250AF4"/>
    <w:rsid w:val="00250BB4"/>
    <w:rsid w:val="00250BDC"/>
    <w:rsid w:val="00250C70"/>
    <w:rsid w:val="00250C75"/>
    <w:rsid w:val="00250D04"/>
    <w:rsid w:val="00250E6B"/>
    <w:rsid w:val="00250EA1"/>
    <w:rsid w:val="00251017"/>
    <w:rsid w:val="0025108C"/>
    <w:rsid w:val="0025109F"/>
    <w:rsid w:val="002510BC"/>
    <w:rsid w:val="002510EC"/>
    <w:rsid w:val="0025118A"/>
    <w:rsid w:val="002512B0"/>
    <w:rsid w:val="0025154F"/>
    <w:rsid w:val="002515E8"/>
    <w:rsid w:val="002515F9"/>
    <w:rsid w:val="0025167B"/>
    <w:rsid w:val="002516E5"/>
    <w:rsid w:val="00251774"/>
    <w:rsid w:val="00251827"/>
    <w:rsid w:val="0025188C"/>
    <w:rsid w:val="00251900"/>
    <w:rsid w:val="0025194F"/>
    <w:rsid w:val="00251A06"/>
    <w:rsid w:val="00251B60"/>
    <w:rsid w:val="00251C04"/>
    <w:rsid w:val="00251C6C"/>
    <w:rsid w:val="00251C72"/>
    <w:rsid w:val="00251C8C"/>
    <w:rsid w:val="00251D5E"/>
    <w:rsid w:val="00251DAF"/>
    <w:rsid w:val="00251E2B"/>
    <w:rsid w:val="00251E84"/>
    <w:rsid w:val="00251F86"/>
    <w:rsid w:val="00252173"/>
    <w:rsid w:val="002521A8"/>
    <w:rsid w:val="002521CB"/>
    <w:rsid w:val="0025229F"/>
    <w:rsid w:val="00252300"/>
    <w:rsid w:val="00252318"/>
    <w:rsid w:val="002523B1"/>
    <w:rsid w:val="0025265C"/>
    <w:rsid w:val="0025266A"/>
    <w:rsid w:val="00252690"/>
    <w:rsid w:val="00252815"/>
    <w:rsid w:val="0025287B"/>
    <w:rsid w:val="00252972"/>
    <w:rsid w:val="0025298C"/>
    <w:rsid w:val="00252A02"/>
    <w:rsid w:val="00252A06"/>
    <w:rsid w:val="00252A42"/>
    <w:rsid w:val="00252A69"/>
    <w:rsid w:val="00252E11"/>
    <w:rsid w:val="00252E43"/>
    <w:rsid w:val="00252EC8"/>
    <w:rsid w:val="0025306C"/>
    <w:rsid w:val="002530B8"/>
    <w:rsid w:val="002530CC"/>
    <w:rsid w:val="0025313A"/>
    <w:rsid w:val="0025321D"/>
    <w:rsid w:val="0025324E"/>
    <w:rsid w:val="00253458"/>
    <w:rsid w:val="00253466"/>
    <w:rsid w:val="00253541"/>
    <w:rsid w:val="00253562"/>
    <w:rsid w:val="00253581"/>
    <w:rsid w:val="00253606"/>
    <w:rsid w:val="0025362E"/>
    <w:rsid w:val="0025378A"/>
    <w:rsid w:val="0025393E"/>
    <w:rsid w:val="0025395B"/>
    <w:rsid w:val="00253AB9"/>
    <w:rsid w:val="00253AF5"/>
    <w:rsid w:val="00253D00"/>
    <w:rsid w:val="00253DE0"/>
    <w:rsid w:val="00253E8E"/>
    <w:rsid w:val="00253F2F"/>
    <w:rsid w:val="00253F8B"/>
    <w:rsid w:val="00253F9E"/>
    <w:rsid w:val="00253FB4"/>
    <w:rsid w:val="00253FC9"/>
    <w:rsid w:val="0025409F"/>
    <w:rsid w:val="002540D3"/>
    <w:rsid w:val="0025413B"/>
    <w:rsid w:val="00254299"/>
    <w:rsid w:val="002543CF"/>
    <w:rsid w:val="002543D0"/>
    <w:rsid w:val="00254420"/>
    <w:rsid w:val="00254497"/>
    <w:rsid w:val="00254511"/>
    <w:rsid w:val="00254601"/>
    <w:rsid w:val="00254629"/>
    <w:rsid w:val="0025484C"/>
    <w:rsid w:val="00254872"/>
    <w:rsid w:val="00254879"/>
    <w:rsid w:val="00254903"/>
    <w:rsid w:val="002549B5"/>
    <w:rsid w:val="002549FB"/>
    <w:rsid w:val="00254A01"/>
    <w:rsid w:val="00254A48"/>
    <w:rsid w:val="00254B88"/>
    <w:rsid w:val="00254D18"/>
    <w:rsid w:val="00254F2D"/>
    <w:rsid w:val="00254F37"/>
    <w:rsid w:val="00254F5C"/>
    <w:rsid w:val="00255003"/>
    <w:rsid w:val="0025508F"/>
    <w:rsid w:val="00255222"/>
    <w:rsid w:val="00255241"/>
    <w:rsid w:val="00255242"/>
    <w:rsid w:val="002552D0"/>
    <w:rsid w:val="0025546D"/>
    <w:rsid w:val="0025553F"/>
    <w:rsid w:val="00255627"/>
    <w:rsid w:val="00255678"/>
    <w:rsid w:val="00255741"/>
    <w:rsid w:val="00255875"/>
    <w:rsid w:val="002559DA"/>
    <w:rsid w:val="00255AC1"/>
    <w:rsid w:val="00255C45"/>
    <w:rsid w:val="00255D1D"/>
    <w:rsid w:val="00255F6C"/>
    <w:rsid w:val="00256038"/>
    <w:rsid w:val="00256064"/>
    <w:rsid w:val="002560EB"/>
    <w:rsid w:val="00256293"/>
    <w:rsid w:val="00256333"/>
    <w:rsid w:val="00256395"/>
    <w:rsid w:val="00256593"/>
    <w:rsid w:val="00256883"/>
    <w:rsid w:val="00256889"/>
    <w:rsid w:val="00256912"/>
    <w:rsid w:val="00256DFF"/>
    <w:rsid w:val="00256E1F"/>
    <w:rsid w:val="00256FE1"/>
    <w:rsid w:val="002570F7"/>
    <w:rsid w:val="00257128"/>
    <w:rsid w:val="0025714B"/>
    <w:rsid w:val="002571D3"/>
    <w:rsid w:val="002572A1"/>
    <w:rsid w:val="002573FB"/>
    <w:rsid w:val="002575D0"/>
    <w:rsid w:val="0025766C"/>
    <w:rsid w:val="002576E3"/>
    <w:rsid w:val="00257817"/>
    <w:rsid w:val="0025785F"/>
    <w:rsid w:val="0025788A"/>
    <w:rsid w:val="0025795A"/>
    <w:rsid w:val="002579BF"/>
    <w:rsid w:val="00257A9A"/>
    <w:rsid w:val="00257ADE"/>
    <w:rsid w:val="00257C6B"/>
    <w:rsid w:val="00257C8D"/>
    <w:rsid w:val="00257CEC"/>
    <w:rsid w:val="00257D69"/>
    <w:rsid w:val="00257E35"/>
    <w:rsid w:val="00257E8D"/>
    <w:rsid w:val="00257EF8"/>
    <w:rsid w:val="00257F01"/>
    <w:rsid w:val="00257FC8"/>
    <w:rsid w:val="00260098"/>
    <w:rsid w:val="00260275"/>
    <w:rsid w:val="002603FC"/>
    <w:rsid w:val="0026062C"/>
    <w:rsid w:val="00260916"/>
    <w:rsid w:val="0026091E"/>
    <w:rsid w:val="00260C06"/>
    <w:rsid w:val="00260CEF"/>
    <w:rsid w:val="00260D02"/>
    <w:rsid w:val="00260E25"/>
    <w:rsid w:val="00260E80"/>
    <w:rsid w:val="00260F07"/>
    <w:rsid w:val="00260FC2"/>
    <w:rsid w:val="00261017"/>
    <w:rsid w:val="00261023"/>
    <w:rsid w:val="00261177"/>
    <w:rsid w:val="002611D9"/>
    <w:rsid w:val="002612C6"/>
    <w:rsid w:val="00261364"/>
    <w:rsid w:val="002615A6"/>
    <w:rsid w:val="002616CE"/>
    <w:rsid w:val="00261816"/>
    <w:rsid w:val="00261894"/>
    <w:rsid w:val="002618AF"/>
    <w:rsid w:val="00261B8A"/>
    <w:rsid w:val="00261BF5"/>
    <w:rsid w:val="00261CF9"/>
    <w:rsid w:val="00261D45"/>
    <w:rsid w:val="00261DAC"/>
    <w:rsid w:val="00261EC3"/>
    <w:rsid w:val="002620A3"/>
    <w:rsid w:val="002620DF"/>
    <w:rsid w:val="0026218D"/>
    <w:rsid w:val="00262202"/>
    <w:rsid w:val="00262360"/>
    <w:rsid w:val="002623C2"/>
    <w:rsid w:val="00262421"/>
    <w:rsid w:val="0026243A"/>
    <w:rsid w:val="00262577"/>
    <w:rsid w:val="00262647"/>
    <w:rsid w:val="0026266D"/>
    <w:rsid w:val="00262A25"/>
    <w:rsid w:val="00262A78"/>
    <w:rsid w:val="00262CFB"/>
    <w:rsid w:val="00262D79"/>
    <w:rsid w:val="00262E84"/>
    <w:rsid w:val="00262FF5"/>
    <w:rsid w:val="00263072"/>
    <w:rsid w:val="00263111"/>
    <w:rsid w:val="0026311E"/>
    <w:rsid w:val="002632FC"/>
    <w:rsid w:val="00263339"/>
    <w:rsid w:val="002635D3"/>
    <w:rsid w:val="002635E6"/>
    <w:rsid w:val="002635F7"/>
    <w:rsid w:val="00263765"/>
    <w:rsid w:val="00263997"/>
    <w:rsid w:val="002639EB"/>
    <w:rsid w:val="00263A56"/>
    <w:rsid w:val="00263B01"/>
    <w:rsid w:val="00263B3C"/>
    <w:rsid w:val="00263B52"/>
    <w:rsid w:val="00263CED"/>
    <w:rsid w:val="00263D56"/>
    <w:rsid w:val="00263EE3"/>
    <w:rsid w:val="00263F35"/>
    <w:rsid w:val="00263F89"/>
    <w:rsid w:val="00263FDF"/>
    <w:rsid w:val="002641DF"/>
    <w:rsid w:val="0026422E"/>
    <w:rsid w:val="002642C4"/>
    <w:rsid w:val="00264320"/>
    <w:rsid w:val="002643D0"/>
    <w:rsid w:val="00264422"/>
    <w:rsid w:val="0026443D"/>
    <w:rsid w:val="00264479"/>
    <w:rsid w:val="00264618"/>
    <w:rsid w:val="00264706"/>
    <w:rsid w:val="00264884"/>
    <w:rsid w:val="00264895"/>
    <w:rsid w:val="00264B14"/>
    <w:rsid w:val="00264B1D"/>
    <w:rsid w:val="00264B98"/>
    <w:rsid w:val="0026500B"/>
    <w:rsid w:val="0026509A"/>
    <w:rsid w:val="002650C9"/>
    <w:rsid w:val="0026521F"/>
    <w:rsid w:val="00265247"/>
    <w:rsid w:val="00265293"/>
    <w:rsid w:val="002652C7"/>
    <w:rsid w:val="002653E4"/>
    <w:rsid w:val="0026567D"/>
    <w:rsid w:val="0026570F"/>
    <w:rsid w:val="00265757"/>
    <w:rsid w:val="00265836"/>
    <w:rsid w:val="00265858"/>
    <w:rsid w:val="00265879"/>
    <w:rsid w:val="00265890"/>
    <w:rsid w:val="002658C4"/>
    <w:rsid w:val="00265A44"/>
    <w:rsid w:val="00265A76"/>
    <w:rsid w:val="00265C77"/>
    <w:rsid w:val="00265D39"/>
    <w:rsid w:val="00265D79"/>
    <w:rsid w:val="00265DDB"/>
    <w:rsid w:val="00265DDD"/>
    <w:rsid w:val="00265DE3"/>
    <w:rsid w:val="00265F5C"/>
    <w:rsid w:val="00266144"/>
    <w:rsid w:val="0026617A"/>
    <w:rsid w:val="002661B1"/>
    <w:rsid w:val="002661C1"/>
    <w:rsid w:val="00266241"/>
    <w:rsid w:val="00266338"/>
    <w:rsid w:val="00266372"/>
    <w:rsid w:val="002663A9"/>
    <w:rsid w:val="002663F3"/>
    <w:rsid w:val="00266596"/>
    <w:rsid w:val="002665BB"/>
    <w:rsid w:val="0026662B"/>
    <w:rsid w:val="0026668F"/>
    <w:rsid w:val="002666ED"/>
    <w:rsid w:val="00266ABF"/>
    <w:rsid w:val="00266AC8"/>
    <w:rsid w:val="00266BB2"/>
    <w:rsid w:val="00266CB3"/>
    <w:rsid w:val="00266D19"/>
    <w:rsid w:val="00266DA8"/>
    <w:rsid w:val="00266F01"/>
    <w:rsid w:val="00266FAF"/>
    <w:rsid w:val="00267107"/>
    <w:rsid w:val="00267144"/>
    <w:rsid w:val="00267174"/>
    <w:rsid w:val="00267424"/>
    <w:rsid w:val="002674AE"/>
    <w:rsid w:val="002676B6"/>
    <w:rsid w:val="002676D1"/>
    <w:rsid w:val="00267771"/>
    <w:rsid w:val="00267B57"/>
    <w:rsid w:val="00267D81"/>
    <w:rsid w:val="00267DA7"/>
    <w:rsid w:val="00267E60"/>
    <w:rsid w:val="00267F99"/>
    <w:rsid w:val="002700E6"/>
    <w:rsid w:val="00270191"/>
    <w:rsid w:val="00270263"/>
    <w:rsid w:val="002702EE"/>
    <w:rsid w:val="00270397"/>
    <w:rsid w:val="0027042A"/>
    <w:rsid w:val="00270484"/>
    <w:rsid w:val="0027052B"/>
    <w:rsid w:val="00270608"/>
    <w:rsid w:val="0027069E"/>
    <w:rsid w:val="00270793"/>
    <w:rsid w:val="002707B8"/>
    <w:rsid w:val="002707BA"/>
    <w:rsid w:val="002707CB"/>
    <w:rsid w:val="0027084A"/>
    <w:rsid w:val="0027086F"/>
    <w:rsid w:val="0027088B"/>
    <w:rsid w:val="002708FF"/>
    <w:rsid w:val="00270986"/>
    <w:rsid w:val="00270B7C"/>
    <w:rsid w:val="00270CA1"/>
    <w:rsid w:val="00270D51"/>
    <w:rsid w:val="00270DA7"/>
    <w:rsid w:val="00270DF5"/>
    <w:rsid w:val="00270E3E"/>
    <w:rsid w:val="00270E85"/>
    <w:rsid w:val="00270E86"/>
    <w:rsid w:val="00271056"/>
    <w:rsid w:val="002710AC"/>
    <w:rsid w:val="002710D3"/>
    <w:rsid w:val="002710E4"/>
    <w:rsid w:val="00271315"/>
    <w:rsid w:val="00271428"/>
    <w:rsid w:val="002715DC"/>
    <w:rsid w:val="002717D8"/>
    <w:rsid w:val="0027186D"/>
    <w:rsid w:val="002718DB"/>
    <w:rsid w:val="002718FE"/>
    <w:rsid w:val="0027197B"/>
    <w:rsid w:val="002719C6"/>
    <w:rsid w:val="00271ADD"/>
    <w:rsid w:val="00271AE8"/>
    <w:rsid w:val="00271AEB"/>
    <w:rsid w:val="00271AED"/>
    <w:rsid w:val="00271C0A"/>
    <w:rsid w:val="00271C33"/>
    <w:rsid w:val="00271CF5"/>
    <w:rsid w:val="00271CFA"/>
    <w:rsid w:val="00271D50"/>
    <w:rsid w:val="00271DBC"/>
    <w:rsid w:val="00271DE9"/>
    <w:rsid w:val="00271F44"/>
    <w:rsid w:val="00271F46"/>
    <w:rsid w:val="00271F5B"/>
    <w:rsid w:val="00272240"/>
    <w:rsid w:val="0027229A"/>
    <w:rsid w:val="00272350"/>
    <w:rsid w:val="002723A7"/>
    <w:rsid w:val="00272498"/>
    <w:rsid w:val="0027269E"/>
    <w:rsid w:val="002726DC"/>
    <w:rsid w:val="0027275F"/>
    <w:rsid w:val="00272806"/>
    <w:rsid w:val="0027288F"/>
    <w:rsid w:val="0027291B"/>
    <w:rsid w:val="0027293A"/>
    <w:rsid w:val="0027295F"/>
    <w:rsid w:val="002729DA"/>
    <w:rsid w:val="00272A67"/>
    <w:rsid w:val="00272ADF"/>
    <w:rsid w:val="00272B3F"/>
    <w:rsid w:val="00272BB4"/>
    <w:rsid w:val="00272BD5"/>
    <w:rsid w:val="00272C9E"/>
    <w:rsid w:val="00272E48"/>
    <w:rsid w:val="00272E6C"/>
    <w:rsid w:val="00272FF9"/>
    <w:rsid w:val="00273058"/>
    <w:rsid w:val="00273082"/>
    <w:rsid w:val="00273330"/>
    <w:rsid w:val="00273336"/>
    <w:rsid w:val="002733F1"/>
    <w:rsid w:val="00273415"/>
    <w:rsid w:val="0027356B"/>
    <w:rsid w:val="0027357E"/>
    <w:rsid w:val="00273664"/>
    <w:rsid w:val="00273765"/>
    <w:rsid w:val="00273798"/>
    <w:rsid w:val="00273834"/>
    <w:rsid w:val="00273865"/>
    <w:rsid w:val="00273952"/>
    <w:rsid w:val="00273B2E"/>
    <w:rsid w:val="00273C90"/>
    <w:rsid w:val="00273CEF"/>
    <w:rsid w:val="00273D3F"/>
    <w:rsid w:val="00273D9D"/>
    <w:rsid w:val="00273DA8"/>
    <w:rsid w:val="0027400D"/>
    <w:rsid w:val="002742C4"/>
    <w:rsid w:val="00274329"/>
    <w:rsid w:val="002744BF"/>
    <w:rsid w:val="002745B5"/>
    <w:rsid w:val="00274641"/>
    <w:rsid w:val="0027469F"/>
    <w:rsid w:val="002746C2"/>
    <w:rsid w:val="002746EC"/>
    <w:rsid w:val="00274825"/>
    <w:rsid w:val="002748D1"/>
    <w:rsid w:val="00274A82"/>
    <w:rsid w:val="00274AEF"/>
    <w:rsid w:val="00274B8A"/>
    <w:rsid w:val="00274B90"/>
    <w:rsid w:val="00274C48"/>
    <w:rsid w:val="00274D5B"/>
    <w:rsid w:val="00274F93"/>
    <w:rsid w:val="002750A0"/>
    <w:rsid w:val="002750BE"/>
    <w:rsid w:val="00275183"/>
    <w:rsid w:val="002751DB"/>
    <w:rsid w:val="0027521F"/>
    <w:rsid w:val="00275297"/>
    <w:rsid w:val="00275311"/>
    <w:rsid w:val="002754AC"/>
    <w:rsid w:val="0027550A"/>
    <w:rsid w:val="00275749"/>
    <w:rsid w:val="0027598C"/>
    <w:rsid w:val="00275A93"/>
    <w:rsid w:val="00275AD6"/>
    <w:rsid w:val="00275C54"/>
    <w:rsid w:val="00275C7F"/>
    <w:rsid w:val="00275E12"/>
    <w:rsid w:val="00275E2B"/>
    <w:rsid w:val="00275F87"/>
    <w:rsid w:val="00275FC4"/>
    <w:rsid w:val="002760C7"/>
    <w:rsid w:val="00276230"/>
    <w:rsid w:val="00276305"/>
    <w:rsid w:val="00276384"/>
    <w:rsid w:val="002763EA"/>
    <w:rsid w:val="002765B7"/>
    <w:rsid w:val="002765CE"/>
    <w:rsid w:val="0027666F"/>
    <w:rsid w:val="002768C4"/>
    <w:rsid w:val="0027691A"/>
    <w:rsid w:val="00276ABF"/>
    <w:rsid w:val="00276AF8"/>
    <w:rsid w:val="00276BCB"/>
    <w:rsid w:val="00276C99"/>
    <w:rsid w:val="00276CCE"/>
    <w:rsid w:val="00276CFC"/>
    <w:rsid w:val="00276D18"/>
    <w:rsid w:val="00276E76"/>
    <w:rsid w:val="00276E79"/>
    <w:rsid w:val="00276F2A"/>
    <w:rsid w:val="00276F69"/>
    <w:rsid w:val="00277000"/>
    <w:rsid w:val="00277055"/>
    <w:rsid w:val="002770FA"/>
    <w:rsid w:val="00277142"/>
    <w:rsid w:val="002771A9"/>
    <w:rsid w:val="002772DC"/>
    <w:rsid w:val="0027744D"/>
    <w:rsid w:val="002774B3"/>
    <w:rsid w:val="002775A5"/>
    <w:rsid w:val="002775F9"/>
    <w:rsid w:val="0027761A"/>
    <w:rsid w:val="00277644"/>
    <w:rsid w:val="00277736"/>
    <w:rsid w:val="0027778D"/>
    <w:rsid w:val="002778D7"/>
    <w:rsid w:val="00277A63"/>
    <w:rsid w:val="00277A71"/>
    <w:rsid w:val="00277C42"/>
    <w:rsid w:val="00277CE9"/>
    <w:rsid w:val="00277D94"/>
    <w:rsid w:val="00277DD8"/>
    <w:rsid w:val="00277E87"/>
    <w:rsid w:val="00277F1F"/>
    <w:rsid w:val="00280027"/>
    <w:rsid w:val="00280091"/>
    <w:rsid w:val="00280145"/>
    <w:rsid w:val="002802DB"/>
    <w:rsid w:val="00280311"/>
    <w:rsid w:val="00280319"/>
    <w:rsid w:val="00280329"/>
    <w:rsid w:val="002803DB"/>
    <w:rsid w:val="002803FA"/>
    <w:rsid w:val="0028053E"/>
    <w:rsid w:val="00280564"/>
    <w:rsid w:val="00280645"/>
    <w:rsid w:val="002806C8"/>
    <w:rsid w:val="00280721"/>
    <w:rsid w:val="002807A9"/>
    <w:rsid w:val="00280B51"/>
    <w:rsid w:val="00280BCC"/>
    <w:rsid w:val="00280BDE"/>
    <w:rsid w:val="00280CE4"/>
    <w:rsid w:val="00280EAF"/>
    <w:rsid w:val="00280EC8"/>
    <w:rsid w:val="00281061"/>
    <w:rsid w:val="002811C5"/>
    <w:rsid w:val="002814EA"/>
    <w:rsid w:val="00281566"/>
    <w:rsid w:val="0028165F"/>
    <w:rsid w:val="002817C9"/>
    <w:rsid w:val="002817DF"/>
    <w:rsid w:val="00281865"/>
    <w:rsid w:val="00281A39"/>
    <w:rsid w:val="00281A90"/>
    <w:rsid w:val="00281B6D"/>
    <w:rsid w:val="00281C02"/>
    <w:rsid w:val="00281DB4"/>
    <w:rsid w:val="00281E33"/>
    <w:rsid w:val="00281F23"/>
    <w:rsid w:val="00281F78"/>
    <w:rsid w:val="00281FD5"/>
    <w:rsid w:val="00282047"/>
    <w:rsid w:val="00282105"/>
    <w:rsid w:val="0028231B"/>
    <w:rsid w:val="0028232C"/>
    <w:rsid w:val="00282380"/>
    <w:rsid w:val="002824A5"/>
    <w:rsid w:val="00282501"/>
    <w:rsid w:val="002825B9"/>
    <w:rsid w:val="002825E9"/>
    <w:rsid w:val="00282612"/>
    <w:rsid w:val="0028261B"/>
    <w:rsid w:val="00282637"/>
    <w:rsid w:val="00282723"/>
    <w:rsid w:val="0028272E"/>
    <w:rsid w:val="00282845"/>
    <w:rsid w:val="002828F7"/>
    <w:rsid w:val="00282A93"/>
    <w:rsid w:val="00282A94"/>
    <w:rsid w:val="00282BD0"/>
    <w:rsid w:val="00282C1B"/>
    <w:rsid w:val="00282DD8"/>
    <w:rsid w:val="00282DFC"/>
    <w:rsid w:val="00282F51"/>
    <w:rsid w:val="00282FB0"/>
    <w:rsid w:val="00283105"/>
    <w:rsid w:val="00283267"/>
    <w:rsid w:val="00283275"/>
    <w:rsid w:val="00283298"/>
    <w:rsid w:val="002833AB"/>
    <w:rsid w:val="0028350A"/>
    <w:rsid w:val="0028361B"/>
    <w:rsid w:val="00283645"/>
    <w:rsid w:val="002836D8"/>
    <w:rsid w:val="00283790"/>
    <w:rsid w:val="002837CC"/>
    <w:rsid w:val="00283840"/>
    <w:rsid w:val="00283A9A"/>
    <w:rsid w:val="00283B12"/>
    <w:rsid w:val="00283B60"/>
    <w:rsid w:val="00283BC4"/>
    <w:rsid w:val="00283C4D"/>
    <w:rsid w:val="00283C65"/>
    <w:rsid w:val="00283D05"/>
    <w:rsid w:val="00283D46"/>
    <w:rsid w:val="00283D94"/>
    <w:rsid w:val="00283E56"/>
    <w:rsid w:val="00283E84"/>
    <w:rsid w:val="00283FF9"/>
    <w:rsid w:val="0028403E"/>
    <w:rsid w:val="00284048"/>
    <w:rsid w:val="0028405D"/>
    <w:rsid w:val="00284079"/>
    <w:rsid w:val="00284183"/>
    <w:rsid w:val="002842D1"/>
    <w:rsid w:val="0028438C"/>
    <w:rsid w:val="00284402"/>
    <w:rsid w:val="0028461C"/>
    <w:rsid w:val="002847BD"/>
    <w:rsid w:val="002848F3"/>
    <w:rsid w:val="00284ABB"/>
    <w:rsid w:val="00284AFB"/>
    <w:rsid w:val="00284CF8"/>
    <w:rsid w:val="00284D6D"/>
    <w:rsid w:val="00284E34"/>
    <w:rsid w:val="00284EBC"/>
    <w:rsid w:val="00284F20"/>
    <w:rsid w:val="00284FD1"/>
    <w:rsid w:val="0028510F"/>
    <w:rsid w:val="00285180"/>
    <w:rsid w:val="002853C5"/>
    <w:rsid w:val="002854FE"/>
    <w:rsid w:val="002855B7"/>
    <w:rsid w:val="00285658"/>
    <w:rsid w:val="00285715"/>
    <w:rsid w:val="00285763"/>
    <w:rsid w:val="002858E1"/>
    <w:rsid w:val="00285C12"/>
    <w:rsid w:val="00285C37"/>
    <w:rsid w:val="00285CAB"/>
    <w:rsid w:val="00285E08"/>
    <w:rsid w:val="00285EC2"/>
    <w:rsid w:val="0028606E"/>
    <w:rsid w:val="0028611B"/>
    <w:rsid w:val="00286124"/>
    <w:rsid w:val="0028619D"/>
    <w:rsid w:val="002862A0"/>
    <w:rsid w:val="0028646C"/>
    <w:rsid w:val="00286470"/>
    <w:rsid w:val="00286524"/>
    <w:rsid w:val="0028659C"/>
    <w:rsid w:val="0028665D"/>
    <w:rsid w:val="002866FE"/>
    <w:rsid w:val="00286789"/>
    <w:rsid w:val="002869EB"/>
    <w:rsid w:val="00286A03"/>
    <w:rsid w:val="00286A38"/>
    <w:rsid w:val="00286A6A"/>
    <w:rsid w:val="00286B92"/>
    <w:rsid w:val="00286B9D"/>
    <w:rsid w:val="00286CD9"/>
    <w:rsid w:val="00286D91"/>
    <w:rsid w:val="00286E64"/>
    <w:rsid w:val="00287276"/>
    <w:rsid w:val="0028730B"/>
    <w:rsid w:val="002873D2"/>
    <w:rsid w:val="002874E6"/>
    <w:rsid w:val="00287551"/>
    <w:rsid w:val="00287576"/>
    <w:rsid w:val="00287602"/>
    <w:rsid w:val="00287675"/>
    <w:rsid w:val="00287687"/>
    <w:rsid w:val="0028770B"/>
    <w:rsid w:val="002877A2"/>
    <w:rsid w:val="002877A4"/>
    <w:rsid w:val="002877AF"/>
    <w:rsid w:val="002877B7"/>
    <w:rsid w:val="002877CB"/>
    <w:rsid w:val="00287830"/>
    <w:rsid w:val="0028783B"/>
    <w:rsid w:val="0028794F"/>
    <w:rsid w:val="00287996"/>
    <w:rsid w:val="00287A09"/>
    <w:rsid w:val="00287A2E"/>
    <w:rsid w:val="00287A75"/>
    <w:rsid w:val="00287AAE"/>
    <w:rsid w:val="00287CCB"/>
    <w:rsid w:val="00287D56"/>
    <w:rsid w:val="00287E5D"/>
    <w:rsid w:val="00287E8F"/>
    <w:rsid w:val="00287EC6"/>
    <w:rsid w:val="002900D8"/>
    <w:rsid w:val="00290121"/>
    <w:rsid w:val="00290171"/>
    <w:rsid w:val="002901B3"/>
    <w:rsid w:val="002901CF"/>
    <w:rsid w:val="0029038F"/>
    <w:rsid w:val="002903E9"/>
    <w:rsid w:val="00290411"/>
    <w:rsid w:val="0029042F"/>
    <w:rsid w:val="00290557"/>
    <w:rsid w:val="00290776"/>
    <w:rsid w:val="002908B2"/>
    <w:rsid w:val="00290A63"/>
    <w:rsid w:val="00290AF9"/>
    <w:rsid w:val="00290C3C"/>
    <w:rsid w:val="00290CA2"/>
    <w:rsid w:val="00290D04"/>
    <w:rsid w:val="00290F1A"/>
    <w:rsid w:val="00291123"/>
    <w:rsid w:val="00291251"/>
    <w:rsid w:val="002912BD"/>
    <w:rsid w:val="002912CD"/>
    <w:rsid w:val="00291351"/>
    <w:rsid w:val="0029135D"/>
    <w:rsid w:val="0029136C"/>
    <w:rsid w:val="002913C8"/>
    <w:rsid w:val="002913F2"/>
    <w:rsid w:val="002914EB"/>
    <w:rsid w:val="002915F4"/>
    <w:rsid w:val="0029180D"/>
    <w:rsid w:val="002918A4"/>
    <w:rsid w:val="00291ABB"/>
    <w:rsid w:val="00291AC2"/>
    <w:rsid w:val="00291C04"/>
    <w:rsid w:val="00291C71"/>
    <w:rsid w:val="00291D89"/>
    <w:rsid w:val="00291D8D"/>
    <w:rsid w:val="00291F34"/>
    <w:rsid w:val="00292119"/>
    <w:rsid w:val="0029224D"/>
    <w:rsid w:val="0029226A"/>
    <w:rsid w:val="00292639"/>
    <w:rsid w:val="00292755"/>
    <w:rsid w:val="002927EB"/>
    <w:rsid w:val="00292831"/>
    <w:rsid w:val="002928D1"/>
    <w:rsid w:val="00292987"/>
    <w:rsid w:val="00292997"/>
    <w:rsid w:val="00292A1B"/>
    <w:rsid w:val="00292A28"/>
    <w:rsid w:val="00292B51"/>
    <w:rsid w:val="00292D3A"/>
    <w:rsid w:val="00292DF8"/>
    <w:rsid w:val="00292E4E"/>
    <w:rsid w:val="00292EFF"/>
    <w:rsid w:val="00292F57"/>
    <w:rsid w:val="002930C8"/>
    <w:rsid w:val="00293222"/>
    <w:rsid w:val="00293236"/>
    <w:rsid w:val="00293252"/>
    <w:rsid w:val="00293398"/>
    <w:rsid w:val="0029352F"/>
    <w:rsid w:val="002935DF"/>
    <w:rsid w:val="00293706"/>
    <w:rsid w:val="00293813"/>
    <w:rsid w:val="002938FD"/>
    <w:rsid w:val="00293A82"/>
    <w:rsid w:val="00293AED"/>
    <w:rsid w:val="00293CFD"/>
    <w:rsid w:val="00293DC0"/>
    <w:rsid w:val="00293E14"/>
    <w:rsid w:val="00293F38"/>
    <w:rsid w:val="00293F7A"/>
    <w:rsid w:val="0029403E"/>
    <w:rsid w:val="002940ED"/>
    <w:rsid w:val="0029437E"/>
    <w:rsid w:val="00294397"/>
    <w:rsid w:val="002944F9"/>
    <w:rsid w:val="002945A4"/>
    <w:rsid w:val="002945DF"/>
    <w:rsid w:val="0029464E"/>
    <w:rsid w:val="002946C4"/>
    <w:rsid w:val="0029475F"/>
    <w:rsid w:val="002947B3"/>
    <w:rsid w:val="00294918"/>
    <w:rsid w:val="002949FB"/>
    <w:rsid w:val="00294A8F"/>
    <w:rsid w:val="00294AD5"/>
    <w:rsid w:val="00294BE4"/>
    <w:rsid w:val="00294DAC"/>
    <w:rsid w:val="00294EC5"/>
    <w:rsid w:val="00295029"/>
    <w:rsid w:val="00295184"/>
    <w:rsid w:val="002951C9"/>
    <w:rsid w:val="00295316"/>
    <w:rsid w:val="00295327"/>
    <w:rsid w:val="002953FB"/>
    <w:rsid w:val="0029548E"/>
    <w:rsid w:val="002954E3"/>
    <w:rsid w:val="0029550D"/>
    <w:rsid w:val="002955C9"/>
    <w:rsid w:val="00295669"/>
    <w:rsid w:val="0029572E"/>
    <w:rsid w:val="00295731"/>
    <w:rsid w:val="002957AD"/>
    <w:rsid w:val="00295BDA"/>
    <w:rsid w:val="00295C76"/>
    <w:rsid w:val="00295D9E"/>
    <w:rsid w:val="00295DDD"/>
    <w:rsid w:val="00295DDE"/>
    <w:rsid w:val="00295E05"/>
    <w:rsid w:val="00295E6D"/>
    <w:rsid w:val="00295EA6"/>
    <w:rsid w:val="00295EB6"/>
    <w:rsid w:val="00295EFE"/>
    <w:rsid w:val="00295F8F"/>
    <w:rsid w:val="002960C8"/>
    <w:rsid w:val="0029634A"/>
    <w:rsid w:val="002963F7"/>
    <w:rsid w:val="00296425"/>
    <w:rsid w:val="00296473"/>
    <w:rsid w:val="002965BB"/>
    <w:rsid w:val="0029662D"/>
    <w:rsid w:val="002967E3"/>
    <w:rsid w:val="00296896"/>
    <w:rsid w:val="002969CC"/>
    <w:rsid w:val="00296A5E"/>
    <w:rsid w:val="00296C71"/>
    <w:rsid w:val="00296DB6"/>
    <w:rsid w:val="00296DB9"/>
    <w:rsid w:val="00296DCF"/>
    <w:rsid w:val="002970DD"/>
    <w:rsid w:val="00297211"/>
    <w:rsid w:val="00297252"/>
    <w:rsid w:val="002974AE"/>
    <w:rsid w:val="0029753B"/>
    <w:rsid w:val="002975AD"/>
    <w:rsid w:val="002975CF"/>
    <w:rsid w:val="0029763C"/>
    <w:rsid w:val="002977AD"/>
    <w:rsid w:val="002977EC"/>
    <w:rsid w:val="00297A93"/>
    <w:rsid w:val="00297AD3"/>
    <w:rsid w:val="00297BB0"/>
    <w:rsid w:val="00297BC6"/>
    <w:rsid w:val="00297D50"/>
    <w:rsid w:val="00297D59"/>
    <w:rsid w:val="00297F3B"/>
    <w:rsid w:val="002A00DC"/>
    <w:rsid w:val="002A0150"/>
    <w:rsid w:val="002A01F2"/>
    <w:rsid w:val="002A023E"/>
    <w:rsid w:val="002A02A0"/>
    <w:rsid w:val="002A02F2"/>
    <w:rsid w:val="002A02F9"/>
    <w:rsid w:val="002A033A"/>
    <w:rsid w:val="002A036F"/>
    <w:rsid w:val="002A0390"/>
    <w:rsid w:val="002A03A7"/>
    <w:rsid w:val="002A04B1"/>
    <w:rsid w:val="002A04D4"/>
    <w:rsid w:val="002A06AD"/>
    <w:rsid w:val="002A091C"/>
    <w:rsid w:val="002A0A1D"/>
    <w:rsid w:val="002A0A35"/>
    <w:rsid w:val="002A0C83"/>
    <w:rsid w:val="002A0D39"/>
    <w:rsid w:val="002A0EAC"/>
    <w:rsid w:val="002A0EF2"/>
    <w:rsid w:val="002A0F18"/>
    <w:rsid w:val="002A0F4D"/>
    <w:rsid w:val="002A10AC"/>
    <w:rsid w:val="002A10CA"/>
    <w:rsid w:val="002A1140"/>
    <w:rsid w:val="002A117C"/>
    <w:rsid w:val="002A1283"/>
    <w:rsid w:val="002A12D4"/>
    <w:rsid w:val="002A1315"/>
    <w:rsid w:val="002A13B6"/>
    <w:rsid w:val="002A13FC"/>
    <w:rsid w:val="002A1518"/>
    <w:rsid w:val="002A158B"/>
    <w:rsid w:val="002A160C"/>
    <w:rsid w:val="002A168A"/>
    <w:rsid w:val="002A198F"/>
    <w:rsid w:val="002A1BF8"/>
    <w:rsid w:val="002A1BFB"/>
    <w:rsid w:val="002A1C55"/>
    <w:rsid w:val="002A1D51"/>
    <w:rsid w:val="002A1E06"/>
    <w:rsid w:val="002A1FAA"/>
    <w:rsid w:val="002A1FBA"/>
    <w:rsid w:val="002A1FEE"/>
    <w:rsid w:val="002A208F"/>
    <w:rsid w:val="002A21AC"/>
    <w:rsid w:val="002A221A"/>
    <w:rsid w:val="002A2351"/>
    <w:rsid w:val="002A241A"/>
    <w:rsid w:val="002A24BB"/>
    <w:rsid w:val="002A2632"/>
    <w:rsid w:val="002A26C6"/>
    <w:rsid w:val="002A26F3"/>
    <w:rsid w:val="002A2706"/>
    <w:rsid w:val="002A2707"/>
    <w:rsid w:val="002A284E"/>
    <w:rsid w:val="002A2964"/>
    <w:rsid w:val="002A29B5"/>
    <w:rsid w:val="002A29CF"/>
    <w:rsid w:val="002A2A1C"/>
    <w:rsid w:val="002A2A49"/>
    <w:rsid w:val="002A2AAA"/>
    <w:rsid w:val="002A2BDD"/>
    <w:rsid w:val="002A2CB2"/>
    <w:rsid w:val="002A3039"/>
    <w:rsid w:val="002A311D"/>
    <w:rsid w:val="002A315E"/>
    <w:rsid w:val="002A3376"/>
    <w:rsid w:val="002A349B"/>
    <w:rsid w:val="002A35A7"/>
    <w:rsid w:val="002A360F"/>
    <w:rsid w:val="002A37AD"/>
    <w:rsid w:val="002A3A44"/>
    <w:rsid w:val="002A3B40"/>
    <w:rsid w:val="002A3B98"/>
    <w:rsid w:val="002A3BAF"/>
    <w:rsid w:val="002A3BB5"/>
    <w:rsid w:val="002A3C27"/>
    <w:rsid w:val="002A3DA9"/>
    <w:rsid w:val="002A3F6C"/>
    <w:rsid w:val="002A4014"/>
    <w:rsid w:val="002A4072"/>
    <w:rsid w:val="002A4112"/>
    <w:rsid w:val="002A424F"/>
    <w:rsid w:val="002A442D"/>
    <w:rsid w:val="002A442E"/>
    <w:rsid w:val="002A44BA"/>
    <w:rsid w:val="002A45FF"/>
    <w:rsid w:val="002A46D7"/>
    <w:rsid w:val="002A47BB"/>
    <w:rsid w:val="002A47D3"/>
    <w:rsid w:val="002A4830"/>
    <w:rsid w:val="002A4887"/>
    <w:rsid w:val="002A49BF"/>
    <w:rsid w:val="002A49DA"/>
    <w:rsid w:val="002A4A39"/>
    <w:rsid w:val="002A4DCB"/>
    <w:rsid w:val="002A4EB6"/>
    <w:rsid w:val="002A4FBE"/>
    <w:rsid w:val="002A4FC5"/>
    <w:rsid w:val="002A5280"/>
    <w:rsid w:val="002A534E"/>
    <w:rsid w:val="002A53A6"/>
    <w:rsid w:val="002A5446"/>
    <w:rsid w:val="002A55EB"/>
    <w:rsid w:val="002A5706"/>
    <w:rsid w:val="002A578A"/>
    <w:rsid w:val="002A5875"/>
    <w:rsid w:val="002A5901"/>
    <w:rsid w:val="002A5929"/>
    <w:rsid w:val="002A592D"/>
    <w:rsid w:val="002A599A"/>
    <w:rsid w:val="002A5A33"/>
    <w:rsid w:val="002A5A86"/>
    <w:rsid w:val="002A5AEA"/>
    <w:rsid w:val="002A5AFD"/>
    <w:rsid w:val="002A5C95"/>
    <w:rsid w:val="002A5CD1"/>
    <w:rsid w:val="002A60B6"/>
    <w:rsid w:val="002A60BF"/>
    <w:rsid w:val="002A60E5"/>
    <w:rsid w:val="002A62D9"/>
    <w:rsid w:val="002A6505"/>
    <w:rsid w:val="002A652C"/>
    <w:rsid w:val="002A6A02"/>
    <w:rsid w:val="002A6AC4"/>
    <w:rsid w:val="002A6AF1"/>
    <w:rsid w:val="002A6B21"/>
    <w:rsid w:val="002A6B72"/>
    <w:rsid w:val="002A6BDB"/>
    <w:rsid w:val="002A6D80"/>
    <w:rsid w:val="002A6DBE"/>
    <w:rsid w:val="002A6E06"/>
    <w:rsid w:val="002A6E29"/>
    <w:rsid w:val="002A6E36"/>
    <w:rsid w:val="002A6F6B"/>
    <w:rsid w:val="002A6F82"/>
    <w:rsid w:val="002A7080"/>
    <w:rsid w:val="002A7183"/>
    <w:rsid w:val="002A73E3"/>
    <w:rsid w:val="002A744F"/>
    <w:rsid w:val="002A74BB"/>
    <w:rsid w:val="002A76C9"/>
    <w:rsid w:val="002A786E"/>
    <w:rsid w:val="002A78DE"/>
    <w:rsid w:val="002A7AD8"/>
    <w:rsid w:val="002A7C20"/>
    <w:rsid w:val="002A7F5C"/>
    <w:rsid w:val="002A7F7F"/>
    <w:rsid w:val="002A7F92"/>
    <w:rsid w:val="002A7FBE"/>
    <w:rsid w:val="002B002F"/>
    <w:rsid w:val="002B006D"/>
    <w:rsid w:val="002B0098"/>
    <w:rsid w:val="002B00CA"/>
    <w:rsid w:val="002B00E5"/>
    <w:rsid w:val="002B0127"/>
    <w:rsid w:val="002B02A7"/>
    <w:rsid w:val="002B02B1"/>
    <w:rsid w:val="002B0317"/>
    <w:rsid w:val="002B031A"/>
    <w:rsid w:val="002B036A"/>
    <w:rsid w:val="002B04AE"/>
    <w:rsid w:val="002B057D"/>
    <w:rsid w:val="002B05D2"/>
    <w:rsid w:val="002B063F"/>
    <w:rsid w:val="002B067F"/>
    <w:rsid w:val="002B0724"/>
    <w:rsid w:val="002B075C"/>
    <w:rsid w:val="002B08C4"/>
    <w:rsid w:val="002B09B7"/>
    <w:rsid w:val="002B0A24"/>
    <w:rsid w:val="002B0B3C"/>
    <w:rsid w:val="002B0BB8"/>
    <w:rsid w:val="002B0E0D"/>
    <w:rsid w:val="002B0F4E"/>
    <w:rsid w:val="002B1151"/>
    <w:rsid w:val="002B11AE"/>
    <w:rsid w:val="002B1281"/>
    <w:rsid w:val="002B12F6"/>
    <w:rsid w:val="002B1397"/>
    <w:rsid w:val="002B13C4"/>
    <w:rsid w:val="002B13FB"/>
    <w:rsid w:val="002B143C"/>
    <w:rsid w:val="002B143F"/>
    <w:rsid w:val="002B1442"/>
    <w:rsid w:val="002B158B"/>
    <w:rsid w:val="002B15C9"/>
    <w:rsid w:val="002B16A1"/>
    <w:rsid w:val="002B1750"/>
    <w:rsid w:val="002B17AF"/>
    <w:rsid w:val="002B17F4"/>
    <w:rsid w:val="002B1899"/>
    <w:rsid w:val="002B18A7"/>
    <w:rsid w:val="002B18D9"/>
    <w:rsid w:val="002B1916"/>
    <w:rsid w:val="002B1933"/>
    <w:rsid w:val="002B197E"/>
    <w:rsid w:val="002B1A70"/>
    <w:rsid w:val="002B1AC2"/>
    <w:rsid w:val="002B1B6E"/>
    <w:rsid w:val="002B1B8E"/>
    <w:rsid w:val="002B1C1E"/>
    <w:rsid w:val="002B1C65"/>
    <w:rsid w:val="002B1C7C"/>
    <w:rsid w:val="002B1C7F"/>
    <w:rsid w:val="002B1DD6"/>
    <w:rsid w:val="002B1FBF"/>
    <w:rsid w:val="002B2030"/>
    <w:rsid w:val="002B20B9"/>
    <w:rsid w:val="002B20E0"/>
    <w:rsid w:val="002B20FE"/>
    <w:rsid w:val="002B2384"/>
    <w:rsid w:val="002B23CB"/>
    <w:rsid w:val="002B23EB"/>
    <w:rsid w:val="002B24A5"/>
    <w:rsid w:val="002B2510"/>
    <w:rsid w:val="002B2602"/>
    <w:rsid w:val="002B2658"/>
    <w:rsid w:val="002B2687"/>
    <w:rsid w:val="002B271C"/>
    <w:rsid w:val="002B27A2"/>
    <w:rsid w:val="002B27CF"/>
    <w:rsid w:val="002B2A01"/>
    <w:rsid w:val="002B2AF2"/>
    <w:rsid w:val="002B2B01"/>
    <w:rsid w:val="002B2CDA"/>
    <w:rsid w:val="002B2E0F"/>
    <w:rsid w:val="002B2E1E"/>
    <w:rsid w:val="002B2EDC"/>
    <w:rsid w:val="002B2F59"/>
    <w:rsid w:val="002B3025"/>
    <w:rsid w:val="002B302B"/>
    <w:rsid w:val="002B3116"/>
    <w:rsid w:val="002B311E"/>
    <w:rsid w:val="002B31CE"/>
    <w:rsid w:val="002B32FD"/>
    <w:rsid w:val="002B33D2"/>
    <w:rsid w:val="002B3464"/>
    <w:rsid w:val="002B3564"/>
    <w:rsid w:val="002B35A8"/>
    <w:rsid w:val="002B3626"/>
    <w:rsid w:val="002B36EB"/>
    <w:rsid w:val="002B375A"/>
    <w:rsid w:val="002B37E7"/>
    <w:rsid w:val="002B382F"/>
    <w:rsid w:val="002B39CA"/>
    <w:rsid w:val="002B3A20"/>
    <w:rsid w:val="002B3B0D"/>
    <w:rsid w:val="002B3CFF"/>
    <w:rsid w:val="002B3D63"/>
    <w:rsid w:val="002B3DFA"/>
    <w:rsid w:val="002B3DFE"/>
    <w:rsid w:val="002B3E27"/>
    <w:rsid w:val="002B3EBE"/>
    <w:rsid w:val="002B3EF6"/>
    <w:rsid w:val="002B4036"/>
    <w:rsid w:val="002B4069"/>
    <w:rsid w:val="002B4108"/>
    <w:rsid w:val="002B413C"/>
    <w:rsid w:val="002B419B"/>
    <w:rsid w:val="002B419D"/>
    <w:rsid w:val="002B41B7"/>
    <w:rsid w:val="002B43C0"/>
    <w:rsid w:val="002B43DB"/>
    <w:rsid w:val="002B43F7"/>
    <w:rsid w:val="002B4457"/>
    <w:rsid w:val="002B4487"/>
    <w:rsid w:val="002B449A"/>
    <w:rsid w:val="002B457B"/>
    <w:rsid w:val="002B47D4"/>
    <w:rsid w:val="002B4896"/>
    <w:rsid w:val="002B4939"/>
    <w:rsid w:val="002B4B1F"/>
    <w:rsid w:val="002B4B3C"/>
    <w:rsid w:val="002B4B3E"/>
    <w:rsid w:val="002B4DE9"/>
    <w:rsid w:val="002B4ED9"/>
    <w:rsid w:val="002B5062"/>
    <w:rsid w:val="002B507A"/>
    <w:rsid w:val="002B50C0"/>
    <w:rsid w:val="002B50E7"/>
    <w:rsid w:val="002B5133"/>
    <w:rsid w:val="002B5230"/>
    <w:rsid w:val="002B535E"/>
    <w:rsid w:val="002B541E"/>
    <w:rsid w:val="002B548D"/>
    <w:rsid w:val="002B564D"/>
    <w:rsid w:val="002B56F8"/>
    <w:rsid w:val="002B58ED"/>
    <w:rsid w:val="002B5924"/>
    <w:rsid w:val="002B59CA"/>
    <w:rsid w:val="002B5A5D"/>
    <w:rsid w:val="002B5ADB"/>
    <w:rsid w:val="002B5B49"/>
    <w:rsid w:val="002B5B6C"/>
    <w:rsid w:val="002B5C0C"/>
    <w:rsid w:val="002B5C35"/>
    <w:rsid w:val="002B5D67"/>
    <w:rsid w:val="002B5D83"/>
    <w:rsid w:val="002B5E11"/>
    <w:rsid w:val="002B5E3C"/>
    <w:rsid w:val="002B60E7"/>
    <w:rsid w:val="002B60F5"/>
    <w:rsid w:val="002B611F"/>
    <w:rsid w:val="002B6120"/>
    <w:rsid w:val="002B6122"/>
    <w:rsid w:val="002B6168"/>
    <w:rsid w:val="002B621B"/>
    <w:rsid w:val="002B65B9"/>
    <w:rsid w:val="002B6777"/>
    <w:rsid w:val="002B68B3"/>
    <w:rsid w:val="002B68D1"/>
    <w:rsid w:val="002B6B1B"/>
    <w:rsid w:val="002B6B4C"/>
    <w:rsid w:val="002B6C0F"/>
    <w:rsid w:val="002B6C83"/>
    <w:rsid w:val="002B6CFA"/>
    <w:rsid w:val="002B6E7C"/>
    <w:rsid w:val="002B6EB8"/>
    <w:rsid w:val="002B6EF0"/>
    <w:rsid w:val="002B6F53"/>
    <w:rsid w:val="002B7013"/>
    <w:rsid w:val="002B7259"/>
    <w:rsid w:val="002B7272"/>
    <w:rsid w:val="002B7355"/>
    <w:rsid w:val="002B737F"/>
    <w:rsid w:val="002B73C0"/>
    <w:rsid w:val="002B740D"/>
    <w:rsid w:val="002B7423"/>
    <w:rsid w:val="002B742F"/>
    <w:rsid w:val="002B7481"/>
    <w:rsid w:val="002B7576"/>
    <w:rsid w:val="002B7637"/>
    <w:rsid w:val="002B76F5"/>
    <w:rsid w:val="002B7836"/>
    <w:rsid w:val="002B7862"/>
    <w:rsid w:val="002B7BC5"/>
    <w:rsid w:val="002B7CAF"/>
    <w:rsid w:val="002B7CF3"/>
    <w:rsid w:val="002B7D03"/>
    <w:rsid w:val="002B7DD1"/>
    <w:rsid w:val="002B7E37"/>
    <w:rsid w:val="002B7F09"/>
    <w:rsid w:val="002B7F71"/>
    <w:rsid w:val="002C0167"/>
    <w:rsid w:val="002C023B"/>
    <w:rsid w:val="002C02E8"/>
    <w:rsid w:val="002C039B"/>
    <w:rsid w:val="002C03BA"/>
    <w:rsid w:val="002C03E3"/>
    <w:rsid w:val="002C05A8"/>
    <w:rsid w:val="002C05A9"/>
    <w:rsid w:val="002C05FB"/>
    <w:rsid w:val="002C0678"/>
    <w:rsid w:val="002C06B6"/>
    <w:rsid w:val="002C0763"/>
    <w:rsid w:val="002C078A"/>
    <w:rsid w:val="002C07C8"/>
    <w:rsid w:val="002C0977"/>
    <w:rsid w:val="002C0AF3"/>
    <w:rsid w:val="002C0B91"/>
    <w:rsid w:val="002C0BBB"/>
    <w:rsid w:val="002C0BD4"/>
    <w:rsid w:val="002C0C6C"/>
    <w:rsid w:val="002C0E7F"/>
    <w:rsid w:val="002C0FFA"/>
    <w:rsid w:val="002C1075"/>
    <w:rsid w:val="002C12B9"/>
    <w:rsid w:val="002C13C5"/>
    <w:rsid w:val="002C1436"/>
    <w:rsid w:val="002C15E0"/>
    <w:rsid w:val="002C1727"/>
    <w:rsid w:val="002C174A"/>
    <w:rsid w:val="002C1862"/>
    <w:rsid w:val="002C18A8"/>
    <w:rsid w:val="002C1910"/>
    <w:rsid w:val="002C1A2A"/>
    <w:rsid w:val="002C1AEE"/>
    <w:rsid w:val="002C1B46"/>
    <w:rsid w:val="002C1B8D"/>
    <w:rsid w:val="002C1BBA"/>
    <w:rsid w:val="002C1D66"/>
    <w:rsid w:val="002C1DEE"/>
    <w:rsid w:val="002C1E56"/>
    <w:rsid w:val="002C1E5D"/>
    <w:rsid w:val="002C1E64"/>
    <w:rsid w:val="002C1FD2"/>
    <w:rsid w:val="002C1FDF"/>
    <w:rsid w:val="002C2000"/>
    <w:rsid w:val="002C205E"/>
    <w:rsid w:val="002C209D"/>
    <w:rsid w:val="002C20EE"/>
    <w:rsid w:val="002C2262"/>
    <w:rsid w:val="002C230A"/>
    <w:rsid w:val="002C23D7"/>
    <w:rsid w:val="002C23F9"/>
    <w:rsid w:val="002C246A"/>
    <w:rsid w:val="002C2541"/>
    <w:rsid w:val="002C2719"/>
    <w:rsid w:val="002C28B9"/>
    <w:rsid w:val="002C2930"/>
    <w:rsid w:val="002C2AC8"/>
    <w:rsid w:val="002C2ACF"/>
    <w:rsid w:val="002C2C4A"/>
    <w:rsid w:val="002C2CA2"/>
    <w:rsid w:val="002C2CC8"/>
    <w:rsid w:val="002C2CFF"/>
    <w:rsid w:val="002C2D70"/>
    <w:rsid w:val="002C2EFE"/>
    <w:rsid w:val="002C2FCB"/>
    <w:rsid w:val="002C2FD6"/>
    <w:rsid w:val="002C2FED"/>
    <w:rsid w:val="002C3069"/>
    <w:rsid w:val="002C30F3"/>
    <w:rsid w:val="002C3303"/>
    <w:rsid w:val="002C3374"/>
    <w:rsid w:val="002C33E3"/>
    <w:rsid w:val="002C34CA"/>
    <w:rsid w:val="002C351B"/>
    <w:rsid w:val="002C35A7"/>
    <w:rsid w:val="002C36CF"/>
    <w:rsid w:val="002C3784"/>
    <w:rsid w:val="002C38A1"/>
    <w:rsid w:val="002C38B3"/>
    <w:rsid w:val="002C38E1"/>
    <w:rsid w:val="002C3958"/>
    <w:rsid w:val="002C3AA5"/>
    <w:rsid w:val="002C3AF3"/>
    <w:rsid w:val="002C3C34"/>
    <w:rsid w:val="002C3C58"/>
    <w:rsid w:val="002C3E2F"/>
    <w:rsid w:val="002C40AB"/>
    <w:rsid w:val="002C41A2"/>
    <w:rsid w:val="002C42CE"/>
    <w:rsid w:val="002C431D"/>
    <w:rsid w:val="002C4391"/>
    <w:rsid w:val="002C44B6"/>
    <w:rsid w:val="002C45F7"/>
    <w:rsid w:val="002C4636"/>
    <w:rsid w:val="002C4684"/>
    <w:rsid w:val="002C471C"/>
    <w:rsid w:val="002C478B"/>
    <w:rsid w:val="002C48FE"/>
    <w:rsid w:val="002C4C7D"/>
    <w:rsid w:val="002C4CB7"/>
    <w:rsid w:val="002C4D66"/>
    <w:rsid w:val="002C4E6E"/>
    <w:rsid w:val="002C4EE1"/>
    <w:rsid w:val="002C5069"/>
    <w:rsid w:val="002C50B6"/>
    <w:rsid w:val="002C50C4"/>
    <w:rsid w:val="002C5158"/>
    <w:rsid w:val="002C5362"/>
    <w:rsid w:val="002C559C"/>
    <w:rsid w:val="002C563B"/>
    <w:rsid w:val="002C57AD"/>
    <w:rsid w:val="002C5851"/>
    <w:rsid w:val="002C5973"/>
    <w:rsid w:val="002C5986"/>
    <w:rsid w:val="002C5ACD"/>
    <w:rsid w:val="002C5B64"/>
    <w:rsid w:val="002C5BB2"/>
    <w:rsid w:val="002C5C29"/>
    <w:rsid w:val="002C5C46"/>
    <w:rsid w:val="002C5C60"/>
    <w:rsid w:val="002C5CDE"/>
    <w:rsid w:val="002C5D44"/>
    <w:rsid w:val="002C5E81"/>
    <w:rsid w:val="002C5E8B"/>
    <w:rsid w:val="002C5EC5"/>
    <w:rsid w:val="002C5F09"/>
    <w:rsid w:val="002C5F21"/>
    <w:rsid w:val="002C5F2F"/>
    <w:rsid w:val="002C6017"/>
    <w:rsid w:val="002C60FB"/>
    <w:rsid w:val="002C610B"/>
    <w:rsid w:val="002C6287"/>
    <w:rsid w:val="002C628F"/>
    <w:rsid w:val="002C62DB"/>
    <w:rsid w:val="002C6431"/>
    <w:rsid w:val="002C643A"/>
    <w:rsid w:val="002C64F9"/>
    <w:rsid w:val="002C681A"/>
    <w:rsid w:val="002C6852"/>
    <w:rsid w:val="002C6876"/>
    <w:rsid w:val="002C6918"/>
    <w:rsid w:val="002C69C9"/>
    <w:rsid w:val="002C69FF"/>
    <w:rsid w:val="002C6A11"/>
    <w:rsid w:val="002C6D0F"/>
    <w:rsid w:val="002C6D9A"/>
    <w:rsid w:val="002C6E8C"/>
    <w:rsid w:val="002C6F3C"/>
    <w:rsid w:val="002C7026"/>
    <w:rsid w:val="002C70E4"/>
    <w:rsid w:val="002C717F"/>
    <w:rsid w:val="002C7378"/>
    <w:rsid w:val="002C73CE"/>
    <w:rsid w:val="002C743F"/>
    <w:rsid w:val="002C746B"/>
    <w:rsid w:val="002C7666"/>
    <w:rsid w:val="002C769E"/>
    <w:rsid w:val="002C7718"/>
    <w:rsid w:val="002C78B2"/>
    <w:rsid w:val="002C7AD6"/>
    <w:rsid w:val="002C7AE0"/>
    <w:rsid w:val="002C7BC9"/>
    <w:rsid w:val="002C7D93"/>
    <w:rsid w:val="002C7ECD"/>
    <w:rsid w:val="002C7F19"/>
    <w:rsid w:val="002C7F48"/>
    <w:rsid w:val="002C7FE1"/>
    <w:rsid w:val="002D00B6"/>
    <w:rsid w:val="002D0106"/>
    <w:rsid w:val="002D0126"/>
    <w:rsid w:val="002D01E6"/>
    <w:rsid w:val="002D0426"/>
    <w:rsid w:val="002D05CA"/>
    <w:rsid w:val="002D0697"/>
    <w:rsid w:val="002D069F"/>
    <w:rsid w:val="002D0751"/>
    <w:rsid w:val="002D07CF"/>
    <w:rsid w:val="002D07D4"/>
    <w:rsid w:val="002D0822"/>
    <w:rsid w:val="002D08B6"/>
    <w:rsid w:val="002D08D5"/>
    <w:rsid w:val="002D0903"/>
    <w:rsid w:val="002D09B7"/>
    <w:rsid w:val="002D09E5"/>
    <w:rsid w:val="002D0AA6"/>
    <w:rsid w:val="002D0CCE"/>
    <w:rsid w:val="002D0D92"/>
    <w:rsid w:val="002D0EB6"/>
    <w:rsid w:val="002D109B"/>
    <w:rsid w:val="002D1128"/>
    <w:rsid w:val="002D116A"/>
    <w:rsid w:val="002D1318"/>
    <w:rsid w:val="002D134B"/>
    <w:rsid w:val="002D13C4"/>
    <w:rsid w:val="002D13E5"/>
    <w:rsid w:val="002D161B"/>
    <w:rsid w:val="002D164E"/>
    <w:rsid w:val="002D16CF"/>
    <w:rsid w:val="002D17FC"/>
    <w:rsid w:val="002D1813"/>
    <w:rsid w:val="002D1933"/>
    <w:rsid w:val="002D1A6F"/>
    <w:rsid w:val="002D1B17"/>
    <w:rsid w:val="002D1D11"/>
    <w:rsid w:val="002D1E19"/>
    <w:rsid w:val="002D1E2E"/>
    <w:rsid w:val="002D1E69"/>
    <w:rsid w:val="002D1E8E"/>
    <w:rsid w:val="002D1F1D"/>
    <w:rsid w:val="002D2002"/>
    <w:rsid w:val="002D2018"/>
    <w:rsid w:val="002D203C"/>
    <w:rsid w:val="002D21D8"/>
    <w:rsid w:val="002D22AA"/>
    <w:rsid w:val="002D234C"/>
    <w:rsid w:val="002D2492"/>
    <w:rsid w:val="002D2498"/>
    <w:rsid w:val="002D2510"/>
    <w:rsid w:val="002D2550"/>
    <w:rsid w:val="002D2556"/>
    <w:rsid w:val="002D25D6"/>
    <w:rsid w:val="002D2691"/>
    <w:rsid w:val="002D278F"/>
    <w:rsid w:val="002D284C"/>
    <w:rsid w:val="002D28EC"/>
    <w:rsid w:val="002D29B9"/>
    <w:rsid w:val="002D2A7B"/>
    <w:rsid w:val="002D2A99"/>
    <w:rsid w:val="002D2B60"/>
    <w:rsid w:val="002D2BB4"/>
    <w:rsid w:val="002D2BFF"/>
    <w:rsid w:val="002D2CB8"/>
    <w:rsid w:val="002D2CEB"/>
    <w:rsid w:val="002D2E46"/>
    <w:rsid w:val="002D2E95"/>
    <w:rsid w:val="002D2F30"/>
    <w:rsid w:val="002D30B5"/>
    <w:rsid w:val="002D315D"/>
    <w:rsid w:val="002D3171"/>
    <w:rsid w:val="002D31FC"/>
    <w:rsid w:val="002D32ED"/>
    <w:rsid w:val="002D3313"/>
    <w:rsid w:val="002D332F"/>
    <w:rsid w:val="002D335A"/>
    <w:rsid w:val="002D3360"/>
    <w:rsid w:val="002D35A0"/>
    <w:rsid w:val="002D36E7"/>
    <w:rsid w:val="002D378A"/>
    <w:rsid w:val="002D39C9"/>
    <w:rsid w:val="002D39ED"/>
    <w:rsid w:val="002D39F9"/>
    <w:rsid w:val="002D3A9C"/>
    <w:rsid w:val="002D3AC4"/>
    <w:rsid w:val="002D3BB1"/>
    <w:rsid w:val="002D3D70"/>
    <w:rsid w:val="002D3DB4"/>
    <w:rsid w:val="002D3DC6"/>
    <w:rsid w:val="002D3E83"/>
    <w:rsid w:val="002D3F88"/>
    <w:rsid w:val="002D3FDA"/>
    <w:rsid w:val="002D40A5"/>
    <w:rsid w:val="002D413E"/>
    <w:rsid w:val="002D421B"/>
    <w:rsid w:val="002D4235"/>
    <w:rsid w:val="002D42A9"/>
    <w:rsid w:val="002D42EE"/>
    <w:rsid w:val="002D43A0"/>
    <w:rsid w:val="002D4436"/>
    <w:rsid w:val="002D4442"/>
    <w:rsid w:val="002D44D3"/>
    <w:rsid w:val="002D45A4"/>
    <w:rsid w:val="002D4611"/>
    <w:rsid w:val="002D46C5"/>
    <w:rsid w:val="002D46D5"/>
    <w:rsid w:val="002D4766"/>
    <w:rsid w:val="002D47F5"/>
    <w:rsid w:val="002D4969"/>
    <w:rsid w:val="002D4A31"/>
    <w:rsid w:val="002D4A8B"/>
    <w:rsid w:val="002D4AE4"/>
    <w:rsid w:val="002D4BA7"/>
    <w:rsid w:val="002D4C4B"/>
    <w:rsid w:val="002D4C9C"/>
    <w:rsid w:val="002D4D47"/>
    <w:rsid w:val="002D4DB8"/>
    <w:rsid w:val="002D4DBF"/>
    <w:rsid w:val="002D4DEF"/>
    <w:rsid w:val="002D4ECD"/>
    <w:rsid w:val="002D5082"/>
    <w:rsid w:val="002D521A"/>
    <w:rsid w:val="002D5227"/>
    <w:rsid w:val="002D526A"/>
    <w:rsid w:val="002D52F7"/>
    <w:rsid w:val="002D52F9"/>
    <w:rsid w:val="002D5897"/>
    <w:rsid w:val="002D5938"/>
    <w:rsid w:val="002D597D"/>
    <w:rsid w:val="002D59A4"/>
    <w:rsid w:val="002D59D1"/>
    <w:rsid w:val="002D5AF8"/>
    <w:rsid w:val="002D5B25"/>
    <w:rsid w:val="002D5B4B"/>
    <w:rsid w:val="002D5BFE"/>
    <w:rsid w:val="002D5C2C"/>
    <w:rsid w:val="002D5CA9"/>
    <w:rsid w:val="002D5E8E"/>
    <w:rsid w:val="002D5F15"/>
    <w:rsid w:val="002D6070"/>
    <w:rsid w:val="002D6391"/>
    <w:rsid w:val="002D6408"/>
    <w:rsid w:val="002D6534"/>
    <w:rsid w:val="002D65D8"/>
    <w:rsid w:val="002D66A1"/>
    <w:rsid w:val="002D6731"/>
    <w:rsid w:val="002D675F"/>
    <w:rsid w:val="002D6826"/>
    <w:rsid w:val="002D6859"/>
    <w:rsid w:val="002D6923"/>
    <w:rsid w:val="002D6A11"/>
    <w:rsid w:val="002D6A57"/>
    <w:rsid w:val="002D6B2B"/>
    <w:rsid w:val="002D6B48"/>
    <w:rsid w:val="002D6CC6"/>
    <w:rsid w:val="002D6D9F"/>
    <w:rsid w:val="002D6DDE"/>
    <w:rsid w:val="002D6E62"/>
    <w:rsid w:val="002D6F99"/>
    <w:rsid w:val="002D702A"/>
    <w:rsid w:val="002D705D"/>
    <w:rsid w:val="002D7239"/>
    <w:rsid w:val="002D7256"/>
    <w:rsid w:val="002D727A"/>
    <w:rsid w:val="002D75F8"/>
    <w:rsid w:val="002D7678"/>
    <w:rsid w:val="002D79C4"/>
    <w:rsid w:val="002D79CB"/>
    <w:rsid w:val="002D79FE"/>
    <w:rsid w:val="002D7B0A"/>
    <w:rsid w:val="002D7B10"/>
    <w:rsid w:val="002D7B2E"/>
    <w:rsid w:val="002D7C54"/>
    <w:rsid w:val="002D7D44"/>
    <w:rsid w:val="002D7E23"/>
    <w:rsid w:val="002D7EA0"/>
    <w:rsid w:val="002D7FC6"/>
    <w:rsid w:val="002E019B"/>
    <w:rsid w:val="002E023A"/>
    <w:rsid w:val="002E02ED"/>
    <w:rsid w:val="002E03EB"/>
    <w:rsid w:val="002E03F3"/>
    <w:rsid w:val="002E044C"/>
    <w:rsid w:val="002E0497"/>
    <w:rsid w:val="002E0588"/>
    <w:rsid w:val="002E073D"/>
    <w:rsid w:val="002E0772"/>
    <w:rsid w:val="002E094C"/>
    <w:rsid w:val="002E0A1D"/>
    <w:rsid w:val="002E0A71"/>
    <w:rsid w:val="002E0A8D"/>
    <w:rsid w:val="002E0C24"/>
    <w:rsid w:val="002E0D85"/>
    <w:rsid w:val="002E0E90"/>
    <w:rsid w:val="002E0F05"/>
    <w:rsid w:val="002E0F2F"/>
    <w:rsid w:val="002E0F9F"/>
    <w:rsid w:val="002E0FF0"/>
    <w:rsid w:val="002E107B"/>
    <w:rsid w:val="002E12E1"/>
    <w:rsid w:val="002E1317"/>
    <w:rsid w:val="002E1385"/>
    <w:rsid w:val="002E1483"/>
    <w:rsid w:val="002E14BB"/>
    <w:rsid w:val="002E155F"/>
    <w:rsid w:val="002E1593"/>
    <w:rsid w:val="002E1596"/>
    <w:rsid w:val="002E15B3"/>
    <w:rsid w:val="002E164A"/>
    <w:rsid w:val="002E1795"/>
    <w:rsid w:val="002E17CD"/>
    <w:rsid w:val="002E17DC"/>
    <w:rsid w:val="002E1813"/>
    <w:rsid w:val="002E19C6"/>
    <w:rsid w:val="002E1AF4"/>
    <w:rsid w:val="002E1B8E"/>
    <w:rsid w:val="002E1BAC"/>
    <w:rsid w:val="002E1C42"/>
    <w:rsid w:val="002E1C54"/>
    <w:rsid w:val="002E1D89"/>
    <w:rsid w:val="002E1DC7"/>
    <w:rsid w:val="002E1EDA"/>
    <w:rsid w:val="002E1F22"/>
    <w:rsid w:val="002E1FF9"/>
    <w:rsid w:val="002E2120"/>
    <w:rsid w:val="002E2272"/>
    <w:rsid w:val="002E227C"/>
    <w:rsid w:val="002E2284"/>
    <w:rsid w:val="002E2302"/>
    <w:rsid w:val="002E248D"/>
    <w:rsid w:val="002E24FF"/>
    <w:rsid w:val="002E262D"/>
    <w:rsid w:val="002E2B13"/>
    <w:rsid w:val="002E2D02"/>
    <w:rsid w:val="002E2D8B"/>
    <w:rsid w:val="002E2E66"/>
    <w:rsid w:val="002E2FE4"/>
    <w:rsid w:val="002E30C9"/>
    <w:rsid w:val="002E3115"/>
    <w:rsid w:val="002E311F"/>
    <w:rsid w:val="002E3173"/>
    <w:rsid w:val="002E31FA"/>
    <w:rsid w:val="002E328B"/>
    <w:rsid w:val="002E32F7"/>
    <w:rsid w:val="002E333B"/>
    <w:rsid w:val="002E34DA"/>
    <w:rsid w:val="002E3595"/>
    <w:rsid w:val="002E35ED"/>
    <w:rsid w:val="002E375E"/>
    <w:rsid w:val="002E37EA"/>
    <w:rsid w:val="002E3818"/>
    <w:rsid w:val="002E3949"/>
    <w:rsid w:val="002E3ADC"/>
    <w:rsid w:val="002E3C19"/>
    <w:rsid w:val="002E3DBE"/>
    <w:rsid w:val="002E3DCD"/>
    <w:rsid w:val="002E3EF4"/>
    <w:rsid w:val="002E3F98"/>
    <w:rsid w:val="002E4359"/>
    <w:rsid w:val="002E43BF"/>
    <w:rsid w:val="002E446A"/>
    <w:rsid w:val="002E448D"/>
    <w:rsid w:val="002E44E1"/>
    <w:rsid w:val="002E454A"/>
    <w:rsid w:val="002E4559"/>
    <w:rsid w:val="002E45CC"/>
    <w:rsid w:val="002E4621"/>
    <w:rsid w:val="002E4660"/>
    <w:rsid w:val="002E46B5"/>
    <w:rsid w:val="002E4755"/>
    <w:rsid w:val="002E48EC"/>
    <w:rsid w:val="002E494E"/>
    <w:rsid w:val="002E497E"/>
    <w:rsid w:val="002E49B3"/>
    <w:rsid w:val="002E49BC"/>
    <w:rsid w:val="002E49D7"/>
    <w:rsid w:val="002E4AF1"/>
    <w:rsid w:val="002E4B66"/>
    <w:rsid w:val="002E501E"/>
    <w:rsid w:val="002E518C"/>
    <w:rsid w:val="002E5410"/>
    <w:rsid w:val="002E5488"/>
    <w:rsid w:val="002E5532"/>
    <w:rsid w:val="002E55DC"/>
    <w:rsid w:val="002E561C"/>
    <w:rsid w:val="002E5668"/>
    <w:rsid w:val="002E572A"/>
    <w:rsid w:val="002E574F"/>
    <w:rsid w:val="002E57AC"/>
    <w:rsid w:val="002E5836"/>
    <w:rsid w:val="002E58AA"/>
    <w:rsid w:val="002E58C1"/>
    <w:rsid w:val="002E5922"/>
    <w:rsid w:val="002E5A97"/>
    <w:rsid w:val="002E5A9B"/>
    <w:rsid w:val="002E5B1F"/>
    <w:rsid w:val="002E5C71"/>
    <w:rsid w:val="002E5DEE"/>
    <w:rsid w:val="002E5EF3"/>
    <w:rsid w:val="002E6028"/>
    <w:rsid w:val="002E61AC"/>
    <w:rsid w:val="002E62A7"/>
    <w:rsid w:val="002E62F4"/>
    <w:rsid w:val="002E6396"/>
    <w:rsid w:val="002E6398"/>
    <w:rsid w:val="002E64CA"/>
    <w:rsid w:val="002E64E1"/>
    <w:rsid w:val="002E655E"/>
    <w:rsid w:val="002E6751"/>
    <w:rsid w:val="002E681D"/>
    <w:rsid w:val="002E6837"/>
    <w:rsid w:val="002E688F"/>
    <w:rsid w:val="002E68E8"/>
    <w:rsid w:val="002E6945"/>
    <w:rsid w:val="002E6A31"/>
    <w:rsid w:val="002E6A8D"/>
    <w:rsid w:val="002E6B1F"/>
    <w:rsid w:val="002E6BB5"/>
    <w:rsid w:val="002E6BDA"/>
    <w:rsid w:val="002E6C3D"/>
    <w:rsid w:val="002E6D51"/>
    <w:rsid w:val="002E6EA9"/>
    <w:rsid w:val="002E6EDC"/>
    <w:rsid w:val="002E6F18"/>
    <w:rsid w:val="002E6F77"/>
    <w:rsid w:val="002E6FA8"/>
    <w:rsid w:val="002E709E"/>
    <w:rsid w:val="002E70B4"/>
    <w:rsid w:val="002E71B1"/>
    <w:rsid w:val="002E72C2"/>
    <w:rsid w:val="002E72EC"/>
    <w:rsid w:val="002E7317"/>
    <w:rsid w:val="002E73BA"/>
    <w:rsid w:val="002E74AE"/>
    <w:rsid w:val="002E74BD"/>
    <w:rsid w:val="002E75F3"/>
    <w:rsid w:val="002E760E"/>
    <w:rsid w:val="002E763C"/>
    <w:rsid w:val="002E76E2"/>
    <w:rsid w:val="002E76FC"/>
    <w:rsid w:val="002E77ED"/>
    <w:rsid w:val="002E79B4"/>
    <w:rsid w:val="002E7CFF"/>
    <w:rsid w:val="002E7DDE"/>
    <w:rsid w:val="002E7EAA"/>
    <w:rsid w:val="002E7EAB"/>
    <w:rsid w:val="002E7FA0"/>
    <w:rsid w:val="002E7FB1"/>
    <w:rsid w:val="002E7FE3"/>
    <w:rsid w:val="002F0020"/>
    <w:rsid w:val="002F0045"/>
    <w:rsid w:val="002F0060"/>
    <w:rsid w:val="002F0061"/>
    <w:rsid w:val="002F0134"/>
    <w:rsid w:val="002F016F"/>
    <w:rsid w:val="002F022D"/>
    <w:rsid w:val="002F02BA"/>
    <w:rsid w:val="002F0458"/>
    <w:rsid w:val="002F0503"/>
    <w:rsid w:val="002F0685"/>
    <w:rsid w:val="002F0796"/>
    <w:rsid w:val="002F07CB"/>
    <w:rsid w:val="002F0BA2"/>
    <w:rsid w:val="002F0DC6"/>
    <w:rsid w:val="002F0DF7"/>
    <w:rsid w:val="002F0E76"/>
    <w:rsid w:val="002F1143"/>
    <w:rsid w:val="002F1554"/>
    <w:rsid w:val="002F159D"/>
    <w:rsid w:val="002F16C1"/>
    <w:rsid w:val="002F16D8"/>
    <w:rsid w:val="002F16DB"/>
    <w:rsid w:val="002F16DD"/>
    <w:rsid w:val="002F17C7"/>
    <w:rsid w:val="002F1961"/>
    <w:rsid w:val="002F1981"/>
    <w:rsid w:val="002F1A30"/>
    <w:rsid w:val="002F1A58"/>
    <w:rsid w:val="002F1BF1"/>
    <w:rsid w:val="002F1CC0"/>
    <w:rsid w:val="002F1D2D"/>
    <w:rsid w:val="002F1FB0"/>
    <w:rsid w:val="002F209B"/>
    <w:rsid w:val="002F2256"/>
    <w:rsid w:val="002F2336"/>
    <w:rsid w:val="002F23A4"/>
    <w:rsid w:val="002F2441"/>
    <w:rsid w:val="002F2640"/>
    <w:rsid w:val="002F2708"/>
    <w:rsid w:val="002F27D3"/>
    <w:rsid w:val="002F27E1"/>
    <w:rsid w:val="002F27FB"/>
    <w:rsid w:val="002F281A"/>
    <w:rsid w:val="002F29AA"/>
    <w:rsid w:val="002F2A19"/>
    <w:rsid w:val="002F2A76"/>
    <w:rsid w:val="002F2BC9"/>
    <w:rsid w:val="002F2BF0"/>
    <w:rsid w:val="002F2E2F"/>
    <w:rsid w:val="002F2FCE"/>
    <w:rsid w:val="002F3031"/>
    <w:rsid w:val="002F3189"/>
    <w:rsid w:val="002F3201"/>
    <w:rsid w:val="002F34F3"/>
    <w:rsid w:val="002F34F9"/>
    <w:rsid w:val="002F364E"/>
    <w:rsid w:val="002F372C"/>
    <w:rsid w:val="002F3762"/>
    <w:rsid w:val="002F37F5"/>
    <w:rsid w:val="002F3870"/>
    <w:rsid w:val="002F387A"/>
    <w:rsid w:val="002F3885"/>
    <w:rsid w:val="002F3897"/>
    <w:rsid w:val="002F38AF"/>
    <w:rsid w:val="002F39E4"/>
    <w:rsid w:val="002F3AAF"/>
    <w:rsid w:val="002F3CF3"/>
    <w:rsid w:val="002F3EC1"/>
    <w:rsid w:val="002F3EC5"/>
    <w:rsid w:val="002F3F43"/>
    <w:rsid w:val="002F4112"/>
    <w:rsid w:val="002F4138"/>
    <w:rsid w:val="002F4173"/>
    <w:rsid w:val="002F4181"/>
    <w:rsid w:val="002F41FD"/>
    <w:rsid w:val="002F420B"/>
    <w:rsid w:val="002F420F"/>
    <w:rsid w:val="002F4267"/>
    <w:rsid w:val="002F45AD"/>
    <w:rsid w:val="002F46AE"/>
    <w:rsid w:val="002F46BB"/>
    <w:rsid w:val="002F479F"/>
    <w:rsid w:val="002F48A6"/>
    <w:rsid w:val="002F4918"/>
    <w:rsid w:val="002F4963"/>
    <w:rsid w:val="002F4981"/>
    <w:rsid w:val="002F4B47"/>
    <w:rsid w:val="002F4BFB"/>
    <w:rsid w:val="002F4DCC"/>
    <w:rsid w:val="002F4F87"/>
    <w:rsid w:val="002F5099"/>
    <w:rsid w:val="002F50BF"/>
    <w:rsid w:val="002F5134"/>
    <w:rsid w:val="002F5258"/>
    <w:rsid w:val="002F53BE"/>
    <w:rsid w:val="002F54C0"/>
    <w:rsid w:val="002F5522"/>
    <w:rsid w:val="002F56AB"/>
    <w:rsid w:val="002F573F"/>
    <w:rsid w:val="002F5796"/>
    <w:rsid w:val="002F57B7"/>
    <w:rsid w:val="002F57FD"/>
    <w:rsid w:val="002F58E8"/>
    <w:rsid w:val="002F5B7A"/>
    <w:rsid w:val="002F5BF8"/>
    <w:rsid w:val="002F5C1C"/>
    <w:rsid w:val="002F5C60"/>
    <w:rsid w:val="002F5C8F"/>
    <w:rsid w:val="002F5CF8"/>
    <w:rsid w:val="002F5D14"/>
    <w:rsid w:val="002F5D62"/>
    <w:rsid w:val="002F5DCB"/>
    <w:rsid w:val="002F5F16"/>
    <w:rsid w:val="002F5F27"/>
    <w:rsid w:val="002F5FB4"/>
    <w:rsid w:val="002F60E3"/>
    <w:rsid w:val="002F61CF"/>
    <w:rsid w:val="002F61E4"/>
    <w:rsid w:val="002F6351"/>
    <w:rsid w:val="002F6582"/>
    <w:rsid w:val="002F6595"/>
    <w:rsid w:val="002F6657"/>
    <w:rsid w:val="002F67C5"/>
    <w:rsid w:val="002F67D2"/>
    <w:rsid w:val="002F6802"/>
    <w:rsid w:val="002F681A"/>
    <w:rsid w:val="002F689E"/>
    <w:rsid w:val="002F6922"/>
    <w:rsid w:val="002F6967"/>
    <w:rsid w:val="002F6978"/>
    <w:rsid w:val="002F6AB0"/>
    <w:rsid w:val="002F6AB5"/>
    <w:rsid w:val="002F6AD6"/>
    <w:rsid w:val="002F6B09"/>
    <w:rsid w:val="002F6BA6"/>
    <w:rsid w:val="002F6CBF"/>
    <w:rsid w:val="002F6E4B"/>
    <w:rsid w:val="002F6F11"/>
    <w:rsid w:val="002F6F17"/>
    <w:rsid w:val="002F6F25"/>
    <w:rsid w:val="002F6F39"/>
    <w:rsid w:val="002F6F4E"/>
    <w:rsid w:val="002F7030"/>
    <w:rsid w:val="002F717D"/>
    <w:rsid w:val="002F723D"/>
    <w:rsid w:val="002F7476"/>
    <w:rsid w:val="002F749F"/>
    <w:rsid w:val="002F74A1"/>
    <w:rsid w:val="002F74CE"/>
    <w:rsid w:val="002F7530"/>
    <w:rsid w:val="002F7559"/>
    <w:rsid w:val="002F75D0"/>
    <w:rsid w:val="002F7710"/>
    <w:rsid w:val="002F7714"/>
    <w:rsid w:val="002F7921"/>
    <w:rsid w:val="002F79BE"/>
    <w:rsid w:val="002F7A52"/>
    <w:rsid w:val="002F7A8A"/>
    <w:rsid w:val="002F7BF8"/>
    <w:rsid w:val="002F7C0B"/>
    <w:rsid w:val="002F7C68"/>
    <w:rsid w:val="002F7C81"/>
    <w:rsid w:val="002F7CB6"/>
    <w:rsid w:val="002F7CCD"/>
    <w:rsid w:val="002F7D84"/>
    <w:rsid w:val="002F7EB6"/>
    <w:rsid w:val="002F7EE5"/>
    <w:rsid w:val="002F7F2E"/>
    <w:rsid w:val="002F7F8E"/>
    <w:rsid w:val="00300017"/>
    <w:rsid w:val="003001B6"/>
    <w:rsid w:val="00300223"/>
    <w:rsid w:val="00300276"/>
    <w:rsid w:val="00300297"/>
    <w:rsid w:val="003002AD"/>
    <w:rsid w:val="00300326"/>
    <w:rsid w:val="00300367"/>
    <w:rsid w:val="003003D8"/>
    <w:rsid w:val="00300425"/>
    <w:rsid w:val="00300431"/>
    <w:rsid w:val="00300521"/>
    <w:rsid w:val="0030068F"/>
    <w:rsid w:val="003006A6"/>
    <w:rsid w:val="003007FA"/>
    <w:rsid w:val="00300874"/>
    <w:rsid w:val="00300889"/>
    <w:rsid w:val="00300964"/>
    <w:rsid w:val="00300AAD"/>
    <w:rsid w:val="00300BBE"/>
    <w:rsid w:val="00300CCA"/>
    <w:rsid w:val="00300DDB"/>
    <w:rsid w:val="00300E68"/>
    <w:rsid w:val="00300F21"/>
    <w:rsid w:val="00300FF4"/>
    <w:rsid w:val="003010AD"/>
    <w:rsid w:val="00301138"/>
    <w:rsid w:val="0030125D"/>
    <w:rsid w:val="003012CA"/>
    <w:rsid w:val="003012D3"/>
    <w:rsid w:val="003012EB"/>
    <w:rsid w:val="0030148E"/>
    <w:rsid w:val="003015FD"/>
    <w:rsid w:val="00301660"/>
    <w:rsid w:val="0030166C"/>
    <w:rsid w:val="00301783"/>
    <w:rsid w:val="00301785"/>
    <w:rsid w:val="003018A2"/>
    <w:rsid w:val="003019CE"/>
    <w:rsid w:val="00301BB6"/>
    <w:rsid w:val="00301C05"/>
    <w:rsid w:val="00301C0A"/>
    <w:rsid w:val="00301CFD"/>
    <w:rsid w:val="00301D12"/>
    <w:rsid w:val="00301D7F"/>
    <w:rsid w:val="00301EE2"/>
    <w:rsid w:val="00301EF7"/>
    <w:rsid w:val="00301F03"/>
    <w:rsid w:val="003020E1"/>
    <w:rsid w:val="00302206"/>
    <w:rsid w:val="0030221E"/>
    <w:rsid w:val="003022FB"/>
    <w:rsid w:val="003024B0"/>
    <w:rsid w:val="003024FF"/>
    <w:rsid w:val="00302509"/>
    <w:rsid w:val="0030262F"/>
    <w:rsid w:val="003026DC"/>
    <w:rsid w:val="00302863"/>
    <w:rsid w:val="0030289C"/>
    <w:rsid w:val="003029CD"/>
    <w:rsid w:val="003029D7"/>
    <w:rsid w:val="003029DC"/>
    <w:rsid w:val="003029FD"/>
    <w:rsid w:val="00302A99"/>
    <w:rsid w:val="00302AB7"/>
    <w:rsid w:val="00302ACB"/>
    <w:rsid w:val="00302ADD"/>
    <w:rsid w:val="00302B1D"/>
    <w:rsid w:val="00302C4B"/>
    <w:rsid w:val="00302D63"/>
    <w:rsid w:val="00302DAE"/>
    <w:rsid w:val="00302E1A"/>
    <w:rsid w:val="00302EA8"/>
    <w:rsid w:val="00302EB2"/>
    <w:rsid w:val="00302FA8"/>
    <w:rsid w:val="00303052"/>
    <w:rsid w:val="003031A9"/>
    <w:rsid w:val="003031AE"/>
    <w:rsid w:val="003031CA"/>
    <w:rsid w:val="0030320D"/>
    <w:rsid w:val="00303348"/>
    <w:rsid w:val="00303419"/>
    <w:rsid w:val="0030345A"/>
    <w:rsid w:val="003034F3"/>
    <w:rsid w:val="00303503"/>
    <w:rsid w:val="0030353F"/>
    <w:rsid w:val="00303562"/>
    <w:rsid w:val="00303765"/>
    <w:rsid w:val="00303A06"/>
    <w:rsid w:val="00303A62"/>
    <w:rsid w:val="00303A6C"/>
    <w:rsid w:val="00303AA0"/>
    <w:rsid w:val="00303AB5"/>
    <w:rsid w:val="00303AC1"/>
    <w:rsid w:val="00303BA9"/>
    <w:rsid w:val="00303C4A"/>
    <w:rsid w:val="00303D86"/>
    <w:rsid w:val="00303ED6"/>
    <w:rsid w:val="00304019"/>
    <w:rsid w:val="0030429F"/>
    <w:rsid w:val="003042B1"/>
    <w:rsid w:val="003042D5"/>
    <w:rsid w:val="00304309"/>
    <w:rsid w:val="00304318"/>
    <w:rsid w:val="00304362"/>
    <w:rsid w:val="003043CF"/>
    <w:rsid w:val="003043E4"/>
    <w:rsid w:val="0030450F"/>
    <w:rsid w:val="00304587"/>
    <w:rsid w:val="003045CD"/>
    <w:rsid w:val="003047F8"/>
    <w:rsid w:val="003048E6"/>
    <w:rsid w:val="003049B7"/>
    <w:rsid w:val="003049B9"/>
    <w:rsid w:val="00304B36"/>
    <w:rsid w:val="00304B80"/>
    <w:rsid w:val="00304BA4"/>
    <w:rsid w:val="00304BE7"/>
    <w:rsid w:val="00304C78"/>
    <w:rsid w:val="00304E22"/>
    <w:rsid w:val="00304ED9"/>
    <w:rsid w:val="00304F33"/>
    <w:rsid w:val="00305077"/>
    <w:rsid w:val="00305222"/>
    <w:rsid w:val="00305235"/>
    <w:rsid w:val="00305283"/>
    <w:rsid w:val="0030530A"/>
    <w:rsid w:val="003053F5"/>
    <w:rsid w:val="00305468"/>
    <w:rsid w:val="00305556"/>
    <w:rsid w:val="0030560B"/>
    <w:rsid w:val="003056E9"/>
    <w:rsid w:val="0030581D"/>
    <w:rsid w:val="0030585B"/>
    <w:rsid w:val="00305944"/>
    <w:rsid w:val="0030599D"/>
    <w:rsid w:val="00305A98"/>
    <w:rsid w:val="00305AA8"/>
    <w:rsid w:val="00305B62"/>
    <w:rsid w:val="00305C9B"/>
    <w:rsid w:val="00305D6B"/>
    <w:rsid w:val="00305EEF"/>
    <w:rsid w:val="00305FBE"/>
    <w:rsid w:val="0030602C"/>
    <w:rsid w:val="00306078"/>
    <w:rsid w:val="00306088"/>
    <w:rsid w:val="00306158"/>
    <w:rsid w:val="003061CF"/>
    <w:rsid w:val="003061FB"/>
    <w:rsid w:val="003062BD"/>
    <w:rsid w:val="0030640E"/>
    <w:rsid w:val="00306487"/>
    <w:rsid w:val="003064CA"/>
    <w:rsid w:val="00306510"/>
    <w:rsid w:val="0030653B"/>
    <w:rsid w:val="00306541"/>
    <w:rsid w:val="003065E0"/>
    <w:rsid w:val="0030671E"/>
    <w:rsid w:val="0030681A"/>
    <w:rsid w:val="00306820"/>
    <w:rsid w:val="00306912"/>
    <w:rsid w:val="00306C2D"/>
    <w:rsid w:val="00306CED"/>
    <w:rsid w:val="00306DB1"/>
    <w:rsid w:val="00306E16"/>
    <w:rsid w:val="00306F63"/>
    <w:rsid w:val="00306FDB"/>
    <w:rsid w:val="00306FE9"/>
    <w:rsid w:val="003071AE"/>
    <w:rsid w:val="003071BE"/>
    <w:rsid w:val="003071DF"/>
    <w:rsid w:val="003072D6"/>
    <w:rsid w:val="0030731C"/>
    <w:rsid w:val="00307370"/>
    <w:rsid w:val="003076A5"/>
    <w:rsid w:val="00307742"/>
    <w:rsid w:val="003078D5"/>
    <w:rsid w:val="00307995"/>
    <w:rsid w:val="003079CF"/>
    <w:rsid w:val="00307B72"/>
    <w:rsid w:val="00307BB9"/>
    <w:rsid w:val="00307C59"/>
    <w:rsid w:val="00307E76"/>
    <w:rsid w:val="00307EBA"/>
    <w:rsid w:val="0031002D"/>
    <w:rsid w:val="0031016D"/>
    <w:rsid w:val="00310260"/>
    <w:rsid w:val="003103E4"/>
    <w:rsid w:val="003104D2"/>
    <w:rsid w:val="0031057F"/>
    <w:rsid w:val="00310600"/>
    <w:rsid w:val="003106C3"/>
    <w:rsid w:val="003109F5"/>
    <w:rsid w:val="00310B34"/>
    <w:rsid w:val="00310B56"/>
    <w:rsid w:val="00310BA0"/>
    <w:rsid w:val="00310C20"/>
    <w:rsid w:val="00310D58"/>
    <w:rsid w:val="00310E94"/>
    <w:rsid w:val="00310FC7"/>
    <w:rsid w:val="00310FDA"/>
    <w:rsid w:val="0031114B"/>
    <w:rsid w:val="00311204"/>
    <w:rsid w:val="0031124A"/>
    <w:rsid w:val="003112BA"/>
    <w:rsid w:val="00311307"/>
    <w:rsid w:val="0031131E"/>
    <w:rsid w:val="003113CB"/>
    <w:rsid w:val="003113F9"/>
    <w:rsid w:val="0031174E"/>
    <w:rsid w:val="003117BC"/>
    <w:rsid w:val="00311AA9"/>
    <w:rsid w:val="00311AE1"/>
    <w:rsid w:val="00311B0D"/>
    <w:rsid w:val="00311C02"/>
    <w:rsid w:val="00311CAC"/>
    <w:rsid w:val="00311D53"/>
    <w:rsid w:val="00311DAE"/>
    <w:rsid w:val="00311F11"/>
    <w:rsid w:val="00311FD7"/>
    <w:rsid w:val="00312175"/>
    <w:rsid w:val="003121AF"/>
    <w:rsid w:val="00312233"/>
    <w:rsid w:val="003122F4"/>
    <w:rsid w:val="00312365"/>
    <w:rsid w:val="00312510"/>
    <w:rsid w:val="003125AF"/>
    <w:rsid w:val="0031279F"/>
    <w:rsid w:val="0031280F"/>
    <w:rsid w:val="00312858"/>
    <w:rsid w:val="003128FD"/>
    <w:rsid w:val="0031293B"/>
    <w:rsid w:val="00312AD7"/>
    <w:rsid w:val="00312AFB"/>
    <w:rsid w:val="00312DE7"/>
    <w:rsid w:val="00313019"/>
    <w:rsid w:val="00313102"/>
    <w:rsid w:val="00313126"/>
    <w:rsid w:val="00313157"/>
    <w:rsid w:val="0031329B"/>
    <w:rsid w:val="003133BE"/>
    <w:rsid w:val="003136B8"/>
    <w:rsid w:val="003136D7"/>
    <w:rsid w:val="0031373E"/>
    <w:rsid w:val="003137E0"/>
    <w:rsid w:val="00313ABE"/>
    <w:rsid w:val="00313ADC"/>
    <w:rsid w:val="00313B1E"/>
    <w:rsid w:val="00313B49"/>
    <w:rsid w:val="00313C28"/>
    <w:rsid w:val="00313CB8"/>
    <w:rsid w:val="00313CEC"/>
    <w:rsid w:val="00313D4A"/>
    <w:rsid w:val="00313E2D"/>
    <w:rsid w:val="00313FF8"/>
    <w:rsid w:val="00314086"/>
    <w:rsid w:val="003140B5"/>
    <w:rsid w:val="00314177"/>
    <w:rsid w:val="0031422D"/>
    <w:rsid w:val="00314381"/>
    <w:rsid w:val="0031440A"/>
    <w:rsid w:val="00314413"/>
    <w:rsid w:val="00314425"/>
    <w:rsid w:val="00314464"/>
    <w:rsid w:val="003144A5"/>
    <w:rsid w:val="00314503"/>
    <w:rsid w:val="00314528"/>
    <w:rsid w:val="003148DF"/>
    <w:rsid w:val="003148F9"/>
    <w:rsid w:val="00314903"/>
    <w:rsid w:val="00314959"/>
    <w:rsid w:val="00314965"/>
    <w:rsid w:val="003149B2"/>
    <w:rsid w:val="00314B79"/>
    <w:rsid w:val="00314CAF"/>
    <w:rsid w:val="00314E5E"/>
    <w:rsid w:val="00314E6B"/>
    <w:rsid w:val="00314EC6"/>
    <w:rsid w:val="00314F51"/>
    <w:rsid w:val="00314F9D"/>
    <w:rsid w:val="0031517C"/>
    <w:rsid w:val="003151B6"/>
    <w:rsid w:val="003151B7"/>
    <w:rsid w:val="003152FD"/>
    <w:rsid w:val="003153A1"/>
    <w:rsid w:val="00315438"/>
    <w:rsid w:val="0031548E"/>
    <w:rsid w:val="00315538"/>
    <w:rsid w:val="0031557A"/>
    <w:rsid w:val="003157AD"/>
    <w:rsid w:val="0031587C"/>
    <w:rsid w:val="003158CD"/>
    <w:rsid w:val="00315A74"/>
    <w:rsid w:val="00315AC0"/>
    <w:rsid w:val="00315B37"/>
    <w:rsid w:val="00315BA1"/>
    <w:rsid w:val="00315C7D"/>
    <w:rsid w:val="00315D17"/>
    <w:rsid w:val="00315D51"/>
    <w:rsid w:val="00315D58"/>
    <w:rsid w:val="00315E7C"/>
    <w:rsid w:val="00315FD1"/>
    <w:rsid w:val="00316040"/>
    <w:rsid w:val="003161B8"/>
    <w:rsid w:val="003163BF"/>
    <w:rsid w:val="00316489"/>
    <w:rsid w:val="00316571"/>
    <w:rsid w:val="003165B6"/>
    <w:rsid w:val="00316633"/>
    <w:rsid w:val="003168F0"/>
    <w:rsid w:val="00316920"/>
    <w:rsid w:val="00316A84"/>
    <w:rsid w:val="00316C41"/>
    <w:rsid w:val="00316C45"/>
    <w:rsid w:val="00316C7B"/>
    <w:rsid w:val="00316CA6"/>
    <w:rsid w:val="00316CC8"/>
    <w:rsid w:val="00316D41"/>
    <w:rsid w:val="00316DBA"/>
    <w:rsid w:val="00316E61"/>
    <w:rsid w:val="00316EC7"/>
    <w:rsid w:val="00316F55"/>
    <w:rsid w:val="0031702C"/>
    <w:rsid w:val="0031707A"/>
    <w:rsid w:val="00317167"/>
    <w:rsid w:val="00317313"/>
    <w:rsid w:val="00317569"/>
    <w:rsid w:val="0031763C"/>
    <w:rsid w:val="00317A23"/>
    <w:rsid w:val="00317A34"/>
    <w:rsid w:val="00317AB1"/>
    <w:rsid w:val="00317D0D"/>
    <w:rsid w:val="00317E33"/>
    <w:rsid w:val="00317EF8"/>
    <w:rsid w:val="00317FD0"/>
    <w:rsid w:val="0032006D"/>
    <w:rsid w:val="003200D6"/>
    <w:rsid w:val="003200FE"/>
    <w:rsid w:val="00320156"/>
    <w:rsid w:val="0032029F"/>
    <w:rsid w:val="0032031F"/>
    <w:rsid w:val="0032036E"/>
    <w:rsid w:val="003204F6"/>
    <w:rsid w:val="00320626"/>
    <w:rsid w:val="00320658"/>
    <w:rsid w:val="003206C8"/>
    <w:rsid w:val="003207FB"/>
    <w:rsid w:val="0032083B"/>
    <w:rsid w:val="003208DC"/>
    <w:rsid w:val="0032095C"/>
    <w:rsid w:val="00320B68"/>
    <w:rsid w:val="00320B9A"/>
    <w:rsid w:val="00320BDB"/>
    <w:rsid w:val="003210A1"/>
    <w:rsid w:val="00321200"/>
    <w:rsid w:val="00321208"/>
    <w:rsid w:val="003213DB"/>
    <w:rsid w:val="003213DD"/>
    <w:rsid w:val="0032147D"/>
    <w:rsid w:val="00321504"/>
    <w:rsid w:val="003215DC"/>
    <w:rsid w:val="003216C2"/>
    <w:rsid w:val="003216C5"/>
    <w:rsid w:val="00321738"/>
    <w:rsid w:val="00321830"/>
    <w:rsid w:val="00321954"/>
    <w:rsid w:val="003219C5"/>
    <w:rsid w:val="00321BB4"/>
    <w:rsid w:val="00321BB9"/>
    <w:rsid w:val="00321C07"/>
    <w:rsid w:val="00321C0B"/>
    <w:rsid w:val="00321CCE"/>
    <w:rsid w:val="00321D76"/>
    <w:rsid w:val="00321ED1"/>
    <w:rsid w:val="00321F02"/>
    <w:rsid w:val="00321F11"/>
    <w:rsid w:val="0032223F"/>
    <w:rsid w:val="0032235B"/>
    <w:rsid w:val="00322361"/>
    <w:rsid w:val="0032248C"/>
    <w:rsid w:val="00322766"/>
    <w:rsid w:val="003227A3"/>
    <w:rsid w:val="003227AC"/>
    <w:rsid w:val="00322800"/>
    <w:rsid w:val="00322818"/>
    <w:rsid w:val="00322832"/>
    <w:rsid w:val="00322844"/>
    <w:rsid w:val="00322965"/>
    <w:rsid w:val="003229D6"/>
    <w:rsid w:val="003229E5"/>
    <w:rsid w:val="00322A1A"/>
    <w:rsid w:val="00322AE0"/>
    <w:rsid w:val="00322C31"/>
    <w:rsid w:val="00322C6A"/>
    <w:rsid w:val="00322C7C"/>
    <w:rsid w:val="00322CAB"/>
    <w:rsid w:val="00322D22"/>
    <w:rsid w:val="00322D5F"/>
    <w:rsid w:val="00322F09"/>
    <w:rsid w:val="003230FA"/>
    <w:rsid w:val="00323142"/>
    <w:rsid w:val="00323164"/>
    <w:rsid w:val="003231F6"/>
    <w:rsid w:val="003232CF"/>
    <w:rsid w:val="00323387"/>
    <w:rsid w:val="003233CD"/>
    <w:rsid w:val="003233ED"/>
    <w:rsid w:val="003233F4"/>
    <w:rsid w:val="00323779"/>
    <w:rsid w:val="00323794"/>
    <w:rsid w:val="00323827"/>
    <w:rsid w:val="0032393E"/>
    <w:rsid w:val="00323991"/>
    <w:rsid w:val="003239D1"/>
    <w:rsid w:val="00323B0A"/>
    <w:rsid w:val="00323B16"/>
    <w:rsid w:val="00323C1C"/>
    <w:rsid w:val="0032419B"/>
    <w:rsid w:val="00324224"/>
    <w:rsid w:val="0032427B"/>
    <w:rsid w:val="0032431A"/>
    <w:rsid w:val="00324525"/>
    <w:rsid w:val="0032453F"/>
    <w:rsid w:val="00324652"/>
    <w:rsid w:val="0032467C"/>
    <w:rsid w:val="0032468B"/>
    <w:rsid w:val="0032474C"/>
    <w:rsid w:val="00324813"/>
    <w:rsid w:val="0032488F"/>
    <w:rsid w:val="003248FF"/>
    <w:rsid w:val="00324925"/>
    <w:rsid w:val="00324B53"/>
    <w:rsid w:val="00324B9F"/>
    <w:rsid w:val="00324CB6"/>
    <w:rsid w:val="00324E59"/>
    <w:rsid w:val="00324E81"/>
    <w:rsid w:val="00325151"/>
    <w:rsid w:val="0032539F"/>
    <w:rsid w:val="00325564"/>
    <w:rsid w:val="00325567"/>
    <w:rsid w:val="00325581"/>
    <w:rsid w:val="00325646"/>
    <w:rsid w:val="0032567B"/>
    <w:rsid w:val="00325856"/>
    <w:rsid w:val="003258E7"/>
    <w:rsid w:val="00325941"/>
    <w:rsid w:val="00325A5E"/>
    <w:rsid w:val="00325A8B"/>
    <w:rsid w:val="00325B71"/>
    <w:rsid w:val="00325BAD"/>
    <w:rsid w:val="00325C18"/>
    <w:rsid w:val="00325CB1"/>
    <w:rsid w:val="00325CD4"/>
    <w:rsid w:val="00325D53"/>
    <w:rsid w:val="00325E0B"/>
    <w:rsid w:val="00325E16"/>
    <w:rsid w:val="00325F2F"/>
    <w:rsid w:val="00325F30"/>
    <w:rsid w:val="00325F3D"/>
    <w:rsid w:val="00325F57"/>
    <w:rsid w:val="00325F7E"/>
    <w:rsid w:val="00325F87"/>
    <w:rsid w:val="00325F99"/>
    <w:rsid w:val="00325FF2"/>
    <w:rsid w:val="0032615C"/>
    <w:rsid w:val="003262BD"/>
    <w:rsid w:val="003262C5"/>
    <w:rsid w:val="003262F1"/>
    <w:rsid w:val="00326343"/>
    <w:rsid w:val="00326421"/>
    <w:rsid w:val="00326467"/>
    <w:rsid w:val="0032655A"/>
    <w:rsid w:val="0032657F"/>
    <w:rsid w:val="003267B0"/>
    <w:rsid w:val="00326812"/>
    <w:rsid w:val="00326819"/>
    <w:rsid w:val="003269D7"/>
    <w:rsid w:val="003269E9"/>
    <w:rsid w:val="00326A02"/>
    <w:rsid w:val="00326A6F"/>
    <w:rsid w:val="00326B3E"/>
    <w:rsid w:val="00326D10"/>
    <w:rsid w:val="00326D24"/>
    <w:rsid w:val="00326D37"/>
    <w:rsid w:val="00326D52"/>
    <w:rsid w:val="00326D7A"/>
    <w:rsid w:val="00326E8C"/>
    <w:rsid w:val="00326F59"/>
    <w:rsid w:val="00326F6A"/>
    <w:rsid w:val="00326FB3"/>
    <w:rsid w:val="00327000"/>
    <w:rsid w:val="0032715C"/>
    <w:rsid w:val="0032749C"/>
    <w:rsid w:val="003274CD"/>
    <w:rsid w:val="003275E3"/>
    <w:rsid w:val="00327754"/>
    <w:rsid w:val="003277A5"/>
    <w:rsid w:val="003277FD"/>
    <w:rsid w:val="00327856"/>
    <w:rsid w:val="00327974"/>
    <w:rsid w:val="003279C2"/>
    <w:rsid w:val="00327A18"/>
    <w:rsid w:val="00327A48"/>
    <w:rsid w:val="00327B11"/>
    <w:rsid w:val="00327B75"/>
    <w:rsid w:val="00327B84"/>
    <w:rsid w:val="00327BBE"/>
    <w:rsid w:val="00327BD8"/>
    <w:rsid w:val="00327D8E"/>
    <w:rsid w:val="00327DF6"/>
    <w:rsid w:val="00327E8B"/>
    <w:rsid w:val="00327F14"/>
    <w:rsid w:val="00327F76"/>
    <w:rsid w:val="00327FF7"/>
    <w:rsid w:val="003300B2"/>
    <w:rsid w:val="00330253"/>
    <w:rsid w:val="003302B9"/>
    <w:rsid w:val="003303B7"/>
    <w:rsid w:val="003303CF"/>
    <w:rsid w:val="00330803"/>
    <w:rsid w:val="00330B32"/>
    <w:rsid w:val="00330C03"/>
    <w:rsid w:val="00330E7C"/>
    <w:rsid w:val="00330ED0"/>
    <w:rsid w:val="00330F71"/>
    <w:rsid w:val="00331011"/>
    <w:rsid w:val="00331020"/>
    <w:rsid w:val="00331082"/>
    <w:rsid w:val="003310D3"/>
    <w:rsid w:val="0033116D"/>
    <w:rsid w:val="00331174"/>
    <w:rsid w:val="003311A3"/>
    <w:rsid w:val="0033137F"/>
    <w:rsid w:val="0033143A"/>
    <w:rsid w:val="0033146A"/>
    <w:rsid w:val="00331509"/>
    <w:rsid w:val="00331665"/>
    <w:rsid w:val="0033185A"/>
    <w:rsid w:val="003318FC"/>
    <w:rsid w:val="003319D8"/>
    <w:rsid w:val="00331A53"/>
    <w:rsid w:val="00331B09"/>
    <w:rsid w:val="00331C2E"/>
    <w:rsid w:val="00331E5F"/>
    <w:rsid w:val="00331FD5"/>
    <w:rsid w:val="00332301"/>
    <w:rsid w:val="0033237E"/>
    <w:rsid w:val="00332408"/>
    <w:rsid w:val="00332480"/>
    <w:rsid w:val="003324D3"/>
    <w:rsid w:val="0033251C"/>
    <w:rsid w:val="00332674"/>
    <w:rsid w:val="003328CF"/>
    <w:rsid w:val="003329CC"/>
    <w:rsid w:val="00332B8C"/>
    <w:rsid w:val="00332D99"/>
    <w:rsid w:val="00332DFD"/>
    <w:rsid w:val="00332E2D"/>
    <w:rsid w:val="00332EF7"/>
    <w:rsid w:val="00332F5C"/>
    <w:rsid w:val="00333120"/>
    <w:rsid w:val="003331B4"/>
    <w:rsid w:val="003334BD"/>
    <w:rsid w:val="00333615"/>
    <w:rsid w:val="003336E1"/>
    <w:rsid w:val="00333779"/>
    <w:rsid w:val="003337B4"/>
    <w:rsid w:val="00333AA7"/>
    <w:rsid w:val="00333B06"/>
    <w:rsid w:val="00333BB8"/>
    <w:rsid w:val="00333CDA"/>
    <w:rsid w:val="00333CE9"/>
    <w:rsid w:val="00333DDF"/>
    <w:rsid w:val="00333DE7"/>
    <w:rsid w:val="00333E56"/>
    <w:rsid w:val="00333EC4"/>
    <w:rsid w:val="00333F80"/>
    <w:rsid w:val="00334056"/>
    <w:rsid w:val="0033409F"/>
    <w:rsid w:val="003340E1"/>
    <w:rsid w:val="0033429C"/>
    <w:rsid w:val="00334321"/>
    <w:rsid w:val="0033440F"/>
    <w:rsid w:val="0033448A"/>
    <w:rsid w:val="003344F2"/>
    <w:rsid w:val="003346A9"/>
    <w:rsid w:val="00334704"/>
    <w:rsid w:val="0033480B"/>
    <w:rsid w:val="00334836"/>
    <w:rsid w:val="0033495E"/>
    <w:rsid w:val="00334962"/>
    <w:rsid w:val="003349B8"/>
    <w:rsid w:val="003349C0"/>
    <w:rsid w:val="003349EC"/>
    <w:rsid w:val="00334B87"/>
    <w:rsid w:val="00334C7C"/>
    <w:rsid w:val="00334D43"/>
    <w:rsid w:val="00334DB0"/>
    <w:rsid w:val="00334DD7"/>
    <w:rsid w:val="003350A4"/>
    <w:rsid w:val="00335117"/>
    <w:rsid w:val="0033517B"/>
    <w:rsid w:val="003351DB"/>
    <w:rsid w:val="00335208"/>
    <w:rsid w:val="00335277"/>
    <w:rsid w:val="00335378"/>
    <w:rsid w:val="003354A2"/>
    <w:rsid w:val="003354F7"/>
    <w:rsid w:val="003357EE"/>
    <w:rsid w:val="0033589E"/>
    <w:rsid w:val="003358A5"/>
    <w:rsid w:val="00335926"/>
    <w:rsid w:val="0033598B"/>
    <w:rsid w:val="0033598D"/>
    <w:rsid w:val="003359B1"/>
    <w:rsid w:val="003359D0"/>
    <w:rsid w:val="003359F8"/>
    <w:rsid w:val="00335A7A"/>
    <w:rsid w:val="00335B07"/>
    <w:rsid w:val="00335B2A"/>
    <w:rsid w:val="00335BD4"/>
    <w:rsid w:val="00335D25"/>
    <w:rsid w:val="00335FB8"/>
    <w:rsid w:val="0033602B"/>
    <w:rsid w:val="003361A9"/>
    <w:rsid w:val="0033628F"/>
    <w:rsid w:val="00336344"/>
    <w:rsid w:val="003363C4"/>
    <w:rsid w:val="003363DC"/>
    <w:rsid w:val="0033641C"/>
    <w:rsid w:val="0033658C"/>
    <w:rsid w:val="003365B6"/>
    <w:rsid w:val="003365F4"/>
    <w:rsid w:val="00336603"/>
    <w:rsid w:val="00336682"/>
    <w:rsid w:val="003368F1"/>
    <w:rsid w:val="0033692D"/>
    <w:rsid w:val="00336A23"/>
    <w:rsid w:val="00336A57"/>
    <w:rsid w:val="00336A71"/>
    <w:rsid w:val="00336AE7"/>
    <w:rsid w:val="00336C69"/>
    <w:rsid w:val="00336D65"/>
    <w:rsid w:val="00336E01"/>
    <w:rsid w:val="00336F3C"/>
    <w:rsid w:val="00336F92"/>
    <w:rsid w:val="00336FCE"/>
    <w:rsid w:val="00336FE2"/>
    <w:rsid w:val="00337312"/>
    <w:rsid w:val="00337484"/>
    <w:rsid w:val="0033754C"/>
    <w:rsid w:val="00337564"/>
    <w:rsid w:val="003376AB"/>
    <w:rsid w:val="003377A5"/>
    <w:rsid w:val="003378F2"/>
    <w:rsid w:val="00337AEE"/>
    <w:rsid w:val="00337C17"/>
    <w:rsid w:val="00337C4A"/>
    <w:rsid w:val="00337CF8"/>
    <w:rsid w:val="00337D58"/>
    <w:rsid w:val="00337DF3"/>
    <w:rsid w:val="00337E35"/>
    <w:rsid w:val="00337E54"/>
    <w:rsid w:val="00337F9C"/>
    <w:rsid w:val="00337FBB"/>
    <w:rsid w:val="00340144"/>
    <w:rsid w:val="003402A2"/>
    <w:rsid w:val="003403C3"/>
    <w:rsid w:val="00340484"/>
    <w:rsid w:val="00340522"/>
    <w:rsid w:val="00340558"/>
    <w:rsid w:val="0034059B"/>
    <w:rsid w:val="0034061B"/>
    <w:rsid w:val="00340741"/>
    <w:rsid w:val="00340749"/>
    <w:rsid w:val="00340960"/>
    <w:rsid w:val="00340A90"/>
    <w:rsid w:val="00340B62"/>
    <w:rsid w:val="00340BCD"/>
    <w:rsid w:val="00340F46"/>
    <w:rsid w:val="00340FAF"/>
    <w:rsid w:val="003410A2"/>
    <w:rsid w:val="00341116"/>
    <w:rsid w:val="00341142"/>
    <w:rsid w:val="00341249"/>
    <w:rsid w:val="0034125E"/>
    <w:rsid w:val="003412B0"/>
    <w:rsid w:val="003412C3"/>
    <w:rsid w:val="003413F1"/>
    <w:rsid w:val="003413F8"/>
    <w:rsid w:val="00341432"/>
    <w:rsid w:val="003414A2"/>
    <w:rsid w:val="00341519"/>
    <w:rsid w:val="003415AC"/>
    <w:rsid w:val="003415C1"/>
    <w:rsid w:val="00341689"/>
    <w:rsid w:val="00341749"/>
    <w:rsid w:val="00341772"/>
    <w:rsid w:val="0034183E"/>
    <w:rsid w:val="00341952"/>
    <w:rsid w:val="003419B8"/>
    <w:rsid w:val="003419F1"/>
    <w:rsid w:val="00341BFB"/>
    <w:rsid w:val="00341C41"/>
    <w:rsid w:val="00341D99"/>
    <w:rsid w:val="00341DE6"/>
    <w:rsid w:val="00341F1E"/>
    <w:rsid w:val="00341F4E"/>
    <w:rsid w:val="00341F7D"/>
    <w:rsid w:val="00341F93"/>
    <w:rsid w:val="00341FAC"/>
    <w:rsid w:val="0034204E"/>
    <w:rsid w:val="00342278"/>
    <w:rsid w:val="003422EE"/>
    <w:rsid w:val="00342325"/>
    <w:rsid w:val="003424B3"/>
    <w:rsid w:val="00342525"/>
    <w:rsid w:val="003425F1"/>
    <w:rsid w:val="003426EB"/>
    <w:rsid w:val="00342752"/>
    <w:rsid w:val="00342812"/>
    <w:rsid w:val="00342837"/>
    <w:rsid w:val="003428A6"/>
    <w:rsid w:val="00342902"/>
    <w:rsid w:val="003429D0"/>
    <w:rsid w:val="00342F3F"/>
    <w:rsid w:val="00342F73"/>
    <w:rsid w:val="00342F8B"/>
    <w:rsid w:val="00342FCA"/>
    <w:rsid w:val="00342FF5"/>
    <w:rsid w:val="00343052"/>
    <w:rsid w:val="0034312A"/>
    <w:rsid w:val="00343155"/>
    <w:rsid w:val="00343174"/>
    <w:rsid w:val="003431B0"/>
    <w:rsid w:val="003431E5"/>
    <w:rsid w:val="0034320B"/>
    <w:rsid w:val="00343383"/>
    <w:rsid w:val="0034338B"/>
    <w:rsid w:val="00343494"/>
    <w:rsid w:val="0034379C"/>
    <w:rsid w:val="003437C6"/>
    <w:rsid w:val="0034393D"/>
    <w:rsid w:val="00343988"/>
    <w:rsid w:val="003439F1"/>
    <w:rsid w:val="00343A19"/>
    <w:rsid w:val="00343B45"/>
    <w:rsid w:val="00343BD3"/>
    <w:rsid w:val="00343C15"/>
    <w:rsid w:val="00343C2E"/>
    <w:rsid w:val="00343CA5"/>
    <w:rsid w:val="00343D6F"/>
    <w:rsid w:val="00343ED6"/>
    <w:rsid w:val="00343F2E"/>
    <w:rsid w:val="00343F8F"/>
    <w:rsid w:val="0034411C"/>
    <w:rsid w:val="0034428E"/>
    <w:rsid w:val="003442AC"/>
    <w:rsid w:val="003443F4"/>
    <w:rsid w:val="0034445D"/>
    <w:rsid w:val="00344543"/>
    <w:rsid w:val="00344673"/>
    <w:rsid w:val="003446A6"/>
    <w:rsid w:val="003446F2"/>
    <w:rsid w:val="00344730"/>
    <w:rsid w:val="0034492A"/>
    <w:rsid w:val="00344C04"/>
    <w:rsid w:val="00344C79"/>
    <w:rsid w:val="00344D56"/>
    <w:rsid w:val="00344E30"/>
    <w:rsid w:val="00344ECC"/>
    <w:rsid w:val="003451F6"/>
    <w:rsid w:val="003451F7"/>
    <w:rsid w:val="0034521D"/>
    <w:rsid w:val="0034526E"/>
    <w:rsid w:val="0034526F"/>
    <w:rsid w:val="0034528B"/>
    <w:rsid w:val="00345331"/>
    <w:rsid w:val="00345388"/>
    <w:rsid w:val="003453D7"/>
    <w:rsid w:val="00345405"/>
    <w:rsid w:val="00345565"/>
    <w:rsid w:val="0034556B"/>
    <w:rsid w:val="003455FD"/>
    <w:rsid w:val="00345759"/>
    <w:rsid w:val="00345784"/>
    <w:rsid w:val="003458B8"/>
    <w:rsid w:val="003459AD"/>
    <w:rsid w:val="00345AAC"/>
    <w:rsid w:val="00345BC8"/>
    <w:rsid w:val="00345C64"/>
    <w:rsid w:val="00345C7E"/>
    <w:rsid w:val="00345D34"/>
    <w:rsid w:val="00345E7C"/>
    <w:rsid w:val="00346029"/>
    <w:rsid w:val="00346059"/>
    <w:rsid w:val="003461A3"/>
    <w:rsid w:val="00346226"/>
    <w:rsid w:val="00346243"/>
    <w:rsid w:val="00346251"/>
    <w:rsid w:val="0034628A"/>
    <w:rsid w:val="00346352"/>
    <w:rsid w:val="003463C7"/>
    <w:rsid w:val="003463EE"/>
    <w:rsid w:val="0034642F"/>
    <w:rsid w:val="00346435"/>
    <w:rsid w:val="00346452"/>
    <w:rsid w:val="00346601"/>
    <w:rsid w:val="0034668D"/>
    <w:rsid w:val="003466EE"/>
    <w:rsid w:val="00346763"/>
    <w:rsid w:val="0034687F"/>
    <w:rsid w:val="003468F1"/>
    <w:rsid w:val="00346AB3"/>
    <w:rsid w:val="00346B98"/>
    <w:rsid w:val="00346BC3"/>
    <w:rsid w:val="00346C53"/>
    <w:rsid w:val="00346ECB"/>
    <w:rsid w:val="00347013"/>
    <w:rsid w:val="0034703B"/>
    <w:rsid w:val="0034704A"/>
    <w:rsid w:val="0034715E"/>
    <w:rsid w:val="0034716C"/>
    <w:rsid w:val="003476B3"/>
    <w:rsid w:val="0034771C"/>
    <w:rsid w:val="0034772D"/>
    <w:rsid w:val="003479D8"/>
    <w:rsid w:val="00347A43"/>
    <w:rsid w:val="00347CF0"/>
    <w:rsid w:val="00347D65"/>
    <w:rsid w:val="00347DF8"/>
    <w:rsid w:val="00347E17"/>
    <w:rsid w:val="00347E66"/>
    <w:rsid w:val="00347EA4"/>
    <w:rsid w:val="0035006D"/>
    <w:rsid w:val="003501B5"/>
    <w:rsid w:val="00350206"/>
    <w:rsid w:val="00350220"/>
    <w:rsid w:val="00350336"/>
    <w:rsid w:val="00350578"/>
    <w:rsid w:val="00350637"/>
    <w:rsid w:val="0035069A"/>
    <w:rsid w:val="00350725"/>
    <w:rsid w:val="003507D3"/>
    <w:rsid w:val="00350944"/>
    <w:rsid w:val="0035094B"/>
    <w:rsid w:val="00350A8E"/>
    <w:rsid w:val="00350AB6"/>
    <w:rsid w:val="00350B2D"/>
    <w:rsid w:val="00350B33"/>
    <w:rsid w:val="00350BAE"/>
    <w:rsid w:val="00350CEB"/>
    <w:rsid w:val="00350D33"/>
    <w:rsid w:val="00350D9E"/>
    <w:rsid w:val="00350EA7"/>
    <w:rsid w:val="00350EFD"/>
    <w:rsid w:val="00350F8B"/>
    <w:rsid w:val="00350FB4"/>
    <w:rsid w:val="0035103F"/>
    <w:rsid w:val="003512A5"/>
    <w:rsid w:val="00351512"/>
    <w:rsid w:val="00351655"/>
    <w:rsid w:val="003516B9"/>
    <w:rsid w:val="003517D9"/>
    <w:rsid w:val="0035182C"/>
    <w:rsid w:val="00351A2A"/>
    <w:rsid w:val="00351C2B"/>
    <w:rsid w:val="00351D45"/>
    <w:rsid w:val="00351E79"/>
    <w:rsid w:val="00351F3A"/>
    <w:rsid w:val="00351FA3"/>
    <w:rsid w:val="00352240"/>
    <w:rsid w:val="0035230D"/>
    <w:rsid w:val="0035244B"/>
    <w:rsid w:val="0035244E"/>
    <w:rsid w:val="003524A9"/>
    <w:rsid w:val="00352615"/>
    <w:rsid w:val="00352637"/>
    <w:rsid w:val="0035275C"/>
    <w:rsid w:val="00352808"/>
    <w:rsid w:val="00352847"/>
    <w:rsid w:val="0035288E"/>
    <w:rsid w:val="003528D7"/>
    <w:rsid w:val="00352947"/>
    <w:rsid w:val="00352996"/>
    <w:rsid w:val="003529D1"/>
    <w:rsid w:val="00352A71"/>
    <w:rsid w:val="00352ADD"/>
    <w:rsid w:val="00352B55"/>
    <w:rsid w:val="00352B67"/>
    <w:rsid w:val="00352E09"/>
    <w:rsid w:val="00352E49"/>
    <w:rsid w:val="00352F23"/>
    <w:rsid w:val="00352F4C"/>
    <w:rsid w:val="00353056"/>
    <w:rsid w:val="00353182"/>
    <w:rsid w:val="0035330C"/>
    <w:rsid w:val="0035354F"/>
    <w:rsid w:val="003535F0"/>
    <w:rsid w:val="0035361E"/>
    <w:rsid w:val="00353655"/>
    <w:rsid w:val="00353680"/>
    <w:rsid w:val="0035381A"/>
    <w:rsid w:val="0035392D"/>
    <w:rsid w:val="00353A0B"/>
    <w:rsid w:val="00353BE7"/>
    <w:rsid w:val="00353CAB"/>
    <w:rsid w:val="00353CF9"/>
    <w:rsid w:val="00353E0B"/>
    <w:rsid w:val="00353E8A"/>
    <w:rsid w:val="00353EEC"/>
    <w:rsid w:val="00353F58"/>
    <w:rsid w:val="00354008"/>
    <w:rsid w:val="00354029"/>
    <w:rsid w:val="003540F5"/>
    <w:rsid w:val="0035417B"/>
    <w:rsid w:val="0035424E"/>
    <w:rsid w:val="00354339"/>
    <w:rsid w:val="003543DE"/>
    <w:rsid w:val="0035454C"/>
    <w:rsid w:val="00354741"/>
    <w:rsid w:val="0035477D"/>
    <w:rsid w:val="00354A51"/>
    <w:rsid w:val="00354A73"/>
    <w:rsid w:val="00354A7D"/>
    <w:rsid w:val="00354CE0"/>
    <w:rsid w:val="00354D05"/>
    <w:rsid w:val="00354E6B"/>
    <w:rsid w:val="00354F09"/>
    <w:rsid w:val="00354F82"/>
    <w:rsid w:val="00354FA1"/>
    <w:rsid w:val="00355050"/>
    <w:rsid w:val="0035512D"/>
    <w:rsid w:val="00355154"/>
    <w:rsid w:val="00355220"/>
    <w:rsid w:val="003552CC"/>
    <w:rsid w:val="003552CE"/>
    <w:rsid w:val="00355431"/>
    <w:rsid w:val="003554B6"/>
    <w:rsid w:val="0035556A"/>
    <w:rsid w:val="003556A5"/>
    <w:rsid w:val="00355714"/>
    <w:rsid w:val="00355A04"/>
    <w:rsid w:val="00355B85"/>
    <w:rsid w:val="00355B8F"/>
    <w:rsid w:val="00355C70"/>
    <w:rsid w:val="00355E97"/>
    <w:rsid w:val="00356077"/>
    <w:rsid w:val="003560F4"/>
    <w:rsid w:val="0035615D"/>
    <w:rsid w:val="003561A1"/>
    <w:rsid w:val="003561CF"/>
    <w:rsid w:val="0035626C"/>
    <w:rsid w:val="00356279"/>
    <w:rsid w:val="003562EB"/>
    <w:rsid w:val="003564C9"/>
    <w:rsid w:val="003565A3"/>
    <w:rsid w:val="003565DC"/>
    <w:rsid w:val="00356648"/>
    <w:rsid w:val="00356705"/>
    <w:rsid w:val="0035678B"/>
    <w:rsid w:val="00356824"/>
    <w:rsid w:val="0035689E"/>
    <w:rsid w:val="003568C2"/>
    <w:rsid w:val="0035691F"/>
    <w:rsid w:val="00356A9D"/>
    <w:rsid w:val="00356B53"/>
    <w:rsid w:val="00356B78"/>
    <w:rsid w:val="00356E7F"/>
    <w:rsid w:val="00356ECE"/>
    <w:rsid w:val="00356ED3"/>
    <w:rsid w:val="00356F40"/>
    <w:rsid w:val="00356F46"/>
    <w:rsid w:val="00356FDD"/>
    <w:rsid w:val="00357000"/>
    <w:rsid w:val="0035706D"/>
    <w:rsid w:val="003570B7"/>
    <w:rsid w:val="00357114"/>
    <w:rsid w:val="003572AD"/>
    <w:rsid w:val="003573EA"/>
    <w:rsid w:val="003574E2"/>
    <w:rsid w:val="0035757A"/>
    <w:rsid w:val="00357627"/>
    <w:rsid w:val="003576D4"/>
    <w:rsid w:val="003576F7"/>
    <w:rsid w:val="00357868"/>
    <w:rsid w:val="0035787A"/>
    <w:rsid w:val="00357B8F"/>
    <w:rsid w:val="00357E05"/>
    <w:rsid w:val="00357EDF"/>
    <w:rsid w:val="003600F4"/>
    <w:rsid w:val="003601FE"/>
    <w:rsid w:val="0036031F"/>
    <w:rsid w:val="00360329"/>
    <w:rsid w:val="0036033E"/>
    <w:rsid w:val="003603D1"/>
    <w:rsid w:val="003604C7"/>
    <w:rsid w:val="00360539"/>
    <w:rsid w:val="003605C2"/>
    <w:rsid w:val="003606BA"/>
    <w:rsid w:val="00360888"/>
    <w:rsid w:val="003608D1"/>
    <w:rsid w:val="003609B3"/>
    <w:rsid w:val="00360AEA"/>
    <w:rsid w:val="00360C13"/>
    <w:rsid w:val="00360CCC"/>
    <w:rsid w:val="00360D94"/>
    <w:rsid w:val="00360E76"/>
    <w:rsid w:val="00360FA4"/>
    <w:rsid w:val="00361225"/>
    <w:rsid w:val="0036127F"/>
    <w:rsid w:val="00361489"/>
    <w:rsid w:val="00361536"/>
    <w:rsid w:val="00361720"/>
    <w:rsid w:val="00361769"/>
    <w:rsid w:val="0036178E"/>
    <w:rsid w:val="0036178F"/>
    <w:rsid w:val="003617ED"/>
    <w:rsid w:val="00361921"/>
    <w:rsid w:val="00361A24"/>
    <w:rsid w:val="00361AA6"/>
    <w:rsid w:val="00361C5F"/>
    <w:rsid w:val="00361D8C"/>
    <w:rsid w:val="00361DB2"/>
    <w:rsid w:val="00361DB4"/>
    <w:rsid w:val="00361DFB"/>
    <w:rsid w:val="00361E57"/>
    <w:rsid w:val="00361E8D"/>
    <w:rsid w:val="00361F02"/>
    <w:rsid w:val="00362024"/>
    <w:rsid w:val="00362062"/>
    <w:rsid w:val="003620E0"/>
    <w:rsid w:val="00362156"/>
    <w:rsid w:val="003621AF"/>
    <w:rsid w:val="00362251"/>
    <w:rsid w:val="00362252"/>
    <w:rsid w:val="003622A3"/>
    <w:rsid w:val="0036245A"/>
    <w:rsid w:val="00362536"/>
    <w:rsid w:val="00362632"/>
    <w:rsid w:val="003627C0"/>
    <w:rsid w:val="00362811"/>
    <w:rsid w:val="0036283A"/>
    <w:rsid w:val="00362907"/>
    <w:rsid w:val="00362955"/>
    <w:rsid w:val="003629A2"/>
    <w:rsid w:val="00362B63"/>
    <w:rsid w:val="00362C38"/>
    <w:rsid w:val="00362CE5"/>
    <w:rsid w:val="00362CF1"/>
    <w:rsid w:val="00362D82"/>
    <w:rsid w:val="00362DF6"/>
    <w:rsid w:val="00362EA8"/>
    <w:rsid w:val="00362EBB"/>
    <w:rsid w:val="00362F2C"/>
    <w:rsid w:val="00362F7A"/>
    <w:rsid w:val="00363045"/>
    <w:rsid w:val="00363052"/>
    <w:rsid w:val="003630A9"/>
    <w:rsid w:val="00363103"/>
    <w:rsid w:val="003631EF"/>
    <w:rsid w:val="0036333C"/>
    <w:rsid w:val="00363356"/>
    <w:rsid w:val="003633A7"/>
    <w:rsid w:val="003633AC"/>
    <w:rsid w:val="003633E3"/>
    <w:rsid w:val="003633F6"/>
    <w:rsid w:val="0036349F"/>
    <w:rsid w:val="003634A5"/>
    <w:rsid w:val="0036356C"/>
    <w:rsid w:val="003635EA"/>
    <w:rsid w:val="00363716"/>
    <w:rsid w:val="003637D0"/>
    <w:rsid w:val="003639F1"/>
    <w:rsid w:val="00363A66"/>
    <w:rsid w:val="00363A98"/>
    <w:rsid w:val="00363B3C"/>
    <w:rsid w:val="00363B60"/>
    <w:rsid w:val="00363CA2"/>
    <w:rsid w:val="00363E41"/>
    <w:rsid w:val="00363EBC"/>
    <w:rsid w:val="00363F20"/>
    <w:rsid w:val="0036401C"/>
    <w:rsid w:val="003640A5"/>
    <w:rsid w:val="003641BB"/>
    <w:rsid w:val="0036426E"/>
    <w:rsid w:val="003643A5"/>
    <w:rsid w:val="003643E2"/>
    <w:rsid w:val="0036449F"/>
    <w:rsid w:val="00364530"/>
    <w:rsid w:val="003646AB"/>
    <w:rsid w:val="00364781"/>
    <w:rsid w:val="00364837"/>
    <w:rsid w:val="00364870"/>
    <w:rsid w:val="003649A1"/>
    <w:rsid w:val="003649AE"/>
    <w:rsid w:val="00364A00"/>
    <w:rsid w:val="00364AA3"/>
    <w:rsid w:val="00364D33"/>
    <w:rsid w:val="00364D47"/>
    <w:rsid w:val="00364D71"/>
    <w:rsid w:val="00364DDD"/>
    <w:rsid w:val="00364F2B"/>
    <w:rsid w:val="00365067"/>
    <w:rsid w:val="00365081"/>
    <w:rsid w:val="003650B8"/>
    <w:rsid w:val="00365242"/>
    <w:rsid w:val="00365356"/>
    <w:rsid w:val="0036545A"/>
    <w:rsid w:val="00365536"/>
    <w:rsid w:val="003655DC"/>
    <w:rsid w:val="0036569C"/>
    <w:rsid w:val="003656CE"/>
    <w:rsid w:val="00365739"/>
    <w:rsid w:val="00365789"/>
    <w:rsid w:val="003657EB"/>
    <w:rsid w:val="003658DC"/>
    <w:rsid w:val="003659E0"/>
    <w:rsid w:val="00365B58"/>
    <w:rsid w:val="00365B75"/>
    <w:rsid w:val="00365C67"/>
    <w:rsid w:val="00365C7D"/>
    <w:rsid w:val="00365E5A"/>
    <w:rsid w:val="00365E7F"/>
    <w:rsid w:val="00366027"/>
    <w:rsid w:val="00366063"/>
    <w:rsid w:val="00366152"/>
    <w:rsid w:val="0036622E"/>
    <w:rsid w:val="0036629C"/>
    <w:rsid w:val="003662D6"/>
    <w:rsid w:val="003662F1"/>
    <w:rsid w:val="00366326"/>
    <w:rsid w:val="00366363"/>
    <w:rsid w:val="00366490"/>
    <w:rsid w:val="0036649F"/>
    <w:rsid w:val="0036653F"/>
    <w:rsid w:val="003665F3"/>
    <w:rsid w:val="00366882"/>
    <w:rsid w:val="00366927"/>
    <w:rsid w:val="00366B7A"/>
    <w:rsid w:val="00366BEB"/>
    <w:rsid w:val="00366CA3"/>
    <w:rsid w:val="00366CBA"/>
    <w:rsid w:val="00366D0C"/>
    <w:rsid w:val="00366D5D"/>
    <w:rsid w:val="00366E4E"/>
    <w:rsid w:val="00366E5B"/>
    <w:rsid w:val="00366F26"/>
    <w:rsid w:val="00366F4B"/>
    <w:rsid w:val="00367008"/>
    <w:rsid w:val="003670D7"/>
    <w:rsid w:val="003670DC"/>
    <w:rsid w:val="0036718A"/>
    <w:rsid w:val="003672BE"/>
    <w:rsid w:val="00367412"/>
    <w:rsid w:val="00367531"/>
    <w:rsid w:val="0036755F"/>
    <w:rsid w:val="003675CD"/>
    <w:rsid w:val="003675E2"/>
    <w:rsid w:val="003677F4"/>
    <w:rsid w:val="00367CED"/>
    <w:rsid w:val="00367D0A"/>
    <w:rsid w:val="00367EE4"/>
    <w:rsid w:val="00367F2C"/>
    <w:rsid w:val="00367F71"/>
    <w:rsid w:val="00367FD0"/>
    <w:rsid w:val="00370186"/>
    <w:rsid w:val="0037020E"/>
    <w:rsid w:val="00370392"/>
    <w:rsid w:val="00370410"/>
    <w:rsid w:val="0037047E"/>
    <w:rsid w:val="00370525"/>
    <w:rsid w:val="0037054F"/>
    <w:rsid w:val="003705E4"/>
    <w:rsid w:val="003707F9"/>
    <w:rsid w:val="00370819"/>
    <w:rsid w:val="003708A5"/>
    <w:rsid w:val="00370A57"/>
    <w:rsid w:val="00370A75"/>
    <w:rsid w:val="00370AC1"/>
    <w:rsid w:val="00370B1F"/>
    <w:rsid w:val="00370B2F"/>
    <w:rsid w:val="00370B89"/>
    <w:rsid w:val="00370BF8"/>
    <w:rsid w:val="00370C60"/>
    <w:rsid w:val="00370CB7"/>
    <w:rsid w:val="00370D71"/>
    <w:rsid w:val="00370F9C"/>
    <w:rsid w:val="0037113C"/>
    <w:rsid w:val="003711C8"/>
    <w:rsid w:val="00371223"/>
    <w:rsid w:val="00371268"/>
    <w:rsid w:val="00371270"/>
    <w:rsid w:val="0037132A"/>
    <w:rsid w:val="0037147C"/>
    <w:rsid w:val="0037161C"/>
    <w:rsid w:val="00371A12"/>
    <w:rsid w:val="00371A7A"/>
    <w:rsid w:val="00371B87"/>
    <w:rsid w:val="00371BD9"/>
    <w:rsid w:val="00371C26"/>
    <w:rsid w:val="00371E1D"/>
    <w:rsid w:val="00371E1F"/>
    <w:rsid w:val="00371E95"/>
    <w:rsid w:val="00371EF9"/>
    <w:rsid w:val="00371F64"/>
    <w:rsid w:val="00371F7F"/>
    <w:rsid w:val="0037207C"/>
    <w:rsid w:val="003721E6"/>
    <w:rsid w:val="00372223"/>
    <w:rsid w:val="00372277"/>
    <w:rsid w:val="00372365"/>
    <w:rsid w:val="003724EF"/>
    <w:rsid w:val="003725A6"/>
    <w:rsid w:val="0037260E"/>
    <w:rsid w:val="0037265E"/>
    <w:rsid w:val="00372790"/>
    <w:rsid w:val="00372912"/>
    <w:rsid w:val="00372940"/>
    <w:rsid w:val="0037296F"/>
    <w:rsid w:val="00372996"/>
    <w:rsid w:val="003729FF"/>
    <w:rsid w:val="00372B0E"/>
    <w:rsid w:val="00372B98"/>
    <w:rsid w:val="00372BAE"/>
    <w:rsid w:val="00372BEC"/>
    <w:rsid w:val="00372F0C"/>
    <w:rsid w:val="00372FCD"/>
    <w:rsid w:val="00373123"/>
    <w:rsid w:val="003731F9"/>
    <w:rsid w:val="00373314"/>
    <w:rsid w:val="003735FD"/>
    <w:rsid w:val="003737B8"/>
    <w:rsid w:val="00373881"/>
    <w:rsid w:val="003738FB"/>
    <w:rsid w:val="00373A4F"/>
    <w:rsid w:val="00373AA6"/>
    <w:rsid w:val="00373BB9"/>
    <w:rsid w:val="00373CA4"/>
    <w:rsid w:val="00373CC2"/>
    <w:rsid w:val="00373D6A"/>
    <w:rsid w:val="00373DAE"/>
    <w:rsid w:val="00373E06"/>
    <w:rsid w:val="00373E8A"/>
    <w:rsid w:val="00373F70"/>
    <w:rsid w:val="0037402C"/>
    <w:rsid w:val="003740A2"/>
    <w:rsid w:val="003740D2"/>
    <w:rsid w:val="00374248"/>
    <w:rsid w:val="00374406"/>
    <w:rsid w:val="0037468A"/>
    <w:rsid w:val="00374735"/>
    <w:rsid w:val="003748D0"/>
    <w:rsid w:val="00374ACD"/>
    <w:rsid w:val="00374AD7"/>
    <w:rsid w:val="00374AE0"/>
    <w:rsid w:val="00374B23"/>
    <w:rsid w:val="00374B2C"/>
    <w:rsid w:val="00374C0F"/>
    <w:rsid w:val="00374C94"/>
    <w:rsid w:val="00374DD6"/>
    <w:rsid w:val="00374ED4"/>
    <w:rsid w:val="00374F67"/>
    <w:rsid w:val="00375137"/>
    <w:rsid w:val="00375169"/>
    <w:rsid w:val="00375172"/>
    <w:rsid w:val="00375257"/>
    <w:rsid w:val="00375338"/>
    <w:rsid w:val="0037557F"/>
    <w:rsid w:val="00375740"/>
    <w:rsid w:val="00375771"/>
    <w:rsid w:val="00375826"/>
    <w:rsid w:val="003758D7"/>
    <w:rsid w:val="00375906"/>
    <w:rsid w:val="00375922"/>
    <w:rsid w:val="00375957"/>
    <w:rsid w:val="003759CC"/>
    <w:rsid w:val="00375A80"/>
    <w:rsid w:val="00375ACF"/>
    <w:rsid w:val="00375B76"/>
    <w:rsid w:val="00375C34"/>
    <w:rsid w:val="00375CC9"/>
    <w:rsid w:val="00375CD4"/>
    <w:rsid w:val="00375DA0"/>
    <w:rsid w:val="00375DC8"/>
    <w:rsid w:val="00375DF3"/>
    <w:rsid w:val="00375E09"/>
    <w:rsid w:val="00375E27"/>
    <w:rsid w:val="00375E6A"/>
    <w:rsid w:val="00375EC4"/>
    <w:rsid w:val="00375FCB"/>
    <w:rsid w:val="00375FE0"/>
    <w:rsid w:val="003760D4"/>
    <w:rsid w:val="003760F8"/>
    <w:rsid w:val="00376110"/>
    <w:rsid w:val="0037621F"/>
    <w:rsid w:val="003762E4"/>
    <w:rsid w:val="003763F7"/>
    <w:rsid w:val="00376602"/>
    <w:rsid w:val="003766E6"/>
    <w:rsid w:val="00376749"/>
    <w:rsid w:val="0037679A"/>
    <w:rsid w:val="003767CA"/>
    <w:rsid w:val="003767FF"/>
    <w:rsid w:val="0037681C"/>
    <w:rsid w:val="003768FA"/>
    <w:rsid w:val="0037694B"/>
    <w:rsid w:val="00376BAC"/>
    <w:rsid w:val="00376EF8"/>
    <w:rsid w:val="00376F04"/>
    <w:rsid w:val="00376FA5"/>
    <w:rsid w:val="0037705F"/>
    <w:rsid w:val="00377062"/>
    <w:rsid w:val="003771B7"/>
    <w:rsid w:val="00377232"/>
    <w:rsid w:val="00377268"/>
    <w:rsid w:val="003772BA"/>
    <w:rsid w:val="0037745D"/>
    <w:rsid w:val="00377568"/>
    <w:rsid w:val="00377587"/>
    <w:rsid w:val="003775A6"/>
    <w:rsid w:val="00377690"/>
    <w:rsid w:val="003776EE"/>
    <w:rsid w:val="00377754"/>
    <w:rsid w:val="00377768"/>
    <w:rsid w:val="00377842"/>
    <w:rsid w:val="00377A02"/>
    <w:rsid w:val="00377C17"/>
    <w:rsid w:val="00377D75"/>
    <w:rsid w:val="00377DCA"/>
    <w:rsid w:val="00377F5D"/>
    <w:rsid w:val="003800BD"/>
    <w:rsid w:val="00380228"/>
    <w:rsid w:val="0038026B"/>
    <w:rsid w:val="003802B4"/>
    <w:rsid w:val="003803DE"/>
    <w:rsid w:val="0038041B"/>
    <w:rsid w:val="0038047B"/>
    <w:rsid w:val="003804C3"/>
    <w:rsid w:val="0038050C"/>
    <w:rsid w:val="00380650"/>
    <w:rsid w:val="003806BE"/>
    <w:rsid w:val="003807D3"/>
    <w:rsid w:val="00380CD7"/>
    <w:rsid w:val="00380E28"/>
    <w:rsid w:val="00380F4A"/>
    <w:rsid w:val="00380FDA"/>
    <w:rsid w:val="003810FD"/>
    <w:rsid w:val="00381188"/>
    <w:rsid w:val="003811EF"/>
    <w:rsid w:val="0038126C"/>
    <w:rsid w:val="0038129D"/>
    <w:rsid w:val="0038136B"/>
    <w:rsid w:val="0038138A"/>
    <w:rsid w:val="003813A3"/>
    <w:rsid w:val="003813DB"/>
    <w:rsid w:val="003813ED"/>
    <w:rsid w:val="003817C1"/>
    <w:rsid w:val="003817D1"/>
    <w:rsid w:val="003817E3"/>
    <w:rsid w:val="0038187B"/>
    <w:rsid w:val="00381891"/>
    <w:rsid w:val="003819B0"/>
    <w:rsid w:val="003819E3"/>
    <w:rsid w:val="00381A4D"/>
    <w:rsid w:val="00381C19"/>
    <w:rsid w:val="00381CD4"/>
    <w:rsid w:val="00381D24"/>
    <w:rsid w:val="00381D65"/>
    <w:rsid w:val="00382095"/>
    <w:rsid w:val="0038213D"/>
    <w:rsid w:val="00382149"/>
    <w:rsid w:val="0038220A"/>
    <w:rsid w:val="00382280"/>
    <w:rsid w:val="0038233E"/>
    <w:rsid w:val="00382384"/>
    <w:rsid w:val="003824CB"/>
    <w:rsid w:val="0038255F"/>
    <w:rsid w:val="00382595"/>
    <w:rsid w:val="003825FA"/>
    <w:rsid w:val="00382675"/>
    <w:rsid w:val="003826C9"/>
    <w:rsid w:val="0038287B"/>
    <w:rsid w:val="003828AA"/>
    <w:rsid w:val="003828AB"/>
    <w:rsid w:val="003828D9"/>
    <w:rsid w:val="003828F4"/>
    <w:rsid w:val="00382976"/>
    <w:rsid w:val="00382987"/>
    <w:rsid w:val="003829C4"/>
    <w:rsid w:val="003829E5"/>
    <w:rsid w:val="003829E6"/>
    <w:rsid w:val="00382AD9"/>
    <w:rsid w:val="00382AF0"/>
    <w:rsid w:val="00382B1D"/>
    <w:rsid w:val="00382BAC"/>
    <w:rsid w:val="00382CDB"/>
    <w:rsid w:val="00382E53"/>
    <w:rsid w:val="00382F08"/>
    <w:rsid w:val="00382F31"/>
    <w:rsid w:val="00382F94"/>
    <w:rsid w:val="003830B7"/>
    <w:rsid w:val="00383229"/>
    <w:rsid w:val="00383398"/>
    <w:rsid w:val="003833DF"/>
    <w:rsid w:val="003834DF"/>
    <w:rsid w:val="003835B4"/>
    <w:rsid w:val="0038362C"/>
    <w:rsid w:val="00383672"/>
    <w:rsid w:val="003837B6"/>
    <w:rsid w:val="00383AAD"/>
    <w:rsid w:val="00383AE4"/>
    <w:rsid w:val="00383B0C"/>
    <w:rsid w:val="00383BBF"/>
    <w:rsid w:val="00383D85"/>
    <w:rsid w:val="00383E67"/>
    <w:rsid w:val="00383F1B"/>
    <w:rsid w:val="00383F3A"/>
    <w:rsid w:val="00383FB4"/>
    <w:rsid w:val="0038404E"/>
    <w:rsid w:val="003840D3"/>
    <w:rsid w:val="00384113"/>
    <w:rsid w:val="00384140"/>
    <w:rsid w:val="00384206"/>
    <w:rsid w:val="00384308"/>
    <w:rsid w:val="00384370"/>
    <w:rsid w:val="0038438E"/>
    <w:rsid w:val="003843A1"/>
    <w:rsid w:val="003843FF"/>
    <w:rsid w:val="0038466A"/>
    <w:rsid w:val="003846BF"/>
    <w:rsid w:val="003847CC"/>
    <w:rsid w:val="003848FF"/>
    <w:rsid w:val="003849C9"/>
    <w:rsid w:val="00384A71"/>
    <w:rsid w:val="00384ABC"/>
    <w:rsid w:val="00384B09"/>
    <w:rsid w:val="00384BD1"/>
    <w:rsid w:val="00384D09"/>
    <w:rsid w:val="00384D3E"/>
    <w:rsid w:val="00384D50"/>
    <w:rsid w:val="00384E99"/>
    <w:rsid w:val="00385125"/>
    <w:rsid w:val="003851BF"/>
    <w:rsid w:val="003851E1"/>
    <w:rsid w:val="0038524B"/>
    <w:rsid w:val="0038537F"/>
    <w:rsid w:val="003853D4"/>
    <w:rsid w:val="003854B0"/>
    <w:rsid w:val="0038551E"/>
    <w:rsid w:val="00385561"/>
    <w:rsid w:val="0038562F"/>
    <w:rsid w:val="003857AC"/>
    <w:rsid w:val="003858F8"/>
    <w:rsid w:val="0038591E"/>
    <w:rsid w:val="0038594B"/>
    <w:rsid w:val="00385AD5"/>
    <w:rsid w:val="00385BC8"/>
    <w:rsid w:val="00385DFC"/>
    <w:rsid w:val="00385E58"/>
    <w:rsid w:val="00385E79"/>
    <w:rsid w:val="00385EB0"/>
    <w:rsid w:val="00385F1D"/>
    <w:rsid w:val="0038601B"/>
    <w:rsid w:val="0038609B"/>
    <w:rsid w:val="00386118"/>
    <w:rsid w:val="00386176"/>
    <w:rsid w:val="003862E1"/>
    <w:rsid w:val="00386333"/>
    <w:rsid w:val="003863C2"/>
    <w:rsid w:val="003863D8"/>
    <w:rsid w:val="003864B8"/>
    <w:rsid w:val="003864D5"/>
    <w:rsid w:val="00386564"/>
    <w:rsid w:val="003865CF"/>
    <w:rsid w:val="00386661"/>
    <w:rsid w:val="00386693"/>
    <w:rsid w:val="00386704"/>
    <w:rsid w:val="0038676F"/>
    <w:rsid w:val="003868A0"/>
    <w:rsid w:val="0038695A"/>
    <w:rsid w:val="003869B9"/>
    <w:rsid w:val="00386A8D"/>
    <w:rsid w:val="00386ABB"/>
    <w:rsid w:val="00386B7B"/>
    <w:rsid w:val="00386C26"/>
    <w:rsid w:val="00386C9D"/>
    <w:rsid w:val="00386D08"/>
    <w:rsid w:val="00386DFD"/>
    <w:rsid w:val="00386E04"/>
    <w:rsid w:val="00386F2B"/>
    <w:rsid w:val="00386F4D"/>
    <w:rsid w:val="00386F75"/>
    <w:rsid w:val="003870EE"/>
    <w:rsid w:val="00387168"/>
    <w:rsid w:val="00387169"/>
    <w:rsid w:val="003871AE"/>
    <w:rsid w:val="003871E4"/>
    <w:rsid w:val="00387359"/>
    <w:rsid w:val="003873E2"/>
    <w:rsid w:val="00387460"/>
    <w:rsid w:val="00387492"/>
    <w:rsid w:val="003874D4"/>
    <w:rsid w:val="0038753A"/>
    <w:rsid w:val="00387540"/>
    <w:rsid w:val="0038754F"/>
    <w:rsid w:val="00387599"/>
    <w:rsid w:val="003875B4"/>
    <w:rsid w:val="0038760E"/>
    <w:rsid w:val="00387646"/>
    <w:rsid w:val="00387739"/>
    <w:rsid w:val="0038773C"/>
    <w:rsid w:val="00387756"/>
    <w:rsid w:val="00387778"/>
    <w:rsid w:val="00387A82"/>
    <w:rsid w:val="00387C1B"/>
    <w:rsid w:val="00387C90"/>
    <w:rsid w:val="00387CE3"/>
    <w:rsid w:val="00387D6A"/>
    <w:rsid w:val="00387E9A"/>
    <w:rsid w:val="00387F55"/>
    <w:rsid w:val="0039000F"/>
    <w:rsid w:val="00390025"/>
    <w:rsid w:val="003900C9"/>
    <w:rsid w:val="00390175"/>
    <w:rsid w:val="0039022C"/>
    <w:rsid w:val="003902C6"/>
    <w:rsid w:val="0039038B"/>
    <w:rsid w:val="003903A9"/>
    <w:rsid w:val="003903FF"/>
    <w:rsid w:val="0039042B"/>
    <w:rsid w:val="003904E8"/>
    <w:rsid w:val="00390671"/>
    <w:rsid w:val="0039067B"/>
    <w:rsid w:val="003908D1"/>
    <w:rsid w:val="0039092B"/>
    <w:rsid w:val="00390960"/>
    <w:rsid w:val="00390963"/>
    <w:rsid w:val="003909F3"/>
    <w:rsid w:val="00390AF9"/>
    <w:rsid w:val="00390B7C"/>
    <w:rsid w:val="00390C07"/>
    <w:rsid w:val="00390DBB"/>
    <w:rsid w:val="00391121"/>
    <w:rsid w:val="003911B2"/>
    <w:rsid w:val="003911F7"/>
    <w:rsid w:val="0039126F"/>
    <w:rsid w:val="003912DF"/>
    <w:rsid w:val="0039131A"/>
    <w:rsid w:val="003913A4"/>
    <w:rsid w:val="003914CF"/>
    <w:rsid w:val="00391582"/>
    <w:rsid w:val="003916CF"/>
    <w:rsid w:val="00391840"/>
    <w:rsid w:val="0039185D"/>
    <w:rsid w:val="00391893"/>
    <w:rsid w:val="003919A9"/>
    <w:rsid w:val="00391E36"/>
    <w:rsid w:val="00391E3A"/>
    <w:rsid w:val="00391F08"/>
    <w:rsid w:val="00391FA2"/>
    <w:rsid w:val="00391FA7"/>
    <w:rsid w:val="00391FCA"/>
    <w:rsid w:val="00392032"/>
    <w:rsid w:val="003921AA"/>
    <w:rsid w:val="00392365"/>
    <w:rsid w:val="003923BC"/>
    <w:rsid w:val="0039246A"/>
    <w:rsid w:val="003924ED"/>
    <w:rsid w:val="003926FD"/>
    <w:rsid w:val="00392739"/>
    <w:rsid w:val="00392894"/>
    <w:rsid w:val="00392921"/>
    <w:rsid w:val="00392A35"/>
    <w:rsid w:val="00392AC4"/>
    <w:rsid w:val="00392B64"/>
    <w:rsid w:val="00392C56"/>
    <w:rsid w:val="00392E72"/>
    <w:rsid w:val="00392EA3"/>
    <w:rsid w:val="00392EBD"/>
    <w:rsid w:val="00392EEC"/>
    <w:rsid w:val="00392F1A"/>
    <w:rsid w:val="00392F4B"/>
    <w:rsid w:val="0039314C"/>
    <w:rsid w:val="003932B8"/>
    <w:rsid w:val="00393492"/>
    <w:rsid w:val="003934AF"/>
    <w:rsid w:val="0039363A"/>
    <w:rsid w:val="00393649"/>
    <w:rsid w:val="0039368E"/>
    <w:rsid w:val="00393751"/>
    <w:rsid w:val="00393835"/>
    <w:rsid w:val="0039389D"/>
    <w:rsid w:val="00393A36"/>
    <w:rsid w:val="00393AEE"/>
    <w:rsid w:val="00393B71"/>
    <w:rsid w:val="00393BA4"/>
    <w:rsid w:val="00393C8D"/>
    <w:rsid w:val="00393CF8"/>
    <w:rsid w:val="00393D47"/>
    <w:rsid w:val="00393D60"/>
    <w:rsid w:val="00393DD4"/>
    <w:rsid w:val="00393FA1"/>
    <w:rsid w:val="00394021"/>
    <w:rsid w:val="003940BC"/>
    <w:rsid w:val="003940EF"/>
    <w:rsid w:val="0039414B"/>
    <w:rsid w:val="0039415D"/>
    <w:rsid w:val="0039416D"/>
    <w:rsid w:val="00394183"/>
    <w:rsid w:val="003943E7"/>
    <w:rsid w:val="003944B5"/>
    <w:rsid w:val="0039467D"/>
    <w:rsid w:val="003946AE"/>
    <w:rsid w:val="003946AF"/>
    <w:rsid w:val="003946CF"/>
    <w:rsid w:val="00394751"/>
    <w:rsid w:val="0039487D"/>
    <w:rsid w:val="00394A25"/>
    <w:rsid w:val="00394A9C"/>
    <w:rsid w:val="00394BC9"/>
    <w:rsid w:val="00394C4C"/>
    <w:rsid w:val="00394D33"/>
    <w:rsid w:val="00394DD7"/>
    <w:rsid w:val="00394F2C"/>
    <w:rsid w:val="00394F8A"/>
    <w:rsid w:val="00394FA7"/>
    <w:rsid w:val="00395019"/>
    <w:rsid w:val="003950CF"/>
    <w:rsid w:val="00395279"/>
    <w:rsid w:val="003952DD"/>
    <w:rsid w:val="0039537B"/>
    <w:rsid w:val="0039538E"/>
    <w:rsid w:val="00395498"/>
    <w:rsid w:val="003954CF"/>
    <w:rsid w:val="003955B6"/>
    <w:rsid w:val="0039596F"/>
    <w:rsid w:val="00395AB2"/>
    <w:rsid w:val="00395AC5"/>
    <w:rsid w:val="00395ADD"/>
    <w:rsid w:val="00395C63"/>
    <w:rsid w:val="00395CED"/>
    <w:rsid w:val="00395D81"/>
    <w:rsid w:val="00395EE9"/>
    <w:rsid w:val="00395F29"/>
    <w:rsid w:val="00395FF3"/>
    <w:rsid w:val="00396001"/>
    <w:rsid w:val="0039610F"/>
    <w:rsid w:val="00396113"/>
    <w:rsid w:val="00396129"/>
    <w:rsid w:val="0039639F"/>
    <w:rsid w:val="0039665F"/>
    <w:rsid w:val="0039670D"/>
    <w:rsid w:val="00396769"/>
    <w:rsid w:val="00396835"/>
    <w:rsid w:val="00396AA0"/>
    <w:rsid w:val="00396AF2"/>
    <w:rsid w:val="00396C88"/>
    <w:rsid w:val="00396CD0"/>
    <w:rsid w:val="00396D00"/>
    <w:rsid w:val="00396DD4"/>
    <w:rsid w:val="00396DF2"/>
    <w:rsid w:val="00397151"/>
    <w:rsid w:val="003971CE"/>
    <w:rsid w:val="003971E3"/>
    <w:rsid w:val="0039725D"/>
    <w:rsid w:val="003974F1"/>
    <w:rsid w:val="003975FE"/>
    <w:rsid w:val="0039776D"/>
    <w:rsid w:val="00397875"/>
    <w:rsid w:val="00397BC6"/>
    <w:rsid w:val="00397BE5"/>
    <w:rsid w:val="00397C0F"/>
    <w:rsid w:val="00397CA0"/>
    <w:rsid w:val="00397CBE"/>
    <w:rsid w:val="00397CE2"/>
    <w:rsid w:val="00397DD3"/>
    <w:rsid w:val="00397DF1"/>
    <w:rsid w:val="00397E51"/>
    <w:rsid w:val="003A0020"/>
    <w:rsid w:val="003A00CF"/>
    <w:rsid w:val="003A03A2"/>
    <w:rsid w:val="003A0430"/>
    <w:rsid w:val="003A0448"/>
    <w:rsid w:val="003A04EA"/>
    <w:rsid w:val="003A0542"/>
    <w:rsid w:val="003A0545"/>
    <w:rsid w:val="003A0576"/>
    <w:rsid w:val="003A05D6"/>
    <w:rsid w:val="003A05D8"/>
    <w:rsid w:val="003A0631"/>
    <w:rsid w:val="003A0636"/>
    <w:rsid w:val="003A0752"/>
    <w:rsid w:val="003A0757"/>
    <w:rsid w:val="003A09A2"/>
    <w:rsid w:val="003A0C77"/>
    <w:rsid w:val="003A0C94"/>
    <w:rsid w:val="003A0D9C"/>
    <w:rsid w:val="003A0DAE"/>
    <w:rsid w:val="003A0F6D"/>
    <w:rsid w:val="003A1061"/>
    <w:rsid w:val="003A1120"/>
    <w:rsid w:val="003A115B"/>
    <w:rsid w:val="003A11FC"/>
    <w:rsid w:val="003A12D6"/>
    <w:rsid w:val="003A15CB"/>
    <w:rsid w:val="003A1709"/>
    <w:rsid w:val="003A175B"/>
    <w:rsid w:val="003A185C"/>
    <w:rsid w:val="003A1995"/>
    <w:rsid w:val="003A1996"/>
    <w:rsid w:val="003A1A0E"/>
    <w:rsid w:val="003A1C82"/>
    <w:rsid w:val="003A1D96"/>
    <w:rsid w:val="003A1DA8"/>
    <w:rsid w:val="003A1E59"/>
    <w:rsid w:val="003A1E7B"/>
    <w:rsid w:val="003A2100"/>
    <w:rsid w:val="003A21E1"/>
    <w:rsid w:val="003A22EB"/>
    <w:rsid w:val="003A2465"/>
    <w:rsid w:val="003A2497"/>
    <w:rsid w:val="003A24A8"/>
    <w:rsid w:val="003A24EE"/>
    <w:rsid w:val="003A25D1"/>
    <w:rsid w:val="003A26C6"/>
    <w:rsid w:val="003A26FE"/>
    <w:rsid w:val="003A285C"/>
    <w:rsid w:val="003A29B5"/>
    <w:rsid w:val="003A29BD"/>
    <w:rsid w:val="003A2B74"/>
    <w:rsid w:val="003A2C14"/>
    <w:rsid w:val="003A2C4A"/>
    <w:rsid w:val="003A304F"/>
    <w:rsid w:val="003A31F9"/>
    <w:rsid w:val="003A3245"/>
    <w:rsid w:val="003A337A"/>
    <w:rsid w:val="003A33F3"/>
    <w:rsid w:val="003A34A4"/>
    <w:rsid w:val="003A356E"/>
    <w:rsid w:val="003A35D0"/>
    <w:rsid w:val="003A35DC"/>
    <w:rsid w:val="003A3786"/>
    <w:rsid w:val="003A37B7"/>
    <w:rsid w:val="003A3807"/>
    <w:rsid w:val="003A3995"/>
    <w:rsid w:val="003A3A87"/>
    <w:rsid w:val="003A3AF0"/>
    <w:rsid w:val="003A3B18"/>
    <w:rsid w:val="003A3D90"/>
    <w:rsid w:val="003A3E96"/>
    <w:rsid w:val="003A3EB0"/>
    <w:rsid w:val="003A3EC2"/>
    <w:rsid w:val="003A3F06"/>
    <w:rsid w:val="003A411A"/>
    <w:rsid w:val="003A427D"/>
    <w:rsid w:val="003A43FC"/>
    <w:rsid w:val="003A4480"/>
    <w:rsid w:val="003A453C"/>
    <w:rsid w:val="003A470E"/>
    <w:rsid w:val="003A4792"/>
    <w:rsid w:val="003A47C5"/>
    <w:rsid w:val="003A47DF"/>
    <w:rsid w:val="003A48D9"/>
    <w:rsid w:val="003A4948"/>
    <w:rsid w:val="003A4994"/>
    <w:rsid w:val="003A4A74"/>
    <w:rsid w:val="003A4C33"/>
    <w:rsid w:val="003A4CF0"/>
    <w:rsid w:val="003A4F67"/>
    <w:rsid w:val="003A5187"/>
    <w:rsid w:val="003A536D"/>
    <w:rsid w:val="003A54BB"/>
    <w:rsid w:val="003A5500"/>
    <w:rsid w:val="003A5717"/>
    <w:rsid w:val="003A58A0"/>
    <w:rsid w:val="003A591E"/>
    <w:rsid w:val="003A5932"/>
    <w:rsid w:val="003A5A17"/>
    <w:rsid w:val="003A5B32"/>
    <w:rsid w:val="003A5C57"/>
    <w:rsid w:val="003A5CD0"/>
    <w:rsid w:val="003A5D84"/>
    <w:rsid w:val="003A5E09"/>
    <w:rsid w:val="003A5E67"/>
    <w:rsid w:val="003A61CA"/>
    <w:rsid w:val="003A6295"/>
    <w:rsid w:val="003A6354"/>
    <w:rsid w:val="003A6383"/>
    <w:rsid w:val="003A6396"/>
    <w:rsid w:val="003A641C"/>
    <w:rsid w:val="003A64F0"/>
    <w:rsid w:val="003A6638"/>
    <w:rsid w:val="003A66B2"/>
    <w:rsid w:val="003A670C"/>
    <w:rsid w:val="003A671B"/>
    <w:rsid w:val="003A676B"/>
    <w:rsid w:val="003A6817"/>
    <w:rsid w:val="003A68A5"/>
    <w:rsid w:val="003A6942"/>
    <w:rsid w:val="003A69CF"/>
    <w:rsid w:val="003A6C68"/>
    <w:rsid w:val="003A6CC1"/>
    <w:rsid w:val="003A6EE8"/>
    <w:rsid w:val="003A6FF7"/>
    <w:rsid w:val="003A7077"/>
    <w:rsid w:val="003A70B8"/>
    <w:rsid w:val="003A70C1"/>
    <w:rsid w:val="003A70C7"/>
    <w:rsid w:val="003A71B8"/>
    <w:rsid w:val="003A72B1"/>
    <w:rsid w:val="003A7335"/>
    <w:rsid w:val="003A75D6"/>
    <w:rsid w:val="003A765D"/>
    <w:rsid w:val="003A7685"/>
    <w:rsid w:val="003A776C"/>
    <w:rsid w:val="003A7778"/>
    <w:rsid w:val="003A787F"/>
    <w:rsid w:val="003A7AB0"/>
    <w:rsid w:val="003A7B3F"/>
    <w:rsid w:val="003A7C28"/>
    <w:rsid w:val="003A7E06"/>
    <w:rsid w:val="003A7E27"/>
    <w:rsid w:val="003B018D"/>
    <w:rsid w:val="003B01E4"/>
    <w:rsid w:val="003B0246"/>
    <w:rsid w:val="003B0269"/>
    <w:rsid w:val="003B03B4"/>
    <w:rsid w:val="003B0505"/>
    <w:rsid w:val="003B05D9"/>
    <w:rsid w:val="003B06DB"/>
    <w:rsid w:val="003B073D"/>
    <w:rsid w:val="003B075A"/>
    <w:rsid w:val="003B07C6"/>
    <w:rsid w:val="003B0820"/>
    <w:rsid w:val="003B082C"/>
    <w:rsid w:val="003B0898"/>
    <w:rsid w:val="003B09FE"/>
    <w:rsid w:val="003B0B8D"/>
    <w:rsid w:val="003B0DCC"/>
    <w:rsid w:val="003B111B"/>
    <w:rsid w:val="003B114C"/>
    <w:rsid w:val="003B114E"/>
    <w:rsid w:val="003B1215"/>
    <w:rsid w:val="003B1316"/>
    <w:rsid w:val="003B13A3"/>
    <w:rsid w:val="003B159C"/>
    <w:rsid w:val="003B15AB"/>
    <w:rsid w:val="003B1764"/>
    <w:rsid w:val="003B17BF"/>
    <w:rsid w:val="003B1976"/>
    <w:rsid w:val="003B19C7"/>
    <w:rsid w:val="003B19F8"/>
    <w:rsid w:val="003B1B14"/>
    <w:rsid w:val="003B1B2D"/>
    <w:rsid w:val="003B1B34"/>
    <w:rsid w:val="003B1B38"/>
    <w:rsid w:val="003B1BA9"/>
    <w:rsid w:val="003B1BC5"/>
    <w:rsid w:val="003B1BE3"/>
    <w:rsid w:val="003B1C2C"/>
    <w:rsid w:val="003B1FA2"/>
    <w:rsid w:val="003B1FD6"/>
    <w:rsid w:val="003B212B"/>
    <w:rsid w:val="003B2166"/>
    <w:rsid w:val="003B22B9"/>
    <w:rsid w:val="003B22F6"/>
    <w:rsid w:val="003B2434"/>
    <w:rsid w:val="003B247C"/>
    <w:rsid w:val="003B2516"/>
    <w:rsid w:val="003B26AD"/>
    <w:rsid w:val="003B2754"/>
    <w:rsid w:val="003B275D"/>
    <w:rsid w:val="003B27C5"/>
    <w:rsid w:val="003B27D6"/>
    <w:rsid w:val="003B2818"/>
    <w:rsid w:val="003B28AC"/>
    <w:rsid w:val="003B28BB"/>
    <w:rsid w:val="003B2924"/>
    <w:rsid w:val="003B2B46"/>
    <w:rsid w:val="003B2B69"/>
    <w:rsid w:val="003B2BC2"/>
    <w:rsid w:val="003B2BD2"/>
    <w:rsid w:val="003B2E6D"/>
    <w:rsid w:val="003B2F36"/>
    <w:rsid w:val="003B2F92"/>
    <w:rsid w:val="003B30C0"/>
    <w:rsid w:val="003B30C2"/>
    <w:rsid w:val="003B314D"/>
    <w:rsid w:val="003B31D0"/>
    <w:rsid w:val="003B327B"/>
    <w:rsid w:val="003B3319"/>
    <w:rsid w:val="003B3358"/>
    <w:rsid w:val="003B3576"/>
    <w:rsid w:val="003B359F"/>
    <w:rsid w:val="003B35A3"/>
    <w:rsid w:val="003B3776"/>
    <w:rsid w:val="003B38E7"/>
    <w:rsid w:val="003B38F2"/>
    <w:rsid w:val="003B39EF"/>
    <w:rsid w:val="003B3A1F"/>
    <w:rsid w:val="003B3BE3"/>
    <w:rsid w:val="003B3BF8"/>
    <w:rsid w:val="003B3CA2"/>
    <w:rsid w:val="003B3D1F"/>
    <w:rsid w:val="003B4089"/>
    <w:rsid w:val="003B4105"/>
    <w:rsid w:val="003B42B5"/>
    <w:rsid w:val="003B42EB"/>
    <w:rsid w:val="003B4322"/>
    <w:rsid w:val="003B4326"/>
    <w:rsid w:val="003B4380"/>
    <w:rsid w:val="003B43F0"/>
    <w:rsid w:val="003B44B4"/>
    <w:rsid w:val="003B44F5"/>
    <w:rsid w:val="003B4583"/>
    <w:rsid w:val="003B4740"/>
    <w:rsid w:val="003B4751"/>
    <w:rsid w:val="003B4818"/>
    <w:rsid w:val="003B481F"/>
    <w:rsid w:val="003B485F"/>
    <w:rsid w:val="003B488F"/>
    <w:rsid w:val="003B492E"/>
    <w:rsid w:val="003B4C1D"/>
    <w:rsid w:val="003B4CFC"/>
    <w:rsid w:val="003B4D3D"/>
    <w:rsid w:val="003B4DB6"/>
    <w:rsid w:val="003B4F47"/>
    <w:rsid w:val="003B4F6B"/>
    <w:rsid w:val="003B5138"/>
    <w:rsid w:val="003B5186"/>
    <w:rsid w:val="003B54A2"/>
    <w:rsid w:val="003B5627"/>
    <w:rsid w:val="003B57B5"/>
    <w:rsid w:val="003B57CE"/>
    <w:rsid w:val="003B5953"/>
    <w:rsid w:val="003B59FD"/>
    <w:rsid w:val="003B5B4A"/>
    <w:rsid w:val="003B5B89"/>
    <w:rsid w:val="003B5BD1"/>
    <w:rsid w:val="003B5CDF"/>
    <w:rsid w:val="003B5D9F"/>
    <w:rsid w:val="003B5DC9"/>
    <w:rsid w:val="003B5E23"/>
    <w:rsid w:val="003B5FD4"/>
    <w:rsid w:val="003B5FF0"/>
    <w:rsid w:val="003B601F"/>
    <w:rsid w:val="003B60B2"/>
    <w:rsid w:val="003B61BA"/>
    <w:rsid w:val="003B61E3"/>
    <w:rsid w:val="003B6206"/>
    <w:rsid w:val="003B63DC"/>
    <w:rsid w:val="003B6410"/>
    <w:rsid w:val="003B647A"/>
    <w:rsid w:val="003B64B5"/>
    <w:rsid w:val="003B64D3"/>
    <w:rsid w:val="003B6617"/>
    <w:rsid w:val="003B674E"/>
    <w:rsid w:val="003B6862"/>
    <w:rsid w:val="003B68EF"/>
    <w:rsid w:val="003B6A22"/>
    <w:rsid w:val="003B6A8A"/>
    <w:rsid w:val="003B6AA4"/>
    <w:rsid w:val="003B6B54"/>
    <w:rsid w:val="003B6BBC"/>
    <w:rsid w:val="003B6BE9"/>
    <w:rsid w:val="003B6BFC"/>
    <w:rsid w:val="003B6C74"/>
    <w:rsid w:val="003B6DD7"/>
    <w:rsid w:val="003B6F09"/>
    <w:rsid w:val="003B707D"/>
    <w:rsid w:val="003B708B"/>
    <w:rsid w:val="003B7128"/>
    <w:rsid w:val="003B71A9"/>
    <w:rsid w:val="003B71F2"/>
    <w:rsid w:val="003B728A"/>
    <w:rsid w:val="003B7300"/>
    <w:rsid w:val="003B739F"/>
    <w:rsid w:val="003B7481"/>
    <w:rsid w:val="003B7493"/>
    <w:rsid w:val="003B74A9"/>
    <w:rsid w:val="003B7516"/>
    <w:rsid w:val="003B762D"/>
    <w:rsid w:val="003B7630"/>
    <w:rsid w:val="003B769A"/>
    <w:rsid w:val="003B76A6"/>
    <w:rsid w:val="003B76AC"/>
    <w:rsid w:val="003B7728"/>
    <w:rsid w:val="003B7789"/>
    <w:rsid w:val="003B77C6"/>
    <w:rsid w:val="003B78A0"/>
    <w:rsid w:val="003B7906"/>
    <w:rsid w:val="003B792B"/>
    <w:rsid w:val="003B7C9A"/>
    <w:rsid w:val="003B7DD2"/>
    <w:rsid w:val="003B7E32"/>
    <w:rsid w:val="003B7E9A"/>
    <w:rsid w:val="003B7EE9"/>
    <w:rsid w:val="003C0050"/>
    <w:rsid w:val="003C0071"/>
    <w:rsid w:val="003C00BC"/>
    <w:rsid w:val="003C00D1"/>
    <w:rsid w:val="003C00F6"/>
    <w:rsid w:val="003C011B"/>
    <w:rsid w:val="003C014A"/>
    <w:rsid w:val="003C01BF"/>
    <w:rsid w:val="003C01D3"/>
    <w:rsid w:val="003C022F"/>
    <w:rsid w:val="003C0296"/>
    <w:rsid w:val="003C02B6"/>
    <w:rsid w:val="003C0312"/>
    <w:rsid w:val="003C04D3"/>
    <w:rsid w:val="003C04DA"/>
    <w:rsid w:val="003C05F2"/>
    <w:rsid w:val="003C06B0"/>
    <w:rsid w:val="003C06EA"/>
    <w:rsid w:val="003C0801"/>
    <w:rsid w:val="003C0820"/>
    <w:rsid w:val="003C0882"/>
    <w:rsid w:val="003C0BAD"/>
    <w:rsid w:val="003C0BB2"/>
    <w:rsid w:val="003C0C37"/>
    <w:rsid w:val="003C0CA1"/>
    <w:rsid w:val="003C0CB7"/>
    <w:rsid w:val="003C0FA8"/>
    <w:rsid w:val="003C1056"/>
    <w:rsid w:val="003C1069"/>
    <w:rsid w:val="003C1133"/>
    <w:rsid w:val="003C12C2"/>
    <w:rsid w:val="003C1381"/>
    <w:rsid w:val="003C1552"/>
    <w:rsid w:val="003C15EF"/>
    <w:rsid w:val="003C1712"/>
    <w:rsid w:val="003C1899"/>
    <w:rsid w:val="003C19FA"/>
    <w:rsid w:val="003C1B57"/>
    <w:rsid w:val="003C1B62"/>
    <w:rsid w:val="003C1BE2"/>
    <w:rsid w:val="003C1C1D"/>
    <w:rsid w:val="003C1C6B"/>
    <w:rsid w:val="003C1D4C"/>
    <w:rsid w:val="003C1E5C"/>
    <w:rsid w:val="003C1E65"/>
    <w:rsid w:val="003C1F97"/>
    <w:rsid w:val="003C1FBA"/>
    <w:rsid w:val="003C218A"/>
    <w:rsid w:val="003C227D"/>
    <w:rsid w:val="003C229C"/>
    <w:rsid w:val="003C2342"/>
    <w:rsid w:val="003C23AD"/>
    <w:rsid w:val="003C2468"/>
    <w:rsid w:val="003C2572"/>
    <w:rsid w:val="003C2734"/>
    <w:rsid w:val="003C27BC"/>
    <w:rsid w:val="003C2897"/>
    <w:rsid w:val="003C28AB"/>
    <w:rsid w:val="003C2992"/>
    <w:rsid w:val="003C2D10"/>
    <w:rsid w:val="003C2E4C"/>
    <w:rsid w:val="003C2E98"/>
    <w:rsid w:val="003C2EBC"/>
    <w:rsid w:val="003C2F9F"/>
    <w:rsid w:val="003C3048"/>
    <w:rsid w:val="003C30FE"/>
    <w:rsid w:val="003C311A"/>
    <w:rsid w:val="003C3162"/>
    <w:rsid w:val="003C31AE"/>
    <w:rsid w:val="003C31C4"/>
    <w:rsid w:val="003C31EC"/>
    <w:rsid w:val="003C325D"/>
    <w:rsid w:val="003C32B2"/>
    <w:rsid w:val="003C335C"/>
    <w:rsid w:val="003C33DE"/>
    <w:rsid w:val="003C35BD"/>
    <w:rsid w:val="003C35D2"/>
    <w:rsid w:val="003C37B3"/>
    <w:rsid w:val="003C3BC1"/>
    <w:rsid w:val="003C3BE8"/>
    <w:rsid w:val="003C3CC7"/>
    <w:rsid w:val="003C3D70"/>
    <w:rsid w:val="003C3E29"/>
    <w:rsid w:val="003C3E53"/>
    <w:rsid w:val="003C3EA8"/>
    <w:rsid w:val="003C3EC7"/>
    <w:rsid w:val="003C3FEB"/>
    <w:rsid w:val="003C425E"/>
    <w:rsid w:val="003C42CF"/>
    <w:rsid w:val="003C42E2"/>
    <w:rsid w:val="003C439B"/>
    <w:rsid w:val="003C4478"/>
    <w:rsid w:val="003C44AD"/>
    <w:rsid w:val="003C466B"/>
    <w:rsid w:val="003C46BB"/>
    <w:rsid w:val="003C46D3"/>
    <w:rsid w:val="003C47AB"/>
    <w:rsid w:val="003C4897"/>
    <w:rsid w:val="003C48A6"/>
    <w:rsid w:val="003C48DF"/>
    <w:rsid w:val="003C4923"/>
    <w:rsid w:val="003C4AA7"/>
    <w:rsid w:val="003C4CF3"/>
    <w:rsid w:val="003C4E65"/>
    <w:rsid w:val="003C4E92"/>
    <w:rsid w:val="003C4FA6"/>
    <w:rsid w:val="003C4FC8"/>
    <w:rsid w:val="003C4FC9"/>
    <w:rsid w:val="003C4FE0"/>
    <w:rsid w:val="003C50FF"/>
    <w:rsid w:val="003C546A"/>
    <w:rsid w:val="003C554A"/>
    <w:rsid w:val="003C5584"/>
    <w:rsid w:val="003C55ED"/>
    <w:rsid w:val="003C5614"/>
    <w:rsid w:val="003C5640"/>
    <w:rsid w:val="003C5674"/>
    <w:rsid w:val="003C5759"/>
    <w:rsid w:val="003C585F"/>
    <w:rsid w:val="003C5AA2"/>
    <w:rsid w:val="003C5AB5"/>
    <w:rsid w:val="003C5B1F"/>
    <w:rsid w:val="003C5BD3"/>
    <w:rsid w:val="003C5C6C"/>
    <w:rsid w:val="003C5DB0"/>
    <w:rsid w:val="003C5E8F"/>
    <w:rsid w:val="003C5EC4"/>
    <w:rsid w:val="003C6173"/>
    <w:rsid w:val="003C6176"/>
    <w:rsid w:val="003C6350"/>
    <w:rsid w:val="003C64B9"/>
    <w:rsid w:val="003C6528"/>
    <w:rsid w:val="003C6641"/>
    <w:rsid w:val="003C670D"/>
    <w:rsid w:val="003C6715"/>
    <w:rsid w:val="003C673E"/>
    <w:rsid w:val="003C68EC"/>
    <w:rsid w:val="003C6983"/>
    <w:rsid w:val="003C69BD"/>
    <w:rsid w:val="003C6A96"/>
    <w:rsid w:val="003C6B16"/>
    <w:rsid w:val="003C6B60"/>
    <w:rsid w:val="003C6B8A"/>
    <w:rsid w:val="003C6CF3"/>
    <w:rsid w:val="003C6D18"/>
    <w:rsid w:val="003C6D86"/>
    <w:rsid w:val="003C6E66"/>
    <w:rsid w:val="003C6FDC"/>
    <w:rsid w:val="003C7060"/>
    <w:rsid w:val="003C719D"/>
    <w:rsid w:val="003C720B"/>
    <w:rsid w:val="003C7376"/>
    <w:rsid w:val="003C7400"/>
    <w:rsid w:val="003C7643"/>
    <w:rsid w:val="003C7686"/>
    <w:rsid w:val="003C768A"/>
    <w:rsid w:val="003C76A9"/>
    <w:rsid w:val="003C7785"/>
    <w:rsid w:val="003C7872"/>
    <w:rsid w:val="003C78E7"/>
    <w:rsid w:val="003C7950"/>
    <w:rsid w:val="003C79FF"/>
    <w:rsid w:val="003C7BAD"/>
    <w:rsid w:val="003C7C2E"/>
    <w:rsid w:val="003C7C4A"/>
    <w:rsid w:val="003C7DE1"/>
    <w:rsid w:val="003C7EDB"/>
    <w:rsid w:val="003D006D"/>
    <w:rsid w:val="003D0100"/>
    <w:rsid w:val="003D02C9"/>
    <w:rsid w:val="003D02D5"/>
    <w:rsid w:val="003D0400"/>
    <w:rsid w:val="003D06A4"/>
    <w:rsid w:val="003D07BC"/>
    <w:rsid w:val="003D0896"/>
    <w:rsid w:val="003D098E"/>
    <w:rsid w:val="003D0A37"/>
    <w:rsid w:val="003D0A47"/>
    <w:rsid w:val="003D0ACE"/>
    <w:rsid w:val="003D0B24"/>
    <w:rsid w:val="003D0D5F"/>
    <w:rsid w:val="003D0EBD"/>
    <w:rsid w:val="003D0F32"/>
    <w:rsid w:val="003D0FAD"/>
    <w:rsid w:val="003D10D9"/>
    <w:rsid w:val="003D113E"/>
    <w:rsid w:val="003D11EB"/>
    <w:rsid w:val="003D1380"/>
    <w:rsid w:val="003D14EB"/>
    <w:rsid w:val="003D15D0"/>
    <w:rsid w:val="003D1628"/>
    <w:rsid w:val="003D16A0"/>
    <w:rsid w:val="003D173B"/>
    <w:rsid w:val="003D1967"/>
    <w:rsid w:val="003D1985"/>
    <w:rsid w:val="003D1A2B"/>
    <w:rsid w:val="003D1B5B"/>
    <w:rsid w:val="003D1B6E"/>
    <w:rsid w:val="003D1C5F"/>
    <w:rsid w:val="003D1CEE"/>
    <w:rsid w:val="003D1DD0"/>
    <w:rsid w:val="003D1F84"/>
    <w:rsid w:val="003D20B3"/>
    <w:rsid w:val="003D218B"/>
    <w:rsid w:val="003D223A"/>
    <w:rsid w:val="003D2252"/>
    <w:rsid w:val="003D22A1"/>
    <w:rsid w:val="003D22FA"/>
    <w:rsid w:val="003D242F"/>
    <w:rsid w:val="003D266B"/>
    <w:rsid w:val="003D2671"/>
    <w:rsid w:val="003D271D"/>
    <w:rsid w:val="003D2734"/>
    <w:rsid w:val="003D27D2"/>
    <w:rsid w:val="003D27E6"/>
    <w:rsid w:val="003D2839"/>
    <w:rsid w:val="003D288B"/>
    <w:rsid w:val="003D2944"/>
    <w:rsid w:val="003D2A61"/>
    <w:rsid w:val="003D2AE5"/>
    <w:rsid w:val="003D2AE7"/>
    <w:rsid w:val="003D2AFB"/>
    <w:rsid w:val="003D2EF7"/>
    <w:rsid w:val="003D2FAF"/>
    <w:rsid w:val="003D313E"/>
    <w:rsid w:val="003D3192"/>
    <w:rsid w:val="003D3228"/>
    <w:rsid w:val="003D32BC"/>
    <w:rsid w:val="003D3317"/>
    <w:rsid w:val="003D33EB"/>
    <w:rsid w:val="003D3406"/>
    <w:rsid w:val="003D3439"/>
    <w:rsid w:val="003D34EA"/>
    <w:rsid w:val="003D34F2"/>
    <w:rsid w:val="003D36B2"/>
    <w:rsid w:val="003D36DB"/>
    <w:rsid w:val="003D3720"/>
    <w:rsid w:val="003D37D8"/>
    <w:rsid w:val="003D37FD"/>
    <w:rsid w:val="003D38CB"/>
    <w:rsid w:val="003D3B07"/>
    <w:rsid w:val="003D3B35"/>
    <w:rsid w:val="003D3B6B"/>
    <w:rsid w:val="003D3CEB"/>
    <w:rsid w:val="003D3D14"/>
    <w:rsid w:val="003D3D42"/>
    <w:rsid w:val="003D3FFC"/>
    <w:rsid w:val="003D40B9"/>
    <w:rsid w:val="003D40EE"/>
    <w:rsid w:val="003D41F3"/>
    <w:rsid w:val="003D425D"/>
    <w:rsid w:val="003D426A"/>
    <w:rsid w:val="003D42D0"/>
    <w:rsid w:val="003D4378"/>
    <w:rsid w:val="003D440C"/>
    <w:rsid w:val="003D45A2"/>
    <w:rsid w:val="003D4627"/>
    <w:rsid w:val="003D47B1"/>
    <w:rsid w:val="003D4895"/>
    <w:rsid w:val="003D49A1"/>
    <w:rsid w:val="003D49B5"/>
    <w:rsid w:val="003D4CB6"/>
    <w:rsid w:val="003D4CCB"/>
    <w:rsid w:val="003D4D1C"/>
    <w:rsid w:val="003D4DB5"/>
    <w:rsid w:val="003D4FFD"/>
    <w:rsid w:val="003D5006"/>
    <w:rsid w:val="003D5052"/>
    <w:rsid w:val="003D50AF"/>
    <w:rsid w:val="003D5139"/>
    <w:rsid w:val="003D5152"/>
    <w:rsid w:val="003D5153"/>
    <w:rsid w:val="003D51A7"/>
    <w:rsid w:val="003D521B"/>
    <w:rsid w:val="003D5233"/>
    <w:rsid w:val="003D526B"/>
    <w:rsid w:val="003D5296"/>
    <w:rsid w:val="003D5435"/>
    <w:rsid w:val="003D5467"/>
    <w:rsid w:val="003D54B1"/>
    <w:rsid w:val="003D5591"/>
    <w:rsid w:val="003D56AB"/>
    <w:rsid w:val="003D57BF"/>
    <w:rsid w:val="003D5AB4"/>
    <w:rsid w:val="003D5B0E"/>
    <w:rsid w:val="003D5BB3"/>
    <w:rsid w:val="003D5C0A"/>
    <w:rsid w:val="003D5D7F"/>
    <w:rsid w:val="003D5EC4"/>
    <w:rsid w:val="003D5F26"/>
    <w:rsid w:val="003D6043"/>
    <w:rsid w:val="003D6137"/>
    <w:rsid w:val="003D62C8"/>
    <w:rsid w:val="003D62CC"/>
    <w:rsid w:val="003D62FA"/>
    <w:rsid w:val="003D6406"/>
    <w:rsid w:val="003D6481"/>
    <w:rsid w:val="003D64B1"/>
    <w:rsid w:val="003D64EE"/>
    <w:rsid w:val="003D662B"/>
    <w:rsid w:val="003D6678"/>
    <w:rsid w:val="003D66A6"/>
    <w:rsid w:val="003D67E3"/>
    <w:rsid w:val="003D67FB"/>
    <w:rsid w:val="003D68FA"/>
    <w:rsid w:val="003D69AA"/>
    <w:rsid w:val="003D69CF"/>
    <w:rsid w:val="003D6A81"/>
    <w:rsid w:val="003D6C23"/>
    <w:rsid w:val="003D6C58"/>
    <w:rsid w:val="003D6D53"/>
    <w:rsid w:val="003D6D9D"/>
    <w:rsid w:val="003D6DC3"/>
    <w:rsid w:val="003D6FFB"/>
    <w:rsid w:val="003D70A0"/>
    <w:rsid w:val="003D7291"/>
    <w:rsid w:val="003D72BB"/>
    <w:rsid w:val="003D73AA"/>
    <w:rsid w:val="003D7429"/>
    <w:rsid w:val="003D748D"/>
    <w:rsid w:val="003D74AE"/>
    <w:rsid w:val="003D74CB"/>
    <w:rsid w:val="003D7585"/>
    <w:rsid w:val="003D7666"/>
    <w:rsid w:val="003D77D4"/>
    <w:rsid w:val="003D785D"/>
    <w:rsid w:val="003D7867"/>
    <w:rsid w:val="003D7987"/>
    <w:rsid w:val="003D798A"/>
    <w:rsid w:val="003D7A81"/>
    <w:rsid w:val="003D7AD1"/>
    <w:rsid w:val="003D7B4A"/>
    <w:rsid w:val="003D7CB3"/>
    <w:rsid w:val="003D7D09"/>
    <w:rsid w:val="003D7E72"/>
    <w:rsid w:val="003D7E85"/>
    <w:rsid w:val="003D7E8E"/>
    <w:rsid w:val="003D7EAA"/>
    <w:rsid w:val="003D7ECB"/>
    <w:rsid w:val="003E00E8"/>
    <w:rsid w:val="003E02D0"/>
    <w:rsid w:val="003E02FA"/>
    <w:rsid w:val="003E0334"/>
    <w:rsid w:val="003E0449"/>
    <w:rsid w:val="003E077F"/>
    <w:rsid w:val="003E09BE"/>
    <w:rsid w:val="003E0AD0"/>
    <w:rsid w:val="003E0B41"/>
    <w:rsid w:val="003E0B5E"/>
    <w:rsid w:val="003E0D60"/>
    <w:rsid w:val="003E0D69"/>
    <w:rsid w:val="003E0DDE"/>
    <w:rsid w:val="003E1123"/>
    <w:rsid w:val="003E1312"/>
    <w:rsid w:val="003E13B4"/>
    <w:rsid w:val="003E1524"/>
    <w:rsid w:val="003E15BC"/>
    <w:rsid w:val="003E15F8"/>
    <w:rsid w:val="003E16BC"/>
    <w:rsid w:val="003E17F1"/>
    <w:rsid w:val="003E1831"/>
    <w:rsid w:val="003E189C"/>
    <w:rsid w:val="003E18EB"/>
    <w:rsid w:val="003E19D3"/>
    <w:rsid w:val="003E1A17"/>
    <w:rsid w:val="003E1AE4"/>
    <w:rsid w:val="003E1B60"/>
    <w:rsid w:val="003E1BCB"/>
    <w:rsid w:val="003E1CCE"/>
    <w:rsid w:val="003E1DE2"/>
    <w:rsid w:val="003E1F61"/>
    <w:rsid w:val="003E1F8C"/>
    <w:rsid w:val="003E20F9"/>
    <w:rsid w:val="003E21AF"/>
    <w:rsid w:val="003E225D"/>
    <w:rsid w:val="003E22F2"/>
    <w:rsid w:val="003E232B"/>
    <w:rsid w:val="003E23B6"/>
    <w:rsid w:val="003E23DC"/>
    <w:rsid w:val="003E25C5"/>
    <w:rsid w:val="003E2613"/>
    <w:rsid w:val="003E2621"/>
    <w:rsid w:val="003E2634"/>
    <w:rsid w:val="003E2665"/>
    <w:rsid w:val="003E26A6"/>
    <w:rsid w:val="003E2727"/>
    <w:rsid w:val="003E2733"/>
    <w:rsid w:val="003E2933"/>
    <w:rsid w:val="003E2A2D"/>
    <w:rsid w:val="003E2B55"/>
    <w:rsid w:val="003E2C21"/>
    <w:rsid w:val="003E2D80"/>
    <w:rsid w:val="003E2DEF"/>
    <w:rsid w:val="003E2EE4"/>
    <w:rsid w:val="003E327C"/>
    <w:rsid w:val="003E334A"/>
    <w:rsid w:val="003E334C"/>
    <w:rsid w:val="003E3542"/>
    <w:rsid w:val="003E355C"/>
    <w:rsid w:val="003E357E"/>
    <w:rsid w:val="003E3584"/>
    <w:rsid w:val="003E37A0"/>
    <w:rsid w:val="003E37C9"/>
    <w:rsid w:val="003E37CF"/>
    <w:rsid w:val="003E38A4"/>
    <w:rsid w:val="003E393F"/>
    <w:rsid w:val="003E3B62"/>
    <w:rsid w:val="003E3C89"/>
    <w:rsid w:val="003E3CB9"/>
    <w:rsid w:val="003E3D2F"/>
    <w:rsid w:val="003E3D76"/>
    <w:rsid w:val="003E3DBB"/>
    <w:rsid w:val="003E3E55"/>
    <w:rsid w:val="003E3E8C"/>
    <w:rsid w:val="003E3EB4"/>
    <w:rsid w:val="003E3F67"/>
    <w:rsid w:val="003E3F90"/>
    <w:rsid w:val="003E3FF9"/>
    <w:rsid w:val="003E42FA"/>
    <w:rsid w:val="003E441B"/>
    <w:rsid w:val="003E4593"/>
    <w:rsid w:val="003E45DF"/>
    <w:rsid w:val="003E46F8"/>
    <w:rsid w:val="003E487B"/>
    <w:rsid w:val="003E4922"/>
    <w:rsid w:val="003E4933"/>
    <w:rsid w:val="003E4A6C"/>
    <w:rsid w:val="003E4AB7"/>
    <w:rsid w:val="003E4B13"/>
    <w:rsid w:val="003E4C6A"/>
    <w:rsid w:val="003E4CE2"/>
    <w:rsid w:val="003E4D63"/>
    <w:rsid w:val="003E4E9B"/>
    <w:rsid w:val="003E4EDA"/>
    <w:rsid w:val="003E4EDC"/>
    <w:rsid w:val="003E5173"/>
    <w:rsid w:val="003E5253"/>
    <w:rsid w:val="003E5350"/>
    <w:rsid w:val="003E53DD"/>
    <w:rsid w:val="003E541A"/>
    <w:rsid w:val="003E5457"/>
    <w:rsid w:val="003E54E1"/>
    <w:rsid w:val="003E570E"/>
    <w:rsid w:val="003E57D9"/>
    <w:rsid w:val="003E57EA"/>
    <w:rsid w:val="003E586D"/>
    <w:rsid w:val="003E59E6"/>
    <w:rsid w:val="003E5A26"/>
    <w:rsid w:val="003E5A6C"/>
    <w:rsid w:val="003E5A8A"/>
    <w:rsid w:val="003E5A96"/>
    <w:rsid w:val="003E5AE9"/>
    <w:rsid w:val="003E5AEE"/>
    <w:rsid w:val="003E5BBB"/>
    <w:rsid w:val="003E5BD4"/>
    <w:rsid w:val="003E5DAB"/>
    <w:rsid w:val="003E5DAD"/>
    <w:rsid w:val="003E5E0E"/>
    <w:rsid w:val="003E5E44"/>
    <w:rsid w:val="003E5E4F"/>
    <w:rsid w:val="003E5EC2"/>
    <w:rsid w:val="003E6027"/>
    <w:rsid w:val="003E6195"/>
    <w:rsid w:val="003E61BC"/>
    <w:rsid w:val="003E6202"/>
    <w:rsid w:val="003E6294"/>
    <w:rsid w:val="003E62A2"/>
    <w:rsid w:val="003E6387"/>
    <w:rsid w:val="003E6388"/>
    <w:rsid w:val="003E63B1"/>
    <w:rsid w:val="003E660B"/>
    <w:rsid w:val="003E6742"/>
    <w:rsid w:val="003E6840"/>
    <w:rsid w:val="003E691D"/>
    <w:rsid w:val="003E693C"/>
    <w:rsid w:val="003E693F"/>
    <w:rsid w:val="003E6975"/>
    <w:rsid w:val="003E69D7"/>
    <w:rsid w:val="003E6A43"/>
    <w:rsid w:val="003E6B3D"/>
    <w:rsid w:val="003E6B94"/>
    <w:rsid w:val="003E6C4F"/>
    <w:rsid w:val="003E6D8A"/>
    <w:rsid w:val="003E6E06"/>
    <w:rsid w:val="003E6FF2"/>
    <w:rsid w:val="003E7014"/>
    <w:rsid w:val="003E7015"/>
    <w:rsid w:val="003E714E"/>
    <w:rsid w:val="003E7205"/>
    <w:rsid w:val="003E7602"/>
    <w:rsid w:val="003E7632"/>
    <w:rsid w:val="003E76BB"/>
    <w:rsid w:val="003E76D2"/>
    <w:rsid w:val="003E7839"/>
    <w:rsid w:val="003E7AD3"/>
    <w:rsid w:val="003E7B5E"/>
    <w:rsid w:val="003E7B94"/>
    <w:rsid w:val="003E7C2D"/>
    <w:rsid w:val="003E7C78"/>
    <w:rsid w:val="003E7CF7"/>
    <w:rsid w:val="003E7DFE"/>
    <w:rsid w:val="003E7E83"/>
    <w:rsid w:val="003E7F51"/>
    <w:rsid w:val="003E7F6E"/>
    <w:rsid w:val="003F009A"/>
    <w:rsid w:val="003F011A"/>
    <w:rsid w:val="003F0325"/>
    <w:rsid w:val="003F0466"/>
    <w:rsid w:val="003F04A4"/>
    <w:rsid w:val="003F064B"/>
    <w:rsid w:val="003F066D"/>
    <w:rsid w:val="003F0717"/>
    <w:rsid w:val="003F0878"/>
    <w:rsid w:val="003F08A2"/>
    <w:rsid w:val="003F0A19"/>
    <w:rsid w:val="003F0ADD"/>
    <w:rsid w:val="003F0C77"/>
    <w:rsid w:val="003F0E6D"/>
    <w:rsid w:val="003F0E7D"/>
    <w:rsid w:val="003F0ECA"/>
    <w:rsid w:val="003F0F38"/>
    <w:rsid w:val="003F0F48"/>
    <w:rsid w:val="003F1074"/>
    <w:rsid w:val="003F10E4"/>
    <w:rsid w:val="003F11B9"/>
    <w:rsid w:val="003F1203"/>
    <w:rsid w:val="003F12DB"/>
    <w:rsid w:val="003F1398"/>
    <w:rsid w:val="003F157D"/>
    <w:rsid w:val="003F166D"/>
    <w:rsid w:val="003F172C"/>
    <w:rsid w:val="003F1775"/>
    <w:rsid w:val="003F1798"/>
    <w:rsid w:val="003F1918"/>
    <w:rsid w:val="003F1A1D"/>
    <w:rsid w:val="003F1AAF"/>
    <w:rsid w:val="003F1BE4"/>
    <w:rsid w:val="003F1CAF"/>
    <w:rsid w:val="003F1DFF"/>
    <w:rsid w:val="003F1E02"/>
    <w:rsid w:val="003F1E2D"/>
    <w:rsid w:val="003F1F9E"/>
    <w:rsid w:val="003F233A"/>
    <w:rsid w:val="003F2488"/>
    <w:rsid w:val="003F24FC"/>
    <w:rsid w:val="003F254E"/>
    <w:rsid w:val="003F256D"/>
    <w:rsid w:val="003F2615"/>
    <w:rsid w:val="003F266F"/>
    <w:rsid w:val="003F267F"/>
    <w:rsid w:val="003F26D8"/>
    <w:rsid w:val="003F2709"/>
    <w:rsid w:val="003F277A"/>
    <w:rsid w:val="003F2812"/>
    <w:rsid w:val="003F2880"/>
    <w:rsid w:val="003F2A08"/>
    <w:rsid w:val="003F2A7B"/>
    <w:rsid w:val="003F2B4E"/>
    <w:rsid w:val="003F2B77"/>
    <w:rsid w:val="003F2BB0"/>
    <w:rsid w:val="003F2BC6"/>
    <w:rsid w:val="003F2C94"/>
    <w:rsid w:val="003F2CC2"/>
    <w:rsid w:val="003F2D16"/>
    <w:rsid w:val="003F2DAB"/>
    <w:rsid w:val="003F2E17"/>
    <w:rsid w:val="003F2E9E"/>
    <w:rsid w:val="003F2FC1"/>
    <w:rsid w:val="003F3098"/>
    <w:rsid w:val="003F30A8"/>
    <w:rsid w:val="003F3104"/>
    <w:rsid w:val="003F314D"/>
    <w:rsid w:val="003F33C4"/>
    <w:rsid w:val="003F341B"/>
    <w:rsid w:val="003F3479"/>
    <w:rsid w:val="003F3587"/>
    <w:rsid w:val="003F3712"/>
    <w:rsid w:val="003F375B"/>
    <w:rsid w:val="003F3767"/>
    <w:rsid w:val="003F37B2"/>
    <w:rsid w:val="003F37D2"/>
    <w:rsid w:val="003F38B3"/>
    <w:rsid w:val="003F3911"/>
    <w:rsid w:val="003F3995"/>
    <w:rsid w:val="003F3B22"/>
    <w:rsid w:val="003F3B6D"/>
    <w:rsid w:val="003F3C38"/>
    <w:rsid w:val="003F3C95"/>
    <w:rsid w:val="003F3E6D"/>
    <w:rsid w:val="003F3F14"/>
    <w:rsid w:val="003F4011"/>
    <w:rsid w:val="003F405A"/>
    <w:rsid w:val="003F41C2"/>
    <w:rsid w:val="003F4203"/>
    <w:rsid w:val="003F42E6"/>
    <w:rsid w:val="003F4322"/>
    <w:rsid w:val="003F437C"/>
    <w:rsid w:val="003F43B0"/>
    <w:rsid w:val="003F444D"/>
    <w:rsid w:val="003F44B9"/>
    <w:rsid w:val="003F468D"/>
    <w:rsid w:val="003F46B3"/>
    <w:rsid w:val="003F47BD"/>
    <w:rsid w:val="003F4812"/>
    <w:rsid w:val="003F48AA"/>
    <w:rsid w:val="003F4928"/>
    <w:rsid w:val="003F493E"/>
    <w:rsid w:val="003F4964"/>
    <w:rsid w:val="003F4987"/>
    <w:rsid w:val="003F49EF"/>
    <w:rsid w:val="003F4A4E"/>
    <w:rsid w:val="003F4ACC"/>
    <w:rsid w:val="003F4C02"/>
    <w:rsid w:val="003F4D54"/>
    <w:rsid w:val="003F4FBD"/>
    <w:rsid w:val="003F500B"/>
    <w:rsid w:val="003F506A"/>
    <w:rsid w:val="003F513E"/>
    <w:rsid w:val="003F52B7"/>
    <w:rsid w:val="003F52C0"/>
    <w:rsid w:val="003F535E"/>
    <w:rsid w:val="003F5389"/>
    <w:rsid w:val="003F53D2"/>
    <w:rsid w:val="003F554E"/>
    <w:rsid w:val="003F55E9"/>
    <w:rsid w:val="003F5685"/>
    <w:rsid w:val="003F5735"/>
    <w:rsid w:val="003F5764"/>
    <w:rsid w:val="003F57B0"/>
    <w:rsid w:val="003F5829"/>
    <w:rsid w:val="003F5915"/>
    <w:rsid w:val="003F592C"/>
    <w:rsid w:val="003F5B25"/>
    <w:rsid w:val="003F5BDB"/>
    <w:rsid w:val="003F5C1D"/>
    <w:rsid w:val="003F5C3E"/>
    <w:rsid w:val="003F5C98"/>
    <w:rsid w:val="003F5CB4"/>
    <w:rsid w:val="003F5E72"/>
    <w:rsid w:val="003F5E9C"/>
    <w:rsid w:val="003F5FDD"/>
    <w:rsid w:val="003F5FE7"/>
    <w:rsid w:val="003F60A9"/>
    <w:rsid w:val="003F61D2"/>
    <w:rsid w:val="003F6224"/>
    <w:rsid w:val="003F6292"/>
    <w:rsid w:val="003F62EA"/>
    <w:rsid w:val="003F6322"/>
    <w:rsid w:val="003F643D"/>
    <w:rsid w:val="003F647B"/>
    <w:rsid w:val="003F658F"/>
    <w:rsid w:val="003F6715"/>
    <w:rsid w:val="003F67D5"/>
    <w:rsid w:val="003F6865"/>
    <w:rsid w:val="003F68A4"/>
    <w:rsid w:val="003F68B8"/>
    <w:rsid w:val="003F6910"/>
    <w:rsid w:val="003F6932"/>
    <w:rsid w:val="003F693E"/>
    <w:rsid w:val="003F69FA"/>
    <w:rsid w:val="003F6A57"/>
    <w:rsid w:val="003F6BE9"/>
    <w:rsid w:val="003F6C3E"/>
    <w:rsid w:val="003F6DFF"/>
    <w:rsid w:val="003F70D7"/>
    <w:rsid w:val="003F70EF"/>
    <w:rsid w:val="003F716D"/>
    <w:rsid w:val="003F71AD"/>
    <w:rsid w:val="003F71B3"/>
    <w:rsid w:val="003F71C4"/>
    <w:rsid w:val="003F7248"/>
    <w:rsid w:val="003F72D5"/>
    <w:rsid w:val="003F747E"/>
    <w:rsid w:val="003F74AD"/>
    <w:rsid w:val="003F74B3"/>
    <w:rsid w:val="003F7782"/>
    <w:rsid w:val="003F78CA"/>
    <w:rsid w:val="003F78E1"/>
    <w:rsid w:val="003F7A2D"/>
    <w:rsid w:val="003F7A3D"/>
    <w:rsid w:val="003F7B7D"/>
    <w:rsid w:val="003F7C99"/>
    <w:rsid w:val="003F7D47"/>
    <w:rsid w:val="003F7EEF"/>
    <w:rsid w:val="003F7F03"/>
    <w:rsid w:val="00400246"/>
    <w:rsid w:val="004002BC"/>
    <w:rsid w:val="004002DE"/>
    <w:rsid w:val="004003DA"/>
    <w:rsid w:val="004004B2"/>
    <w:rsid w:val="004004C3"/>
    <w:rsid w:val="00400531"/>
    <w:rsid w:val="004005F7"/>
    <w:rsid w:val="00400660"/>
    <w:rsid w:val="00400694"/>
    <w:rsid w:val="004006CD"/>
    <w:rsid w:val="00400B7E"/>
    <w:rsid w:val="00400B97"/>
    <w:rsid w:val="00400CB6"/>
    <w:rsid w:val="00400D18"/>
    <w:rsid w:val="00400E37"/>
    <w:rsid w:val="00400EAD"/>
    <w:rsid w:val="00400F6C"/>
    <w:rsid w:val="0040106C"/>
    <w:rsid w:val="00401090"/>
    <w:rsid w:val="004010F9"/>
    <w:rsid w:val="0040112C"/>
    <w:rsid w:val="0040115C"/>
    <w:rsid w:val="00401199"/>
    <w:rsid w:val="004012D6"/>
    <w:rsid w:val="0040136B"/>
    <w:rsid w:val="0040142C"/>
    <w:rsid w:val="00401697"/>
    <w:rsid w:val="004016F1"/>
    <w:rsid w:val="00401840"/>
    <w:rsid w:val="0040195F"/>
    <w:rsid w:val="00401999"/>
    <w:rsid w:val="00401B40"/>
    <w:rsid w:val="00401C9F"/>
    <w:rsid w:val="00401D11"/>
    <w:rsid w:val="00401E68"/>
    <w:rsid w:val="00401F71"/>
    <w:rsid w:val="00402012"/>
    <w:rsid w:val="00402068"/>
    <w:rsid w:val="0040213E"/>
    <w:rsid w:val="004022EF"/>
    <w:rsid w:val="00402314"/>
    <w:rsid w:val="0040236B"/>
    <w:rsid w:val="004023F0"/>
    <w:rsid w:val="0040264F"/>
    <w:rsid w:val="004026D9"/>
    <w:rsid w:val="0040271A"/>
    <w:rsid w:val="0040280B"/>
    <w:rsid w:val="0040282D"/>
    <w:rsid w:val="00402849"/>
    <w:rsid w:val="00402A4B"/>
    <w:rsid w:val="00402BE0"/>
    <w:rsid w:val="00402BF4"/>
    <w:rsid w:val="00402C12"/>
    <w:rsid w:val="00402CBF"/>
    <w:rsid w:val="00402DB1"/>
    <w:rsid w:val="004032C5"/>
    <w:rsid w:val="004032FE"/>
    <w:rsid w:val="0040349C"/>
    <w:rsid w:val="004034B0"/>
    <w:rsid w:val="004034D6"/>
    <w:rsid w:val="004035BE"/>
    <w:rsid w:val="004036E2"/>
    <w:rsid w:val="004037CB"/>
    <w:rsid w:val="00403805"/>
    <w:rsid w:val="004038AB"/>
    <w:rsid w:val="00403A5A"/>
    <w:rsid w:val="00403B53"/>
    <w:rsid w:val="00403B63"/>
    <w:rsid w:val="00403B69"/>
    <w:rsid w:val="00403B83"/>
    <w:rsid w:val="00403BCB"/>
    <w:rsid w:val="00403BD7"/>
    <w:rsid w:val="00403CE8"/>
    <w:rsid w:val="00403F5D"/>
    <w:rsid w:val="004040D1"/>
    <w:rsid w:val="004041CA"/>
    <w:rsid w:val="004041DA"/>
    <w:rsid w:val="004042C4"/>
    <w:rsid w:val="0040455C"/>
    <w:rsid w:val="0040469C"/>
    <w:rsid w:val="00404741"/>
    <w:rsid w:val="004048CE"/>
    <w:rsid w:val="00404981"/>
    <w:rsid w:val="00404982"/>
    <w:rsid w:val="004049DF"/>
    <w:rsid w:val="00404A23"/>
    <w:rsid w:val="00404A64"/>
    <w:rsid w:val="00404A6C"/>
    <w:rsid w:val="00404B0A"/>
    <w:rsid w:val="00404B5B"/>
    <w:rsid w:val="00404BCF"/>
    <w:rsid w:val="00404D30"/>
    <w:rsid w:val="00404D99"/>
    <w:rsid w:val="00404E4C"/>
    <w:rsid w:val="00404EE3"/>
    <w:rsid w:val="00405058"/>
    <w:rsid w:val="0040507B"/>
    <w:rsid w:val="00405241"/>
    <w:rsid w:val="0040536D"/>
    <w:rsid w:val="0040540E"/>
    <w:rsid w:val="00405555"/>
    <w:rsid w:val="0040569A"/>
    <w:rsid w:val="00405768"/>
    <w:rsid w:val="0040587A"/>
    <w:rsid w:val="004058B4"/>
    <w:rsid w:val="0040592D"/>
    <w:rsid w:val="00405950"/>
    <w:rsid w:val="00405ACC"/>
    <w:rsid w:val="00405AED"/>
    <w:rsid w:val="00405B52"/>
    <w:rsid w:val="00405B93"/>
    <w:rsid w:val="00405BBA"/>
    <w:rsid w:val="00405CC2"/>
    <w:rsid w:val="00405D98"/>
    <w:rsid w:val="00405E12"/>
    <w:rsid w:val="00405E66"/>
    <w:rsid w:val="00405ECE"/>
    <w:rsid w:val="00405F48"/>
    <w:rsid w:val="00405F9F"/>
    <w:rsid w:val="00406162"/>
    <w:rsid w:val="00406202"/>
    <w:rsid w:val="00406453"/>
    <w:rsid w:val="004064CD"/>
    <w:rsid w:val="004064E4"/>
    <w:rsid w:val="0040654F"/>
    <w:rsid w:val="004065E0"/>
    <w:rsid w:val="00406684"/>
    <w:rsid w:val="004067EF"/>
    <w:rsid w:val="0040685A"/>
    <w:rsid w:val="00406C09"/>
    <w:rsid w:val="00406C14"/>
    <w:rsid w:val="00406C61"/>
    <w:rsid w:val="00406CBA"/>
    <w:rsid w:val="00406CFB"/>
    <w:rsid w:val="00406DC1"/>
    <w:rsid w:val="00406DC4"/>
    <w:rsid w:val="00407148"/>
    <w:rsid w:val="0040716E"/>
    <w:rsid w:val="00407314"/>
    <w:rsid w:val="004073BC"/>
    <w:rsid w:val="0040768A"/>
    <w:rsid w:val="0040781E"/>
    <w:rsid w:val="00407868"/>
    <w:rsid w:val="004078EA"/>
    <w:rsid w:val="00407B71"/>
    <w:rsid w:val="00407C94"/>
    <w:rsid w:val="00407E5E"/>
    <w:rsid w:val="00410083"/>
    <w:rsid w:val="004100C1"/>
    <w:rsid w:val="0041011D"/>
    <w:rsid w:val="004101ED"/>
    <w:rsid w:val="00410372"/>
    <w:rsid w:val="00410464"/>
    <w:rsid w:val="00410599"/>
    <w:rsid w:val="00410700"/>
    <w:rsid w:val="00410798"/>
    <w:rsid w:val="004107B6"/>
    <w:rsid w:val="004107B9"/>
    <w:rsid w:val="004107F1"/>
    <w:rsid w:val="004107F7"/>
    <w:rsid w:val="0041088D"/>
    <w:rsid w:val="0041089A"/>
    <w:rsid w:val="00410915"/>
    <w:rsid w:val="0041096B"/>
    <w:rsid w:val="004109F5"/>
    <w:rsid w:val="00410B6E"/>
    <w:rsid w:val="00410CB9"/>
    <w:rsid w:val="00410CBC"/>
    <w:rsid w:val="00410E71"/>
    <w:rsid w:val="00410EE6"/>
    <w:rsid w:val="004110DE"/>
    <w:rsid w:val="004110F7"/>
    <w:rsid w:val="0041111A"/>
    <w:rsid w:val="00411207"/>
    <w:rsid w:val="00411304"/>
    <w:rsid w:val="0041132E"/>
    <w:rsid w:val="00411416"/>
    <w:rsid w:val="0041143E"/>
    <w:rsid w:val="00411584"/>
    <w:rsid w:val="00411624"/>
    <w:rsid w:val="0041183A"/>
    <w:rsid w:val="00411888"/>
    <w:rsid w:val="004118E3"/>
    <w:rsid w:val="0041199D"/>
    <w:rsid w:val="004119D3"/>
    <w:rsid w:val="00411A3C"/>
    <w:rsid w:val="00411AF7"/>
    <w:rsid w:val="00411BDE"/>
    <w:rsid w:val="00411CB3"/>
    <w:rsid w:val="00411CBB"/>
    <w:rsid w:val="00411D01"/>
    <w:rsid w:val="00411DFE"/>
    <w:rsid w:val="00411E6D"/>
    <w:rsid w:val="00411FB0"/>
    <w:rsid w:val="00412012"/>
    <w:rsid w:val="004121AD"/>
    <w:rsid w:val="00412246"/>
    <w:rsid w:val="00412273"/>
    <w:rsid w:val="00412294"/>
    <w:rsid w:val="004122E8"/>
    <w:rsid w:val="00412364"/>
    <w:rsid w:val="0041249D"/>
    <w:rsid w:val="00412622"/>
    <w:rsid w:val="004126CD"/>
    <w:rsid w:val="00412707"/>
    <w:rsid w:val="0041276A"/>
    <w:rsid w:val="004128AD"/>
    <w:rsid w:val="0041293B"/>
    <w:rsid w:val="00412A36"/>
    <w:rsid w:val="00412B66"/>
    <w:rsid w:val="00412C0B"/>
    <w:rsid w:val="00412DCC"/>
    <w:rsid w:val="00412DE3"/>
    <w:rsid w:val="00412E22"/>
    <w:rsid w:val="00412E7F"/>
    <w:rsid w:val="00412EAD"/>
    <w:rsid w:val="00412F14"/>
    <w:rsid w:val="00412F5B"/>
    <w:rsid w:val="00412F90"/>
    <w:rsid w:val="0041305C"/>
    <w:rsid w:val="004130C8"/>
    <w:rsid w:val="00413148"/>
    <w:rsid w:val="0041314F"/>
    <w:rsid w:val="0041319E"/>
    <w:rsid w:val="004132E8"/>
    <w:rsid w:val="004133ED"/>
    <w:rsid w:val="004133EE"/>
    <w:rsid w:val="004134F6"/>
    <w:rsid w:val="0041350A"/>
    <w:rsid w:val="0041353D"/>
    <w:rsid w:val="004136C2"/>
    <w:rsid w:val="0041379E"/>
    <w:rsid w:val="0041386E"/>
    <w:rsid w:val="004138A7"/>
    <w:rsid w:val="00413978"/>
    <w:rsid w:val="0041398F"/>
    <w:rsid w:val="004139BE"/>
    <w:rsid w:val="00413BE4"/>
    <w:rsid w:val="00413C43"/>
    <w:rsid w:val="00413CDC"/>
    <w:rsid w:val="00413D64"/>
    <w:rsid w:val="00413D7B"/>
    <w:rsid w:val="00413E2E"/>
    <w:rsid w:val="00414102"/>
    <w:rsid w:val="004141A7"/>
    <w:rsid w:val="00414207"/>
    <w:rsid w:val="00414238"/>
    <w:rsid w:val="00414272"/>
    <w:rsid w:val="004142AB"/>
    <w:rsid w:val="004142E0"/>
    <w:rsid w:val="004143C6"/>
    <w:rsid w:val="00414449"/>
    <w:rsid w:val="00414461"/>
    <w:rsid w:val="004144C9"/>
    <w:rsid w:val="0041471E"/>
    <w:rsid w:val="00414973"/>
    <w:rsid w:val="00414A29"/>
    <w:rsid w:val="00414ACC"/>
    <w:rsid w:val="00414B3F"/>
    <w:rsid w:val="00414BF8"/>
    <w:rsid w:val="00414DDA"/>
    <w:rsid w:val="00414E11"/>
    <w:rsid w:val="00414EA3"/>
    <w:rsid w:val="00414F0B"/>
    <w:rsid w:val="00414FEC"/>
    <w:rsid w:val="00415081"/>
    <w:rsid w:val="0041511A"/>
    <w:rsid w:val="00415180"/>
    <w:rsid w:val="00415195"/>
    <w:rsid w:val="00415249"/>
    <w:rsid w:val="0041531C"/>
    <w:rsid w:val="004153E6"/>
    <w:rsid w:val="0041546A"/>
    <w:rsid w:val="00415485"/>
    <w:rsid w:val="00415590"/>
    <w:rsid w:val="0041559C"/>
    <w:rsid w:val="00415716"/>
    <w:rsid w:val="0041576E"/>
    <w:rsid w:val="004157BA"/>
    <w:rsid w:val="00415893"/>
    <w:rsid w:val="00415AF8"/>
    <w:rsid w:val="00415BA4"/>
    <w:rsid w:val="00415BF3"/>
    <w:rsid w:val="00415C06"/>
    <w:rsid w:val="00415C5E"/>
    <w:rsid w:val="00415C60"/>
    <w:rsid w:val="00415DE1"/>
    <w:rsid w:val="00415EAC"/>
    <w:rsid w:val="00415F9E"/>
    <w:rsid w:val="0041605C"/>
    <w:rsid w:val="00416158"/>
    <w:rsid w:val="00416241"/>
    <w:rsid w:val="004162F6"/>
    <w:rsid w:val="0041632E"/>
    <w:rsid w:val="004164DE"/>
    <w:rsid w:val="004165BC"/>
    <w:rsid w:val="00416666"/>
    <w:rsid w:val="0041676E"/>
    <w:rsid w:val="00416781"/>
    <w:rsid w:val="004167BE"/>
    <w:rsid w:val="004167CB"/>
    <w:rsid w:val="00416838"/>
    <w:rsid w:val="00416901"/>
    <w:rsid w:val="00416929"/>
    <w:rsid w:val="0041693B"/>
    <w:rsid w:val="00416A52"/>
    <w:rsid w:val="00416A6C"/>
    <w:rsid w:val="00416A87"/>
    <w:rsid w:val="00416B90"/>
    <w:rsid w:val="00416C5B"/>
    <w:rsid w:val="00416CC9"/>
    <w:rsid w:val="00416D50"/>
    <w:rsid w:val="00416D54"/>
    <w:rsid w:val="00416D8E"/>
    <w:rsid w:val="00416DBE"/>
    <w:rsid w:val="004170C7"/>
    <w:rsid w:val="00417131"/>
    <w:rsid w:val="00417196"/>
    <w:rsid w:val="004171DA"/>
    <w:rsid w:val="0041726B"/>
    <w:rsid w:val="00417400"/>
    <w:rsid w:val="00417451"/>
    <w:rsid w:val="0041748A"/>
    <w:rsid w:val="00417534"/>
    <w:rsid w:val="00417599"/>
    <w:rsid w:val="0041761B"/>
    <w:rsid w:val="004178D2"/>
    <w:rsid w:val="00417920"/>
    <w:rsid w:val="00417A08"/>
    <w:rsid w:val="00417BD3"/>
    <w:rsid w:val="00417BE5"/>
    <w:rsid w:val="00417CA6"/>
    <w:rsid w:val="00417CDF"/>
    <w:rsid w:val="00417D3B"/>
    <w:rsid w:val="00417D58"/>
    <w:rsid w:val="00417D65"/>
    <w:rsid w:val="00417DC6"/>
    <w:rsid w:val="00417E1D"/>
    <w:rsid w:val="00417EFD"/>
    <w:rsid w:val="0042000D"/>
    <w:rsid w:val="004200E5"/>
    <w:rsid w:val="004201B6"/>
    <w:rsid w:val="0042024A"/>
    <w:rsid w:val="00420273"/>
    <w:rsid w:val="0042029E"/>
    <w:rsid w:val="004202F8"/>
    <w:rsid w:val="004202FF"/>
    <w:rsid w:val="00420374"/>
    <w:rsid w:val="00420386"/>
    <w:rsid w:val="00420411"/>
    <w:rsid w:val="004204A9"/>
    <w:rsid w:val="0042052B"/>
    <w:rsid w:val="00420707"/>
    <w:rsid w:val="004207FA"/>
    <w:rsid w:val="0042080A"/>
    <w:rsid w:val="0042080B"/>
    <w:rsid w:val="0042084C"/>
    <w:rsid w:val="004208E0"/>
    <w:rsid w:val="004209E7"/>
    <w:rsid w:val="00420B37"/>
    <w:rsid w:val="00420B4C"/>
    <w:rsid w:val="00420C2C"/>
    <w:rsid w:val="00420C72"/>
    <w:rsid w:val="00420D09"/>
    <w:rsid w:val="00420D98"/>
    <w:rsid w:val="00420DD5"/>
    <w:rsid w:val="00420E07"/>
    <w:rsid w:val="00420F4B"/>
    <w:rsid w:val="00420F87"/>
    <w:rsid w:val="00421019"/>
    <w:rsid w:val="00421131"/>
    <w:rsid w:val="004213BF"/>
    <w:rsid w:val="00421460"/>
    <w:rsid w:val="00421538"/>
    <w:rsid w:val="00421549"/>
    <w:rsid w:val="004217A9"/>
    <w:rsid w:val="004217BF"/>
    <w:rsid w:val="004218C9"/>
    <w:rsid w:val="00421954"/>
    <w:rsid w:val="00421D1D"/>
    <w:rsid w:val="00421DA7"/>
    <w:rsid w:val="00421F56"/>
    <w:rsid w:val="00421FB3"/>
    <w:rsid w:val="00422052"/>
    <w:rsid w:val="004220C3"/>
    <w:rsid w:val="00422134"/>
    <w:rsid w:val="00422186"/>
    <w:rsid w:val="00422276"/>
    <w:rsid w:val="0042237B"/>
    <w:rsid w:val="004223A3"/>
    <w:rsid w:val="004223C3"/>
    <w:rsid w:val="0042241B"/>
    <w:rsid w:val="00422836"/>
    <w:rsid w:val="004228E5"/>
    <w:rsid w:val="00422905"/>
    <w:rsid w:val="00422915"/>
    <w:rsid w:val="00422A25"/>
    <w:rsid w:val="00422A2B"/>
    <w:rsid w:val="00422D0C"/>
    <w:rsid w:val="00422D2B"/>
    <w:rsid w:val="00422D6E"/>
    <w:rsid w:val="004231B0"/>
    <w:rsid w:val="004232A5"/>
    <w:rsid w:val="004233CD"/>
    <w:rsid w:val="004234B5"/>
    <w:rsid w:val="004235AF"/>
    <w:rsid w:val="00423604"/>
    <w:rsid w:val="00423A33"/>
    <w:rsid w:val="00423AAD"/>
    <w:rsid w:val="00423B75"/>
    <w:rsid w:val="00423BEC"/>
    <w:rsid w:val="00423C25"/>
    <w:rsid w:val="00423C3B"/>
    <w:rsid w:val="00423C6D"/>
    <w:rsid w:val="00423D37"/>
    <w:rsid w:val="00423D54"/>
    <w:rsid w:val="00423ED8"/>
    <w:rsid w:val="00423FB7"/>
    <w:rsid w:val="00424165"/>
    <w:rsid w:val="004241F7"/>
    <w:rsid w:val="00424245"/>
    <w:rsid w:val="00424487"/>
    <w:rsid w:val="004244A2"/>
    <w:rsid w:val="004245BC"/>
    <w:rsid w:val="0042465E"/>
    <w:rsid w:val="00424664"/>
    <w:rsid w:val="004247C1"/>
    <w:rsid w:val="00424826"/>
    <w:rsid w:val="00424871"/>
    <w:rsid w:val="00424AD6"/>
    <w:rsid w:val="00424BE6"/>
    <w:rsid w:val="00424DF8"/>
    <w:rsid w:val="00424F02"/>
    <w:rsid w:val="0042512F"/>
    <w:rsid w:val="00425261"/>
    <w:rsid w:val="0042526B"/>
    <w:rsid w:val="004252F9"/>
    <w:rsid w:val="00425340"/>
    <w:rsid w:val="0042534F"/>
    <w:rsid w:val="0042536B"/>
    <w:rsid w:val="00425430"/>
    <w:rsid w:val="00425432"/>
    <w:rsid w:val="00425438"/>
    <w:rsid w:val="004254F2"/>
    <w:rsid w:val="00425557"/>
    <w:rsid w:val="00425619"/>
    <w:rsid w:val="004256F9"/>
    <w:rsid w:val="00425747"/>
    <w:rsid w:val="00425919"/>
    <w:rsid w:val="0042591C"/>
    <w:rsid w:val="0042595C"/>
    <w:rsid w:val="00425A79"/>
    <w:rsid w:val="00425ABD"/>
    <w:rsid w:val="00425AEE"/>
    <w:rsid w:val="00425B9E"/>
    <w:rsid w:val="00425C8B"/>
    <w:rsid w:val="00425CA8"/>
    <w:rsid w:val="00425CBF"/>
    <w:rsid w:val="00425DD5"/>
    <w:rsid w:val="00425DEC"/>
    <w:rsid w:val="00425E5E"/>
    <w:rsid w:val="00426011"/>
    <w:rsid w:val="004260E7"/>
    <w:rsid w:val="004260F4"/>
    <w:rsid w:val="004261E0"/>
    <w:rsid w:val="00426202"/>
    <w:rsid w:val="00426227"/>
    <w:rsid w:val="0042629B"/>
    <w:rsid w:val="00426612"/>
    <w:rsid w:val="00426627"/>
    <w:rsid w:val="00426648"/>
    <w:rsid w:val="00426735"/>
    <w:rsid w:val="00426800"/>
    <w:rsid w:val="0042681F"/>
    <w:rsid w:val="00426820"/>
    <w:rsid w:val="00426A18"/>
    <w:rsid w:val="00426A7D"/>
    <w:rsid w:val="00426B19"/>
    <w:rsid w:val="00426CEE"/>
    <w:rsid w:val="00426F03"/>
    <w:rsid w:val="00426F4A"/>
    <w:rsid w:val="00426F72"/>
    <w:rsid w:val="00426FB7"/>
    <w:rsid w:val="0042703E"/>
    <w:rsid w:val="004270C3"/>
    <w:rsid w:val="0042712B"/>
    <w:rsid w:val="0042720B"/>
    <w:rsid w:val="004272FD"/>
    <w:rsid w:val="00427317"/>
    <w:rsid w:val="0042731A"/>
    <w:rsid w:val="00427370"/>
    <w:rsid w:val="00427418"/>
    <w:rsid w:val="00427447"/>
    <w:rsid w:val="0042749E"/>
    <w:rsid w:val="0042751E"/>
    <w:rsid w:val="00427524"/>
    <w:rsid w:val="0042752B"/>
    <w:rsid w:val="0042757E"/>
    <w:rsid w:val="004275E2"/>
    <w:rsid w:val="004276D1"/>
    <w:rsid w:val="0042797C"/>
    <w:rsid w:val="0042797D"/>
    <w:rsid w:val="00427A67"/>
    <w:rsid w:val="00427AF0"/>
    <w:rsid w:val="00427BF8"/>
    <w:rsid w:val="00427C02"/>
    <w:rsid w:val="00427C0F"/>
    <w:rsid w:val="00427D6D"/>
    <w:rsid w:val="00427E26"/>
    <w:rsid w:val="00427F30"/>
    <w:rsid w:val="004300C9"/>
    <w:rsid w:val="004300CA"/>
    <w:rsid w:val="0043027F"/>
    <w:rsid w:val="004302E9"/>
    <w:rsid w:val="004303C0"/>
    <w:rsid w:val="004303C1"/>
    <w:rsid w:val="004303D0"/>
    <w:rsid w:val="004304A5"/>
    <w:rsid w:val="00430504"/>
    <w:rsid w:val="0043052C"/>
    <w:rsid w:val="004305EA"/>
    <w:rsid w:val="004306BC"/>
    <w:rsid w:val="004306F0"/>
    <w:rsid w:val="00430708"/>
    <w:rsid w:val="0043080A"/>
    <w:rsid w:val="00430895"/>
    <w:rsid w:val="004308EF"/>
    <w:rsid w:val="00430950"/>
    <w:rsid w:val="00430A94"/>
    <w:rsid w:val="00430AF4"/>
    <w:rsid w:val="00430B2F"/>
    <w:rsid w:val="00430C8B"/>
    <w:rsid w:val="00430CE2"/>
    <w:rsid w:val="00430CE4"/>
    <w:rsid w:val="00430CF6"/>
    <w:rsid w:val="00430D2F"/>
    <w:rsid w:val="00431053"/>
    <w:rsid w:val="0043108F"/>
    <w:rsid w:val="00431135"/>
    <w:rsid w:val="004311EE"/>
    <w:rsid w:val="004311F9"/>
    <w:rsid w:val="0043136D"/>
    <w:rsid w:val="004313B3"/>
    <w:rsid w:val="004314E8"/>
    <w:rsid w:val="00431566"/>
    <w:rsid w:val="004315D8"/>
    <w:rsid w:val="00431660"/>
    <w:rsid w:val="00431716"/>
    <w:rsid w:val="004317D3"/>
    <w:rsid w:val="0043181C"/>
    <w:rsid w:val="004318A0"/>
    <w:rsid w:val="004318D1"/>
    <w:rsid w:val="00431A00"/>
    <w:rsid w:val="00431B97"/>
    <w:rsid w:val="00431C6E"/>
    <w:rsid w:val="00431D70"/>
    <w:rsid w:val="00431EB2"/>
    <w:rsid w:val="00431FD0"/>
    <w:rsid w:val="004320DA"/>
    <w:rsid w:val="0043212E"/>
    <w:rsid w:val="0043213E"/>
    <w:rsid w:val="0043216B"/>
    <w:rsid w:val="004321DD"/>
    <w:rsid w:val="004321FB"/>
    <w:rsid w:val="0043231D"/>
    <w:rsid w:val="004323CF"/>
    <w:rsid w:val="00432426"/>
    <w:rsid w:val="00432448"/>
    <w:rsid w:val="004327C4"/>
    <w:rsid w:val="00432920"/>
    <w:rsid w:val="00432F0C"/>
    <w:rsid w:val="00432F79"/>
    <w:rsid w:val="004330F5"/>
    <w:rsid w:val="0043318C"/>
    <w:rsid w:val="004331BF"/>
    <w:rsid w:val="004331EA"/>
    <w:rsid w:val="00433202"/>
    <w:rsid w:val="0043321B"/>
    <w:rsid w:val="0043324E"/>
    <w:rsid w:val="004332A7"/>
    <w:rsid w:val="004332AE"/>
    <w:rsid w:val="00433359"/>
    <w:rsid w:val="0043338E"/>
    <w:rsid w:val="004333AB"/>
    <w:rsid w:val="004333BB"/>
    <w:rsid w:val="004333FC"/>
    <w:rsid w:val="00433523"/>
    <w:rsid w:val="00433581"/>
    <w:rsid w:val="0043358E"/>
    <w:rsid w:val="0043360E"/>
    <w:rsid w:val="00433648"/>
    <w:rsid w:val="004337CB"/>
    <w:rsid w:val="004337EB"/>
    <w:rsid w:val="004338DA"/>
    <w:rsid w:val="00433908"/>
    <w:rsid w:val="00433A19"/>
    <w:rsid w:val="00433A6C"/>
    <w:rsid w:val="00433C46"/>
    <w:rsid w:val="00433EC7"/>
    <w:rsid w:val="00433F4D"/>
    <w:rsid w:val="00433F69"/>
    <w:rsid w:val="0043400F"/>
    <w:rsid w:val="00434033"/>
    <w:rsid w:val="0043405E"/>
    <w:rsid w:val="004340E6"/>
    <w:rsid w:val="0043411F"/>
    <w:rsid w:val="00434122"/>
    <w:rsid w:val="0043428B"/>
    <w:rsid w:val="004342F0"/>
    <w:rsid w:val="004344C6"/>
    <w:rsid w:val="004344DA"/>
    <w:rsid w:val="0043464A"/>
    <w:rsid w:val="00434659"/>
    <w:rsid w:val="004346F3"/>
    <w:rsid w:val="004347D3"/>
    <w:rsid w:val="00434836"/>
    <w:rsid w:val="004349C9"/>
    <w:rsid w:val="004349D6"/>
    <w:rsid w:val="00434AFA"/>
    <w:rsid w:val="00434BDA"/>
    <w:rsid w:val="00434CA5"/>
    <w:rsid w:val="00434DB0"/>
    <w:rsid w:val="00434DF0"/>
    <w:rsid w:val="00434E3B"/>
    <w:rsid w:val="00434E6E"/>
    <w:rsid w:val="00434FF7"/>
    <w:rsid w:val="00435038"/>
    <w:rsid w:val="004351D7"/>
    <w:rsid w:val="00435353"/>
    <w:rsid w:val="004353B5"/>
    <w:rsid w:val="0043540A"/>
    <w:rsid w:val="00435418"/>
    <w:rsid w:val="00435593"/>
    <w:rsid w:val="004356AF"/>
    <w:rsid w:val="004356BA"/>
    <w:rsid w:val="004356FA"/>
    <w:rsid w:val="00435870"/>
    <w:rsid w:val="00435979"/>
    <w:rsid w:val="00435AAF"/>
    <w:rsid w:val="00435BA1"/>
    <w:rsid w:val="00435BE9"/>
    <w:rsid w:val="00436105"/>
    <w:rsid w:val="00436126"/>
    <w:rsid w:val="0043613C"/>
    <w:rsid w:val="0043615E"/>
    <w:rsid w:val="0043617D"/>
    <w:rsid w:val="0043627B"/>
    <w:rsid w:val="004364E7"/>
    <w:rsid w:val="00436644"/>
    <w:rsid w:val="004366BD"/>
    <w:rsid w:val="00436716"/>
    <w:rsid w:val="004367DB"/>
    <w:rsid w:val="0043698E"/>
    <w:rsid w:val="00436A86"/>
    <w:rsid w:val="00436B74"/>
    <w:rsid w:val="00436BC6"/>
    <w:rsid w:val="00436CF3"/>
    <w:rsid w:val="00436E30"/>
    <w:rsid w:val="00436E6C"/>
    <w:rsid w:val="00436ED4"/>
    <w:rsid w:val="00436F44"/>
    <w:rsid w:val="00436FBD"/>
    <w:rsid w:val="00437235"/>
    <w:rsid w:val="0043728E"/>
    <w:rsid w:val="004373C0"/>
    <w:rsid w:val="00437411"/>
    <w:rsid w:val="0043750C"/>
    <w:rsid w:val="00437572"/>
    <w:rsid w:val="0043766F"/>
    <w:rsid w:val="00437686"/>
    <w:rsid w:val="0043793D"/>
    <w:rsid w:val="004379D7"/>
    <w:rsid w:val="00437AC6"/>
    <w:rsid w:val="00437B72"/>
    <w:rsid w:val="00437BD0"/>
    <w:rsid w:val="00437C13"/>
    <w:rsid w:val="00437CEC"/>
    <w:rsid w:val="00437E0B"/>
    <w:rsid w:val="00437EF2"/>
    <w:rsid w:val="00437F05"/>
    <w:rsid w:val="00437F09"/>
    <w:rsid w:val="00437F99"/>
    <w:rsid w:val="00437FD6"/>
    <w:rsid w:val="00440012"/>
    <w:rsid w:val="004400A4"/>
    <w:rsid w:val="00440140"/>
    <w:rsid w:val="0044018B"/>
    <w:rsid w:val="004401CB"/>
    <w:rsid w:val="004402CA"/>
    <w:rsid w:val="0044058A"/>
    <w:rsid w:val="0044059B"/>
    <w:rsid w:val="0044062B"/>
    <w:rsid w:val="00440650"/>
    <w:rsid w:val="004406F9"/>
    <w:rsid w:val="00440A49"/>
    <w:rsid w:val="00440AB4"/>
    <w:rsid w:val="00440AEB"/>
    <w:rsid w:val="00440B94"/>
    <w:rsid w:val="00440C56"/>
    <w:rsid w:val="00440DBC"/>
    <w:rsid w:val="00441031"/>
    <w:rsid w:val="00441041"/>
    <w:rsid w:val="0044109D"/>
    <w:rsid w:val="0044116E"/>
    <w:rsid w:val="004412CC"/>
    <w:rsid w:val="00441390"/>
    <w:rsid w:val="004413B7"/>
    <w:rsid w:val="00441425"/>
    <w:rsid w:val="00441511"/>
    <w:rsid w:val="004415D8"/>
    <w:rsid w:val="00441748"/>
    <w:rsid w:val="0044178D"/>
    <w:rsid w:val="004419B2"/>
    <w:rsid w:val="00441A55"/>
    <w:rsid w:val="00441AB9"/>
    <w:rsid w:val="00441AD3"/>
    <w:rsid w:val="00441AF9"/>
    <w:rsid w:val="00441B0E"/>
    <w:rsid w:val="00441C48"/>
    <w:rsid w:val="00441DB5"/>
    <w:rsid w:val="00441E04"/>
    <w:rsid w:val="0044206C"/>
    <w:rsid w:val="00442283"/>
    <w:rsid w:val="00442343"/>
    <w:rsid w:val="004426E9"/>
    <w:rsid w:val="004428A7"/>
    <w:rsid w:val="004428F5"/>
    <w:rsid w:val="00442BA8"/>
    <w:rsid w:val="00442CC4"/>
    <w:rsid w:val="00442F49"/>
    <w:rsid w:val="00442FE4"/>
    <w:rsid w:val="00442FED"/>
    <w:rsid w:val="0044311B"/>
    <w:rsid w:val="004432B2"/>
    <w:rsid w:val="004432C3"/>
    <w:rsid w:val="00443367"/>
    <w:rsid w:val="00443472"/>
    <w:rsid w:val="0044358F"/>
    <w:rsid w:val="00443662"/>
    <w:rsid w:val="0044371A"/>
    <w:rsid w:val="004437EC"/>
    <w:rsid w:val="004437FC"/>
    <w:rsid w:val="00443855"/>
    <w:rsid w:val="00443877"/>
    <w:rsid w:val="00443925"/>
    <w:rsid w:val="004439B8"/>
    <w:rsid w:val="00443B56"/>
    <w:rsid w:val="00443C2C"/>
    <w:rsid w:val="00443C6B"/>
    <w:rsid w:val="00443D25"/>
    <w:rsid w:val="00443D3E"/>
    <w:rsid w:val="00443E3B"/>
    <w:rsid w:val="00443F0A"/>
    <w:rsid w:val="00443F28"/>
    <w:rsid w:val="00443F76"/>
    <w:rsid w:val="00443F86"/>
    <w:rsid w:val="00443F9A"/>
    <w:rsid w:val="004440EB"/>
    <w:rsid w:val="00444223"/>
    <w:rsid w:val="004442B4"/>
    <w:rsid w:val="00444419"/>
    <w:rsid w:val="00444448"/>
    <w:rsid w:val="004445B3"/>
    <w:rsid w:val="0044467D"/>
    <w:rsid w:val="00444698"/>
    <w:rsid w:val="004447BE"/>
    <w:rsid w:val="00444884"/>
    <w:rsid w:val="00444B2E"/>
    <w:rsid w:val="00444C87"/>
    <w:rsid w:val="00444DED"/>
    <w:rsid w:val="00444E5A"/>
    <w:rsid w:val="00444F73"/>
    <w:rsid w:val="00444FC4"/>
    <w:rsid w:val="0044521A"/>
    <w:rsid w:val="00445326"/>
    <w:rsid w:val="004453B3"/>
    <w:rsid w:val="004453C8"/>
    <w:rsid w:val="0044549B"/>
    <w:rsid w:val="00445577"/>
    <w:rsid w:val="004456E6"/>
    <w:rsid w:val="0044593E"/>
    <w:rsid w:val="004459DF"/>
    <w:rsid w:val="00445A77"/>
    <w:rsid w:val="00445A99"/>
    <w:rsid w:val="00445B13"/>
    <w:rsid w:val="00445C2D"/>
    <w:rsid w:val="00445D45"/>
    <w:rsid w:val="00445D60"/>
    <w:rsid w:val="00445F94"/>
    <w:rsid w:val="004461A1"/>
    <w:rsid w:val="004462D5"/>
    <w:rsid w:val="004464BD"/>
    <w:rsid w:val="004464D1"/>
    <w:rsid w:val="004465FA"/>
    <w:rsid w:val="00446616"/>
    <w:rsid w:val="0044665A"/>
    <w:rsid w:val="004468CC"/>
    <w:rsid w:val="00446924"/>
    <w:rsid w:val="00446983"/>
    <w:rsid w:val="004469D9"/>
    <w:rsid w:val="00446B9F"/>
    <w:rsid w:val="00446C13"/>
    <w:rsid w:val="00446C20"/>
    <w:rsid w:val="00446CAA"/>
    <w:rsid w:val="00446CD3"/>
    <w:rsid w:val="00446DAB"/>
    <w:rsid w:val="00446E8C"/>
    <w:rsid w:val="00446E98"/>
    <w:rsid w:val="00446EA4"/>
    <w:rsid w:val="00446EF1"/>
    <w:rsid w:val="00446F01"/>
    <w:rsid w:val="00446F09"/>
    <w:rsid w:val="00446F1D"/>
    <w:rsid w:val="00447204"/>
    <w:rsid w:val="0044721B"/>
    <w:rsid w:val="004472FE"/>
    <w:rsid w:val="00447318"/>
    <w:rsid w:val="00447328"/>
    <w:rsid w:val="00447355"/>
    <w:rsid w:val="0044752E"/>
    <w:rsid w:val="004475DF"/>
    <w:rsid w:val="00447683"/>
    <w:rsid w:val="004476C5"/>
    <w:rsid w:val="0044777D"/>
    <w:rsid w:val="00447799"/>
    <w:rsid w:val="0044787A"/>
    <w:rsid w:val="004478C0"/>
    <w:rsid w:val="00447AB1"/>
    <w:rsid w:val="00447C0A"/>
    <w:rsid w:val="00447C43"/>
    <w:rsid w:val="00447CD6"/>
    <w:rsid w:val="00447D2B"/>
    <w:rsid w:val="00447D8D"/>
    <w:rsid w:val="00447E80"/>
    <w:rsid w:val="00447FAF"/>
    <w:rsid w:val="00447FCD"/>
    <w:rsid w:val="004500C7"/>
    <w:rsid w:val="0045015F"/>
    <w:rsid w:val="00450346"/>
    <w:rsid w:val="004503B3"/>
    <w:rsid w:val="004503C3"/>
    <w:rsid w:val="004503D6"/>
    <w:rsid w:val="00450407"/>
    <w:rsid w:val="0045052B"/>
    <w:rsid w:val="00450597"/>
    <w:rsid w:val="0045061C"/>
    <w:rsid w:val="004506CE"/>
    <w:rsid w:val="004507BD"/>
    <w:rsid w:val="00450843"/>
    <w:rsid w:val="004508D5"/>
    <w:rsid w:val="004509E9"/>
    <w:rsid w:val="00450A03"/>
    <w:rsid w:val="00450AA9"/>
    <w:rsid w:val="00450B5F"/>
    <w:rsid w:val="00450CC8"/>
    <w:rsid w:val="00450CF0"/>
    <w:rsid w:val="00450E13"/>
    <w:rsid w:val="00451122"/>
    <w:rsid w:val="00451185"/>
    <w:rsid w:val="004511A8"/>
    <w:rsid w:val="004512D2"/>
    <w:rsid w:val="00451509"/>
    <w:rsid w:val="00451616"/>
    <w:rsid w:val="00451670"/>
    <w:rsid w:val="00451756"/>
    <w:rsid w:val="0045176C"/>
    <w:rsid w:val="004517B2"/>
    <w:rsid w:val="00451807"/>
    <w:rsid w:val="0045182B"/>
    <w:rsid w:val="004518D2"/>
    <w:rsid w:val="004519B6"/>
    <w:rsid w:val="004519C2"/>
    <w:rsid w:val="00451C8C"/>
    <w:rsid w:val="00451CB2"/>
    <w:rsid w:val="00451DFA"/>
    <w:rsid w:val="00451F0F"/>
    <w:rsid w:val="00451F84"/>
    <w:rsid w:val="004520A3"/>
    <w:rsid w:val="00452113"/>
    <w:rsid w:val="00452137"/>
    <w:rsid w:val="00452188"/>
    <w:rsid w:val="0045228C"/>
    <w:rsid w:val="004522BA"/>
    <w:rsid w:val="0045230C"/>
    <w:rsid w:val="004523AA"/>
    <w:rsid w:val="00452402"/>
    <w:rsid w:val="004524FA"/>
    <w:rsid w:val="00452653"/>
    <w:rsid w:val="00452663"/>
    <w:rsid w:val="00452743"/>
    <w:rsid w:val="0045274A"/>
    <w:rsid w:val="00452753"/>
    <w:rsid w:val="0045282C"/>
    <w:rsid w:val="0045285F"/>
    <w:rsid w:val="004528DC"/>
    <w:rsid w:val="0045292E"/>
    <w:rsid w:val="00452AD3"/>
    <w:rsid w:val="00452B45"/>
    <w:rsid w:val="00452DA8"/>
    <w:rsid w:val="00452E68"/>
    <w:rsid w:val="00452F77"/>
    <w:rsid w:val="004530DC"/>
    <w:rsid w:val="00453115"/>
    <w:rsid w:val="004532F2"/>
    <w:rsid w:val="00453384"/>
    <w:rsid w:val="0045342F"/>
    <w:rsid w:val="004534A1"/>
    <w:rsid w:val="00453509"/>
    <w:rsid w:val="0045357A"/>
    <w:rsid w:val="00453633"/>
    <w:rsid w:val="004536A7"/>
    <w:rsid w:val="0045386D"/>
    <w:rsid w:val="00453B53"/>
    <w:rsid w:val="00453B58"/>
    <w:rsid w:val="00453BB7"/>
    <w:rsid w:val="00453BFB"/>
    <w:rsid w:val="00453DA0"/>
    <w:rsid w:val="00453DAF"/>
    <w:rsid w:val="00453DF0"/>
    <w:rsid w:val="00453F75"/>
    <w:rsid w:val="004540F7"/>
    <w:rsid w:val="00454167"/>
    <w:rsid w:val="004541A3"/>
    <w:rsid w:val="0045423E"/>
    <w:rsid w:val="0045429D"/>
    <w:rsid w:val="004542AB"/>
    <w:rsid w:val="00454327"/>
    <w:rsid w:val="00454397"/>
    <w:rsid w:val="0045440E"/>
    <w:rsid w:val="00454519"/>
    <w:rsid w:val="0045454D"/>
    <w:rsid w:val="00454553"/>
    <w:rsid w:val="004546E5"/>
    <w:rsid w:val="00454779"/>
    <w:rsid w:val="00454A1E"/>
    <w:rsid w:val="00454A71"/>
    <w:rsid w:val="00454C6A"/>
    <w:rsid w:val="00454CAB"/>
    <w:rsid w:val="00454D30"/>
    <w:rsid w:val="00454DD1"/>
    <w:rsid w:val="00454E44"/>
    <w:rsid w:val="00454F5E"/>
    <w:rsid w:val="004550DD"/>
    <w:rsid w:val="0045521C"/>
    <w:rsid w:val="00455255"/>
    <w:rsid w:val="00455360"/>
    <w:rsid w:val="00455410"/>
    <w:rsid w:val="0045549E"/>
    <w:rsid w:val="004557BC"/>
    <w:rsid w:val="004557D2"/>
    <w:rsid w:val="00455872"/>
    <w:rsid w:val="00455A01"/>
    <w:rsid w:val="00455B43"/>
    <w:rsid w:val="00455C85"/>
    <w:rsid w:val="00455CB4"/>
    <w:rsid w:val="00455CC2"/>
    <w:rsid w:val="00455CDA"/>
    <w:rsid w:val="00455CF8"/>
    <w:rsid w:val="00455D1A"/>
    <w:rsid w:val="00455E30"/>
    <w:rsid w:val="00455E58"/>
    <w:rsid w:val="004560D3"/>
    <w:rsid w:val="00456163"/>
    <w:rsid w:val="004561D4"/>
    <w:rsid w:val="004564DA"/>
    <w:rsid w:val="0045652E"/>
    <w:rsid w:val="00456642"/>
    <w:rsid w:val="004566C5"/>
    <w:rsid w:val="00456730"/>
    <w:rsid w:val="00456752"/>
    <w:rsid w:val="00456762"/>
    <w:rsid w:val="004567A8"/>
    <w:rsid w:val="00456833"/>
    <w:rsid w:val="00456846"/>
    <w:rsid w:val="00456944"/>
    <w:rsid w:val="00456A1B"/>
    <w:rsid w:val="00456C6D"/>
    <w:rsid w:val="00456CC3"/>
    <w:rsid w:val="00456D38"/>
    <w:rsid w:val="00456EA8"/>
    <w:rsid w:val="00456EDE"/>
    <w:rsid w:val="00456FFA"/>
    <w:rsid w:val="0045705A"/>
    <w:rsid w:val="00457061"/>
    <w:rsid w:val="004570C0"/>
    <w:rsid w:val="004570D0"/>
    <w:rsid w:val="00457167"/>
    <w:rsid w:val="00457241"/>
    <w:rsid w:val="00457356"/>
    <w:rsid w:val="00457364"/>
    <w:rsid w:val="004573F6"/>
    <w:rsid w:val="00457429"/>
    <w:rsid w:val="004575A3"/>
    <w:rsid w:val="004575BC"/>
    <w:rsid w:val="0045762E"/>
    <w:rsid w:val="004576C1"/>
    <w:rsid w:val="004577D2"/>
    <w:rsid w:val="0045781D"/>
    <w:rsid w:val="00457921"/>
    <w:rsid w:val="0045798D"/>
    <w:rsid w:val="00457A65"/>
    <w:rsid w:val="00457AD2"/>
    <w:rsid w:val="00457AF3"/>
    <w:rsid w:val="00457AFF"/>
    <w:rsid w:val="00457D0F"/>
    <w:rsid w:val="00457DEF"/>
    <w:rsid w:val="00457DFD"/>
    <w:rsid w:val="00457E3E"/>
    <w:rsid w:val="00457F08"/>
    <w:rsid w:val="0046007F"/>
    <w:rsid w:val="00460128"/>
    <w:rsid w:val="00460149"/>
    <w:rsid w:val="0046014D"/>
    <w:rsid w:val="00460203"/>
    <w:rsid w:val="004602B0"/>
    <w:rsid w:val="00460530"/>
    <w:rsid w:val="004606BB"/>
    <w:rsid w:val="0046073E"/>
    <w:rsid w:val="00460839"/>
    <w:rsid w:val="00460894"/>
    <w:rsid w:val="004608B7"/>
    <w:rsid w:val="004608C3"/>
    <w:rsid w:val="00460917"/>
    <w:rsid w:val="00460AE5"/>
    <w:rsid w:val="00460B89"/>
    <w:rsid w:val="00460C0B"/>
    <w:rsid w:val="00460C6E"/>
    <w:rsid w:val="00460E3A"/>
    <w:rsid w:val="00460F57"/>
    <w:rsid w:val="0046112C"/>
    <w:rsid w:val="004612CB"/>
    <w:rsid w:val="004617BB"/>
    <w:rsid w:val="00461943"/>
    <w:rsid w:val="00461A05"/>
    <w:rsid w:val="00461AE0"/>
    <w:rsid w:val="00461C6F"/>
    <w:rsid w:val="00461CB8"/>
    <w:rsid w:val="00461CD4"/>
    <w:rsid w:val="00461DEA"/>
    <w:rsid w:val="00461ED7"/>
    <w:rsid w:val="00461EF5"/>
    <w:rsid w:val="00462207"/>
    <w:rsid w:val="00462260"/>
    <w:rsid w:val="004624F0"/>
    <w:rsid w:val="0046262C"/>
    <w:rsid w:val="00462640"/>
    <w:rsid w:val="00462660"/>
    <w:rsid w:val="0046293F"/>
    <w:rsid w:val="00462A6E"/>
    <w:rsid w:val="00462ACD"/>
    <w:rsid w:val="00462B1B"/>
    <w:rsid w:val="00462B7D"/>
    <w:rsid w:val="00462B95"/>
    <w:rsid w:val="00462C00"/>
    <w:rsid w:val="00462D2D"/>
    <w:rsid w:val="00462D37"/>
    <w:rsid w:val="00462DC2"/>
    <w:rsid w:val="00462DEB"/>
    <w:rsid w:val="00462F56"/>
    <w:rsid w:val="004634D6"/>
    <w:rsid w:val="004634DC"/>
    <w:rsid w:val="00463502"/>
    <w:rsid w:val="0046352C"/>
    <w:rsid w:val="0046353E"/>
    <w:rsid w:val="0046361D"/>
    <w:rsid w:val="004636D8"/>
    <w:rsid w:val="004636EC"/>
    <w:rsid w:val="004637DC"/>
    <w:rsid w:val="004637E6"/>
    <w:rsid w:val="0046383D"/>
    <w:rsid w:val="004638A8"/>
    <w:rsid w:val="004638BC"/>
    <w:rsid w:val="00463989"/>
    <w:rsid w:val="00463E94"/>
    <w:rsid w:val="00463EF8"/>
    <w:rsid w:val="00463F24"/>
    <w:rsid w:val="00464078"/>
    <w:rsid w:val="00464098"/>
    <w:rsid w:val="00464238"/>
    <w:rsid w:val="00464266"/>
    <w:rsid w:val="004642D6"/>
    <w:rsid w:val="0046431D"/>
    <w:rsid w:val="00464351"/>
    <w:rsid w:val="0046452C"/>
    <w:rsid w:val="00464576"/>
    <w:rsid w:val="00464597"/>
    <w:rsid w:val="004645A3"/>
    <w:rsid w:val="004645F5"/>
    <w:rsid w:val="00464613"/>
    <w:rsid w:val="004649C7"/>
    <w:rsid w:val="00464D71"/>
    <w:rsid w:val="00464DB0"/>
    <w:rsid w:val="00464ED5"/>
    <w:rsid w:val="00464FFC"/>
    <w:rsid w:val="004653C0"/>
    <w:rsid w:val="00465413"/>
    <w:rsid w:val="004654CF"/>
    <w:rsid w:val="004656B8"/>
    <w:rsid w:val="00465921"/>
    <w:rsid w:val="00465AAF"/>
    <w:rsid w:val="00465B34"/>
    <w:rsid w:val="00465BC4"/>
    <w:rsid w:val="00465BE5"/>
    <w:rsid w:val="00466075"/>
    <w:rsid w:val="004660FE"/>
    <w:rsid w:val="00466193"/>
    <w:rsid w:val="0046653A"/>
    <w:rsid w:val="004665F1"/>
    <w:rsid w:val="0046669A"/>
    <w:rsid w:val="004666AA"/>
    <w:rsid w:val="00466700"/>
    <w:rsid w:val="00466759"/>
    <w:rsid w:val="00466827"/>
    <w:rsid w:val="0046696E"/>
    <w:rsid w:val="004669FE"/>
    <w:rsid w:val="00466A33"/>
    <w:rsid w:val="00466AAB"/>
    <w:rsid w:val="00466B3A"/>
    <w:rsid w:val="00466B64"/>
    <w:rsid w:val="00466BEC"/>
    <w:rsid w:val="00466C1A"/>
    <w:rsid w:val="00466D6A"/>
    <w:rsid w:val="00466EAB"/>
    <w:rsid w:val="00466EB5"/>
    <w:rsid w:val="00466F1C"/>
    <w:rsid w:val="00467084"/>
    <w:rsid w:val="0046713E"/>
    <w:rsid w:val="00467204"/>
    <w:rsid w:val="00467285"/>
    <w:rsid w:val="004672C3"/>
    <w:rsid w:val="004673BD"/>
    <w:rsid w:val="00467438"/>
    <w:rsid w:val="00467472"/>
    <w:rsid w:val="00467496"/>
    <w:rsid w:val="004676EC"/>
    <w:rsid w:val="004679D4"/>
    <w:rsid w:val="00467B40"/>
    <w:rsid w:val="00467B55"/>
    <w:rsid w:val="00467BAA"/>
    <w:rsid w:val="00467F51"/>
    <w:rsid w:val="0047002B"/>
    <w:rsid w:val="00470060"/>
    <w:rsid w:val="00470125"/>
    <w:rsid w:val="0047028E"/>
    <w:rsid w:val="00470364"/>
    <w:rsid w:val="004703FF"/>
    <w:rsid w:val="00470647"/>
    <w:rsid w:val="00470710"/>
    <w:rsid w:val="0047071D"/>
    <w:rsid w:val="0047075A"/>
    <w:rsid w:val="0047076F"/>
    <w:rsid w:val="004708B7"/>
    <w:rsid w:val="004709BE"/>
    <w:rsid w:val="004709D2"/>
    <w:rsid w:val="004709F3"/>
    <w:rsid w:val="00470A39"/>
    <w:rsid w:val="00470B30"/>
    <w:rsid w:val="00470C57"/>
    <w:rsid w:val="00470D4E"/>
    <w:rsid w:val="00470D87"/>
    <w:rsid w:val="00470E7A"/>
    <w:rsid w:val="00470FCE"/>
    <w:rsid w:val="00470FD6"/>
    <w:rsid w:val="0047100D"/>
    <w:rsid w:val="00471063"/>
    <w:rsid w:val="0047114F"/>
    <w:rsid w:val="004712C9"/>
    <w:rsid w:val="0047137E"/>
    <w:rsid w:val="004714A7"/>
    <w:rsid w:val="0047161C"/>
    <w:rsid w:val="0047163D"/>
    <w:rsid w:val="004716EF"/>
    <w:rsid w:val="0047182D"/>
    <w:rsid w:val="004718E5"/>
    <w:rsid w:val="00471ABB"/>
    <w:rsid w:val="00471B53"/>
    <w:rsid w:val="00471C0F"/>
    <w:rsid w:val="00471C96"/>
    <w:rsid w:val="00471DC6"/>
    <w:rsid w:val="00471FB4"/>
    <w:rsid w:val="004721FD"/>
    <w:rsid w:val="0047227A"/>
    <w:rsid w:val="0047229B"/>
    <w:rsid w:val="004722E3"/>
    <w:rsid w:val="0047239A"/>
    <w:rsid w:val="004723AB"/>
    <w:rsid w:val="004723E7"/>
    <w:rsid w:val="00472459"/>
    <w:rsid w:val="004724A2"/>
    <w:rsid w:val="004724E5"/>
    <w:rsid w:val="00472697"/>
    <w:rsid w:val="004726BE"/>
    <w:rsid w:val="00472716"/>
    <w:rsid w:val="00472752"/>
    <w:rsid w:val="00472AE8"/>
    <w:rsid w:val="00472B83"/>
    <w:rsid w:val="00472B9A"/>
    <w:rsid w:val="00472C6B"/>
    <w:rsid w:val="00472CAF"/>
    <w:rsid w:val="00472CD5"/>
    <w:rsid w:val="00472CD6"/>
    <w:rsid w:val="00472CDC"/>
    <w:rsid w:val="00472E1E"/>
    <w:rsid w:val="00472E6D"/>
    <w:rsid w:val="00472F24"/>
    <w:rsid w:val="00472F54"/>
    <w:rsid w:val="00472FF1"/>
    <w:rsid w:val="00473110"/>
    <w:rsid w:val="0047314E"/>
    <w:rsid w:val="004731E9"/>
    <w:rsid w:val="00473257"/>
    <w:rsid w:val="004732EC"/>
    <w:rsid w:val="00473316"/>
    <w:rsid w:val="00473360"/>
    <w:rsid w:val="0047340A"/>
    <w:rsid w:val="004734E0"/>
    <w:rsid w:val="00473577"/>
    <w:rsid w:val="004736FD"/>
    <w:rsid w:val="0047382F"/>
    <w:rsid w:val="00473924"/>
    <w:rsid w:val="004739C0"/>
    <w:rsid w:val="00473C48"/>
    <w:rsid w:val="00473C5F"/>
    <w:rsid w:val="00473E15"/>
    <w:rsid w:val="00473F3D"/>
    <w:rsid w:val="00473F77"/>
    <w:rsid w:val="00474110"/>
    <w:rsid w:val="00474195"/>
    <w:rsid w:val="0047423B"/>
    <w:rsid w:val="0047423C"/>
    <w:rsid w:val="00474286"/>
    <w:rsid w:val="004743B8"/>
    <w:rsid w:val="0047444F"/>
    <w:rsid w:val="00474501"/>
    <w:rsid w:val="00474697"/>
    <w:rsid w:val="0047469B"/>
    <w:rsid w:val="0047470B"/>
    <w:rsid w:val="00474760"/>
    <w:rsid w:val="0047480B"/>
    <w:rsid w:val="0047480E"/>
    <w:rsid w:val="0047486F"/>
    <w:rsid w:val="004748E3"/>
    <w:rsid w:val="004749A2"/>
    <w:rsid w:val="00474A04"/>
    <w:rsid w:val="00474A4D"/>
    <w:rsid w:val="00474B7E"/>
    <w:rsid w:val="00474BAA"/>
    <w:rsid w:val="00474DFC"/>
    <w:rsid w:val="00474E93"/>
    <w:rsid w:val="00474F8C"/>
    <w:rsid w:val="0047503C"/>
    <w:rsid w:val="0047507E"/>
    <w:rsid w:val="004751EA"/>
    <w:rsid w:val="00475440"/>
    <w:rsid w:val="004755FA"/>
    <w:rsid w:val="004757A5"/>
    <w:rsid w:val="004759B5"/>
    <w:rsid w:val="00475A27"/>
    <w:rsid w:val="00475C34"/>
    <w:rsid w:val="00475C72"/>
    <w:rsid w:val="00475C73"/>
    <w:rsid w:val="00475CF1"/>
    <w:rsid w:val="00475D0D"/>
    <w:rsid w:val="00475D12"/>
    <w:rsid w:val="00475D47"/>
    <w:rsid w:val="00475D87"/>
    <w:rsid w:val="00475F30"/>
    <w:rsid w:val="00475F46"/>
    <w:rsid w:val="00476056"/>
    <w:rsid w:val="00476064"/>
    <w:rsid w:val="00476068"/>
    <w:rsid w:val="0047614B"/>
    <w:rsid w:val="004761D4"/>
    <w:rsid w:val="004761DC"/>
    <w:rsid w:val="004761EB"/>
    <w:rsid w:val="0047620A"/>
    <w:rsid w:val="00476292"/>
    <w:rsid w:val="004762A0"/>
    <w:rsid w:val="0047637A"/>
    <w:rsid w:val="00476465"/>
    <w:rsid w:val="0047648C"/>
    <w:rsid w:val="004764B1"/>
    <w:rsid w:val="0047660D"/>
    <w:rsid w:val="0047665C"/>
    <w:rsid w:val="00476764"/>
    <w:rsid w:val="0047688F"/>
    <w:rsid w:val="0047690D"/>
    <w:rsid w:val="00476BC1"/>
    <w:rsid w:val="00476C5B"/>
    <w:rsid w:val="00476F37"/>
    <w:rsid w:val="00476FBA"/>
    <w:rsid w:val="004771B7"/>
    <w:rsid w:val="004774A5"/>
    <w:rsid w:val="004774AE"/>
    <w:rsid w:val="00477898"/>
    <w:rsid w:val="0047793A"/>
    <w:rsid w:val="00477945"/>
    <w:rsid w:val="00477A89"/>
    <w:rsid w:val="00477AC1"/>
    <w:rsid w:val="00477CDF"/>
    <w:rsid w:val="00477D53"/>
    <w:rsid w:val="00477D97"/>
    <w:rsid w:val="00477DCF"/>
    <w:rsid w:val="00477E2D"/>
    <w:rsid w:val="004800E0"/>
    <w:rsid w:val="00480179"/>
    <w:rsid w:val="004802DA"/>
    <w:rsid w:val="004804C8"/>
    <w:rsid w:val="004806ED"/>
    <w:rsid w:val="004807DB"/>
    <w:rsid w:val="004808A1"/>
    <w:rsid w:val="00480C08"/>
    <w:rsid w:val="00480D2B"/>
    <w:rsid w:val="00480D56"/>
    <w:rsid w:val="00480DA2"/>
    <w:rsid w:val="00480DFE"/>
    <w:rsid w:val="00480E3F"/>
    <w:rsid w:val="00480ECB"/>
    <w:rsid w:val="00480EEA"/>
    <w:rsid w:val="004810B3"/>
    <w:rsid w:val="0048116A"/>
    <w:rsid w:val="0048126F"/>
    <w:rsid w:val="004812E2"/>
    <w:rsid w:val="004812EB"/>
    <w:rsid w:val="004814CB"/>
    <w:rsid w:val="00481526"/>
    <w:rsid w:val="004815CF"/>
    <w:rsid w:val="004816DA"/>
    <w:rsid w:val="00481809"/>
    <w:rsid w:val="00481901"/>
    <w:rsid w:val="00481913"/>
    <w:rsid w:val="00481997"/>
    <w:rsid w:val="00481A38"/>
    <w:rsid w:val="00481A72"/>
    <w:rsid w:val="00481C66"/>
    <w:rsid w:val="00481CDE"/>
    <w:rsid w:val="00481DD9"/>
    <w:rsid w:val="00481EA3"/>
    <w:rsid w:val="00481F1E"/>
    <w:rsid w:val="00481FDA"/>
    <w:rsid w:val="004820FD"/>
    <w:rsid w:val="00482141"/>
    <w:rsid w:val="0048216F"/>
    <w:rsid w:val="004821A3"/>
    <w:rsid w:val="0048222F"/>
    <w:rsid w:val="00482277"/>
    <w:rsid w:val="004822C8"/>
    <w:rsid w:val="00482303"/>
    <w:rsid w:val="00482482"/>
    <w:rsid w:val="0048263D"/>
    <w:rsid w:val="0048267C"/>
    <w:rsid w:val="0048276B"/>
    <w:rsid w:val="004827C8"/>
    <w:rsid w:val="00482A86"/>
    <w:rsid w:val="00482A9D"/>
    <w:rsid w:val="00482AB8"/>
    <w:rsid w:val="00482AEE"/>
    <w:rsid w:val="00482B2E"/>
    <w:rsid w:val="00482B72"/>
    <w:rsid w:val="00482D4F"/>
    <w:rsid w:val="00482DBE"/>
    <w:rsid w:val="00482F29"/>
    <w:rsid w:val="00482FA2"/>
    <w:rsid w:val="004831DF"/>
    <w:rsid w:val="0048328C"/>
    <w:rsid w:val="00483295"/>
    <w:rsid w:val="00483335"/>
    <w:rsid w:val="00483390"/>
    <w:rsid w:val="00483412"/>
    <w:rsid w:val="00483629"/>
    <w:rsid w:val="004836A4"/>
    <w:rsid w:val="004836AE"/>
    <w:rsid w:val="00483A4C"/>
    <w:rsid w:val="00483AC4"/>
    <w:rsid w:val="00483AEA"/>
    <w:rsid w:val="00483B79"/>
    <w:rsid w:val="00483CED"/>
    <w:rsid w:val="00483CEF"/>
    <w:rsid w:val="00483D45"/>
    <w:rsid w:val="00483D4E"/>
    <w:rsid w:val="00483D5C"/>
    <w:rsid w:val="00483DD8"/>
    <w:rsid w:val="00483E56"/>
    <w:rsid w:val="00483FE7"/>
    <w:rsid w:val="0048407C"/>
    <w:rsid w:val="00484288"/>
    <w:rsid w:val="004843E1"/>
    <w:rsid w:val="004844A5"/>
    <w:rsid w:val="004847F6"/>
    <w:rsid w:val="00484803"/>
    <w:rsid w:val="00484812"/>
    <w:rsid w:val="00484876"/>
    <w:rsid w:val="00484914"/>
    <w:rsid w:val="00484A5B"/>
    <w:rsid w:val="00484AA3"/>
    <w:rsid w:val="00484C2F"/>
    <w:rsid w:val="00484D50"/>
    <w:rsid w:val="00485001"/>
    <w:rsid w:val="00485075"/>
    <w:rsid w:val="004850D3"/>
    <w:rsid w:val="004850F6"/>
    <w:rsid w:val="00485138"/>
    <w:rsid w:val="00485147"/>
    <w:rsid w:val="004851B4"/>
    <w:rsid w:val="004851CB"/>
    <w:rsid w:val="0048528D"/>
    <w:rsid w:val="00485507"/>
    <w:rsid w:val="00485595"/>
    <w:rsid w:val="0048563D"/>
    <w:rsid w:val="00485681"/>
    <w:rsid w:val="00485693"/>
    <w:rsid w:val="0048569E"/>
    <w:rsid w:val="00485A4A"/>
    <w:rsid w:val="00485B5F"/>
    <w:rsid w:val="00485B79"/>
    <w:rsid w:val="00485B98"/>
    <w:rsid w:val="00485CE1"/>
    <w:rsid w:val="00485E1C"/>
    <w:rsid w:val="0048604A"/>
    <w:rsid w:val="004860B5"/>
    <w:rsid w:val="004860E8"/>
    <w:rsid w:val="004864D4"/>
    <w:rsid w:val="00486654"/>
    <w:rsid w:val="00486656"/>
    <w:rsid w:val="00486698"/>
    <w:rsid w:val="004867DD"/>
    <w:rsid w:val="0048692B"/>
    <w:rsid w:val="00486999"/>
    <w:rsid w:val="004869FE"/>
    <w:rsid w:val="00486CA5"/>
    <w:rsid w:val="00486CE4"/>
    <w:rsid w:val="00486FC8"/>
    <w:rsid w:val="004870E4"/>
    <w:rsid w:val="004871DB"/>
    <w:rsid w:val="0048744B"/>
    <w:rsid w:val="00487549"/>
    <w:rsid w:val="004875FB"/>
    <w:rsid w:val="004876C1"/>
    <w:rsid w:val="00487737"/>
    <w:rsid w:val="00487798"/>
    <w:rsid w:val="0048785C"/>
    <w:rsid w:val="00487897"/>
    <w:rsid w:val="004878B4"/>
    <w:rsid w:val="004878E6"/>
    <w:rsid w:val="00487904"/>
    <w:rsid w:val="004879D3"/>
    <w:rsid w:val="00487A93"/>
    <w:rsid w:val="00487B19"/>
    <w:rsid w:val="00487B86"/>
    <w:rsid w:val="00487BC4"/>
    <w:rsid w:val="00487CC0"/>
    <w:rsid w:val="00487D28"/>
    <w:rsid w:val="00487D7D"/>
    <w:rsid w:val="00487E26"/>
    <w:rsid w:val="00487E3C"/>
    <w:rsid w:val="00487EA0"/>
    <w:rsid w:val="00487EDC"/>
    <w:rsid w:val="00487FFD"/>
    <w:rsid w:val="00490066"/>
    <w:rsid w:val="004902D5"/>
    <w:rsid w:val="004902FF"/>
    <w:rsid w:val="00490323"/>
    <w:rsid w:val="004904CE"/>
    <w:rsid w:val="0049062B"/>
    <w:rsid w:val="004906C2"/>
    <w:rsid w:val="00490755"/>
    <w:rsid w:val="004908A8"/>
    <w:rsid w:val="00490993"/>
    <w:rsid w:val="00490BC0"/>
    <w:rsid w:val="00490BFD"/>
    <w:rsid w:val="00490C24"/>
    <w:rsid w:val="00490EAF"/>
    <w:rsid w:val="00491036"/>
    <w:rsid w:val="00491179"/>
    <w:rsid w:val="004911B6"/>
    <w:rsid w:val="0049145E"/>
    <w:rsid w:val="004915C3"/>
    <w:rsid w:val="004915D6"/>
    <w:rsid w:val="0049161D"/>
    <w:rsid w:val="00491718"/>
    <w:rsid w:val="004918A1"/>
    <w:rsid w:val="004918DA"/>
    <w:rsid w:val="004919BD"/>
    <w:rsid w:val="00491B23"/>
    <w:rsid w:val="00491B58"/>
    <w:rsid w:val="00491BB1"/>
    <w:rsid w:val="00491DA7"/>
    <w:rsid w:val="00491EBC"/>
    <w:rsid w:val="00492002"/>
    <w:rsid w:val="00492093"/>
    <w:rsid w:val="004920B6"/>
    <w:rsid w:val="00492138"/>
    <w:rsid w:val="004921CF"/>
    <w:rsid w:val="0049240D"/>
    <w:rsid w:val="00492441"/>
    <w:rsid w:val="0049248B"/>
    <w:rsid w:val="0049253C"/>
    <w:rsid w:val="00492626"/>
    <w:rsid w:val="00492640"/>
    <w:rsid w:val="004926ED"/>
    <w:rsid w:val="0049274B"/>
    <w:rsid w:val="00492757"/>
    <w:rsid w:val="0049282A"/>
    <w:rsid w:val="004928CA"/>
    <w:rsid w:val="00492963"/>
    <w:rsid w:val="00492C05"/>
    <w:rsid w:val="00492C83"/>
    <w:rsid w:val="00492D04"/>
    <w:rsid w:val="00492D10"/>
    <w:rsid w:val="00492E29"/>
    <w:rsid w:val="00492E71"/>
    <w:rsid w:val="00492F74"/>
    <w:rsid w:val="00492FA9"/>
    <w:rsid w:val="0049327C"/>
    <w:rsid w:val="004932A4"/>
    <w:rsid w:val="00493362"/>
    <w:rsid w:val="00493480"/>
    <w:rsid w:val="004934CF"/>
    <w:rsid w:val="0049352F"/>
    <w:rsid w:val="004935B7"/>
    <w:rsid w:val="004936D4"/>
    <w:rsid w:val="0049382F"/>
    <w:rsid w:val="00493875"/>
    <w:rsid w:val="00493995"/>
    <w:rsid w:val="004939B9"/>
    <w:rsid w:val="00493B0E"/>
    <w:rsid w:val="00493B66"/>
    <w:rsid w:val="00493BAE"/>
    <w:rsid w:val="00493BBF"/>
    <w:rsid w:val="00493BFA"/>
    <w:rsid w:val="00493CD5"/>
    <w:rsid w:val="00493E86"/>
    <w:rsid w:val="00493F28"/>
    <w:rsid w:val="00493F5E"/>
    <w:rsid w:val="00493F67"/>
    <w:rsid w:val="00493FD6"/>
    <w:rsid w:val="0049408C"/>
    <w:rsid w:val="00494119"/>
    <w:rsid w:val="00494228"/>
    <w:rsid w:val="00494248"/>
    <w:rsid w:val="00494269"/>
    <w:rsid w:val="0049444C"/>
    <w:rsid w:val="004944D2"/>
    <w:rsid w:val="00494663"/>
    <w:rsid w:val="004946FF"/>
    <w:rsid w:val="0049471C"/>
    <w:rsid w:val="00494833"/>
    <w:rsid w:val="004948FF"/>
    <w:rsid w:val="00494AE3"/>
    <w:rsid w:val="00494B0B"/>
    <w:rsid w:val="00494B33"/>
    <w:rsid w:val="00494B5B"/>
    <w:rsid w:val="00494B91"/>
    <w:rsid w:val="00494E17"/>
    <w:rsid w:val="00494FA4"/>
    <w:rsid w:val="0049500F"/>
    <w:rsid w:val="00495037"/>
    <w:rsid w:val="004951A6"/>
    <w:rsid w:val="00495253"/>
    <w:rsid w:val="00495380"/>
    <w:rsid w:val="00495456"/>
    <w:rsid w:val="0049555F"/>
    <w:rsid w:val="004956C9"/>
    <w:rsid w:val="00495730"/>
    <w:rsid w:val="004957E3"/>
    <w:rsid w:val="0049583D"/>
    <w:rsid w:val="00495876"/>
    <w:rsid w:val="00495907"/>
    <w:rsid w:val="00495987"/>
    <w:rsid w:val="00495A49"/>
    <w:rsid w:val="00495B73"/>
    <w:rsid w:val="00495BAB"/>
    <w:rsid w:val="00495C45"/>
    <w:rsid w:val="00495C8D"/>
    <w:rsid w:val="00495C94"/>
    <w:rsid w:val="00495CC0"/>
    <w:rsid w:val="00495D8C"/>
    <w:rsid w:val="00495EA9"/>
    <w:rsid w:val="0049606B"/>
    <w:rsid w:val="004960C7"/>
    <w:rsid w:val="00496108"/>
    <w:rsid w:val="00496180"/>
    <w:rsid w:val="00496484"/>
    <w:rsid w:val="004964A7"/>
    <w:rsid w:val="004965A7"/>
    <w:rsid w:val="004965F3"/>
    <w:rsid w:val="0049677A"/>
    <w:rsid w:val="004968FD"/>
    <w:rsid w:val="00496920"/>
    <w:rsid w:val="0049692B"/>
    <w:rsid w:val="00496AB7"/>
    <w:rsid w:val="00496B13"/>
    <w:rsid w:val="00496C5F"/>
    <w:rsid w:val="00496C83"/>
    <w:rsid w:val="00496D8B"/>
    <w:rsid w:val="00496E44"/>
    <w:rsid w:val="00496E68"/>
    <w:rsid w:val="00497047"/>
    <w:rsid w:val="00497125"/>
    <w:rsid w:val="004973DE"/>
    <w:rsid w:val="00497445"/>
    <w:rsid w:val="00497559"/>
    <w:rsid w:val="00497643"/>
    <w:rsid w:val="00497672"/>
    <w:rsid w:val="004976F9"/>
    <w:rsid w:val="004977BA"/>
    <w:rsid w:val="004978B8"/>
    <w:rsid w:val="00497C9C"/>
    <w:rsid w:val="00497D11"/>
    <w:rsid w:val="00497E4B"/>
    <w:rsid w:val="00497E8D"/>
    <w:rsid w:val="00497EB6"/>
    <w:rsid w:val="00497EBE"/>
    <w:rsid w:val="00497FDC"/>
    <w:rsid w:val="004A0000"/>
    <w:rsid w:val="004A0020"/>
    <w:rsid w:val="004A0086"/>
    <w:rsid w:val="004A00F4"/>
    <w:rsid w:val="004A0195"/>
    <w:rsid w:val="004A01AB"/>
    <w:rsid w:val="004A020C"/>
    <w:rsid w:val="004A02F5"/>
    <w:rsid w:val="004A0372"/>
    <w:rsid w:val="004A0393"/>
    <w:rsid w:val="004A03A3"/>
    <w:rsid w:val="004A046F"/>
    <w:rsid w:val="004A05F1"/>
    <w:rsid w:val="004A06A3"/>
    <w:rsid w:val="004A0735"/>
    <w:rsid w:val="004A08AB"/>
    <w:rsid w:val="004A0938"/>
    <w:rsid w:val="004A09D6"/>
    <w:rsid w:val="004A0AD7"/>
    <w:rsid w:val="004A0B0F"/>
    <w:rsid w:val="004A0B1C"/>
    <w:rsid w:val="004A0B33"/>
    <w:rsid w:val="004A0CC7"/>
    <w:rsid w:val="004A0D5F"/>
    <w:rsid w:val="004A0D67"/>
    <w:rsid w:val="004A0DB2"/>
    <w:rsid w:val="004A0E97"/>
    <w:rsid w:val="004A0ED7"/>
    <w:rsid w:val="004A120C"/>
    <w:rsid w:val="004A130A"/>
    <w:rsid w:val="004A13A5"/>
    <w:rsid w:val="004A13CC"/>
    <w:rsid w:val="004A14DB"/>
    <w:rsid w:val="004A1504"/>
    <w:rsid w:val="004A1582"/>
    <w:rsid w:val="004A1659"/>
    <w:rsid w:val="004A1673"/>
    <w:rsid w:val="004A16EC"/>
    <w:rsid w:val="004A17D7"/>
    <w:rsid w:val="004A17DD"/>
    <w:rsid w:val="004A191F"/>
    <w:rsid w:val="004A1B73"/>
    <w:rsid w:val="004A1CE5"/>
    <w:rsid w:val="004A1D03"/>
    <w:rsid w:val="004A1EA5"/>
    <w:rsid w:val="004A1F1F"/>
    <w:rsid w:val="004A1F3A"/>
    <w:rsid w:val="004A2094"/>
    <w:rsid w:val="004A214F"/>
    <w:rsid w:val="004A22F2"/>
    <w:rsid w:val="004A247D"/>
    <w:rsid w:val="004A2547"/>
    <w:rsid w:val="004A25BC"/>
    <w:rsid w:val="004A270D"/>
    <w:rsid w:val="004A27AE"/>
    <w:rsid w:val="004A29CB"/>
    <w:rsid w:val="004A29D2"/>
    <w:rsid w:val="004A2ACB"/>
    <w:rsid w:val="004A2F65"/>
    <w:rsid w:val="004A3278"/>
    <w:rsid w:val="004A32E5"/>
    <w:rsid w:val="004A33F7"/>
    <w:rsid w:val="004A35CC"/>
    <w:rsid w:val="004A3685"/>
    <w:rsid w:val="004A3747"/>
    <w:rsid w:val="004A3788"/>
    <w:rsid w:val="004A3840"/>
    <w:rsid w:val="004A38EA"/>
    <w:rsid w:val="004A39F0"/>
    <w:rsid w:val="004A3A3C"/>
    <w:rsid w:val="004A3B89"/>
    <w:rsid w:val="004A3BAE"/>
    <w:rsid w:val="004A3C30"/>
    <w:rsid w:val="004A3D09"/>
    <w:rsid w:val="004A3DFA"/>
    <w:rsid w:val="004A3E7A"/>
    <w:rsid w:val="004A3E88"/>
    <w:rsid w:val="004A3E9D"/>
    <w:rsid w:val="004A3EC2"/>
    <w:rsid w:val="004A3F3F"/>
    <w:rsid w:val="004A3F40"/>
    <w:rsid w:val="004A4069"/>
    <w:rsid w:val="004A4195"/>
    <w:rsid w:val="004A41E8"/>
    <w:rsid w:val="004A424D"/>
    <w:rsid w:val="004A42B6"/>
    <w:rsid w:val="004A4400"/>
    <w:rsid w:val="004A44FC"/>
    <w:rsid w:val="004A450E"/>
    <w:rsid w:val="004A4743"/>
    <w:rsid w:val="004A478D"/>
    <w:rsid w:val="004A4792"/>
    <w:rsid w:val="004A4881"/>
    <w:rsid w:val="004A4993"/>
    <w:rsid w:val="004A499D"/>
    <w:rsid w:val="004A4A13"/>
    <w:rsid w:val="004A4A1A"/>
    <w:rsid w:val="004A4AA9"/>
    <w:rsid w:val="004A4ACD"/>
    <w:rsid w:val="004A4CAD"/>
    <w:rsid w:val="004A4CE8"/>
    <w:rsid w:val="004A4F9E"/>
    <w:rsid w:val="004A4FC9"/>
    <w:rsid w:val="004A5066"/>
    <w:rsid w:val="004A508B"/>
    <w:rsid w:val="004A51A5"/>
    <w:rsid w:val="004A51EB"/>
    <w:rsid w:val="004A5298"/>
    <w:rsid w:val="004A53C8"/>
    <w:rsid w:val="004A53E7"/>
    <w:rsid w:val="004A5403"/>
    <w:rsid w:val="004A5448"/>
    <w:rsid w:val="004A54BA"/>
    <w:rsid w:val="004A55DC"/>
    <w:rsid w:val="004A560E"/>
    <w:rsid w:val="004A57A3"/>
    <w:rsid w:val="004A5BE7"/>
    <w:rsid w:val="004A5DE3"/>
    <w:rsid w:val="004A5F36"/>
    <w:rsid w:val="004A62CD"/>
    <w:rsid w:val="004A6312"/>
    <w:rsid w:val="004A632A"/>
    <w:rsid w:val="004A6391"/>
    <w:rsid w:val="004A63C6"/>
    <w:rsid w:val="004A63D7"/>
    <w:rsid w:val="004A641B"/>
    <w:rsid w:val="004A64BF"/>
    <w:rsid w:val="004A6539"/>
    <w:rsid w:val="004A6578"/>
    <w:rsid w:val="004A663E"/>
    <w:rsid w:val="004A6709"/>
    <w:rsid w:val="004A670F"/>
    <w:rsid w:val="004A6728"/>
    <w:rsid w:val="004A68A2"/>
    <w:rsid w:val="004A6967"/>
    <w:rsid w:val="004A6A73"/>
    <w:rsid w:val="004A6AA7"/>
    <w:rsid w:val="004A6AC1"/>
    <w:rsid w:val="004A6B17"/>
    <w:rsid w:val="004A6BA4"/>
    <w:rsid w:val="004A6D3F"/>
    <w:rsid w:val="004A6D44"/>
    <w:rsid w:val="004A6D68"/>
    <w:rsid w:val="004A6DBD"/>
    <w:rsid w:val="004A6DDD"/>
    <w:rsid w:val="004A6EFD"/>
    <w:rsid w:val="004A6F72"/>
    <w:rsid w:val="004A7010"/>
    <w:rsid w:val="004A70BA"/>
    <w:rsid w:val="004A711F"/>
    <w:rsid w:val="004A71CC"/>
    <w:rsid w:val="004A727C"/>
    <w:rsid w:val="004A7387"/>
    <w:rsid w:val="004A7458"/>
    <w:rsid w:val="004A75D3"/>
    <w:rsid w:val="004A7615"/>
    <w:rsid w:val="004A765C"/>
    <w:rsid w:val="004A76CB"/>
    <w:rsid w:val="004A76FD"/>
    <w:rsid w:val="004A7756"/>
    <w:rsid w:val="004A780D"/>
    <w:rsid w:val="004A78DD"/>
    <w:rsid w:val="004A7987"/>
    <w:rsid w:val="004A79C0"/>
    <w:rsid w:val="004A7A9A"/>
    <w:rsid w:val="004A7AB8"/>
    <w:rsid w:val="004A7AE3"/>
    <w:rsid w:val="004A7C2A"/>
    <w:rsid w:val="004A7C68"/>
    <w:rsid w:val="004A7DF4"/>
    <w:rsid w:val="004A7E03"/>
    <w:rsid w:val="004A7E87"/>
    <w:rsid w:val="004A7EF0"/>
    <w:rsid w:val="004A7EFA"/>
    <w:rsid w:val="004A7FBD"/>
    <w:rsid w:val="004B011E"/>
    <w:rsid w:val="004B019A"/>
    <w:rsid w:val="004B039A"/>
    <w:rsid w:val="004B05CB"/>
    <w:rsid w:val="004B062B"/>
    <w:rsid w:val="004B0644"/>
    <w:rsid w:val="004B0804"/>
    <w:rsid w:val="004B082F"/>
    <w:rsid w:val="004B0875"/>
    <w:rsid w:val="004B0968"/>
    <w:rsid w:val="004B09A5"/>
    <w:rsid w:val="004B09D0"/>
    <w:rsid w:val="004B0A51"/>
    <w:rsid w:val="004B0AFC"/>
    <w:rsid w:val="004B0CF7"/>
    <w:rsid w:val="004B0E16"/>
    <w:rsid w:val="004B0E87"/>
    <w:rsid w:val="004B0E99"/>
    <w:rsid w:val="004B0F92"/>
    <w:rsid w:val="004B0FA6"/>
    <w:rsid w:val="004B1003"/>
    <w:rsid w:val="004B10BE"/>
    <w:rsid w:val="004B1292"/>
    <w:rsid w:val="004B1348"/>
    <w:rsid w:val="004B142B"/>
    <w:rsid w:val="004B1500"/>
    <w:rsid w:val="004B169F"/>
    <w:rsid w:val="004B16CF"/>
    <w:rsid w:val="004B170B"/>
    <w:rsid w:val="004B18CB"/>
    <w:rsid w:val="004B1919"/>
    <w:rsid w:val="004B1E2F"/>
    <w:rsid w:val="004B1E80"/>
    <w:rsid w:val="004B1FC5"/>
    <w:rsid w:val="004B21EA"/>
    <w:rsid w:val="004B21ED"/>
    <w:rsid w:val="004B230C"/>
    <w:rsid w:val="004B2396"/>
    <w:rsid w:val="004B253E"/>
    <w:rsid w:val="004B25A0"/>
    <w:rsid w:val="004B25A7"/>
    <w:rsid w:val="004B270D"/>
    <w:rsid w:val="004B2740"/>
    <w:rsid w:val="004B2746"/>
    <w:rsid w:val="004B293A"/>
    <w:rsid w:val="004B295A"/>
    <w:rsid w:val="004B29D6"/>
    <w:rsid w:val="004B2A76"/>
    <w:rsid w:val="004B2D36"/>
    <w:rsid w:val="004B2E14"/>
    <w:rsid w:val="004B3011"/>
    <w:rsid w:val="004B3188"/>
    <w:rsid w:val="004B31C3"/>
    <w:rsid w:val="004B36C2"/>
    <w:rsid w:val="004B36D0"/>
    <w:rsid w:val="004B38B9"/>
    <w:rsid w:val="004B38C1"/>
    <w:rsid w:val="004B390B"/>
    <w:rsid w:val="004B3B66"/>
    <w:rsid w:val="004B3C50"/>
    <w:rsid w:val="004B3D7B"/>
    <w:rsid w:val="004B3E41"/>
    <w:rsid w:val="004B3FD7"/>
    <w:rsid w:val="004B407D"/>
    <w:rsid w:val="004B4112"/>
    <w:rsid w:val="004B43E0"/>
    <w:rsid w:val="004B4424"/>
    <w:rsid w:val="004B46E6"/>
    <w:rsid w:val="004B478D"/>
    <w:rsid w:val="004B4798"/>
    <w:rsid w:val="004B482C"/>
    <w:rsid w:val="004B491B"/>
    <w:rsid w:val="004B49DA"/>
    <w:rsid w:val="004B4A0A"/>
    <w:rsid w:val="004B4A2D"/>
    <w:rsid w:val="004B4A68"/>
    <w:rsid w:val="004B4B55"/>
    <w:rsid w:val="004B4C66"/>
    <w:rsid w:val="004B4CB0"/>
    <w:rsid w:val="004B4F98"/>
    <w:rsid w:val="004B4FDA"/>
    <w:rsid w:val="004B50CB"/>
    <w:rsid w:val="004B5138"/>
    <w:rsid w:val="004B513E"/>
    <w:rsid w:val="004B5156"/>
    <w:rsid w:val="004B516B"/>
    <w:rsid w:val="004B5199"/>
    <w:rsid w:val="004B546E"/>
    <w:rsid w:val="004B5491"/>
    <w:rsid w:val="004B549F"/>
    <w:rsid w:val="004B5597"/>
    <w:rsid w:val="004B560D"/>
    <w:rsid w:val="004B56C8"/>
    <w:rsid w:val="004B5772"/>
    <w:rsid w:val="004B57A7"/>
    <w:rsid w:val="004B5815"/>
    <w:rsid w:val="004B584E"/>
    <w:rsid w:val="004B59AA"/>
    <w:rsid w:val="004B5AB0"/>
    <w:rsid w:val="004B5B79"/>
    <w:rsid w:val="004B5C50"/>
    <w:rsid w:val="004B5D81"/>
    <w:rsid w:val="004B5E0C"/>
    <w:rsid w:val="004B5E8D"/>
    <w:rsid w:val="004B5E9E"/>
    <w:rsid w:val="004B5EF5"/>
    <w:rsid w:val="004B5F24"/>
    <w:rsid w:val="004B5FB6"/>
    <w:rsid w:val="004B5FE1"/>
    <w:rsid w:val="004B6048"/>
    <w:rsid w:val="004B6103"/>
    <w:rsid w:val="004B618F"/>
    <w:rsid w:val="004B61B7"/>
    <w:rsid w:val="004B61E7"/>
    <w:rsid w:val="004B62A5"/>
    <w:rsid w:val="004B62E0"/>
    <w:rsid w:val="004B6399"/>
    <w:rsid w:val="004B6521"/>
    <w:rsid w:val="004B65F0"/>
    <w:rsid w:val="004B6653"/>
    <w:rsid w:val="004B6759"/>
    <w:rsid w:val="004B6760"/>
    <w:rsid w:val="004B6798"/>
    <w:rsid w:val="004B6849"/>
    <w:rsid w:val="004B688B"/>
    <w:rsid w:val="004B6977"/>
    <w:rsid w:val="004B69D7"/>
    <w:rsid w:val="004B6B4C"/>
    <w:rsid w:val="004B6BB4"/>
    <w:rsid w:val="004B6C27"/>
    <w:rsid w:val="004B6D45"/>
    <w:rsid w:val="004B6D95"/>
    <w:rsid w:val="004B6FB5"/>
    <w:rsid w:val="004B704C"/>
    <w:rsid w:val="004B70CA"/>
    <w:rsid w:val="004B7112"/>
    <w:rsid w:val="004B712F"/>
    <w:rsid w:val="004B7167"/>
    <w:rsid w:val="004B729E"/>
    <w:rsid w:val="004B72AF"/>
    <w:rsid w:val="004B734E"/>
    <w:rsid w:val="004B7365"/>
    <w:rsid w:val="004B7383"/>
    <w:rsid w:val="004B73CD"/>
    <w:rsid w:val="004B7409"/>
    <w:rsid w:val="004B7444"/>
    <w:rsid w:val="004B74FA"/>
    <w:rsid w:val="004B75B6"/>
    <w:rsid w:val="004B75EA"/>
    <w:rsid w:val="004B7723"/>
    <w:rsid w:val="004B782F"/>
    <w:rsid w:val="004B78D5"/>
    <w:rsid w:val="004B7992"/>
    <w:rsid w:val="004B79AB"/>
    <w:rsid w:val="004B79B0"/>
    <w:rsid w:val="004B7A34"/>
    <w:rsid w:val="004B7B99"/>
    <w:rsid w:val="004B7BBF"/>
    <w:rsid w:val="004B7CB9"/>
    <w:rsid w:val="004B7D47"/>
    <w:rsid w:val="004B7D58"/>
    <w:rsid w:val="004B7D9D"/>
    <w:rsid w:val="004B7DC7"/>
    <w:rsid w:val="004B7E8A"/>
    <w:rsid w:val="004B7F11"/>
    <w:rsid w:val="004C0074"/>
    <w:rsid w:val="004C017D"/>
    <w:rsid w:val="004C023F"/>
    <w:rsid w:val="004C02B0"/>
    <w:rsid w:val="004C034A"/>
    <w:rsid w:val="004C034E"/>
    <w:rsid w:val="004C0593"/>
    <w:rsid w:val="004C0619"/>
    <w:rsid w:val="004C065C"/>
    <w:rsid w:val="004C0704"/>
    <w:rsid w:val="004C08AD"/>
    <w:rsid w:val="004C093F"/>
    <w:rsid w:val="004C0942"/>
    <w:rsid w:val="004C0A46"/>
    <w:rsid w:val="004C0A85"/>
    <w:rsid w:val="004C0B55"/>
    <w:rsid w:val="004C0BD7"/>
    <w:rsid w:val="004C0BFB"/>
    <w:rsid w:val="004C0C97"/>
    <w:rsid w:val="004C0CEE"/>
    <w:rsid w:val="004C0EB6"/>
    <w:rsid w:val="004C0F0F"/>
    <w:rsid w:val="004C112F"/>
    <w:rsid w:val="004C11E8"/>
    <w:rsid w:val="004C1498"/>
    <w:rsid w:val="004C1842"/>
    <w:rsid w:val="004C1898"/>
    <w:rsid w:val="004C18C1"/>
    <w:rsid w:val="004C19D6"/>
    <w:rsid w:val="004C1A0B"/>
    <w:rsid w:val="004C1A5C"/>
    <w:rsid w:val="004C1B0A"/>
    <w:rsid w:val="004C1DCA"/>
    <w:rsid w:val="004C1FEF"/>
    <w:rsid w:val="004C1FFB"/>
    <w:rsid w:val="004C2108"/>
    <w:rsid w:val="004C21AA"/>
    <w:rsid w:val="004C232C"/>
    <w:rsid w:val="004C235A"/>
    <w:rsid w:val="004C2451"/>
    <w:rsid w:val="004C24D6"/>
    <w:rsid w:val="004C25F9"/>
    <w:rsid w:val="004C265B"/>
    <w:rsid w:val="004C2719"/>
    <w:rsid w:val="004C27CD"/>
    <w:rsid w:val="004C28AB"/>
    <w:rsid w:val="004C2922"/>
    <w:rsid w:val="004C296A"/>
    <w:rsid w:val="004C29A8"/>
    <w:rsid w:val="004C2A0D"/>
    <w:rsid w:val="004C2A50"/>
    <w:rsid w:val="004C2B0A"/>
    <w:rsid w:val="004C2C8A"/>
    <w:rsid w:val="004C2D11"/>
    <w:rsid w:val="004C2FAE"/>
    <w:rsid w:val="004C3053"/>
    <w:rsid w:val="004C320A"/>
    <w:rsid w:val="004C331C"/>
    <w:rsid w:val="004C3330"/>
    <w:rsid w:val="004C333E"/>
    <w:rsid w:val="004C3439"/>
    <w:rsid w:val="004C34C7"/>
    <w:rsid w:val="004C3583"/>
    <w:rsid w:val="004C3643"/>
    <w:rsid w:val="004C367C"/>
    <w:rsid w:val="004C37AA"/>
    <w:rsid w:val="004C3865"/>
    <w:rsid w:val="004C3A95"/>
    <w:rsid w:val="004C3B1E"/>
    <w:rsid w:val="004C3E88"/>
    <w:rsid w:val="004C3ED0"/>
    <w:rsid w:val="004C3F10"/>
    <w:rsid w:val="004C3FC7"/>
    <w:rsid w:val="004C4023"/>
    <w:rsid w:val="004C40C8"/>
    <w:rsid w:val="004C40E5"/>
    <w:rsid w:val="004C4189"/>
    <w:rsid w:val="004C42ED"/>
    <w:rsid w:val="004C43CB"/>
    <w:rsid w:val="004C43CF"/>
    <w:rsid w:val="004C4525"/>
    <w:rsid w:val="004C45CC"/>
    <w:rsid w:val="004C46E0"/>
    <w:rsid w:val="004C4776"/>
    <w:rsid w:val="004C494B"/>
    <w:rsid w:val="004C49E0"/>
    <w:rsid w:val="004C4A10"/>
    <w:rsid w:val="004C4B30"/>
    <w:rsid w:val="004C4D49"/>
    <w:rsid w:val="004C4D58"/>
    <w:rsid w:val="004C4DC6"/>
    <w:rsid w:val="004C4E40"/>
    <w:rsid w:val="004C4EDC"/>
    <w:rsid w:val="004C4F36"/>
    <w:rsid w:val="004C4F6E"/>
    <w:rsid w:val="004C526C"/>
    <w:rsid w:val="004C5306"/>
    <w:rsid w:val="004C5378"/>
    <w:rsid w:val="004C53BC"/>
    <w:rsid w:val="004C53F9"/>
    <w:rsid w:val="004C5487"/>
    <w:rsid w:val="004C556C"/>
    <w:rsid w:val="004C55FC"/>
    <w:rsid w:val="004C561B"/>
    <w:rsid w:val="004C568E"/>
    <w:rsid w:val="004C56DD"/>
    <w:rsid w:val="004C590A"/>
    <w:rsid w:val="004C595C"/>
    <w:rsid w:val="004C59ED"/>
    <w:rsid w:val="004C5A34"/>
    <w:rsid w:val="004C5B49"/>
    <w:rsid w:val="004C5C07"/>
    <w:rsid w:val="004C5CC5"/>
    <w:rsid w:val="004C5CED"/>
    <w:rsid w:val="004C5D7D"/>
    <w:rsid w:val="004C5DA5"/>
    <w:rsid w:val="004C5DFE"/>
    <w:rsid w:val="004C5F20"/>
    <w:rsid w:val="004C5F2A"/>
    <w:rsid w:val="004C5F94"/>
    <w:rsid w:val="004C6026"/>
    <w:rsid w:val="004C6093"/>
    <w:rsid w:val="004C6158"/>
    <w:rsid w:val="004C62ED"/>
    <w:rsid w:val="004C63D5"/>
    <w:rsid w:val="004C63EB"/>
    <w:rsid w:val="004C64F7"/>
    <w:rsid w:val="004C651A"/>
    <w:rsid w:val="004C667D"/>
    <w:rsid w:val="004C66E9"/>
    <w:rsid w:val="004C672A"/>
    <w:rsid w:val="004C675B"/>
    <w:rsid w:val="004C67E6"/>
    <w:rsid w:val="004C68DC"/>
    <w:rsid w:val="004C68EB"/>
    <w:rsid w:val="004C6940"/>
    <w:rsid w:val="004C6980"/>
    <w:rsid w:val="004C6A23"/>
    <w:rsid w:val="004C6BB5"/>
    <w:rsid w:val="004C6BEA"/>
    <w:rsid w:val="004C6C5A"/>
    <w:rsid w:val="004C6E37"/>
    <w:rsid w:val="004C6F6C"/>
    <w:rsid w:val="004C6FF7"/>
    <w:rsid w:val="004C6FF8"/>
    <w:rsid w:val="004C7033"/>
    <w:rsid w:val="004C7058"/>
    <w:rsid w:val="004C7230"/>
    <w:rsid w:val="004C7320"/>
    <w:rsid w:val="004C73C8"/>
    <w:rsid w:val="004C7483"/>
    <w:rsid w:val="004C74C9"/>
    <w:rsid w:val="004C766F"/>
    <w:rsid w:val="004C7777"/>
    <w:rsid w:val="004C7837"/>
    <w:rsid w:val="004C7850"/>
    <w:rsid w:val="004C785D"/>
    <w:rsid w:val="004C7983"/>
    <w:rsid w:val="004C7B5D"/>
    <w:rsid w:val="004C7D21"/>
    <w:rsid w:val="004C7EA5"/>
    <w:rsid w:val="004C7F17"/>
    <w:rsid w:val="004C7F68"/>
    <w:rsid w:val="004D007E"/>
    <w:rsid w:val="004D00AD"/>
    <w:rsid w:val="004D0133"/>
    <w:rsid w:val="004D017E"/>
    <w:rsid w:val="004D0180"/>
    <w:rsid w:val="004D023B"/>
    <w:rsid w:val="004D02FA"/>
    <w:rsid w:val="004D03B9"/>
    <w:rsid w:val="004D03F3"/>
    <w:rsid w:val="004D03F5"/>
    <w:rsid w:val="004D0412"/>
    <w:rsid w:val="004D0494"/>
    <w:rsid w:val="004D05FE"/>
    <w:rsid w:val="004D06F6"/>
    <w:rsid w:val="004D0719"/>
    <w:rsid w:val="004D09AF"/>
    <w:rsid w:val="004D0AD2"/>
    <w:rsid w:val="004D0B55"/>
    <w:rsid w:val="004D0B5A"/>
    <w:rsid w:val="004D0B75"/>
    <w:rsid w:val="004D0BD9"/>
    <w:rsid w:val="004D0CA1"/>
    <w:rsid w:val="004D0CA7"/>
    <w:rsid w:val="004D0D9F"/>
    <w:rsid w:val="004D0DD0"/>
    <w:rsid w:val="004D0E92"/>
    <w:rsid w:val="004D0EB3"/>
    <w:rsid w:val="004D0F89"/>
    <w:rsid w:val="004D0FED"/>
    <w:rsid w:val="004D10DD"/>
    <w:rsid w:val="004D115D"/>
    <w:rsid w:val="004D127E"/>
    <w:rsid w:val="004D13D6"/>
    <w:rsid w:val="004D14B5"/>
    <w:rsid w:val="004D14CF"/>
    <w:rsid w:val="004D16CA"/>
    <w:rsid w:val="004D1721"/>
    <w:rsid w:val="004D1723"/>
    <w:rsid w:val="004D1736"/>
    <w:rsid w:val="004D194F"/>
    <w:rsid w:val="004D1BB7"/>
    <w:rsid w:val="004D1BDE"/>
    <w:rsid w:val="004D1C06"/>
    <w:rsid w:val="004D1C6E"/>
    <w:rsid w:val="004D1CFE"/>
    <w:rsid w:val="004D1D12"/>
    <w:rsid w:val="004D1D75"/>
    <w:rsid w:val="004D1D7F"/>
    <w:rsid w:val="004D1D8C"/>
    <w:rsid w:val="004D1E18"/>
    <w:rsid w:val="004D1E88"/>
    <w:rsid w:val="004D1ECC"/>
    <w:rsid w:val="004D20AD"/>
    <w:rsid w:val="004D219B"/>
    <w:rsid w:val="004D2210"/>
    <w:rsid w:val="004D2307"/>
    <w:rsid w:val="004D2393"/>
    <w:rsid w:val="004D2481"/>
    <w:rsid w:val="004D24D4"/>
    <w:rsid w:val="004D2547"/>
    <w:rsid w:val="004D270E"/>
    <w:rsid w:val="004D28BE"/>
    <w:rsid w:val="004D28D3"/>
    <w:rsid w:val="004D29A9"/>
    <w:rsid w:val="004D2AA2"/>
    <w:rsid w:val="004D2B49"/>
    <w:rsid w:val="004D2C66"/>
    <w:rsid w:val="004D2CAD"/>
    <w:rsid w:val="004D2D39"/>
    <w:rsid w:val="004D2F8C"/>
    <w:rsid w:val="004D3031"/>
    <w:rsid w:val="004D3069"/>
    <w:rsid w:val="004D31B5"/>
    <w:rsid w:val="004D32C9"/>
    <w:rsid w:val="004D32E4"/>
    <w:rsid w:val="004D330F"/>
    <w:rsid w:val="004D33F3"/>
    <w:rsid w:val="004D3440"/>
    <w:rsid w:val="004D3474"/>
    <w:rsid w:val="004D359D"/>
    <w:rsid w:val="004D365B"/>
    <w:rsid w:val="004D36B2"/>
    <w:rsid w:val="004D36E8"/>
    <w:rsid w:val="004D37B6"/>
    <w:rsid w:val="004D3815"/>
    <w:rsid w:val="004D3A35"/>
    <w:rsid w:val="004D3B89"/>
    <w:rsid w:val="004D3CDF"/>
    <w:rsid w:val="004D3DA8"/>
    <w:rsid w:val="004D3E46"/>
    <w:rsid w:val="004D3E55"/>
    <w:rsid w:val="004D3EFD"/>
    <w:rsid w:val="004D3F0B"/>
    <w:rsid w:val="004D3F2B"/>
    <w:rsid w:val="004D3F56"/>
    <w:rsid w:val="004D423D"/>
    <w:rsid w:val="004D4381"/>
    <w:rsid w:val="004D444D"/>
    <w:rsid w:val="004D4659"/>
    <w:rsid w:val="004D46E0"/>
    <w:rsid w:val="004D4736"/>
    <w:rsid w:val="004D4764"/>
    <w:rsid w:val="004D47A7"/>
    <w:rsid w:val="004D4858"/>
    <w:rsid w:val="004D486C"/>
    <w:rsid w:val="004D4966"/>
    <w:rsid w:val="004D49A5"/>
    <w:rsid w:val="004D4D71"/>
    <w:rsid w:val="004D4DC8"/>
    <w:rsid w:val="004D4F35"/>
    <w:rsid w:val="004D4F6E"/>
    <w:rsid w:val="004D50E4"/>
    <w:rsid w:val="004D51E7"/>
    <w:rsid w:val="004D521C"/>
    <w:rsid w:val="004D52E0"/>
    <w:rsid w:val="004D52EA"/>
    <w:rsid w:val="004D5592"/>
    <w:rsid w:val="004D564D"/>
    <w:rsid w:val="004D5664"/>
    <w:rsid w:val="004D56DE"/>
    <w:rsid w:val="004D56E3"/>
    <w:rsid w:val="004D583D"/>
    <w:rsid w:val="004D5850"/>
    <w:rsid w:val="004D5944"/>
    <w:rsid w:val="004D5987"/>
    <w:rsid w:val="004D5988"/>
    <w:rsid w:val="004D5A43"/>
    <w:rsid w:val="004D5C2B"/>
    <w:rsid w:val="004D5C9F"/>
    <w:rsid w:val="004D5CD0"/>
    <w:rsid w:val="004D5CD9"/>
    <w:rsid w:val="004D5E3C"/>
    <w:rsid w:val="004D5E75"/>
    <w:rsid w:val="004D5FD7"/>
    <w:rsid w:val="004D6007"/>
    <w:rsid w:val="004D615D"/>
    <w:rsid w:val="004D61B2"/>
    <w:rsid w:val="004D6331"/>
    <w:rsid w:val="004D637E"/>
    <w:rsid w:val="004D6421"/>
    <w:rsid w:val="004D6607"/>
    <w:rsid w:val="004D664A"/>
    <w:rsid w:val="004D668F"/>
    <w:rsid w:val="004D67B0"/>
    <w:rsid w:val="004D67C8"/>
    <w:rsid w:val="004D6810"/>
    <w:rsid w:val="004D689E"/>
    <w:rsid w:val="004D68E3"/>
    <w:rsid w:val="004D6904"/>
    <w:rsid w:val="004D690A"/>
    <w:rsid w:val="004D6ACB"/>
    <w:rsid w:val="004D6B43"/>
    <w:rsid w:val="004D6B45"/>
    <w:rsid w:val="004D6D10"/>
    <w:rsid w:val="004D6D84"/>
    <w:rsid w:val="004D6D9A"/>
    <w:rsid w:val="004D6E78"/>
    <w:rsid w:val="004D6FB8"/>
    <w:rsid w:val="004D6FE4"/>
    <w:rsid w:val="004D701A"/>
    <w:rsid w:val="004D710D"/>
    <w:rsid w:val="004D715F"/>
    <w:rsid w:val="004D735D"/>
    <w:rsid w:val="004D7395"/>
    <w:rsid w:val="004D7693"/>
    <w:rsid w:val="004D76A1"/>
    <w:rsid w:val="004D77E4"/>
    <w:rsid w:val="004D7953"/>
    <w:rsid w:val="004D797C"/>
    <w:rsid w:val="004D7987"/>
    <w:rsid w:val="004D798F"/>
    <w:rsid w:val="004D79DF"/>
    <w:rsid w:val="004D7A6B"/>
    <w:rsid w:val="004D7B14"/>
    <w:rsid w:val="004D7BFE"/>
    <w:rsid w:val="004D7C58"/>
    <w:rsid w:val="004D7C7F"/>
    <w:rsid w:val="004D7E81"/>
    <w:rsid w:val="004D7FD1"/>
    <w:rsid w:val="004D7FDE"/>
    <w:rsid w:val="004E0117"/>
    <w:rsid w:val="004E0345"/>
    <w:rsid w:val="004E04D4"/>
    <w:rsid w:val="004E04EB"/>
    <w:rsid w:val="004E066D"/>
    <w:rsid w:val="004E0680"/>
    <w:rsid w:val="004E06A6"/>
    <w:rsid w:val="004E06C5"/>
    <w:rsid w:val="004E0756"/>
    <w:rsid w:val="004E0881"/>
    <w:rsid w:val="004E08F8"/>
    <w:rsid w:val="004E0963"/>
    <w:rsid w:val="004E0985"/>
    <w:rsid w:val="004E0A47"/>
    <w:rsid w:val="004E0B7D"/>
    <w:rsid w:val="004E0C96"/>
    <w:rsid w:val="004E0D71"/>
    <w:rsid w:val="004E0D86"/>
    <w:rsid w:val="004E0DC2"/>
    <w:rsid w:val="004E0E2D"/>
    <w:rsid w:val="004E0E3A"/>
    <w:rsid w:val="004E1010"/>
    <w:rsid w:val="004E10A3"/>
    <w:rsid w:val="004E1197"/>
    <w:rsid w:val="004E1219"/>
    <w:rsid w:val="004E12F3"/>
    <w:rsid w:val="004E1377"/>
    <w:rsid w:val="004E1425"/>
    <w:rsid w:val="004E148A"/>
    <w:rsid w:val="004E15CC"/>
    <w:rsid w:val="004E15FD"/>
    <w:rsid w:val="004E1629"/>
    <w:rsid w:val="004E16DE"/>
    <w:rsid w:val="004E1726"/>
    <w:rsid w:val="004E1750"/>
    <w:rsid w:val="004E17D9"/>
    <w:rsid w:val="004E17DD"/>
    <w:rsid w:val="004E181D"/>
    <w:rsid w:val="004E184F"/>
    <w:rsid w:val="004E1850"/>
    <w:rsid w:val="004E1B19"/>
    <w:rsid w:val="004E1BA5"/>
    <w:rsid w:val="004E1BEF"/>
    <w:rsid w:val="004E1C52"/>
    <w:rsid w:val="004E1C69"/>
    <w:rsid w:val="004E1E56"/>
    <w:rsid w:val="004E2009"/>
    <w:rsid w:val="004E2032"/>
    <w:rsid w:val="004E22DE"/>
    <w:rsid w:val="004E232B"/>
    <w:rsid w:val="004E243D"/>
    <w:rsid w:val="004E2579"/>
    <w:rsid w:val="004E25F9"/>
    <w:rsid w:val="004E27C1"/>
    <w:rsid w:val="004E28DB"/>
    <w:rsid w:val="004E2928"/>
    <w:rsid w:val="004E2ACE"/>
    <w:rsid w:val="004E2B4B"/>
    <w:rsid w:val="004E2BDB"/>
    <w:rsid w:val="004E2BF1"/>
    <w:rsid w:val="004E2C05"/>
    <w:rsid w:val="004E2D41"/>
    <w:rsid w:val="004E2DE7"/>
    <w:rsid w:val="004E2F20"/>
    <w:rsid w:val="004E2F33"/>
    <w:rsid w:val="004E2FE0"/>
    <w:rsid w:val="004E3093"/>
    <w:rsid w:val="004E30B4"/>
    <w:rsid w:val="004E30E4"/>
    <w:rsid w:val="004E311D"/>
    <w:rsid w:val="004E3316"/>
    <w:rsid w:val="004E3379"/>
    <w:rsid w:val="004E3466"/>
    <w:rsid w:val="004E34F2"/>
    <w:rsid w:val="004E355A"/>
    <w:rsid w:val="004E35AF"/>
    <w:rsid w:val="004E35B1"/>
    <w:rsid w:val="004E37A0"/>
    <w:rsid w:val="004E37F1"/>
    <w:rsid w:val="004E38A0"/>
    <w:rsid w:val="004E38C5"/>
    <w:rsid w:val="004E3965"/>
    <w:rsid w:val="004E3999"/>
    <w:rsid w:val="004E3A6A"/>
    <w:rsid w:val="004E3ADA"/>
    <w:rsid w:val="004E3B26"/>
    <w:rsid w:val="004E3B9A"/>
    <w:rsid w:val="004E3E5C"/>
    <w:rsid w:val="004E3E91"/>
    <w:rsid w:val="004E3E95"/>
    <w:rsid w:val="004E3E9C"/>
    <w:rsid w:val="004E3EA0"/>
    <w:rsid w:val="004E3F8B"/>
    <w:rsid w:val="004E3FEE"/>
    <w:rsid w:val="004E4022"/>
    <w:rsid w:val="004E4085"/>
    <w:rsid w:val="004E4087"/>
    <w:rsid w:val="004E408D"/>
    <w:rsid w:val="004E409C"/>
    <w:rsid w:val="004E40AD"/>
    <w:rsid w:val="004E4133"/>
    <w:rsid w:val="004E42AF"/>
    <w:rsid w:val="004E42E8"/>
    <w:rsid w:val="004E42F1"/>
    <w:rsid w:val="004E4330"/>
    <w:rsid w:val="004E4357"/>
    <w:rsid w:val="004E4426"/>
    <w:rsid w:val="004E4561"/>
    <w:rsid w:val="004E4616"/>
    <w:rsid w:val="004E463A"/>
    <w:rsid w:val="004E46C1"/>
    <w:rsid w:val="004E4767"/>
    <w:rsid w:val="004E484B"/>
    <w:rsid w:val="004E48C3"/>
    <w:rsid w:val="004E4AB5"/>
    <w:rsid w:val="004E4C1D"/>
    <w:rsid w:val="004E4CDA"/>
    <w:rsid w:val="004E4D2D"/>
    <w:rsid w:val="004E4E52"/>
    <w:rsid w:val="004E4E56"/>
    <w:rsid w:val="004E4E77"/>
    <w:rsid w:val="004E4EE4"/>
    <w:rsid w:val="004E5008"/>
    <w:rsid w:val="004E5066"/>
    <w:rsid w:val="004E50A4"/>
    <w:rsid w:val="004E51BD"/>
    <w:rsid w:val="004E5219"/>
    <w:rsid w:val="004E52C7"/>
    <w:rsid w:val="004E53AD"/>
    <w:rsid w:val="004E5418"/>
    <w:rsid w:val="004E546F"/>
    <w:rsid w:val="004E5471"/>
    <w:rsid w:val="004E54B4"/>
    <w:rsid w:val="004E54E4"/>
    <w:rsid w:val="004E55AF"/>
    <w:rsid w:val="004E55B2"/>
    <w:rsid w:val="004E55DD"/>
    <w:rsid w:val="004E5781"/>
    <w:rsid w:val="004E5798"/>
    <w:rsid w:val="004E5799"/>
    <w:rsid w:val="004E5884"/>
    <w:rsid w:val="004E5972"/>
    <w:rsid w:val="004E59AD"/>
    <w:rsid w:val="004E5B44"/>
    <w:rsid w:val="004E5BA9"/>
    <w:rsid w:val="004E5BBC"/>
    <w:rsid w:val="004E5BF9"/>
    <w:rsid w:val="004E5CFB"/>
    <w:rsid w:val="004E5D54"/>
    <w:rsid w:val="004E5D62"/>
    <w:rsid w:val="004E5D82"/>
    <w:rsid w:val="004E5E04"/>
    <w:rsid w:val="004E5E6F"/>
    <w:rsid w:val="004E5EA8"/>
    <w:rsid w:val="004E5ED0"/>
    <w:rsid w:val="004E5ED3"/>
    <w:rsid w:val="004E6132"/>
    <w:rsid w:val="004E6293"/>
    <w:rsid w:val="004E62D1"/>
    <w:rsid w:val="004E63A6"/>
    <w:rsid w:val="004E647D"/>
    <w:rsid w:val="004E661E"/>
    <w:rsid w:val="004E66E6"/>
    <w:rsid w:val="004E6826"/>
    <w:rsid w:val="004E6843"/>
    <w:rsid w:val="004E68D2"/>
    <w:rsid w:val="004E6923"/>
    <w:rsid w:val="004E6948"/>
    <w:rsid w:val="004E6984"/>
    <w:rsid w:val="004E6A5C"/>
    <w:rsid w:val="004E6AB7"/>
    <w:rsid w:val="004E6AB9"/>
    <w:rsid w:val="004E6CB0"/>
    <w:rsid w:val="004E6CFE"/>
    <w:rsid w:val="004E6D0B"/>
    <w:rsid w:val="004E6D20"/>
    <w:rsid w:val="004E6D9A"/>
    <w:rsid w:val="004E6F1A"/>
    <w:rsid w:val="004E6FA5"/>
    <w:rsid w:val="004E6FD7"/>
    <w:rsid w:val="004E7134"/>
    <w:rsid w:val="004E72A0"/>
    <w:rsid w:val="004E72A2"/>
    <w:rsid w:val="004E72EC"/>
    <w:rsid w:val="004E7396"/>
    <w:rsid w:val="004E7477"/>
    <w:rsid w:val="004E7513"/>
    <w:rsid w:val="004E7548"/>
    <w:rsid w:val="004E7884"/>
    <w:rsid w:val="004E78AF"/>
    <w:rsid w:val="004E78DF"/>
    <w:rsid w:val="004E799C"/>
    <w:rsid w:val="004E7ABE"/>
    <w:rsid w:val="004E7B77"/>
    <w:rsid w:val="004E7B80"/>
    <w:rsid w:val="004E7C62"/>
    <w:rsid w:val="004E7CFB"/>
    <w:rsid w:val="004E7D4C"/>
    <w:rsid w:val="004E7DE3"/>
    <w:rsid w:val="004E7DFA"/>
    <w:rsid w:val="004E7DFB"/>
    <w:rsid w:val="004E7F1A"/>
    <w:rsid w:val="004E7F3F"/>
    <w:rsid w:val="004E7F6E"/>
    <w:rsid w:val="004F0016"/>
    <w:rsid w:val="004F0146"/>
    <w:rsid w:val="004F01A6"/>
    <w:rsid w:val="004F01CD"/>
    <w:rsid w:val="004F0408"/>
    <w:rsid w:val="004F0443"/>
    <w:rsid w:val="004F053A"/>
    <w:rsid w:val="004F054B"/>
    <w:rsid w:val="004F0681"/>
    <w:rsid w:val="004F0697"/>
    <w:rsid w:val="004F06C0"/>
    <w:rsid w:val="004F073F"/>
    <w:rsid w:val="004F07E8"/>
    <w:rsid w:val="004F0817"/>
    <w:rsid w:val="004F09DA"/>
    <w:rsid w:val="004F0A16"/>
    <w:rsid w:val="004F0A1A"/>
    <w:rsid w:val="004F0A29"/>
    <w:rsid w:val="004F0A64"/>
    <w:rsid w:val="004F0AE7"/>
    <w:rsid w:val="004F0AEC"/>
    <w:rsid w:val="004F0B3F"/>
    <w:rsid w:val="004F0B6B"/>
    <w:rsid w:val="004F0B71"/>
    <w:rsid w:val="004F0E6A"/>
    <w:rsid w:val="004F0EFF"/>
    <w:rsid w:val="004F105F"/>
    <w:rsid w:val="004F1069"/>
    <w:rsid w:val="004F10AD"/>
    <w:rsid w:val="004F1134"/>
    <w:rsid w:val="004F1153"/>
    <w:rsid w:val="004F11A1"/>
    <w:rsid w:val="004F124E"/>
    <w:rsid w:val="004F1437"/>
    <w:rsid w:val="004F146B"/>
    <w:rsid w:val="004F1605"/>
    <w:rsid w:val="004F161E"/>
    <w:rsid w:val="004F1782"/>
    <w:rsid w:val="004F18B5"/>
    <w:rsid w:val="004F18F1"/>
    <w:rsid w:val="004F1912"/>
    <w:rsid w:val="004F1A54"/>
    <w:rsid w:val="004F1A8C"/>
    <w:rsid w:val="004F1AA5"/>
    <w:rsid w:val="004F1B20"/>
    <w:rsid w:val="004F1BE7"/>
    <w:rsid w:val="004F1C71"/>
    <w:rsid w:val="004F1E11"/>
    <w:rsid w:val="004F1E87"/>
    <w:rsid w:val="004F1ED8"/>
    <w:rsid w:val="004F1FAD"/>
    <w:rsid w:val="004F2090"/>
    <w:rsid w:val="004F2118"/>
    <w:rsid w:val="004F2378"/>
    <w:rsid w:val="004F238F"/>
    <w:rsid w:val="004F244B"/>
    <w:rsid w:val="004F24A6"/>
    <w:rsid w:val="004F24C4"/>
    <w:rsid w:val="004F24EC"/>
    <w:rsid w:val="004F2516"/>
    <w:rsid w:val="004F25AA"/>
    <w:rsid w:val="004F25B2"/>
    <w:rsid w:val="004F25D6"/>
    <w:rsid w:val="004F2744"/>
    <w:rsid w:val="004F27BE"/>
    <w:rsid w:val="004F27FD"/>
    <w:rsid w:val="004F28A1"/>
    <w:rsid w:val="004F2C0C"/>
    <w:rsid w:val="004F2D44"/>
    <w:rsid w:val="004F2E3F"/>
    <w:rsid w:val="004F2E95"/>
    <w:rsid w:val="004F2F07"/>
    <w:rsid w:val="004F2F62"/>
    <w:rsid w:val="004F2F7A"/>
    <w:rsid w:val="004F301B"/>
    <w:rsid w:val="004F3098"/>
    <w:rsid w:val="004F30FF"/>
    <w:rsid w:val="004F3134"/>
    <w:rsid w:val="004F327E"/>
    <w:rsid w:val="004F328C"/>
    <w:rsid w:val="004F33E8"/>
    <w:rsid w:val="004F3421"/>
    <w:rsid w:val="004F3440"/>
    <w:rsid w:val="004F3452"/>
    <w:rsid w:val="004F364D"/>
    <w:rsid w:val="004F36A4"/>
    <w:rsid w:val="004F37EC"/>
    <w:rsid w:val="004F3AF4"/>
    <w:rsid w:val="004F3C14"/>
    <w:rsid w:val="004F3C46"/>
    <w:rsid w:val="004F3C68"/>
    <w:rsid w:val="004F3D6D"/>
    <w:rsid w:val="004F3DB2"/>
    <w:rsid w:val="004F3EBE"/>
    <w:rsid w:val="004F3F9E"/>
    <w:rsid w:val="004F3FDC"/>
    <w:rsid w:val="004F406D"/>
    <w:rsid w:val="004F40DE"/>
    <w:rsid w:val="004F425F"/>
    <w:rsid w:val="004F428A"/>
    <w:rsid w:val="004F42B5"/>
    <w:rsid w:val="004F43D8"/>
    <w:rsid w:val="004F4403"/>
    <w:rsid w:val="004F45BD"/>
    <w:rsid w:val="004F467F"/>
    <w:rsid w:val="004F46E5"/>
    <w:rsid w:val="004F473F"/>
    <w:rsid w:val="004F48E6"/>
    <w:rsid w:val="004F4949"/>
    <w:rsid w:val="004F4CEE"/>
    <w:rsid w:val="004F4F0B"/>
    <w:rsid w:val="004F4F11"/>
    <w:rsid w:val="004F4F5E"/>
    <w:rsid w:val="004F5038"/>
    <w:rsid w:val="004F5064"/>
    <w:rsid w:val="004F50F7"/>
    <w:rsid w:val="004F5103"/>
    <w:rsid w:val="004F5151"/>
    <w:rsid w:val="004F5188"/>
    <w:rsid w:val="004F5193"/>
    <w:rsid w:val="004F5252"/>
    <w:rsid w:val="004F52FC"/>
    <w:rsid w:val="004F5577"/>
    <w:rsid w:val="004F5624"/>
    <w:rsid w:val="004F5876"/>
    <w:rsid w:val="004F5879"/>
    <w:rsid w:val="004F58EE"/>
    <w:rsid w:val="004F5901"/>
    <w:rsid w:val="004F5B34"/>
    <w:rsid w:val="004F5BA9"/>
    <w:rsid w:val="004F5DDB"/>
    <w:rsid w:val="004F5E30"/>
    <w:rsid w:val="004F5FC9"/>
    <w:rsid w:val="004F605A"/>
    <w:rsid w:val="004F6065"/>
    <w:rsid w:val="004F628B"/>
    <w:rsid w:val="004F6409"/>
    <w:rsid w:val="004F645B"/>
    <w:rsid w:val="004F64CA"/>
    <w:rsid w:val="004F64EE"/>
    <w:rsid w:val="004F65E7"/>
    <w:rsid w:val="004F6703"/>
    <w:rsid w:val="004F670B"/>
    <w:rsid w:val="004F6767"/>
    <w:rsid w:val="004F67E6"/>
    <w:rsid w:val="004F6819"/>
    <w:rsid w:val="004F6998"/>
    <w:rsid w:val="004F6A31"/>
    <w:rsid w:val="004F6ACA"/>
    <w:rsid w:val="004F6B20"/>
    <w:rsid w:val="004F6B26"/>
    <w:rsid w:val="004F6C1E"/>
    <w:rsid w:val="004F6C56"/>
    <w:rsid w:val="004F6C70"/>
    <w:rsid w:val="004F6D6D"/>
    <w:rsid w:val="004F6E4F"/>
    <w:rsid w:val="004F6E91"/>
    <w:rsid w:val="004F705F"/>
    <w:rsid w:val="004F7097"/>
    <w:rsid w:val="004F7214"/>
    <w:rsid w:val="004F7250"/>
    <w:rsid w:val="004F7285"/>
    <w:rsid w:val="004F7310"/>
    <w:rsid w:val="004F7415"/>
    <w:rsid w:val="004F7622"/>
    <w:rsid w:val="004F765E"/>
    <w:rsid w:val="004F7666"/>
    <w:rsid w:val="004F76D5"/>
    <w:rsid w:val="004F76E0"/>
    <w:rsid w:val="004F7703"/>
    <w:rsid w:val="004F775A"/>
    <w:rsid w:val="004F775B"/>
    <w:rsid w:val="004F784B"/>
    <w:rsid w:val="004F7A2D"/>
    <w:rsid w:val="004F7A85"/>
    <w:rsid w:val="004F7B0E"/>
    <w:rsid w:val="004F7B39"/>
    <w:rsid w:val="004F7B77"/>
    <w:rsid w:val="004F7C9C"/>
    <w:rsid w:val="004F7CDD"/>
    <w:rsid w:val="005001B3"/>
    <w:rsid w:val="0050021A"/>
    <w:rsid w:val="00500330"/>
    <w:rsid w:val="0050036B"/>
    <w:rsid w:val="0050039D"/>
    <w:rsid w:val="005003E3"/>
    <w:rsid w:val="005004C5"/>
    <w:rsid w:val="005004FE"/>
    <w:rsid w:val="005005A5"/>
    <w:rsid w:val="00500679"/>
    <w:rsid w:val="005006BF"/>
    <w:rsid w:val="005006F9"/>
    <w:rsid w:val="005006FA"/>
    <w:rsid w:val="005007A1"/>
    <w:rsid w:val="0050080A"/>
    <w:rsid w:val="00500867"/>
    <w:rsid w:val="005008D9"/>
    <w:rsid w:val="00500924"/>
    <w:rsid w:val="0050092B"/>
    <w:rsid w:val="00500930"/>
    <w:rsid w:val="0050097A"/>
    <w:rsid w:val="00500982"/>
    <w:rsid w:val="00500ACE"/>
    <w:rsid w:val="00500B59"/>
    <w:rsid w:val="00500CF9"/>
    <w:rsid w:val="00500D72"/>
    <w:rsid w:val="00500D78"/>
    <w:rsid w:val="00500DEE"/>
    <w:rsid w:val="00500E41"/>
    <w:rsid w:val="00500F4C"/>
    <w:rsid w:val="00500FD7"/>
    <w:rsid w:val="005010EC"/>
    <w:rsid w:val="00501132"/>
    <w:rsid w:val="005012B2"/>
    <w:rsid w:val="005012FE"/>
    <w:rsid w:val="00501529"/>
    <w:rsid w:val="00501677"/>
    <w:rsid w:val="005017D9"/>
    <w:rsid w:val="00501A03"/>
    <w:rsid w:val="00501A54"/>
    <w:rsid w:val="00501ADB"/>
    <w:rsid w:val="00501BC9"/>
    <w:rsid w:val="00501BFD"/>
    <w:rsid w:val="00501C3F"/>
    <w:rsid w:val="00501C40"/>
    <w:rsid w:val="00501C72"/>
    <w:rsid w:val="00501DB4"/>
    <w:rsid w:val="00501DEF"/>
    <w:rsid w:val="00501FC5"/>
    <w:rsid w:val="00501FD1"/>
    <w:rsid w:val="0050200F"/>
    <w:rsid w:val="00502031"/>
    <w:rsid w:val="005020E3"/>
    <w:rsid w:val="00502178"/>
    <w:rsid w:val="00502412"/>
    <w:rsid w:val="005024F4"/>
    <w:rsid w:val="00502546"/>
    <w:rsid w:val="005026DE"/>
    <w:rsid w:val="005028CF"/>
    <w:rsid w:val="005028F8"/>
    <w:rsid w:val="0050291E"/>
    <w:rsid w:val="00502954"/>
    <w:rsid w:val="00502A2C"/>
    <w:rsid w:val="00502C33"/>
    <w:rsid w:val="00502CE6"/>
    <w:rsid w:val="00502E1B"/>
    <w:rsid w:val="00502E6B"/>
    <w:rsid w:val="00502EAD"/>
    <w:rsid w:val="00502EFE"/>
    <w:rsid w:val="00502F5E"/>
    <w:rsid w:val="00503055"/>
    <w:rsid w:val="005032F2"/>
    <w:rsid w:val="0050332E"/>
    <w:rsid w:val="0050333D"/>
    <w:rsid w:val="005033B8"/>
    <w:rsid w:val="0050342E"/>
    <w:rsid w:val="005035F3"/>
    <w:rsid w:val="0050360B"/>
    <w:rsid w:val="00503981"/>
    <w:rsid w:val="00503ACF"/>
    <w:rsid w:val="00503AFD"/>
    <w:rsid w:val="00503DB0"/>
    <w:rsid w:val="00503E26"/>
    <w:rsid w:val="00503E42"/>
    <w:rsid w:val="00503E74"/>
    <w:rsid w:val="00503E7F"/>
    <w:rsid w:val="00503FE4"/>
    <w:rsid w:val="00504096"/>
    <w:rsid w:val="00504138"/>
    <w:rsid w:val="00504236"/>
    <w:rsid w:val="00504242"/>
    <w:rsid w:val="0050429E"/>
    <w:rsid w:val="005042D3"/>
    <w:rsid w:val="00504334"/>
    <w:rsid w:val="00504449"/>
    <w:rsid w:val="00504652"/>
    <w:rsid w:val="00504669"/>
    <w:rsid w:val="005047A3"/>
    <w:rsid w:val="005048DC"/>
    <w:rsid w:val="005048FF"/>
    <w:rsid w:val="00504B96"/>
    <w:rsid w:val="00504CE9"/>
    <w:rsid w:val="00504E70"/>
    <w:rsid w:val="00504F54"/>
    <w:rsid w:val="00504FF5"/>
    <w:rsid w:val="00505112"/>
    <w:rsid w:val="00505132"/>
    <w:rsid w:val="00505148"/>
    <w:rsid w:val="00505166"/>
    <w:rsid w:val="005051BC"/>
    <w:rsid w:val="00505244"/>
    <w:rsid w:val="00505324"/>
    <w:rsid w:val="005055C8"/>
    <w:rsid w:val="005055F2"/>
    <w:rsid w:val="00505661"/>
    <w:rsid w:val="005056FB"/>
    <w:rsid w:val="0050572B"/>
    <w:rsid w:val="00505825"/>
    <w:rsid w:val="005058BF"/>
    <w:rsid w:val="00505AB7"/>
    <w:rsid w:val="00505AE9"/>
    <w:rsid w:val="00505BD2"/>
    <w:rsid w:val="00505BE9"/>
    <w:rsid w:val="00505CCD"/>
    <w:rsid w:val="00505D0E"/>
    <w:rsid w:val="00505D86"/>
    <w:rsid w:val="00505E9E"/>
    <w:rsid w:val="00505F1A"/>
    <w:rsid w:val="0050611E"/>
    <w:rsid w:val="00506190"/>
    <w:rsid w:val="00506271"/>
    <w:rsid w:val="005062BB"/>
    <w:rsid w:val="005063A5"/>
    <w:rsid w:val="005063CE"/>
    <w:rsid w:val="00506415"/>
    <w:rsid w:val="00506446"/>
    <w:rsid w:val="005064C7"/>
    <w:rsid w:val="0050653F"/>
    <w:rsid w:val="00506592"/>
    <w:rsid w:val="0050675B"/>
    <w:rsid w:val="005067EA"/>
    <w:rsid w:val="0050689F"/>
    <w:rsid w:val="0050690D"/>
    <w:rsid w:val="005069C5"/>
    <w:rsid w:val="005069D9"/>
    <w:rsid w:val="00506A43"/>
    <w:rsid w:val="00506A4E"/>
    <w:rsid w:val="00506AFF"/>
    <w:rsid w:val="00506B91"/>
    <w:rsid w:val="00506DE7"/>
    <w:rsid w:val="00506DF6"/>
    <w:rsid w:val="00506DFA"/>
    <w:rsid w:val="00506EF1"/>
    <w:rsid w:val="00506F86"/>
    <w:rsid w:val="00506FE7"/>
    <w:rsid w:val="00507029"/>
    <w:rsid w:val="00507079"/>
    <w:rsid w:val="005070AF"/>
    <w:rsid w:val="00507122"/>
    <w:rsid w:val="00507290"/>
    <w:rsid w:val="005072A7"/>
    <w:rsid w:val="0050746E"/>
    <w:rsid w:val="005074AB"/>
    <w:rsid w:val="005074C3"/>
    <w:rsid w:val="0050754B"/>
    <w:rsid w:val="005075A7"/>
    <w:rsid w:val="005075BD"/>
    <w:rsid w:val="0050761D"/>
    <w:rsid w:val="00507728"/>
    <w:rsid w:val="00507774"/>
    <w:rsid w:val="005077F6"/>
    <w:rsid w:val="00507889"/>
    <w:rsid w:val="005079AE"/>
    <w:rsid w:val="005079FC"/>
    <w:rsid w:val="00507A99"/>
    <w:rsid w:val="00507B5D"/>
    <w:rsid w:val="00507CF5"/>
    <w:rsid w:val="00507DB8"/>
    <w:rsid w:val="00507DC1"/>
    <w:rsid w:val="00507FDB"/>
    <w:rsid w:val="0050D4E6"/>
    <w:rsid w:val="0051008B"/>
    <w:rsid w:val="0051014A"/>
    <w:rsid w:val="0051027E"/>
    <w:rsid w:val="0051033D"/>
    <w:rsid w:val="0051046F"/>
    <w:rsid w:val="005104F6"/>
    <w:rsid w:val="005105A5"/>
    <w:rsid w:val="005105E9"/>
    <w:rsid w:val="0051064D"/>
    <w:rsid w:val="00510758"/>
    <w:rsid w:val="00510821"/>
    <w:rsid w:val="00510873"/>
    <w:rsid w:val="00510946"/>
    <w:rsid w:val="0051095D"/>
    <w:rsid w:val="00510962"/>
    <w:rsid w:val="00510A2A"/>
    <w:rsid w:val="00510A39"/>
    <w:rsid w:val="00510B7A"/>
    <w:rsid w:val="00510C7D"/>
    <w:rsid w:val="00510CC9"/>
    <w:rsid w:val="00510D2D"/>
    <w:rsid w:val="00510EAC"/>
    <w:rsid w:val="00510ED5"/>
    <w:rsid w:val="00510EE7"/>
    <w:rsid w:val="00511060"/>
    <w:rsid w:val="0051109E"/>
    <w:rsid w:val="0051113F"/>
    <w:rsid w:val="005111EC"/>
    <w:rsid w:val="00511210"/>
    <w:rsid w:val="00511304"/>
    <w:rsid w:val="00511319"/>
    <w:rsid w:val="00511329"/>
    <w:rsid w:val="0051135B"/>
    <w:rsid w:val="0051139A"/>
    <w:rsid w:val="005115B6"/>
    <w:rsid w:val="0051166B"/>
    <w:rsid w:val="005116F4"/>
    <w:rsid w:val="0051172E"/>
    <w:rsid w:val="0051174C"/>
    <w:rsid w:val="005117CC"/>
    <w:rsid w:val="005118C2"/>
    <w:rsid w:val="005119E4"/>
    <w:rsid w:val="00511B53"/>
    <w:rsid w:val="00511B54"/>
    <w:rsid w:val="00511D55"/>
    <w:rsid w:val="00511E6D"/>
    <w:rsid w:val="00511F3E"/>
    <w:rsid w:val="00511F61"/>
    <w:rsid w:val="00511F95"/>
    <w:rsid w:val="00511FE8"/>
    <w:rsid w:val="00511FFF"/>
    <w:rsid w:val="005120E2"/>
    <w:rsid w:val="00512111"/>
    <w:rsid w:val="00512155"/>
    <w:rsid w:val="00512174"/>
    <w:rsid w:val="00512269"/>
    <w:rsid w:val="00512282"/>
    <w:rsid w:val="005122E8"/>
    <w:rsid w:val="005123BD"/>
    <w:rsid w:val="00512466"/>
    <w:rsid w:val="00512474"/>
    <w:rsid w:val="00512484"/>
    <w:rsid w:val="0051255C"/>
    <w:rsid w:val="00512571"/>
    <w:rsid w:val="005125F2"/>
    <w:rsid w:val="005125FE"/>
    <w:rsid w:val="005126A8"/>
    <w:rsid w:val="005126E2"/>
    <w:rsid w:val="005127A7"/>
    <w:rsid w:val="00512A7E"/>
    <w:rsid w:val="00512A95"/>
    <w:rsid w:val="00512AE6"/>
    <w:rsid w:val="00512B54"/>
    <w:rsid w:val="00512BF7"/>
    <w:rsid w:val="00512C46"/>
    <w:rsid w:val="00512C79"/>
    <w:rsid w:val="00512C97"/>
    <w:rsid w:val="00512DDA"/>
    <w:rsid w:val="00512EF9"/>
    <w:rsid w:val="00512FB4"/>
    <w:rsid w:val="00513060"/>
    <w:rsid w:val="00513079"/>
    <w:rsid w:val="005131A2"/>
    <w:rsid w:val="0051362D"/>
    <w:rsid w:val="00513680"/>
    <w:rsid w:val="005136D3"/>
    <w:rsid w:val="0051378F"/>
    <w:rsid w:val="00513892"/>
    <w:rsid w:val="00513A66"/>
    <w:rsid w:val="00513AAF"/>
    <w:rsid w:val="00513B94"/>
    <w:rsid w:val="00513DAB"/>
    <w:rsid w:val="00513DE2"/>
    <w:rsid w:val="00513DF9"/>
    <w:rsid w:val="00513E76"/>
    <w:rsid w:val="00513EDE"/>
    <w:rsid w:val="00513F0E"/>
    <w:rsid w:val="00513F93"/>
    <w:rsid w:val="00514205"/>
    <w:rsid w:val="005143A3"/>
    <w:rsid w:val="005144CF"/>
    <w:rsid w:val="005145B8"/>
    <w:rsid w:val="0051465E"/>
    <w:rsid w:val="00514852"/>
    <w:rsid w:val="005149D1"/>
    <w:rsid w:val="00514AD4"/>
    <w:rsid w:val="00514B35"/>
    <w:rsid w:val="00514B57"/>
    <w:rsid w:val="00514BB6"/>
    <w:rsid w:val="00514C4C"/>
    <w:rsid w:val="00514CCF"/>
    <w:rsid w:val="00514D18"/>
    <w:rsid w:val="00514E22"/>
    <w:rsid w:val="00514EA0"/>
    <w:rsid w:val="00514F87"/>
    <w:rsid w:val="0051501D"/>
    <w:rsid w:val="005150A0"/>
    <w:rsid w:val="00515255"/>
    <w:rsid w:val="00515319"/>
    <w:rsid w:val="00515559"/>
    <w:rsid w:val="00515649"/>
    <w:rsid w:val="00515677"/>
    <w:rsid w:val="005156B6"/>
    <w:rsid w:val="00515835"/>
    <w:rsid w:val="0051585A"/>
    <w:rsid w:val="00515869"/>
    <w:rsid w:val="005158A8"/>
    <w:rsid w:val="00515A87"/>
    <w:rsid w:val="00515AA5"/>
    <w:rsid w:val="00515AC7"/>
    <w:rsid w:val="00515C05"/>
    <w:rsid w:val="00515C69"/>
    <w:rsid w:val="00515C9C"/>
    <w:rsid w:val="00515D4B"/>
    <w:rsid w:val="00515E72"/>
    <w:rsid w:val="00515EBC"/>
    <w:rsid w:val="00515ED7"/>
    <w:rsid w:val="00515F4F"/>
    <w:rsid w:val="00515FBE"/>
    <w:rsid w:val="005162C1"/>
    <w:rsid w:val="005163AA"/>
    <w:rsid w:val="005163BD"/>
    <w:rsid w:val="00516480"/>
    <w:rsid w:val="00516634"/>
    <w:rsid w:val="0051679C"/>
    <w:rsid w:val="005167A7"/>
    <w:rsid w:val="005167C1"/>
    <w:rsid w:val="00516851"/>
    <w:rsid w:val="005168BC"/>
    <w:rsid w:val="00516A6E"/>
    <w:rsid w:val="00516AA7"/>
    <w:rsid w:val="00516AC8"/>
    <w:rsid w:val="00516B02"/>
    <w:rsid w:val="00516B20"/>
    <w:rsid w:val="00516BCC"/>
    <w:rsid w:val="00516D32"/>
    <w:rsid w:val="00517149"/>
    <w:rsid w:val="0051728D"/>
    <w:rsid w:val="00517468"/>
    <w:rsid w:val="00517645"/>
    <w:rsid w:val="0051766F"/>
    <w:rsid w:val="005176C8"/>
    <w:rsid w:val="005176F0"/>
    <w:rsid w:val="005177AD"/>
    <w:rsid w:val="0051784C"/>
    <w:rsid w:val="0051787E"/>
    <w:rsid w:val="005178D1"/>
    <w:rsid w:val="00517966"/>
    <w:rsid w:val="005179B3"/>
    <w:rsid w:val="005179CF"/>
    <w:rsid w:val="00517B66"/>
    <w:rsid w:val="00517BF8"/>
    <w:rsid w:val="00517C66"/>
    <w:rsid w:val="00517CFC"/>
    <w:rsid w:val="00517D3B"/>
    <w:rsid w:val="00517E34"/>
    <w:rsid w:val="00517F5E"/>
    <w:rsid w:val="0052009A"/>
    <w:rsid w:val="005200D1"/>
    <w:rsid w:val="0052018E"/>
    <w:rsid w:val="0052029E"/>
    <w:rsid w:val="005202A2"/>
    <w:rsid w:val="005202F1"/>
    <w:rsid w:val="00520473"/>
    <w:rsid w:val="00520558"/>
    <w:rsid w:val="005205A0"/>
    <w:rsid w:val="00520764"/>
    <w:rsid w:val="005208EF"/>
    <w:rsid w:val="00520949"/>
    <w:rsid w:val="00520980"/>
    <w:rsid w:val="00520B90"/>
    <w:rsid w:val="00520CC3"/>
    <w:rsid w:val="00520D24"/>
    <w:rsid w:val="00520DB2"/>
    <w:rsid w:val="00520DBF"/>
    <w:rsid w:val="00520DDD"/>
    <w:rsid w:val="00520EE8"/>
    <w:rsid w:val="00520F58"/>
    <w:rsid w:val="00521090"/>
    <w:rsid w:val="0052109D"/>
    <w:rsid w:val="005210C4"/>
    <w:rsid w:val="005210CE"/>
    <w:rsid w:val="005211AF"/>
    <w:rsid w:val="005212E5"/>
    <w:rsid w:val="00521343"/>
    <w:rsid w:val="005213B4"/>
    <w:rsid w:val="0052143A"/>
    <w:rsid w:val="00521587"/>
    <w:rsid w:val="00521699"/>
    <w:rsid w:val="0052173E"/>
    <w:rsid w:val="005217A3"/>
    <w:rsid w:val="005217C1"/>
    <w:rsid w:val="005217D4"/>
    <w:rsid w:val="005219DB"/>
    <w:rsid w:val="005219E2"/>
    <w:rsid w:val="00521B00"/>
    <w:rsid w:val="00521B5F"/>
    <w:rsid w:val="00521D7B"/>
    <w:rsid w:val="00521E1F"/>
    <w:rsid w:val="00521F25"/>
    <w:rsid w:val="00521F31"/>
    <w:rsid w:val="00521F69"/>
    <w:rsid w:val="00521FA2"/>
    <w:rsid w:val="00522020"/>
    <w:rsid w:val="0052202E"/>
    <w:rsid w:val="00522066"/>
    <w:rsid w:val="00522113"/>
    <w:rsid w:val="0052214D"/>
    <w:rsid w:val="00522169"/>
    <w:rsid w:val="00522211"/>
    <w:rsid w:val="005222E4"/>
    <w:rsid w:val="005222F3"/>
    <w:rsid w:val="0052232C"/>
    <w:rsid w:val="00522527"/>
    <w:rsid w:val="005225DD"/>
    <w:rsid w:val="0052271A"/>
    <w:rsid w:val="005229A6"/>
    <w:rsid w:val="00522A74"/>
    <w:rsid w:val="00522AE2"/>
    <w:rsid w:val="00522C66"/>
    <w:rsid w:val="00522D4B"/>
    <w:rsid w:val="00522D8D"/>
    <w:rsid w:val="00522DD4"/>
    <w:rsid w:val="00522EA1"/>
    <w:rsid w:val="00522EF5"/>
    <w:rsid w:val="00522F06"/>
    <w:rsid w:val="00522F4A"/>
    <w:rsid w:val="00523081"/>
    <w:rsid w:val="0052323A"/>
    <w:rsid w:val="005234D0"/>
    <w:rsid w:val="0052352E"/>
    <w:rsid w:val="00523689"/>
    <w:rsid w:val="005238D7"/>
    <w:rsid w:val="005239EA"/>
    <w:rsid w:val="00523AFF"/>
    <w:rsid w:val="00523BA5"/>
    <w:rsid w:val="00523C3B"/>
    <w:rsid w:val="00523C6E"/>
    <w:rsid w:val="005240FC"/>
    <w:rsid w:val="00524111"/>
    <w:rsid w:val="00524306"/>
    <w:rsid w:val="0052437C"/>
    <w:rsid w:val="0052441A"/>
    <w:rsid w:val="0052445F"/>
    <w:rsid w:val="0052454A"/>
    <w:rsid w:val="0052455D"/>
    <w:rsid w:val="00524641"/>
    <w:rsid w:val="0052466F"/>
    <w:rsid w:val="0052469C"/>
    <w:rsid w:val="00524718"/>
    <w:rsid w:val="0052482E"/>
    <w:rsid w:val="005249A4"/>
    <w:rsid w:val="005249FA"/>
    <w:rsid w:val="00524AAE"/>
    <w:rsid w:val="00524B44"/>
    <w:rsid w:val="00524BD2"/>
    <w:rsid w:val="00524CCC"/>
    <w:rsid w:val="00524D7E"/>
    <w:rsid w:val="00524D88"/>
    <w:rsid w:val="00524E98"/>
    <w:rsid w:val="00524F90"/>
    <w:rsid w:val="00525046"/>
    <w:rsid w:val="0052509D"/>
    <w:rsid w:val="0052515D"/>
    <w:rsid w:val="0052518A"/>
    <w:rsid w:val="005251D4"/>
    <w:rsid w:val="005252E2"/>
    <w:rsid w:val="005253A1"/>
    <w:rsid w:val="005256A1"/>
    <w:rsid w:val="00525816"/>
    <w:rsid w:val="0052581B"/>
    <w:rsid w:val="00525914"/>
    <w:rsid w:val="00525969"/>
    <w:rsid w:val="00525A8C"/>
    <w:rsid w:val="00525A9D"/>
    <w:rsid w:val="00525BBE"/>
    <w:rsid w:val="00525C0E"/>
    <w:rsid w:val="00525C30"/>
    <w:rsid w:val="00525C7C"/>
    <w:rsid w:val="00525CC8"/>
    <w:rsid w:val="00525D85"/>
    <w:rsid w:val="00525DA0"/>
    <w:rsid w:val="00525DC2"/>
    <w:rsid w:val="00525DF4"/>
    <w:rsid w:val="00525EBC"/>
    <w:rsid w:val="0052616D"/>
    <w:rsid w:val="0052619F"/>
    <w:rsid w:val="0052623F"/>
    <w:rsid w:val="005262DD"/>
    <w:rsid w:val="0052634F"/>
    <w:rsid w:val="00526359"/>
    <w:rsid w:val="005263AA"/>
    <w:rsid w:val="005263C2"/>
    <w:rsid w:val="005263F6"/>
    <w:rsid w:val="005264FE"/>
    <w:rsid w:val="00526513"/>
    <w:rsid w:val="00526514"/>
    <w:rsid w:val="005265C6"/>
    <w:rsid w:val="00526695"/>
    <w:rsid w:val="005267BA"/>
    <w:rsid w:val="0052686C"/>
    <w:rsid w:val="00526921"/>
    <w:rsid w:val="00526A7C"/>
    <w:rsid w:val="00526C3E"/>
    <w:rsid w:val="00526C40"/>
    <w:rsid w:val="00526DD9"/>
    <w:rsid w:val="00526E13"/>
    <w:rsid w:val="00526FA4"/>
    <w:rsid w:val="00527028"/>
    <w:rsid w:val="00527064"/>
    <w:rsid w:val="005275BE"/>
    <w:rsid w:val="005275E9"/>
    <w:rsid w:val="00527647"/>
    <w:rsid w:val="00527734"/>
    <w:rsid w:val="005277C4"/>
    <w:rsid w:val="005277FF"/>
    <w:rsid w:val="0052786B"/>
    <w:rsid w:val="0052794F"/>
    <w:rsid w:val="00527C2F"/>
    <w:rsid w:val="00527E75"/>
    <w:rsid w:val="00527EEB"/>
    <w:rsid w:val="00527F52"/>
    <w:rsid w:val="00527FD7"/>
    <w:rsid w:val="00530255"/>
    <w:rsid w:val="0053039E"/>
    <w:rsid w:val="00530540"/>
    <w:rsid w:val="00530645"/>
    <w:rsid w:val="005306CB"/>
    <w:rsid w:val="0053079C"/>
    <w:rsid w:val="00530905"/>
    <w:rsid w:val="0053090D"/>
    <w:rsid w:val="00530930"/>
    <w:rsid w:val="00530A57"/>
    <w:rsid w:val="00530A5E"/>
    <w:rsid w:val="00530A6E"/>
    <w:rsid w:val="00530A8B"/>
    <w:rsid w:val="00530AB8"/>
    <w:rsid w:val="00530C4B"/>
    <w:rsid w:val="00530C5E"/>
    <w:rsid w:val="00530DC0"/>
    <w:rsid w:val="00530E1C"/>
    <w:rsid w:val="00530F48"/>
    <w:rsid w:val="00531066"/>
    <w:rsid w:val="0053119B"/>
    <w:rsid w:val="0053131F"/>
    <w:rsid w:val="005313A5"/>
    <w:rsid w:val="00531445"/>
    <w:rsid w:val="005315EF"/>
    <w:rsid w:val="00531672"/>
    <w:rsid w:val="0053180D"/>
    <w:rsid w:val="005319DA"/>
    <w:rsid w:val="00531C78"/>
    <w:rsid w:val="00531C7E"/>
    <w:rsid w:val="00531C9B"/>
    <w:rsid w:val="00531CAE"/>
    <w:rsid w:val="00531CAF"/>
    <w:rsid w:val="00531D7F"/>
    <w:rsid w:val="00531EBA"/>
    <w:rsid w:val="00531F09"/>
    <w:rsid w:val="00531F70"/>
    <w:rsid w:val="00531F9A"/>
    <w:rsid w:val="00531FFD"/>
    <w:rsid w:val="005321F4"/>
    <w:rsid w:val="00532202"/>
    <w:rsid w:val="005322A6"/>
    <w:rsid w:val="005322FE"/>
    <w:rsid w:val="0053264D"/>
    <w:rsid w:val="0053268A"/>
    <w:rsid w:val="005326A6"/>
    <w:rsid w:val="005327A8"/>
    <w:rsid w:val="00532AE0"/>
    <w:rsid w:val="00532B0C"/>
    <w:rsid w:val="00532B20"/>
    <w:rsid w:val="00532BD2"/>
    <w:rsid w:val="00532CBF"/>
    <w:rsid w:val="00532D54"/>
    <w:rsid w:val="00532DB8"/>
    <w:rsid w:val="00532E34"/>
    <w:rsid w:val="00532F44"/>
    <w:rsid w:val="00532F66"/>
    <w:rsid w:val="00533068"/>
    <w:rsid w:val="00533307"/>
    <w:rsid w:val="005333DA"/>
    <w:rsid w:val="0053340B"/>
    <w:rsid w:val="005334C7"/>
    <w:rsid w:val="005335A2"/>
    <w:rsid w:val="005335EA"/>
    <w:rsid w:val="00533660"/>
    <w:rsid w:val="00533735"/>
    <w:rsid w:val="0053385E"/>
    <w:rsid w:val="0053392E"/>
    <w:rsid w:val="00533961"/>
    <w:rsid w:val="00533AC3"/>
    <w:rsid w:val="00533BAF"/>
    <w:rsid w:val="00533C24"/>
    <w:rsid w:val="00533D86"/>
    <w:rsid w:val="00533F3A"/>
    <w:rsid w:val="005340E2"/>
    <w:rsid w:val="00534110"/>
    <w:rsid w:val="00534366"/>
    <w:rsid w:val="00534399"/>
    <w:rsid w:val="005343A7"/>
    <w:rsid w:val="005343CA"/>
    <w:rsid w:val="005343D7"/>
    <w:rsid w:val="00534414"/>
    <w:rsid w:val="00534445"/>
    <w:rsid w:val="0053453B"/>
    <w:rsid w:val="005345E1"/>
    <w:rsid w:val="00534602"/>
    <w:rsid w:val="00534701"/>
    <w:rsid w:val="00534741"/>
    <w:rsid w:val="00534819"/>
    <w:rsid w:val="00534905"/>
    <w:rsid w:val="00534CD7"/>
    <w:rsid w:val="00534D68"/>
    <w:rsid w:val="00534DA4"/>
    <w:rsid w:val="00534E73"/>
    <w:rsid w:val="00534EA8"/>
    <w:rsid w:val="00534ED7"/>
    <w:rsid w:val="00534EE6"/>
    <w:rsid w:val="00534EF0"/>
    <w:rsid w:val="00534F89"/>
    <w:rsid w:val="00534FCE"/>
    <w:rsid w:val="00534FD9"/>
    <w:rsid w:val="005350DD"/>
    <w:rsid w:val="005353B2"/>
    <w:rsid w:val="00535517"/>
    <w:rsid w:val="00535755"/>
    <w:rsid w:val="00535795"/>
    <w:rsid w:val="0053580A"/>
    <w:rsid w:val="00535980"/>
    <w:rsid w:val="00535A5D"/>
    <w:rsid w:val="00535AD8"/>
    <w:rsid w:val="00535B44"/>
    <w:rsid w:val="00535B4E"/>
    <w:rsid w:val="00535BFE"/>
    <w:rsid w:val="00535DD6"/>
    <w:rsid w:val="00535EA7"/>
    <w:rsid w:val="00535F98"/>
    <w:rsid w:val="005362A3"/>
    <w:rsid w:val="00536316"/>
    <w:rsid w:val="005366E7"/>
    <w:rsid w:val="005367B1"/>
    <w:rsid w:val="005367F3"/>
    <w:rsid w:val="00536800"/>
    <w:rsid w:val="00536819"/>
    <w:rsid w:val="005368BB"/>
    <w:rsid w:val="0053691C"/>
    <w:rsid w:val="00536922"/>
    <w:rsid w:val="00536A78"/>
    <w:rsid w:val="00536AB1"/>
    <w:rsid w:val="00536ABE"/>
    <w:rsid w:val="00536AEB"/>
    <w:rsid w:val="00536BB0"/>
    <w:rsid w:val="00536CA0"/>
    <w:rsid w:val="00536E7F"/>
    <w:rsid w:val="00537047"/>
    <w:rsid w:val="00537134"/>
    <w:rsid w:val="005371B7"/>
    <w:rsid w:val="005372C5"/>
    <w:rsid w:val="005372D3"/>
    <w:rsid w:val="0053737A"/>
    <w:rsid w:val="00537428"/>
    <w:rsid w:val="00537481"/>
    <w:rsid w:val="00537553"/>
    <w:rsid w:val="005375E5"/>
    <w:rsid w:val="00537768"/>
    <w:rsid w:val="005377E0"/>
    <w:rsid w:val="00537887"/>
    <w:rsid w:val="005378CC"/>
    <w:rsid w:val="0053792E"/>
    <w:rsid w:val="005379CF"/>
    <w:rsid w:val="00537A7E"/>
    <w:rsid w:val="00537B72"/>
    <w:rsid w:val="00537B86"/>
    <w:rsid w:val="00537D5D"/>
    <w:rsid w:val="00537E8A"/>
    <w:rsid w:val="005400E5"/>
    <w:rsid w:val="0054012B"/>
    <w:rsid w:val="00540130"/>
    <w:rsid w:val="00540184"/>
    <w:rsid w:val="00540207"/>
    <w:rsid w:val="0054020A"/>
    <w:rsid w:val="00540316"/>
    <w:rsid w:val="0054039F"/>
    <w:rsid w:val="00540418"/>
    <w:rsid w:val="005405B4"/>
    <w:rsid w:val="005405B5"/>
    <w:rsid w:val="005405E3"/>
    <w:rsid w:val="00540684"/>
    <w:rsid w:val="00540690"/>
    <w:rsid w:val="005406DC"/>
    <w:rsid w:val="00540812"/>
    <w:rsid w:val="005408D2"/>
    <w:rsid w:val="0054090A"/>
    <w:rsid w:val="005409CF"/>
    <w:rsid w:val="00540AFC"/>
    <w:rsid w:val="00540B2A"/>
    <w:rsid w:val="00540BAF"/>
    <w:rsid w:val="00540C6E"/>
    <w:rsid w:val="00540CF9"/>
    <w:rsid w:val="00540F66"/>
    <w:rsid w:val="005410AA"/>
    <w:rsid w:val="0054114B"/>
    <w:rsid w:val="00541196"/>
    <w:rsid w:val="005411FD"/>
    <w:rsid w:val="00541282"/>
    <w:rsid w:val="00541284"/>
    <w:rsid w:val="005412FB"/>
    <w:rsid w:val="00541309"/>
    <w:rsid w:val="00541349"/>
    <w:rsid w:val="005413DF"/>
    <w:rsid w:val="005415A2"/>
    <w:rsid w:val="005415E0"/>
    <w:rsid w:val="00541731"/>
    <w:rsid w:val="00541819"/>
    <w:rsid w:val="005419DE"/>
    <w:rsid w:val="00541AF6"/>
    <w:rsid w:val="00541C21"/>
    <w:rsid w:val="00541C3A"/>
    <w:rsid w:val="00541C7D"/>
    <w:rsid w:val="00541CA2"/>
    <w:rsid w:val="00541D2B"/>
    <w:rsid w:val="00541DEA"/>
    <w:rsid w:val="00541EB5"/>
    <w:rsid w:val="00541EB9"/>
    <w:rsid w:val="00541EE2"/>
    <w:rsid w:val="00541F25"/>
    <w:rsid w:val="00541FB6"/>
    <w:rsid w:val="00541FF4"/>
    <w:rsid w:val="00541FF6"/>
    <w:rsid w:val="00542160"/>
    <w:rsid w:val="005421EC"/>
    <w:rsid w:val="00542376"/>
    <w:rsid w:val="00542391"/>
    <w:rsid w:val="00542531"/>
    <w:rsid w:val="0054270C"/>
    <w:rsid w:val="00542771"/>
    <w:rsid w:val="00542862"/>
    <w:rsid w:val="00542912"/>
    <w:rsid w:val="00542972"/>
    <w:rsid w:val="00542996"/>
    <w:rsid w:val="005429C4"/>
    <w:rsid w:val="00542B2D"/>
    <w:rsid w:val="00542B55"/>
    <w:rsid w:val="00542B87"/>
    <w:rsid w:val="00542C49"/>
    <w:rsid w:val="00542E3E"/>
    <w:rsid w:val="00542FD3"/>
    <w:rsid w:val="00543191"/>
    <w:rsid w:val="0054331F"/>
    <w:rsid w:val="00543367"/>
    <w:rsid w:val="005433EA"/>
    <w:rsid w:val="005434E5"/>
    <w:rsid w:val="00543564"/>
    <w:rsid w:val="00543602"/>
    <w:rsid w:val="00543690"/>
    <w:rsid w:val="0054370B"/>
    <w:rsid w:val="0054379F"/>
    <w:rsid w:val="00543880"/>
    <w:rsid w:val="00543920"/>
    <w:rsid w:val="00543AF1"/>
    <w:rsid w:val="00543B34"/>
    <w:rsid w:val="00543B3F"/>
    <w:rsid w:val="00543C4F"/>
    <w:rsid w:val="00543CC3"/>
    <w:rsid w:val="00543CCC"/>
    <w:rsid w:val="00543D10"/>
    <w:rsid w:val="00543D52"/>
    <w:rsid w:val="00543DF4"/>
    <w:rsid w:val="00543F3D"/>
    <w:rsid w:val="00543F65"/>
    <w:rsid w:val="00544019"/>
    <w:rsid w:val="005440CF"/>
    <w:rsid w:val="0054424E"/>
    <w:rsid w:val="005442CD"/>
    <w:rsid w:val="00544345"/>
    <w:rsid w:val="005443B2"/>
    <w:rsid w:val="00544432"/>
    <w:rsid w:val="00544446"/>
    <w:rsid w:val="005445FE"/>
    <w:rsid w:val="00544730"/>
    <w:rsid w:val="00544765"/>
    <w:rsid w:val="005447DC"/>
    <w:rsid w:val="005447DF"/>
    <w:rsid w:val="005447F7"/>
    <w:rsid w:val="00544801"/>
    <w:rsid w:val="005448B0"/>
    <w:rsid w:val="0054490A"/>
    <w:rsid w:val="00544A4C"/>
    <w:rsid w:val="00544AE5"/>
    <w:rsid w:val="00544DEF"/>
    <w:rsid w:val="005450F9"/>
    <w:rsid w:val="0054523C"/>
    <w:rsid w:val="00545295"/>
    <w:rsid w:val="005452ED"/>
    <w:rsid w:val="00545429"/>
    <w:rsid w:val="00545510"/>
    <w:rsid w:val="0054558D"/>
    <w:rsid w:val="005457F8"/>
    <w:rsid w:val="005458A7"/>
    <w:rsid w:val="00545954"/>
    <w:rsid w:val="005459DC"/>
    <w:rsid w:val="00545A76"/>
    <w:rsid w:val="00545B29"/>
    <w:rsid w:val="00545D1A"/>
    <w:rsid w:val="00545D2E"/>
    <w:rsid w:val="00545D47"/>
    <w:rsid w:val="00545E2C"/>
    <w:rsid w:val="00545E4F"/>
    <w:rsid w:val="00545F7D"/>
    <w:rsid w:val="0054608A"/>
    <w:rsid w:val="00546246"/>
    <w:rsid w:val="0054624E"/>
    <w:rsid w:val="005462FB"/>
    <w:rsid w:val="00546317"/>
    <w:rsid w:val="00546342"/>
    <w:rsid w:val="00546349"/>
    <w:rsid w:val="005464B8"/>
    <w:rsid w:val="005464C2"/>
    <w:rsid w:val="00546520"/>
    <w:rsid w:val="0054655B"/>
    <w:rsid w:val="0054668F"/>
    <w:rsid w:val="005466EB"/>
    <w:rsid w:val="005467DB"/>
    <w:rsid w:val="005468E0"/>
    <w:rsid w:val="00546A1F"/>
    <w:rsid w:val="00546A71"/>
    <w:rsid w:val="00546A84"/>
    <w:rsid w:val="00546C64"/>
    <w:rsid w:val="00546C91"/>
    <w:rsid w:val="00546CAB"/>
    <w:rsid w:val="00546CD9"/>
    <w:rsid w:val="00546CEC"/>
    <w:rsid w:val="00546DE3"/>
    <w:rsid w:val="00546EA5"/>
    <w:rsid w:val="00546EAA"/>
    <w:rsid w:val="00546EBD"/>
    <w:rsid w:val="00546EF2"/>
    <w:rsid w:val="0054706F"/>
    <w:rsid w:val="0054710D"/>
    <w:rsid w:val="005471AC"/>
    <w:rsid w:val="005471B1"/>
    <w:rsid w:val="00547396"/>
    <w:rsid w:val="005477A5"/>
    <w:rsid w:val="005477F3"/>
    <w:rsid w:val="0054796F"/>
    <w:rsid w:val="005479A3"/>
    <w:rsid w:val="00547A85"/>
    <w:rsid w:val="00547B57"/>
    <w:rsid w:val="00547B6C"/>
    <w:rsid w:val="00547C0B"/>
    <w:rsid w:val="00547ED8"/>
    <w:rsid w:val="00547FC8"/>
    <w:rsid w:val="005500D3"/>
    <w:rsid w:val="005501D6"/>
    <w:rsid w:val="005502CA"/>
    <w:rsid w:val="005502D2"/>
    <w:rsid w:val="0055035B"/>
    <w:rsid w:val="005503BA"/>
    <w:rsid w:val="005503DA"/>
    <w:rsid w:val="005503F1"/>
    <w:rsid w:val="00550636"/>
    <w:rsid w:val="00550687"/>
    <w:rsid w:val="0055083B"/>
    <w:rsid w:val="0055085C"/>
    <w:rsid w:val="00550938"/>
    <w:rsid w:val="00550A20"/>
    <w:rsid w:val="00550C65"/>
    <w:rsid w:val="00550C9F"/>
    <w:rsid w:val="00550D38"/>
    <w:rsid w:val="00550D62"/>
    <w:rsid w:val="00550EF0"/>
    <w:rsid w:val="00550FBF"/>
    <w:rsid w:val="0055106A"/>
    <w:rsid w:val="00551169"/>
    <w:rsid w:val="00551357"/>
    <w:rsid w:val="0055135F"/>
    <w:rsid w:val="00551362"/>
    <w:rsid w:val="0055143B"/>
    <w:rsid w:val="00551479"/>
    <w:rsid w:val="005514BE"/>
    <w:rsid w:val="005514F2"/>
    <w:rsid w:val="00551539"/>
    <w:rsid w:val="00551587"/>
    <w:rsid w:val="005515EE"/>
    <w:rsid w:val="0055161E"/>
    <w:rsid w:val="0055166D"/>
    <w:rsid w:val="00551849"/>
    <w:rsid w:val="005519D9"/>
    <w:rsid w:val="00551AD5"/>
    <w:rsid w:val="00551BD4"/>
    <w:rsid w:val="00551BF9"/>
    <w:rsid w:val="00551C3E"/>
    <w:rsid w:val="00551CF4"/>
    <w:rsid w:val="00551EEB"/>
    <w:rsid w:val="005520D3"/>
    <w:rsid w:val="0055217F"/>
    <w:rsid w:val="005521B7"/>
    <w:rsid w:val="0055223C"/>
    <w:rsid w:val="005522FB"/>
    <w:rsid w:val="00552378"/>
    <w:rsid w:val="00552533"/>
    <w:rsid w:val="00552567"/>
    <w:rsid w:val="0055258F"/>
    <w:rsid w:val="005525EC"/>
    <w:rsid w:val="0055263B"/>
    <w:rsid w:val="00552648"/>
    <w:rsid w:val="00552653"/>
    <w:rsid w:val="0055278C"/>
    <w:rsid w:val="0055279A"/>
    <w:rsid w:val="005527FA"/>
    <w:rsid w:val="00552822"/>
    <w:rsid w:val="00552899"/>
    <w:rsid w:val="00552910"/>
    <w:rsid w:val="00552A22"/>
    <w:rsid w:val="00552B49"/>
    <w:rsid w:val="00552BEA"/>
    <w:rsid w:val="00552BF9"/>
    <w:rsid w:val="00552DCF"/>
    <w:rsid w:val="00552E99"/>
    <w:rsid w:val="00552F57"/>
    <w:rsid w:val="005531BC"/>
    <w:rsid w:val="005531CB"/>
    <w:rsid w:val="00553266"/>
    <w:rsid w:val="005532D0"/>
    <w:rsid w:val="00553343"/>
    <w:rsid w:val="00553370"/>
    <w:rsid w:val="00553398"/>
    <w:rsid w:val="005533FA"/>
    <w:rsid w:val="00553474"/>
    <w:rsid w:val="00553484"/>
    <w:rsid w:val="0055349C"/>
    <w:rsid w:val="005536F8"/>
    <w:rsid w:val="00553794"/>
    <w:rsid w:val="005537A6"/>
    <w:rsid w:val="005538BF"/>
    <w:rsid w:val="005538C1"/>
    <w:rsid w:val="005539AE"/>
    <w:rsid w:val="00553ACD"/>
    <w:rsid w:val="00553BCD"/>
    <w:rsid w:val="00553C13"/>
    <w:rsid w:val="00553C74"/>
    <w:rsid w:val="00553C7C"/>
    <w:rsid w:val="00553C8B"/>
    <w:rsid w:val="00553E22"/>
    <w:rsid w:val="00553F2E"/>
    <w:rsid w:val="0055400D"/>
    <w:rsid w:val="00554092"/>
    <w:rsid w:val="00554232"/>
    <w:rsid w:val="00554277"/>
    <w:rsid w:val="0055429E"/>
    <w:rsid w:val="00554312"/>
    <w:rsid w:val="00554329"/>
    <w:rsid w:val="00554376"/>
    <w:rsid w:val="005543D7"/>
    <w:rsid w:val="0055440C"/>
    <w:rsid w:val="00554434"/>
    <w:rsid w:val="00554453"/>
    <w:rsid w:val="00554545"/>
    <w:rsid w:val="005545DA"/>
    <w:rsid w:val="005546B0"/>
    <w:rsid w:val="005546D1"/>
    <w:rsid w:val="00554960"/>
    <w:rsid w:val="00554965"/>
    <w:rsid w:val="0055496C"/>
    <w:rsid w:val="005549A5"/>
    <w:rsid w:val="00554A0A"/>
    <w:rsid w:val="00554C6B"/>
    <w:rsid w:val="00554C73"/>
    <w:rsid w:val="00554D1D"/>
    <w:rsid w:val="00554E43"/>
    <w:rsid w:val="00554E8B"/>
    <w:rsid w:val="00554EB9"/>
    <w:rsid w:val="00554F00"/>
    <w:rsid w:val="00554F24"/>
    <w:rsid w:val="00554FC5"/>
    <w:rsid w:val="00554FF1"/>
    <w:rsid w:val="00555126"/>
    <w:rsid w:val="00555187"/>
    <w:rsid w:val="005551AA"/>
    <w:rsid w:val="005552BB"/>
    <w:rsid w:val="005553C5"/>
    <w:rsid w:val="005554C7"/>
    <w:rsid w:val="0055552C"/>
    <w:rsid w:val="005555FE"/>
    <w:rsid w:val="005556E6"/>
    <w:rsid w:val="005557F2"/>
    <w:rsid w:val="00555871"/>
    <w:rsid w:val="005559D6"/>
    <w:rsid w:val="00555A05"/>
    <w:rsid w:val="00555A2F"/>
    <w:rsid w:val="00555A31"/>
    <w:rsid w:val="00555A36"/>
    <w:rsid w:val="00555AEC"/>
    <w:rsid w:val="00555BBA"/>
    <w:rsid w:val="00555BE2"/>
    <w:rsid w:val="00555D85"/>
    <w:rsid w:val="00555DB9"/>
    <w:rsid w:val="00555EF3"/>
    <w:rsid w:val="00555F07"/>
    <w:rsid w:val="00555F73"/>
    <w:rsid w:val="005560B0"/>
    <w:rsid w:val="00556110"/>
    <w:rsid w:val="0055612F"/>
    <w:rsid w:val="005561B1"/>
    <w:rsid w:val="005561D9"/>
    <w:rsid w:val="005561E0"/>
    <w:rsid w:val="0055625B"/>
    <w:rsid w:val="00556289"/>
    <w:rsid w:val="005562E8"/>
    <w:rsid w:val="00556423"/>
    <w:rsid w:val="005564D9"/>
    <w:rsid w:val="00556631"/>
    <w:rsid w:val="0055664C"/>
    <w:rsid w:val="00556780"/>
    <w:rsid w:val="00556781"/>
    <w:rsid w:val="005568EC"/>
    <w:rsid w:val="00556DDB"/>
    <w:rsid w:val="00556E8A"/>
    <w:rsid w:val="005570EC"/>
    <w:rsid w:val="00557123"/>
    <w:rsid w:val="0055715C"/>
    <w:rsid w:val="005571AC"/>
    <w:rsid w:val="00557212"/>
    <w:rsid w:val="005575AF"/>
    <w:rsid w:val="0055767E"/>
    <w:rsid w:val="005576AD"/>
    <w:rsid w:val="0055771F"/>
    <w:rsid w:val="005577D7"/>
    <w:rsid w:val="005577DB"/>
    <w:rsid w:val="00557804"/>
    <w:rsid w:val="00557824"/>
    <w:rsid w:val="005578B7"/>
    <w:rsid w:val="00557956"/>
    <w:rsid w:val="005579E9"/>
    <w:rsid w:val="00557CE8"/>
    <w:rsid w:val="00557D89"/>
    <w:rsid w:val="00557DD7"/>
    <w:rsid w:val="00557F5A"/>
    <w:rsid w:val="0056028B"/>
    <w:rsid w:val="005602E0"/>
    <w:rsid w:val="005603B3"/>
    <w:rsid w:val="005603F4"/>
    <w:rsid w:val="00560561"/>
    <w:rsid w:val="0056073B"/>
    <w:rsid w:val="00560756"/>
    <w:rsid w:val="0056091A"/>
    <w:rsid w:val="005609C1"/>
    <w:rsid w:val="00560AC6"/>
    <w:rsid w:val="00560CB0"/>
    <w:rsid w:val="00560CC0"/>
    <w:rsid w:val="00560CE9"/>
    <w:rsid w:val="00560D3B"/>
    <w:rsid w:val="00560D75"/>
    <w:rsid w:val="00560E37"/>
    <w:rsid w:val="00560EA5"/>
    <w:rsid w:val="00560FF6"/>
    <w:rsid w:val="00561082"/>
    <w:rsid w:val="005610E8"/>
    <w:rsid w:val="00561179"/>
    <w:rsid w:val="005611EF"/>
    <w:rsid w:val="005612A4"/>
    <w:rsid w:val="005612AD"/>
    <w:rsid w:val="0056152E"/>
    <w:rsid w:val="005615B5"/>
    <w:rsid w:val="005617AF"/>
    <w:rsid w:val="005617F9"/>
    <w:rsid w:val="005618E2"/>
    <w:rsid w:val="0056191E"/>
    <w:rsid w:val="00561BB4"/>
    <w:rsid w:val="00561C4C"/>
    <w:rsid w:val="00561D00"/>
    <w:rsid w:val="00561DB4"/>
    <w:rsid w:val="00561E82"/>
    <w:rsid w:val="00561F26"/>
    <w:rsid w:val="00561F51"/>
    <w:rsid w:val="00561F7E"/>
    <w:rsid w:val="00562078"/>
    <w:rsid w:val="00562084"/>
    <w:rsid w:val="00562195"/>
    <w:rsid w:val="005622B0"/>
    <w:rsid w:val="0056230E"/>
    <w:rsid w:val="00562342"/>
    <w:rsid w:val="00562374"/>
    <w:rsid w:val="0056237B"/>
    <w:rsid w:val="00562383"/>
    <w:rsid w:val="0056239F"/>
    <w:rsid w:val="0056240F"/>
    <w:rsid w:val="0056259E"/>
    <w:rsid w:val="0056266E"/>
    <w:rsid w:val="0056278F"/>
    <w:rsid w:val="0056287D"/>
    <w:rsid w:val="005628A7"/>
    <w:rsid w:val="005628F2"/>
    <w:rsid w:val="00562A82"/>
    <w:rsid w:val="00562ADF"/>
    <w:rsid w:val="00562C0A"/>
    <w:rsid w:val="00562C27"/>
    <w:rsid w:val="00562E61"/>
    <w:rsid w:val="00562EEA"/>
    <w:rsid w:val="00563123"/>
    <w:rsid w:val="005631EA"/>
    <w:rsid w:val="0056322A"/>
    <w:rsid w:val="0056338E"/>
    <w:rsid w:val="00563394"/>
    <w:rsid w:val="005633E5"/>
    <w:rsid w:val="005633F5"/>
    <w:rsid w:val="0056341C"/>
    <w:rsid w:val="00563434"/>
    <w:rsid w:val="005634A5"/>
    <w:rsid w:val="00563610"/>
    <w:rsid w:val="005636E4"/>
    <w:rsid w:val="00563730"/>
    <w:rsid w:val="00563746"/>
    <w:rsid w:val="005637EC"/>
    <w:rsid w:val="00563904"/>
    <w:rsid w:val="00563971"/>
    <w:rsid w:val="00563ACA"/>
    <w:rsid w:val="00563BFF"/>
    <w:rsid w:val="00563C5F"/>
    <w:rsid w:val="00563C90"/>
    <w:rsid w:val="00563CB1"/>
    <w:rsid w:val="00563EB2"/>
    <w:rsid w:val="00563EBA"/>
    <w:rsid w:val="00563F6C"/>
    <w:rsid w:val="005640DE"/>
    <w:rsid w:val="0056411D"/>
    <w:rsid w:val="005641B0"/>
    <w:rsid w:val="0056428D"/>
    <w:rsid w:val="005642BB"/>
    <w:rsid w:val="0056475C"/>
    <w:rsid w:val="00564782"/>
    <w:rsid w:val="0056488F"/>
    <w:rsid w:val="005648BF"/>
    <w:rsid w:val="00564918"/>
    <w:rsid w:val="0056493C"/>
    <w:rsid w:val="005649B8"/>
    <w:rsid w:val="00564A4D"/>
    <w:rsid w:val="00564BDC"/>
    <w:rsid w:val="00564CC0"/>
    <w:rsid w:val="00564EA0"/>
    <w:rsid w:val="00564F1C"/>
    <w:rsid w:val="00564F59"/>
    <w:rsid w:val="00564F8E"/>
    <w:rsid w:val="005650A5"/>
    <w:rsid w:val="00565178"/>
    <w:rsid w:val="0056531E"/>
    <w:rsid w:val="00565338"/>
    <w:rsid w:val="00565551"/>
    <w:rsid w:val="0056555E"/>
    <w:rsid w:val="00565565"/>
    <w:rsid w:val="00565732"/>
    <w:rsid w:val="005657A9"/>
    <w:rsid w:val="005657DB"/>
    <w:rsid w:val="0056588F"/>
    <w:rsid w:val="00565896"/>
    <w:rsid w:val="005658B8"/>
    <w:rsid w:val="00565B06"/>
    <w:rsid w:val="00565B0A"/>
    <w:rsid w:val="00565B89"/>
    <w:rsid w:val="00565C25"/>
    <w:rsid w:val="00565C3C"/>
    <w:rsid w:val="00565C58"/>
    <w:rsid w:val="00565D94"/>
    <w:rsid w:val="00565DDF"/>
    <w:rsid w:val="00565E7A"/>
    <w:rsid w:val="00565F4A"/>
    <w:rsid w:val="00565F91"/>
    <w:rsid w:val="00565FB3"/>
    <w:rsid w:val="00566134"/>
    <w:rsid w:val="00566197"/>
    <w:rsid w:val="0056619D"/>
    <w:rsid w:val="0056632E"/>
    <w:rsid w:val="0056634D"/>
    <w:rsid w:val="005664F0"/>
    <w:rsid w:val="0056652B"/>
    <w:rsid w:val="0056664D"/>
    <w:rsid w:val="005666A0"/>
    <w:rsid w:val="005666D3"/>
    <w:rsid w:val="005666DA"/>
    <w:rsid w:val="005667C5"/>
    <w:rsid w:val="0056695F"/>
    <w:rsid w:val="00566B79"/>
    <w:rsid w:val="00566B9A"/>
    <w:rsid w:val="00566C3E"/>
    <w:rsid w:val="00566CE6"/>
    <w:rsid w:val="00566D2C"/>
    <w:rsid w:val="00566E1C"/>
    <w:rsid w:val="00566E41"/>
    <w:rsid w:val="00566EBC"/>
    <w:rsid w:val="0056709F"/>
    <w:rsid w:val="005670B1"/>
    <w:rsid w:val="00567184"/>
    <w:rsid w:val="00567224"/>
    <w:rsid w:val="00567239"/>
    <w:rsid w:val="005673EC"/>
    <w:rsid w:val="0056756C"/>
    <w:rsid w:val="005675D8"/>
    <w:rsid w:val="0056760A"/>
    <w:rsid w:val="0056765A"/>
    <w:rsid w:val="00567725"/>
    <w:rsid w:val="00567792"/>
    <w:rsid w:val="005677F3"/>
    <w:rsid w:val="00567821"/>
    <w:rsid w:val="0056788D"/>
    <w:rsid w:val="00567925"/>
    <w:rsid w:val="0056792E"/>
    <w:rsid w:val="0056794B"/>
    <w:rsid w:val="00567963"/>
    <w:rsid w:val="00567B44"/>
    <w:rsid w:val="00567B5E"/>
    <w:rsid w:val="00567BDA"/>
    <w:rsid w:val="00567C55"/>
    <w:rsid w:val="00567CD6"/>
    <w:rsid w:val="00567DDB"/>
    <w:rsid w:val="00567DF9"/>
    <w:rsid w:val="00567E94"/>
    <w:rsid w:val="00567F5C"/>
    <w:rsid w:val="00567F6C"/>
    <w:rsid w:val="00567FE7"/>
    <w:rsid w:val="00567FE9"/>
    <w:rsid w:val="00570140"/>
    <w:rsid w:val="005701FC"/>
    <w:rsid w:val="0057022A"/>
    <w:rsid w:val="0057025A"/>
    <w:rsid w:val="005702D1"/>
    <w:rsid w:val="0057034E"/>
    <w:rsid w:val="005703CE"/>
    <w:rsid w:val="00570427"/>
    <w:rsid w:val="005704D3"/>
    <w:rsid w:val="005706AE"/>
    <w:rsid w:val="005706CF"/>
    <w:rsid w:val="00570860"/>
    <w:rsid w:val="00570899"/>
    <w:rsid w:val="00570934"/>
    <w:rsid w:val="005709D9"/>
    <w:rsid w:val="00570A6E"/>
    <w:rsid w:val="00570AB5"/>
    <w:rsid w:val="00570ABC"/>
    <w:rsid w:val="00570ADE"/>
    <w:rsid w:val="00570D20"/>
    <w:rsid w:val="00570E4B"/>
    <w:rsid w:val="00570E9C"/>
    <w:rsid w:val="00571054"/>
    <w:rsid w:val="005711A1"/>
    <w:rsid w:val="005712D4"/>
    <w:rsid w:val="005712DA"/>
    <w:rsid w:val="0057148D"/>
    <w:rsid w:val="00571581"/>
    <w:rsid w:val="005716D8"/>
    <w:rsid w:val="00571782"/>
    <w:rsid w:val="00571792"/>
    <w:rsid w:val="005717FF"/>
    <w:rsid w:val="005718EF"/>
    <w:rsid w:val="00571BA3"/>
    <w:rsid w:val="00571CE5"/>
    <w:rsid w:val="00571D2C"/>
    <w:rsid w:val="00571D33"/>
    <w:rsid w:val="00571D81"/>
    <w:rsid w:val="00571E0B"/>
    <w:rsid w:val="00571E58"/>
    <w:rsid w:val="00571FD6"/>
    <w:rsid w:val="0057208C"/>
    <w:rsid w:val="005720AE"/>
    <w:rsid w:val="0057222F"/>
    <w:rsid w:val="0057224E"/>
    <w:rsid w:val="0057229F"/>
    <w:rsid w:val="00572331"/>
    <w:rsid w:val="005723F4"/>
    <w:rsid w:val="005724DB"/>
    <w:rsid w:val="005725D7"/>
    <w:rsid w:val="005726D1"/>
    <w:rsid w:val="0057274C"/>
    <w:rsid w:val="0057278A"/>
    <w:rsid w:val="0057286C"/>
    <w:rsid w:val="005728C3"/>
    <w:rsid w:val="005728FC"/>
    <w:rsid w:val="005729E5"/>
    <w:rsid w:val="00572A41"/>
    <w:rsid w:val="00572AF8"/>
    <w:rsid w:val="00572DFD"/>
    <w:rsid w:val="00572E2D"/>
    <w:rsid w:val="00572E38"/>
    <w:rsid w:val="00572F4D"/>
    <w:rsid w:val="00573028"/>
    <w:rsid w:val="00573286"/>
    <w:rsid w:val="0057329A"/>
    <w:rsid w:val="00573324"/>
    <w:rsid w:val="00573505"/>
    <w:rsid w:val="005736F3"/>
    <w:rsid w:val="00573791"/>
    <w:rsid w:val="005737EB"/>
    <w:rsid w:val="0057388B"/>
    <w:rsid w:val="005738AD"/>
    <w:rsid w:val="00573901"/>
    <w:rsid w:val="00573915"/>
    <w:rsid w:val="00573A95"/>
    <w:rsid w:val="00573BD0"/>
    <w:rsid w:val="00573DB5"/>
    <w:rsid w:val="00573E6C"/>
    <w:rsid w:val="00573F7A"/>
    <w:rsid w:val="00573F80"/>
    <w:rsid w:val="005740FA"/>
    <w:rsid w:val="005742D9"/>
    <w:rsid w:val="00574477"/>
    <w:rsid w:val="00574605"/>
    <w:rsid w:val="0057472E"/>
    <w:rsid w:val="005747B9"/>
    <w:rsid w:val="005747F2"/>
    <w:rsid w:val="00574835"/>
    <w:rsid w:val="00574849"/>
    <w:rsid w:val="005748DF"/>
    <w:rsid w:val="00574929"/>
    <w:rsid w:val="00574A1C"/>
    <w:rsid w:val="00574A8E"/>
    <w:rsid w:val="00574C91"/>
    <w:rsid w:val="00574E01"/>
    <w:rsid w:val="00574E99"/>
    <w:rsid w:val="00574F5D"/>
    <w:rsid w:val="00574FD9"/>
    <w:rsid w:val="0057504D"/>
    <w:rsid w:val="00575194"/>
    <w:rsid w:val="00575270"/>
    <w:rsid w:val="005753BA"/>
    <w:rsid w:val="00575452"/>
    <w:rsid w:val="0057550D"/>
    <w:rsid w:val="0057551F"/>
    <w:rsid w:val="0057573B"/>
    <w:rsid w:val="0057585A"/>
    <w:rsid w:val="0057592D"/>
    <w:rsid w:val="00575B1B"/>
    <w:rsid w:val="00575D17"/>
    <w:rsid w:val="00575E1D"/>
    <w:rsid w:val="00576108"/>
    <w:rsid w:val="00576163"/>
    <w:rsid w:val="005763BD"/>
    <w:rsid w:val="00576430"/>
    <w:rsid w:val="005764F6"/>
    <w:rsid w:val="00576539"/>
    <w:rsid w:val="005766A5"/>
    <w:rsid w:val="00576719"/>
    <w:rsid w:val="00576861"/>
    <w:rsid w:val="005768C1"/>
    <w:rsid w:val="005768D3"/>
    <w:rsid w:val="00576906"/>
    <w:rsid w:val="005769E5"/>
    <w:rsid w:val="00576AC9"/>
    <w:rsid w:val="00576B0C"/>
    <w:rsid w:val="00576E6D"/>
    <w:rsid w:val="00576F1E"/>
    <w:rsid w:val="00576F9E"/>
    <w:rsid w:val="00576FA9"/>
    <w:rsid w:val="00577012"/>
    <w:rsid w:val="00577042"/>
    <w:rsid w:val="00577051"/>
    <w:rsid w:val="00577123"/>
    <w:rsid w:val="00577128"/>
    <w:rsid w:val="0057717D"/>
    <w:rsid w:val="005771A5"/>
    <w:rsid w:val="005771B6"/>
    <w:rsid w:val="00577252"/>
    <w:rsid w:val="00577521"/>
    <w:rsid w:val="00577676"/>
    <w:rsid w:val="00577924"/>
    <w:rsid w:val="00577984"/>
    <w:rsid w:val="005779A9"/>
    <w:rsid w:val="005779AA"/>
    <w:rsid w:val="00577B9B"/>
    <w:rsid w:val="00577C96"/>
    <w:rsid w:val="00577D1A"/>
    <w:rsid w:val="00577FF6"/>
    <w:rsid w:val="00580139"/>
    <w:rsid w:val="00580172"/>
    <w:rsid w:val="005801DB"/>
    <w:rsid w:val="0058021E"/>
    <w:rsid w:val="00580255"/>
    <w:rsid w:val="00580413"/>
    <w:rsid w:val="0058045B"/>
    <w:rsid w:val="00580570"/>
    <w:rsid w:val="00580630"/>
    <w:rsid w:val="00580695"/>
    <w:rsid w:val="005807DD"/>
    <w:rsid w:val="005807FC"/>
    <w:rsid w:val="005809F5"/>
    <w:rsid w:val="00580A59"/>
    <w:rsid w:val="00580BF1"/>
    <w:rsid w:val="00580CB1"/>
    <w:rsid w:val="00580CE5"/>
    <w:rsid w:val="00580E53"/>
    <w:rsid w:val="00580ED7"/>
    <w:rsid w:val="00580F99"/>
    <w:rsid w:val="0058106F"/>
    <w:rsid w:val="005810C9"/>
    <w:rsid w:val="00581165"/>
    <w:rsid w:val="005812BF"/>
    <w:rsid w:val="00581326"/>
    <w:rsid w:val="005813B6"/>
    <w:rsid w:val="005813EB"/>
    <w:rsid w:val="005814C6"/>
    <w:rsid w:val="00581559"/>
    <w:rsid w:val="005815AB"/>
    <w:rsid w:val="0058172A"/>
    <w:rsid w:val="00581778"/>
    <w:rsid w:val="0058186C"/>
    <w:rsid w:val="0058191D"/>
    <w:rsid w:val="0058196E"/>
    <w:rsid w:val="00581ABF"/>
    <w:rsid w:val="00581C67"/>
    <w:rsid w:val="00581E67"/>
    <w:rsid w:val="00581EE0"/>
    <w:rsid w:val="00581F1C"/>
    <w:rsid w:val="00582045"/>
    <w:rsid w:val="005820B0"/>
    <w:rsid w:val="0058224D"/>
    <w:rsid w:val="0058225A"/>
    <w:rsid w:val="00582359"/>
    <w:rsid w:val="0058238A"/>
    <w:rsid w:val="0058257C"/>
    <w:rsid w:val="0058257D"/>
    <w:rsid w:val="00582614"/>
    <w:rsid w:val="005826AC"/>
    <w:rsid w:val="00582869"/>
    <w:rsid w:val="0058288A"/>
    <w:rsid w:val="005828BD"/>
    <w:rsid w:val="005828D3"/>
    <w:rsid w:val="00582943"/>
    <w:rsid w:val="005829D1"/>
    <w:rsid w:val="00582A7B"/>
    <w:rsid w:val="00582AD9"/>
    <w:rsid w:val="00582C20"/>
    <w:rsid w:val="00582C4F"/>
    <w:rsid w:val="00582E27"/>
    <w:rsid w:val="00582E70"/>
    <w:rsid w:val="00582E7D"/>
    <w:rsid w:val="00582F14"/>
    <w:rsid w:val="0058317A"/>
    <w:rsid w:val="005831DD"/>
    <w:rsid w:val="005831EF"/>
    <w:rsid w:val="005831FA"/>
    <w:rsid w:val="0058336A"/>
    <w:rsid w:val="0058339F"/>
    <w:rsid w:val="0058364A"/>
    <w:rsid w:val="00583708"/>
    <w:rsid w:val="0058377C"/>
    <w:rsid w:val="005837F0"/>
    <w:rsid w:val="00583811"/>
    <w:rsid w:val="00583896"/>
    <w:rsid w:val="00583BF8"/>
    <w:rsid w:val="00583D2E"/>
    <w:rsid w:val="00583DCA"/>
    <w:rsid w:val="00583EDA"/>
    <w:rsid w:val="00583FF6"/>
    <w:rsid w:val="00584036"/>
    <w:rsid w:val="0058406D"/>
    <w:rsid w:val="005840D2"/>
    <w:rsid w:val="0058418D"/>
    <w:rsid w:val="0058421A"/>
    <w:rsid w:val="00584278"/>
    <w:rsid w:val="00584283"/>
    <w:rsid w:val="0058432D"/>
    <w:rsid w:val="0058437D"/>
    <w:rsid w:val="00584497"/>
    <w:rsid w:val="005844D4"/>
    <w:rsid w:val="00584584"/>
    <w:rsid w:val="00584606"/>
    <w:rsid w:val="00584732"/>
    <w:rsid w:val="0058474B"/>
    <w:rsid w:val="00584844"/>
    <w:rsid w:val="0058494A"/>
    <w:rsid w:val="00584A12"/>
    <w:rsid w:val="00584B1E"/>
    <w:rsid w:val="00584B4A"/>
    <w:rsid w:val="00584CC5"/>
    <w:rsid w:val="00584D51"/>
    <w:rsid w:val="00584D99"/>
    <w:rsid w:val="00584DEB"/>
    <w:rsid w:val="00584E33"/>
    <w:rsid w:val="00584E4A"/>
    <w:rsid w:val="00584F14"/>
    <w:rsid w:val="00584F8E"/>
    <w:rsid w:val="00584FC7"/>
    <w:rsid w:val="00584FDE"/>
    <w:rsid w:val="0058505F"/>
    <w:rsid w:val="0058508D"/>
    <w:rsid w:val="005850DB"/>
    <w:rsid w:val="005850DF"/>
    <w:rsid w:val="005850FE"/>
    <w:rsid w:val="0058513D"/>
    <w:rsid w:val="00585356"/>
    <w:rsid w:val="00585425"/>
    <w:rsid w:val="00585438"/>
    <w:rsid w:val="005856C9"/>
    <w:rsid w:val="005856CF"/>
    <w:rsid w:val="005856DB"/>
    <w:rsid w:val="0058571F"/>
    <w:rsid w:val="00585728"/>
    <w:rsid w:val="00585795"/>
    <w:rsid w:val="0058583E"/>
    <w:rsid w:val="00585876"/>
    <w:rsid w:val="0058592B"/>
    <w:rsid w:val="0058594F"/>
    <w:rsid w:val="00585A59"/>
    <w:rsid w:val="00585A76"/>
    <w:rsid w:val="00585C4F"/>
    <w:rsid w:val="00585C72"/>
    <w:rsid w:val="00585C92"/>
    <w:rsid w:val="00585D49"/>
    <w:rsid w:val="00585D7E"/>
    <w:rsid w:val="00586142"/>
    <w:rsid w:val="0058634D"/>
    <w:rsid w:val="00586363"/>
    <w:rsid w:val="00586431"/>
    <w:rsid w:val="00586475"/>
    <w:rsid w:val="00586490"/>
    <w:rsid w:val="00586554"/>
    <w:rsid w:val="005866B3"/>
    <w:rsid w:val="00586735"/>
    <w:rsid w:val="00586841"/>
    <w:rsid w:val="0058693E"/>
    <w:rsid w:val="00586A28"/>
    <w:rsid w:val="00586A8A"/>
    <w:rsid w:val="00586AC9"/>
    <w:rsid w:val="00586AD1"/>
    <w:rsid w:val="00586B55"/>
    <w:rsid w:val="00586C58"/>
    <w:rsid w:val="00586CEF"/>
    <w:rsid w:val="00586D53"/>
    <w:rsid w:val="00586DA9"/>
    <w:rsid w:val="00586E24"/>
    <w:rsid w:val="00586E2B"/>
    <w:rsid w:val="00586EC3"/>
    <w:rsid w:val="00586ED6"/>
    <w:rsid w:val="00586EE4"/>
    <w:rsid w:val="00586F22"/>
    <w:rsid w:val="00586F7C"/>
    <w:rsid w:val="00586FE1"/>
    <w:rsid w:val="00586FF9"/>
    <w:rsid w:val="0058705B"/>
    <w:rsid w:val="00587089"/>
    <w:rsid w:val="00587139"/>
    <w:rsid w:val="0058716C"/>
    <w:rsid w:val="005871CA"/>
    <w:rsid w:val="0058727F"/>
    <w:rsid w:val="00587339"/>
    <w:rsid w:val="00587396"/>
    <w:rsid w:val="005873A1"/>
    <w:rsid w:val="0058753D"/>
    <w:rsid w:val="005875CC"/>
    <w:rsid w:val="00587655"/>
    <w:rsid w:val="0058777B"/>
    <w:rsid w:val="005878F0"/>
    <w:rsid w:val="00587A07"/>
    <w:rsid w:val="00587AB2"/>
    <w:rsid w:val="00587B4B"/>
    <w:rsid w:val="00587C04"/>
    <w:rsid w:val="00587D4B"/>
    <w:rsid w:val="00587E10"/>
    <w:rsid w:val="00587E37"/>
    <w:rsid w:val="00590108"/>
    <w:rsid w:val="0059014A"/>
    <w:rsid w:val="0059018A"/>
    <w:rsid w:val="005901A5"/>
    <w:rsid w:val="005902B3"/>
    <w:rsid w:val="00590496"/>
    <w:rsid w:val="00590698"/>
    <w:rsid w:val="0059073B"/>
    <w:rsid w:val="00590A27"/>
    <w:rsid w:val="00590A89"/>
    <w:rsid w:val="00590B09"/>
    <w:rsid w:val="00590BA7"/>
    <w:rsid w:val="00590BC8"/>
    <w:rsid w:val="00590BFA"/>
    <w:rsid w:val="00590C1D"/>
    <w:rsid w:val="00590DD6"/>
    <w:rsid w:val="00590E0C"/>
    <w:rsid w:val="00591098"/>
    <w:rsid w:val="005910B9"/>
    <w:rsid w:val="005910C7"/>
    <w:rsid w:val="005911D3"/>
    <w:rsid w:val="005911DA"/>
    <w:rsid w:val="005912B0"/>
    <w:rsid w:val="00591372"/>
    <w:rsid w:val="00591427"/>
    <w:rsid w:val="005914E4"/>
    <w:rsid w:val="00591577"/>
    <w:rsid w:val="005915D0"/>
    <w:rsid w:val="005916B4"/>
    <w:rsid w:val="005917A5"/>
    <w:rsid w:val="00591896"/>
    <w:rsid w:val="00591964"/>
    <w:rsid w:val="00591C83"/>
    <w:rsid w:val="00591D5E"/>
    <w:rsid w:val="00591D65"/>
    <w:rsid w:val="00591D79"/>
    <w:rsid w:val="00591DC8"/>
    <w:rsid w:val="00591DE8"/>
    <w:rsid w:val="00591EAC"/>
    <w:rsid w:val="00591EDE"/>
    <w:rsid w:val="0059205D"/>
    <w:rsid w:val="00592098"/>
    <w:rsid w:val="005920DB"/>
    <w:rsid w:val="005920DE"/>
    <w:rsid w:val="0059210A"/>
    <w:rsid w:val="00592333"/>
    <w:rsid w:val="0059236A"/>
    <w:rsid w:val="00592550"/>
    <w:rsid w:val="00592624"/>
    <w:rsid w:val="00592689"/>
    <w:rsid w:val="0059275B"/>
    <w:rsid w:val="005927FB"/>
    <w:rsid w:val="00592825"/>
    <w:rsid w:val="0059294F"/>
    <w:rsid w:val="005929AC"/>
    <w:rsid w:val="00592C1A"/>
    <w:rsid w:val="00592D2C"/>
    <w:rsid w:val="00592DB0"/>
    <w:rsid w:val="00592DF3"/>
    <w:rsid w:val="00592E66"/>
    <w:rsid w:val="00592EB9"/>
    <w:rsid w:val="00592FB2"/>
    <w:rsid w:val="0059309C"/>
    <w:rsid w:val="005930F0"/>
    <w:rsid w:val="00593215"/>
    <w:rsid w:val="00593294"/>
    <w:rsid w:val="005932BD"/>
    <w:rsid w:val="00593391"/>
    <w:rsid w:val="00593414"/>
    <w:rsid w:val="0059348F"/>
    <w:rsid w:val="005935E6"/>
    <w:rsid w:val="005937D4"/>
    <w:rsid w:val="0059393F"/>
    <w:rsid w:val="0059395A"/>
    <w:rsid w:val="005939F9"/>
    <w:rsid w:val="00593AB8"/>
    <w:rsid w:val="00593C1F"/>
    <w:rsid w:val="00593C4C"/>
    <w:rsid w:val="00593C5F"/>
    <w:rsid w:val="00593CB4"/>
    <w:rsid w:val="00593CCE"/>
    <w:rsid w:val="00593D37"/>
    <w:rsid w:val="00593F2C"/>
    <w:rsid w:val="00594093"/>
    <w:rsid w:val="0059421F"/>
    <w:rsid w:val="00594346"/>
    <w:rsid w:val="0059437A"/>
    <w:rsid w:val="005944B8"/>
    <w:rsid w:val="0059455D"/>
    <w:rsid w:val="005945D9"/>
    <w:rsid w:val="00594717"/>
    <w:rsid w:val="00594721"/>
    <w:rsid w:val="0059481C"/>
    <w:rsid w:val="005948C8"/>
    <w:rsid w:val="00594903"/>
    <w:rsid w:val="00594973"/>
    <w:rsid w:val="005949ED"/>
    <w:rsid w:val="00594ACC"/>
    <w:rsid w:val="00594B53"/>
    <w:rsid w:val="00594BC4"/>
    <w:rsid w:val="00595069"/>
    <w:rsid w:val="00595191"/>
    <w:rsid w:val="00595201"/>
    <w:rsid w:val="005953AD"/>
    <w:rsid w:val="00595536"/>
    <w:rsid w:val="0059553E"/>
    <w:rsid w:val="00595568"/>
    <w:rsid w:val="0059558D"/>
    <w:rsid w:val="005955AC"/>
    <w:rsid w:val="005955AF"/>
    <w:rsid w:val="00595739"/>
    <w:rsid w:val="00595743"/>
    <w:rsid w:val="0059576F"/>
    <w:rsid w:val="00595872"/>
    <w:rsid w:val="00595974"/>
    <w:rsid w:val="005959CD"/>
    <w:rsid w:val="00595AFD"/>
    <w:rsid w:val="00595B8D"/>
    <w:rsid w:val="00595C79"/>
    <w:rsid w:val="00595E1A"/>
    <w:rsid w:val="00595E69"/>
    <w:rsid w:val="00595EDC"/>
    <w:rsid w:val="00595F17"/>
    <w:rsid w:val="005960D0"/>
    <w:rsid w:val="00596150"/>
    <w:rsid w:val="00596151"/>
    <w:rsid w:val="005962FF"/>
    <w:rsid w:val="00596470"/>
    <w:rsid w:val="00596497"/>
    <w:rsid w:val="005964CA"/>
    <w:rsid w:val="005964E2"/>
    <w:rsid w:val="0059650E"/>
    <w:rsid w:val="0059654E"/>
    <w:rsid w:val="005965AB"/>
    <w:rsid w:val="005967C2"/>
    <w:rsid w:val="0059686A"/>
    <w:rsid w:val="005969C4"/>
    <w:rsid w:val="00596AE3"/>
    <w:rsid w:val="00596B2F"/>
    <w:rsid w:val="00596C3C"/>
    <w:rsid w:val="00596D2B"/>
    <w:rsid w:val="00596E9F"/>
    <w:rsid w:val="00596EBA"/>
    <w:rsid w:val="00596EF9"/>
    <w:rsid w:val="00596F21"/>
    <w:rsid w:val="0059703A"/>
    <w:rsid w:val="0059708E"/>
    <w:rsid w:val="005970C5"/>
    <w:rsid w:val="0059715A"/>
    <w:rsid w:val="005971D6"/>
    <w:rsid w:val="00597200"/>
    <w:rsid w:val="0059726C"/>
    <w:rsid w:val="005972D1"/>
    <w:rsid w:val="00597316"/>
    <w:rsid w:val="00597330"/>
    <w:rsid w:val="00597402"/>
    <w:rsid w:val="005975B5"/>
    <w:rsid w:val="0059767D"/>
    <w:rsid w:val="0059778D"/>
    <w:rsid w:val="0059781A"/>
    <w:rsid w:val="00597905"/>
    <w:rsid w:val="00597A76"/>
    <w:rsid w:val="00597BB5"/>
    <w:rsid w:val="00597BB7"/>
    <w:rsid w:val="00597C6E"/>
    <w:rsid w:val="00597CA8"/>
    <w:rsid w:val="00597D12"/>
    <w:rsid w:val="00597D5A"/>
    <w:rsid w:val="005A0028"/>
    <w:rsid w:val="005A0101"/>
    <w:rsid w:val="005A0160"/>
    <w:rsid w:val="005A0288"/>
    <w:rsid w:val="005A05A9"/>
    <w:rsid w:val="005A05D1"/>
    <w:rsid w:val="005A0645"/>
    <w:rsid w:val="005A0670"/>
    <w:rsid w:val="005A07E4"/>
    <w:rsid w:val="005A085E"/>
    <w:rsid w:val="005A08A1"/>
    <w:rsid w:val="005A08F3"/>
    <w:rsid w:val="005A08F4"/>
    <w:rsid w:val="005A092E"/>
    <w:rsid w:val="005A0B9C"/>
    <w:rsid w:val="005A0C04"/>
    <w:rsid w:val="005A0C05"/>
    <w:rsid w:val="005A0C86"/>
    <w:rsid w:val="005A0D6A"/>
    <w:rsid w:val="005A1014"/>
    <w:rsid w:val="005A10E7"/>
    <w:rsid w:val="005A110D"/>
    <w:rsid w:val="005A1230"/>
    <w:rsid w:val="005A1263"/>
    <w:rsid w:val="005A12B5"/>
    <w:rsid w:val="005A1360"/>
    <w:rsid w:val="005A152B"/>
    <w:rsid w:val="005A15FA"/>
    <w:rsid w:val="005A162E"/>
    <w:rsid w:val="005A1714"/>
    <w:rsid w:val="005A1775"/>
    <w:rsid w:val="005A17FC"/>
    <w:rsid w:val="005A180F"/>
    <w:rsid w:val="005A189F"/>
    <w:rsid w:val="005A18F4"/>
    <w:rsid w:val="005A1913"/>
    <w:rsid w:val="005A1A81"/>
    <w:rsid w:val="005A1B13"/>
    <w:rsid w:val="005A1B30"/>
    <w:rsid w:val="005A1BEF"/>
    <w:rsid w:val="005A1C11"/>
    <w:rsid w:val="005A1C17"/>
    <w:rsid w:val="005A1D74"/>
    <w:rsid w:val="005A1F92"/>
    <w:rsid w:val="005A2021"/>
    <w:rsid w:val="005A20A0"/>
    <w:rsid w:val="005A20AA"/>
    <w:rsid w:val="005A2169"/>
    <w:rsid w:val="005A223F"/>
    <w:rsid w:val="005A22FE"/>
    <w:rsid w:val="005A237E"/>
    <w:rsid w:val="005A2388"/>
    <w:rsid w:val="005A23F4"/>
    <w:rsid w:val="005A2441"/>
    <w:rsid w:val="005A244C"/>
    <w:rsid w:val="005A247B"/>
    <w:rsid w:val="005A249D"/>
    <w:rsid w:val="005A24AE"/>
    <w:rsid w:val="005A2526"/>
    <w:rsid w:val="005A25BD"/>
    <w:rsid w:val="005A262D"/>
    <w:rsid w:val="005A2664"/>
    <w:rsid w:val="005A2734"/>
    <w:rsid w:val="005A2973"/>
    <w:rsid w:val="005A29C6"/>
    <w:rsid w:val="005A2A0B"/>
    <w:rsid w:val="005A2A2E"/>
    <w:rsid w:val="005A2AD8"/>
    <w:rsid w:val="005A2B6E"/>
    <w:rsid w:val="005A2B80"/>
    <w:rsid w:val="005A2DC8"/>
    <w:rsid w:val="005A2E0F"/>
    <w:rsid w:val="005A2E7B"/>
    <w:rsid w:val="005A2EBF"/>
    <w:rsid w:val="005A2F5D"/>
    <w:rsid w:val="005A2FE6"/>
    <w:rsid w:val="005A2FEF"/>
    <w:rsid w:val="005A3017"/>
    <w:rsid w:val="005A3035"/>
    <w:rsid w:val="005A3056"/>
    <w:rsid w:val="005A3152"/>
    <w:rsid w:val="005A350C"/>
    <w:rsid w:val="005A3545"/>
    <w:rsid w:val="005A37A5"/>
    <w:rsid w:val="005A37C6"/>
    <w:rsid w:val="005A38D1"/>
    <w:rsid w:val="005A3A08"/>
    <w:rsid w:val="005A3ABE"/>
    <w:rsid w:val="005A3B16"/>
    <w:rsid w:val="005A3BF2"/>
    <w:rsid w:val="005A3D70"/>
    <w:rsid w:val="005A3E4C"/>
    <w:rsid w:val="005A3E92"/>
    <w:rsid w:val="005A3F75"/>
    <w:rsid w:val="005A3F7D"/>
    <w:rsid w:val="005A4020"/>
    <w:rsid w:val="005A4040"/>
    <w:rsid w:val="005A43AC"/>
    <w:rsid w:val="005A451B"/>
    <w:rsid w:val="005A456B"/>
    <w:rsid w:val="005A4719"/>
    <w:rsid w:val="005A4812"/>
    <w:rsid w:val="005A48A7"/>
    <w:rsid w:val="005A48CE"/>
    <w:rsid w:val="005A496D"/>
    <w:rsid w:val="005A49D4"/>
    <w:rsid w:val="005A4A29"/>
    <w:rsid w:val="005A4ADC"/>
    <w:rsid w:val="005A4BF6"/>
    <w:rsid w:val="005A4CE7"/>
    <w:rsid w:val="005A4D89"/>
    <w:rsid w:val="005A4EA3"/>
    <w:rsid w:val="005A4EBA"/>
    <w:rsid w:val="005A51FE"/>
    <w:rsid w:val="005A52F9"/>
    <w:rsid w:val="005A537B"/>
    <w:rsid w:val="005A54AC"/>
    <w:rsid w:val="005A560C"/>
    <w:rsid w:val="005A5615"/>
    <w:rsid w:val="005A5739"/>
    <w:rsid w:val="005A5778"/>
    <w:rsid w:val="005A58BD"/>
    <w:rsid w:val="005A58C9"/>
    <w:rsid w:val="005A58D5"/>
    <w:rsid w:val="005A59C4"/>
    <w:rsid w:val="005A59E1"/>
    <w:rsid w:val="005A5A69"/>
    <w:rsid w:val="005A5B80"/>
    <w:rsid w:val="005A5C64"/>
    <w:rsid w:val="005A5DA6"/>
    <w:rsid w:val="005A5E1B"/>
    <w:rsid w:val="005A5ECB"/>
    <w:rsid w:val="005A5F5E"/>
    <w:rsid w:val="005A5F80"/>
    <w:rsid w:val="005A5F8B"/>
    <w:rsid w:val="005A64DB"/>
    <w:rsid w:val="005A6583"/>
    <w:rsid w:val="005A6599"/>
    <w:rsid w:val="005A65C2"/>
    <w:rsid w:val="005A66FE"/>
    <w:rsid w:val="005A6758"/>
    <w:rsid w:val="005A683F"/>
    <w:rsid w:val="005A688C"/>
    <w:rsid w:val="005A69B2"/>
    <w:rsid w:val="005A69BB"/>
    <w:rsid w:val="005A69DB"/>
    <w:rsid w:val="005A6AB9"/>
    <w:rsid w:val="005A6B69"/>
    <w:rsid w:val="005A6B8A"/>
    <w:rsid w:val="005A6BE9"/>
    <w:rsid w:val="005A6DED"/>
    <w:rsid w:val="005A6E10"/>
    <w:rsid w:val="005A6E99"/>
    <w:rsid w:val="005A6F00"/>
    <w:rsid w:val="005A6F29"/>
    <w:rsid w:val="005A6F2A"/>
    <w:rsid w:val="005A710B"/>
    <w:rsid w:val="005A721B"/>
    <w:rsid w:val="005A727F"/>
    <w:rsid w:val="005A72C4"/>
    <w:rsid w:val="005A7470"/>
    <w:rsid w:val="005A75B9"/>
    <w:rsid w:val="005A7875"/>
    <w:rsid w:val="005A798B"/>
    <w:rsid w:val="005A7A53"/>
    <w:rsid w:val="005A7BE8"/>
    <w:rsid w:val="005A7C3D"/>
    <w:rsid w:val="005A7CD4"/>
    <w:rsid w:val="005A7D10"/>
    <w:rsid w:val="005A7F81"/>
    <w:rsid w:val="005A7FB2"/>
    <w:rsid w:val="005B0042"/>
    <w:rsid w:val="005B0167"/>
    <w:rsid w:val="005B0421"/>
    <w:rsid w:val="005B0472"/>
    <w:rsid w:val="005B0480"/>
    <w:rsid w:val="005B0615"/>
    <w:rsid w:val="005B0632"/>
    <w:rsid w:val="005B06C3"/>
    <w:rsid w:val="005B06C9"/>
    <w:rsid w:val="005B07E6"/>
    <w:rsid w:val="005B081A"/>
    <w:rsid w:val="005B084E"/>
    <w:rsid w:val="005B0877"/>
    <w:rsid w:val="005B0916"/>
    <w:rsid w:val="005B0A40"/>
    <w:rsid w:val="005B0A79"/>
    <w:rsid w:val="005B0ADA"/>
    <w:rsid w:val="005B0BA7"/>
    <w:rsid w:val="005B0C05"/>
    <w:rsid w:val="005B0C60"/>
    <w:rsid w:val="005B0DE1"/>
    <w:rsid w:val="005B0E30"/>
    <w:rsid w:val="005B0E93"/>
    <w:rsid w:val="005B0EFA"/>
    <w:rsid w:val="005B0EFB"/>
    <w:rsid w:val="005B10AA"/>
    <w:rsid w:val="005B11C0"/>
    <w:rsid w:val="005B13CE"/>
    <w:rsid w:val="005B1449"/>
    <w:rsid w:val="005B1485"/>
    <w:rsid w:val="005B1490"/>
    <w:rsid w:val="005B153D"/>
    <w:rsid w:val="005B15DC"/>
    <w:rsid w:val="005B160C"/>
    <w:rsid w:val="005B164D"/>
    <w:rsid w:val="005B1697"/>
    <w:rsid w:val="005B169F"/>
    <w:rsid w:val="005B16E5"/>
    <w:rsid w:val="005B1762"/>
    <w:rsid w:val="005B1B31"/>
    <w:rsid w:val="005B1E0F"/>
    <w:rsid w:val="005B1E1F"/>
    <w:rsid w:val="005B1E7F"/>
    <w:rsid w:val="005B1ED7"/>
    <w:rsid w:val="005B1F1B"/>
    <w:rsid w:val="005B1F70"/>
    <w:rsid w:val="005B1FA1"/>
    <w:rsid w:val="005B215E"/>
    <w:rsid w:val="005B2188"/>
    <w:rsid w:val="005B21C5"/>
    <w:rsid w:val="005B21E0"/>
    <w:rsid w:val="005B223E"/>
    <w:rsid w:val="005B2258"/>
    <w:rsid w:val="005B2281"/>
    <w:rsid w:val="005B22C5"/>
    <w:rsid w:val="005B2383"/>
    <w:rsid w:val="005B24BB"/>
    <w:rsid w:val="005B25AF"/>
    <w:rsid w:val="005B26D9"/>
    <w:rsid w:val="005B27F1"/>
    <w:rsid w:val="005B292B"/>
    <w:rsid w:val="005B2A9A"/>
    <w:rsid w:val="005B2AEF"/>
    <w:rsid w:val="005B2CB5"/>
    <w:rsid w:val="005B2D8D"/>
    <w:rsid w:val="005B2D9C"/>
    <w:rsid w:val="005B313A"/>
    <w:rsid w:val="005B31AD"/>
    <w:rsid w:val="005B3248"/>
    <w:rsid w:val="005B32A2"/>
    <w:rsid w:val="005B3428"/>
    <w:rsid w:val="005B3434"/>
    <w:rsid w:val="005B34B9"/>
    <w:rsid w:val="005B3655"/>
    <w:rsid w:val="005B36BA"/>
    <w:rsid w:val="005B3764"/>
    <w:rsid w:val="005B390B"/>
    <w:rsid w:val="005B3AAD"/>
    <w:rsid w:val="005B3AB9"/>
    <w:rsid w:val="005B3C8C"/>
    <w:rsid w:val="005B3CC7"/>
    <w:rsid w:val="005B3EF8"/>
    <w:rsid w:val="005B3EFC"/>
    <w:rsid w:val="005B41A8"/>
    <w:rsid w:val="005B41C0"/>
    <w:rsid w:val="005B4282"/>
    <w:rsid w:val="005B428A"/>
    <w:rsid w:val="005B42DA"/>
    <w:rsid w:val="005B448B"/>
    <w:rsid w:val="005B4494"/>
    <w:rsid w:val="005B44A3"/>
    <w:rsid w:val="005B44D7"/>
    <w:rsid w:val="005B4536"/>
    <w:rsid w:val="005B4573"/>
    <w:rsid w:val="005B457F"/>
    <w:rsid w:val="005B4722"/>
    <w:rsid w:val="005B4766"/>
    <w:rsid w:val="005B487F"/>
    <w:rsid w:val="005B4963"/>
    <w:rsid w:val="005B4A2E"/>
    <w:rsid w:val="005B4C8D"/>
    <w:rsid w:val="005B4E93"/>
    <w:rsid w:val="005B502C"/>
    <w:rsid w:val="005B5039"/>
    <w:rsid w:val="005B51C5"/>
    <w:rsid w:val="005B51FD"/>
    <w:rsid w:val="005B528D"/>
    <w:rsid w:val="005B52F5"/>
    <w:rsid w:val="005B5502"/>
    <w:rsid w:val="005B5633"/>
    <w:rsid w:val="005B5643"/>
    <w:rsid w:val="005B572F"/>
    <w:rsid w:val="005B5746"/>
    <w:rsid w:val="005B579D"/>
    <w:rsid w:val="005B57C1"/>
    <w:rsid w:val="005B57EE"/>
    <w:rsid w:val="005B597E"/>
    <w:rsid w:val="005B59EB"/>
    <w:rsid w:val="005B5B1C"/>
    <w:rsid w:val="005B5B2A"/>
    <w:rsid w:val="005B5CA8"/>
    <w:rsid w:val="005B5F13"/>
    <w:rsid w:val="005B60AB"/>
    <w:rsid w:val="005B6128"/>
    <w:rsid w:val="005B6144"/>
    <w:rsid w:val="005B6189"/>
    <w:rsid w:val="005B6209"/>
    <w:rsid w:val="005B626C"/>
    <w:rsid w:val="005B627B"/>
    <w:rsid w:val="005B6282"/>
    <w:rsid w:val="005B62AC"/>
    <w:rsid w:val="005B64B3"/>
    <w:rsid w:val="005B64CC"/>
    <w:rsid w:val="005B6553"/>
    <w:rsid w:val="005B66D6"/>
    <w:rsid w:val="005B68B3"/>
    <w:rsid w:val="005B6904"/>
    <w:rsid w:val="005B694A"/>
    <w:rsid w:val="005B6A1E"/>
    <w:rsid w:val="005B6AE9"/>
    <w:rsid w:val="005B6B8D"/>
    <w:rsid w:val="005B6C56"/>
    <w:rsid w:val="005B6DB5"/>
    <w:rsid w:val="005B6E86"/>
    <w:rsid w:val="005B6E88"/>
    <w:rsid w:val="005B6F32"/>
    <w:rsid w:val="005B6FA1"/>
    <w:rsid w:val="005B6FDA"/>
    <w:rsid w:val="005B6FF4"/>
    <w:rsid w:val="005B6FF7"/>
    <w:rsid w:val="005B70D2"/>
    <w:rsid w:val="005B70F2"/>
    <w:rsid w:val="005B7284"/>
    <w:rsid w:val="005B7342"/>
    <w:rsid w:val="005B7347"/>
    <w:rsid w:val="005B736E"/>
    <w:rsid w:val="005B74D1"/>
    <w:rsid w:val="005B75A6"/>
    <w:rsid w:val="005B767A"/>
    <w:rsid w:val="005B7B31"/>
    <w:rsid w:val="005B7B95"/>
    <w:rsid w:val="005B7C14"/>
    <w:rsid w:val="005B7D46"/>
    <w:rsid w:val="005B7D52"/>
    <w:rsid w:val="005B7E4D"/>
    <w:rsid w:val="005B7F2C"/>
    <w:rsid w:val="005C0179"/>
    <w:rsid w:val="005C0216"/>
    <w:rsid w:val="005C0246"/>
    <w:rsid w:val="005C0313"/>
    <w:rsid w:val="005C0344"/>
    <w:rsid w:val="005C0509"/>
    <w:rsid w:val="005C081B"/>
    <w:rsid w:val="005C08DA"/>
    <w:rsid w:val="005C08F3"/>
    <w:rsid w:val="005C098C"/>
    <w:rsid w:val="005C0A07"/>
    <w:rsid w:val="005C0A20"/>
    <w:rsid w:val="005C0AC0"/>
    <w:rsid w:val="005C109B"/>
    <w:rsid w:val="005C10CF"/>
    <w:rsid w:val="005C10E8"/>
    <w:rsid w:val="005C11E0"/>
    <w:rsid w:val="005C1368"/>
    <w:rsid w:val="005C13B2"/>
    <w:rsid w:val="005C1413"/>
    <w:rsid w:val="005C14FD"/>
    <w:rsid w:val="005C1581"/>
    <w:rsid w:val="005C15AF"/>
    <w:rsid w:val="005C1606"/>
    <w:rsid w:val="005C164E"/>
    <w:rsid w:val="005C16A4"/>
    <w:rsid w:val="005C16BC"/>
    <w:rsid w:val="005C16C5"/>
    <w:rsid w:val="005C176D"/>
    <w:rsid w:val="005C17C4"/>
    <w:rsid w:val="005C1848"/>
    <w:rsid w:val="005C18F8"/>
    <w:rsid w:val="005C19DC"/>
    <w:rsid w:val="005C1B0A"/>
    <w:rsid w:val="005C1B15"/>
    <w:rsid w:val="005C1C2B"/>
    <w:rsid w:val="005C1C46"/>
    <w:rsid w:val="005C1D21"/>
    <w:rsid w:val="005C1D91"/>
    <w:rsid w:val="005C1DB2"/>
    <w:rsid w:val="005C1DD7"/>
    <w:rsid w:val="005C21EB"/>
    <w:rsid w:val="005C229E"/>
    <w:rsid w:val="005C22C5"/>
    <w:rsid w:val="005C245B"/>
    <w:rsid w:val="005C256F"/>
    <w:rsid w:val="005C25C2"/>
    <w:rsid w:val="005C28F7"/>
    <w:rsid w:val="005C2943"/>
    <w:rsid w:val="005C2997"/>
    <w:rsid w:val="005C29FD"/>
    <w:rsid w:val="005C2A3B"/>
    <w:rsid w:val="005C2A84"/>
    <w:rsid w:val="005C2AC3"/>
    <w:rsid w:val="005C2BB2"/>
    <w:rsid w:val="005C2C5C"/>
    <w:rsid w:val="005C2C6C"/>
    <w:rsid w:val="005C2DA0"/>
    <w:rsid w:val="005C2E6F"/>
    <w:rsid w:val="005C2E95"/>
    <w:rsid w:val="005C3136"/>
    <w:rsid w:val="005C3268"/>
    <w:rsid w:val="005C3270"/>
    <w:rsid w:val="005C3320"/>
    <w:rsid w:val="005C35BC"/>
    <w:rsid w:val="005C372E"/>
    <w:rsid w:val="005C3778"/>
    <w:rsid w:val="005C3953"/>
    <w:rsid w:val="005C397C"/>
    <w:rsid w:val="005C397E"/>
    <w:rsid w:val="005C39D4"/>
    <w:rsid w:val="005C3B08"/>
    <w:rsid w:val="005C3BC7"/>
    <w:rsid w:val="005C3C21"/>
    <w:rsid w:val="005C3CB0"/>
    <w:rsid w:val="005C40BB"/>
    <w:rsid w:val="005C4179"/>
    <w:rsid w:val="005C4268"/>
    <w:rsid w:val="005C426E"/>
    <w:rsid w:val="005C42A0"/>
    <w:rsid w:val="005C42F3"/>
    <w:rsid w:val="005C431F"/>
    <w:rsid w:val="005C435A"/>
    <w:rsid w:val="005C4366"/>
    <w:rsid w:val="005C44F0"/>
    <w:rsid w:val="005C452E"/>
    <w:rsid w:val="005C4552"/>
    <w:rsid w:val="005C46D7"/>
    <w:rsid w:val="005C47D4"/>
    <w:rsid w:val="005C4812"/>
    <w:rsid w:val="005C4861"/>
    <w:rsid w:val="005C4865"/>
    <w:rsid w:val="005C4935"/>
    <w:rsid w:val="005C4982"/>
    <w:rsid w:val="005C4A69"/>
    <w:rsid w:val="005C4A80"/>
    <w:rsid w:val="005C4AE9"/>
    <w:rsid w:val="005C4BC2"/>
    <w:rsid w:val="005C4C65"/>
    <w:rsid w:val="005C4D1D"/>
    <w:rsid w:val="005C4EBE"/>
    <w:rsid w:val="005C4EEB"/>
    <w:rsid w:val="005C4F69"/>
    <w:rsid w:val="005C50FD"/>
    <w:rsid w:val="005C5254"/>
    <w:rsid w:val="005C52EC"/>
    <w:rsid w:val="005C53D6"/>
    <w:rsid w:val="005C555C"/>
    <w:rsid w:val="005C55CE"/>
    <w:rsid w:val="005C5656"/>
    <w:rsid w:val="005C5686"/>
    <w:rsid w:val="005C5703"/>
    <w:rsid w:val="005C59FB"/>
    <w:rsid w:val="005C5AB5"/>
    <w:rsid w:val="005C5BB8"/>
    <w:rsid w:val="005C5C07"/>
    <w:rsid w:val="005C5C39"/>
    <w:rsid w:val="005C5E03"/>
    <w:rsid w:val="005C5ED1"/>
    <w:rsid w:val="005C5F38"/>
    <w:rsid w:val="005C6028"/>
    <w:rsid w:val="005C6065"/>
    <w:rsid w:val="005C608C"/>
    <w:rsid w:val="005C6116"/>
    <w:rsid w:val="005C620C"/>
    <w:rsid w:val="005C62F8"/>
    <w:rsid w:val="005C6315"/>
    <w:rsid w:val="005C63D0"/>
    <w:rsid w:val="005C64B1"/>
    <w:rsid w:val="005C6609"/>
    <w:rsid w:val="005C682F"/>
    <w:rsid w:val="005C6854"/>
    <w:rsid w:val="005C68CB"/>
    <w:rsid w:val="005C69B5"/>
    <w:rsid w:val="005C69DA"/>
    <w:rsid w:val="005C6B1E"/>
    <w:rsid w:val="005C6BE2"/>
    <w:rsid w:val="005C6C23"/>
    <w:rsid w:val="005C6C95"/>
    <w:rsid w:val="005C6D6A"/>
    <w:rsid w:val="005C6D8B"/>
    <w:rsid w:val="005C6E05"/>
    <w:rsid w:val="005C6EBA"/>
    <w:rsid w:val="005C6EC7"/>
    <w:rsid w:val="005C6EFE"/>
    <w:rsid w:val="005C71C9"/>
    <w:rsid w:val="005C7259"/>
    <w:rsid w:val="005C7345"/>
    <w:rsid w:val="005C734F"/>
    <w:rsid w:val="005C7396"/>
    <w:rsid w:val="005C74FB"/>
    <w:rsid w:val="005C7556"/>
    <w:rsid w:val="005C75C4"/>
    <w:rsid w:val="005C776D"/>
    <w:rsid w:val="005C7799"/>
    <w:rsid w:val="005C7B3D"/>
    <w:rsid w:val="005C7B5D"/>
    <w:rsid w:val="005C7BBD"/>
    <w:rsid w:val="005C7C24"/>
    <w:rsid w:val="005C7C3C"/>
    <w:rsid w:val="005C7E85"/>
    <w:rsid w:val="005C7F73"/>
    <w:rsid w:val="005D02EC"/>
    <w:rsid w:val="005D031A"/>
    <w:rsid w:val="005D03E5"/>
    <w:rsid w:val="005D045D"/>
    <w:rsid w:val="005D060E"/>
    <w:rsid w:val="005D0739"/>
    <w:rsid w:val="005D0748"/>
    <w:rsid w:val="005D075A"/>
    <w:rsid w:val="005D07AC"/>
    <w:rsid w:val="005D0864"/>
    <w:rsid w:val="005D08AF"/>
    <w:rsid w:val="005D0946"/>
    <w:rsid w:val="005D0A42"/>
    <w:rsid w:val="005D0C4B"/>
    <w:rsid w:val="005D0CEE"/>
    <w:rsid w:val="005D0D8C"/>
    <w:rsid w:val="005D0E67"/>
    <w:rsid w:val="005D0F12"/>
    <w:rsid w:val="005D10D9"/>
    <w:rsid w:val="005D1144"/>
    <w:rsid w:val="005D11C4"/>
    <w:rsid w:val="005D1206"/>
    <w:rsid w:val="005D1277"/>
    <w:rsid w:val="005D14A8"/>
    <w:rsid w:val="005D151B"/>
    <w:rsid w:val="005D1600"/>
    <w:rsid w:val="005D1745"/>
    <w:rsid w:val="005D1828"/>
    <w:rsid w:val="005D1885"/>
    <w:rsid w:val="005D189C"/>
    <w:rsid w:val="005D18B8"/>
    <w:rsid w:val="005D1904"/>
    <w:rsid w:val="005D1A39"/>
    <w:rsid w:val="005D1B4D"/>
    <w:rsid w:val="005D1BDF"/>
    <w:rsid w:val="005D1C34"/>
    <w:rsid w:val="005D1D71"/>
    <w:rsid w:val="005D1E7D"/>
    <w:rsid w:val="005D1F01"/>
    <w:rsid w:val="005D1F4C"/>
    <w:rsid w:val="005D1FD7"/>
    <w:rsid w:val="005D201C"/>
    <w:rsid w:val="005D20B7"/>
    <w:rsid w:val="005D212E"/>
    <w:rsid w:val="005D21B5"/>
    <w:rsid w:val="005D23A5"/>
    <w:rsid w:val="005D23FA"/>
    <w:rsid w:val="005D24B1"/>
    <w:rsid w:val="005D25A4"/>
    <w:rsid w:val="005D25DF"/>
    <w:rsid w:val="005D2683"/>
    <w:rsid w:val="005D26BC"/>
    <w:rsid w:val="005D27C1"/>
    <w:rsid w:val="005D2846"/>
    <w:rsid w:val="005D287E"/>
    <w:rsid w:val="005D28C0"/>
    <w:rsid w:val="005D2976"/>
    <w:rsid w:val="005D297D"/>
    <w:rsid w:val="005D2AEC"/>
    <w:rsid w:val="005D2B03"/>
    <w:rsid w:val="005D2B3D"/>
    <w:rsid w:val="005D2C0E"/>
    <w:rsid w:val="005D2C50"/>
    <w:rsid w:val="005D2D00"/>
    <w:rsid w:val="005D2DA5"/>
    <w:rsid w:val="005D30FB"/>
    <w:rsid w:val="005D31DF"/>
    <w:rsid w:val="005D31F5"/>
    <w:rsid w:val="005D32E2"/>
    <w:rsid w:val="005D331E"/>
    <w:rsid w:val="005D3339"/>
    <w:rsid w:val="005D339D"/>
    <w:rsid w:val="005D33B7"/>
    <w:rsid w:val="005D33F8"/>
    <w:rsid w:val="005D35BB"/>
    <w:rsid w:val="005D35DE"/>
    <w:rsid w:val="005D3761"/>
    <w:rsid w:val="005D38E4"/>
    <w:rsid w:val="005D3923"/>
    <w:rsid w:val="005D3941"/>
    <w:rsid w:val="005D39DD"/>
    <w:rsid w:val="005D3A5D"/>
    <w:rsid w:val="005D3A8C"/>
    <w:rsid w:val="005D3B8B"/>
    <w:rsid w:val="005D3C31"/>
    <w:rsid w:val="005D3CA5"/>
    <w:rsid w:val="005D3CE2"/>
    <w:rsid w:val="005D3CF0"/>
    <w:rsid w:val="005D3D27"/>
    <w:rsid w:val="005D3E9D"/>
    <w:rsid w:val="005D3EAE"/>
    <w:rsid w:val="005D3F2D"/>
    <w:rsid w:val="005D4020"/>
    <w:rsid w:val="005D4079"/>
    <w:rsid w:val="005D407D"/>
    <w:rsid w:val="005D4124"/>
    <w:rsid w:val="005D42BD"/>
    <w:rsid w:val="005D44FC"/>
    <w:rsid w:val="005D4544"/>
    <w:rsid w:val="005D45E6"/>
    <w:rsid w:val="005D4749"/>
    <w:rsid w:val="005D47EC"/>
    <w:rsid w:val="005D47F8"/>
    <w:rsid w:val="005D4885"/>
    <w:rsid w:val="005D48E1"/>
    <w:rsid w:val="005D49B0"/>
    <w:rsid w:val="005D4A26"/>
    <w:rsid w:val="005D4AB8"/>
    <w:rsid w:val="005D4AE1"/>
    <w:rsid w:val="005D4C75"/>
    <w:rsid w:val="005D4C84"/>
    <w:rsid w:val="005D4D1F"/>
    <w:rsid w:val="005D4E32"/>
    <w:rsid w:val="005D4F4E"/>
    <w:rsid w:val="005D4FFA"/>
    <w:rsid w:val="005D5015"/>
    <w:rsid w:val="005D5098"/>
    <w:rsid w:val="005D5116"/>
    <w:rsid w:val="005D512D"/>
    <w:rsid w:val="005D528C"/>
    <w:rsid w:val="005D5475"/>
    <w:rsid w:val="005D5484"/>
    <w:rsid w:val="005D5519"/>
    <w:rsid w:val="005D5557"/>
    <w:rsid w:val="005D55E4"/>
    <w:rsid w:val="005D570E"/>
    <w:rsid w:val="005D583D"/>
    <w:rsid w:val="005D5846"/>
    <w:rsid w:val="005D58D5"/>
    <w:rsid w:val="005D5A87"/>
    <w:rsid w:val="005D5AB2"/>
    <w:rsid w:val="005D5C5C"/>
    <w:rsid w:val="005D5C94"/>
    <w:rsid w:val="005D5CE0"/>
    <w:rsid w:val="005D5E7C"/>
    <w:rsid w:val="005D5ED2"/>
    <w:rsid w:val="005D5FA0"/>
    <w:rsid w:val="005D6097"/>
    <w:rsid w:val="005D60AA"/>
    <w:rsid w:val="005D6144"/>
    <w:rsid w:val="005D649E"/>
    <w:rsid w:val="005D65C5"/>
    <w:rsid w:val="005D65CB"/>
    <w:rsid w:val="005D683C"/>
    <w:rsid w:val="005D6BB9"/>
    <w:rsid w:val="005D6CB9"/>
    <w:rsid w:val="005D6CCD"/>
    <w:rsid w:val="005D6D04"/>
    <w:rsid w:val="005D6D33"/>
    <w:rsid w:val="005D6E10"/>
    <w:rsid w:val="005D6E16"/>
    <w:rsid w:val="005D6F6C"/>
    <w:rsid w:val="005D6F84"/>
    <w:rsid w:val="005D70FB"/>
    <w:rsid w:val="005D7151"/>
    <w:rsid w:val="005D7179"/>
    <w:rsid w:val="005D71C5"/>
    <w:rsid w:val="005D7233"/>
    <w:rsid w:val="005D73B7"/>
    <w:rsid w:val="005D73C4"/>
    <w:rsid w:val="005D73FA"/>
    <w:rsid w:val="005D74E9"/>
    <w:rsid w:val="005D757B"/>
    <w:rsid w:val="005D7863"/>
    <w:rsid w:val="005D7903"/>
    <w:rsid w:val="005D793B"/>
    <w:rsid w:val="005D79A2"/>
    <w:rsid w:val="005D79B6"/>
    <w:rsid w:val="005D79F1"/>
    <w:rsid w:val="005D7B15"/>
    <w:rsid w:val="005D7C17"/>
    <w:rsid w:val="005D7D07"/>
    <w:rsid w:val="005D7E09"/>
    <w:rsid w:val="005D7E46"/>
    <w:rsid w:val="005D7E9F"/>
    <w:rsid w:val="005D7EDD"/>
    <w:rsid w:val="005E005C"/>
    <w:rsid w:val="005E00CE"/>
    <w:rsid w:val="005E0142"/>
    <w:rsid w:val="005E014F"/>
    <w:rsid w:val="005E01FD"/>
    <w:rsid w:val="005E028D"/>
    <w:rsid w:val="005E02B2"/>
    <w:rsid w:val="005E02CB"/>
    <w:rsid w:val="005E02ED"/>
    <w:rsid w:val="005E0313"/>
    <w:rsid w:val="005E0396"/>
    <w:rsid w:val="005E03A4"/>
    <w:rsid w:val="005E049B"/>
    <w:rsid w:val="005E049F"/>
    <w:rsid w:val="005E04A7"/>
    <w:rsid w:val="005E04CC"/>
    <w:rsid w:val="005E0525"/>
    <w:rsid w:val="005E0595"/>
    <w:rsid w:val="005E05C4"/>
    <w:rsid w:val="005E05DE"/>
    <w:rsid w:val="005E065C"/>
    <w:rsid w:val="005E068B"/>
    <w:rsid w:val="005E0849"/>
    <w:rsid w:val="005E0971"/>
    <w:rsid w:val="005E0A05"/>
    <w:rsid w:val="005E0BBC"/>
    <w:rsid w:val="005E0C21"/>
    <w:rsid w:val="005E0C56"/>
    <w:rsid w:val="005E1108"/>
    <w:rsid w:val="005E1278"/>
    <w:rsid w:val="005E1292"/>
    <w:rsid w:val="005E132E"/>
    <w:rsid w:val="005E138B"/>
    <w:rsid w:val="005E1417"/>
    <w:rsid w:val="005E14A7"/>
    <w:rsid w:val="005E14DE"/>
    <w:rsid w:val="005E14FF"/>
    <w:rsid w:val="005E1688"/>
    <w:rsid w:val="005E16DC"/>
    <w:rsid w:val="005E1774"/>
    <w:rsid w:val="005E18BC"/>
    <w:rsid w:val="005E18F3"/>
    <w:rsid w:val="005E195D"/>
    <w:rsid w:val="005E1981"/>
    <w:rsid w:val="005E1B9F"/>
    <w:rsid w:val="005E1D42"/>
    <w:rsid w:val="005E1D81"/>
    <w:rsid w:val="005E1F83"/>
    <w:rsid w:val="005E202C"/>
    <w:rsid w:val="005E2133"/>
    <w:rsid w:val="005E2135"/>
    <w:rsid w:val="005E2165"/>
    <w:rsid w:val="005E2178"/>
    <w:rsid w:val="005E2259"/>
    <w:rsid w:val="005E246E"/>
    <w:rsid w:val="005E24A5"/>
    <w:rsid w:val="005E25B0"/>
    <w:rsid w:val="005E264E"/>
    <w:rsid w:val="005E26E0"/>
    <w:rsid w:val="005E27CE"/>
    <w:rsid w:val="005E28B0"/>
    <w:rsid w:val="005E294B"/>
    <w:rsid w:val="005E298A"/>
    <w:rsid w:val="005E29CA"/>
    <w:rsid w:val="005E29F1"/>
    <w:rsid w:val="005E2A5A"/>
    <w:rsid w:val="005E2AF3"/>
    <w:rsid w:val="005E2B0F"/>
    <w:rsid w:val="005E2B21"/>
    <w:rsid w:val="005E2BE0"/>
    <w:rsid w:val="005E2D0C"/>
    <w:rsid w:val="005E2D34"/>
    <w:rsid w:val="005E2DCC"/>
    <w:rsid w:val="005E2F39"/>
    <w:rsid w:val="005E3086"/>
    <w:rsid w:val="005E32FF"/>
    <w:rsid w:val="005E3463"/>
    <w:rsid w:val="005E34D8"/>
    <w:rsid w:val="005E350E"/>
    <w:rsid w:val="005E357C"/>
    <w:rsid w:val="005E36D0"/>
    <w:rsid w:val="005E37F1"/>
    <w:rsid w:val="005E389D"/>
    <w:rsid w:val="005E3BF8"/>
    <w:rsid w:val="005E3C9D"/>
    <w:rsid w:val="005E3C9F"/>
    <w:rsid w:val="005E3FDB"/>
    <w:rsid w:val="005E41C7"/>
    <w:rsid w:val="005E42FD"/>
    <w:rsid w:val="005E4319"/>
    <w:rsid w:val="005E4335"/>
    <w:rsid w:val="005E4558"/>
    <w:rsid w:val="005E4575"/>
    <w:rsid w:val="005E4668"/>
    <w:rsid w:val="005E481E"/>
    <w:rsid w:val="005E483A"/>
    <w:rsid w:val="005E485A"/>
    <w:rsid w:val="005E489C"/>
    <w:rsid w:val="005E48DB"/>
    <w:rsid w:val="005E4941"/>
    <w:rsid w:val="005E49C4"/>
    <w:rsid w:val="005E4BB6"/>
    <w:rsid w:val="005E4D6E"/>
    <w:rsid w:val="005E4D7F"/>
    <w:rsid w:val="005E4ECF"/>
    <w:rsid w:val="005E4EE4"/>
    <w:rsid w:val="005E4F41"/>
    <w:rsid w:val="005E5013"/>
    <w:rsid w:val="005E5061"/>
    <w:rsid w:val="005E50D4"/>
    <w:rsid w:val="005E50DE"/>
    <w:rsid w:val="005E54FF"/>
    <w:rsid w:val="005E554E"/>
    <w:rsid w:val="005E5635"/>
    <w:rsid w:val="005E5765"/>
    <w:rsid w:val="005E58DA"/>
    <w:rsid w:val="005E5951"/>
    <w:rsid w:val="005E595C"/>
    <w:rsid w:val="005E596E"/>
    <w:rsid w:val="005E5A64"/>
    <w:rsid w:val="005E5A8A"/>
    <w:rsid w:val="005E5B82"/>
    <w:rsid w:val="005E5BDE"/>
    <w:rsid w:val="005E5C50"/>
    <w:rsid w:val="005E5D4F"/>
    <w:rsid w:val="005E5E0F"/>
    <w:rsid w:val="005E5E72"/>
    <w:rsid w:val="005E5F7F"/>
    <w:rsid w:val="005E6013"/>
    <w:rsid w:val="005E60D5"/>
    <w:rsid w:val="005E62A4"/>
    <w:rsid w:val="005E62BC"/>
    <w:rsid w:val="005E62E4"/>
    <w:rsid w:val="005E6309"/>
    <w:rsid w:val="005E6356"/>
    <w:rsid w:val="005E63B6"/>
    <w:rsid w:val="005E6493"/>
    <w:rsid w:val="005E6533"/>
    <w:rsid w:val="005E65CA"/>
    <w:rsid w:val="005E65FA"/>
    <w:rsid w:val="005E6680"/>
    <w:rsid w:val="005E6718"/>
    <w:rsid w:val="005E6764"/>
    <w:rsid w:val="005E697D"/>
    <w:rsid w:val="005E6B41"/>
    <w:rsid w:val="005E6C55"/>
    <w:rsid w:val="005E6CAD"/>
    <w:rsid w:val="005E6CBE"/>
    <w:rsid w:val="005E6DC3"/>
    <w:rsid w:val="005E6F12"/>
    <w:rsid w:val="005E6FAA"/>
    <w:rsid w:val="005E7023"/>
    <w:rsid w:val="005E7033"/>
    <w:rsid w:val="005E70A0"/>
    <w:rsid w:val="005E714A"/>
    <w:rsid w:val="005E7273"/>
    <w:rsid w:val="005E7525"/>
    <w:rsid w:val="005E770F"/>
    <w:rsid w:val="005E77F6"/>
    <w:rsid w:val="005E780E"/>
    <w:rsid w:val="005E789C"/>
    <w:rsid w:val="005E7946"/>
    <w:rsid w:val="005E7A30"/>
    <w:rsid w:val="005E7B9E"/>
    <w:rsid w:val="005E7DA3"/>
    <w:rsid w:val="005E7E0F"/>
    <w:rsid w:val="005E7E49"/>
    <w:rsid w:val="005E7E5B"/>
    <w:rsid w:val="005E7F46"/>
    <w:rsid w:val="005F008F"/>
    <w:rsid w:val="005F01FC"/>
    <w:rsid w:val="005F02C6"/>
    <w:rsid w:val="005F0314"/>
    <w:rsid w:val="005F03B4"/>
    <w:rsid w:val="005F04AE"/>
    <w:rsid w:val="005F050B"/>
    <w:rsid w:val="005F0689"/>
    <w:rsid w:val="005F06A6"/>
    <w:rsid w:val="005F0757"/>
    <w:rsid w:val="005F079B"/>
    <w:rsid w:val="005F07C0"/>
    <w:rsid w:val="005F0BA3"/>
    <w:rsid w:val="005F0BDB"/>
    <w:rsid w:val="005F0D03"/>
    <w:rsid w:val="005F0D22"/>
    <w:rsid w:val="005F101C"/>
    <w:rsid w:val="005F121B"/>
    <w:rsid w:val="005F12E7"/>
    <w:rsid w:val="005F1355"/>
    <w:rsid w:val="005F164C"/>
    <w:rsid w:val="005F169E"/>
    <w:rsid w:val="005F1729"/>
    <w:rsid w:val="005F182D"/>
    <w:rsid w:val="005F1850"/>
    <w:rsid w:val="005F1959"/>
    <w:rsid w:val="005F195E"/>
    <w:rsid w:val="005F1B36"/>
    <w:rsid w:val="005F1C49"/>
    <w:rsid w:val="005F1D14"/>
    <w:rsid w:val="005F1DEE"/>
    <w:rsid w:val="005F1F4A"/>
    <w:rsid w:val="005F1FBF"/>
    <w:rsid w:val="005F2052"/>
    <w:rsid w:val="005F215C"/>
    <w:rsid w:val="005F21A2"/>
    <w:rsid w:val="005F22BB"/>
    <w:rsid w:val="005F2417"/>
    <w:rsid w:val="005F260B"/>
    <w:rsid w:val="005F26DE"/>
    <w:rsid w:val="005F27FB"/>
    <w:rsid w:val="005F299E"/>
    <w:rsid w:val="005F2A5F"/>
    <w:rsid w:val="005F2AA9"/>
    <w:rsid w:val="005F2B2B"/>
    <w:rsid w:val="005F2BE8"/>
    <w:rsid w:val="005F2C2E"/>
    <w:rsid w:val="005F2D2B"/>
    <w:rsid w:val="005F2DC6"/>
    <w:rsid w:val="005F2E1F"/>
    <w:rsid w:val="005F2E35"/>
    <w:rsid w:val="005F2FC1"/>
    <w:rsid w:val="005F3017"/>
    <w:rsid w:val="005F301B"/>
    <w:rsid w:val="005F3031"/>
    <w:rsid w:val="005F30F5"/>
    <w:rsid w:val="005F3200"/>
    <w:rsid w:val="005F3214"/>
    <w:rsid w:val="005F32EB"/>
    <w:rsid w:val="005F3317"/>
    <w:rsid w:val="005F33A1"/>
    <w:rsid w:val="005F34BF"/>
    <w:rsid w:val="005F34D1"/>
    <w:rsid w:val="005F35EE"/>
    <w:rsid w:val="005F360A"/>
    <w:rsid w:val="005F366E"/>
    <w:rsid w:val="005F36A5"/>
    <w:rsid w:val="005F36C4"/>
    <w:rsid w:val="005F3794"/>
    <w:rsid w:val="005F37C6"/>
    <w:rsid w:val="005F37D2"/>
    <w:rsid w:val="005F38BD"/>
    <w:rsid w:val="005F38F2"/>
    <w:rsid w:val="005F3973"/>
    <w:rsid w:val="005F3BF0"/>
    <w:rsid w:val="005F3D0B"/>
    <w:rsid w:val="005F3EED"/>
    <w:rsid w:val="005F3F1F"/>
    <w:rsid w:val="005F3FD1"/>
    <w:rsid w:val="005F4056"/>
    <w:rsid w:val="005F41CF"/>
    <w:rsid w:val="005F4216"/>
    <w:rsid w:val="005F432F"/>
    <w:rsid w:val="005F4371"/>
    <w:rsid w:val="005F43A3"/>
    <w:rsid w:val="005F43EA"/>
    <w:rsid w:val="005F44AA"/>
    <w:rsid w:val="005F455D"/>
    <w:rsid w:val="005F460E"/>
    <w:rsid w:val="005F4826"/>
    <w:rsid w:val="005F484E"/>
    <w:rsid w:val="005F4891"/>
    <w:rsid w:val="005F4C25"/>
    <w:rsid w:val="005F4E7A"/>
    <w:rsid w:val="005F4E83"/>
    <w:rsid w:val="005F4F76"/>
    <w:rsid w:val="005F4F78"/>
    <w:rsid w:val="005F4F8D"/>
    <w:rsid w:val="005F4FB9"/>
    <w:rsid w:val="005F506B"/>
    <w:rsid w:val="005F5382"/>
    <w:rsid w:val="005F53F9"/>
    <w:rsid w:val="005F5498"/>
    <w:rsid w:val="005F54AC"/>
    <w:rsid w:val="005F54C7"/>
    <w:rsid w:val="005F5515"/>
    <w:rsid w:val="005F5633"/>
    <w:rsid w:val="005F56A8"/>
    <w:rsid w:val="005F56B7"/>
    <w:rsid w:val="005F5791"/>
    <w:rsid w:val="005F57AB"/>
    <w:rsid w:val="005F57B1"/>
    <w:rsid w:val="005F57D4"/>
    <w:rsid w:val="005F584E"/>
    <w:rsid w:val="005F58FF"/>
    <w:rsid w:val="005F5954"/>
    <w:rsid w:val="005F5B08"/>
    <w:rsid w:val="005F5BD3"/>
    <w:rsid w:val="005F5C8F"/>
    <w:rsid w:val="005F5CFB"/>
    <w:rsid w:val="005F5E1C"/>
    <w:rsid w:val="005F5F16"/>
    <w:rsid w:val="005F6011"/>
    <w:rsid w:val="005F6029"/>
    <w:rsid w:val="005F6054"/>
    <w:rsid w:val="005F60DF"/>
    <w:rsid w:val="005F60E7"/>
    <w:rsid w:val="005F60EE"/>
    <w:rsid w:val="005F6107"/>
    <w:rsid w:val="005F61CB"/>
    <w:rsid w:val="005F6588"/>
    <w:rsid w:val="005F6617"/>
    <w:rsid w:val="005F6637"/>
    <w:rsid w:val="005F6652"/>
    <w:rsid w:val="005F668B"/>
    <w:rsid w:val="005F66D5"/>
    <w:rsid w:val="005F67A8"/>
    <w:rsid w:val="005F67F5"/>
    <w:rsid w:val="005F696C"/>
    <w:rsid w:val="005F6980"/>
    <w:rsid w:val="005F6B0D"/>
    <w:rsid w:val="005F6B2F"/>
    <w:rsid w:val="005F6BF4"/>
    <w:rsid w:val="005F6C52"/>
    <w:rsid w:val="005F6D8C"/>
    <w:rsid w:val="005F6E8D"/>
    <w:rsid w:val="005F7317"/>
    <w:rsid w:val="005F7422"/>
    <w:rsid w:val="005F7452"/>
    <w:rsid w:val="005F756D"/>
    <w:rsid w:val="005F76A8"/>
    <w:rsid w:val="005F7776"/>
    <w:rsid w:val="005F77C2"/>
    <w:rsid w:val="005F782F"/>
    <w:rsid w:val="005F7964"/>
    <w:rsid w:val="005F7983"/>
    <w:rsid w:val="005F7A1B"/>
    <w:rsid w:val="005F7A77"/>
    <w:rsid w:val="005F7B08"/>
    <w:rsid w:val="005F7B99"/>
    <w:rsid w:val="005F7D41"/>
    <w:rsid w:val="005F7E44"/>
    <w:rsid w:val="005F7ED0"/>
    <w:rsid w:val="005F7EDD"/>
    <w:rsid w:val="005F7FAD"/>
    <w:rsid w:val="0060005C"/>
    <w:rsid w:val="0060043F"/>
    <w:rsid w:val="0060051A"/>
    <w:rsid w:val="0060055B"/>
    <w:rsid w:val="00600587"/>
    <w:rsid w:val="006005BA"/>
    <w:rsid w:val="006009C3"/>
    <w:rsid w:val="006009F2"/>
    <w:rsid w:val="00600AEE"/>
    <w:rsid w:val="00600C8A"/>
    <w:rsid w:val="00600DD1"/>
    <w:rsid w:val="00600E7B"/>
    <w:rsid w:val="00600FB0"/>
    <w:rsid w:val="0060137D"/>
    <w:rsid w:val="00601412"/>
    <w:rsid w:val="00601416"/>
    <w:rsid w:val="00601695"/>
    <w:rsid w:val="006016EA"/>
    <w:rsid w:val="006016F5"/>
    <w:rsid w:val="0060173B"/>
    <w:rsid w:val="00601764"/>
    <w:rsid w:val="00601814"/>
    <w:rsid w:val="006018AC"/>
    <w:rsid w:val="0060196B"/>
    <w:rsid w:val="00601984"/>
    <w:rsid w:val="006019C6"/>
    <w:rsid w:val="00601A7C"/>
    <w:rsid w:val="00601D32"/>
    <w:rsid w:val="00601DF3"/>
    <w:rsid w:val="00601FC7"/>
    <w:rsid w:val="00601FCC"/>
    <w:rsid w:val="00601FD6"/>
    <w:rsid w:val="00601FF2"/>
    <w:rsid w:val="0060207B"/>
    <w:rsid w:val="0060210B"/>
    <w:rsid w:val="0060217E"/>
    <w:rsid w:val="006022DB"/>
    <w:rsid w:val="00602301"/>
    <w:rsid w:val="0060232D"/>
    <w:rsid w:val="00602391"/>
    <w:rsid w:val="00602461"/>
    <w:rsid w:val="006024D1"/>
    <w:rsid w:val="006024D9"/>
    <w:rsid w:val="00602619"/>
    <w:rsid w:val="00602631"/>
    <w:rsid w:val="006026B7"/>
    <w:rsid w:val="00602781"/>
    <w:rsid w:val="0060279B"/>
    <w:rsid w:val="0060289C"/>
    <w:rsid w:val="00602A37"/>
    <w:rsid w:val="00602A62"/>
    <w:rsid w:val="00602A90"/>
    <w:rsid w:val="00602C11"/>
    <w:rsid w:val="00602D28"/>
    <w:rsid w:val="00602F14"/>
    <w:rsid w:val="00602F64"/>
    <w:rsid w:val="00602FB3"/>
    <w:rsid w:val="00603076"/>
    <w:rsid w:val="0060307C"/>
    <w:rsid w:val="006030A0"/>
    <w:rsid w:val="00603144"/>
    <w:rsid w:val="006032A3"/>
    <w:rsid w:val="006032B1"/>
    <w:rsid w:val="006033AB"/>
    <w:rsid w:val="0060342F"/>
    <w:rsid w:val="00603490"/>
    <w:rsid w:val="00603624"/>
    <w:rsid w:val="0060367F"/>
    <w:rsid w:val="0060383F"/>
    <w:rsid w:val="00603998"/>
    <w:rsid w:val="006039F2"/>
    <w:rsid w:val="00603ADB"/>
    <w:rsid w:val="00603CA3"/>
    <w:rsid w:val="00603CDD"/>
    <w:rsid w:val="00603CE8"/>
    <w:rsid w:val="00603E4F"/>
    <w:rsid w:val="00603E6C"/>
    <w:rsid w:val="00603F21"/>
    <w:rsid w:val="00604049"/>
    <w:rsid w:val="00604056"/>
    <w:rsid w:val="006040D3"/>
    <w:rsid w:val="0060415F"/>
    <w:rsid w:val="0060417F"/>
    <w:rsid w:val="00604182"/>
    <w:rsid w:val="006041E7"/>
    <w:rsid w:val="0060420C"/>
    <w:rsid w:val="006042F4"/>
    <w:rsid w:val="0060438D"/>
    <w:rsid w:val="006043F2"/>
    <w:rsid w:val="006043FA"/>
    <w:rsid w:val="006044D5"/>
    <w:rsid w:val="006044E7"/>
    <w:rsid w:val="00604702"/>
    <w:rsid w:val="00604743"/>
    <w:rsid w:val="0060477E"/>
    <w:rsid w:val="0060485C"/>
    <w:rsid w:val="00604AE6"/>
    <w:rsid w:val="00604B08"/>
    <w:rsid w:val="00604B53"/>
    <w:rsid w:val="00604C32"/>
    <w:rsid w:val="00604DC2"/>
    <w:rsid w:val="00604E8B"/>
    <w:rsid w:val="00604EBC"/>
    <w:rsid w:val="00604F02"/>
    <w:rsid w:val="00604F2D"/>
    <w:rsid w:val="00604F5B"/>
    <w:rsid w:val="00605128"/>
    <w:rsid w:val="00605158"/>
    <w:rsid w:val="0060547B"/>
    <w:rsid w:val="00605483"/>
    <w:rsid w:val="00605501"/>
    <w:rsid w:val="006055BC"/>
    <w:rsid w:val="006056A9"/>
    <w:rsid w:val="00605707"/>
    <w:rsid w:val="00605728"/>
    <w:rsid w:val="00605748"/>
    <w:rsid w:val="006058A1"/>
    <w:rsid w:val="006058D7"/>
    <w:rsid w:val="006058FD"/>
    <w:rsid w:val="0060590C"/>
    <w:rsid w:val="00605AF3"/>
    <w:rsid w:val="00605AFF"/>
    <w:rsid w:val="00605BBA"/>
    <w:rsid w:val="00605D26"/>
    <w:rsid w:val="00605D61"/>
    <w:rsid w:val="00605E15"/>
    <w:rsid w:val="00605EEC"/>
    <w:rsid w:val="00606007"/>
    <w:rsid w:val="006060A9"/>
    <w:rsid w:val="006062CA"/>
    <w:rsid w:val="006062E2"/>
    <w:rsid w:val="00606363"/>
    <w:rsid w:val="006064CC"/>
    <w:rsid w:val="006064FA"/>
    <w:rsid w:val="006066B7"/>
    <w:rsid w:val="0060676E"/>
    <w:rsid w:val="006068B6"/>
    <w:rsid w:val="00606A04"/>
    <w:rsid w:val="00606A56"/>
    <w:rsid w:val="00606C0D"/>
    <w:rsid w:val="00606C22"/>
    <w:rsid w:val="00606FA0"/>
    <w:rsid w:val="00606FD7"/>
    <w:rsid w:val="00607077"/>
    <w:rsid w:val="0060720A"/>
    <w:rsid w:val="006072FC"/>
    <w:rsid w:val="00607322"/>
    <w:rsid w:val="006073AF"/>
    <w:rsid w:val="006073C2"/>
    <w:rsid w:val="006074A2"/>
    <w:rsid w:val="006074BF"/>
    <w:rsid w:val="006074FD"/>
    <w:rsid w:val="006075C1"/>
    <w:rsid w:val="00607657"/>
    <w:rsid w:val="006076F0"/>
    <w:rsid w:val="006077E0"/>
    <w:rsid w:val="006077FD"/>
    <w:rsid w:val="0060782E"/>
    <w:rsid w:val="006078C3"/>
    <w:rsid w:val="00607900"/>
    <w:rsid w:val="00607BD7"/>
    <w:rsid w:val="00607C45"/>
    <w:rsid w:val="00607C92"/>
    <w:rsid w:val="00607D10"/>
    <w:rsid w:val="00607D37"/>
    <w:rsid w:val="00607D45"/>
    <w:rsid w:val="00607D53"/>
    <w:rsid w:val="00607FC7"/>
    <w:rsid w:val="006100CD"/>
    <w:rsid w:val="00610160"/>
    <w:rsid w:val="006101A5"/>
    <w:rsid w:val="00610276"/>
    <w:rsid w:val="0061038F"/>
    <w:rsid w:val="006105F5"/>
    <w:rsid w:val="006106B3"/>
    <w:rsid w:val="006106EE"/>
    <w:rsid w:val="006107BC"/>
    <w:rsid w:val="0061082A"/>
    <w:rsid w:val="00610900"/>
    <w:rsid w:val="00610AF7"/>
    <w:rsid w:val="00610C59"/>
    <w:rsid w:val="00610CD7"/>
    <w:rsid w:val="00610CED"/>
    <w:rsid w:val="00610D78"/>
    <w:rsid w:val="00610DAB"/>
    <w:rsid w:val="00610DF7"/>
    <w:rsid w:val="00610DFD"/>
    <w:rsid w:val="00610E68"/>
    <w:rsid w:val="00610E73"/>
    <w:rsid w:val="00611046"/>
    <w:rsid w:val="00611252"/>
    <w:rsid w:val="0061125C"/>
    <w:rsid w:val="0061129C"/>
    <w:rsid w:val="00611349"/>
    <w:rsid w:val="0061139D"/>
    <w:rsid w:val="0061153D"/>
    <w:rsid w:val="006115CB"/>
    <w:rsid w:val="0061161F"/>
    <w:rsid w:val="00611643"/>
    <w:rsid w:val="006116B1"/>
    <w:rsid w:val="00611867"/>
    <w:rsid w:val="00611A05"/>
    <w:rsid w:val="00611C03"/>
    <w:rsid w:val="00611D37"/>
    <w:rsid w:val="00611DC7"/>
    <w:rsid w:val="00611DD6"/>
    <w:rsid w:val="00611E2D"/>
    <w:rsid w:val="00611E8C"/>
    <w:rsid w:val="00611F41"/>
    <w:rsid w:val="006120D2"/>
    <w:rsid w:val="006121F5"/>
    <w:rsid w:val="006123B3"/>
    <w:rsid w:val="00612441"/>
    <w:rsid w:val="0061246C"/>
    <w:rsid w:val="006124AA"/>
    <w:rsid w:val="006125F1"/>
    <w:rsid w:val="006126EA"/>
    <w:rsid w:val="0061270C"/>
    <w:rsid w:val="0061282D"/>
    <w:rsid w:val="00612854"/>
    <w:rsid w:val="0061285B"/>
    <w:rsid w:val="006128A1"/>
    <w:rsid w:val="00612A5B"/>
    <w:rsid w:val="00612A81"/>
    <w:rsid w:val="00612B32"/>
    <w:rsid w:val="00612B63"/>
    <w:rsid w:val="00612BB9"/>
    <w:rsid w:val="00612C5E"/>
    <w:rsid w:val="00612D72"/>
    <w:rsid w:val="00612F03"/>
    <w:rsid w:val="00613005"/>
    <w:rsid w:val="006130A1"/>
    <w:rsid w:val="006131E5"/>
    <w:rsid w:val="0061332C"/>
    <w:rsid w:val="006134F5"/>
    <w:rsid w:val="006135FD"/>
    <w:rsid w:val="00613628"/>
    <w:rsid w:val="0061378B"/>
    <w:rsid w:val="00613799"/>
    <w:rsid w:val="0061381F"/>
    <w:rsid w:val="006138C6"/>
    <w:rsid w:val="00613946"/>
    <w:rsid w:val="00613F15"/>
    <w:rsid w:val="006140EF"/>
    <w:rsid w:val="006141C2"/>
    <w:rsid w:val="006141D6"/>
    <w:rsid w:val="0061420E"/>
    <w:rsid w:val="00614215"/>
    <w:rsid w:val="00614265"/>
    <w:rsid w:val="00614291"/>
    <w:rsid w:val="00614355"/>
    <w:rsid w:val="00614360"/>
    <w:rsid w:val="00614452"/>
    <w:rsid w:val="006144D8"/>
    <w:rsid w:val="006144E0"/>
    <w:rsid w:val="0061450F"/>
    <w:rsid w:val="006145CF"/>
    <w:rsid w:val="006146AA"/>
    <w:rsid w:val="006146DF"/>
    <w:rsid w:val="00614768"/>
    <w:rsid w:val="006147AC"/>
    <w:rsid w:val="00614806"/>
    <w:rsid w:val="00614A28"/>
    <w:rsid w:val="00614AE3"/>
    <w:rsid w:val="00614C19"/>
    <w:rsid w:val="00614D31"/>
    <w:rsid w:val="00614D9A"/>
    <w:rsid w:val="00614FF9"/>
    <w:rsid w:val="00615020"/>
    <w:rsid w:val="0061502D"/>
    <w:rsid w:val="00615139"/>
    <w:rsid w:val="0061525D"/>
    <w:rsid w:val="006153E7"/>
    <w:rsid w:val="00615420"/>
    <w:rsid w:val="006155A8"/>
    <w:rsid w:val="006155AD"/>
    <w:rsid w:val="006155BC"/>
    <w:rsid w:val="006155CB"/>
    <w:rsid w:val="006157D9"/>
    <w:rsid w:val="006157FF"/>
    <w:rsid w:val="00615880"/>
    <w:rsid w:val="006158C5"/>
    <w:rsid w:val="00615A1E"/>
    <w:rsid w:val="00615B2A"/>
    <w:rsid w:val="00615BFF"/>
    <w:rsid w:val="00615CC6"/>
    <w:rsid w:val="00615D40"/>
    <w:rsid w:val="00615E3B"/>
    <w:rsid w:val="00615F38"/>
    <w:rsid w:val="00616059"/>
    <w:rsid w:val="006160A8"/>
    <w:rsid w:val="006161F8"/>
    <w:rsid w:val="0061627D"/>
    <w:rsid w:val="006162A5"/>
    <w:rsid w:val="00616349"/>
    <w:rsid w:val="006163AD"/>
    <w:rsid w:val="006164DC"/>
    <w:rsid w:val="0061651A"/>
    <w:rsid w:val="0061677C"/>
    <w:rsid w:val="00616886"/>
    <w:rsid w:val="0061691C"/>
    <w:rsid w:val="00616968"/>
    <w:rsid w:val="00616A66"/>
    <w:rsid w:val="00616C55"/>
    <w:rsid w:val="00616D2D"/>
    <w:rsid w:val="00616DEA"/>
    <w:rsid w:val="00616E1F"/>
    <w:rsid w:val="00616E37"/>
    <w:rsid w:val="00616EBF"/>
    <w:rsid w:val="00616F12"/>
    <w:rsid w:val="00616F26"/>
    <w:rsid w:val="0061700E"/>
    <w:rsid w:val="0061701D"/>
    <w:rsid w:val="00617113"/>
    <w:rsid w:val="0061720A"/>
    <w:rsid w:val="00617234"/>
    <w:rsid w:val="0061727D"/>
    <w:rsid w:val="006172B7"/>
    <w:rsid w:val="006173C1"/>
    <w:rsid w:val="006173DC"/>
    <w:rsid w:val="0061754A"/>
    <w:rsid w:val="006176D1"/>
    <w:rsid w:val="00617808"/>
    <w:rsid w:val="0061799C"/>
    <w:rsid w:val="006179BF"/>
    <w:rsid w:val="00617A7D"/>
    <w:rsid w:val="00617B1B"/>
    <w:rsid w:val="00617CA5"/>
    <w:rsid w:val="00617CE1"/>
    <w:rsid w:val="00617D50"/>
    <w:rsid w:val="00617DA8"/>
    <w:rsid w:val="00617E3F"/>
    <w:rsid w:val="00617E44"/>
    <w:rsid w:val="00617E91"/>
    <w:rsid w:val="00617ED7"/>
    <w:rsid w:val="00617F7E"/>
    <w:rsid w:val="00620012"/>
    <w:rsid w:val="00620026"/>
    <w:rsid w:val="0062005B"/>
    <w:rsid w:val="00620071"/>
    <w:rsid w:val="0062012F"/>
    <w:rsid w:val="006201E9"/>
    <w:rsid w:val="0062024B"/>
    <w:rsid w:val="00620269"/>
    <w:rsid w:val="0062029C"/>
    <w:rsid w:val="006202DD"/>
    <w:rsid w:val="0062056F"/>
    <w:rsid w:val="006205D9"/>
    <w:rsid w:val="006205DD"/>
    <w:rsid w:val="00620668"/>
    <w:rsid w:val="006206FC"/>
    <w:rsid w:val="00620762"/>
    <w:rsid w:val="006207BD"/>
    <w:rsid w:val="0062080A"/>
    <w:rsid w:val="00620896"/>
    <w:rsid w:val="006208EC"/>
    <w:rsid w:val="00620AA2"/>
    <w:rsid w:val="00620ACE"/>
    <w:rsid w:val="00620BC0"/>
    <w:rsid w:val="00620C2A"/>
    <w:rsid w:val="00620C48"/>
    <w:rsid w:val="00620CE3"/>
    <w:rsid w:val="00620F23"/>
    <w:rsid w:val="00620F6D"/>
    <w:rsid w:val="00620FD2"/>
    <w:rsid w:val="00621058"/>
    <w:rsid w:val="00621117"/>
    <w:rsid w:val="0062124C"/>
    <w:rsid w:val="006212CD"/>
    <w:rsid w:val="006212EB"/>
    <w:rsid w:val="006212ED"/>
    <w:rsid w:val="006212F8"/>
    <w:rsid w:val="00621307"/>
    <w:rsid w:val="00621448"/>
    <w:rsid w:val="0062164F"/>
    <w:rsid w:val="0062179F"/>
    <w:rsid w:val="00621883"/>
    <w:rsid w:val="006218C5"/>
    <w:rsid w:val="006218DF"/>
    <w:rsid w:val="00621973"/>
    <w:rsid w:val="006219EC"/>
    <w:rsid w:val="00621A0F"/>
    <w:rsid w:val="00621B52"/>
    <w:rsid w:val="00621C2E"/>
    <w:rsid w:val="00621F4E"/>
    <w:rsid w:val="00622214"/>
    <w:rsid w:val="00622265"/>
    <w:rsid w:val="006222EE"/>
    <w:rsid w:val="0062230C"/>
    <w:rsid w:val="00622357"/>
    <w:rsid w:val="0062238E"/>
    <w:rsid w:val="006223CE"/>
    <w:rsid w:val="006225A7"/>
    <w:rsid w:val="006225CF"/>
    <w:rsid w:val="006225E5"/>
    <w:rsid w:val="006226EC"/>
    <w:rsid w:val="00622865"/>
    <w:rsid w:val="00622935"/>
    <w:rsid w:val="00622AF2"/>
    <w:rsid w:val="00622BEC"/>
    <w:rsid w:val="00622D0F"/>
    <w:rsid w:val="00622E22"/>
    <w:rsid w:val="00622E3D"/>
    <w:rsid w:val="00622E66"/>
    <w:rsid w:val="00622F9A"/>
    <w:rsid w:val="00622FDA"/>
    <w:rsid w:val="00623313"/>
    <w:rsid w:val="00623369"/>
    <w:rsid w:val="0062347F"/>
    <w:rsid w:val="0062348B"/>
    <w:rsid w:val="00623595"/>
    <w:rsid w:val="0062365D"/>
    <w:rsid w:val="006236FA"/>
    <w:rsid w:val="00623787"/>
    <w:rsid w:val="00623792"/>
    <w:rsid w:val="006237E1"/>
    <w:rsid w:val="00623808"/>
    <w:rsid w:val="00623976"/>
    <w:rsid w:val="00623A11"/>
    <w:rsid w:val="00623A3B"/>
    <w:rsid w:val="00623DFD"/>
    <w:rsid w:val="00623F64"/>
    <w:rsid w:val="0062401E"/>
    <w:rsid w:val="0062408A"/>
    <w:rsid w:val="00624097"/>
    <w:rsid w:val="006240D6"/>
    <w:rsid w:val="006245E0"/>
    <w:rsid w:val="00624617"/>
    <w:rsid w:val="0062474C"/>
    <w:rsid w:val="006247A6"/>
    <w:rsid w:val="006247EC"/>
    <w:rsid w:val="00624880"/>
    <w:rsid w:val="00624A3E"/>
    <w:rsid w:val="00624A77"/>
    <w:rsid w:val="00624AD7"/>
    <w:rsid w:val="00624BDD"/>
    <w:rsid w:val="00624D2E"/>
    <w:rsid w:val="00624E9D"/>
    <w:rsid w:val="00625074"/>
    <w:rsid w:val="006250D6"/>
    <w:rsid w:val="006252BB"/>
    <w:rsid w:val="006253BD"/>
    <w:rsid w:val="006255F0"/>
    <w:rsid w:val="006255F4"/>
    <w:rsid w:val="006257C1"/>
    <w:rsid w:val="00625882"/>
    <w:rsid w:val="006258AE"/>
    <w:rsid w:val="006258BE"/>
    <w:rsid w:val="006258F7"/>
    <w:rsid w:val="00625A1B"/>
    <w:rsid w:val="00625B8D"/>
    <w:rsid w:val="00625C56"/>
    <w:rsid w:val="00625EAB"/>
    <w:rsid w:val="00625EBE"/>
    <w:rsid w:val="00626117"/>
    <w:rsid w:val="00626436"/>
    <w:rsid w:val="00626585"/>
    <w:rsid w:val="006266E7"/>
    <w:rsid w:val="00626829"/>
    <w:rsid w:val="00626938"/>
    <w:rsid w:val="00626977"/>
    <w:rsid w:val="00626A2D"/>
    <w:rsid w:val="00626B47"/>
    <w:rsid w:val="00626C71"/>
    <w:rsid w:val="00626C8E"/>
    <w:rsid w:val="00626CED"/>
    <w:rsid w:val="00626CFB"/>
    <w:rsid w:val="00626D28"/>
    <w:rsid w:val="00626DFD"/>
    <w:rsid w:val="00626EBA"/>
    <w:rsid w:val="00626F3E"/>
    <w:rsid w:val="00627010"/>
    <w:rsid w:val="00627016"/>
    <w:rsid w:val="00627137"/>
    <w:rsid w:val="0062725B"/>
    <w:rsid w:val="00627266"/>
    <w:rsid w:val="0062728A"/>
    <w:rsid w:val="006274BF"/>
    <w:rsid w:val="0062760A"/>
    <w:rsid w:val="00627685"/>
    <w:rsid w:val="006277E7"/>
    <w:rsid w:val="00627843"/>
    <w:rsid w:val="00627978"/>
    <w:rsid w:val="006279AE"/>
    <w:rsid w:val="00627A0A"/>
    <w:rsid w:val="00627ACC"/>
    <w:rsid w:val="00627C53"/>
    <w:rsid w:val="00627CDA"/>
    <w:rsid w:val="00627D0A"/>
    <w:rsid w:val="00627DF3"/>
    <w:rsid w:val="00627EAC"/>
    <w:rsid w:val="00627F85"/>
    <w:rsid w:val="00627FE5"/>
    <w:rsid w:val="00630173"/>
    <w:rsid w:val="00630245"/>
    <w:rsid w:val="006303C6"/>
    <w:rsid w:val="0063042B"/>
    <w:rsid w:val="0063048B"/>
    <w:rsid w:val="006304E1"/>
    <w:rsid w:val="0063055D"/>
    <w:rsid w:val="0063059E"/>
    <w:rsid w:val="006305BF"/>
    <w:rsid w:val="006307A1"/>
    <w:rsid w:val="00630939"/>
    <w:rsid w:val="006309FC"/>
    <w:rsid w:val="00630A07"/>
    <w:rsid w:val="00630A19"/>
    <w:rsid w:val="00630F6A"/>
    <w:rsid w:val="00631007"/>
    <w:rsid w:val="006310D5"/>
    <w:rsid w:val="00631291"/>
    <w:rsid w:val="006312A8"/>
    <w:rsid w:val="006312E1"/>
    <w:rsid w:val="006312F0"/>
    <w:rsid w:val="00631318"/>
    <w:rsid w:val="00631394"/>
    <w:rsid w:val="00631442"/>
    <w:rsid w:val="00631570"/>
    <w:rsid w:val="006315B0"/>
    <w:rsid w:val="006315BB"/>
    <w:rsid w:val="00631690"/>
    <w:rsid w:val="00631724"/>
    <w:rsid w:val="00631767"/>
    <w:rsid w:val="0063176C"/>
    <w:rsid w:val="0063177D"/>
    <w:rsid w:val="006317C8"/>
    <w:rsid w:val="00631964"/>
    <w:rsid w:val="00631A13"/>
    <w:rsid w:val="00631A61"/>
    <w:rsid w:val="00631A91"/>
    <w:rsid w:val="00631C1C"/>
    <w:rsid w:val="00631C3C"/>
    <w:rsid w:val="00631C8A"/>
    <w:rsid w:val="00631EB7"/>
    <w:rsid w:val="00631FB7"/>
    <w:rsid w:val="0063219D"/>
    <w:rsid w:val="0063222E"/>
    <w:rsid w:val="00632312"/>
    <w:rsid w:val="006323BB"/>
    <w:rsid w:val="006323CB"/>
    <w:rsid w:val="00632500"/>
    <w:rsid w:val="00632674"/>
    <w:rsid w:val="006326E8"/>
    <w:rsid w:val="00632880"/>
    <w:rsid w:val="00632A06"/>
    <w:rsid w:val="00632ADA"/>
    <w:rsid w:val="00632B21"/>
    <w:rsid w:val="00632C8A"/>
    <w:rsid w:val="00632CE3"/>
    <w:rsid w:val="00632D22"/>
    <w:rsid w:val="00632D8A"/>
    <w:rsid w:val="00632E7C"/>
    <w:rsid w:val="0063306B"/>
    <w:rsid w:val="006330E6"/>
    <w:rsid w:val="00633490"/>
    <w:rsid w:val="00633689"/>
    <w:rsid w:val="0063371F"/>
    <w:rsid w:val="006337F7"/>
    <w:rsid w:val="00633A80"/>
    <w:rsid w:val="00633BF9"/>
    <w:rsid w:val="00633C31"/>
    <w:rsid w:val="00633C7B"/>
    <w:rsid w:val="00633D26"/>
    <w:rsid w:val="00633D9E"/>
    <w:rsid w:val="00633DE9"/>
    <w:rsid w:val="00633E43"/>
    <w:rsid w:val="00633FE8"/>
    <w:rsid w:val="00634121"/>
    <w:rsid w:val="006341B0"/>
    <w:rsid w:val="006341C3"/>
    <w:rsid w:val="006341E2"/>
    <w:rsid w:val="00634374"/>
    <w:rsid w:val="00634385"/>
    <w:rsid w:val="006343D1"/>
    <w:rsid w:val="00634459"/>
    <w:rsid w:val="006344CF"/>
    <w:rsid w:val="006345F9"/>
    <w:rsid w:val="0063461D"/>
    <w:rsid w:val="0063461E"/>
    <w:rsid w:val="006346D9"/>
    <w:rsid w:val="006347B9"/>
    <w:rsid w:val="00634952"/>
    <w:rsid w:val="0063499C"/>
    <w:rsid w:val="00634AA5"/>
    <w:rsid w:val="00634B5A"/>
    <w:rsid w:val="00634B61"/>
    <w:rsid w:val="00634C0A"/>
    <w:rsid w:val="00634C76"/>
    <w:rsid w:val="00634D6B"/>
    <w:rsid w:val="00634E04"/>
    <w:rsid w:val="00634F32"/>
    <w:rsid w:val="0063505B"/>
    <w:rsid w:val="006350D0"/>
    <w:rsid w:val="006351B9"/>
    <w:rsid w:val="0063523C"/>
    <w:rsid w:val="0063526F"/>
    <w:rsid w:val="00635314"/>
    <w:rsid w:val="006353AF"/>
    <w:rsid w:val="006353D4"/>
    <w:rsid w:val="0063543B"/>
    <w:rsid w:val="00635478"/>
    <w:rsid w:val="006354A8"/>
    <w:rsid w:val="006354AB"/>
    <w:rsid w:val="006354CF"/>
    <w:rsid w:val="00635500"/>
    <w:rsid w:val="0063562C"/>
    <w:rsid w:val="00635680"/>
    <w:rsid w:val="00635746"/>
    <w:rsid w:val="0063578C"/>
    <w:rsid w:val="006357C9"/>
    <w:rsid w:val="0063583E"/>
    <w:rsid w:val="006359DB"/>
    <w:rsid w:val="00635A73"/>
    <w:rsid w:val="00635BD8"/>
    <w:rsid w:val="00635CE2"/>
    <w:rsid w:val="00635E6F"/>
    <w:rsid w:val="00635EB9"/>
    <w:rsid w:val="00635F03"/>
    <w:rsid w:val="00635F1A"/>
    <w:rsid w:val="00635F2A"/>
    <w:rsid w:val="00635F42"/>
    <w:rsid w:val="0063600C"/>
    <w:rsid w:val="00636095"/>
    <w:rsid w:val="00636113"/>
    <w:rsid w:val="00636158"/>
    <w:rsid w:val="00636385"/>
    <w:rsid w:val="006363F2"/>
    <w:rsid w:val="006364DA"/>
    <w:rsid w:val="00636516"/>
    <w:rsid w:val="0063656B"/>
    <w:rsid w:val="006365D5"/>
    <w:rsid w:val="00636632"/>
    <w:rsid w:val="006366F2"/>
    <w:rsid w:val="0063671B"/>
    <w:rsid w:val="0063677B"/>
    <w:rsid w:val="0063678D"/>
    <w:rsid w:val="006367F8"/>
    <w:rsid w:val="0063695A"/>
    <w:rsid w:val="006369A4"/>
    <w:rsid w:val="006369CF"/>
    <w:rsid w:val="00636A1F"/>
    <w:rsid w:val="00636A68"/>
    <w:rsid w:val="00636BE5"/>
    <w:rsid w:val="00636C09"/>
    <w:rsid w:val="00636D43"/>
    <w:rsid w:val="00636E83"/>
    <w:rsid w:val="006371C2"/>
    <w:rsid w:val="006372DA"/>
    <w:rsid w:val="0063750B"/>
    <w:rsid w:val="00637527"/>
    <w:rsid w:val="006377B4"/>
    <w:rsid w:val="006378EF"/>
    <w:rsid w:val="00637A8B"/>
    <w:rsid w:val="00637AA8"/>
    <w:rsid w:val="00637AED"/>
    <w:rsid w:val="00637B23"/>
    <w:rsid w:val="00637BBD"/>
    <w:rsid w:val="00637BEA"/>
    <w:rsid w:val="00637C0C"/>
    <w:rsid w:val="00637CF9"/>
    <w:rsid w:val="00640129"/>
    <w:rsid w:val="0064039C"/>
    <w:rsid w:val="006403A9"/>
    <w:rsid w:val="006404F9"/>
    <w:rsid w:val="006405AC"/>
    <w:rsid w:val="006406D4"/>
    <w:rsid w:val="006406FE"/>
    <w:rsid w:val="00640765"/>
    <w:rsid w:val="00640841"/>
    <w:rsid w:val="00640AD1"/>
    <w:rsid w:val="00640B68"/>
    <w:rsid w:val="00640C97"/>
    <w:rsid w:val="00640D55"/>
    <w:rsid w:val="00640D75"/>
    <w:rsid w:val="00640FF1"/>
    <w:rsid w:val="00641147"/>
    <w:rsid w:val="006411F3"/>
    <w:rsid w:val="00641245"/>
    <w:rsid w:val="006413BA"/>
    <w:rsid w:val="0064146A"/>
    <w:rsid w:val="0064150C"/>
    <w:rsid w:val="006415A1"/>
    <w:rsid w:val="00641667"/>
    <w:rsid w:val="00641705"/>
    <w:rsid w:val="00641757"/>
    <w:rsid w:val="006418DA"/>
    <w:rsid w:val="006419E8"/>
    <w:rsid w:val="006419EA"/>
    <w:rsid w:val="00641A05"/>
    <w:rsid w:val="00641ADE"/>
    <w:rsid w:val="00641B66"/>
    <w:rsid w:val="00641B78"/>
    <w:rsid w:val="00641BD6"/>
    <w:rsid w:val="00641D39"/>
    <w:rsid w:val="00641D3E"/>
    <w:rsid w:val="00641F92"/>
    <w:rsid w:val="006420C6"/>
    <w:rsid w:val="00642113"/>
    <w:rsid w:val="006421B0"/>
    <w:rsid w:val="006421F4"/>
    <w:rsid w:val="00642250"/>
    <w:rsid w:val="00642444"/>
    <w:rsid w:val="006425F7"/>
    <w:rsid w:val="00642712"/>
    <w:rsid w:val="00642836"/>
    <w:rsid w:val="006428E9"/>
    <w:rsid w:val="00642954"/>
    <w:rsid w:val="00642AA9"/>
    <w:rsid w:val="00642AE8"/>
    <w:rsid w:val="00642AEE"/>
    <w:rsid w:val="00642B4D"/>
    <w:rsid w:val="00642BA3"/>
    <w:rsid w:val="00642C0B"/>
    <w:rsid w:val="00642C60"/>
    <w:rsid w:val="00642C8F"/>
    <w:rsid w:val="00642DD2"/>
    <w:rsid w:val="00643058"/>
    <w:rsid w:val="00643066"/>
    <w:rsid w:val="0064322D"/>
    <w:rsid w:val="006432C7"/>
    <w:rsid w:val="006433E8"/>
    <w:rsid w:val="00643494"/>
    <w:rsid w:val="00643732"/>
    <w:rsid w:val="006437A9"/>
    <w:rsid w:val="006437FA"/>
    <w:rsid w:val="00643BE1"/>
    <w:rsid w:val="00643BE8"/>
    <w:rsid w:val="00643C3C"/>
    <w:rsid w:val="00643E6E"/>
    <w:rsid w:val="00643F8C"/>
    <w:rsid w:val="00643FC2"/>
    <w:rsid w:val="00644258"/>
    <w:rsid w:val="0064434B"/>
    <w:rsid w:val="006443F5"/>
    <w:rsid w:val="006445B7"/>
    <w:rsid w:val="006446A4"/>
    <w:rsid w:val="006446F8"/>
    <w:rsid w:val="0064474A"/>
    <w:rsid w:val="006448ED"/>
    <w:rsid w:val="006448F3"/>
    <w:rsid w:val="00644901"/>
    <w:rsid w:val="00644910"/>
    <w:rsid w:val="00644967"/>
    <w:rsid w:val="00644970"/>
    <w:rsid w:val="006449CE"/>
    <w:rsid w:val="006449FA"/>
    <w:rsid w:val="00644D8D"/>
    <w:rsid w:val="00644E04"/>
    <w:rsid w:val="00644F42"/>
    <w:rsid w:val="00644F89"/>
    <w:rsid w:val="00644FDC"/>
    <w:rsid w:val="0064504E"/>
    <w:rsid w:val="0064526B"/>
    <w:rsid w:val="006453B6"/>
    <w:rsid w:val="00645519"/>
    <w:rsid w:val="006455A4"/>
    <w:rsid w:val="0064573E"/>
    <w:rsid w:val="00645787"/>
    <w:rsid w:val="0064581A"/>
    <w:rsid w:val="0064596A"/>
    <w:rsid w:val="00645ADF"/>
    <w:rsid w:val="00645B2B"/>
    <w:rsid w:val="00645BCE"/>
    <w:rsid w:val="00645CA4"/>
    <w:rsid w:val="00645CF2"/>
    <w:rsid w:val="00645D05"/>
    <w:rsid w:val="00645D1F"/>
    <w:rsid w:val="00645DBF"/>
    <w:rsid w:val="00645F21"/>
    <w:rsid w:val="00645FB3"/>
    <w:rsid w:val="00646013"/>
    <w:rsid w:val="00646146"/>
    <w:rsid w:val="00646151"/>
    <w:rsid w:val="00646165"/>
    <w:rsid w:val="00646188"/>
    <w:rsid w:val="006461FD"/>
    <w:rsid w:val="0064643C"/>
    <w:rsid w:val="00646578"/>
    <w:rsid w:val="006465C2"/>
    <w:rsid w:val="00646693"/>
    <w:rsid w:val="006466BD"/>
    <w:rsid w:val="006466E5"/>
    <w:rsid w:val="0064677D"/>
    <w:rsid w:val="006468CA"/>
    <w:rsid w:val="00646921"/>
    <w:rsid w:val="00646AA2"/>
    <w:rsid w:val="00646BBC"/>
    <w:rsid w:val="00646C1C"/>
    <w:rsid w:val="00646C5D"/>
    <w:rsid w:val="00646C85"/>
    <w:rsid w:val="00646DAC"/>
    <w:rsid w:val="00646EC8"/>
    <w:rsid w:val="00646F14"/>
    <w:rsid w:val="00646F9C"/>
    <w:rsid w:val="00647126"/>
    <w:rsid w:val="006471D8"/>
    <w:rsid w:val="00647268"/>
    <w:rsid w:val="00647271"/>
    <w:rsid w:val="00647325"/>
    <w:rsid w:val="0064736D"/>
    <w:rsid w:val="006473A7"/>
    <w:rsid w:val="006473CA"/>
    <w:rsid w:val="0064741A"/>
    <w:rsid w:val="006474B3"/>
    <w:rsid w:val="00647500"/>
    <w:rsid w:val="0064765E"/>
    <w:rsid w:val="00647671"/>
    <w:rsid w:val="00647731"/>
    <w:rsid w:val="00647792"/>
    <w:rsid w:val="006477BA"/>
    <w:rsid w:val="006478B1"/>
    <w:rsid w:val="006479F0"/>
    <w:rsid w:val="00647B38"/>
    <w:rsid w:val="00647B8B"/>
    <w:rsid w:val="00647C49"/>
    <w:rsid w:val="00647E1D"/>
    <w:rsid w:val="00647F69"/>
    <w:rsid w:val="00647FD3"/>
    <w:rsid w:val="00650170"/>
    <w:rsid w:val="00650375"/>
    <w:rsid w:val="0065037D"/>
    <w:rsid w:val="006503E6"/>
    <w:rsid w:val="0065040A"/>
    <w:rsid w:val="006504DE"/>
    <w:rsid w:val="00650627"/>
    <w:rsid w:val="006506BA"/>
    <w:rsid w:val="00650889"/>
    <w:rsid w:val="00650908"/>
    <w:rsid w:val="0065092B"/>
    <w:rsid w:val="0065093B"/>
    <w:rsid w:val="00650BDB"/>
    <w:rsid w:val="00650D2C"/>
    <w:rsid w:val="00650DA7"/>
    <w:rsid w:val="00650DD4"/>
    <w:rsid w:val="00650F47"/>
    <w:rsid w:val="00650F64"/>
    <w:rsid w:val="00651002"/>
    <w:rsid w:val="00651044"/>
    <w:rsid w:val="0065112C"/>
    <w:rsid w:val="0065128A"/>
    <w:rsid w:val="006512D9"/>
    <w:rsid w:val="006512DC"/>
    <w:rsid w:val="006513B4"/>
    <w:rsid w:val="00651644"/>
    <w:rsid w:val="006516CF"/>
    <w:rsid w:val="0065184C"/>
    <w:rsid w:val="006518A9"/>
    <w:rsid w:val="006518CC"/>
    <w:rsid w:val="006519A9"/>
    <w:rsid w:val="006519B9"/>
    <w:rsid w:val="00651A03"/>
    <w:rsid w:val="00651A04"/>
    <w:rsid w:val="00651A0E"/>
    <w:rsid w:val="00651ACA"/>
    <w:rsid w:val="00651C1D"/>
    <w:rsid w:val="00651CCC"/>
    <w:rsid w:val="00651D4B"/>
    <w:rsid w:val="00651D9A"/>
    <w:rsid w:val="00651E3F"/>
    <w:rsid w:val="00651ED0"/>
    <w:rsid w:val="00651FD1"/>
    <w:rsid w:val="0065201D"/>
    <w:rsid w:val="00652040"/>
    <w:rsid w:val="00652055"/>
    <w:rsid w:val="00652062"/>
    <w:rsid w:val="0065212D"/>
    <w:rsid w:val="00652208"/>
    <w:rsid w:val="0065221B"/>
    <w:rsid w:val="006522B3"/>
    <w:rsid w:val="006522C4"/>
    <w:rsid w:val="0065236B"/>
    <w:rsid w:val="006523BB"/>
    <w:rsid w:val="0065241E"/>
    <w:rsid w:val="00652509"/>
    <w:rsid w:val="006529BE"/>
    <w:rsid w:val="00652A48"/>
    <w:rsid w:val="00652B74"/>
    <w:rsid w:val="00652B7A"/>
    <w:rsid w:val="00652D22"/>
    <w:rsid w:val="00652D85"/>
    <w:rsid w:val="00653163"/>
    <w:rsid w:val="0065319B"/>
    <w:rsid w:val="00653476"/>
    <w:rsid w:val="006534F0"/>
    <w:rsid w:val="0065350B"/>
    <w:rsid w:val="0065359F"/>
    <w:rsid w:val="00653655"/>
    <w:rsid w:val="006537D5"/>
    <w:rsid w:val="00653886"/>
    <w:rsid w:val="00653D5B"/>
    <w:rsid w:val="00653F18"/>
    <w:rsid w:val="00653FA1"/>
    <w:rsid w:val="00654011"/>
    <w:rsid w:val="00654229"/>
    <w:rsid w:val="00654290"/>
    <w:rsid w:val="006542D9"/>
    <w:rsid w:val="0065439D"/>
    <w:rsid w:val="00654465"/>
    <w:rsid w:val="00654506"/>
    <w:rsid w:val="0065481C"/>
    <w:rsid w:val="00654857"/>
    <w:rsid w:val="00654894"/>
    <w:rsid w:val="00654A73"/>
    <w:rsid w:val="00654A9A"/>
    <w:rsid w:val="00654AE3"/>
    <w:rsid w:val="00654BA4"/>
    <w:rsid w:val="00654BF4"/>
    <w:rsid w:val="00654CAA"/>
    <w:rsid w:val="00654E75"/>
    <w:rsid w:val="00654EAA"/>
    <w:rsid w:val="006550C8"/>
    <w:rsid w:val="00655188"/>
    <w:rsid w:val="006551B3"/>
    <w:rsid w:val="0065528A"/>
    <w:rsid w:val="0065535B"/>
    <w:rsid w:val="006553C7"/>
    <w:rsid w:val="0065565A"/>
    <w:rsid w:val="00655796"/>
    <w:rsid w:val="00655833"/>
    <w:rsid w:val="006558A7"/>
    <w:rsid w:val="00655A64"/>
    <w:rsid w:val="00655AEB"/>
    <w:rsid w:val="00655D1A"/>
    <w:rsid w:val="00655E0C"/>
    <w:rsid w:val="00655E9A"/>
    <w:rsid w:val="00655EEA"/>
    <w:rsid w:val="0065610B"/>
    <w:rsid w:val="00656149"/>
    <w:rsid w:val="006562A9"/>
    <w:rsid w:val="00656357"/>
    <w:rsid w:val="006563B6"/>
    <w:rsid w:val="006564CA"/>
    <w:rsid w:val="00656615"/>
    <w:rsid w:val="006566BA"/>
    <w:rsid w:val="006566EE"/>
    <w:rsid w:val="0065683D"/>
    <w:rsid w:val="0065686C"/>
    <w:rsid w:val="00656BE3"/>
    <w:rsid w:val="00656CEE"/>
    <w:rsid w:val="00656DE3"/>
    <w:rsid w:val="00656DE7"/>
    <w:rsid w:val="00656EBA"/>
    <w:rsid w:val="00656FA1"/>
    <w:rsid w:val="0065700B"/>
    <w:rsid w:val="0065702E"/>
    <w:rsid w:val="00657053"/>
    <w:rsid w:val="006570F5"/>
    <w:rsid w:val="00657134"/>
    <w:rsid w:val="00657199"/>
    <w:rsid w:val="0065720F"/>
    <w:rsid w:val="00657365"/>
    <w:rsid w:val="006574B5"/>
    <w:rsid w:val="006575CE"/>
    <w:rsid w:val="006575E3"/>
    <w:rsid w:val="006577CC"/>
    <w:rsid w:val="0065782D"/>
    <w:rsid w:val="006579F4"/>
    <w:rsid w:val="00657A38"/>
    <w:rsid w:val="00657BE6"/>
    <w:rsid w:val="00657DD7"/>
    <w:rsid w:val="00657E5F"/>
    <w:rsid w:val="00657E63"/>
    <w:rsid w:val="00657EC8"/>
    <w:rsid w:val="00657EF4"/>
    <w:rsid w:val="00657F6C"/>
    <w:rsid w:val="00660016"/>
    <w:rsid w:val="00660190"/>
    <w:rsid w:val="00660197"/>
    <w:rsid w:val="006602F3"/>
    <w:rsid w:val="0066031B"/>
    <w:rsid w:val="00660343"/>
    <w:rsid w:val="00660514"/>
    <w:rsid w:val="0066062A"/>
    <w:rsid w:val="00660649"/>
    <w:rsid w:val="006606E7"/>
    <w:rsid w:val="0066070E"/>
    <w:rsid w:val="0066076A"/>
    <w:rsid w:val="00660780"/>
    <w:rsid w:val="00660843"/>
    <w:rsid w:val="006608B9"/>
    <w:rsid w:val="006608C1"/>
    <w:rsid w:val="006608E3"/>
    <w:rsid w:val="00660904"/>
    <w:rsid w:val="0066098A"/>
    <w:rsid w:val="00660A77"/>
    <w:rsid w:val="00660AEC"/>
    <w:rsid w:val="00660B58"/>
    <w:rsid w:val="00660CC3"/>
    <w:rsid w:val="00660EEF"/>
    <w:rsid w:val="00661007"/>
    <w:rsid w:val="0066103F"/>
    <w:rsid w:val="00661107"/>
    <w:rsid w:val="00661149"/>
    <w:rsid w:val="00661220"/>
    <w:rsid w:val="006612A4"/>
    <w:rsid w:val="0066139A"/>
    <w:rsid w:val="0066143D"/>
    <w:rsid w:val="00661577"/>
    <w:rsid w:val="00661663"/>
    <w:rsid w:val="00661667"/>
    <w:rsid w:val="0066182C"/>
    <w:rsid w:val="0066184D"/>
    <w:rsid w:val="00661894"/>
    <w:rsid w:val="00661940"/>
    <w:rsid w:val="00661943"/>
    <w:rsid w:val="00661982"/>
    <w:rsid w:val="006619B5"/>
    <w:rsid w:val="006619C8"/>
    <w:rsid w:val="00661A8A"/>
    <w:rsid w:val="00661AD8"/>
    <w:rsid w:val="00661B0D"/>
    <w:rsid w:val="00661C01"/>
    <w:rsid w:val="00661C3E"/>
    <w:rsid w:val="00661C94"/>
    <w:rsid w:val="00661E3B"/>
    <w:rsid w:val="00661ED7"/>
    <w:rsid w:val="00661FC9"/>
    <w:rsid w:val="00662049"/>
    <w:rsid w:val="0066204A"/>
    <w:rsid w:val="00662095"/>
    <w:rsid w:val="0066217E"/>
    <w:rsid w:val="00662209"/>
    <w:rsid w:val="00662273"/>
    <w:rsid w:val="00662293"/>
    <w:rsid w:val="006622E8"/>
    <w:rsid w:val="0066231B"/>
    <w:rsid w:val="00662913"/>
    <w:rsid w:val="00662974"/>
    <w:rsid w:val="00662CF1"/>
    <w:rsid w:val="00662CF5"/>
    <w:rsid w:val="00662DCB"/>
    <w:rsid w:val="00662DE2"/>
    <w:rsid w:val="00662DFD"/>
    <w:rsid w:val="00662E04"/>
    <w:rsid w:val="00662F33"/>
    <w:rsid w:val="00662FAC"/>
    <w:rsid w:val="006630D6"/>
    <w:rsid w:val="006631A2"/>
    <w:rsid w:val="0066354C"/>
    <w:rsid w:val="006639AB"/>
    <w:rsid w:val="00663A5A"/>
    <w:rsid w:val="00663A7E"/>
    <w:rsid w:val="00663B5C"/>
    <w:rsid w:val="00663C0A"/>
    <w:rsid w:val="00663C69"/>
    <w:rsid w:val="00663C8F"/>
    <w:rsid w:val="00663D52"/>
    <w:rsid w:val="00663E1F"/>
    <w:rsid w:val="00663E2D"/>
    <w:rsid w:val="00663E5A"/>
    <w:rsid w:val="00663E7B"/>
    <w:rsid w:val="00663FD0"/>
    <w:rsid w:val="00664052"/>
    <w:rsid w:val="00664146"/>
    <w:rsid w:val="0066418E"/>
    <w:rsid w:val="0066419B"/>
    <w:rsid w:val="006641C1"/>
    <w:rsid w:val="00664227"/>
    <w:rsid w:val="006642B3"/>
    <w:rsid w:val="006642D5"/>
    <w:rsid w:val="0066431A"/>
    <w:rsid w:val="0066438E"/>
    <w:rsid w:val="006643A8"/>
    <w:rsid w:val="006644E8"/>
    <w:rsid w:val="00664501"/>
    <w:rsid w:val="0066451F"/>
    <w:rsid w:val="0066453F"/>
    <w:rsid w:val="006646B8"/>
    <w:rsid w:val="00664940"/>
    <w:rsid w:val="00664A03"/>
    <w:rsid w:val="00664A73"/>
    <w:rsid w:val="00664A79"/>
    <w:rsid w:val="00664CBE"/>
    <w:rsid w:val="00664D06"/>
    <w:rsid w:val="00664DA1"/>
    <w:rsid w:val="00664DD4"/>
    <w:rsid w:val="00664DDD"/>
    <w:rsid w:val="00664EB1"/>
    <w:rsid w:val="00664F77"/>
    <w:rsid w:val="0066548D"/>
    <w:rsid w:val="0066549F"/>
    <w:rsid w:val="0066551A"/>
    <w:rsid w:val="00665579"/>
    <w:rsid w:val="006655CA"/>
    <w:rsid w:val="006655F1"/>
    <w:rsid w:val="006655FC"/>
    <w:rsid w:val="00665606"/>
    <w:rsid w:val="0066566C"/>
    <w:rsid w:val="0066568A"/>
    <w:rsid w:val="0066571D"/>
    <w:rsid w:val="00665725"/>
    <w:rsid w:val="00665886"/>
    <w:rsid w:val="006658BC"/>
    <w:rsid w:val="00665921"/>
    <w:rsid w:val="006659C5"/>
    <w:rsid w:val="006659E7"/>
    <w:rsid w:val="00665B92"/>
    <w:rsid w:val="00665D35"/>
    <w:rsid w:val="00665DAF"/>
    <w:rsid w:val="00665F4B"/>
    <w:rsid w:val="006660E4"/>
    <w:rsid w:val="0066636E"/>
    <w:rsid w:val="00666404"/>
    <w:rsid w:val="0066646F"/>
    <w:rsid w:val="0066653D"/>
    <w:rsid w:val="00666555"/>
    <w:rsid w:val="0066659B"/>
    <w:rsid w:val="0066668E"/>
    <w:rsid w:val="0066677A"/>
    <w:rsid w:val="0066678D"/>
    <w:rsid w:val="006667B5"/>
    <w:rsid w:val="006667BE"/>
    <w:rsid w:val="00666A6A"/>
    <w:rsid w:val="00666ACA"/>
    <w:rsid w:val="00666BA4"/>
    <w:rsid w:val="00666C67"/>
    <w:rsid w:val="00666D7D"/>
    <w:rsid w:val="00666D9E"/>
    <w:rsid w:val="00666DFA"/>
    <w:rsid w:val="00666E32"/>
    <w:rsid w:val="00666E3B"/>
    <w:rsid w:val="00666F5B"/>
    <w:rsid w:val="006671B8"/>
    <w:rsid w:val="00667390"/>
    <w:rsid w:val="006673B1"/>
    <w:rsid w:val="0066742B"/>
    <w:rsid w:val="00667455"/>
    <w:rsid w:val="0066747B"/>
    <w:rsid w:val="00667501"/>
    <w:rsid w:val="0066751B"/>
    <w:rsid w:val="00667544"/>
    <w:rsid w:val="00667550"/>
    <w:rsid w:val="00667715"/>
    <w:rsid w:val="006677A8"/>
    <w:rsid w:val="0066781D"/>
    <w:rsid w:val="006678CA"/>
    <w:rsid w:val="006679D9"/>
    <w:rsid w:val="006679DC"/>
    <w:rsid w:val="00667B90"/>
    <w:rsid w:val="00667E8E"/>
    <w:rsid w:val="00667F44"/>
    <w:rsid w:val="00667F5B"/>
    <w:rsid w:val="00667FA9"/>
    <w:rsid w:val="0067019C"/>
    <w:rsid w:val="0067027B"/>
    <w:rsid w:val="00670283"/>
    <w:rsid w:val="006702E2"/>
    <w:rsid w:val="006704A0"/>
    <w:rsid w:val="0067056D"/>
    <w:rsid w:val="00670599"/>
    <w:rsid w:val="006705C6"/>
    <w:rsid w:val="006705F6"/>
    <w:rsid w:val="0067062E"/>
    <w:rsid w:val="00670787"/>
    <w:rsid w:val="006707DD"/>
    <w:rsid w:val="0067080A"/>
    <w:rsid w:val="00670846"/>
    <w:rsid w:val="00670A50"/>
    <w:rsid w:val="00670A7F"/>
    <w:rsid w:val="00670A88"/>
    <w:rsid w:val="00670A9E"/>
    <w:rsid w:val="00670B24"/>
    <w:rsid w:val="00670CAC"/>
    <w:rsid w:val="00670E7A"/>
    <w:rsid w:val="00670EDE"/>
    <w:rsid w:val="00670EEB"/>
    <w:rsid w:val="00670F4F"/>
    <w:rsid w:val="00671036"/>
    <w:rsid w:val="006710C3"/>
    <w:rsid w:val="0067129B"/>
    <w:rsid w:val="0067136D"/>
    <w:rsid w:val="0067138C"/>
    <w:rsid w:val="00671496"/>
    <w:rsid w:val="00671660"/>
    <w:rsid w:val="00671714"/>
    <w:rsid w:val="00671753"/>
    <w:rsid w:val="006717DA"/>
    <w:rsid w:val="006717FD"/>
    <w:rsid w:val="006718FD"/>
    <w:rsid w:val="00671915"/>
    <w:rsid w:val="00671957"/>
    <w:rsid w:val="006719A0"/>
    <w:rsid w:val="006719FA"/>
    <w:rsid w:val="00671A81"/>
    <w:rsid w:val="00671A88"/>
    <w:rsid w:val="00671C71"/>
    <w:rsid w:val="00671C91"/>
    <w:rsid w:val="00671CDC"/>
    <w:rsid w:val="00671D02"/>
    <w:rsid w:val="00671D18"/>
    <w:rsid w:val="00671D29"/>
    <w:rsid w:val="00671DE5"/>
    <w:rsid w:val="00671E61"/>
    <w:rsid w:val="0067207F"/>
    <w:rsid w:val="0067220C"/>
    <w:rsid w:val="00672262"/>
    <w:rsid w:val="006722E0"/>
    <w:rsid w:val="006722E6"/>
    <w:rsid w:val="006723CC"/>
    <w:rsid w:val="0067263D"/>
    <w:rsid w:val="006726B4"/>
    <w:rsid w:val="006726E1"/>
    <w:rsid w:val="006726FA"/>
    <w:rsid w:val="0067273B"/>
    <w:rsid w:val="0067276C"/>
    <w:rsid w:val="006727A8"/>
    <w:rsid w:val="006727A9"/>
    <w:rsid w:val="006727C8"/>
    <w:rsid w:val="00672803"/>
    <w:rsid w:val="006728B8"/>
    <w:rsid w:val="00672953"/>
    <w:rsid w:val="00672A19"/>
    <w:rsid w:val="00672A35"/>
    <w:rsid w:val="00672AFD"/>
    <w:rsid w:val="00672B64"/>
    <w:rsid w:val="00672BB0"/>
    <w:rsid w:val="00672BB8"/>
    <w:rsid w:val="00672D76"/>
    <w:rsid w:val="00672DC4"/>
    <w:rsid w:val="00672E03"/>
    <w:rsid w:val="00672E38"/>
    <w:rsid w:val="00672F4A"/>
    <w:rsid w:val="00672FCB"/>
    <w:rsid w:val="0067302F"/>
    <w:rsid w:val="00673047"/>
    <w:rsid w:val="006732F2"/>
    <w:rsid w:val="006732FE"/>
    <w:rsid w:val="00673310"/>
    <w:rsid w:val="006733CF"/>
    <w:rsid w:val="00673430"/>
    <w:rsid w:val="006735C1"/>
    <w:rsid w:val="00673693"/>
    <w:rsid w:val="00673795"/>
    <w:rsid w:val="006737E2"/>
    <w:rsid w:val="006738A0"/>
    <w:rsid w:val="006738BE"/>
    <w:rsid w:val="0067390A"/>
    <w:rsid w:val="0067398F"/>
    <w:rsid w:val="00673A55"/>
    <w:rsid w:val="00673AF7"/>
    <w:rsid w:val="00673BC4"/>
    <w:rsid w:val="00673BC5"/>
    <w:rsid w:val="00673E7C"/>
    <w:rsid w:val="00673F90"/>
    <w:rsid w:val="00673FAC"/>
    <w:rsid w:val="00673FC5"/>
    <w:rsid w:val="00674021"/>
    <w:rsid w:val="00674056"/>
    <w:rsid w:val="006743A2"/>
    <w:rsid w:val="006743DD"/>
    <w:rsid w:val="006743E1"/>
    <w:rsid w:val="006743EC"/>
    <w:rsid w:val="0067440B"/>
    <w:rsid w:val="006745A0"/>
    <w:rsid w:val="00674732"/>
    <w:rsid w:val="006747A4"/>
    <w:rsid w:val="00674939"/>
    <w:rsid w:val="006749A9"/>
    <w:rsid w:val="006749E4"/>
    <w:rsid w:val="00674A21"/>
    <w:rsid w:val="00674AD1"/>
    <w:rsid w:val="00674D04"/>
    <w:rsid w:val="00674E25"/>
    <w:rsid w:val="00674E31"/>
    <w:rsid w:val="00674EC7"/>
    <w:rsid w:val="00674F48"/>
    <w:rsid w:val="0067507B"/>
    <w:rsid w:val="006750EF"/>
    <w:rsid w:val="0067511F"/>
    <w:rsid w:val="00675150"/>
    <w:rsid w:val="006751B2"/>
    <w:rsid w:val="00675218"/>
    <w:rsid w:val="00675232"/>
    <w:rsid w:val="006752E7"/>
    <w:rsid w:val="00675335"/>
    <w:rsid w:val="00675537"/>
    <w:rsid w:val="00675541"/>
    <w:rsid w:val="006755F4"/>
    <w:rsid w:val="006756FE"/>
    <w:rsid w:val="00675723"/>
    <w:rsid w:val="00675774"/>
    <w:rsid w:val="006757E8"/>
    <w:rsid w:val="00675848"/>
    <w:rsid w:val="006758CA"/>
    <w:rsid w:val="006759B2"/>
    <w:rsid w:val="006759C2"/>
    <w:rsid w:val="006759D5"/>
    <w:rsid w:val="00675A1A"/>
    <w:rsid w:val="00675AD7"/>
    <w:rsid w:val="00675B49"/>
    <w:rsid w:val="00675B91"/>
    <w:rsid w:val="00675C43"/>
    <w:rsid w:val="00675CFC"/>
    <w:rsid w:val="00675DBE"/>
    <w:rsid w:val="00675DCD"/>
    <w:rsid w:val="006763BC"/>
    <w:rsid w:val="00676454"/>
    <w:rsid w:val="006764D7"/>
    <w:rsid w:val="00676561"/>
    <w:rsid w:val="006765E9"/>
    <w:rsid w:val="00676635"/>
    <w:rsid w:val="006766E7"/>
    <w:rsid w:val="00676768"/>
    <w:rsid w:val="00676779"/>
    <w:rsid w:val="00676801"/>
    <w:rsid w:val="0067687C"/>
    <w:rsid w:val="006768FF"/>
    <w:rsid w:val="00676972"/>
    <w:rsid w:val="006769D2"/>
    <w:rsid w:val="00676A26"/>
    <w:rsid w:val="00676A97"/>
    <w:rsid w:val="00676B96"/>
    <w:rsid w:val="00676CB1"/>
    <w:rsid w:val="00676ECC"/>
    <w:rsid w:val="00676FFA"/>
    <w:rsid w:val="00677156"/>
    <w:rsid w:val="0067721E"/>
    <w:rsid w:val="00677229"/>
    <w:rsid w:val="00677689"/>
    <w:rsid w:val="006776DB"/>
    <w:rsid w:val="0067775E"/>
    <w:rsid w:val="00677814"/>
    <w:rsid w:val="00677B68"/>
    <w:rsid w:val="00677BA4"/>
    <w:rsid w:val="00677BBB"/>
    <w:rsid w:val="00677BD8"/>
    <w:rsid w:val="00677C0B"/>
    <w:rsid w:val="00677C33"/>
    <w:rsid w:val="00677C61"/>
    <w:rsid w:val="00677CCC"/>
    <w:rsid w:val="00677DF0"/>
    <w:rsid w:val="00677E90"/>
    <w:rsid w:val="00677EDF"/>
    <w:rsid w:val="00677F16"/>
    <w:rsid w:val="00677FB0"/>
    <w:rsid w:val="006801DD"/>
    <w:rsid w:val="006802E7"/>
    <w:rsid w:val="00680336"/>
    <w:rsid w:val="0068033D"/>
    <w:rsid w:val="00680416"/>
    <w:rsid w:val="0068043B"/>
    <w:rsid w:val="00680446"/>
    <w:rsid w:val="0068056D"/>
    <w:rsid w:val="00680571"/>
    <w:rsid w:val="0068058F"/>
    <w:rsid w:val="006805A5"/>
    <w:rsid w:val="0068063B"/>
    <w:rsid w:val="0068072E"/>
    <w:rsid w:val="00680762"/>
    <w:rsid w:val="00680935"/>
    <w:rsid w:val="00680A06"/>
    <w:rsid w:val="00680A81"/>
    <w:rsid w:val="00680A9D"/>
    <w:rsid w:val="00680AB9"/>
    <w:rsid w:val="00680BF6"/>
    <w:rsid w:val="00680BFB"/>
    <w:rsid w:val="00680C3B"/>
    <w:rsid w:val="00680C75"/>
    <w:rsid w:val="00680D7D"/>
    <w:rsid w:val="00680D9F"/>
    <w:rsid w:val="00680DAA"/>
    <w:rsid w:val="00680F1F"/>
    <w:rsid w:val="0068109A"/>
    <w:rsid w:val="006811C2"/>
    <w:rsid w:val="006813EE"/>
    <w:rsid w:val="006813EF"/>
    <w:rsid w:val="00681434"/>
    <w:rsid w:val="0068148F"/>
    <w:rsid w:val="00681495"/>
    <w:rsid w:val="006814DF"/>
    <w:rsid w:val="00681544"/>
    <w:rsid w:val="00681606"/>
    <w:rsid w:val="0068168B"/>
    <w:rsid w:val="006816BD"/>
    <w:rsid w:val="006817DB"/>
    <w:rsid w:val="00681846"/>
    <w:rsid w:val="0068186E"/>
    <w:rsid w:val="00681970"/>
    <w:rsid w:val="00681A6F"/>
    <w:rsid w:val="00681B78"/>
    <w:rsid w:val="00681B81"/>
    <w:rsid w:val="00681CF7"/>
    <w:rsid w:val="00681FFB"/>
    <w:rsid w:val="0068203A"/>
    <w:rsid w:val="006820C3"/>
    <w:rsid w:val="006821B6"/>
    <w:rsid w:val="006821C3"/>
    <w:rsid w:val="00682236"/>
    <w:rsid w:val="00682294"/>
    <w:rsid w:val="006822DE"/>
    <w:rsid w:val="00682418"/>
    <w:rsid w:val="0068256C"/>
    <w:rsid w:val="0068262D"/>
    <w:rsid w:val="00682755"/>
    <w:rsid w:val="006828EC"/>
    <w:rsid w:val="006828F5"/>
    <w:rsid w:val="0068293B"/>
    <w:rsid w:val="00682A66"/>
    <w:rsid w:val="00682AC0"/>
    <w:rsid w:val="00682BAD"/>
    <w:rsid w:val="006830E4"/>
    <w:rsid w:val="0068312F"/>
    <w:rsid w:val="006833D8"/>
    <w:rsid w:val="006833DC"/>
    <w:rsid w:val="006835F4"/>
    <w:rsid w:val="00683720"/>
    <w:rsid w:val="006837AB"/>
    <w:rsid w:val="00683806"/>
    <w:rsid w:val="0068398F"/>
    <w:rsid w:val="00683A01"/>
    <w:rsid w:val="00683A18"/>
    <w:rsid w:val="00683B32"/>
    <w:rsid w:val="00683D05"/>
    <w:rsid w:val="00683D3C"/>
    <w:rsid w:val="00683DE2"/>
    <w:rsid w:val="00683EF4"/>
    <w:rsid w:val="00683F70"/>
    <w:rsid w:val="00683FA6"/>
    <w:rsid w:val="00684085"/>
    <w:rsid w:val="00684120"/>
    <w:rsid w:val="0068429E"/>
    <w:rsid w:val="006842B1"/>
    <w:rsid w:val="00684365"/>
    <w:rsid w:val="006843D0"/>
    <w:rsid w:val="006843FF"/>
    <w:rsid w:val="00684488"/>
    <w:rsid w:val="0068454E"/>
    <w:rsid w:val="00684646"/>
    <w:rsid w:val="00684659"/>
    <w:rsid w:val="006847C3"/>
    <w:rsid w:val="006847E8"/>
    <w:rsid w:val="006848D7"/>
    <w:rsid w:val="00684973"/>
    <w:rsid w:val="00684985"/>
    <w:rsid w:val="006849A0"/>
    <w:rsid w:val="00684A01"/>
    <w:rsid w:val="00684A49"/>
    <w:rsid w:val="00684C0A"/>
    <w:rsid w:val="00684D45"/>
    <w:rsid w:val="00684F65"/>
    <w:rsid w:val="00685172"/>
    <w:rsid w:val="006851F2"/>
    <w:rsid w:val="006852B0"/>
    <w:rsid w:val="006852D9"/>
    <w:rsid w:val="006852E9"/>
    <w:rsid w:val="006853A7"/>
    <w:rsid w:val="006853FD"/>
    <w:rsid w:val="00685489"/>
    <w:rsid w:val="006854EA"/>
    <w:rsid w:val="006855B7"/>
    <w:rsid w:val="0068566F"/>
    <w:rsid w:val="006856FF"/>
    <w:rsid w:val="006857AF"/>
    <w:rsid w:val="00685948"/>
    <w:rsid w:val="00685B08"/>
    <w:rsid w:val="00685B7E"/>
    <w:rsid w:val="00685BCA"/>
    <w:rsid w:val="00685C9F"/>
    <w:rsid w:val="00685D75"/>
    <w:rsid w:val="00685D77"/>
    <w:rsid w:val="00685EAD"/>
    <w:rsid w:val="00685F90"/>
    <w:rsid w:val="0068635B"/>
    <w:rsid w:val="006863C3"/>
    <w:rsid w:val="00686497"/>
    <w:rsid w:val="0068652E"/>
    <w:rsid w:val="00686535"/>
    <w:rsid w:val="0068654F"/>
    <w:rsid w:val="0068660A"/>
    <w:rsid w:val="0068663F"/>
    <w:rsid w:val="00686665"/>
    <w:rsid w:val="00686756"/>
    <w:rsid w:val="0068675C"/>
    <w:rsid w:val="006868C5"/>
    <w:rsid w:val="006868D6"/>
    <w:rsid w:val="00686959"/>
    <w:rsid w:val="006869A6"/>
    <w:rsid w:val="00686A5E"/>
    <w:rsid w:val="00686A66"/>
    <w:rsid w:val="00686C0D"/>
    <w:rsid w:val="00686CD0"/>
    <w:rsid w:val="00686DAF"/>
    <w:rsid w:val="006870DD"/>
    <w:rsid w:val="006870F8"/>
    <w:rsid w:val="00687118"/>
    <w:rsid w:val="00687146"/>
    <w:rsid w:val="00687274"/>
    <w:rsid w:val="006873CC"/>
    <w:rsid w:val="00687456"/>
    <w:rsid w:val="006875ED"/>
    <w:rsid w:val="00687644"/>
    <w:rsid w:val="0068769D"/>
    <w:rsid w:val="006876E2"/>
    <w:rsid w:val="00687735"/>
    <w:rsid w:val="006879CC"/>
    <w:rsid w:val="00687ADF"/>
    <w:rsid w:val="00687B93"/>
    <w:rsid w:val="00687C07"/>
    <w:rsid w:val="00687D05"/>
    <w:rsid w:val="00687EA0"/>
    <w:rsid w:val="006903B7"/>
    <w:rsid w:val="0069057F"/>
    <w:rsid w:val="00690600"/>
    <w:rsid w:val="006906A9"/>
    <w:rsid w:val="006908C0"/>
    <w:rsid w:val="0069091F"/>
    <w:rsid w:val="00690B7C"/>
    <w:rsid w:val="00690B7F"/>
    <w:rsid w:val="00690B96"/>
    <w:rsid w:val="00690BE7"/>
    <w:rsid w:val="00690D56"/>
    <w:rsid w:val="00690DD1"/>
    <w:rsid w:val="00690E63"/>
    <w:rsid w:val="00690E9F"/>
    <w:rsid w:val="00690EAC"/>
    <w:rsid w:val="006911F5"/>
    <w:rsid w:val="006912B9"/>
    <w:rsid w:val="00691368"/>
    <w:rsid w:val="00691376"/>
    <w:rsid w:val="006913AB"/>
    <w:rsid w:val="00691533"/>
    <w:rsid w:val="0069167C"/>
    <w:rsid w:val="006916AF"/>
    <w:rsid w:val="0069178C"/>
    <w:rsid w:val="006918C1"/>
    <w:rsid w:val="006918E3"/>
    <w:rsid w:val="00691911"/>
    <w:rsid w:val="0069194D"/>
    <w:rsid w:val="00691990"/>
    <w:rsid w:val="00691A72"/>
    <w:rsid w:val="00691C3E"/>
    <w:rsid w:val="00691F08"/>
    <w:rsid w:val="00691F71"/>
    <w:rsid w:val="00692066"/>
    <w:rsid w:val="00692184"/>
    <w:rsid w:val="006921D0"/>
    <w:rsid w:val="006921F0"/>
    <w:rsid w:val="006923E1"/>
    <w:rsid w:val="0069251A"/>
    <w:rsid w:val="00692590"/>
    <w:rsid w:val="006925AA"/>
    <w:rsid w:val="00692879"/>
    <w:rsid w:val="0069296D"/>
    <w:rsid w:val="00692A27"/>
    <w:rsid w:val="00692A34"/>
    <w:rsid w:val="00692A37"/>
    <w:rsid w:val="00692A97"/>
    <w:rsid w:val="00692B4F"/>
    <w:rsid w:val="00692C8D"/>
    <w:rsid w:val="00692CB8"/>
    <w:rsid w:val="00692E0D"/>
    <w:rsid w:val="00692F6D"/>
    <w:rsid w:val="006930E6"/>
    <w:rsid w:val="0069319A"/>
    <w:rsid w:val="006931CD"/>
    <w:rsid w:val="00693227"/>
    <w:rsid w:val="00693295"/>
    <w:rsid w:val="0069329E"/>
    <w:rsid w:val="00693367"/>
    <w:rsid w:val="00693559"/>
    <w:rsid w:val="0069356C"/>
    <w:rsid w:val="0069359B"/>
    <w:rsid w:val="006935C4"/>
    <w:rsid w:val="00693601"/>
    <w:rsid w:val="0069367E"/>
    <w:rsid w:val="006936A2"/>
    <w:rsid w:val="00693963"/>
    <w:rsid w:val="006939B8"/>
    <w:rsid w:val="006939D5"/>
    <w:rsid w:val="00693BA2"/>
    <w:rsid w:val="00693BA3"/>
    <w:rsid w:val="00693CAD"/>
    <w:rsid w:val="00693D50"/>
    <w:rsid w:val="00693D6D"/>
    <w:rsid w:val="00693D9F"/>
    <w:rsid w:val="00693EAF"/>
    <w:rsid w:val="00693EB3"/>
    <w:rsid w:val="006940E2"/>
    <w:rsid w:val="0069424E"/>
    <w:rsid w:val="006942F9"/>
    <w:rsid w:val="00694311"/>
    <w:rsid w:val="00694375"/>
    <w:rsid w:val="00694400"/>
    <w:rsid w:val="00694485"/>
    <w:rsid w:val="00694515"/>
    <w:rsid w:val="0069452C"/>
    <w:rsid w:val="006945B8"/>
    <w:rsid w:val="006946FB"/>
    <w:rsid w:val="006947AC"/>
    <w:rsid w:val="006949CF"/>
    <w:rsid w:val="006949DF"/>
    <w:rsid w:val="00694A85"/>
    <w:rsid w:val="00694B0C"/>
    <w:rsid w:val="00694B1D"/>
    <w:rsid w:val="00694B7E"/>
    <w:rsid w:val="00694CAD"/>
    <w:rsid w:val="00694E9F"/>
    <w:rsid w:val="00694F9F"/>
    <w:rsid w:val="006951C4"/>
    <w:rsid w:val="0069521E"/>
    <w:rsid w:val="00695259"/>
    <w:rsid w:val="006952C7"/>
    <w:rsid w:val="006954AE"/>
    <w:rsid w:val="00695537"/>
    <w:rsid w:val="00695539"/>
    <w:rsid w:val="0069553E"/>
    <w:rsid w:val="0069556B"/>
    <w:rsid w:val="00695726"/>
    <w:rsid w:val="00695736"/>
    <w:rsid w:val="0069594B"/>
    <w:rsid w:val="006959EE"/>
    <w:rsid w:val="00695A00"/>
    <w:rsid w:val="00695A1A"/>
    <w:rsid w:val="00695CC6"/>
    <w:rsid w:val="00695DD0"/>
    <w:rsid w:val="00695DD7"/>
    <w:rsid w:val="00695E09"/>
    <w:rsid w:val="00695FD9"/>
    <w:rsid w:val="0069603D"/>
    <w:rsid w:val="006960F0"/>
    <w:rsid w:val="006961EF"/>
    <w:rsid w:val="006961F6"/>
    <w:rsid w:val="006963A5"/>
    <w:rsid w:val="0069641B"/>
    <w:rsid w:val="00696441"/>
    <w:rsid w:val="006965BA"/>
    <w:rsid w:val="006965F4"/>
    <w:rsid w:val="006966FE"/>
    <w:rsid w:val="00696760"/>
    <w:rsid w:val="00696787"/>
    <w:rsid w:val="00696793"/>
    <w:rsid w:val="006969C5"/>
    <w:rsid w:val="006969D8"/>
    <w:rsid w:val="00696B69"/>
    <w:rsid w:val="00696C8B"/>
    <w:rsid w:val="00696D01"/>
    <w:rsid w:val="00696D24"/>
    <w:rsid w:val="00696DD1"/>
    <w:rsid w:val="00696E3B"/>
    <w:rsid w:val="00696E75"/>
    <w:rsid w:val="00696E76"/>
    <w:rsid w:val="00696F53"/>
    <w:rsid w:val="006973E4"/>
    <w:rsid w:val="006974F2"/>
    <w:rsid w:val="00697548"/>
    <w:rsid w:val="006975A5"/>
    <w:rsid w:val="006977CA"/>
    <w:rsid w:val="0069785B"/>
    <w:rsid w:val="00697ADD"/>
    <w:rsid w:val="00697AEF"/>
    <w:rsid w:val="00697C56"/>
    <w:rsid w:val="00697FBF"/>
    <w:rsid w:val="006A0016"/>
    <w:rsid w:val="006A0018"/>
    <w:rsid w:val="006A0051"/>
    <w:rsid w:val="006A006E"/>
    <w:rsid w:val="006A00EF"/>
    <w:rsid w:val="006A017B"/>
    <w:rsid w:val="006A017E"/>
    <w:rsid w:val="006A02CF"/>
    <w:rsid w:val="006A0396"/>
    <w:rsid w:val="006A049F"/>
    <w:rsid w:val="006A0546"/>
    <w:rsid w:val="006A05C2"/>
    <w:rsid w:val="006A068B"/>
    <w:rsid w:val="006A06A1"/>
    <w:rsid w:val="006A06A6"/>
    <w:rsid w:val="006A073F"/>
    <w:rsid w:val="006A079E"/>
    <w:rsid w:val="006A0A57"/>
    <w:rsid w:val="006A0CE0"/>
    <w:rsid w:val="006A1081"/>
    <w:rsid w:val="006A11D1"/>
    <w:rsid w:val="006A11D6"/>
    <w:rsid w:val="006A125D"/>
    <w:rsid w:val="006A12C4"/>
    <w:rsid w:val="006A14CE"/>
    <w:rsid w:val="006A14EE"/>
    <w:rsid w:val="006A1539"/>
    <w:rsid w:val="006A15BF"/>
    <w:rsid w:val="006A16E8"/>
    <w:rsid w:val="006A1771"/>
    <w:rsid w:val="006A1824"/>
    <w:rsid w:val="006A185B"/>
    <w:rsid w:val="006A187A"/>
    <w:rsid w:val="006A18EE"/>
    <w:rsid w:val="006A1958"/>
    <w:rsid w:val="006A1A15"/>
    <w:rsid w:val="006A1B15"/>
    <w:rsid w:val="006A1B2E"/>
    <w:rsid w:val="006A1BBC"/>
    <w:rsid w:val="006A1CB1"/>
    <w:rsid w:val="006A1D2B"/>
    <w:rsid w:val="006A1D7C"/>
    <w:rsid w:val="006A1E00"/>
    <w:rsid w:val="006A1E98"/>
    <w:rsid w:val="006A1FE6"/>
    <w:rsid w:val="006A211E"/>
    <w:rsid w:val="006A2177"/>
    <w:rsid w:val="006A21B6"/>
    <w:rsid w:val="006A2284"/>
    <w:rsid w:val="006A22B5"/>
    <w:rsid w:val="006A22E8"/>
    <w:rsid w:val="006A2325"/>
    <w:rsid w:val="006A232F"/>
    <w:rsid w:val="006A236B"/>
    <w:rsid w:val="006A241B"/>
    <w:rsid w:val="006A26F7"/>
    <w:rsid w:val="006A279C"/>
    <w:rsid w:val="006A27E0"/>
    <w:rsid w:val="006A2A5F"/>
    <w:rsid w:val="006A2AC3"/>
    <w:rsid w:val="006A2AC6"/>
    <w:rsid w:val="006A2ADD"/>
    <w:rsid w:val="006A2BA8"/>
    <w:rsid w:val="006A2C72"/>
    <w:rsid w:val="006A2CC5"/>
    <w:rsid w:val="006A2CCD"/>
    <w:rsid w:val="006A2E76"/>
    <w:rsid w:val="006A2E9C"/>
    <w:rsid w:val="006A30C8"/>
    <w:rsid w:val="006A310E"/>
    <w:rsid w:val="006A312F"/>
    <w:rsid w:val="006A31F7"/>
    <w:rsid w:val="006A3257"/>
    <w:rsid w:val="006A3311"/>
    <w:rsid w:val="006A3336"/>
    <w:rsid w:val="006A3390"/>
    <w:rsid w:val="006A3574"/>
    <w:rsid w:val="006A3654"/>
    <w:rsid w:val="006A36F5"/>
    <w:rsid w:val="006A374E"/>
    <w:rsid w:val="006A37A7"/>
    <w:rsid w:val="006A3880"/>
    <w:rsid w:val="006A3955"/>
    <w:rsid w:val="006A395E"/>
    <w:rsid w:val="006A39ED"/>
    <w:rsid w:val="006A3A1F"/>
    <w:rsid w:val="006A3A38"/>
    <w:rsid w:val="006A3E09"/>
    <w:rsid w:val="006A3E38"/>
    <w:rsid w:val="006A3EAC"/>
    <w:rsid w:val="006A3FA5"/>
    <w:rsid w:val="006A40AB"/>
    <w:rsid w:val="006A4227"/>
    <w:rsid w:val="006A431D"/>
    <w:rsid w:val="006A4430"/>
    <w:rsid w:val="006A460E"/>
    <w:rsid w:val="006A464F"/>
    <w:rsid w:val="006A4763"/>
    <w:rsid w:val="006A4812"/>
    <w:rsid w:val="006A485F"/>
    <w:rsid w:val="006A488F"/>
    <w:rsid w:val="006A49C1"/>
    <w:rsid w:val="006A4AE9"/>
    <w:rsid w:val="006A4BE5"/>
    <w:rsid w:val="006A4CDB"/>
    <w:rsid w:val="006A4CF8"/>
    <w:rsid w:val="006A4D73"/>
    <w:rsid w:val="006A4D96"/>
    <w:rsid w:val="006A4E12"/>
    <w:rsid w:val="006A4F02"/>
    <w:rsid w:val="006A4F7A"/>
    <w:rsid w:val="006A4FD7"/>
    <w:rsid w:val="006A500C"/>
    <w:rsid w:val="006A50D8"/>
    <w:rsid w:val="006A51C9"/>
    <w:rsid w:val="006A52B8"/>
    <w:rsid w:val="006A52DD"/>
    <w:rsid w:val="006A5503"/>
    <w:rsid w:val="006A5511"/>
    <w:rsid w:val="006A5825"/>
    <w:rsid w:val="006A58D5"/>
    <w:rsid w:val="006A5934"/>
    <w:rsid w:val="006A59C3"/>
    <w:rsid w:val="006A59D8"/>
    <w:rsid w:val="006A5A02"/>
    <w:rsid w:val="006A5A0C"/>
    <w:rsid w:val="006A5B17"/>
    <w:rsid w:val="006A5B50"/>
    <w:rsid w:val="006A5C09"/>
    <w:rsid w:val="006A5C2D"/>
    <w:rsid w:val="006A5C36"/>
    <w:rsid w:val="006A5CE1"/>
    <w:rsid w:val="006A5EEF"/>
    <w:rsid w:val="006A5F54"/>
    <w:rsid w:val="006A5FCF"/>
    <w:rsid w:val="006A6029"/>
    <w:rsid w:val="006A6162"/>
    <w:rsid w:val="006A61C5"/>
    <w:rsid w:val="006A63E5"/>
    <w:rsid w:val="006A67E3"/>
    <w:rsid w:val="006A685A"/>
    <w:rsid w:val="006A690C"/>
    <w:rsid w:val="006A6B0B"/>
    <w:rsid w:val="006A6BD3"/>
    <w:rsid w:val="006A6C9D"/>
    <w:rsid w:val="006A6D3B"/>
    <w:rsid w:val="006A6E26"/>
    <w:rsid w:val="006A6E42"/>
    <w:rsid w:val="006A6E6D"/>
    <w:rsid w:val="006A6E8B"/>
    <w:rsid w:val="006A70A7"/>
    <w:rsid w:val="006A7169"/>
    <w:rsid w:val="006A7196"/>
    <w:rsid w:val="006A7331"/>
    <w:rsid w:val="006A73A3"/>
    <w:rsid w:val="006A73D2"/>
    <w:rsid w:val="006A74A9"/>
    <w:rsid w:val="006A74F4"/>
    <w:rsid w:val="006A7693"/>
    <w:rsid w:val="006A76C4"/>
    <w:rsid w:val="006A7736"/>
    <w:rsid w:val="006A78BD"/>
    <w:rsid w:val="006A7A17"/>
    <w:rsid w:val="006A7B31"/>
    <w:rsid w:val="006A7C11"/>
    <w:rsid w:val="006A7CF5"/>
    <w:rsid w:val="006A7D5F"/>
    <w:rsid w:val="006A7D78"/>
    <w:rsid w:val="006A7D9E"/>
    <w:rsid w:val="006A7DFC"/>
    <w:rsid w:val="006A7E0F"/>
    <w:rsid w:val="006A7F18"/>
    <w:rsid w:val="006B00D5"/>
    <w:rsid w:val="006B00F8"/>
    <w:rsid w:val="006B0190"/>
    <w:rsid w:val="006B01B3"/>
    <w:rsid w:val="006B0226"/>
    <w:rsid w:val="006B0285"/>
    <w:rsid w:val="006B04DA"/>
    <w:rsid w:val="006B0679"/>
    <w:rsid w:val="006B06C1"/>
    <w:rsid w:val="006B06CA"/>
    <w:rsid w:val="006B06E2"/>
    <w:rsid w:val="006B06F4"/>
    <w:rsid w:val="006B087B"/>
    <w:rsid w:val="006B08C0"/>
    <w:rsid w:val="006B0A1A"/>
    <w:rsid w:val="006B0A3F"/>
    <w:rsid w:val="006B0AE4"/>
    <w:rsid w:val="006B0B2D"/>
    <w:rsid w:val="006B0B6E"/>
    <w:rsid w:val="006B0CDD"/>
    <w:rsid w:val="006B0E2C"/>
    <w:rsid w:val="006B0E91"/>
    <w:rsid w:val="006B0F7F"/>
    <w:rsid w:val="006B0FB1"/>
    <w:rsid w:val="006B1070"/>
    <w:rsid w:val="006B10BD"/>
    <w:rsid w:val="006B11B3"/>
    <w:rsid w:val="006B11CF"/>
    <w:rsid w:val="006B1201"/>
    <w:rsid w:val="006B1332"/>
    <w:rsid w:val="006B135C"/>
    <w:rsid w:val="006B1375"/>
    <w:rsid w:val="006B1450"/>
    <w:rsid w:val="006B14A1"/>
    <w:rsid w:val="006B157D"/>
    <w:rsid w:val="006B1639"/>
    <w:rsid w:val="006B17B0"/>
    <w:rsid w:val="006B1927"/>
    <w:rsid w:val="006B1928"/>
    <w:rsid w:val="006B19C6"/>
    <w:rsid w:val="006B1A8F"/>
    <w:rsid w:val="006B1B93"/>
    <w:rsid w:val="006B1B99"/>
    <w:rsid w:val="006B1BCD"/>
    <w:rsid w:val="006B1D97"/>
    <w:rsid w:val="006B1E2F"/>
    <w:rsid w:val="006B1F34"/>
    <w:rsid w:val="006B207C"/>
    <w:rsid w:val="006B224F"/>
    <w:rsid w:val="006B2330"/>
    <w:rsid w:val="006B251F"/>
    <w:rsid w:val="006B2652"/>
    <w:rsid w:val="006B26F4"/>
    <w:rsid w:val="006B2761"/>
    <w:rsid w:val="006B2772"/>
    <w:rsid w:val="006B2863"/>
    <w:rsid w:val="006B286B"/>
    <w:rsid w:val="006B2BDA"/>
    <w:rsid w:val="006B2C93"/>
    <w:rsid w:val="006B2DBF"/>
    <w:rsid w:val="006B2DF5"/>
    <w:rsid w:val="006B2EB6"/>
    <w:rsid w:val="006B2EC1"/>
    <w:rsid w:val="006B2EE9"/>
    <w:rsid w:val="006B2F30"/>
    <w:rsid w:val="006B2F37"/>
    <w:rsid w:val="006B314E"/>
    <w:rsid w:val="006B3184"/>
    <w:rsid w:val="006B3288"/>
    <w:rsid w:val="006B32E4"/>
    <w:rsid w:val="006B332B"/>
    <w:rsid w:val="006B334F"/>
    <w:rsid w:val="006B34D2"/>
    <w:rsid w:val="006B352D"/>
    <w:rsid w:val="006B35DE"/>
    <w:rsid w:val="006B3711"/>
    <w:rsid w:val="006B37FB"/>
    <w:rsid w:val="006B3900"/>
    <w:rsid w:val="006B3958"/>
    <w:rsid w:val="006B39B3"/>
    <w:rsid w:val="006B39EB"/>
    <w:rsid w:val="006B3A0D"/>
    <w:rsid w:val="006B3AC1"/>
    <w:rsid w:val="006B3B59"/>
    <w:rsid w:val="006B3C90"/>
    <w:rsid w:val="006B3CDB"/>
    <w:rsid w:val="006B3D39"/>
    <w:rsid w:val="006B3DDE"/>
    <w:rsid w:val="006B3EC9"/>
    <w:rsid w:val="006B3F2E"/>
    <w:rsid w:val="006B3F7E"/>
    <w:rsid w:val="006B3FA9"/>
    <w:rsid w:val="006B3FB0"/>
    <w:rsid w:val="006B41A9"/>
    <w:rsid w:val="006B41E9"/>
    <w:rsid w:val="006B423D"/>
    <w:rsid w:val="006B4609"/>
    <w:rsid w:val="006B46D9"/>
    <w:rsid w:val="006B46FF"/>
    <w:rsid w:val="006B4716"/>
    <w:rsid w:val="006B48D2"/>
    <w:rsid w:val="006B4B8D"/>
    <w:rsid w:val="006B4BE7"/>
    <w:rsid w:val="006B4DD6"/>
    <w:rsid w:val="006B4E9F"/>
    <w:rsid w:val="006B4F5E"/>
    <w:rsid w:val="006B4F75"/>
    <w:rsid w:val="006B4FB8"/>
    <w:rsid w:val="006B51AE"/>
    <w:rsid w:val="006B52B4"/>
    <w:rsid w:val="006B52C0"/>
    <w:rsid w:val="006B52C5"/>
    <w:rsid w:val="006B52D0"/>
    <w:rsid w:val="006B5515"/>
    <w:rsid w:val="006B55D0"/>
    <w:rsid w:val="006B5605"/>
    <w:rsid w:val="006B567A"/>
    <w:rsid w:val="006B56A8"/>
    <w:rsid w:val="006B5B12"/>
    <w:rsid w:val="006B5B90"/>
    <w:rsid w:val="006B5C7B"/>
    <w:rsid w:val="006B5E25"/>
    <w:rsid w:val="006B5E6E"/>
    <w:rsid w:val="006B5E91"/>
    <w:rsid w:val="006B5FC7"/>
    <w:rsid w:val="006B60E3"/>
    <w:rsid w:val="006B6199"/>
    <w:rsid w:val="006B6221"/>
    <w:rsid w:val="006B62C9"/>
    <w:rsid w:val="006B6393"/>
    <w:rsid w:val="006B639C"/>
    <w:rsid w:val="006B63B9"/>
    <w:rsid w:val="006B63EA"/>
    <w:rsid w:val="006B641C"/>
    <w:rsid w:val="006B6452"/>
    <w:rsid w:val="006B64E1"/>
    <w:rsid w:val="006B6507"/>
    <w:rsid w:val="006B66CC"/>
    <w:rsid w:val="006B67CC"/>
    <w:rsid w:val="006B6B7E"/>
    <w:rsid w:val="006B6BE6"/>
    <w:rsid w:val="006B6C28"/>
    <w:rsid w:val="006B6C8D"/>
    <w:rsid w:val="006B6DF8"/>
    <w:rsid w:val="006B6E89"/>
    <w:rsid w:val="006B6F26"/>
    <w:rsid w:val="006B6F84"/>
    <w:rsid w:val="006B701E"/>
    <w:rsid w:val="006B7049"/>
    <w:rsid w:val="006B70E2"/>
    <w:rsid w:val="006B714C"/>
    <w:rsid w:val="006B7209"/>
    <w:rsid w:val="006B7255"/>
    <w:rsid w:val="006B7267"/>
    <w:rsid w:val="006B72D2"/>
    <w:rsid w:val="006B749A"/>
    <w:rsid w:val="006B74BA"/>
    <w:rsid w:val="006B7506"/>
    <w:rsid w:val="006B7563"/>
    <w:rsid w:val="006B75E9"/>
    <w:rsid w:val="006B768C"/>
    <w:rsid w:val="006B7745"/>
    <w:rsid w:val="006B7877"/>
    <w:rsid w:val="006B78F7"/>
    <w:rsid w:val="006B7A9C"/>
    <w:rsid w:val="006B7AEA"/>
    <w:rsid w:val="006B7B6A"/>
    <w:rsid w:val="006B7BC1"/>
    <w:rsid w:val="006B7C40"/>
    <w:rsid w:val="006B7CB1"/>
    <w:rsid w:val="006B7D0C"/>
    <w:rsid w:val="006B7DD7"/>
    <w:rsid w:val="006B7E90"/>
    <w:rsid w:val="006C0206"/>
    <w:rsid w:val="006C0350"/>
    <w:rsid w:val="006C0387"/>
    <w:rsid w:val="006C0397"/>
    <w:rsid w:val="006C041F"/>
    <w:rsid w:val="006C0474"/>
    <w:rsid w:val="006C04ED"/>
    <w:rsid w:val="006C0517"/>
    <w:rsid w:val="006C05FC"/>
    <w:rsid w:val="006C06AF"/>
    <w:rsid w:val="006C06F4"/>
    <w:rsid w:val="006C0722"/>
    <w:rsid w:val="006C0805"/>
    <w:rsid w:val="006C0990"/>
    <w:rsid w:val="006C09C7"/>
    <w:rsid w:val="006C0B7C"/>
    <w:rsid w:val="006C0BDA"/>
    <w:rsid w:val="006C0C80"/>
    <w:rsid w:val="006C0CE8"/>
    <w:rsid w:val="006C0E1C"/>
    <w:rsid w:val="006C0FAF"/>
    <w:rsid w:val="006C1075"/>
    <w:rsid w:val="006C10CF"/>
    <w:rsid w:val="006C10F4"/>
    <w:rsid w:val="006C10F7"/>
    <w:rsid w:val="006C1119"/>
    <w:rsid w:val="006C1140"/>
    <w:rsid w:val="006C114E"/>
    <w:rsid w:val="006C11A4"/>
    <w:rsid w:val="006C123A"/>
    <w:rsid w:val="006C1271"/>
    <w:rsid w:val="006C12BB"/>
    <w:rsid w:val="006C13E7"/>
    <w:rsid w:val="006C149C"/>
    <w:rsid w:val="006C14AF"/>
    <w:rsid w:val="006C153F"/>
    <w:rsid w:val="006C15A3"/>
    <w:rsid w:val="006C15FB"/>
    <w:rsid w:val="006C1650"/>
    <w:rsid w:val="006C16B3"/>
    <w:rsid w:val="006C16C4"/>
    <w:rsid w:val="006C16FB"/>
    <w:rsid w:val="006C17B1"/>
    <w:rsid w:val="006C17C8"/>
    <w:rsid w:val="006C199F"/>
    <w:rsid w:val="006C1A02"/>
    <w:rsid w:val="006C1A70"/>
    <w:rsid w:val="006C1AE7"/>
    <w:rsid w:val="006C1B07"/>
    <w:rsid w:val="006C1B89"/>
    <w:rsid w:val="006C1C0A"/>
    <w:rsid w:val="006C1C0C"/>
    <w:rsid w:val="006C1D6C"/>
    <w:rsid w:val="006C1E8E"/>
    <w:rsid w:val="006C1EC4"/>
    <w:rsid w:val="006C1EFD"/>
    <w:rsid w:val="006C1F34"/>
    <w:rsid w:val="006C1F5E"/>
    <w:rsid w:val="006C1F71"/>
    <w:rsid w:val="006C1F7F"/>
    <w:rsid w:val="006C2060"/>
    <w:rsid w:val="006C2251"/>
    <w:rsid w:val="006C2494"/>
    <w:rsid w:val="006C249A"/>
    <w:rsid w:val="006C2519"/>
    <w:rsid w:val="006C2590"/>
    <w:rsid w:val="006C25BF"/>
    <w:rsid w:val="006C262C"/>
    <w:rsid w:val="006C2732"/>
    <w:rsid w:val="006C274B"/>
    <w:rsid w:val="006C27CF"/>
    <w:rsid w:val="006C27D1"/>
    <w:rsid w:val="006C292A"/>
    <w:rsid w:val="006C2936"/>
    <w:rsid w:val="006C2CD6"/>
    <w:rsid w:val="006C2DCE"/>
    <w:rsid w:val="006C2E92"/>
    <w:rsid w:val="006C2ED8"/>
    <w:rsid w:val="006C2F6E"/>
    <w:rsid w:val="006C30FC"/>
    <w:rsid w:val="006C3230"/>
    <w:rsid w:val="006C323E"/>
    <w:rsid w:val="006C32DE"/>
    <w:rsid w:val="006C3313"/>
    <w:rsid w:val="006C33CE"/>
    <w:rsid w:val="006C33E8"/>
    <w:rsid w:val="006C33FD"/>
    <w:rsid w:val="006C35C4"/>
    <w:rsid w:val="006C3643"/>
    <w:rsid w:val="006C3648"/>
    <w:rsid w:val="006C366F"/>
    <w:rsid w:val="006C371E"/>
    <w:rsid w:val="006C3794"/>
    <w:rsid w:val="006C3803"/>
    <w:rsid w:val="006C38F9"/>
    <w:rsid w:val="006C39AF"/>
    <w:rsid w:val="006C3A13"/>
    <w:rsid w:val="006C3B8C"/>
    <w:rsid w:val="006C3C87"/>
    <w:rsid w:val="006C3D5D"/>
    <w:rsid w:val="006C3DDE"/>
    <w:rsid w:val="006C3F03"/>
    <w:rsid w:val="006C3F5D"/>
    <w:rsid w:val="006C4097"/>
    <w:rsid w:val="006C40E7"/>
    <w:rsid w:val="006C450B"/>
    <w:rsid w:val="006C4570"/>
    <w:rsid w:val="006C45B4"/>
    <w:rsid w:val="006C45D0"/>
    <w:rsid w:val="006C4715"/>
    <w:rsid w:val="006C47A3"/>
    <w:rsid w:val="006C48A3"/>
    <w:rsid w:val="006C492F"/>
    <w:rsid w:val="006C49BA"/>
    <w:rsid w:val="006C4A37"/>
    <w:rsid w:val="006C4AC3"/>
    <w:rsid w:val="006C4AF1"/>
    <w:rsid w:val="006C4B79"/>
    <w:rsid w:val="006C4EB1"/>
    <w:rsid w:val="006C519B"/>
    <w:rsid w:val="006C533B"/>
    <w:rsid w:val="006C5351"/>
    <w:rsid w:val="006C5352"/>
    <w:rsid w:val="006C5381"/>
    <w:rsid w:val="006C562C"/>
    <w:rsid w:val="006C568F"/>
    <w:rsid w:val="006C56A2"/>
    <w:rsid w:val="006C5703"/>
    <w:rsid w:val="006C577E"/>
    <w:rsid w:val="006C57C9"/>
    <w:rsid w:val="006C59D0"/>
    <w:rsid w:val="006C5A0F"/>
    <w:rsid w:val="006C5A4E"/>
    <w:rsid w:val="006C5A76"/>
    <w:rsid w:val="006C5A84"/>
    <w:rsid w:val="006C5C9A"/>
    <w:rsid w:val="006C5CDA"/>
    <w:rsid w:val="006C5D8A"/>
    <w:rsid w:val="006C5D97"/>
    <w:rsid w:val="006C5DD0"/>
    <w:rsid w:val="006C5E26"/>
    <w:rsid w:val="006C5F0A"/>
    <w:rsid w:val="006C5F2C"/>
    <w:rsid w:val="006C5F59"/>
    <w:rsid w:val="006C5F6B"/>
    <w:rsid w:val="006C6287"/>
    <w:rsid w:val="006C62AB"/>
    <w:rsid w:val="006C62E5"/>
    <w:rsid w:val="006C637C"/>
    <w:rsid w:val="006C64D0"/>
    <w:rsid w:val="006C662C"/>
    <w:rsid w:val="006C66AA"/>
    <w:rsid w:val="006C678D"/>
    <w:rsid w:val="006C68AB"/>
    <w:rsid w:val="006C68C5"/>
    <w:rsid w:val="006C6944"/>
    <w:rsid w:val="006C6A87"/>
    <w:rsid w:val="006C6B12"/>
    <w:rsid w:val="006C6B71"/>
    <w:rsid w:val="006C6CA6"/>
    <w:rsid w:val="006C6CCB"/>
    <w:rsid w:val="006C6F42"/>
    <w:rsid w:val="006C6F58"/>
    <w:rsid w:val="006C7058"/>
    <w:rsid w:val="006C70E7"/>
    <w:rsid w:val="006C7144"/>
    <w:rsid w:val="006C71EE"/>
    <w:rsid w:val="006C722A"/>
    <w:rsid w:val="006C7377"/>
    <w:rsid w:val="006C73DE"/>
    <w:rsid w:val="006C7481"/>
    <w:rsid w:val="006C7563"/>
    <w:rsid w:val="006C78C6"/>
    <w:rsid w:val="006C7979"/>
    <w:rsid w:val="006C79A3"/>
    <w:rsid w:val="006C7ACE"/>
    <w:rsid w:val="006C7D5A"/>
    <w:rsid w:val="006C7DA7"/>
    <w:rsid w:val="006C7E01"/>
    <w:rsid w:val="006C7ED1"/>
    <w:rsid w:val="006C7F43"/>
    <w:rsid w:val="006D0005"/>
    <w:rsid w:val="006D0058"/>
    <w:rsid w:val="006D00A6"/>
    <w:rsid w:val="006D0109"/>
    <w:rsid w:val="006D012C"/>
    <w:rsid w:val="006D0181"/>
    <w:rsid w:val="006D01D9"/>
    <w:rsid w:val="006D027E"/>
    <w:rsid w:val="006D036E"/>
    <w:rsid w:val="006D0665"/>
    <w:rsid w:val="006D06B3"/>
    <w:rsid w:val="006D06D2"/>
    <w:rsid w:val="006D07C7"/>
    <w:rsid w:val="006D083B"/>
    <w:rsid w:val="006D08B7"/>
    <w:rsid w:val="006D09CD"/>
    <w:rsid w:val="006D09E1"/>
    <w:rsid w:val="006D0A24"/>
    <w:rsid w:val="006D0A30"/>
    <w:rsid w:val="006D0AC9"/>
    <w:rsid w:val="006D0AEB"/>
    <w:rsid w:val="006D0B8C"/>
    <w:rsid w:val="006D0BAB"/>
    <w:rsid w:val="006D0C5F"/>
    <w:rsid w:val="006D0CE1"/>
    <w:rsid w:val="006D0DB4"/>
    <w:rsid w:val="006D0E90"/>
    <w:rsid w:val="006D0E9F"/>
    <w:rsid w:val="006D0EA7"/>
    <w:rsid w:val="006D109B"/>
    <w:rsid w:val="006D10BE"/>
    <w:rsid w:val="006D10E4"/>
    <w:rsid w:val="006D110B"/>
    <w:rsid w:val="006D1186"/>
    <w:rsid w:val="006D12A2"/>
    <w:rsid w:val="006D1382"/>
    <w:rsid w:val="006D145E"/>
    <w:rsid w:val="006D1560"/>
    <w:rsid w:val="006D168B"/>
    <w:rsid w:val="006D18E9"/>
    <w:rsid w:val="006D1937"/>
    <w:rsid w:val="006D1946"/>
    <w:rsid w:val="006D1A2E"/>
    <w:rsid w:val="006D1BC6"/>
    <w:rsid w:val="006D1BF9"/>
    <w:rsid w:val="006D1DB6"/>
    <w:rsid w:val="006D1DB7"/>
    <w:rsid w:val="006D1E2C"/>
    <w:rsid w:val="006D1FB5"/>
    <w:rsid w:val="006D2064"/>
    <w:rsid w:val="006D212B"/>
    <w:rsid w:val="006D23D3"/>
    <w:rsid w:val="006D2419"/>
    <w:rsid w:val="006D249A"/>
    <w:rsid w:val="006D25FB"/>
    <w:rsid w:val="006D2675"/>
    <w:rsid w:val="006D27DD"/>
    <w:rsid w:val="006D28CD"/>
    <w:rsid w:val="006D28EA"/>
    <w:rsid w:val="006D2929"/>
    <w:rsid w:val="006D29AA"/>
    <w:rsid w:val="006D2C1B"/>
    <w:rsid w:val="006D2C3E"/>
    <w:rsid w:val="006D2C4F"/>
    <w:rsid w:val="006D2FB6"/>
    <w:rsid w:val="006D2FF2"/>
    <w:rsid w:val="006D3056"/>
    <w:rsid w:val="006D305B"/>
    <w:rsid w:val="006D30B5"/>
    <w:rsid w:val="006D31DC"/>
    <w:rsid w:val="006D34F3"/>
    <w:rsid w:val="006D362A"/>
    <w:rsid w:val="006D3802"/>
    <w:rsid w:val="006D3A03"/>
    <w:rsid w:val="006D3A4A"/>
    <w:rsid w:val="006D3A82"/>
    <w:rsid w:val="006D3B12"/>
    <w:rsid w:val="006D3B92"/>
    <w:rsid w:val="006D3C1F"/>
    <w:rsid w:val="006D3CAA"/>
    <w:rsid w:val="006D3CB0"/>
    <w:rsid w:val="006D3EAB"/>
    <w:rsid w:val="006D3F29"/>
    <w:rsid w:val="006D3F4A"/>
    <w:rsid w:val="006D4085"/>
    <w:rsid w:val="006D4188"/>
    <w:rsid w:val="006D425F"/>
    <w:rsid w:val="006D436C"/>
    <w:rsid w:val="006D43A4"/>
    <w:rsid w:val="006D43B3"/>
    <w:rsid w:val="006D43D6"/>
    <w:rsid w:val="006D44F9"/>
    <w:rsid w:val="006D455D"/>
    <w:rsid w:val="006D456C"/>
    <w:rsid w:val="006D4652"/>
    <w:rsid w:val="006D4A56"/>
    <w:rsid w:val="006D4ABA"/>
    <w:rsid w:val="006D4B58"/>
    <w:rsid w:val="006D4B9F"/>
    <w:rsid w:val="006D4CBE"/>
    <w:rsid w:val="006D4CD6"/>
    <w:rsid w:val="006D4D29"/>
    <w:rsid w:val="006D4D9C"/>
    <w:rsid w:val="006D4E79"/>
    <w:rsid w:val="006D4F34"/>
    <w:rsid w:val="006D4FCB"/>
    <w:rsid w:val="006D4FDB"/>
    <w:rsid w:val="006D506E"/>
    <w:rsid w:val="006D5124"/>
    <w:rsid w:val="006D51D3"/>
    <w:rsid w:val="006D51DF"/>
    <w:rsid w:val="006D5228"/>
    <w:rsid w:val="006D52F0"/>
    <w:rsid w:val="006D5848"/>
    <w:rsid w:val="006D5868"/>
    <w:rsid w:val="006D58D5"/>
    <w:rsid w:val="006D595D"/>
    <w:rsid w:val="006D5A62"/>
    <w:rsid w:val="006D5AD3"/>
    <w:rsid w:val="006D5B30"/>
    <w:rsid w:val="006D5BB8"/>
    <w:rsid w:val="006D5C89"/>
    <w:rsid w:val="006D5D07"/>
    <w:rsid w:val="006D5D82"/>
    <w:rsid w:val="006D5E7C"/>
    <w:rsid w:val="006D5F93"/>
    <w:rsid w:val="006D5F9A"/>
    <w:rsid w:val="006D6084"/>
    <w:rsid w:val="006D63C2"/>
    <w:rsid w:val="006D665F"/>
    <w:rsid w:val="006D66E2"/>
    <w:rsid w:val="006D68A4"/>
    <w:rsid w:val="006D68A9"/>
    <w:rsid w:val="006D6A19"/>
    <w:rsid w:val="006D6A1F"/>
    <w:rsid w:val="006D6AFA"/>
    <w:rsid w:val="006D6D31"/>
    <w:rsid w:val="006D6E53"/>
    <w:rsid w:val="006D6EB6"/>
    <w:rsid w:val="006D6F24"/>
    <w:rsid w:val="006D7024"/>
    <w:rsid w:val="006D7057"/>
    <w:rsid w:val="006D70C5"/>
    <w:rsid w:val="006D70C8"/>
    <w:rsid w:val="006D7188"/>
    <w:rsid w:val="006D71B4"/>
    <w:rsid w:val="006D7266"/>
    <w:rsid w:val="006D72FF"/>
    <w:rsid w:val="006D7368"/>
    <w:rsid w:val="006D7494"/>
    <w:rsid w:val="006D750A"/>
    <w:rsid w:val="006D7577"/>
    <w:rsid w:val="006D75C4"/>
    <w:rsid w:val="006D77ED"/>
    <w:rsid w:val="006D789A"/>
    <w:rsid w:val="006D78BB"/>
    <w:rsid w:val="006D78BF"/>
    <w:rsid w:val="006D795F"/>
    <w:rsid w:val="006D7A2D"/>
    <w:rsid w:val="006D7D42"/>
    <w:rsid w:val="006D7E9C"/>
    <w:rsid w:val="006D7F30"/>
    <w:rsid w:val="006D7F5B"/>
    <w:rsid w:val="006D7F83"/>
    <w:rsid w:val="006E01C6"/>
    <w:rsid w:val="006E0301"/>
    <w:rsid w:val="006E031D"/>
    <w:rsid w:val="006E03CA"/>
    <w:rsid w:val="006E03EB"/>
    <w:rsid w:val="006E0408"/>
    <w:rsid w:val="006E0436"/>
    <w:rsid w:val="006E046B"/>
    <w:rsid w:val="006E0476"/>
    <w:rsid w:val="006E0548"/>
    <w:rsid w:val="006E0557"/>
    <w:rsid w:val="006E0729"/>
    <w:rsid w:val="006E0793"/>
    <w:rsid w:val="006E08ED"/>
    <w:rsid w:val="006E09D7"/>
    <w:rsid w:val="006E0A0B"/>
    <w:rsid w:val="006E0B69"/>
    <w:rsid w:val="006E0C89"/>
    <w:rsid w:val="006E0CAB"/>
    <w:rsid w:val="006E0CE3"/>
    <w:rsid w:val="006E0EBC"/>
    <w:rsid w:val="006E0F8A"/>
    <w:rsid w:val="006E0FB0"/>
    <w:rsid w:val="006E1029"/>
    <w:rsid w:val="006E105E"/>
    <w:rsid w:val="006E11AD"/>
    <w:rsid w:val="006E12B0"/>
    <w:rsid w:val="006E13A7"/>
    <w:rsid w:val="006E13F7"/>
    <w:rsid w:val="006E145A"/>
    <w:rsid w:val="006E14EC"/>
    <w:rsid w:val="006E154C"/>
    <w:rsid w:val="006E15E4"/>
    <w:rsid w:val="006E1607"/>
    <w:rsid w:val="006E16D6"/>
    <w:rsid w:val="006E1813"/>
    <w:rsid w:val="006E1956"/>
    <w:rsid w:val="006E1A2F"/>
    <w:rsid w:val="006E1AB2"/>
    <w:rsid w:val="006E1AB3"/>
    <w:rsid w:val="006E1AEA"/>
    <w:rsid w:val="006E1C53"/>
    <w:rsid w:val="006E1CC4"/>
    <w:rsid w:val="006E1D52"/>
    <w:rsid w:val="006E1EC8"/>
    <w:rsid w:val="006E1F3D"/>
    <w:rsid w:val="006E1F81"/>
    <w:rsid w:val="006E202D"/>
    <w:rsid w:val="006E20E1"/>
    <w:rsid w:val="006E2189"/>
    <w:rsid w:val="006E221A"/>
    <w:rsid w:val="006E2246"/>
    <w:rsid w:val="006E230B"/>
    <w:rsid w:val="006E2385"/>
    <w:rsid w:val="006E23AA"/>
    <w:rsid w:val="006E240F"/>
    <w:rsid w:val="006E24B0"/>
    <w:rsid w:val="006E24D3"/>
    <w:rsid w:val="006E2634"/>
    <w:rsid w:val="006E26A8"/>
    <w:rsid w:val="006E26B2"/>
    <w:rsid w:val="006E2793"/>
    <w:rsid w:val="006E284D"/>
    <w:rsid w:val="006E290D"/>
    <w:rsid w:val="006E2966"/>
    <w:rsid w:val="006E29F6"/>
    <w:rsid w:val="006E2B38"/>
    <w:rsid w:val="006E2B75"/>
    <w:rsid w:val="006E2C6E"/>
    <w:rsid w:val="006E2C76"/>
    <w:rsid w:val="006E2D9C"/>
    <w:rsid w:val="006E2F06"/>
    <w:rsid w:val="006E2F21"/>
    <w:rsid w:val="006E2F73"/>
    <w:rsid w:val="006E2FD1"/>
    <w:rsid w:val="006E2FFD"/>
    <w:rsid w:val="006E3097"/>
    <w:rsid w:val="006E30EF"/>
    <w:rsid w:val="006E31E4"/>
    <w:rsid w:val="006E33AE"/>
    <w:rsid w:val="006E33EC"/>
    <w:rsid w:val="006E3433"/>
    <w:rsid w:val="006E34B6"/>
    <w:rsid w:val="006E34C3"/>
    <w:rsid w:val="006E3555"/>
    <w:rsid w:val="006E3579"/>
    <w:rsid w:val="006E35F0"/>
    <w:rsid w:val="006E36E1"/>
    <w:rsid w:val="006E3791"/>
    <w:rsid w:val="006E38C4"/>
    <w:rsid w:val="006E39B8"/>
    <w:rsid w:val="006E3AFA"/>
    <w:rsid w:val="006E3B80"/>
    <w:rsid w:val="006E3C8A"/>
    <w:rsid w:val="006E3F23"/>
    <w:rsid w:val="006E4022"/>
    <w:rsid w:val="006E4094"/>
    <w:rsid w:val="006E41A9"/>
    <w:rsid w:val="006E42C1"/>
    <w:rsid w:val="006E42D4"/>
    <w:rsid w:val="006E438F"/>
    <w:rsid w:val="006E4518"/>
    <w:rsid w:val="006E45A7"/>
    <w:rsid w:val="006E467F"/>
    <w:rsid w:val="006E483B"/>
    <w:rsid w:val="006E48B7"/>
    <w:rsid w:val="006E48D2"/>
    <w:rsid w:val="006E491E"/>
    <w:rsid w:val="006E49BC"/>
    <w:rsid w:val="006E4A2D"/>
    <w:rsid w:val="006E4EBD"/>
    <w:rsid w:val="006E4EBF"/>
    <w:rsid w:val="006E4EF0"/>
    <w:rsid w:val="006E4F52"/>
    <w:rsid w:val="006E4FE3"/>
    <w:rsid w:val="006E501B"/>
    <w:rsid w:val="006E501F"/>
    <w:rsid w:val="006E51EE"/>
    <w:rsid w:val="006E526F"/>
    <w:rsid w:val="006E5300"/>
    <w:rsid w:val="006E538C"/>
    <w:rsid w:val="006E53DB"/>
    <w:rsid w:val="006E5422"/>
    <w:rsid w:val="006E548A"/>
    <w:rsid w:val="006E5528"/>
    <w:rsid w:val="006E5650"/>
    <w:rsid w:val="006E5703"/>
    <w:rsid w:val="006E57A7"/>
    <w:rsid w:val="006E57FC"/>
    <w:rsid w:val="006E5847"/>
    <w:rsid w:val="006E5848"/>
    <w:rsid w:val="006E586D"/>
    <w:rsid w:val="006E58D2"/>
    <w:rsid w:val="006E593B"/>
    <w:rsid w:val="006E5AD6"/>
    <w:rsid w:val="006E5B7F"/>
    <w:rsid w:val="006E5B9D"/>
    <w:rsid w:val="006E5DE8"/>
    <w:rsid w:val="006E5E13"/>
    <w:rsid w:val="006E5FA2"/>
    <w:rsid w:val="006E5FA8"/>
    <w:rsid w:val="006E6047"/>
    <w:rsid w:val="006E6132"/>
    <w:rsid w:val="006E6254"/>
    <w:rsid w:val="006E6277"/>
    <w:rsid w:val="006E62E3"/>
    <w:rsid w:val="006E62E4"/>
    <w:rsid w:val="006E632F"/>
    <w:rsid w:val="006E63FB"/>
    <w:rsid w:val="006E643B"/>
    <w:rsid w:val="006E6472"/>
    <w:rsid w:val="006E64EE"/>
    <w:rsid w:val="006E6575"/>
    <w:rsid w:val="006E65C4"/>
    <w:rsid w:val="006E65FD"/>
    <w:rsid w:val="006E6658"/>
    <w:rsid w:val="006E665B"/>
    <w:rsid w:val="006E6687"/>
    <w:rsid w:val="006E66AC"/>
    <w:rsid w:val="006E686C"/>
    <w:rsid w:val="006E68E0"/>
    <w:rsid w:val="006E698D"/>
    <w:rsid w:val="006E69B7"/>
    <w:rsid w:val="006E6CF5"/>
    <w:rsid w:val="006E7051"/>
    <w:rsid w:val="006E70B1"/>
    <w:rsid w:val="006E70CE"/>
    <w:rsid w:val="006E70FF"/>
    <w:rsid w:val="006E71AE"/>
    <w:rsid w:val="006E7219"/>
    <w:rsid w:val="006E734B"/>
    <w:rsid w:val="006E73F1"/>
    <w:rsid w:val="006E7575"/>
    <w:rsid w:val="006E77B9"/>
    <w:rsid w:val="006E784F"/>
    <w:rsid w:val="006E785B"/>
    <w:rsid w:val="006E7A61"/>
    <w:rsid w:val="006E7A9A"/>
    <w:rsid w:val="006E7B32"/>
    <w:rsid w:val="006E7C14"/>
    <w:rsid w:val="006E7D96"/>
    <w:rsid w:val="006E7DAB"/>
    <w:rsid w:val="006E7E13"/>
    <w:rsid w:val="006E7E16"/>
    <w:rsid w:val="006E7E25"/>
    <w:rsid w:val="006E7E4C"/>
    <w:rsid w:val="006E7F11"/>
    <w:rsid w:val="006E7F13"/>
    <w:rsid w:val="006E7F47"/>
    <w:rsid w:val="006E7FAC"/>
    <w:rsid w:val="006F000A"/>
    <w:rsid w:val="006F0085"/>
    <w:rsid w:val="006F01F2"/>
    <w:rsid w:val="006F025A"/>
    <w:rsid w:val="006F0279"/>
    <w:rsid w:val="006F03E6"/>
    <w:rsid w:val="006F0640"/>
    <w:rsid w:val="006F06A1"/>
    <w:rsid w:val="006F0781"/>
    <w:rsid w:val="006F08BD"/>
    <w:rsid w:val="006F09B2"/>
    <w:rsid w:val="006F0A7A"/>
    <w:rsid w:val="006F0AA7"/>
    <w:rsid w:val="006F0AE8"/>
    <w:rsid w:val="006F0B6B"/>
    <w:rsid w:val="006F0C7C"/>
    <w:rsid w:val="006F0DDE"/>
    <w:rsid w:val="006F0E4A"/>
    <w:rsid w:val="006F11FC"/>
    <w:rsid w:val="006F13FD"/>
    <w:rsid w:val="006F141C"/>
    <w:rsid w:val="006F145C"/>
    <w:rsid w:val="006F1676"/>
    <w:rsid w:val="006F16B1"/>
    <w:rsid w:val="006F1713"/>
    <w:rsid w:val="006F1791"/>
    <w:rsid w:val="006F18C0"/>
    <w:rsid w:val="006F1921"/>
    <w:rsid w:val="006F192C"/>
    <w:rsid w:val="006F1954"/>
    <w:rsid w:val="006F1AAB"/>
    <w:rsid w:val="006F1B9F"/>
    <w:rsid w:val="006F1DBC"/>
    <w:rsid w:val="006F205F"/>
    <w:rsid w:val="006F2159"/>
    <w:rsid w:val="006F22B4"/>
    <w:rsid w:val="006F2464"/>
    <w:rsid w:val="006F248E"/>
    <w:rsid w:val="006F287D"/>
    <w:rsid w:val="006F28BE"/>
    <w:rsid w:val="006F2900"/>
    <w:rsid w:val="006F2AB6"/>
    <w:rsid w:val="006F2ABD"/>
    <w:rsid w:val="006F2B4B"/>
    <w:rsid w:val="006F2B4C"/>
    <w:rsid w:val="006F2BE3"/>
    <w:rsid w:val="006F2C65"/>
    <w:rsid w:val="006F2C94"/>
    <w:rsid w:val="006F2D35"/>
    <w:rsid w:val="006F2D49"/>
    <w:rsid w:val="006F2DC6"/>
    <w:rsid w:val="006F2E0F"/>
    <w:rsid w:val="006F2F3F"/>
    <w:rsid w:val="006F2F58"/>
    <w:rsid w:val="006F2F6E"/>
    <w:rsid w:val="006F301C"/>
    <w:rsid w:val="006F303C"/>
    <w:rsid w:val="006F309F"/>
    <w:rsid w:val="006F31FE"/>
    <w:rsid w:val="006F322E"/>
    <w:rsid w:val="006F3268"/>
    <w:rsid w:val="006F3273"/>
    <w:rsid w:val="006F332E"/>
    <w:rsid w:val="006F33BD"/>
    <w:rsid w:val="006F355A"/>
    <w:rsid w:val="006F35FC"/>
    <w:rsid w:val="006F37E0"/>
    <w:rsid w:val="006F3978"/>
    <w:rsid w:val="006F3B3E"/>
    <w:rsid w:val="006F3D19"/>
    <w:rsid w:val="006F3EFB"/>
    <w:rsid w:val="006F3F12"/>
    <w:rsid w:val="006F3F5E"/>
    <w:rsid w:val="006F3FF8"/>
    <w:rsid w:val="006F4024"/>
    <w:rsid w:val="006F4068"/>
    <w:rsid w:val="006F425F"/>
    <w:rsid w:val="006F4578"/>
    <w:rsid w:val="006F4611"/>
    <w:rsid w:val="006F4738"/>
    <w:rsid w:val="006F473C"/>
    <w:rsid w:val="006F4799"/>
    <w:rsid w:val="006F4912"/>
    <w:rsid w:val="006F49E2"/>
    <w:rsid w:val="006F4A13"/>
    <w:rsid w:val="006F4A9A"/>
    <w:rsid w:val="006F4C0E"/>
    <w:rsid w:val="006F4C55"/>
    <w:rsid w:val="006F4D94"/>
    <w:rsid w:val="006F4DB3"/>
    <w:rsid w:val="006F4FF9"/>
    <w:rsid w:val="006F4FFE"/>
    <w:rsid w:val="006F502E"/>
    <w:rsid w:val="006F506A"/>
    <w:rsid w:val="006F507B"/>
    <w:rsid w:val="006F50B5"/>
    <w:rsid w:val="006F5135"/>
    <w:rsid w:val="006F51BB"/>
    <w:rsid w:val="006F533A"/>
    <w:rsid w:val="006F545C"/>
    <w:rsid w:val="006F5492"/>
    <w:rsid w:val="006F54AB"/>
    <w:rsid w:val="006F55E8"/>
    <w:rsid w:val="006F5610"/>
    <w:rsid w:val="006F5639"/>
    <w:rsid w:val="006F57D3"/>
    <w:rsid w:val="006F5A12"/>
    <w:rsid w:val="006F5A3B"/>
    <w:rsid w:val="006F5A8A"/>
    <w:rsid w:val="006F5AB6"/>
    <w:rsid w:val="006F5B1F"/>
    <w:rsid w:val="006F5B32"/>
    <w:rsid w:val="006F5CEF"/>
    <w:rsid w:val="006F5D9E"/>
    <w:rsid w:val="006F5DE5"/>
    <w:rsid w:val="006F5E1A"/>
    <w:rsid w:val="006F5E53"/>
    <w:rsid w:val="006F5F4D"/>
    <w:rsid w:val="006F5F9F"/>
    <w:rsid w:val="006F5FCF"/>
    <w:rsid w:val="006F6067"/>
    <w:rsid w:val="006F6188"/>
    <w:rsid w:val="006F630C"/>
    <w:rsid w:val="006F6402"/>
    <w:rsid w:val="006F6486"/>
    <w:rsid w:val="006F64F7"/>
    <w:rsid w:val="006F6664"/>
    <w:rsid w:val="006F66D4"/>
    <w:rsid w:val="006F673C"/>
    <w:rsid w:val="006F67FA"/>
    <w:rsid w:val="006F6841"/>
    <w:rsid w:val="006F6912"/>
    <w:rsid w:val="006F69C4"/>
    <w:rsid w:val="006F6B5C"/>
    <w:rsid w:val="006F6BF2"/>
    <w:rsid w:val="006F6BF4"/>
    <w:rsid w:val="006F6C56"/>
    <w:rsid w:val="006F6DB6"/>
    <w:rsid w:val="006F6DB7"/>
    <w:rsid w:val="006F6DF8"/>
    <w:rsid w:val="006F6E5A"/>
    <w:rsid w:val="006F6F5C"/>
    <w:rsid w:val="006F6FB1"/>
    <w:rsid w:val="006F6FD5"/>
    <w:rsid w:val="006F7046"/>
    <w:rsid w:val="006F7187"/>
    <w:rsid w:val="006F727C"/>
    <w:rsid w:val="006F7367"/>
    <w:rsid w:val="006F73AA"/>
    <w:rsid w:val="006F73BC"/>
    <w:rsid w:val="006F73C6"/>
    <w:rsid w:val="006F767C"/>
    <w:rsid w:val="006F77B1"/>
    <w:rsid w:val="006F787C"/>
    <w:rsid w:val="006F78C1"/>
    <w:rsid w:val="006F79DE"/>
    <w:rsid w:val="006F7A6E"/>
    <w:rsid w:val="006F7B0C"/>
    <w:rsid w:val="006F7B45"/>
    <w:rsid w:val="006F7B50"/>
    <w:rsid w:val="006F7C36"/>
    <w:rsid w:val="006F7CE7"/>
    <w:rsid w:val="006F7CF8"/>
    <w:rsid w:val="006F7DCA"/>
    <w:rsid w:val="00700076"/>
    <w:rsid w:val="00700145"/>
    <w:rsid w:val="00700167"/>
    <w:rsid w:val="0070030F"/>
    <w:rsid w:val="007003A0"/>
    <w:rsid w:val="007003B4"/>
    <w:rsid w:val="007003D3"/>
    <w:rsid w:val="007003EB"/>
    <w:rsid w:val="007004A1"/>
    <w:rsid w:val="007004D3"/>
    <w:rsid w:val="0070078F"/>
    <w:rsid w:val="00700875"/>
    <w:rsid w:val="007008D4"/>
    <w:rsid w:val="007009C7"/>
    <w:rsid w:val="00700AE8"/>
    <w:rsid w:val="00700D23"/>
    <w:rsid w:val="00700D92"/>
    <w:rsid w:val="00700E2D"/>
    <w:rsid w:val="00700F11"/>
    <w:rsid w:val="00701196"/>
    <w:rsid w:val="0070140C"/>
    <w:rsid w:val="0070143B"/>
    <w:rsid w:val="00701442"/>
    <w:rsid w:val="0070146B"/>
    <w:rsid w:val="007014A7"/>
    <w:rsid w:val="007015AA"/>
    <w:rsid w:val="007015AF"/>
    <w:rsid w:val="0070161E"/>
    <w:rsid w:val="0070168A"/>
    <w:rsid w:val="00701695"/>
    <w:rsid w:val="007016DF"/>
    <w:rsid w:val="00701750"/>
    <w:rsid w:val="00701776"/>
    <w:rsid w:val="007017B2"/>
    <w:rsid w:val="007017F3"/>
    <w:rsid w:val="0070197C"/>
    <w:rsid w:val="00701986"/>
    <w:rsid w:val="00701A80"/>
    <w:rsid w:val="00701B6F"/>
    <w:rsid w:val="00701E6A"/>
    <w:rsid w:val="00701EA4"/>
    <w:rsid w:val="00701F4A"/>
    <w:rsid w:val="00701F58"/>
    <w:rsid w:val="00701F59"/>
    <w:rsid w:val="00701F6A"/>
    <w:rsid w:val="00701FB4"/>
    <w:rsid w:val="00701FC1"/>
    <w:rsid w:val="00702067"/>
    <w:rsid w:val="007020A5"/>
    <w:rsid w:val="007020A8"/>
    <w:rsid w:val="007020AC"/>
    <w:rsid w:val="007022A3"/>
    <w:rsid w:val="007023A2"/>
    <w:rsid w:val="007023C5"/>
    <w:rsid w:val="00702439"/>
    <w:rsid w:val="007024AA"/>
    <w:rsid w:val="007024EF"/>
    <w:rsid w:val="00702690"/>
    <w:rsid w:val="007026CB"/>
    <w:rsid w:val="007027C5"/>
    <w:rsid w:val="007027CD"/>
    <w:rsid w:val="00702848"/>
    <w:rsid w:val="007029A6"/>
    <w:rsid w:val="007029D8"/>
    <w:rsid w:val="007029F5"/>
    <w:rsid w:val="00702ABF"/>
    <w:rsid w:val="00702BEC"/>
    <w:rsid w:val="00702C7F"/>
    <w:rsid w:val="00702D2F"/>
    <w:rsid w:val="00702D98"/>
    <w:rsid w:val="00702E70"/>
    <w:rsid w:val="00702EDE"/>
    <w:rsid w:val="00702EFE"/>
    <w:rsid w:val="00702FC8"/>
    <w:rsid w:val="007030F0"/>
    <w:rsid w:val="00703147"/>
    <w:rsid w:val="007032BB"/>
    <w:rsid w:val="007032C9"/>
    <w:rsid w:val="0070333F"/>
    <w:rsid w:val="007034DD"/>
    <w:rsid w:val="007035D1"/>
    <w:rsid w:val="00703603"/>
    <w:rsid w:val="00703609"/>
    <w:rsid w:val="0070383D"/>
    <w:rsid w:val="007038B5"/>
    <w:rsid w:val="007039BA"/>
    <w:rsid w:val="007039C6"/>
    <w:rsid w:val="007039EA"/>
    <w:rsid w:val="00703B51"/>
    <w:rsid w:val="00703BC0"/>
    <w:rsid w:val="00703C7A"/>
    <w:rsid w:val="00703D93"/>
    <w:rsid w:val="00703E78"/>
    <w:rsid w:val="00703EFF"/>
    <w:rsid w:val="007040AE"/>
    <w:rsid w:val="007040C9"/>
    <w:rsid w:val="007040CB"/>
    <w:rsid w:val="007040CE"/>
    <w:rsid w:val="0070419A"/>
    <w:rsid w:val="007042B5"/>
    <w:rsid w:val="007042DC"/>
    <w:rsid w:val="00704355"/>
    <w:rsid w:val="00704372"/>
    <w:rsid w:val="0070439E"/>
    <w:rsid w:val="00704431"/>
    <w:rsid w:val="00704435"/>
    <w:rsid w:val="007044BD"/>
    <w:rsid w:val="007044D0"/>
    <w:rsid w:val="00704535"/>
    <w:rsid w:val="00704684"/>
    <w:rsid w:val="0070469D"/>
    <w:rsid w:val="0070470C"/>
    <w:rsid w:val="0070470D"/>
    <w:rsid w:val="0070475F"/>
    <w:rsid w:val="007047E9"/>
    <w:rsid w:val="007048AD"/>
    <w:rsid w:val="00704991"/>
    <w:rsid w:val="007049A0"/>
    <w:rsid w:val="00704A41"/>
    <w:rsid w:val="00704B06"/>
    <w:rsid w:val="00704B18"/>
    <w:rsid w:val="00704D2D"/>
    <w:rsid w:val="00704D6E"/>
    <w:rsid w:val="00704F83"/>
    <w:rsid w:val="007050A7"/>
    <w:rsid w:val="007050C3"/>
    <w:rsid w:val="007051A1"/>
    <w:rsid w:val="007051C2"/>
    <w:rsid w:val="007051CC"/>
    <w:rsid w:val="0070525A"/>
    <w:rsid w:val="007052FB"/>
    <w:rsid w:val="00705401"/>
    <w:rsid w:val="007054F7"/>
    <w:rsid w:val="00705657"/>
    <w:rsid w:val="007056CB"/>
    <w:rsid w:val="0070580C"/>
    <w:rsid w:val="0070588C"/>
    <w:rsid w:val="007058F2"/>
    <w:rsid w:val="007059A3"/>
    <w:rsid w:val="00705A6E"/>
    <w:rsid w:val="00705AAB"/>
    <w:rsid w:val="00705C1A"/>
    <w:rsid w:val="00705DAB"/>
    <w:rsid w:val="00705F31"/>
    <w:rsid w:val="00705F6F"/>
    <w:rsid w:val="00705F83"/>
    <w:rsid w:val="0070608E"/>
    <w:rsid w:val="007061E9"/>
    <w:rsid w:val="0070620B"/>
    <w:rsid w:val="007062B4"/>
    <w:rsid w:val="0070633E"/>
    <w:rsid w:val="007063F3"/>
    <w:rsid w:val="00706506"/>
    <w:rsid w:val="00706554"/>
    <w:rsid w:val="00706579"/>
    <w:rsid w:val="00706598"/>
    <w:rsid w:val="007065BF"/>
    <w:rsid w:val="0070673A"/>
    <w:rsid w:val="0070682C"/>
    <w:rsid w:val="007068C8"/>
    <w:rsid w:val="00706964"/>
    <w:rsid w:val="00706C25"/>
    <w:rsid w:val="00706CE3"/>
    <w:rsid w:val="00706CE8"/>
    <w:rsid w:val="00706F14"/>
    <w:rsid w:val="00707079"/>
    <w:rsid w:val="00707385"/>
    <w:rsid w:val="007073DE"/>
    <w:rsid w:val="007076EF"/>
    <w:rsid w:val="007077B2"/>
    <w:rsid w:val="007077F9"/>
    <w:rsid w:val="007078C2"/>
    <w:rsid w:val="0070790C"/>
    <w:rsid w:val="00707A74"/>
    <w:rsid w:val="00707B23"/>
    <w:rsid w:val="00707CB8"/>
    <w:rsid w:val="00707CF9"/>
    <w:rsid w:val="00707DF2"/>
    <w:rsid w:val="00707E36"/>
    <w:rsid w:val="00707E97"/>
    <w:rsid w:val="00707F14"/>
    <w:rsid w:val="007100A4"/>
    <w:rsid w:val="007102FD"/>
    <w:rsid w:val="00710334"/>
    <w:rsid w:val="007103C0"/>
    <w:rsid w:val="0071040A"/>
    <w:rsid w:val="00710559"/>
    <w:rsid w:val="00710671"/>
    <w:rsid w:val="00710776"/>
    <w:rsid w:val="0071085D"/>
    <w:rsid w:val="0071089E"/>
    <w:rsid w:val="007108B7"/>
    <w:rsid w:val="00710956"/>
    <w:rsid w:val="00710A24"/>
    <w:rsid w:val="00710AB4"/>
    <w:rsid w:val="00710CD8"/>
    <w:rsid w:val="00710F6E"/>
    <w:rsid w:val="00711104"/>
    <w:rsid w:val="00711165"/>
    <w:rsid w:val="007111D1"/>
    <w:rsid w:val="00711304"/>
    <w:rsid w:val="007113BA"/>
    <w:rsid w:val="00711439"/>
    <w:rsid w:val="007114A8"/>
    <w:rsid w:val="00711830"/>
    <w:rsid w:val="00711895"/>
    <w:rsid w:val="00711897"/>
    <w:rsid w:val="007118C7"/>
    <w:rsid w:val="0071199E"/>
    <w:rsid w:val="007119BD"/>
    <w:rsid w:val="00711BFE"/>
    <w:rsid w:val="00711C14"/>
    <w:rsid w:val="00711C52"/>
    <w:rsid w:val="00711D1D"/>
    <w:rsid w:val="00711D33"/>
    <w:rsid w:val="00711D72"/>
    <w:rsid w:val="00711E59"/>
    <w:rsid w:val="00711FAF"/>
    <w:rsid w:val="0071206E"/>
    <w:rsid w:val="00712077"/>
    <w:rsid w:val="007120D4"/>
    <w:rsid w:val="0071228F"/>
    <w:rsid w:val="00712296"/>
    <w:rsid w:val="00712462"/>
    <w:rsid w:val="00712581"/>
    <w:rsid w:val="007125E2"/>
    <w:rsid w:val="0071278D"/>
    <w:rsid w:val="007127F8"/>
    <w:rsid w:val="0071283A"/>
    <w:rsid w:val="00712943"/>
    <w:rsid w:val="00712949"/>
    <w:rsid w:val="00712A64"/>
    <w:rsid w:val="00712D3C"/>
    <w:rsid w:val="00712DB2"/>
    <w:rsid w:val="00712DFE"/>
    <w:rsid w:val="00712ED7"/>
    <w:rsid w:val="0071315A"/>
    <w:rsid w:val="00713387"/>
    <w:rsid w:val="007133F8"/>
    <w:rsid w:val="00713411"/>
    <w:rsid w:val="0071348B"/>
    <w:rsid w:val="0071359E"/>
    <w:rsid w:val="007135E8"/>
    <w:rsid w:val="007136E1"/>
    <w:rsid w:val="007136EF"/>
    <w:rsid w:val="00713810"/>
    <w:rsid w:val="0071385E"/>
    <w:rsid w:val="00713988"/>
    <w:rsid w:val="007139F6"/>
    <w:rsid w:val="00713A10"/>
    <w:rsid w:val="00713A52"/>
    <w:rsid w:val="00713AAF"/>
    <w:rsid w:val="00713BE7"/>
    <w:rsid w:val="00713C0E"/>
    <w:rsid w:val="00713CE2"/>
    <w:rsid w:val="00713D28"/>
    <w:rsid w:val="00713EB8"/>
    <w:rsid w:val="00713EFC"/>
    <w:rsid w:val="00713F5E"/>
    <w:rsid w:val="00713F65"/>
    <w:rsid w:val="00713F9D"/>
    <w:rsid w:val="00713FB8"/>
    <w:rsid w:val="00714055"/>
    <w:rsid w:val="0071414E"/>
    <w:rsid w:val="007141DD"/>
    <w:rsid w:val="00714261"/>
    <w:rsid w:val="0071437F"/>
    <w:rsid w:val="007143B8"/>
    <w:rsid w:val="0071442D"/>
    <w:rsid w:val="00714592"/>
    <w:rsid w:val="0071469E"/>
    <w:rsid w:val="007147D2"/>
    <w:rsid w:val="00714921"/>
    <w:rsid w:val="0071493A"/>
    <w:rsid w:val="007149BD"/>
    <w:rsid w:val="00714A98"/>
    <w:rsid w:val="00714CB2"/>
    <w:rsid w:val="00714E15"/>
    <w:rsid w:val="00714EA6"/>
    <w:rsid w:val="00714EE9"/>
    <w:rsid w:val="00714F20"/>
    <w:rsid w:val="00714F5F"/>
    <w:rsid w:val="00715066"/>
    <w:rsid w:val="007150AA"/>
    <w:rsid w:val="00715181"/>
    <w:rsid w:val="007151B3"/>
    <w:rsid w:val="007153A4"/>
    <w:rsid w:val="007155A0"/>
    <w:rsid w:val="007155EA"/>
    <w:rsid w:val="00715608"/>
    <w:rsid w:val="00715630"/>
    <w:rsid w:val="007157E2"/>
    <w:rsid w:val="007157F4"/>
    <w:rsid w:val="0071585D"/>
    <w:rsid w:val="0071590D"/>
    <w:rsid w:val="007159E4"/>
    <w:rsid w:val="00715AC9"/>
    <w:rsid w:val="00715B8B"/>
    <w:rsid w:val="00715BA5"/>
    <w:rsid w:val="00715BCC"/>
    <w:rsid w:val="00715C03"/>
    <w:rsid w:val="00715C20"/>
    <w:rsid w:val="00715CA5"/>
    <w:rsid w:val="00715CCB"/>
    <w:rsid w:val="00715F69"/>
    <w:rsid w:val="00716066"/>
    <w:rsid w:val="007160BA"/>
    <w:rsid w:val="0071634F"/>
    <w:rsid w:val="007163A4"/>
    <w:rsid w:val="007163AA"/>
    <w:rsid w:val="007164A8"/>
    <w:rsid w:val="007164C5"/>
    <w:rsid w:val="007164D3"/>
    <w:rsid w:val="007166EC"/>
    <w:rsid w:val="00716720"/>
    <w:rsid w:val="00716869"/>
    <w:rsid w:val="007169FD"/>
    <w:rsid w:val="00716A91"/>
    <w:rsid w:val="00716C0B"/>
    <w:rsid w:val="00716C0C"/>
    <w:rsid w:val="00716C1C"/>
    <w:rsid w:val="00716C64"/>
    <w:rsid w:val="00716CF1"/>
    <w:rsid w:val="00716DB7"/>
    <w:rsid w:val="00716EB6"/>
    <w:rsid w:val="00716ED2"/>
    <w:rsid w:val="00716EE6"/>
    <w:rsid w:val="00716F17"/>
    <w:rsid w:val="00717039"/>
    <w:rsid w:val="00717051"/>
    <w:rsid w:val="007170B3"/>
    <w:rsid w:val="0071736F"/>
    <w:rsid w:val="007173AB"/>
    <w:rsid w:val="00717507"/>
    <w:rsid w:val="00717535"/>
    <w:rsid w:val="00717554"/>
    <w:rsid w:val="0071762D"/>
    <w:rsid w:val="007176E4"/>
    <w:rsid w:val="00717795"/>
    <w:rsid w:val="00717894"/>
    <w:rsid w:val="00717908"/>
    <w:rsid w:val="0071794E"/>
    <w:rsid w:val="0071798C"/>
    <w:rsid w:val="00717A9A"/>
    <w:rsid w:val="00717AA5"/>
    <w:rsid w:val="00717B84"/>
    <w:rsid w:val="00717B9D"/>
    <w:rsid w:val="00717C4C"/>
    <w:rsid w:val="00717D19"/>
    <w:rsid w:val="00717D80"/>
    <w:rsid w:val="00717D8B"/>
    <w:rsid w:val="00717DF3"/>
    <w:rsid w:val="00717EB9"/>
    <w:rsid w:val="00717F15"/>
    <w:rsid w:val="00717F87"/>
    <w:rsid w:val="00717FB9"/>
    <w:rsid w:val="0072004F"/>
    <w:rsid w:val="0072013D"/>
    <w:rsid w:val="00720292"/>
    <w:rsid w:val="00720435"/>
    <w:rsid w:val="00720462"/>
    <w:rsid w:val="00720567"/>
    <w:rsid w:val="0072086C"/>
    <w:rsid w:val="007208F5"/>
    <w:rsid w:val="0072092B"/>
    <w:rsid w:val="007209D7"/>
    <w:rsid w:val="00720B43"/>
    <w:rsid w:val="00720BAD"/>
    <w:rsid w:val="00720BE1"/>
    <w:rsid w:val="00720BE8"/>
    <w:rsid w:val="00720C18"/>
    <w:rsid w:val="00720D00"/>
    <w:rsid w:val="00720ECD"/>
    <w:rsid w:val="00720F16"/>
    <w:rsid w:val="00721055"/>
    <w:rsid w:val="007210C6"/>
    <w:rsid w:val="00721186"/>
    <w:rsid w:val="007212E4"/>
    <w:rsid w:val="00721520"/>
    <w:rsid w:val="00721592"/>
    <w:rsid w:val="007215FF"/>
    <w:rsid w:val="0072178C"/>
    <w:rsid w:val="007217A3"/>
    <w:rsid w:val="007217DE"/>
    <w:rsid w:val="0072181C"/>
    <w:rsid w:val="00721867"/>
    <w:rsid w:val="0072188E"/>
    <w:rsid w:val="00721A9B"/>
    <w:rsid w:val="00721B61"/>
    <w:rsid w:val="00721B89"/>
    <w:rsid w:val="00721BED"/>
    <w:rsid w:val="00721CDD"/>
    <w:rsid w:val="00721D4F"/>
    <w:rsid w:val="00721DA5"/>
    <w:rsid w:val="00721DF6"/>
    <w:rsid w:val="00721E0B"/>
    <w:rsid w:val="00721E32"/>
    <w:rsid w:val="00721E95"/>
    <w:rsid w:val="00721FA5"/>
    <w:rsid w:val="00721FBA"/>
    <w:rsid w:val="00722194"/>
    <w:rsid w:val="007221B4"/>
    <w:rsid w:val="0072225A"/>
    <w:rsid w:val="007223F5"/>
    <w:rsid w:val="00722474"/>
    <w:rsid w:val="0072265A"/>
    <w:rsid w:val="007229C7"/>
    <w:rsid w:val="00722B93"/>
    <w:rsid w:val="00722C4D"/>
    <w:rsid w:val="00722D22"/>
    <w:rsid w:val="00722D6B"/>
    <w:rsid w:val="00722DA0"/>
    <w:rsid w:val="00722DF8"/>
    <w:rsid w:val="00722F06"/>
    <w:rsid w:val="00722F9C"/>
    <w:rsid w:val="00722FB5"/>
    <w:rsid w:val="00723096"/>
    <w:rsid w:val="0072329D"/>
    <w:rsid w:val="00723343"/>
    <w:rsid w:val="00723393"/>
    <w:rsid w:val="007233C8"/>
    <w:rsid w:val="00723417"/>
    <w:rsid w:val="007234DA"/>
    <w:rsid w:val="0072357A"/>
    <w:rsid w:val="0072358C"/>
    <w:rsid w:val="007236CD"/>
    <w:rsid w:val="00723722"/>
    <w:rsid w:val="00723799"/>
    <w:rsid w:val="007238E8"/>
    <w:rsid w:val="00723984"/>
    <w:rsid w:val="00723A68"/>
    <w:rsid w:val="00723ACE"/>
    <w:rsid w:val="00723BA3"/>
    <w:rsid w:val="00723CBA"/>
    <w:rsid w:val="00723D4D"/>
    <w:rsid w:val="00723FA3"/>
    <w:rsid w:val="00723FF5"/>
    <w:rsid w:val="00724052"/>
    <w:rsid w:val="00724107"/>
    <w:rsid w:val="0072424A"/>
    <w:rsid w:val="007242B3"/>
    <w:rsid w:val="007242D9"/>
    <w:rsid w:val="00724389"/>
    <w:rsid w:val="007243DD"/>
    <w:rsid w:val="007243E7"/>
    <w:rsid w:val="0072458D"/>
    <w:rsid w:val="007245B8"/>
    <w:rsid w:val="007247A1"/>
    <w:rsid w:val="007249B0"/>
    <w:rsid w:val="00724C49"/>
    <w:rsid w:val="00724D2E"/>
    <w:rsid w:val="00724D42"/>
    <w:rsid w:val="00724D7F"/>
    <w:rsid w:val="00724DC6"/>
    <w:rsid w:val="00724E27"/>
    <w:rsid w:val="00724E5C"/>
    <w:rsid w:val="00724E64"/>
    <w:rsid w:val="00724F63"/>
    <w:rsid w:val="00724FB7"/>
    <w:rsid w:val="00725045"/>
    <w:rsid w:val="0072514B"/>
    <w:rsid w:val="00725192"/>
    <w:rsid w:val="0072524E"/>
    <w:rsid w:val="00725275"/>
    <w:rsid w:val="007252CD"/>
    <w:rsid w:val="00725355"/>
    <w:rsid w:val="0072542D"/>
    <w:rsid w:val="0072544E"/>
    <w:rsid w:val="007254AE"/>
    <w:rsid w:val="007254B8"/>
    <w:rsid w:val="007254D3"/>
    <w:rsid w:val="007255F2"/>
    <w:rsid w:val="0072560A"/>
    <w:rsid w:val="0072561B"/>
    <w:rsid w:val="00725742"/>
    <w:rsid w:val="007258DC"/>
    <w:rsid w:val="0072594E"/>
    <w:rsid w:val="00725AE2"/>
    <w:rsid w:val="00725C04"/>
    <w:rsid w:val="00725CFF"/>
    <w:rsid w:val="00725D3E"/>
    <w:rsid w:val="00725D75"/>
    <w:rsid w:val="00725D8B"/>
    <w:rsid w:val="00725F97"/>
    <w:rsid w:val="0072605A"/>
    <w:rsid w:val="00726095"/>
    <w:rsid w:val="007260B1"/>
    <w:rsid w:val="007260C3"/>
    <w:rsid w:val="007260D7"/>
    <w:rsid w:val="0072619F"/>
    <w:rsid w:val="007261E3"/>
    <w:rsid w:val="00726256"/>
    <w:rsid w:val="00726454"/>
    <w:rsid w:val="0072655A"/>
    <w:rsid w:val="007265D0"/>
    <w:rsid w:val="0072690A"/>
    <w:rsid w:val="007269D1"/>
    <w:rsid w:val="007269EB"/>
    <w:rsid w:val="00726A3A"/>
    <w:rsid w:val="00726B2D"/>
    <w:rsid w:val="00726B71"/>
    <w:rsid w:val="00727070"/>
    <w:rsid w:val="00727198"/>
    <w:rsid w:val="00727270"/>
    <w:rsid w:val="0072732C"/>
    <w:rsid w:val="00727386"/>
    <w:rsid w:val="00727465"/>
    <w:rsid w:val="00727542"/>
    <w:rsid w:val="00727557"/>
    <w:rsid w:val="00727696"/>
    <w:rsid w:val="007276F4"/>
    <w:rsid w:val="00727795"/>
    <w:rsid w:val="007277ED"/>
    <w:rsid w:val="00727819"/>
    <w:rsid w:val="0072783C"/>
    <w:rsid w:val="00727861"/>
    <w:rsid w:val="00727A6E"/>
    <w:rsid w:val="00727AEB"/>
    <w:rsid w:val="00727AFB"/>
    <w:rsid w:val="00727B7E"/>
    <w:rsid w:val="00727BB3"/>
    <w:rsid w:val="00727CFA"/>
    <w:rsid w:val="00727D56"/>
    <w:rsid w:val="00727D66"/>
    <w:rsid w:val="00727E4E"/>
    <w:rsid w:val="00727EF0"/>
    <w:rsid w:val="00727F4F"/>
    <w:rsid w:val="00727F65"/>
    <w:rsid w:val="00727F89"/>
    <w:rsid w:val="007300A4"/>
    <w:rsid w:val="0073016D"/>
    <w:rsid w:val="0073033A"/>
    <w:rsid w:val="007303A5"/>
    <w:rsid w:val="00730453"/>
    <w:rsid w:val="00730465"/>
    <w:rsid w:val="0073047D"/>
    <w:rsid w:val="00730480"/>
    <w:rsid w:val="00730496"/>
    <w:rsid w:val="007304A2"/>
    <w:rsid w:val="007305AA"/>
    <w:rsid w:val="007305C0"/>
    <w:rsid w:val="007305C2"/>
    <w:rsid w:val="00730697"/>
    <w:rsid w:val="007306AC"/>
    <w:rsid w:val="007306BE"/>
    <w:rsid w:val="00730A54"/>
    <w:rsid w:val="00730B18"/>
    <w:rsid w:val="00730B7C"/>
    <w:rsid w:val="00730BA0"/>
    <w:rsid w:val="00730C40"/>
    <w:rsid w:val="00730D3E"/>
    <w:rsid w:val="00730DB7"/>
    <w:rsid w:val="00730E3E"/>
    <w:rsid w:val="00730E79"/>
    <w:rsid w:val="00730EFE"/>
    <w:rsid w:val="00730F81"/>
    <w:rsid w:val="007310F2"/>
    <w:rsid w:val="00731173"/>
    <w:rsid w:val="0073123B"/>
    <w:rsid w:val="0073125F"/>
    <w:rsid w:val="007312AE"/>
    <w:rsid w:val="007312C8"/>
    <w:rsid w:val="007312F6"/>
    <w:rsid w:val="007315BE"/>
    <w:rsid w:val="00731626"/>
    <w:rsid w:val="00731645"/>
    <w:rsid w:val="0073164C"/>
    <w:rsid w:val="007317C8"/>
    <w:rsid w:val="00731817"/>
    <w:rsid w:val="007318FF"/>
    <w:rsid w:val="007319DB"/>
    <w:rsid w:val="00731A03"/>
    <w:rsid w:val="00731A1C"/>
    <w:rsid w:val="00731B36"/>
    <w:rsid w:val="00731BFF"/>
    <w:rsid w:val="00731CD6"/>
    <w:rsid w:val="00731DBD"/>
    <w:rsid w:val="00731E23"/>
    <w:rsid w:val="00731F97"/>
    <w:rsid w:val="00731FC5"/>
    <w:rsid w:val="00732095"/>
    <w:rsid w:val="00732143"/>
    <w:rsid w:val="007321D1"/>
    <w:rsid w:val="007325C4"/>
    <w:rsid w:val="007325FD"/>
    <w:rsid w:val="0073267D"/>
    <w:rsid w:val="007326D7"/>
    <w:rsid w:val="007328D2"/>
    <w:rsid w:val="0073294D"/>
    <w:rsid w:val="00732A41"/>
    <w:rsid w:val="00732C1C"/>
    <w:rsid w:val="00733134"/>
    <w:rsid w:val="00733310"/>
    <w:rsid w:val="007333B5"/>
    <w:rsid w:val="007334B3"/>
    <w:rsid w:val="00733520"/>
    <w:rsid w:val="00733536"/>
    <w:rsid w:val="007336C9"/>
    <w:rsid w:val="0073390E"/>
    <w:rsid w:val="00733C14"/>
    <w:rsid w:val="00733D10"/>
    <w:rsid w:val="00733D3F"/>
    <w:rsid w:val="00733ED3"/>
    <w:rsid w:val="00733F17"/>
    <w:rsid w:val="00733FC4"/>
    <w:rsid w:val="007340B7"/>
    <w:rsid w:val="0073410A"/>
    <w:rsid w:val="0073414F"/>
    <w:rsid w:val="007343D2"/>
    <w:rsid w:val="007343DC"/>
    <w:rsid w:val="00734432"/>
    <w:rsid w:val="0073447C"/>
    <w:rsid w:val="007345AF"/>
    <w:rsid w:val="007345B0"/>
    <w:rsid w:val="007346F4"/>
    <w:rsid w:val="0073470D"/>
    <w:rsid w:val="0073478C"/>
    <w:rsid w:val="00734801"/>
    <w:rsid w:val="007348D4"/>
    <w:rsid w:val="00734924"/>
    <w:rsid w:val="00734AE2"/>
    <w:rsid w:val="00734BB5"/>
    <w:rsid w:val="00734C69"/>
    <w:rsid w:val="00734C76"/>
    <w:rsid w:val="00734C83"/>
    <w:rsid w:val="00734D7C"/>
    <w:rsid w:val="00734F49"/>
    <w:rsid w:val="00734F97"/>
    <w:rsid w:val="00735001"/>
    <w:rsid w:val="00735017"/>
    <w:rsid w:val="00735084"/>
    <w:rsid w:val="00735158"/>
    <w:rsid w:val="00735292"/>
    <w:rsid w:val="007352AE"/>
    <w:rsid w:val="007353E9"/>
    <w:rsid w:val="0073548F"/>
    <w:rsid w:val="007354FC"/>
    <w:rsid w:val="0073558B"/>
    <w:rsid w:val="007355CA"/>
    <w:rsid w:val="0073564F"/>
    <w:rsid w:val="007357F3"/>
    <w:rsid w:val="00735804"/>
    <w:rsid w:val="00735941"/>
    <w:rsid w:val="00735945"/>
    <w:rsid w:val="0073597D"/>
    <w:rsid w:val="007359BE"/>
    <w:rsid w:val="007359E6"/>
    <w:rsid w:val="007359ED"/>
    <w:rsid w:val="007359EF"/>
    <w:rsid w:val="00735A1B"/>
    <w:rsid w:val="00735A9E"/>
    <w:rsid w:val="00735C1B"/>
    <w:rsid w:val="00735C42"/>
    <w:rsid w:val="00735C59"/>
    <w:rsid w:val="00735CDB"/>
    <w:rsid w:val="00735EB3"/>
    <w:rsid w:val="00735F08"/>
    <w:rsid w:val="00735F66"/>
    <w:rsid w:val="007362AA"/>
    <w:rsid w:val="0073640B"/>
    <w:rsid w:val="007365A9"/>
    <w:rsid w:val="007365C0"/>
    <w:rsid w:val="00736614"/>
    <w:rsid w:val="00736649"/>
    <w:rsid w:val="00736855"/>
    <w:rsid w:val="007368A6"/>
    <w:rsid w:val="007368C5"/>
    <w:rsid w:val="00736AEE"/>
    <w:rsid w:val="00736B8B"/>
    <w:rsid w:val="00736BBD"/>
    <w:rsid w:val="00736BC3"/>
    <w:rsid w:val="00736D6C"/>
    <w:rsid w:val="00736E6F"/>
    <w:rsid w:val="00736F11"/>
    <w:rsid w:val="00736F59"/>
    <w:rsid w:val="00736F82"/>
    <w:rsid w:val="0073705E"/>
    <w:rsid w:val="00737208"/>
    <w:rsid w:val="00737376"/>
    <w:rsid w:val="0073747F"/>
    <w:rsid w:val="00737536"/>
    <w:rsid w:val="00737612"/>
    <w:rsid w:val="007376B8"/>
    <w:rsid w:val="00737850"/>
    <w:rsid w:val="0073787A"/>
    <w:rsid w:val="00737881"/>
    <w:rsid w:val="00737927"/>
    <w:rsid w:val="007379CF"/>
    <w:rsid w:val="00737BDF"/>
    <w:rsid w:val="00737CFC"/>
    <w:rsid w:val="00737D64"/>
    <w:rsid w:val="00737DEA"/>
    <w:rsid w:val="00737F50"/>
    <w:rsid w:val="00737FC2"/>
    <w:rsid w:val="00737FF2"/>
    <w:rsid w:val="0074004D"/>
    <w:rsid w:val="0074004E"/>
    <w:rsid w:val="007400F1"/>
    <w:rsid w:val="0074010F"/>
    <w:rsid w:val="00740124"/>
    <w:rsid w:val="0074016C"/>
    <w:rsid w:val="00740210"/>
    <w:rsid w:val="00740230"/>
    <w:rsid w:val="00740293"/>
    <w:rsid w:val="0074033B"/>
    <w:rsid w:val="007404E9"/>
    <w:rsid w:val="007404FC"/>
    <w:rsid w:val="0074056C"/>
    <w:rsid w:val="0074078C"/>
    <w:rsid w:val="007407A9"/>
    <w:rsid w:val="007407FC"/>
    <w:rsid w:val="00740853"/>
    <w:rsid w:val="007409EC"/>
    <w:rsid w:val="00740AFB"/>
    <w:rsid w:val="00740BCA"/>
    <w:rsid w:val="00740E07"/>
    <w:rsid w:val="00740E2B"/>
    <w:rsid w:val="00740EA7"/>
    <w:rsid w:val="00740FC3"/>
    <w:rsid w:val="00741192"/>
    <w:rsid w:val="00741218"/>
    <w:rsid w:val="0074123E"/>
    <w:rsid w:val="007412B9"/>
    <w:rsid w:val="007412D9"/>
    <w:rsid w:val="007412E5"/>
    <w:rsid w:val="007412F2"/>
    <w:rsid w:val="00741371"/>
    <w:rsid w:val="00741441"/>
    <w:rsid w:val="00741507"/>
    <w:rsid w:val="007415F4"/>
    <w:rsid w:val="007417A9"/>
    <w:rsid w:val="007417EA"/>
    <w:rsid w:val="0074185E"/>
    <w:rsid w:val="00741950"/>
    <w:rsid w:val="007419DB"/>
    <w:rsid w:val="00741A3A"/>
    <w:rsid w:val="00741BFF"/>
    <w:rsid w:val="00741C01"/>
    <w:rsid w:val="00741D0A"/>
    <w:rsid w:val="00741E95"/>
    <w:rsid w:val="0074217D"/>
    <w:rsid w:val="007422C6"/>
    <w:rsid w:val="007423BF"/>
    <w:rsid w:val="007423D7"/>
    <w:rsid w:val="00742426"/>
    <w:rsid w:val="007424B5"/>
    <w:rsid w:val="0074255E"/>
    <w:rsid w:val="007426FA"/>
    <w:rsid w:val="007427CD"/>
    <w:rsid w:val="00742853"/>
    <w:rsid w:val="00742A4A"/>
    <w:rsid w:val="00742B31"/>
    <w:rsid w:val="00742B91"/>
    <w:rsid w:val="00742BC1"/>
    <w:rsid w:val="00742BC4"/>
    <w:rsid w:val="00742C54"/>
    <w:rsid w:val="00742D18"/>
    <w:rsid w:val="00742D84"/>
    <w:rsid w:val="00742DD9"/>
    <w:rsid w:val="00742E99"/>
    <w:rsid w:val="00742EF0"/>
    <w:rsid w:val="00742F6F"/>
    <w:rsid w:val="00743012"/>
    <w:rsid w:val="0074304A"/>
    <w:rsid w:val="0074312C"/>
    <w:rsid w:val="00743301"/>
    <w:rsid w:val="007433ED"/>
    <w:rsid w:val="00743512"/>
    <w:rsid w:val="0074351A"/>
    <w:rsid w:val="00743652"/>
    <w:rsid w:val="00743722"/>
    <w:rsid w:val="0074379B"/>
    <w:rsid w:val="00743830"/>
    <w:rsid w:val="00743988"/>
    <w:rsid w:val="00743AA8"/>
    <w:rsid w:val="00743AE5"/>
    <w:rsid w:val="00743B16"/>
    <w:rsid w:val="00743D69"/>
    <w:rsid w:val="00743DCF"/>
    <w:rsid w:val="00743E89"/>
    <w:rsid w:val="00743F30"/>
    <w:rsid w:val="0074400F"/>
    <w:rsid w:val="0074403C"/>
    <w:rsid w:val="0074404B"/>
    <w:rsid w:val="00744067"/>
    <w:rsid w:val="00744089"/>
    <w:rsid w:val="007440B0"/>
    <w:rsid w:val="007441B9"/>
    <w:rsid w:val="00744205"/>
    <w:rsid w:val="0074431D"/>
    <w:rsid w:val="00744397"/>
    <w:rsid w:val="007443C2"/>
    <w:rsid w:val="007443FF"/>
    <w:rsid w:val="00744451"/>
    <w:rsid w:val="00744494"/>
    <w:rsid w:val="007445FD"/>
    <w:rsid w:val="00744601"/>
    <w:rsid w:val="007446AD"/>
    <w:rsid w:val="00744820"/>
    <w:rsid w:val="007448D4"/>
    <w:rsid w:val="00744972"/>
    <w:rsid w:val="00744AD6"/>
    <w:rsid w:val="00744C45"/>
    <w:rsid w:val="00744CA5"/>
    <w:rsid w:val="00744CA9"/>
    <w:rsid w:val="00744D12"/>
    <w:rsid w:val="00744D28"/>
    <w:rsid w:val="00744DD9"/>
    <w:rsid w:val="00744E90"/>
    <w:rsid w:val="00744FC4"/>
    <w:rsid w:val="0074501A"/>
    <w:rsid w:val="007450C9"/>
    <w:rsid w:val="007450D1"/>
    <w:rsid w:val="007450EF"/>
    <w:rsid w:val="007450F0"/>
    <w:rsid w:val="00745319"/>
    <w:rsid w:val="0074542E"/>
    <w:rsid w:val="007454E8"/>
    <w:rsid w:val="007455C5"/>
    <w:rsid w:val="007455DA"/>
    <w:rsid w:val="00745707"/>
    <w:rsid w:val="00745739"/>
    <w:rsid w:val="00745741"/>
    <w:rsid w:val="00745793"/>
    <w:rsid w:val="007459DA"/>
    <w:rsid w:val="00745A7B"/>
    <w:rsid w:val="00745B23"/>
    <w:rsid w:val="00745E3F"/>
    <w:rsid w:val="00745FC2"/>
    <w:rsid w:val="00745FE9"/>
    <w:rsid w:val="00746065"/>
    <w:rsid w:val="00746181"/>
    <w:rsid w:val="00746224"/>
    <w:rsid w:val="00746239"/>
    <w:rsid w:val="007462F6"/>
    <w:rsid w:val="0074652D"/>
    <w:rsid w:val="00746534"/>
    <w:rsid w:val="00746544"/>
    <w:rsid w:val="00746546"/>
    <w:rsid w:val="0074674E"/>
    <w:rsid w:val="0074684A"/>
    <w:rsid w:val="00746863"/>
    <w:rsid w:val="00746908"/>
    <w:rsid w:val="007469C6"/>
    <w:rsid w:val="00746B75"/>
    <w:rsid w:val="00746BD0"/>
    <w:rsid w:val="00746D6B"/>
    <w:rsid w:val="00746D9C"/>
    <w:rsid w:val="00746DB4"/>
    <w:rsid w:val="00746E6E"/>
    <w:rsid w:val="00746F26"/>
    <w:rsid w:val="00746F7E"/>
    <w:rsid w:val="00746FF2"/>
    <w:rsid w:val="00747056"/>
    <w:rsid w:val="00747120"/>
    <w:rsid w:val="007473C4"/>
    <w:rsid w:val="00747420"/>
    <w:rsid w:val="00747423"/>
    <w:rsid w:val="0074742D"/>
    <w:rsid w:val="0074743C"/>
    <w:rsid w:val="007474AC"/>
    <w:rsid w:val="007474D1"/>
    <w:rsid w:val="007476A5"/>
    <w:rsid w:val="007477BB"/>
    <w:rsid w:val="007479D4"/>
    <w:rsid w:val="00747A32"/>
    <w:rsid w:val="00747B52"/>
    <w:rsid w:val="00747BA6"/>
    <w:rsid w:val="00747BC8"/>
    <w:rsid w:val="00747C77"/>
    <w:rsid w:val="00747C82"/>
    <w:rsid w:val="00747DF2"/>
    <w:rsid w:val="00747E68"/>
    <w:rsid w:val="00747E80"/>
    <w:rsid w:val="00747F66"/>
    <w:rsid w:val="00750215"/>
    <w:rsid w:val="007502A2"/>
    <w:rsid w:val="00750352"/>
    <w:rsid w:val="0075037C"/>
    <w:rsid w:val="007503F0"/>
    <w:rsid w:val="00750416"/>
    <w:rsid w:val="0075049F"/>
    <w:rsid w:val="0075062D"/>
    <w:rsid w:val="007506EC"/>
    <w:rsid w:val="0075087F"/>
    <w:rsid w:val="007508AB"/>
    <w:rsid w:val="007508D4"/>
    <w:rsid w:val="00750921"/>
    <w:rsid w:val="00750924"/>
    <w:rsid w:val="00750A26"/>
    <w:rsid w:val="00750AC9"/>
    <w:rsid w:val="00750B62"/>
    <w:rsid w:val="00750D10"/>
    <w:rsid w:val="00750DBB"/>
    <w:rsid w:val="00750FD3"/>
    <w:rsid w:val="00750FE4"/>
    <w:rsid w:val="00751054"/>
    <w:rsid w:val="0075107C"/>
    <w:rsid w:val="007510E6"/>
    <w:rsid w:val="007512F0"/>
    <w:rsid w:val="007512F9"/>
    <w:rsid w:val="007514A6"/>
    <w:rsid w:val="007514C1"/>
    <w:rsid w:val="007514D9"/>
    <w:rsid w:val="007514F3"/>
    <w:rsid w:val="007515E4"/>
    <w:rsid w:val="00751894"/>
    <w:rsid w:val="007518C5"/>
    <w:rsid w:val="007519C9"/>
    <w:rsid w:val="00751A28"/>
    <w:rsid w:val="00751B5C"/>
    <w:rsid w:val="00751BCE"/>
    <w:rsid w:val="00751C01"/>
    <w:rsid w:val="00751C41"/>
    <w:rsid w:val="00751F04"/>
    <w:rsid w:val="00752008"/>
    <w:rsid w:val="0075207C"/>
    <w:rsid w:val="007521AB"/>
    <w:rsid w:val="0075243A"/>
    <w:rsid w:val="007524EB"/>
    <w:rsid w:val="00752534"/>
    <w:rsid w:val="0075258C"/>
    <w:rsid w:val="0075269C"/>
    <w:rsid w:val="007526FF"/>
    <w:rsid w:val="007527DF"/>
    <w:rsid w:val="00752892"/>
    <w:rsid w:val="00752909"/>
    <w:rsid w:val="00752968"/>
    <w:rsid w:val="007529F1"/>
    <w:rsid w:val="00752AE8"/>
    <w:rsid w:val="00752B0E"/>
    <w:rsid w:val="00752BDE"/>
    <w:rsid w:val="00752BE4"/>
    <w:rsid w:val="00752C3E"/>
    <w:rsid w:val="00752CE1"/>
    <w:rsid w:val="00752EE2"/>
    <w:rsid w:val="0075302C"/>
    <w:rsid w:val="00753172"/>
    <w:rsid w:val="00753326"/>
    <w:rsid w:val="007533C2"/>
    <w:rsid w:val="0075349F"/>
    <w:rsid w:val="00753571"/>
    <w:rsid w:val="00753648"/>
    <w:rsid w:val="007537A2"/>
    <w:rsid w:val="00753863"/>
    <w:rsid w:val="00753913"/>
    <w:rsid w:val="00753929"/>
    <w:rsid w:val="00753993"/>
    <w:rsid w:val="00753C26"/>
    <w:rsid w:val="00753CA0"/>
    <w:rsid w:val="00753CF8"/>
    <w:rsid w:val="00753D04"/>
    <w:rsid w:val="00753D30"/>
    <w:rsid w:val="00753D9F"/>
    <w:rsid w:val="00753E02"/>
    <w:rsid w:val="00753E79"/>
    <w:rsid w:val="00753FBC"/>
    <w:rsid w:val="00754143"/>
    <w:rsid w:val="00754396"/>
    <w:rsid w:val="00754572"/>
    <w:rsid w:val="00754598"/>
    <w:rsid w:val="00754604"/>
    <w:rsid w:val="007546C2"/>
    <w:rsid w:val="007546E0"/>
    <w:rsid w:val="00754750"/>
    <w:rsid w:val="00754776"/>
    <w:rsid w:val="0075477D"/>
    <w:rsid w:val="007547E9"/>
    <w:rsid w:val="00754829"/>
    <w:rsid w:val="0075495C"/>
    <w:rsid w:val="00754978"/>
    <w:rsid w:val="00754B66"/>
    <w:rsid w:val="00754B8F"/>
    <w:rsid w:val="00754B97"/>
    <w:rsid w:val="00754C5C"/>
    <w:rsid w:val="00754C6C"/>
    <w:rsid w:val="0075509F"/>
    <w:rsid w:val="0075524F"/>
    <w:rsid w:val="0075527E"/>
    <w:rsid w:val="00755425"/>
    <w:rsid w:val="007555F7"/>
    <w:rsid w:val="0075565A"/>
    <w:rsid w:val="007556AC"/>
    <w:rsid w:val="007556C5"/>
    <w:rsid w:val="007556D0"/>
    <w:rsid w:val="00755719"/>
    <w:rsid w:val="00755819"/>
    <w:rsid w:val="00755911"/>
    <w:rsid w:val="00755915"/>
    <w:rsid w:val="00755A0D"/>
    <w:rsid w:val="00755B2E"/>
    <w:rsid w:val="00755BAC"/>
    <w:rsid w:val="00755C66"/>
    <w:rsid w:val="00755CC1"/>
    <w:rsid w:val="00755D16"/>
    <w:rsid w:val="00755D8D"/>
    <w:rsid w:val="00755E3C"/>
    <w:rsid w:val="00755ECA"/>
    <w:rsid w:val="0075604A"/>
    <w:rsid w:val="0075608D"/>
    <w:rsid w:val="007560F4"/>
    <w:rsid w:val="00756132"/>
    <w:rsid w:val="007562B4"/>
    <w:rsid w:val="007562C2"/>
    <w:rsid w:val="0075636B"/>
    <w:rsid w:val="0075636E"/>
    <w:rsid w:val="00756466"/>
    <w:rsid w:val="00756533"/>
    <w:rsid w:val="00756559"/>
    <w:rsid w:val="007565F3"/>
    <w:rsid w:val="0075667A"/>
    <w:rsid w:val="00756890"/>
    <w:rsid w:val="00756916"/>
    <w:rsid w:val="00756ADF"/>
    <w:rsid w:val="00756B9B"/>
    <w:rsid w:val="00756BCF"/>
    <w:rsid w:val="00756C48"/>
    <w:rsid w:val="00756C88"/>
    <w:rsid w:val="00756D4E"/>
    <w:rsid w:val="00756D69"/>
    <w:rsid w:val="00756D8B"/>
    <w:rsid w:val="00756E5D"/>
    <w:rsid w:val="00756ED5"/>
    <w:rsid w:val="00756F34"/>
    <w:rsid w:val="007570BC"/>
    <w:rsid w:val="0075711E"/>
    <w:rsid w:val="0075714F"/>
    <w:rsid w:val="00757198"/>
    <w:rsid w:val="007571D9"/>
    <w:rsid w:val="007572A5"/>
    <w:rsid w:val="00757407"/>
    <w:rsid w:val="007578AA"/>
    <w:rsid w:val="00757A67"/>
    <w:rsid w:val="00757DB9"/>
    <w:rsid w:val="00757F21"/>
    <w:rsid w:val="00757F4D"/>
    <w:rsid w:val="00757FB7"/>
    <w:rsid w:val="00760067"/>
    <w:rsid w:val="0076017D"/>
    <w:rsid w:val="007602F3"/>
    <w:rsid w:val="00760333"/>
    <w:rsid w:val="00760403"/>
    <w:rsid w:val="0076058F"/>
    <w:rsid w:val="00760722"/>
    <w:rsid w:val="00760812"/>
    <w:rsid w:val="007608BA"/>
    <w:rsid w:val="007608D3"/>
    <w:rsid w:val="00760999"/>
    <w:rsid w:val="007609B2"/>
    <w:rsid w:val="007609CD"/>
    <w:rsid w:val="00760A06"/>
    <w:rsid w:val="00760C2E"/>
    <w:rsid w:val="00760C6D"/>
    <w:rsid w:val="00760C9B"/>
    <w:rsid w:val="00760D48"/>
    <w:rsid w:val="00760D58"/>
    <w:rsid w:val="00760EDA"/>
    <w:rsid w:val="00760FB5"/>
    <w:rsid w:val="0076104F"/>
    <w:rsid w:val="007610FC"/>
    <w:rsid w:val="00761148"/>
    <w:rsid w:val="007611BB"/>
    <w:rsid w:val="00761248"/>
    <w:rsid w:val="00761414"/>
    <w:rsid w:val="00761447"/>
    <w:rsid w:val="00761482"/>
    <w:rsid w:val="007614C6"/>
    <w:rsid w:val="00761654"/>
    <w:rsid w:val="007616EB"/>
    <w:rsid w:val="00761778"/>
    <w:rsid w:val="007617CD"/>
    <w:rsid w:val="00761876"/>
    <w:rsid w:val="00761A3D"/>
    <w:rsid w:val="00761A80"/>
    <w:rsid w:val="00761AFC"/>
    <w:rsid w:val="00761CA5"/>
    <w:rsid w:val="00761D0B"/>
    <w:rsid w:val="00761E38"/>
    <w:rsid w:val="00761EA0"/>
    <w:rsid w:val="00761EA7"/>
    <w:rsid w:val="00761F86"/>
    <w:rsid w:val="0076225B"/>
    <w:rsid w:val="00762261"/>
    <w:rsid w:val="0076227F"/>
    <w:rsid w:val="007622D4"/>
    <w:rsid w:val="00762347"/>
    <w:rsid w:val="00762409"/>
    <w:rsid w:val="0076250C"/>
    <w:rsid w:val="0076265E"/>
    <w:rsid w:val="007627C2"/>
    <w:rsid w:val="00762935"/>
    <w:rsid w:val="007629AC"/>
    <w:rsid w:val="00762AE2"/>
    <w:rsid w:val="00762B7C"/>
    <w:rsid w:val="00762B92"/>
    <w:rsid w:val="00762BF7"/>
    <w:rsid w:val="00762CBC"/>
    <w:rsid w:val="00762D4C"/>
    <w:rsid w:val="00762E30"/>
    <w:rsid w:val="00762ECE"/>
    <w:rsid w:val="00762F0E"/>
    <w:rsid w:val="00762F13"/>
    <w:rsid w:val="00762F28"/>
    <w:rsid w:val="007630C4"/>
    <w:rsid w:val="007630CB"/>
    <w:rsid w:val="0076333B"/>
    <w:rsid w:val="0076341A"/>
    <w:rsid w:val="007634EF"/>
    <w:rsid w:val="00763563"/>
    <w:rsid w:val="0076360C"/>
    <w:rsid w:val="007636E8"/>
    <w:rsid w:val="007636F9"/>
    <w:rsid w:val="007637A4"/>
    <w:rsid w:val="0076387B"/>
    <w:rsid w:val="00763959"/>
    <w:rsid w:val="007639AF"/>
    <w:rsid w:val="007639E1"/>
    <w:rsid w:val="00763B9B"/>
    <w:rsid w:val="00763BE3"/>
    <w:rsid w:val="00763CB4"/>
    <w:rsid w:val="00763CB9"/>
    <w:rsid w:val="00763D5B"/>
    <w:rsid w:val="00763E89"/>
    <w:rsid w:val="00763F43"/>
    <w:rsid w:val="0076410A"/>
    <w:rsid w:val="007641A7"/>
    <w:rsid w:val="007641AA"/>
    <w:rsid w:val="00764323"/>
    <w:rsid w:val="0076433F"/>
    <w:rsid w:val="00764515"/>
    <w:rsid w:val="00764527"/>
    <w:rsid w:val="0076459C"/>
    <w:rsid w:val="00764626"/>
    <w:rsid w:val="00764742"/>
    <w:rsid w:val="007648B5"/>
    <w:rsid w:val="007648F1"/>
    <w:rsid w:val="0076491B"/>
    <w:rsid w:val="007649AC"/>
    <w:rsid w:val="00764A1F"/>
    <w:rsid w:val="00764A80"/>
    <w:rsid w:val="00764AD2"/>
    <w:rsid w:val="00764B61"/>
    <w:rsid w:val="00764B97"/>
    <w:rsid w:val="00764BAB"/>
    <w:rsid w:val="00764C3E"/>
    <w:rsid w:val="00764CAB"/>
    <w:rsid w:val="00764CD2"/>
    <w:rsid w:val="00764E61"/>
    <w:rsid w:val="00764E92"/>
    <w:rsid w:val="00764E99"/>
    <w:rsid w:val="00764F00"/>
    <w:rsid w:val="00764F5C"/>
    <w:rsid w:val="00764F70"/>
    <w:rsid w:val="00764FD1"/>
    <w:rsid w:val="00764FE9"/>
    <w:rsid w:val="007650B0"/>
    <w:rsid w:val="007650CF"/>
    <w:rsid w:val="00765107"/>
    <w:rsid w:val="00765223"/>
    <w:rsid w:val="0076526C"/>
    <w:rsid w:val="007652C0"/>
    <w:rsid w:val="007653B8"/>
    <w:rsid w:val="007653EA"/>
    <w:rsid w:val="007653FD"/>
    <w:rsid w:val="00765456"/>
    <w:rsid w:val="00765545"/>
    <w:rsid w:val="00765601"/>
    <w:rsid w:val="0076564D"/>
    <w:rsid w:val="007656A2"/>
    <w:rsid w:val="0076573D"/>
    <w:rsid w:val="007657E5"/>
    <w:rsid w:val="00765871"/>
    <w:rsid w:val="007658AD"/>
    <w:rsid w:val="007659B2"/>
    <w:rsid w:val="007659B6"/>
    <w:rsid w:val="00765A37"/>
    <w:rsid w:val="00765C91"/>
    <w:rsid w:val="00765CF9"/>
    <w:rsid w:val="00765D81"/>
    <w:rsid w:val="00765E6C"/>
    <w:rsid w:val="00765EC9"/>
    <w:rsid w:val="00765F2D"/>
    <w:rsid w:val="00765F64"/>
    <w:rsid w:val="00765FB0"/>
    <w:rsid w:val="00765FE3"/>
    <w:rsid w:val="007661AC"/>
    <w:rsid w:val="0076629D"/>
    <w:rsid w:val="007662E3"/>
    <w:rsid w:val="00766312"/>
    <w:rsid w:val="0076654C"/>
    <w:rsid w:val="00766594"/>
    <w:rsid w:val="00766668"/>
    <w:rsid w:val="007666AD"/>
    <w:rsid w:val="007666D6"/>
    <w:rsid w:val="007666EA"/>
    <w:rsid w:val="00766815"/>
    <w:rsid w:val="0076687F"/>
    <w:rsid w:val="00766942"/>
    <w:rsid w:val="0076697D"/>
    <w:rsid w:val="007669FA"/>
    <w:rsid w:val="00766A44"/>
    <w:rsid w:val="00766AC2"/>
    <w:rsid w:val="00766AEF"/>
    <w:rsid w:val="00766C42"/>
    <w:rsid w:val="00766C67"/>
    <w:rsid w:val="00766C85"/>
    <w:rsid w:val="00766D3A"/>
    <w:rsid w:val="00766EFB"/>
    <w:rsid w:val="00767024"/>
    <w:rsid w:val="007671B7"/>
    <w:rsid w:val="0076722A"/>
    <w:rsid w:val="007672CB"/>
    <w:rsid w:val="0076736E"/>
    <w:rsid w:val="007673A2"/>
    <w:rsid w:val="007673D3"/>
    <w:rsid w:val="00767456"/>
    <w:rsid w:val="0076745B"/>
    <w:rsid w:val="00767463"/>
    <w:rsid w:val="007674DD"/>
    <w:rsid w:val="007675F4"/>
    <w:rsid w:val="007676BB"/>
    <w:rsid w:val="00767728"/>
    <w:rsid w:val="007677D3"/>
    <w:rsid w:val="0076792E"/>
    <w:rsid w:val="007679B1"/>
    <w:rsid w:val="007679FC"/>
    <w:rsid w:val="00767CC9"/>
    <w:rsid w:val="00767D9C"/>
    <w:rsid w:val="00767DFF"/>
    <w:rsid w:val="00767E3F"/>
    <w:rsid w:val="00767F63"/>
    <w:rsid w:val="00767F92"/>
    <w:rsid w:val="00770001"/>
    <w:rsid w:val="0077008A"/>
    <w:rsid w:val="007700C3"/>
    <w:rsid w:val="0077015C"/>
    <w:rsid w:val="00770167"/>
    <w:rsid w:val="00770171"/>
    <w:rsid w:val="007703F7"/>
    <w:rsid w:val="00770434"/>
    <w:rsid w:val="007704F5"/>
    <w:rsid w:val="007705AD"/>
    <w:rsid w:val="00770650"/>
    <w:rsid w:val="00770725"/>
    <w:rsid w:val="0077076A"/>
    <w:rsid w:val="007708CE"/>
    <w:rsid w:val="0077094E"/>
    <w:rsid w:val="0077095E"/>
    <w:rsid w:val="00770986"/>
    <w:rsid w:val="007709B7"/>
    <w:rsid w:val="00770A41"/>
    <w:rsid w:val="00770B25"/>
    <w:rsid w:val="00770C32"/>
    <w:rsid w:val="00770C7F"/>
    <w:rsid w:val="00770CB9"/>
    <w:rsid w:val="00770D00"/>
    <w:rsid w:val="00770EC8"/>
    <w:rsid w:val="00770F77"/>
    <w:rsid w:val="0077100C"/>
    <w:rsid w:val="00771049"/>
    <w:rsid w:val="00771067"/>
    <w:rsid w:val="007711CC"/>
    <w:rsid w:val="00771249"/>
    <w:rsid w:val="007712E1"/>
    <w:rsid w:val="00771323"/>
    <w:rsid w:val="007714DD"/>
    <w:rsid w:val="00771565"/>
    <w:rsid w:val="00771570"/>
    <w:rsid w:val="007715A9"/>
    <w:rsid w:val="007715D5"/>
    <w:rsid w:val="007716E2"/>
    <w:rsid w:val="007717A7"/>
    <w:rsid w:val="00771860"/>
    <w:rsid w:val="007718D7"/>
    <w:rsid w:val="007718DB"/>
    <w:rsid w:val="00771913"/>
    <w:rsid w:val="00771967"/>
    <w:rsid w:val="00771A33"/>
    <w:rsid w:val="00771ABC"/>
    <w:rsid w:val="00771B53"/>
    <w:rsid w:val="00771B73"/>
    <w:rsid w:val="00771C22"/>
    <w:rsid w:val="00771C97"/>
    <w:rsid w:val="00771D0B"/>
    <w:rsid w:val="00771E22"/>
    <w:rsid w:val="00771EB4"/>
    <w:rsid w:val="00771F25"/>
    <w:rsid w:val="00772049"/>
    <w:rsid w:val="0077209F"/>
    <w:rsid w:val="007720CD"/>
    <w:rsid w:val="0077211D"/>
    <w:rsid w:val="0077224B"/>
    <w:rsid w:val="00772262"/>
    <w:rsid w:val="0077234B"/>
    <w:rsid w:val="00772381"/>
    <w:rsid w:val="00772402"/>
    <w:rsid w:val="007724A0"/>
    <w:rsid w:val="00772730"/>
    <w:rsid w:val="007727C6"/>
    <w:rsid w:val="007728AB"/>
    <w:rsid w:val="0077292A"/>
    <w:rsid w:val="007729A6"/>
    <w:rsid w:val="00772AAB"/>
    <w:rsid w:val="00772B49"/>
    <w:rsid w:val="00772B9A"/>
    <w:rsid w:val="00772BDE"/>
    <w:rsid w:val="00772F5E"/>
    <w:rsid w:val="00773050"/>
    <w:rsid w:val="0077326D"/>
    <w:rsid w:val="0077347C"/>
    <w:rsid w:val="007734D2"/>
    <w:rsid w:val="00773613"/>
    <w:rsid w:val="007736B0"/>
    <w:rsid w:val="007737EC"/>
    <w:rsid w:val="00773840"/>
    <w:rsid w:val="007738B7"/>
    <w:rsid w:val="00773A67"/>
    <w:rsid w:val="00773AC0"/>
    <w:rsid w:val="00773BAB"/>
    <w:rsid w:val="00773C11"/>
    <w:rsid w:val="00773C9C"/>
    <w:rsid w:val="007742E2"/>
    <w:rsid w:val="007742FA"/>
    <w:rsid w:val="00774326"/>
    <w:rsid w:val="00774345"/>
    <w:rsid w:val="007743A0"/>
    <w:rsid w:val="007743D8"/>
    <w:rsid w:val="00774582"/>
    <w:rsid w:val="00774730"/>
    <w:rsid w:val="007748A0"/>
    <w:rsid w:val="00774991"/>
    <w:rsid w:val="007749BA"/>
    <w:rsid w:val="007749D4"/>
    <w:rsid w:val="007749F0"/>
    <w:rsid w:val="00774A6D"/>
    <w:rsid w:val="00774AFC"/>
    <w:rsid w:val="00774B96"/>
    <w:rsid w:val="00774BB2"/>
    <w:rsid w:val="00774C35"/>
    <w:rsid w:val="00774C91"/>
    <w:rsid w:val="00774E02"/>
    <w:rsid w:val="00774E8E"/>
    <w:rsid w:val="00774FB6"/>
    <w:rsid w:val="0077504A"/>
    <w:rsid w:val="00775182"/>
    <w:rsid w:val="007751B5"/>
    <w:rsid w:val="00775211"/>
    <w:rsid w:val="007752D6"/>
    <w:rsid w:val="00775323"/>
    <w:rsid w:val="00775364"/>
    <w:rsid w:val="00775396"/>
    <w:rsid w:val="00775410"/>
    <w:rsid w:val="00775460"/>
    <w:rsid w:val="00775489"/>
    <w:rsid w:val="007754F7"/>
    <w:rsid w:val="0077553B"/>
    <w:rsid w:val="007756F3"/>
    <w:rsid w:val="007757AA"/>
    <w:rsid w:val="0077581E"/>
    <w:rsid w:val="00775835"/>
    <w:rsid w:val="00775863"/>
    <w:rsid w:val="0077594F"/>
    <w:rsid w:val="00775997"/>
    <w:rsid w:val="007759C2"/>
    <w:rsid w:val="00775B0B"/>
    <w:rsid w:val="00775B37"/>
    <w:rsid w:val="00775B8C"/>
    <w:rsid w:val="00775BC5"/>
    <w:rsid w:val="00775CD4"/>
    <w:rsid w:val="00775E29"/>
    <w:rsid w:val="00775F80"/>
    <w:rsid w:val="00776095"/>
    <w:rsid w:val="00776140"/>
    <w:rsid w:val="0077614A"/>
    <w:rsid w:val="00776156"/>
    <w:rsid w:val="007761B1"/>
    <w:rsid w:val="007762D2"/>
    <w:rsid w:val="007762F0"/>
    <w:rsid w:val="00776338"/>
    <w:rsid w:val="00776357"/>
    <w:rsid w:val="007763B1"/>
    <w:rsid w:val="007763E9"/>
    <w:rsid w:val="00776421"/>
    <w:rsid w:val="007764D7"/>
    <w:rsid w:val="00776549"/>
    <w:rsid w:val="00776573"/>
    <w:rsid w:val="00776803"/>
    <w:rsid w:val="00776817"/>
    <w:rsid w:val="0077699D"/>
    <w:rsid w:val="00776B34"/>
    <w:rsid w:val="00776B3B"/>
    <w:rsid w:val="00776B67"/>
    <w:rsid w:val="00776C98"/>
    <w:rsid w:val="00776DAA"/>
    <w:rsid w:val="00776DF9"/>
    <w:rsid w:val="00776F7A"/>
    <w:rsid w:val="00776FDD"/>
    <w:rsid w:val="00777306"/>
    <w:rsid w:val="00777338"/>
    <w:rsid w:val="00777448"/>
    <w:rsid w:val="00777541"/>
    <w:rsid w:val="0077764D"/>
    <w:rsid w:val="0077779A"/>
    <w:rsid w:val="00777944"/>
    <w:rsid w:val="00777951"/>
    <w:rsid w:val="00777954"/>
    <w:rsid w:val="00777ADB"/>
    <w:rsid w:val="00777B0B"/>
    <w:rsid w:val="00777B73"/>
    <w:rsid w:val="00777E16"/>
    <w:rsid w:val="00777F3D"/>
    <w:rsid w:val="0078003E"/>
    <w:rsid w:val="00780043"/>
    <w:rsid w:val="00780341"/>
    <w:rsid w:val="00780375"/>
    <w:rsid w:val="0078049A"/>
    <w:rsid w:val="007804AC"/>
    <w:rsid w:val="00780509"/>
    <w:rsid w:val="00780598"/>
    <w:rsid w:val="0078073F"/>
    <w:rsid w:val="0078078F"/>
    <w:rsid w:val="007807EA"/>
    <w:rsid w:val="00780829"/>
    <w:rsid w:val="0078082C"/>
    <w:rsid w:val="00780860"/>
    <w:rsid w:val="00780934"/>
    <w:rsid w:val="007809DA"/>
    <w:rsid w:val="00780A5B"/>
    <w:rsid w:val="00780AAE"/>
    <w:rsid w:val="00780CA7"/>
    <w:rsid w:val="00780DAE"/>
    <w:rsid w:val="00780DB3"/>
    <w:rsid w:val="00780DBC"/>
    <w:rsid w:val="00780EDF"/>
    <w:rsid w:val="00780F14"/>
    <w:rsid w:val="00780FA2"/>
    <w:rsid w:val="00781095"/>
    <w:rsid w:val="007810BA"/>
    <w:rsid w:val="00781145"/>
    <w:rsid w:val="0078140D"/>
    <w:rsid w:val="0078144E"/>
    <w:rsid w:val="007814DC"/>
    <w:rsid w:val="007814FF"/>
    <w:rsid w:val="0078172D"/>
    <w:rsid w:val="00781A40"/>
    <w:rsid w:val="00781AAF"/>
    <w:rsid w:val="00781AE7"/>
    <w:rsid w:val="00781BFE"/>
    <w:rsid w:val="00781C4E"/>
    <w:rsid w:val="00781D84"/>
    <w:rsid w:val="00781DB8"/>
    <w:rsid w:val="00781ED1"/>
    <w:rsid w:val="00782024"/>
    <w:rsid w:val="0078202A"/>
    <w:rsid w:val="0078206F"/>
    <w:rsid w:val="007820F0"/>
    <w:rsid w:val="00782136"/>
    <w:rsid w:val="00782219"/>
    <w:rsid w:val="007824EF"/>
    <w:rsid w:val="00782616"/>
    <w:rsid w:val="00782662"/>
    <w:rsid w:val="007826A6"/>
    <w:rsid w:val="007827D9"/>
    <w:rsid w:val="0078280B"/>
    <w:rsid w:val="00782828"/>
    <w:rsid w:val="00782843"/>
    <w:rsid w:val="00782845"/>
    <w:rsid w:val="00782956"/>
    <w:rsid w:val="00782B78"/>
    <w:rsid w:val="00782CB9"/>
    <w:rsid w:val="00782D0A"/>
    <w:rsid w:val="00782DF8"/>
    <w:rsid w:val="00782F53"/>
    <w:rsid w:val="00782FFA"/>
    <w:rsid w:val="0078328C"/>
    <w:rsid w:val="007832C2"/>
    <w:rsid w:val="00783340"/>
    <w:rsid w:val="007833FD"/>
    <w:rsid w:val="0078342C"/>
    <w:rsid w:val="00783435"/>
    <w:rsid w:val="007834E3"/>
    <w:rsid w:val="00783537"/>
    <w:rsid w:val="0078355F"/>
    <w:rsid w:val="00783645"/>
    <w:rsid w:val="00783664"/>
    <w:rsid w:val="0078369A"/>
    <w:rsid w:val="0078378C"/>
    <w:rsid w:val="007837C0"/>
    <w:rsid w:val="0078382D"/>
    <w:rsid w:val="007838A3"/>
    <w:rsid w:val="007838C3"/>
    <w:rsid w:val="00783956"/>
    <w:rsid w:val="00783BE9"/>
    <w:rsid w:val="00783CFA"/>
    <w:rsid w:val="00783E14"/>
    <w:rsid w:val="00783E70"/>
    <w:rsid w:val="00784094"/>
    <w:rsid w:val="00784118"/>
    <w:rsid w:val="00784232"/>
    <w:rsid w:val="0078424C"/>
    <w:rsid w:val="00784281"/>
    <w:rsid w:val="007843ED"/>
    <w:rsid w:val="0078464F"/>
    <w:rsid w:val="00784717"/>
    <w:rsid w:val="007847CB"/>
    <w:rsid w:val="0078480E"/>
    <w:rsid w:val="0078486C"/>
    <w:rsid w:val="00784875"/>
    <w:rsid w:val="00784A0C"/>
    <w:rsid w:val="00784A2B"/>
    <w:rsid w:val="00784A49"/>
    <w:rsid w:val="00784A8D"/>
    <w:rsid w:val="00784D39"/>
    <w:rsid w:val="00784DA9"/>
    <w:rsid w:val="00784E36"/>
    <w:rsid w:val="00784E47"/>
    <w:rsid w:val="00784EA5"/>
    <w:rsid w:val="00784EAC"/>
    <w:rsid w:val="00784ED4"/>
    <w:rsid w:val="00784EF6"/>
    <w:rsid w:val="00784F07"/>
    <w:rsid w:val="00785007"/>
    <w:rsid w:val="0078513F"/>
    <w:rsid w:val="00785162"/>
    <w:rsid w:val="00785175"/>
    <w:rsid w:val="007853C0"/>
    <w:rsid w:val="00785548"/>
    <w:rsid w:val="007855D8"/>
    <w:rsid w:val="0078565B"/>
    <w:rsid w:val="00785661"/>
    <w:rsid w:val="007856AA"/>
    <w:rsid w:val="0078579A"/>
    <w:rsid w:val="007858CF"/>
    <w:rsid w:val="007858E1"/>
    <w:rsid w:val="007858F8"/>
    <w:rsid w:val="0078590B"/>
    <w:rsid w:val="00785BC2"/>
    <w:rsid w:val="00785E23"/>
    <w:rsid w:val="00785E82"/>
    <w:rsid w:val="00785F62"/>
    <w:rsid w:val="0078612A"/>
    <w:rsid w:val="00786337"/>
    <w:rsid w:val="00786360"/>
    <w:rsid w:val="007863AF"/>
    <w:rsid w:val="007864E5"/>
    <w:rsid w:val="007866A8"/>
    <w:rsid w:val="0078696E"/>
    <w:rsid w:val="00786A4F"/>
    <w:rsid w:val="00786AF7"/>
    <w:rsid w:val="00786B3B"/>
    <w:rsid w:val="00786BD9"/>
    <w:rsid w:val="00786CC0"/>
    <w:rsid w:val="00786CD5"/>
    <w:rsid w:val="00786ECC"/>
    <w:rsid w:val="00786ED2"/>
    <w:rsid w:val="00786EDA"/>
    <w:rsid w:val="00786F6B"/>
    <w:rsid w:val="00786F8B"/>
    <w:rsid w:val="00786FF6"/>
    <w:rsid w:val="007873F0"/>
    <w:rsid w:val="0078749C"/>
    <w:rsid w:val="00787518"/>
    <w:rsid w:val="007875F3"/>
    <w:rsid w:val="007876F6"/>
    <w:rsid w:val="0078771D"/>
    <w:rsid w:val="007877C7"/>
    <w:rsid w:val="007878C1"/>
    <w:rsid w:val="00787948"/>
    <w:rsid w:val="00787999"/>
    <w:rsid w:val="007879B9"/>
    <w:rsid w:val="00787C4E"/>
    <w:rsid w:val="00787CDB"/>
    <w:rsid w:val="00787D32"/>
    <w:rsid w:val="00787DDE"/>
    <w:rsid w:val="00787E1D"/>
    <w:rsid w:val="00787F30"/>
    <w:rsid w:val="00787FFD"/>
    <w:rsid w:val="00790032"/>
    <w:rsid w:val="00790309"/>
    <w:rsid w:val="0079044A"/>
    <w:rsid w:val="0079045B"/>
    <w:rsid w:val="00790571"/>
    <w:rsid w:val="00790800"/>
    <w:rsid w:val="0079082B"/>
    <w:rsid w:val="0079086D"/>
    <w:rsid w:val="007908F5"/>
    <w:rsid w:val="00790A40"/>
    <w:rsid w:val="00790A49"/>
    <w:rsid w:val="00790B23"/>
    <w:rsid w:val="00790B6D"/>
    <w:rsid w:val="00790C2F"/>
    <w:rsid w:val="00790D55"/>
    <w:rsid w:val="00790D75"/>
    <w:rsid w:val="00790D83"/>
    <w:rsid w:val="00790EF1"/>
    <w:rsid w:val="00790F13"/>
    <w:rsid w:val="00790F2F"/>
    <w:rsid w:val="00790F69"/>
    <w:rsid w:val="00790F7E"/>
    <w:rsid w:val="00791142"/>
    <w:rsid w:val="0079139A"/>
    <w:rsid w:val="00791429"/>
    <w:rsid w:val="00791995"/>
    <w:rsid w:val="007919B4"/>
    <w:rsid w:val="00791A23"/>
    <w:rsid w:val="00791A7D"/>
    <w:rsid w:val="00791AEF"/>
    <w:rsid w:val="00791B20"/>
    <w:rsid w:val="00791C90"/>
    <w:rsid w:val="00791C97"/>
    <w:rsid w:val="00791CCC"/>
    <w:rsid w:val="00791D5E"/>
    <w:rsid w:val="00791DD1"/>
    <w:rsid w:val="00791DEB"/>
    <w:rsid w:val="00791EFF"/>
    <w:rsid w:val="00791F25"/>
    <w:rsid w:val="0079205A"/>
    <w:rsid w:val="007920EF"/>
    <w:rsid w:val="0079217F"/>
    <w:rsid w:val="00792253"/>
    <w:rsid w:val="0079237C"/>
    <w:rsid w:val="0079256C"/>
    <w:rsid w:val="0079263C"/>
    <w:rsid w:val="0079269A"/>
    <w:rsid w:val="00792860"/>
    <w:rsid w:val="00792877"/>
    <w:rsid w:val="007928E8"/>
    <w:rsid w:val="0079292A"/>
    <w:rsid w:val="0079299C"/>
    <w:rsid w:val="00792A9B"/>
    <w:rsid w:val="00792B30"/>
    <w:rsid w:val="00792C91"/>
    <w:rsid w:val="00792CC0"/>
    <w:rsid w:val="00792E16"/>
    <w:rsid w:val="00792E26"/>
    <w:rsid w:val="0079302C"/>
    <w:rsid w:val="007932B1"/>
    <w:rsid w:val="007932BB"/>
    <w:rsid w:val="00793330"/>
    <w:rsid w:val="00793465"/>
    <w:rsid w:val="00793531"/>
    <w:rsid w:val="00793536"/>
    <w:rsid w:val="00793574"/>
    <w:rsid w:val="00793818"/>
    <w:rsid w:val="00793827"/>
    <w:rsid w:val="00793872"/>
    <w:rsid w:val="00793905"/>
    <w:rsid w:val="007939EC"/>
    <w:rsid w:val="00793A19"/>
    <w:rsid w:val="00793A4B"/>
    <w:rsid w:val="00793B86"/>
    <w:rsid w:val="00793D8D"/>
    <w:rsid w:val="00793E4B"/>
    <w:rsid w:val="00793EDC"/>
    <w:rsid w:val="00793F45"/>
    <w:rsid w:val="00793F94"/>
    <w:rsid w:val="00794027"/>
    <w:rsid w:val="0079414D"/>
    <w:rsid w:val="0079415B"/>
    <w:rsid w:val="00794214"/>
    <w:rsid w:val="00794226"/>
    <w:rsid w:val="0079423B"/>
    <w:rsid w:val="0079439A"/>
    <w:rsid w:val="0079449C"/>
    <w:rsid w:val="00794514"/>
    <w:rsid w:val="007945C8"/>
    <w:rsid w:val="0079467B"/>
    <w:rsid w:val="007946E5"/>
    <w:rsid w:val="0079472A"/>
    <w:rsid w:val="007947BD"/>
    <w:rsid w:val="0079481B"/>
    <w:rsid w:val="00794891"/>
    <w:rsid w:val="00794B33"/>
    <w:rsid w:val="00794B3F"/>
    <w:rsid w:val="00794C42"/>
    <w:rsid w:val="00794C55"/>
    <w:rsid w:val="00794CA1"/>
    <w:rsid w:val="00794CA9"/>
    <w:rsid w:val="00794DE3"/>
    <w:rsid w:val="00794F3A"/>
    <w:rsid w:val="0079500B"/>
    <w:rsid w:val="00795036"/>
    <w:rsid w:val="00795071"/>
    <w:rsid w:val="0079509D"/>
    <w:rsid w:val="007951AD"/>
    <w:rsid w:val="007951C1"/>
    <w:rsid w:val="007951E5"/>
    <w:rsid w:val="007952B7"/>
    <w:rsid w:val="007953D0"/>
    <w:rsid w:val="007953F7"/>
    <w:rsid w:val="007953FD"/>
    <w:rsid w:val="007953FF"/>
    <w:rsid w:val="00795552"/>
    <w:rsid w:val="007955F3"/>
    <w:rsid w:val="0079579E"/>
    <w:rsid w:val="00795C5C"/>
    <w:rsid w:val="00795C66"/>
    <w:rsid w:val="00795C6B"/>
    <w:rsid w:val="00795CCB"/>
    <w:rsid w:val="00795D1E"/>
    <w:rsid w:val="00795D54"/>
    <w:rsid w:val="00795D78"/>
    <w:rsid w:val="00795DA9"/>
    <w:rsid w:val="00795E70"/>
    <w:rsid w:val="00795F8C"/>
    <w:rsid w:val="007962AA"/>
    <w:rsid w:val="00796420"/>
    <w:rsid w:val="00796425"/>
    <w:rsid w:val="007964D5"/>
    <w:rsid w:val="007964D9"/>
    <w:rsid w:val="00796566"/>
    <w:rsid w:val="007965B8"/>
    <w:rsid w:val="007967BC"/>
    <w:rsid w:val="00796854"/>
    <w:rsid w:val="007968D4"/>
    <w:rsid w:val="00796955"/>
    <w:rsid w:val="00796A26"/>
    <w:rsid w:val="00796AAF"/>
    <w:rsid w:val="00796BD8"/>
    <w:rsid w:val="00796C6E"/>
    <w:rsid w:val="00796CF3"/>
    <w:rsid w:val="00796E86"/>
    <w:rsid w:val="00796EEC"/>
    <w:rsid w:val="00796F57"/>
    <w:rsid w:val="00796F87"/>
    <w:rsid w:val="00796F89"/>
    <w:rsid w:val="00796FAE"/>
    <w:rsid w:val="00797131"/>
    <w:rsid w:val="007971F5"/>
    <w:rsid w:val="00797202"/>
    <w:rsid w:val="00797342"/>
    <w:rsid w:val="00797363"/>
    <w:rsid w:val="00797474"/>
    <w:rsid w:val="00797501"/>
    <w:rsid w:val="00797520"/>
    <w:rsid w:val="00797632"/>
    <w:rsid w:val="00797636"/>
    <w:rsid w:val="007976C6"/>
    <w:rsid w:val="007976D6"/>
    <w:rsid w:val="00797761"/>
    <w:rsid w:val="007978E3"/>
    <w:rsid w:val="00797913"/>
    <w:rsid w:val="00797964"/>
    <w:rsid w:val="00797A48"/>
    <w:rsid w:val="00797B9D"/>
    <w:rsid w:val="00797CD7"/>
    <w:rsid w:val="00797DFB"/>
    <w:rsid w:val="00797E23"/>
    <w:rsid w:val="00797E65"/>
    <w:rsid w:val="00797E9B"/>
    <w:rsid w:val="00797EA2"/>
    <w:rsid w:val="00797F15"/>
    <w:rsid w:val="007A005B"/>
    <w:rsid w:val="007A00FE"/>
    <w:rsid w:val="007A0134"/>
    <w:rsid w:val="007A015B"/>
    <w:rsid w:val="007A01AF"/>
    <w:rsid w:val="007A01D9"/>
    <w:rsid w:val="007A01DE"/>
    <w:rsid w:val="007A0298"/>
    <w:rsid w:val="007A0340"/>
    <w:rsid w:val="007A055A"/>
    <w:rsid w:val="007A06D5"/>
    <w:rsid w:val="007A06EF"/>
    <w:rsid w:val="007A086C"/>
    <w:rsid w:val="007A0A85"/>
    <w:rsid w:val="007A0AC0"/>
    <w:rsid w:val="007A0C42"/>
    <w:rsid w:val="007A0D8B"/>
    <w:rsid w:val="007A0E36"/>
    <w:rsid w:val="007A0EC5"/>
    <w:rsid w:val="007A0F11"/>
    <w:rsid w:val="007A103F"/>
    <w:rsid w:val="007A10B3"/>
    <w:rsid w:val="007A125A"/>
    <w:rsid w:val="007A12D8"/>
    <w:rsid w:val="007A13AF"/>
    <w:rsid w:val="007A1495"/>
    <w:rsid w:val="007A1527"/>
    <w:rsid w:val="007A1611"/>
    <w:rsid w:val="007A1655"/>
    <w:rsid w:val="007A16CF"/>
    <w:rsid w:val="007A1794"/>
    <w:rsid w:val="007A17AC"/>
    <w:rsid w:val="007A1832"/>
    <w:rsid w:val="007A18FA"/>
    <w:rsid w:val="007A1927"/>
    <w:rsid w:val="007A19EC"/>
    <w:rsid w:val="007A1AC5"/>
    <w:rsid w:val="007A1CDF"/>
    <w:rsid w:val="007A204E"/>
    <w:rsid w:val="007A219A"/>
    <w:rsid w:val="007A223D"/>
    <w:rsid w:val="007A230F"/>
    <w:rsid w:val="007A23FA"/>
    <w:rsid w:val="007A2472"/>
    <w:rsid w:val="007A25F2"/>
    <w:rsid w:val="007A2650"/>
    <w:rsid w:val="007A2742"/>
    <w:rsid w:val="007A2767"/>
    <w:rsid w:val="007A296D"/>
    <w:rsid w:val="007A2A33"/>
    <w:rsid w:val="007A2B0D"/>
    <w:rsid w:val="007A2B7B"/>
    <w:rsid w:val="007A2DEA"/>
    <w:rsid w:val="007A2E69"/>
    <w:rsid w:val="007A2FE8"/>
    <w:rsid w:val="007A2FFF"/>
    <w:rsid w:val="007A3018"/>
    <w:rsid w:val="007A3053"/>
    <w:rsid w:val="007A3060"/>
    <w:rsid w:val="007A311A"/>
    <w:rsid w:val="007A318D"/>
    <w:rsid w:val="007A32F8"/>
    <w:rsid w:val="007A32FE"/>
    <w:rsid w:val="007A3320"/>
    <w:rsid w:val="007A3417"/>
    <w:rsid w:val="007A343E"/>
    <w:rsid w:val="007A34C5"/>
    <w:rsid w:val="007A352A"/>
    <w:rsid w:val="007A352B"/>
    <w:rsid w:val="007A35DA"/>
    <w:rsid w:val="007A36C7"/>
    <w:rsid w:val="007A378F"/>
    <w:rsid w:val="007A37DD"/>
    <w:rsid w:val="007A388A"/>
    <w:rsid w:val="007A3947"/>
    <w:rsid w:val="007A396C"/>
    <w:rsid w:val="007A3A4A"/>
    <w:rsid w:val="007A3A78"/>
    <w:rsid w:val="007A3A8E"/>
    <w:rsid w:val="007A3B67"/>
    <w:rsid w:val="007A3BB4"/>
    <w:rsid w:val="007A3CED"/>
    <w:rsid w:val="007A3E45"/>
    <w:rsid w:val="007A3E93"/>
    <w:rsid w:val="007A3F6E"/>
    <w:rsid w:val="007A4108"/>
    <w:rsid w:val="007A4226"/>
    <w:rsid w:val="007A4701"/>
    <w:rsid w:val="007A4719"/>
    <w:rsid w:val="007A478F"/>
    <w:rsid w:val="007A4808"/>
    <w:rsid w:val="007A4831"/>
    <w:rsid w:val="007A483D"/>
    <w:rsid w:val="007A486C"/>
    <w:rsid w:val="007A48B8"/>
    <w:rsid w:val="007A48DA"/>
    <w:rsid w:val="007A4906"/>
    <w:rsid w:val="007A49E2"/>
    <w:rsid w:val="007A4A7E"/>
    <w:rsid w:val="007A4B2A"/>
    <w:rsid w:val="007A4E93"/>
    <w:rsid w:val="007A4F41"/>
    <w:rsid w:val="007A4FB2"/>
    <w:rsid w:val="007A5025"/>
    <w:rsid w:val="007A504C"/>
    <w:rsid w:val="007A5184"/>
    <w:rsid w:val="007A524C"/>
    <w:rsid w:val="007A530E"/>
    <w:rsid w:val="007A537E"/>
    <w:rsid w:val="007A544E"/>
    <w:rsid w:val="007A55D9"/>
    <w:rsid w:val="007A56FA"/>
    <w:rsid w:val="007A5769"/>
    <w:rsid w:val="007A5985"/>
    <w:rsid w:val="007A598E"/>
    <w:rsid w:val="007A5A24"/>
    <w:rsid w:val="007A5A55"/>
    <w:rsid w:val="007A5AC3"/>
    <w:rsid w:val="007A5D1A"/>
    <w:rsid w:val="007A5D63"/>
    <w:rsid w:val="007A5D69"/>
    <w:rsid w:val="007A5DC6"/>
    <w:rsid w:val="007A5E98"/>
    <w:rsid w:val="007A5E9B"/>
    <w:rsid w:val="007A5F15"/>
    <w:rsid w:val="007A5F41"/>
    <w:rsid w:val="007A5F4E"/>
    <w:rsid w:val="007A6003"/>
    <w:rsid w:val="007A6115"/>
    <w:rsid w:val="007A613E"/>
    <w:rsid w:val="007A621E"/>
    <w:rsid w:val="007A64BC"/>
    <w:rsid w:val="007A6531"/>
    <w:rsid w:val="007A65EF"/>
    <w:rsid w:val="007A68FC"/>
    <w:rsid w:val="007A6C97"/>
    <w:rsid w:val="007A6F08"/>
    <w:rsid w:val="007A6FBD"/>
    <w:rsid w:val="007A6FC1"/>
    <w:rsid w:val="007A6FED"/>
    <w:rsid w:val="007A6FFA"/>
    <w:rsid w:val="007A705C"/>
    <w:rsid w:val="007A7084"/>
    <w:rsid w:val="007A71C1"/>
    <w:rsid w:val="007A71C4"/>
    <w:rsid w:val="007A72CD"/>
    <w:rsid w:val="007A7391"/>
    <w:rsid w:val="007A741F"/>
    <w:rsid w:val="007A755F"/>
    <w:rsid w:val="007A75B3"/>
    <w:rsid w:val="007A76FE"/>
    <w:rsid w:val="007A78B6"/>
    <w:rsid w:val="007A7918"/>
    <w:rsid w:val="007A7AFB"/>
    <w:rsid w:val="007A7BA8"/>
    <w:rsid w:val="007A7D24"/>
    <w:rsid w:val="007A7DE6"/>
    <w:rsid w:val="007A7E72"/>
    <w:rsid w:val="007A7F6E"/>
    <w:rsid w:val="007A7FF1"/>
    <w:rsid w:val="007B0018"/>
    <w:rsid w:val="007B006A"/>
    <w:rsid w:val="007B0147"/>
    <w:rsid w:val="007B016B"/>
    <w:rsid w:val="007B01B5"/>
    <w:rsid w:val="007B04A9"/>
    <w:rsid w:val="007B0568"/>
    <w:rsid w:val="007B06D1"/>
    <w:rsid w:val="007B06F8"/>
    <w:rsid w:val="007B086C"/>
    <w:rsid w:val="007B0938"/>
    <w:rsid w:val="007B0A49"/>
    <w:rsid w:val="007B0C79"/>
    <w:rsid w:val="007B0DC7"/>
    <w:rsid w:val="007B0F46"/>
    <w:rsid w:val="007B10F9"/>
    <w:rsid w:val="007B116D"/>
    <w:rsid w:val="007B1184"/>
    <w:rsid w:val="007B1219"/>
    <w:rsid w:val="007B12BE"/>
    <w:rsid w:val="007B12D4"/>
    <w:rsid w:val="007B131B"/>
    <w:rsid w:val="007B143E"/>
    <w:rsid w:val="007B14C9"/>
    <w:rsid w:val="007B159E"/>
    <w:rsid w:val="007B15A2"/>
    <w:rsid w:val="007B178F"/>
    <w:rsid w:val="007B187C"/>
    <w:rsid w:val="007B194F"/>
    <w:rsid w:val="007B1B4B"/>
    <w:rsid w:val="007B1C72"/>
    <w:rsid w:val="007B1C7D"/>
    <w:rsid w:val="007B1C86"/>
    <w:rsid w:val="007B1E3D"/>
    <w:rsid w:val="007B1F7B"/>
    <w:rsid w:val="007B1F98"/>
    <w:rsid w:val="007B1FE8"/>
    <w:rsid w:val="007B2198"/>
    <w:rsid w:val="007B2210"/>
    <w:rsid w:val="007B227E"/>
    <w:rsid w:val="007B22E9"/>
    <w:rsid w:val="007B2617"/>
    <w:rsid w:val="007B2638"/>
    <w:rsid w:val="007B2678"/>
    <w:rsid w:val="007B26C1"/>
    <w:rsid w:val="007B26FC"/>
    <w:rsid w:val="007B2823"/>
    <w:rsid w:val="007B2854"/>
    <w:rsid w:val="007B28E4"/>
    <w:rsid w:val="007B2A13"/>
    <w:rsid w:val="007B2A2F"/>
    <w:rsid w:val="007B2B5C"/>
    <w:rsid w:val="007B2BB8"/>
    <w:rsid w:val="007B2C13"/>
    <w:rsid w:val="007B2C5B"/>
    <w:rsid w:val="007B2D09"/>
    <w:rsid w:val="007B2D3D"/>
    <w:rsid w:val="007B2E0E"/>
    <w:rsid w:val="007B2EB1"/>
    <w:rsid w:val="007B2F17"/>
    <w:rsid w:val="007B3228"/>
    <w:rsid w:val="007B3255"/>
    <w:rsid w:val="007B3369"/>
    <w:rsid w:val="007B3377"/>
    <w:rsid w:val="007B346A"/>
    <w:rsid w:val="007B372B"/>
    <w:rsid w:val="007B3873"/>
    <w:rsid w:val="007B3AEE"/>
    <w:rsid w:val="007B3C7F"/>
    <w:rsid w:val="007B3CBD"/>
    <w:rsid w:val="007B3F5E"/>
    <w:rsid w:val="007B3F7A"/>
    <w:rsid w:val="007B3FAF"/>
    <w:rsid w:val="007B3FF1"/>
    <w:rsid w:val="007B4230"/>
    <w:rsid w:val="007B424C"/>
    <w:rsid w:val="007B4260"/>
    <w:rsid w:val="007B426D"/>
    <w:rsid w:val="007B42C3"/>
    <w:rsid w:val="007B4309"/>
    <w:rsid w:val="007B4328"/>
    <w:rsid w:val="007B4366"/>
    <w:rsid w:val="007B463D"/>
    <w:rsid w:val="007B4799"/>
    <w:rsid w:val="007B4814"/>
    <w:rsid w:val="007B4859"/>
    <w:rsid w:val="007B48A3"/>
    <w:rsid w:val="007B48D8"/>
    <w:rsid w:val="007B4977"/>
    <w:rsid w:val="007B4BB5"/>
    <w:rsid w:val="007B4C0E"/>
    <w:rsid w:val="007B4C20"/>
    <w:rsid w:val="007B4E04"/>
    <w:rsid w:val="007B4F5E"/>
    <w:rsid w:val="007B5200"/>
    <w:rsid w:val="007B5237"/>
    <w:rsid w:val="007B525A"/>
    <w:rsid w:val="007B526A"/>
    <w:rsid w:val="007B52DA"/>
    <w:rsid w:val="007B5393"/>
    <w:rsid w:val="007B5398"/>
    <w:rsid w:val="007B5497"/>
    <w:rsid w:val="007B54C5"/>
    <w:rsid w:val="007B5670"/>
    <w:rsid w:val="007B57F9"/>
    <w:rsid w:val="007B58B0"/>
    <w:rsid w:val="007B58ED"/>
    <w:rsid w:val="007B58F9"/>
    <w:rsid w:val="007B5ABD"/>
    <w:rsid w:val="007B5AF4"/>
    <w:rsid w:val="007B5B80"/>
    <w:rsid w:val="007B5B82"/>
    <w:rsid w:val="007B5C84"/>
    <w:rsid w:val="007B5D6E"/>
    <w:rsid w:val="007B5D85"/>
    <w:rsid w:val="007B5E4D"/>
    <w:rsid w:val="007B5FE7"/>
    <w:rsid w:val="007B60B0"/>
    <w:rsid w:val="007B6187"/>
    <w:rsid w:val="007B6188"/>
    <w:rsid w:val="007B627A"/>
    <w:rsid w:val="007B64C0"/>
    <w:rsid w:val="007B64D1"/>
    <w:rsid w:val="007B66BD"/>
    <w:rsid w:val="007B6781"/>
    <w:rsid w:val="007B68E5"/>
    <w:rsid w:val="007B6A50"/>
    <w:rsid w:val="007B6BBC"/>
    <w:rsid w:val="007B6BC5"/>
    <w:rsid w:val="007B6C4F"/>
    <w:rsid w:val="007B6D2F"/>
    <w:rsid w:val="007B6D60"/>
    <w:rsid w:val="007B6D9B"/>
    <w:rsid w:val="007B6EFC"/>
    <w:rsid w:val="007B719E"/>
    <w:rsid w:val="007B7202"/>
    <w:rsid w:val="007B7295"/>
    <w:rsid w:val="007B7410"/>
    <w:rsid w:val="007B747C"/>
    <w:rsid w:val="007B7699"/>
    <w:rsid w:val="007B7712"/>
    <w:rsid w:val="007B7776"/>
    <w:rsid w:val="007B7796"/>
    <w:rsid w:val="007B78F1"/>
    <w:rsid w:val="007B79AF"/>
    <w:rsid w:val="007B7BCB"/>
    <w:rsid w:val="007B7BEB"/>
    <w:rsid w:val="007B7C82"/>
    <w:rsid w:val="007B7CC2"/>
    <w:rsid w:val="007B7CC4"/>
    <w:rsid w:val="007B7D84"/>
    <w:rsid w:val="007B7DC5"/>
    <w:rsid w:val="007C0093"/>
    <w:rsid w:val="007C00EC"/>
    <w:rsid w:val="007C0202"/>
    <w:rsid w:val="007C0289"/>
    <w:rsid w:val="007C0639"/>
    <w:rsid w:val="007C0656"/>
    <w:rsid w:val="007C06B0"/>
    <w:rsid w:val="007C084E"/>
    <w:rsid w:val="007C0894"/>
    <w:rsid w:val="007C0976"/>
    <w:rsid w:val="007C0A7A"/>
    <w:rsid w:val="007C0ACA"/>
    <w:rsid w:val="007C0B43"/>
    <w:rsid w:val="007C0BB7"/>
    <w:rsid w:val="007C0BD3"/>
    <w:rsid w:val="007C0C21"/>
    <w:rsid w:val="007C0C33"/>
    <w:rsid w:val="007C0CEB"/>
    <w:rsid w:val="007C0D05"/>
    <w:rsid w:val="007C0DFA"/>
    <w:rsid w:val="007C0FA2"/>
    <w:rsid w:val="007C112F"/>
    <w:rsid w:val="007C11BB"/>
    <w:rsid w:val="007C143B"/>
    <w:rsid w:val="007C1696"/>
    <w:rsid w:val="007C193C"/>
    <w:rsid w:val="007C1A35"/>
    <w:rsid w:val="007C1B3C"/>
    <w:rsid w:val="007C1C10"/>
    <w:rsid w:val="007C1C19"/>
    <w:rsid w:val="007C1CEA"/>
    <w:rsid w:val="007C1D72"/>
    <w:rsid w:val="007C1DAE"/>
    <w:rsid w:val="007C1E87"/>
    <w:rsid w:val="007C1EB0"/>
    <w:rsid w:val="007C1EE6"/>
    <w:rsid w:val="007C1EE9"/>
    <w:rsid w:val="007C1F25"/>
    <w:rsid w:val="007C1F8F"/>
    <w:rsid w:val="007C204C"/>
    <w:rsid w:val="007C22C0"/>
    <w:rsid w:val="007C2339"/>
    <w:rsid w:val="007C248F"/>
    <w:rsid w:val="007C27D6"/>
    <w:rsid w:val="007C28F0"/>
    <w:rsid w:val="007C297A"/>
    <w:rsid w:val="007C29F4"/>
    <w:rsid w:val="007C2A5C"/>
    <w:rsid w:val="007C2AAE"/>
    <w:rsid w:val="007C2C2F"/>
    <w:rsid w:val="007C2CC3"/>
    <w:rsid w:val="007C2D3D"/>
    <w:rsid w:val="007C2DA6"/>
    <w:rsid w:val="007C2F46"/>
    <w:rsid w:val="007C2FA0"/>
    <w:rsid w:val="007C30B9"/>
    <w:rsid w:val="007C30EA"/>
    <w:rsid w:val="007C32C6"/>
    <w:rsid w:val="007C335A"/>
    <w:rsid w:val="007C338C"/>
    <w:rsid w:val="007C33F3"/>
    <w:rsid w:val="007C36D3"/>
    <w:rsid w:val="007C36FE"/>
    <w:rsid w:val="007C3766"/>
    <w:rsid w:val="007C3C47"/>
    <w:rsid w:val="007C3DA5"/>
    <w:rsid w:val="007C3DF0"/>
    <w:rsid w:val="007C3E64"/>
    <w:rsid w:val="007C3E6D"/>
    <w:rsid w:val="007C4048"/>
    <w:rsid w:val="007C407F"/>
    <w:rsid w:val="007C40A2"/>
    <w:rsid w:val="007C420E"/>
    <w:rsid w:val="007C42CF"/>
    <w:rsid w:val="007C42EA"/>
    <w:rsid w:val="007C4340"/>
    <w:rsid w:val="007C4415"/>
    <w:rsid w:val="007C44F3"/>
    <w:rsid w:val="007C453E"/>
    <w:rsid w:val="007C4669"/>
    <w:rsid w:val="007C47D4"/>
    <w:rsid w:val="007C4835"/>
    <w:rsid w:val="007C4849"/>
    <w:rsid w:val="007C4897"/>
    <w:rsid w:val="007C4A3C"/>
    <w:rsid w:val="007C4D04"/>
    <w:rsid w:val="007C4E42"/>
    <w:rsid w:val="007C4E5C"/>
    <w:rsid w:val="007C4EDF"/>
    <w:rsid w:val="007C4F4D"/>
    <w:rsid w:val="007C4F7A"/>
    <w:rsid w:val="007C50E8"/>
    <w:rsid w:val="007C5180"/>
    <w:rsid w:val="007C51FF"/>
    <w:rsid w:val="007C529B"/>
    <w:rsid w:val="007C53B8"/>
    <w:rsid w:val="007C53E8"/>
    <w:rsid w:val="007C54EE"/>
    <w:rsid w:val="007C5624"/>
    <w:rsid w:val="007C579C"/>
    <w:rsid w:val="007C58E4"/>
    <w:rsid w:val="007C591C"/>
    <w:rsid w:val="007C5992"/>
    <w:rsid w:val="007C5B79"/>
    <w:rsid w:val="007C5C65"/>
    <w:rsid w:val="007C5C81"/>
    <w:rsid w:val="007C5CD9"/>
    <w:rsid w:val="007C5E99"/>
    <w:rsid w:val="007C5FAB"/>
    <w:rsid w:val="007C6004"/>
    <w:rsid w:val="007C606C"/>
    <w:rsid w:val="007C6176"/>
    <w:rsid w:val="007C63BC"/>
    <w:rsid w:val="007C641B"/>
    <w:rsid w:val="007C641E"/>
    <w:rsid w:val="007C64A7"/>
    <w:rsid w:val="007C64D5"/>
    <w:rsid w:val="007C6508"/>
    <w:rsid w:val="007C678B"/>
    <w:rsid w:val="007C68D1"/>
    <w:rsid w:val="007C6929"/>
    <w:rsid w:val="007C694F"/>
    <w:rsid w:val="007C6BE6"/>
    <w:rsid w:val="007C6CAC"/>
    <w:rsid w:val="007C6CCC"/>
    <w:rsid w:val="007C6D7E"/>
    <w:rsid w:val="007C6EB3"/>
    <w:rsid w:val="007C6EF7"/>
    <w:rsid w:val="007C6F15"/>
    <w:rsid w:val="007C6F92"/>
    <w:rsid w:val="007C70DC"/>
    <w:rsid w:val="007C7180"/>
    <w:rsid w:val="007C7184"/>
    <w:rsid w:val="007C7260"/>
    <w:rsid w:val="007C732E"/>
    <w:rsid w:val="007C734B"/>
    <w:rsid w:val="007C7363"/>
    <w:rsid w:val="007C7434"/>
    <w:rsid w:val="007C765A"/>
    <w:rsid w:val="007C76D3"/>
    <w:rsid w:val="007C77D0"/>
    <w:rsid w:val="007C7923"/>
    <w:rsid w:val="007C7A56"/>
    <w:rsid w:val="007C7C83"/>
    <w:rsid w:val="007C7CB2"/>
    <w:rsid w:val="007C7D2A"/>
    <w:rsid w:val="007C7E35"/>
    <w:rsid w:val="007C7E97"/>
    <w:rsid w:val="007D009D"/>
    <w:rsid w:val="007D0107"/>
    <w:rsid w:val="007D0138"/>
    <w:rsid w:val="007D016B"/>
    <w:rsid w:val="007D0198"/>
    <w:rsid w:val="007D025A"/>
    <w:rsid w:val="007D025F"/>
    <w:rsid w:val="007D0270"/>
    <w:rsid w:val="007D0431"/>
    <w:rsid w:val="007D04C9"/>
    <w:rsid w:val="007D0610"/>
    <w:rsid w:val="007D06AB"/>
    <w:rsid w:val="007D06CE"/>
    <w:rsid w:val="007D0765"/>
    <w:rsid w:val="007D07B6"/>
    <w:rsid w:val="007D07CE"/>
    <w:rsid w:val="007D0820"/>
    <w:rsid w:val="007D0850"/>
    <w:rsid w:val="007D0967"/>
    <w:rsid w:val="007D0A1A"/>
    <w:rsid w:val="007D0A5B"/>
    <w:rsid w:val="007D0B00"/>
    <w:rsid w:val="007D0B06"/>
    <w:rsid w:val="007D0B25"/>
    <w:rsid w:val="007D0C3A"/>
    <w:rsid w:val="007D0C60"/>
    <w:rsid w:val="007D0C9A"/>
    <w:rsid w:val="007D0DB6"/>
    <w:rsid w:val="007D0E98"/>
    <w:rsid w:val="007D0FBC"/>
    <w:rsid w:val="007D101A"/>
    <w:rsid w:val="007D106F"/>
    <w:rsid w:val="007D1091"/>
    <w:rsid w:val="007D1232"/>
    <w:rsid w:val="007D128E"/>
    <w:rsid w:val="007D12A6"/>
    <w:rsid w:val="007D1352"/>
    <w:rsid w:val="007D1481"/>
    <w:rsid w:val="007D1484"/>
    <w:rsid w:val="007D14E4"/>
    <w:rsid w:val="007D15E7"/>
    <w:rsid w:val="007D173C"/>
    <w:rsid w:val="007D1A0C"/>
    <w:rsid w:val="007D1A75"/>
    <w:rsid w:val="007D1AF4"/>
    <w:rsid w:val="007D1B31"/>
    <w:rsid w:val="007D1DBA"/>
    <w:rsid w:val="007D1E52"/>
    <w:rsid w:val="007D1E92"/>
    <w:rsid w:val="007D20BB"/>
    <w:rsid w:val="007D210B"/>
    <w:rsid w:val="007D2215"/>
    <w:rsid w:val="007D269F"/>
    <w:rsid w:val="007D273A"/>
    <w:rsid w:val="007D27DC"/>
    <w:rsid w:val="007D299A"/>
    <w:rsid w:val="007D2A7E"/>
    <w:rsid w:val="007D2AFB"/>
    <w:rsid w:val="007D2F23"/>
    <w:rsid w:val="007D3014"/>
    <w:rsid w:val="007D30DB"/>
    <w:rsid w:val="007D3100"/>
    <w:rsid w:val="007D31A0"/>
    <w:rsid w:val="007D31EE"/>
    <w:rsid w:val="007D32CB"/>
    <w:rsid w:val="007D3308"/>
    <w:rsid w:val="007D34E7"/>
    <w:rsid w:val="007D34F6"/>
    <w:rsid w:val="007D34FF"/>
    <w:rsid w:val="007D3517"/>
    <w:rsid w:val="007D3518"/>
    <w:rsid w:val="007D36AA"/>
    <w:rsid w:val="007D3878"/>
    <w:rsid w:val="007D38B2"/>
    <w:rsid w:val="007D3910"/>
    <w:rsid w:val="007D3917"/>
    <w:rsid w:val="007D3981"/>
    <w:rsid w:val="007D39E9"/>
    <w:rsid w:val="007D3B61"/>
    <w:rsid w:val="007D3C1E"/>
    <w:rsid w:val="007D3DE5"/>
    <w:rsid w:val="007D3E05"/>
    <w:rsid w:val="007D3E9E"/>
    <w:rsid w:val="007D3E9F"/>
    <w:rsid w:val="007D3EC6"/>
    <w:rsid w:val="007D3EDE"/>
    <w:rsid w:val="007D3F2C"/>
    <w:rsid w:val="007D4466"/>
    <w:rsid w:val="007D4467"/>
    <w:rsid w:val="007D44F2"/>
    <w:rsid w:val="007D45A5"/>
    <w:rsid w:val="007D471A"/>
    <w:rsid w:val="007D4979"/>
    <w:rsid w:val="007D49E5"/>
    <w:rsid w:val="007D4AAF"/>
    <w:rsid w:val="007D4BE9"/>
    <w:rsid w:val="007D4D24"/>
    <w:rsid w:val="007D4F81"/>
    <w:rsid w:val="007D510A"/>
    <w:rsid w:val="007D5280"/>
    <w:rsid w:val="007D5355"/>
    <w:rsid w:val="007D53FC"/>
    <w:rsid w:val="007D558C"/>
    <w:rsid w:val="007D5617"/>
    <w:rsid w:val="007D563B"/>
    <w:rsid w:val="007D57B3"/>
    <w:rsid w:val="007D5908"/>
    <w:rsid w:val="007D59D8"/>
    <w:rsid w:val="007D59DE"/>
    <w:rsid w:val="007D5B71"/>
    <w:rsid w:val="007D5B87"/>
    <w:rsid w:val="007D5BDA"/>
    <w:rsid w:val="007D5CB2"/>
    <w:rsid w:val="007D5DB3"/>
    <w:rsid w:val="007D5DFD"/>
    <w:rsid w:val="007D600E"/>
    <w:rsid w:val="007D607B"/>
    <w:rsid w:val="007D60E8"/>
    <w:rsid w:val="007D612E"/>
    <w:rsid w:val="007D62DF"/>
    <w:rsid w:val="007D63F5"/>
    <w:rsid w:val="007D64A1"/>
    <w:rsid w:val="007D654F"/>
    <w:rsid w:val="007D65A2"/>
    <w:rsid w:val="007D65B9"/>
    <w:rsid w:val="007D678B"/>
    <w:rsid w:val="007D67D7"/>
    <w:rsid w:val="007D67D9"/>
    <w:rsid w:val="007D6827"/>
    <w:rsid w:val="007D69CD"/>
    <w:rsid w:val="007D6AF7"/>
    <w:rsid w:val="007D6CD6"/>
    <w:rsid w:val="007D6CF6"/>
    <w:rsid w:val="007D6D69"/>
    <w:rsid w:val="007D6DBD"/>
    <w:rsid w:val="007D6DC9"/>
    <w:rsid w:val="007D6DD7"/>
    <w:rsid w:val="007D6F9F"/>
    <w:rsid w:val="007D70F4"/>
    <w:rsid w:val="007D71AA"/>
    <w:rsid w:val="007D725A"/>
    <w:rsid w:val="007D7283"/>
    <w:rsid w:val="007D72C1"/>
    <w:rsid w:val="007D72E8"/>
    <w:rsid w:val="007D72EA"/>
    <w:rsid w:val="007D730C"/>
    <w:rsid w:val="007D760C"/>
    <w:rsid w:val="007D766E"/>
    <w:rsid w:val="007D788F"/>
    <w:rsid w:val="007D7909"/>
    <w:rsid w:val="007D7AEE"/>
    <w:rsid w:val="007D7B4B"/>
    <w:rsid w:val="007D7B95"/>
    <w:rsid w:val="007D7BE4"/>
    <w:rsid w:val="007D7D3C"/>
    <w:rsid w:val="007D7D5F"/>
    <w:rsid w:val="007D7E25"/>
    <w:rsid w:val="007D7EEF"/>
    <w:rsid w:val="007D7F2E"/>
    <w:rsid w:val="007E0009"/>
    <w:rsid w:val="007E0046"/>
    <w:rsid w:val="007E0091"/>
    <w:rsid w:val="007E00F1"/>
    <w:rsid w:val="007E029F"/>
    <w:rsid w:val="007E02BD"/>
    <w:rsid w:val="007E02DF"/>
    <w:rsid w:val="007E0345"/>
    <w:rsid w:val="007E0387"/>
    <w:rsid w:val="007E04A3"/>
    <w:rsid w:val="007E0502"/>
    <w:rsid w:val="007E05C0"/>
    <w:rsid w:val="007E05CE"/>
    <w:rsid w:val="007E0620"/>
    <w:rsid w:val="007E06CE"/>
    <w:rsid w:val="007E0711"/>
    <w:rsid w:val="007E073A"/>
    <w:rsid w:val="007E07DC"/>
    <w:rsid w:val="007E094E"/>
    <w:rsid w:val="007E0B36"/>
    <w:rsid w:val="007E0BBD"/>
    <w:rsid w:val="007E0BD9"/>
    <w:rsid w:val="007E0DD4"/>
    <w:rsid w:val="007E0EA2"/>
    <w:rsid w:val="007E0EDE"/>
    <w:rsid w:val="007E10B6"/>
    <w:rsid w:val="007E1119"/>
    <w:rsid w:val="007E12D1"/>
    <w:rsid w:val="007E13C1"/>
    <w:rsid w:val="007E14D7"/>
    <w:rsid w:val="007E14F6"/>
    <w:rsid w:val="007E15A3"/>
    <w:rsid w:val="007E17D2"/>
    <w:rsid w:val="007E17FB"/>
    <w:rsid w:val="007E180B"/>
    <w:rsid w:val="007E186A"/>
    <w:rsid w:val="007E1A58"/>
    <w:rsid w:val="007E1BE5"/>
    <w:rsid w:val="007E1CBC"/>
    <w:rsid w:val="007E1D0F"/>
    <w:rsid w:val="007E1D96"/>
    <w:rsid w:val="007E1DFB"/>
    <w:rsid w:val="007E2221"/>
    <w:rsid w:val="007E222E"/>
    <w:rsid w:val="007E2505"/>
    <w:rsid w:val="007E26F8"/>
    <w:rsid w:val="007E2731"/>
    <w:rsid w:val="007E278C"/>
    <w:rsid w:val="007E283F"/>
    <w:rsid w:val="007E28AA"/>
    <w:rsid w:val="007E2A6F"/>
    <w:rsid w:val="007E2A7E"/>
    <w:rsid w:val="007E2B1F"/>
    <w:rsid w:val="007E2D40"/>
    <w:rsid w:val="007E2DA1"/>
    <w:rsid w:val="007E2DD6"/>
    <w:rsid w:val="007E2E7B"/>
    <w:rsid w:val="007E2F52"/>
    <w:rsid w:val="007E2F78"/>
    <w:rsid w:val="007E2F91"/>
    <w:rsid w:val="007E3063"/>
    <w:rsid w:val="007E3073"/>
    <w:rsid w:val="007E3090"/>
    <w:rsid w:val="007E30D2"/>
    <w:rsid w:val="007E317A"/>
    <w:rsid w:val="007E3187"/>
    <w:rsid w:val="007E31EE"/>
    <w:rsid w:val="007E33DD"/>
    <w:rsid w:val="007E356D"/>
    <w:rsid w:val="007E35EF"/>
    <w:rsid w:val="007E36CB"/>
    <w:rsid w:val="007E36F6"/>
    <w:rsid w:val="007E388A"/>
    <w:rsid w:val="007E3941"/>
    <w:rsid w:val="007E3946"/>
    <w:rsid w:val="007E3A64"/>
    <w:rsid w:val="007E3AA9"/>
    <w:rsid w:val="007E3C70"/>
    <w:rsid w:val="007E3D41"/>
    <w:rsid w:val="007E3D91"/>
    <w:rsid w:val="007E3E2A"/>
    <w:rsid w:val="007E3E9F"/>
    <w:rsid w:val="007E3EC2"/>
    <w:rsid w:val="007E3F15"/>
    <w:rsid w:val="007E4088"/>
    <w:rsid w:val="007E40D5"/>
    <w:rsid w:val="007E41A7"/>
    <w:rsid w:val="007E428E"/>
    <w:rsid w:val="007E42D1"/>
    <w:rsid w:val="007E4520"/>
    <w:rsid w:val="007E452D"/>
    <w:rsid w:val="007E4654"/>
    <w:rsid w:val="007E48EC"/>
    <w:rsid w:val="007E490C"/>
    <w:rsid w:val="007E4A97"/>
    <w:rsid w:val="007E4AAD"/>
    <w:rsid w:val="007E4C77"/>
    <w:rsid w:val="007E4DC6"/>
    <w:rsid w:val="007E4E82"/>
    <w:rsid w:val="007E5015"/>
    <w:rsid w:val="007E5097"/>
    <w:rsid w:val="007E509F"/>
    <w:rsid w:val="007E5287"/>
    <w:rsid w:val="007E546E"/>
    <w:rsid w:val="007E5495"/>
    <w:rsid w:val="007E54CF"/>
    <w:rsid w:val="007E552C"/>
    <w:rsid w:val="007E5538"/>
    <w:rsid w:val="007E55B4"/>
    <w:rsid w:val="007E5688"/>
    <w:rsid w:val="007E5731"/>
    <w:rsid w:val="007E5C4C"/>
    <w:rsid w:val="007E5F3F"/>
    <w:rsid w:val="007E60CE"/>
    <w:rsid w:val="007E611C"/>
    <w:rsid w:val="007E615E"/>
    <w:rsid w:val="007E61F5"/>
    <w:rsid w:val="007E622F"/>
    <w:rsid w:val="007E62E6"/>
    <w:rsid w:val="007E654B"/>
    <w:rsid w:val="007E6701"/>
    <w:rsid w:val="007E6761"/>
    <w:rsid w:val="007E67D9"/>
    <w:rsid w:val="007E6912"/>
    <w:rsid w:val="007E6A2C"/>
    <w:rsid w:val="007E6BA7"/>
    <w:rsid w:val="007E6BE1"/>
    <w:rsid w:val="007E6C36"/>
    <w:rsid w:val="007E6C9B"/>
    <w:rsid w:val="007E6D6E"/>
    <w:rsid w:val="007E6DF2"/>
    <w:rsid w:val="007E6E2B"/>
    <w:rsid w:val="007E6EFB"/>
    <w:rsid w:val="007E6F4D"/>
    <w:rsid w:val="007E6FA3"/>
    <w:rsid w:val="007E7047"/>
    <w:rsid w:val="007E70EC"/>
    <w:rsid w:val="007E71F6"/>
    <w:rsid w:val="007E7292"/>
    <w:rsid w:val="007E72D3"/>
    <w:rsid w:val="007E7308"/>
    <w:rsid w:val="007E7384"/>
    <w:rsid w:val="007E76DC"/>
    <w:rsid w:val="007E7786"/>
    <w:rsid w:val="007E77CD"/>
    <w:rsid w:val="007E78A4"/>
    <w:rsid w:val="007E78B3"/>
    <w:rsid w:val="007E7984"/>
    <w:rsid w:val="007E7B1C"/>
    <w:rsid w:val="007E7B7F"/>
    <w:rsid w:val="007E7B9F"/>
    <w:rsid w:val="007E7C60"/>
    <w:rsid w:val="007E7C7B"/>
    <w:rsid w:val="007E7D1F"/>
    <w:rsid w:val="007F0016"/>
    <w:rsid w:val="007F0129"/>
    <w:rsid w:val="007F01D4"/>
    <w:rsid w:val="007F0253"/>
    <w:rsid w:val="007F028B"/>
    <w:rsid w:val="007F03A3"/>
    <w:rsid w:val="007F03C0"/>
    <w:rsid w:val="007F04C0"/>
    <w:rsid w:val="007F051A"/>
    <w:rsid w:val="007F0541"/>
    <w:rsid w:val="007F05E2"/>
    <w:rsid w:val="007F0645"/>
    <w:rsid w:val="007F064C"/>
    <w:rsid w:val="007F0672"/>
    <w:rsid w:val="007F068A"/>
    <w:rsid w:val="007F0697"/>
    <w:rsid w:val="007F06F6"/>
    <w:rsid w:val="007F072F"/>
    <w:rsid w:val="007F078C"/>
    <w:rsid w:val="007F07B4"/>
    <w:rsid w:val="007F0BE7"/>
    <w:rsid w:val="007F0BEC"/>
    <w:rsid w:val="007F0C20"/>
    <w:rsid w:val="007F0EDF"/>
    <w:rsid w:val="007F0F3B"/>
    <w:rsid w:val="007F1095"/>
    <w:rsid w:val="007F117C"/>
    <w:rsid w:val="007F11E6"/>
    <w:rsid w:val="007F12BC"/>
    <w:rsid w:val="007F1305"/>
    <w:rsid w:val="007F135E"/>
    <w:rsid w:val="007F1563"/>
    <w:rsid w:val="007F17AC"/>
    <w:rsid w:val="007F17BC"/>
    <w:rsid w:val="007F1851"/>
    <w:rsid w:val="007F18C6"/>
    <w:rsid w:val="007F18E3"/>
    <w:rsid w:val="007F19B5"/>
    <w:rsid w:val="007F1B16"/>
    <w:rsid w:val="007F1B69"/>
    <w:rsid w:val="007F1B82"/>
    <w:rsid w:val="007F1B83"/>
    <w:rsid w:val="007F1D10"/>
    <w:rsid w:val="007F1DC4"/>
    <w:rsid w:val="007F1DD1"/>
    <w:rsid w:val="007F1EA1"/>
    <w:rsid w:val="007F2000"/>
    <w:rsid w:val="007F2359"/>
    <w:rsid w:val="007F258B"/>
    <w:rsid w:val="007F263E"/>
    <w:rsid w:val="007F2A93"/>
    <w:rsid w:val="007F2C11"/>
    <w:rsid w:val="007F2E2F"/>
    <w:rsid w:val="007F2EAD"/>
    <w:rsid w:val="007F2F7E"/>
    <w:rsid w:val="007F2FE6"/>
    <w:rsid w:val="007F2FF5"/>
    <w:rsid w:val="007F316C"/>
    <w:rsid w:val="007F3220"/>
    <w:rsid w:val="007F33EC"/>
    <w:rsid w:val="007F3471"/>
    <w:rsid w:val="007F3512"/>
    <w:rsid w:val="007F3B1A"/>
    <w:rsid w:val="007F3B58"/>
    <w:rsid w:val="007F3BEC"/>
    <w:rsid w:val="007F3C7A"/>
    <w:rsid w:val="007F3D06"/>
    <w:rsid w:val="007F3D49"/>
    <w:rsid w:val="007F3D9E"/>
    <w:rsid w:val="007F3E09"/>
    <w:rsid w:val="007F3E20"/>
    <w:rsid w:val="007F3F3F"/>
    <w:rsid w:val="007F3F72"/>
    <w:rsid w:val="007F4001"/>
    <w:rsid w:val="007F4010"/>
    <w:rsid w:val="007F4162"/>
    <w:rsid w:val="007F41AE"/>
    <w:rsid w:val="007F41C2"/>
    <w:rsid w:val="007F4276"/>
    <w:rsid w:val="007F42A0"/>
    <w:rsid w:val="007F42A6"/>
    <w:rsid w:val="007F4318"/>
    <w:rsid w:val="007F432D"/>
    <w:rsid w:val="007F433B"/>
    <w:rsid w:val="007F448A"/>
    <w:rsid w:val="007F448F"/>
    <w:rsid w:val="007F46F2"/>
    <w:rsid w:val="007F46FD"/>
    <w:rsid w:val="007F4737"/>
    <w:rsid w:val="007F47B8"/>
    <w:rsid w:val="007F48C2"/>
    <w:rsid w:val="007F48C3"/>
    <w:rsid w:val="007F48D2"/>
    <w:rsid w:val="007F491A"/>
    <w:rsid w:val="007F4A3A"/>
    <w:rsid w:val="007F4AD9"/>
    <w:rsid w:val="007F4B3A"/>
    <w:rsid w:val="007F4B6B"/>
    <w:rsid w:val="007F4BAB"/>
    <w:rsid w:val="007F4C21"/>
    <w:rsid w:val="007F4C96"/>
    <w:rsid w:val="007F4CDD"/>
    <w:rsid w:val="007F4D3A"/>
    <w:rsid w:val="007F4D5B"/>
    <w:rsid w:val="007F4D6F"/>
    <w:rsid w:val="007F4D9D"/>
    <w:rsid w:val="007F4EFB"/>
    <w:rsid w:val="007F4F67"/>
    <w:rsid w:val="007F5015"/>
    <w:rsid w:val="007F5018"/>
    <w:rsid w:val="007F5089"/>
    <w:rsid w:val="007F50BB"/>
    <w:rsid w:val="007F5159"/>
    <w:rsid w:val="007F51B5"/>
    <w:rsid w:val="007F5207"/>
    <w:rsid w:val="007F529C"/>
    <w:rsid w:val="007F53C8"/>
    <w:rsid w:val="007F549D"/>
    <w:rsid w:val="007F5519"/>
    <w:rsid w:val="007F5AF6"/>
    <w:rsid w:val="007F5B1E"/>
    <w:rsid w:val="007F5C0E"/>
    <w:rsid w:val="007F5CD8"/>
    <w:rsid w:val="007F5D18"/>
    <w:rsid w:val="007F5DCC"/>
    <w:rsid w:val="007F5EE7"/>
    <w:rsid w:val="007F5EF0"/>
    <w:rsid w:val="007F5F64"/>
    <w:rsid w:val="007F6006"/>
    <w:rsid w:val="007F6020"/>
    <w:rsid w:val="007F6027"/>
    <w:rsid w:val="007F6084"/>
    <w:rsid w:val="007F60D9"/>
    <w:rsid w:val="007F61E9"/>
    <w:rsid w:val="007F63BB"/>
    <w:rsid w:val="007F63D9"/>
    <w:rsid w:val="007F646D"/>
    <w:rsid w:val="007F6533"/>
    <w:rsid w:val="007F6551"/>
    <w:rsid w:val="007F6561"/>
    <w:rsid w:val="007F6580"/>
    <w:rsid w:val="007F6582"/>
    <w:rsid w:val="007F67A2"/>
    <w:rsid w:val="007F686A"/>
    <w:rsid w:val="007F689A"/>
    <w:rsid w:val="007F6980"/>
    <w:rsid w:val="007F698E"/>
    <w:rsid w:val="007F6AE5"/>
    <w:rsid w:val="007F6CD8"/>
    <w:rsid w:val="007F6D18"/>
    <w:rsid w:val="007F6D38"/>
    <w:rsid w:val="007F6E93"/>
    <w:rsid w:val="007F6F09"/>
    <w:rsid w:val="007F6FA7"/>
    <w:rsid w:val="007F7071"/>
    <w:rsid w:val="007F7145"/>
    <w:rsid w:val="007F7296"/>
    <w:rsid w:val="007F72E5"/>
    <w:rsid w:val="007F7308"/>
    <w:rsid w:val="007F742B"/>
    <w:rsid w:val="007F74C3"/>
    <w:rsid w:val="007F74C4"/>
    <w:rsid w:val="007F761F"/>
    <w:rsid w:val="007F77DA"/>
    <w:rsid w:val="007F78FC"/>
    <w:rsid w:val="007F7973"/>
    <w:rsid w:val="007F7B2F"/>
    <w:rsid w:val="007F7B7A"/>
    <w:rsid w:val="007F7C73"/>
    <w:rsid w:val="007F7CF7"/>
    <w:rsid w:val="007F7EBE"/>
    <w:rsid w:val="007F7EDE"/>
    <w:rsid w:val="007F7EE6"/>
    <w:rsid w:val="007F7F07"/>
    <w:rsid w:val="007F7F4D"/>
    <w:rsid w:val="0080002C"/>
    <w:rsid w:val="00800081"/>
    <w:rsid w:val="0080008D"/>
    <w:rsid w:val="00800186"/>
    <w:rsid w:val="00800283"/>
    <w:rsid w:val="008003F9"/>
    <w:rsid w:val="0080047A"/>
    <w:rsid w:val="008004C2"/>
    <w:rsid w:val="00800526"/>
    <w:rsid w:val="008005AD"/>
    <w:rsid w:val="00800626"/>
    <w:rsid w:val="00800629"/>
    <w:rsid w:val="0080068E"/>
    <w:rsid w:val="008007A8"/>
    <w:rsid w:val="008008D6"/>
    <w:rsid w:val="00800D95"/>
    <w:rsid w:val="00800DBA"/>
    <w:rsid w:val="00800DEB"/>
    <w:rsid w:val="00800E2C"/>
    <w:rsid w:val="00800E4A"/>
    <w:rsid w:val="00801021"/>
    <w:rsid w:val="00801109"/>
    <w:rsid w:val="0080123F"/>
    <w:rsid w:val="00801262"/>
    <w:rsid w:val="00801542"/>
    <w:rsid w:val="008015F2"/>
    <w:rsid w:val="00801658"/>
    <w:rsid w:val="00801693"/>
    <w:rsid w:val="008016F6"/>
    <w:rsid w:val="008018BA"/>
    <w:rsid w:val="008018F6"/>
    <w:rsid w:val="00801978"/>
    <w:rsid w:val="00801A0E"/>
    <w:rsid w:val="00801A13"/>
    <w:rsid w:val="00801AAD"/>
    <w:rsid w:val="00801AE0"/>
    <w:rsid w:val="00801B5D"/>
    <w:rsid w:val="00801BD4"/>
    <w:rsid w:val="00801C4F"/>
    <w:rsid w:val="00801CD5"/>
    <w:rsid w:val="00801CDD"/>
    <w:rsid w:val="00801E3C"/>
    <w:rsid w:val="00801F1C"/>
    <w:rsid w:val="00801F51"/>
    <w:rsid w:val="00801FC6"/>
    <w:rsid w:val="00802017"/>
    <w:rsid w:val="008021BC"/>
    <w:rsid w:val="008021D8"/>
    <w:rsid w:val="00802217"/>
    <w:rsid w:val="008022A2"/>
    <w:rsid w:val="008024F8"/>
    <w:rsid w:val="00802552"/>
    <w:rsid w:val="0080255E"/>
    <w:rsid w:val="008025C6"/>
    <w:rsid w:val="00802661"/>
    <w:rsid w:val="00802713"/>
    <w:rsid w:val="0080275E"/>
    <w:rsid w:val="00802816"/>
    <w:rsid w:val="0080287B"/>
    <w:rsid w:val="008029A4"/>
    <w:rsid w:val="00802B63"/>
    <w:rsid w:val="00802BEE"/>
    <w:rsid w:val="00802C77"/>
    <w:rsid w:val="00802CDB"/>
    <w:rsid w:val="00802E68"/>
    <w:rsid w:val="00802EB2"/>
    <w:rsid w:val="00803065"/>
    <w:rsid w:val="00803073"/>
    <w:rsid w:val="008030FA"/>
    <w:rsid w:val="0080318A"/>
    <w:rsid w:val="008031CA"/>
    <w:rsid w:val="008031D7"/>
    <w:rsid w:val="008032B8"/>
    <w:rsid w:val="00803350"/>
    <w:rsid w:val="00803368"/>
    <w:rsid w:val="0080336D"/>
    <w:rsid w:val="008033E5"/>
    <w:rsid w:val="00803437"/>
    <w:rsid w:val="008034DA"/>
    <w:rsid w:val="008034FB"/>
    <w:rsid w:val="0080355D"/>
    <w:rsid w:val="00803561"/>
    <w:rsid w:val="00803678"/>
    <w:rsid w:val="008036A7"/>
    <w:rsid w:val="008036DA"/>
    <w:rsid w:val="00803831"/>
    <w:rsid w:val="008038B5"/>
    <w:rsid w:val="008038BE"/>
    <w:rsid w:val="00803937"/>
    <w:rsid w:val="00803956"/>
    <w:rsid w:val="008039C0"/>
    <w:rsid w:val="00803A3F"/>
    <w:rsid w:val="00803A49"/>
    <w:rsid w:val="00803A7D"/>
    <w:rsid w:val="00803A9C"/>
    <w:rsid w:val="00803BD4"/>
    <w:rsid w:val="00803DD6"/>
    <w:rsid w:val="00803E24"/>
    <w:rsid w:val="00803E8F"/>
    <w:rsid w:val="008040A0"/>
    <w:rsid w:val="008040DC"/>
    <w:rsid w:val="00804171"/>
    <w:rsid w:val="008041EE"/>
    <w:rsid w:val="008042F2"/>
    <w:rsid w:val="0080441F"/>
    <w:rsid w:val="008044ED"/>
    <w:rsid w:val="008045B0"/>
    <w:rsid w:val="0080464B"/>
    <w:rsid w:val="00804670"/>
    <w:rsid w:val="00804705"/>
    <w:rsid w:val="0080479E"/>
    <w:rsid w:val="00804807"/>
    <w:rsid w:val="00804853"/>
    <w:rsid w:val="0080489E"/>
    <w:rsid w:val="0080492E"/>
    <w:rsid w:val="00804974"/>
    <w:rsid w:val="008049EB"/>
    <w:rsid w:val="00804AA9"/>
    <w:rsid w:val="00804BB3"/>
    <w:rsid w:val="00804BD8"/>
    <w:rsid w:val="00804D33"/>
    <w:rsid w:val="00804DAF"/>
    <w:rsid w:val="00804DED"/>
    <w:rsid w:val="00804E56"/>
    <w:rsid w:val="00804EB5"/>
    <w:rsid w:val="00804EEC"/>
    <w:rsid w:val="0080502D"/>
    <w:rsid w:val="0080507B"/>
    <w:rsid w:val="0080528B"/>
    <w:rsid w:val="0080556D"/>
    <w:rsid w:val="008055C7"/>
    <w:rsid w:val="0080564D"/>
    <w:rsid w:val="0080567D"/>
    <w:rsid w:val="00805754"/>
    <w:rsid w:val="00805816"/>
    <w:rsid w:val="00805839"/>
    <w:rsid w:val="00805853"/>
    <w:rsid w:val="00805994"/>
    <w:rsid w:val="0080599F"/>
    <w:rsid w:val="00805BFB"/>
    <w:rsid w:val="00805C7B"/>
    <w:rsid w:val="00805CB3"/>
    <w:rsid w:val="00805CBA"/>
    <w:rsid w:val="00805DB0"/>
    <w:rsid w:val="00805DCC"/>
    <w:rsid w:val="00805E7A"/>
    <w:rsid w:val="00805E8A"/>
    <w:rsid w:val="00805F19"/>
    <w:rsid w:val="00805F8F"/>
    <w:rsid w:val="00806021"/>
    <w:rsid w:val="008062FF"/>
    <w:rsid w:val="00806317"/>
    <w:rsid w:val="00806366"/>
    <w:rsid w:val="00806446"/>
    <w:rsid w:val="0080647B"/>
    <w:rsid w:val="00806501"/>
    <w:rsid w:val="00806519"/>
    <w:rsid w:val="00806584"/>
    <w:rsid w:val="00806625"/>
    <w:rsid w:val="00806626"/>
    <w:rsid w:val="00806671"/>
    <w:rsid w:val="0080675F"/>
    <w:rsid w:val="008069A6"/>
    <w:rsid w:val="00806C7F"/>
    <w:rsid w:val="00806DFF"/>
    <w:rsid w:val="00806EFB"/>
    <w:rsid w:val="00806F13"/>
    <w:rsid w:val="00806FF3"/>
    <w:rsid w:val="00807080"/>
    <w:rsid w:val="0080748B"/>
    <w:rsid w:val="0080753F"/>
    <w:rsid w:val="00807648"/>
    <w:rsid w:val="008076EA"/>
    <w:rsid w:val="0080772F"/>
    <w:rsid w:val="00807752"/>
    <w:rsid w:val="00807824"/>
    <w:rsid w:val="008078CB"/>
    <w:rsid w:val="00807B3F"/>
    <w:rsid w:val="00807B6C"/>
    <w:rsid w:val="00807C18"/>
    <w:rsid w:val="00807D72"/>
    <w:rsid w:val="00807DA2"/>
    <w:rsid w:val="00807DF6"/>
    <w:rsid w:val="00807E82"/>
    <w:rsid w:val="00807EAD"/>
    <w:rsid w:val="00807ECF"/>
    <w:rsid w:val="00807F82"/>
    <w:rsid w:val="00810011"/>
    <w:rsid w:val="00810139"/>
    <w:rsid w:val="008101E1"/>
    <w:rsid w:val="00810204"/>
    <w:rsid w:val="00810280"/>
    <w:rsid w:val="00810558"/>
    <w:rsid w:val="008107E6"/>
    <w:rsid w:val="008109BC"/>
    <w:rsid w:val="00810AD9"/>
    <w:rsid w:val="00810B20"/>
    <w:rsid w:val="00810B78"/>
    <w:rsid w:val="00810CE8"/>
    <w:rsid w:val="00810D58"/>
    <w:rsid w:val="00810DD7"/>
    <w:rsid w:val="00810E26"/>
    <w:rsid w:val="00810EE4"/>
    <w:rsid w:val="00810F56"/>
    <w:rsid w:val="008110D7"/>
    <w:rsid w:val="00811196"/>
    <w:rsid w:val="008111A2"/>
    <w:rsid w:val="00811270"/>
    <w:rsid w:val="0081132A"/>
    <w:rsid w:val="008114AA"/>
    <w:rsid w:val="008117B6"/>
    <w:rsid w:val="008117B8"/>
    <w:rsid w:val="008117F8"/>
    <w:rsid w:val="00811896"/>
    <w:rsid w:val="00811D20"/>
    <w:rsid w:val="00811DB3"/>
    <w:rsid w:val="00811E44"/>
    <w:rsid w:val="00811E6F"/>
    <w:rsid w:val="00811FC5"/>
    <w:rsid w:val="00811FD6"/>
    <w:rsid w:val="00812041"/>
    <w:rsid w:val="0081207B"/>
    <w:rsid w:val="0081227E"/>
    <w:rsid w:val="00812394"/>
    <w:rsid w:val="008123FC"/>
    <w:rsid w:val="0081243C"/>
    <w:rsid w:val="008126A3"/>
    <w:rsid w:val="008127BC"/>
    <w:rsid w:val="00812821"/>
    <w:rsid w:val="00812922"/>
    <w:rsid w:val="00812AD8"/>
    <w:rsid w:val="00812CB4"/>
    <w:rsid w:val="00812D6A"/>
    <w:rsid w:val="00812E5E"/>
    <w:rsid w:val="00812FA2"/>
    <w:rsid w:val="00813102"/>
    <w:rsid w:val="00813187"/>
    <w:rsid w:val="008132CD"/>
    <w:rsid w:val="0081348E"/>
    <w:rsid w:val="0081352C"/>
    <w:rsid w:val="0081355E"/>
    <w:rsid w:val="0081363F"/>
    <w:rsid w:val="00813697"/>
    <w:rsid w:val="00813708"/>
    <w:rsid w:val="00813786"/>
    <w:rsid w:val="00813798"/>
    <w:rsid w:val="008137E9"/>
    <w:rsid w:val="008138B4"/>
    <w:rsid w:val="008138DF"/>
    <w:rsid w:val="00813998"/>
    <w:rsid w:val="00813A9C"/>
    <w:rsid w:val="00813AB6"/>
    <w:rsid w:val="00813B70"/>
    <w:rsid w:val="00813CDB"/>
    <w:rsid w:val="00813E9D"/>
    <w:rsid w:val="0081404F"/>
    <w:rsid w:val="008140BC"/>
    <w:rsid w:val="00814142"/>
    <w:rsid w:val="0081418E"/>
    <w:rsid w:val="00814256"/>
    <w:rsid w:val="00814312"/>
    <w:rsid w:val="0081431E"/>
    <w:rsid w:val="0081443C"/>
    <w:rsid w:val="00814510"/>
    <w:rsid w:val="00814630"/>
    <w:rsid w:val="00814697"/>
    <w:rsid w:val="008146CC"/>
    <w:rsid w:val="008146F8"/>
    <w:rsid w:val="008147B2"/>
    <w:rsid w:val="0081483E"/>
    <w:rsid w:val="008148CC"/>
    <w:rsid w:val="00814A86"/>
    <w:rsid w:val="00814C26"/>
    <w:rsid w:val="00814C88"/>
    <w:rsid w:val="00814CB4"/>
    <w:rsid w:val="00814EB0"/>
    <w:rsid w:val="00814F73"/>
    <w:rsid w:val="0081509F"/>
    <w:rsid w:val="00815106"/>
    <w:rsid w:val="0081517D"/>
    <w:rsid w:val="00815180"/>
    <w:rsid w:val="008151AB"/>
    <w:rsid w:val="00815210"/>
    <w:rsid w:val="008152F2"/>
    <w:rsid w:val="008153CB"/>
    <w:rsid w:val="008153FF"/>
    <w:rsid w:val="0081549E"/>
    <w:rsid w:val="008155C3"/>
    <w:rsid w:val="0081560C"/>
    <w:rsid w:val="008156F4"/>
    <w:rsid w:val="0081595A"/>
    <w:rsid w:val="00815A79"/>
    <w:rsid w:val="00815AC5"/>
    <w:rsid w:val="00815B01"/>
    <w:rsid w:val="00815B5D"/>
    <w:rsid w:val="00815C16"/>
    <w:rsid w:val="00815CF6"/>
    <w:rsid w:val="00815D2A"/>
    <w:rsid w:val="00815D70"/>
    <w:rsid w:val="00815DBD"/>
    <w:rsid w:val="00815EB2"/>
    <w:rsid w:val="00815EDC"/>
    <w:rsid w:val="00815F26"/>
    <w:rsid w:val="00815F3F"/>
    <w:rsid w:val="00815F87"/>
    <w:rsid w:val="00815FF3"/>
    <w:rsid w:val="00816027"/>
    <w:rsid w:val="008160DF"/>
    <w:rsid w:val="00816128"/>
    <w:rsid w:val="00816179"/>
    <w:rsid w:val="00816205"/>
    <w:rsid w:val="0081622C"/>
    <w:rsid w:val="00816294"/>
    <w:rsid w:val="0081629F"/>
    <w:rsid w:val="008162B0"/>
    <w:rsid w:val="00816393"/>
    <w:rsid w:val="00816617"/>
    <w:rsid w:val="008166E1"/>
    <w:rsid w:val="00816787"/>
    <w:rsid w:val="00816847"/>
    <w:rsid w:val="0081686A"/>
    <w:rsid w:val="008168F1"/>
    <w:rsid w:val="008169C6"/>
    <w:rsid w:val="00816A61"/>
    <w:rsid w:val="00816B30"/>
    <w:rsid w:val="00816CE2"/>
    <w:rsid w:val="00816D1B"/>
    <w:rsid w:val="00816E2E"/>
    <w:rsid w:val="00816E95"/>
    <w:rsid w:val="00816F10"/>
    <w:rsid w:val="00816F4B"/>
    <w:rsid w:val="00817102"/>
    <w:rsid w:val="00817375"/>
    <w:rsid w:val="008173EB"/>
    <w:rsid w:val="008174ED"/>
    <w:rsid w:val="008177BE"/>
    <w:rsid w:val="008178A2"/>
    <w:rsid w:val="0081793E"/>
    <w:rsid w:val="0081799A"/>
    <w:rsid w:val="008179E1"/>
    <w:rsid w:val="00817A15"/>
    <w:rsid w:val="00817AD2"/>
    <w:rsid w:val="00817AF8"/>
    <w:rsid w:val="00817D04"/>
    <w:rsid w:val="00817DFA"/>
    <w:rsid w:val="00817EEB"/>
    <w:rsid w:val="00817FDC"/>
    <w:rsid w:val="00820048"/>
    <w:rsid w:val="00820185"/>
    <w:rsid w:val="0082031E"/>
    <w:rsid w:val="00820399"/>
    <w:rsid w:val="008203D8"/>
    <w:rsid w:val="008203F5"/>
    <w:rsid w:val="00820401"/>
    <w:rsid w:val="0082049C"/>
    <w:rsid w:val="008204F8"/>
    <w:rsid w:val="00820535"/>
    <w:rsid w:val="00820569"/>
    <w:rsid w:val="00820574"/>
    <w:rsid w:val="0082072B"/>
    <w:rsid w:val="00820792"/>
    <w:rsid w:val="008207F5"/>
    <w:rsid w:val="008209FD"/>
    <w:rsid w:val="00820AF1"/>
    <w:rsid w:val="00820B00"/>
    <w:rsid w:val="00820BF3"/>
    <w:rsid w:val="00820E80"/>
    <w:rsid w:val="00820EAC"/>
    <w:rsid w:val="00820EBA"/>
    <w:rsid w:val="00820F53"/>
    <w:rsid w:val="00820FFE"/>
    <w:rsid w:val="00821051"/>
    <w:rsid w:val="00821130"/>
    <w:rsid w:val="00821222"/>
    <w:rsid w:val="008212EE"/>
    <w:rsid w:val="008213D5"/>
    <w:rsid w:val="008213DE"/>
    <w:rsid w:val="00821711"/>
    <w:rsid w:val="00821726"/>
    <w:rsid w:val="0082173C"/>
    <w:rsid w:val="0082179E"/>
    <w:rsid w:val="0082184A"/>
    <w:rsid w:val="0082186B"/>
    <w:rsid w:val="008218DB"/>
    <w:rsid w:val="008219CA"/>
    <w:rsid w:val="00821AC4"/>
    <w:rsid w:val="00821AE9"/>
    <w:rsid w:val="00821B3A"/>
    <w:rsid w:val="00821B8F"/>
    <w:rsid w:val="00821C94"/>
    <w:rsid w:val="00821C9D"/>
    <w:rsid w:val="00821CA5"/>
    <w:rsid w:val="00821CD1"/>
    <w:rsid w:val="00821CFF"/>
    <w:rsid w:val="00821D31"/>
    <w:rsid w:val="00821D6B"/>
    <w:rsid w:val="00821E75"/>
    <w:rsid w:val="00821F33"/>
    <w:rsid w:val="00821F3B"/>
    <w:rsid w:val="00821FF8"/>
    <w:rsid w:val="008220A4"/>
    <w:rsid w:val="00822175"/>
    <w:rsid w:val="008221F6"/>
    <w:rsid w:val="00822359"/>
    <w:rsid w:val="00822474"/>
    <w:rsid w:val="00822553"/>
    <w:rsid w:val="00822600"/>
    <w:rsid w:val="0082262B"/>
    <w:rsid w:val="00822651"/>
    <w:rsid w:val="00822684"/>
    <w:rsid w:val="008226C7"/>
    <w:rsid w:val="0082273A"/>
    <w:rsid w:val="0082275C"/>
    <w:rsid w:val="008227C4"/>
    <w:rsid w:val="00822AB5"/>
    <w:rsid w:val="00822C44"/>
    <w:rsid w:val="00822C87"/>
    <w:rsid w:val="00822CAC"/>
    <w:rsid w:val="00822D69"/>
    <w:rsid w:val="00822DDE"/>
    <w:rsid w:val="00822E0A"/>
    <w:rsid w:val="00822EF2"/>
    <w:rsid w:val="00822F37"/>
    <w:rsid w:val="00822FBF"/>
    <w:rsid w:val="00823044"/>
    <w:rsid w:val="008230BA"/>
    <w:rsid w:val="0082311A"/>
    <w:rsid w:val="0082312F"/>
    <w:rsid w:val="00823562"/>
    <w:rsid w:val="00823577"/>
    <w:rsid w:val="008235A2"/>
    <w:rsid w:val="00823756"/>
    <w:rsid w:val="0082387D"/>
    <w:rsid w:val="00823927"/>
    <w:rsid w:val="0082393B"/>
    <w:rsid w:val="008239F6"/>
    <w:rsid w:val="00823A1E"/>
    <w:rsid w:val="00823D62"/>
    <w:rsid w:val="00823DF7"/>
    <w:rsid w:val="00823F88"/>
    <w:rsid w:val="00824091"/>
    <w:rsid w:val="008240AC"/>
    <w:rsid w:val="0082410E"/>
    <w:rsid w:val="00824139"/>
    <w:rsid w:val="008241AF"/>
    <w:rsid w:val="0082425D"/>
    <w:rsid w:val="0082449F"/>
    <w:rsid w:val="00824513"/>
    <w:rsid w:val="008246A5"/>
    <w:rsid w:val="00824757"/>
    <w:rsid w:val="00824959"/>
    <w:rsid w:val="00824A43"/>
    <w:rsid w:val="00824A7C"/>
    <w:rsid w:val="00824AC2"/>
    <w:rsid w:val="00824B3E"/>
    <w:rsid w:val="00824C36"/>
    <w:rsid w:val="00824CF6"/>
    <w:rsid w:val="00824E28"/>
    <w:rsid w:val="00824EF1"/>
    <w:rsid w:val="00824F20"/>
    <w:rsid w:val="00824F91"/>
    <w:rsid w:val="00825030"/>
    <w:rsid w:val="0082507E"/>
    <w:rsid w:val="008251EB"/>
    <w:rsid w:val="0082520B"/>
    <w:rsid w:val="008252C3"/>
    <w:rsid w:val="008252F6"/>
    <w:rsid w:val="00825391"/>
    <w:rsid w:val="008254B6"/>
    <w:rsid w:val="0082566B"/>
    <w:rsid w:val="008256BA"/>
    <w:rsid w:val="008257AF"/>
    <w:rsid w:val="008258CF"/>
    <w:rsid w:val="00825A8C"/>
    <w:rsid w:val="00825B8D"/>
    <w:rsid w:val="00825C81"/>
    <w:rsid w:val="00825CBE"/>
    <w:rsid w:val="00825F01"/>
    <w:rsid w:val="00826006"/>
    <w:rsid w:val="0082609B"/>
    <w:rsid w:val="008260D3"/>
    <w:rsid w:val="00826210"/>
    <w:rsid w:val="008263F8"/>
    <w:rsid w:val="0082648D"/>
    <w:rsid w:val="008265A9"/>
    <w:rsid w:val="008265DE"/>
    <w:rsid w:val="008266B4"/>
    <w:rsid w:val="008267C1"/>
    <w:rsid w:val="008269C0"/>
    <w:rsid w:val="008269F2"/>
    <w:rsid w:val="00826A92"/>
    <w:rsid w:val="00826BA8"/>
    <w:rsid w:val="00826BD3"/>
    <w:rsid w:val="00826C22"/>
    <w:rsid w:val="00826C6A"/>
    <w:rsid w:val="00826E80"/>
    <w:rsid w:val="00826F3B"/>
    <w:rsid w:val="00826F5B"/>
    <w:rsid w:val="00826FCF"/>
    <w:rsid w:val="00826FF6"/>
    <w:rsid w:val="00827037"/>
    <w:rsid w:val="0082709A"/>
    <w:rsid w:val="008270BE"/>
    <w:rsid w:val="008270CF"/>
    <w:rsid w:val="00827121"/>
    <w:rsid w:val="00827175"/>
    <w:rsid w:val="00827181"/>
    <w:rsid w:val="008271B6"/>
    <w:rsid w:val="00827383"/>
    <w:rsid w:val="00827406"/>
    <w:rsid w:val="00827412"/>
    <w:rsid w:val="0082742F"/>
    <w:rsid w:val="0082790D"/>
    <w:rsid w:val="00827934"/>
    <w:rsid w:val="008279B6"/>
    <w:rsid w:val="00827A47"/>
    <w:rsid w:val="00827CAD"/>
    <w:rsid w:val="00827CBF"/>
    <w:rsid w:val="00827D81"/>
    <w:rsid w:val="00827E47"/>
    <w:rsid w:val="00827E4B"/>
    <w:rsid w:val="00827F0B"/>
    <w:rsid w:val="0083001A"/>
    <w:rsid w:val="008301A7"/>
    <w:rsid w:val="00830289"/>
    <w:rsid w:val="00830311"/>
    <w:rsid w:val="008303CD"/>
    <w:rsid w:val="00830451"/>
    <w:rsid w:val="008304D6"/>
    <w:rsid w:val="0083055C"/>
    <w:rsid w:val="008306A9"/>
    <w:rsid w:val="00830703"/>
    <w:rsid w:val="00830725"/>
    <w:rsid w:val="008307F0"/>
    <w:rsid w:val="008308FF"/>
    <w:rsid w:val="008309CA"/>
    <w:rsid w:val="00830B20"/>
    <w:rsid w:val="00830B28"/>
    <w:rsid w:val="00830C4F"/>
    <w:rsid w:val="00830E1C"/>
    <w:rsid w:val="00830E61"/>
    <w:rsid w:val="00830ED8"/>
    <w:rsid w:val="00830F1C"/>
    <w:rsid w:val="00830F97"/>
    <w:rsid w:val="00830FFF"/>
    <w:rsid w:val="00831083"/>
    <w:rsid w:val="0083119A"/>
    <w:rsid w:val="00831233"/>
    <w:rsid w:val="00831371"/>
    <w:rsid w:val="00831395"/>
    <w:rsid w:val="008313B1"/>
    <w:rsid w:val="0083144D"/>
    <w:rsid w:val="008315A7"/>
    <w:rsid w:val="008315CD"/>
    <w:rsid w:val="008316B7"/>
    <w:rsid w:val="008316C0"/>
    <w:rsid w:val="008316E6"/>
    <w:rsid w:val="00831829"/>
    <w:rsid w:val="008319A1"/>
    <w:rsid w:val="00831A69"/>
    <w:rsid w:val="00831ACB"/>
    <w:rsid w:val="00831B73"/>
    <w:rsid w:val="00831C14"/>
    <w:rsid w:val="00831D68"/>
    <w:rsid w:val="00831E18"/>
    <w:rsid w:val="00831E43"/>
    <w:rsid w:val="00831E4F"/>
    <w:rsid w:val="00831F92"/>
    <w:rsid w:val="00831FA2"/>
    <w:rsid w:val="008320EE"/>
    <w:rsid w:val="00832136"/>
    <w:rsid w:val="0083214F"/>
    <w:rsid w:val="0083223E"/>
    <w:rsid w:val="008323A4"/>
    <w:rsid w:val="0083249C"/>
    <w:rsid w:val="00832573"/>
    <w:rsid w:val="008325A6"/>
    <w:rsid w:val="008326B4"/>
    <w:rsid w:val="008326D9"/>
    <w:rsid w:val="008327BE"/>
    <w:rsid w:val="008328E0"/>
    <w:rsid w:val="0083297D"/>
    <w:rsid w:val="00832A2D"/>
    <w:rsid w:val="00832B7D"/>
    <w:rsid w:val="00832C06"/>
    <w:rsid w:val="00832C0A"/>
    <w:rsid w:val="00832C3E"/>
    <w:rsid w:val="00832C8A"/>
    <w:rsid w:val="00832D3B"/>
    <w:rsid w:val="00832DBB"/>
    <w:rsid w:val="00832F4A"/>
    <w:rsid w:val="00832FD8"/>
    <w:rsid w:val="00832FF5"/>
    <w:rsid w:val="0083310F"/>
    <w:rsid w:val="00833115"/>
    <w:rsid w:val="0083323D"/>
    <w:rsid w:val="008333BA"/>
    <w:rsid w:val="008333CE"/>
    <w:rsid w:val="008333DD"/>
    <w:rsid w:val="008336B7"/>
    <w:rsid w:val="00833786"/>
    <w:rsid w:val="00833801"/>
    <w:rsid w:val="00833853"/>
    <w:rsid w:val="00833957"/>
    <w:rsid w:val="008339B9"/>
    <w:rsid w:val="00833B6B"/>
    <w:rsid w:val="00833BFE"/>
    <w:rsid w:val="00833C71"/>
    <w:rsid w:val="00833CA6"/>
    <w:rsid w:val="00833D4B"/>
    <w:rsid w:val="00833D86"/>
    <w:rsid w:val="00833F03"/>
    <w:rsid w:val="00833F4E"/>
    <w:rsid w:val="00833FD9"/>
    <w:rsid w:val="0083416B"/>
    <w:rsid w:val="00834335"/>
    <w:rsid w:val="0083441E"/>
    <w:rsid w:val="008344B2"/>
    <w:rsid w:val="00834537"/>
    <w:rsid w:val="00834639"/>
    <w:rsid w:val="0083470E"/>
    <w:rsid w:val="00834735"/>
    <w:rsid w:val="00834745"/>
    <w:rsid w:val="0083485B"/>
    <w:rsid w:val="00834891"/>
    <w:rsid w:val="0083493E"/>
    <w:rsid w:val="00834950"/>
    <w:rsid w:val="008349A7"/>
    <w:rsid w:val="008349F2"/>
    <w:rsid w:val="00834A8C"/>
    <w:rsid w:val="00834AF2"/>
    <w:rsid w:val="00834B58"/>
    <w:rsid w:val="00834B5B"/>
    <w:rsid w:val="00834BE6"/>
    <w:rsid w:val="00834BE9"/>
    <w:rsid w:val="00834BED"/>
    <w:rsid w:val="00834C38"/>
    <w:rsid w:val="00834D8A"/>
    <w:rsid w:val="00834DD8"/>
    <w:rsid w:val="00834DE9"/>
    <w:rsid w:val="00834EE7"/>
    <w:rsid w:val="00834EED"/>
    <w:rsid w:val="00834F11"/>
    <w:rsid w:val="00835134"/>
    <w:rsid w:val="0083523F"/>
    <w:rsid w:val="0083527E"/>
    <w:rsid w:val="008352FB"/>
    <w:rsid w:val="00835318"/>
    <w:rsid w:val="00835329"/>
    <w:rsid w:val="00835405"/>
    <w:rsid w:val="0083551A"/>
    <w:rsid w:val="008355B7"/>
    <w:rsid w:val="00835818"/>
    <w:rsid w:val="00835858"/>
    <w:rsid w:val="00835906"/>
    <w:rsid w:val="008359EA"/>
    <w:rsid w:val="00835A05"/>
    <w:rsid w:val="00835ABA"/>
    <w:rsid w:val="00835B9E"/>
    <w:rsid w:val="00835D6F"/>
    <w:rsid w:val="00835E1A"/>
    <w:rsid w:val="0083608A"/>
    <w:rsid w:val="008360AF"/>
    <w:rsid w:val="008361AC"/>
    <w:rsid w:val="0083620E"/>
    <w:rsid w:val="0083623D"/>
    <w:rsid w:val="00836242"/>
    <w:rsid w:val="00836636"/>
    <w:rsid w:val="00836848"/>
    <w:rsid w:val="00836981"/>
    <w:rsid w:val="00836A18"/>
    <w:rsid w:val="00836A3B"/>
    <w:rsid w:val="00836A6A"/>
    <w:rsid w:val="00836A9E"/>
    <w:rsid w:val="00836B4B"/>
    <w:rsid w:val="00836B6F"/>
    <w:rsid w:val="00836BAC"/>
    <w:rsid w:val="00836D08"/>
    <w:rsid w:val="00836D92"/>
    <w:rsid w:val="00836F42"/>
    <w:rsid w:val="0083707F"/>
    <w:rsid w:val="00837084"/>
    <w:rsid w:val="0083715D"/>
    <w:rsid w:val="0083716C"/>
    <w:rsid w:val="00837273"/>
    <w:rsid w:val="00837282"/>
    <w:rsid w:val="0083737E"/>
    <w:rsid w:val="008373F9"/>
    <w:rsid w:val="00837493"/>
    <w:rsid w:val="008374CD"/>
    <w:rsid w:val="008374D3"/>
    <w:rsid w:val="0083775D"/>
    <w:rsid w:val="00837789"/>
    <w:rsid w:val="00837895"/>
    <w:rsid w:val="00837AC1"/>
    <w:rsid w:val="00837BAF"/>
    <w:rsid w:val="00837C43"/>
    <w:rsid w:val="00837D09"/>
    <w:rsid w:val="00837DC3"/>
    <w:rsid w:val="0084005B"/>
    <w:rsid w:val="0084007B"/>
    <w:rsid w:val="00840245"/>
    <w:rsid w:val="0084024B"/>
    <w:rsid w:val="00840359"/>
    <w:rsid w:val="00840406"/>
    <w:rsid w:val="00840481"/>
    <w:rsid w:val="00840558"/>
    <w:rsid w:val="0084061D"/>
    <w:rsid w:val="008406D4"/>
    <w:rsid w:val="008406F9"/>
    <w:rsid w:val="008406FA"/>
    <w:rsid w:val="0084071D"/>
    <w:rsid w:val="0084082A"/>
    <w:rsid w:val="008408CC"/>
    <w:rsid w:val="00840956"/>
    <w:rsid w:val="008409FB"/>
    <w:rsid w:val="00840A14"/>
    <w:rsid w:val="00840A29"/>
    <w:rsid w:val="00840AE7"/>
    <w:rsid w:val="00840AEC"/>
    <w:rsid w:val="00840D76"/>
    <w:rsid w:val="00840DB1"/>
    <w:rsid w:val="00840E58"/>
    <w:rsid w:val="00840F24"/>
    <w:rsid w:val="00841200"/>
    <w:rsid w:val="00841360"/>
    <w:rsid w:val="008413CA"/>
    <w:rsid w:val="008413CC"/>
    <w:rsid w:val="00841669"/>
    <w:rsid w:val="008416B0"/>
    <w:rsid w:val="008416C8"/>
    <w:rsid w:val="00841767"/>
    <w:rsid w:val="00841933"/>
    <w:rsid w:val="00841946"/>
    <w:rsid w:val="008419E7"/>
    <w:rsid w:val="00841A26"/>
    <w:rsid w:val="00841A9A"/>
    <w:rsid w:val="00841B81"/>
    <w:rsid w:val="00841C91"/>
    <w:rsid w:val="00841CAD"/>
    <w:rsid w:val="00841D28"/>
    <w:rsid w:val="00841E89"/>
    <w:rsid w:val="00841EB3"/>
    <w:rsid w:val="00841ED1"/>
    <w:rsid w:val="00841EEF"/>
    <w:rsid w:val="0084200D"/>
    <w:rsid w:val="00842031"/>
    <w:rsid w:val="0084205F"/>
    <w:rsid w:val="008420F6"/>
    <w:rsid w:val="0084214A"/>
    <w:rsid w:val="00842207"/>
    <w:rsid w:val="008422D2"/>
    <w:rsid w:val="00842316"/>
    <w:rsid w:val="0084236D"/>
    <w:rsid w:val="0084246A"/>
    <w:rsid w:val="00842521"/>
    <w:rsid w:val="00842608"/>
    <w:rsid w:val="00842671"/>
    <w:rsid w:val="008426AC"/>
    <w:rsid w:val="00842704"/>
    <w:rsid w:val="00842724"/>
    <w:rsid w:val="008427A6"/>
    <w:rsid w:val="0084288F"/>
    <w:rsid w:val="00842922"/>
    <w:rsid w:val="00842975"/>
    <w:rsid w:val="00842A5C"/>
    <w:rsid w:val="00842BD3"/>
    <w:rsid w:val="00842CAC"/>
    <w:rsid w:val="00842D78"/>
    <w:rsid w:val="00842E09"/>
    <w:rsid w:val="00842EA5"/>
    <w:rsid w:val="00842EE7"/>
    <w:rsid w:val="0084315F"/>
    <w:rsid w:val="00843163"/>
    <w:rsid w:val="0084323D"/>
    <w:rsid w:val="00843277"/>
    <w:rsid w:val="00843320"/>
    <w:rsid w:val="00843445"/>
    <w:rsid w:val="00843479"/>
    <w:rsid w:val="008436D0"/>
    <w:rsid w:val="00843806"/>
    <w:rsid w:val="008438EC"/>
    <w:rsid w:val="008439B9"/>
    <w:rsid w:val="00843AE3"/>
    <w:rsid w:val="00843AE7"/>
    <w:rsid w:val="00843B72"/>
    <w:rsid w:val="00843B77"/>
    <w:rsid w:val="00843BB2"/>
    <w:rsid w:val="00843BEC"/>
    <w:rsid w:val="00843C15"/>
    <w:rsid w:val="00843C32"/>
    <w:rsid w:val="00843C81"/>
    <w:rsid w:val="00843C98"/>
    <w:rsid w:val="00843CD7"/>
    <w:rsid w:val="00843CEB"/>
    <w:rsid w:val="00843D34"/>
    <w:rsid w:val="00843D56"/>
    <w:rsid w:val="00843E6E"/>
    <w:rsid w:val="00843E92"/>
    <w:rsid w:val="00843ECE"/>
    <w:rsid w:val="00843ECF"/>
    <w:rsid w:val="00843F3C"/>
    <w:rsid w:val="00843F44"/>
    <w:rsid w:val="00843F8A"/>
    <w:rsid w:val="00843F96"/>
    <w:rsid w:val="00844099"/>
    <w:rsid w:val="008440C4"/>
    <w:rsid w:val="008440D1"/>
    <w:rsid w:val="0084411B"/>
    <w:rsid w:val="008441D1"/>
    <w:rsid w:val="00844245"/>
    <w:rsid w:val="00844332"/>
    <w:rsid w:val="00844360"/>
    <w:rsid w:val="00844523"/>
    <w:rsid w:val="008445C2"/>
    <w:rsid w:val="0084481C"/>
    <w:rsid w:val="00844867"/>
    <w:rsid w:val="008448F6"/>
    <w:rsid w:val="00844940"/>
    <w:rsid w:val="008449C2"/>
    <w:rsid w:val="008449DC"/>
    <w:rsid w:val="00844BCE"/>
    <w:rsid w:val="00844E9C"/>
    <w:rsid w:val="00844F0F"/>
    <w:rsid w:val="00844F89"/>
    <w:rsid w:val="00845040"/>
    <w:rsid w:val="008450D8"/>
    <w:rsid w:val="00845230"/>
    <w:rsid w:val="008452EE"/>
    <w:rsid w:val="0084535D"/>
    <w:rsid w:val="00845375"/>
    <w:rsid w:val="0084542F"/>
    <w:rsid w:val="0084543A"/>
    <w:rsid w:val="0084543D"/>
    <w:rsid w:val="00845447"/>
    <w:rsid w:val="00845603"/>
    <w:rsid w:val="008456BA"/>
    <w:rsid w:val="008456E3"/>
    <w:rsid w:val="00845889"/>
    <w:rsid w:val="008458A0"/>
    <w:rsid w:val="0084593C"/>
    <w:rsid w:val="00845955"/>
    <w:rsid w:val="00845AFD"/>
    <w:rsid w:val="00845B51"/>
    <w:rsid w:val="00845BD0"/>
    <w:rsid w:val="00845E01"/>
    <w:rsid w:val="00845E40"/>
    <w:rsid w:val="00845EB8"/>
    <w:rsid w:val="00845ECC"/>
    <w:rsid w:val="00845FA0"/>
    <w:rsid w:val="00845FBE"/>
    <w:rsid w:val="00845FEC"/>
    <w:rsid w:val="00846014"/>
    <w:rsid w:val="00846029"/>
    <w:rsid w:val="0084604E"/>
    <w:rsid w:val="00846149"/>
    <w:rsid w:val="00846234"/>
    <w:rsid w:val="00846243"/>
    <w:rsid w:val="0084625A"/>
    <w:rsid w:val="00846408"/>
    <w:rsid w:val="0084647B"/>
    <w:rsid w:val="00846519"/>
    <w:rsid w:val="00846577"/>
    <w:rsid w:val="0084658A"/>
    <w:rsid w:val="008465B1"/>
    <w:rsid w:val="0084667C"/>
    <w:rsid w:val="008466FB"/>
    <w:rsid w:val="0084671E"/>
    <w:rsid w:val="00846835"/>
    <w:rsid w:val="00846836"/>
    <w:rsid w:val="00846994"/>
    <w:rsid w:val="008469E4"/>
    <w:rsid w:val="00846AB3"/>
    <w:rsid w:val="00846ACB"/>
    <w:rsid w:val="00846BEF"/>
    <w:rsid w:val="00846BF7"/>
    <w:rsid w:val="00846CBA"/>
    <w:rsid w:val="00846ECC"/>
    <w:rsid w:val="00846F07"/>
    <w:rsid w:val="00846FFD"/>
    <w:rsid w:val="0084718E"/>
    <w:rsid w:val="008471CD"/>
    <w:rsid w:val="00847264"/>
    <w:rsid w:val="0084733A"/>
    <w:rsid w:val="0084735E"/>
    <w:rsid w:val="008474FC"/>
    <w:rsid w:val="008477E2"/>
    <w:rsid w:val="0084789C"/>
    <w:rsid w:val="0084789E"/>
    <w:rsid w:val="008478BA"/>
    <w:rsid w:val="00847978"/>
    <w:rsid w:val="008479CA"/>
    <w:rsid w:val="00847A29"/>
    <w:rsid w:val="00847B32"/>
    <w:rsid w:val="00847C4B"/>
    <w:rsid w:val="00847CE2"/>
    <w:rsid w:val="00847DD1"/>
    <w:rsid w:val="00847F44"/>
    <w:rsid w:val="00847F4B"/>
    <w:rsid w:val="00847F6E"/>
    <w:rsid w:val="00847F9A"/>
    <w:rsid w:val="0085018B"/>
    <w:rsid w:val="008501CB"/>
    <w:rsid w:val="008502A1"/>
    <w:rsid w:val="0085037B"/>
    <w:rsid w:val="00850755"/>
    <w:rsid w:val="00850987"/>
    <w:rsid w:val="00850B49"/>
    <w:rsid w:val="00850BD0"/>
    <w:rsid w:val="00850C53"/>
    <w:rsid w:val="00850FCE"/>
    <w:rsid w:val="0085109A"/>
    <w:rsid w:val="00851117"/>
    <w:rsid w:val="008511D9"/>
    <w:rsid w:val="0085128E"/>
    <w:rsid w:val="008512E0"/>
    <w:rsid w:val="008512F4"/>
    <w:rsid w:val="008513A1"/>
    <w:rsid w:val="00851452"/>
    <w:rsid w:val="0085161F"/>
    <w:rsid w:val="0085163B"/>
    <w:rsid w:val="008517B7"/>
    <w:rsid w:val="00851889"/>
    <w:rsid w:val="00851947"/>
    <w:rsid w:val="00851950"/>
    <w:rsid w:val="00851A35"/>
    <w:rsid w:val="00851AA0"/>
    <w:rsid w:val="00851B2F"/>
    <w:rsid w:val="00851B65"/>
    <w:rsid w:val="00851C4D"/>
    <w:rsid w:val="00851CD2"/>
    <w:rsid w:val="00851DD2"/>
    <w:rsid w:val="00851E4E"/>
    <w:rsid w:val="00851F0D"/>
    <w:rsid w:val="00851F0E"/>
    <w:rsid w:val="00851F69"/>
    <w:rsid w:val="0085220B"/>
    <w:rsid w:val="00852334"/>
    <w:rsid w:val="0085249F"/>
    <w:rsid w:val="008524AE"/>
    <w:rsid w:val="008524CE"/>
    <w:rsid w:val="008524E8"/>
    <w:rsid w:val="008524EA"/>
    <w:rsid w:val="00852534"/>
    <w:rsid w:val="00852609"/>
    <w:rsid w:val="00852626"/>
    <w:rsid w:val="00852730"/>
    <w:rsid w:val="00852734"/>
    <w:rsid w:val="00852755"/>
    <w:rsid w:val="008527C7"/>
    <w:rsid w:val="008527FE"/>
    <w:rsid w:val="008528E6"/>
    <w:rsid w:val="0085293D"/>
    <w:rsid w:val="00852AF5"/>
    <w:rsid w:val="00852B0D"/>
    <w:rsid w:val="00852B27"/>
    <w:rsid w:val="00852B33"/>
    <w:rsid w:val="00852B5F"/>
    <w:rsid w:val="00852B9A"/>
    <w:rsid w:val="00852C67"/>
    <w:rsid w:val="0085300D"/>
    <w:rsid w:val="00853020"/>
    <w:rsid w:val="0085309B"/>
    <w:rsid w:val="008531BC"/>
    <w:rsid w:val="00853227"/>
    <w:rsid w:val="0085327C"/>
    <w:rsid w:val="008532FA"/>
    <w:rsid w:val="008534A3"/>
    <w:rsid w:val="00853584"/>
    <w:rsid w:val="00853671"/>
    <w:rsid w:val="00853716"/>
    <w:rsid w:val="008537D6"/>
    <w:rsid w:val="008538E1"/>
    <w:rsid w:val="00853A08"/>
    <w:rsid w:val="00853A2A"/>
    <w:rsid w:val="00853A54"/>
    <w:rsid w:val="00853AEA"/>
    <w:rsid w:val="00853B8C"/>
    <w:rsid w:val="00853BA0"/>
    <w:rsid w:val="00853BB1"/>
    <w:rsid w:val="00853D6B"/>
    <w:rsid w:val="00854065"/>
    <w:rsid w:val="008540D7"/>
    <w:rsid w:val="0085416C"/>
    <w:rsid w:val="00854174"/>
    <w:rsid w:val="00854357"/>
    <w:rsid w:val="008543BB"/>
    <w:rsid w:val="008543F3"/>
    <w:rsid w:val="008544C7"/>
    <w:rsid w:val="0085450E"/>
    <w:rsid w:val="0085457E"/>
    <w:rsid w:val="0085478A"/>
    <w:rsid w:val="00854796"/>
    <w:rsid w:val="00854830"/>
    <w:rsid w:val="00854855"/>
    <w:rsid w:val="00854911"/>
    <w:rsid w:val="00854AE2"/>
    <w:rsid w:val="00854B85"/>
    <w:rsid w:val="00854BBC"/>
    <w:rsid w:val="00854C21"/>
    <w:rsid w:val="00854D82"/>
    <w:rsid w:val="00854EB5"/>
    <w:rsid w:val="00855026"/>
    <w:rsid w:val="0085503E"/>
    <w:rsid w:val="0085507C"/>
    <w:rsid w:val="00855139"/>
    <w:rsid w:val="008552D1"/>
    <w:rsid w:val="008552D6"/>
    <w:rsid w:val="0085530D"/>
    <w:rsid w:val="00855375"/>
    <w:rsid w:val="008554EA"/>
    <w:rsid w:val="00855507"/>
    <w:rsid w:val="00855554"/>
    <w:rsid w:val="00855601"/>
    <w:rsid w:val="00855836"/>
    <w:rsid w:val="00855988"/>
    <w:rsid w:val="008559D1"/>
    <w:rsid w:val="00855A08"/>
    <w:rsid w:val="00855A0E"/>
    <w:rsid w:val="00855A36"/>
    <w:rsid w:val="00855AA6"/>
    <w:rsid w:val="00855AB6"/>
    <w:rsid w:val="00855AD1"/>
    <w:rsid w:val="00855B21"/>
    <w:rsid w:val="00855B52"/>
    <w:rsid w:val="00855BC8"/>
    <w:rsid w:val="00855BFF"/>
    <w:rsid w:val="00855C0C"/>
    <w:rsid w:val="00855C1A"/>
    <w:rsid w:val="00855DCE"/>
    <w:rsid w:val="00855F57"/>
    <w:rsid w:val="008560AB"/>
    <w:rsid w:val="008562A4"/>
    <w:rsid w:val="00856369"/>
    <w:rsid w:val="00856428"/>
    <w:rsid w:val="00856529"/>
    <w:rsid w:val="00856548"/>
    <w:rsid w:val="00856619"/>
    <w:rsid w:val="00856623"/>
    <w:rsid w:val="00856878"/>
    <w:rsid w:val="00856894"/>
    <w:rsid w:val="008568A9"/>
    <w:rsid w:val="00856907"/>
    <w:rsid w:val="00856A98"/>
    <w:rsid w:val="00856B4B"/>
    <w:rsid w:val="00856BFE"/>
    <w:rsid w:val="00856CCB"/>
    <w:rsid w:val="00856CF6"/>
    <w:rsid w:val="00856E37"/>
    <w:rsid w:val="00856E8B"/>
    <w:rsid w:val="00856EEB"/>
    <w:rsid w:val="00856EEC"/>
    <w:rsid w:val="00857080"/>
    <w:rsid w:val="008570B9"/>
    <w:rsid w:val="00857136"/>
    <w:rsid w:val="0085715E"/>
    <w:rsid w:val="00857191"/>
    <w:rsid w:val="00857388"/>
    <w:rsid w:val="008573D2"/>
    <w:rsid w:val="00857737"/>
    <w:rsid w:val="00857790"/>
    <w:rsid w:val="008577BF"/>
    <w:rsid w:val="0085793C"/>
    <w:rsid w:val="00857ABA"/>
    <w:rsid w:val="00857B23"/>
    <w:rsid w:val="00857B58"/>
    <w:rsid w:val="00857C3B"/>
    <w:rsid w:val="00857CB2"/>
    <w:rsid w:val="00857F80"/>
    <w:rsid w:val="00857FD1"/>
    <w:rsid w:val="0086002D"/>
    <w:rsid w:val="008600A8"/>
    <w:rsid w:val="008600E0"/>
    <w:rsid w:val="0086027F"/>
    <w:rsid w:val="0086042B"/>
    <w:rsid w:val="008605AF"/>
    <w:rsid w:val="008605DB"/>
    <w:rsid w:val="008605E8"/>
    <w:rsid w:val="00860628"/>
    <w:rsid w:val="0086070C"/>
    <w:rsid w:val="00860762"/>
    <w:rsid w:val="0086080F"/>
    <w:rsid w:val="0086082E"/>
    <w:rsid w:val="0086094E"/>
    <w:rsid w:val="00860A80"/>
    <w:rsid w:val="00860AD4"/>
    <w:rsid w:val="00860AD6"/>
    <w:rsid w:val="00860BF0"/>
    <w:rsid w:val="00860C09"/>
    <w:rsid w:val="00860C29"/>
    <w:rsid w:val="00860C7D"/>
    <w:rsid w:val="00860CEC"/>
    <w:rsid w:val="00860F32"/>
    <w:rsid w:val="00860FC2"/>
    <w:rsid w:val="00861109"/>
    <w:rsid w:val="00861173"/>
    <w:rsid w:val="008611E8"/>
    <w:rsid w:val="008612C3"/>
    <w:rsid w:val="00861328"/>
    <w:rsid w:val="0086144F"/>
    <w:rsid w:val="008614AF"/>
    <w:rsid w:val="00861634"/>
    <w:rsid w:val="0086167C"/>
    <w:rsid w:val="0086183C"/>
    <w:rsid w:val="0086188D"/>
    <w:rsid w:val="00861951"/>
    <w:rsid w:val="0086195C"/>
    <w:rsid w:val="00861A42"/>
    <w:rsid w:val="00861AC6"/>
    <w:rsid w:val="00861AD7"/>
    <w:rsid w:val="00861AE1"/>
    <w:rsid w:val="00861AF3"/>
    <w:rsid w:val="00861D51"/>
    <w:rsid w:val="00861EA0"/>
    <w:rsid w:val="00862104"/>
    <w:rsid w:val="00862198"/>
    <w:rsid w:val="008622CE"/>
    <w:rsid w:val="00862553"/>
    <w:rsid w:val="0086259F"/>
    <w:rsid w:val="008625CE"/>
    <w:rsid w:val="00862727"/>
    <w:rsid w:val="008627B0"/>
    <w:rsid w:val="008627C0"/>
    <w:rsid w:val="008628AE"/>
    <w:rsid w:val="00862900"/>
    <w:rsid w:val="00862A21"/>
    <w:rsid w:val="00862D59"/>
    <w:rsid w:val="00862DF0"/>
    <w:rsid w:val="00862E13"/>
    <w:rsid w:val="00862E6C"/>
    <w:rsid w:val="00862ED6"/>
    <w:rsid w:val="00862F64"/>
    <w:rsid w:val="00862FEC"/>
    <w:rsid w:val="00863025"/>
    <w:rsid w:val="0086311E"/>
    <w:rsid w:val="008631DE"/>
    <w:rsid w:val="008632AF"/>
    <w:rsid w:val="0086335D"/>
    <w:rsid w:val="008637A1"/>
    <w:rsid w:val="008637AA"/>
    <w:rsid w:val="008637D8"/>
    <w:rsid w:val="00863893"/>
    <w:rsid w:val="00863976"/>
    <w:rsid w:val="0086399F"/>
    <w:rsid w:val="008639E2"/>
    <w:rsid w:val="00863BF7"/>
    <w:rsid w:val="00863ED2"/>
    <w:rsid w:val="00863EFB"/>
    <w:rsid w:val="00863FAE"/>
    <w:rsid w:val="00864006"/>
    <w:rsid w:val="0086403E"/>
    <w:rsid w:val="008641BE"/>
    <w:rsid w:val="00864410"/>
    <w:rsid w:val="0086444A"/>
    <w:rsid w:val="0086444F"/>
    <w:rsid w:val="00864878"/>
    <w:rsid w:val="00864A0D"/>
    <w:rsid w:val="00864AC0"/>
    <w:rsid w:val="00864B5C"/>
    <w:rsid w:val="00864BB4"/>
    <w:rsid w:val="00864CC6"/>
    <w:rsid w:val="00864CE7"/>
    <w:rsid w:val="00864D3B"/>
    <w:rsid w:val="00864E10"/>
    <w:rsid w:val="00864E23"/>
    <w:rsid w:val="00864E53"/>
    <w:rsid w:val="00864EED"/>
    <w:rsid w:val="00865048"/>
    <w:rsid w:val="00865090"/>
    <w:rsid w:val="008650F2"/>
    <w:rsid w:val="0086517F"/>
    <w:rsid w:val="0086538F"/>
    <w:rsid w:val="008653A0"/>
    <w:rsid w:val="008653D3"/>
    <w:rsid w:val="008653D9"/>
    <w:rsid w:val="0086540F"/>
    <w:rsid w:val="00865438"/>
    <w:rsid w:val="00865559"/>
    <w:rsid w:val="00865863"/>
    <w:rsid w:val="00865889"/>
    <w:rsid w:val="00865900"/>
    <w:rsid w:val="008659B9"/>
    <w:rsid w:val="00865A8C"/>
    <w:rsid w:val="00865B10"/>
    <w:rsid w:val="00865BB1"/>
    <w:rsid w:val="00865BB2"/>
    <w:rsid w:val="00865D4D"/>
    <w:rsid w:val="00866027"/>
    <w:rsid w:val="008661EF"/>
    <w:rsid w:val="008662CF"/>
    <w:rsid w:val="00866310"/>
    <w:rsid w:val="00866335"/>
    <w:rsid w:val="00866386"/>
    <w:rsid w:val="00866398"/>
    <w:rsid w:val="0086647E"/>
    <w:rsid w:val="008664A5"/>
    <w:rsid w:val="008666B6"/>
    <w:rsid w:val="008666BD"/>
    <w:rsid w:val="00866719"/>
    <w:rsid w:val="00866751"/>
    <w:rsid w:val="00866815"/>
    <w:rsid w:val="0086683A"/>
    <w:rsid w:val="0086687C"/>
    <w:rsid w:val="008669B7"/>
    <w:rsid w:val="00866A30"/>
    <w:rsid w:val="00866A80"/>
    <w:rsid w:val="00866D3A"/>
    <w:rsid w:val="00866E5E"/>
    <w:rsid w:val="00866EAC"/>
    <w:rsid w:val="00866FA5"/>
    <w:rsid w:val="0086705F"/>
    <w:rsid w:val="008670F2"/>
    <w:rsid w:val="0086717D"/>
    <w:rsid w:val="00867248"/>
    <w:rsid w:val="00867369"/>
    <w:rsid w:val="008673E7"/>
    <w:rsid w:val="008675A3"/>
    <w:rsid w:val="0086777A"/>
    <w:rsid w:val="008677AE"/>
    <w:rsid w:val="008677E2"/>
    <w:rsid w:val="008677FF"/>
    <w:rsid w:val="008679D7"/>
    <w:rsid w:val="00867A8F"/>
    <w:rsid w:val="00867AAF"/>
    <w:rsid w:val="00867B35"/>
    <w:rsid w:val="00867B37"/>
    <w:rsid w:val="00867CAE"/>
    <w:rsid w:val="00867CBA"/>
    <w:rsid w:val="00867D57"/>
    <w:rsid w:val="00867DB0"/>
    <w:rsid w:val="00867F30"/>
    <w:rsid w:val="00867F83"/>
    <w:rsid w:val="00867F85"/>
    <w:rsid w:val="00867FDA"/>
    <w:rsid w:val="008700AC"/>
    <w:rsid w:val="008700D2"/>
    <w:rsid w:val="008700D9"/>
    <w:rsid w:val="00870189"/>
    <w:rsid w:val="008701D7"/>
    <w:rsid w:val="008702D8"/>
    <w:rsid w:val="008704F8"/>
    <w:rsid w:val="0087061A"/>
    <w:rsid w:val="00870737"/>
    <w:rsid w:val="00870759"/>
    <w:rsid w:val="0087075F"/>
    <w:rsid w:val="008707E9"/>
    <w:rsid w:val="0087099C"/>
    <w:rsid w:val="008709FB"/>
    <w:rsid w:val="00870A05"/>
    <w:rsid w:val="00870A0A"/>
    <w:rsid w:val="00870A31"/>
    <w:rsid w:val="00870A46"/>
    <w:rsid w:val="00870B28"/>
    <w:rsid w:val="00870D34"/>
    <w:rsid w:val="00870D7C"/>
    <w:rsid w:val="00870DB1"/>
    <w:rsid w:val="00870E29"/>
    <w:rsid w:val="00870FB3"/>
    <w:rsid w:val="00871100"/>
    <w:rsid w:val="008711BF"/>
    <w:rsid w:val="008711EB"/>
    <w:rsid w:val="00871298"/>
    <w:rsid w:val="008714DC"/>
    <w:rsid w:val="008714FA"/>
    <w:rsid w:val="008715E6"/>
    <w:rsid w:val="0087169C"/>
    <w:rsid w:val="00871841"/>
    <w:rsid w:val="008718B3"/>
    <w:rsid w:val="008718E9"/>
    <w:rsid w:val="00871AAE"/>
    <w:rsid w:val="00871BCC"/>
    <w:rsid w:val="00871C88"/>
    <w:rsid w:val="00871D0D"/>
    <w:rsid w:val="00871D21"/>
    <w:rsid w:val="00871E10"/>
    <w:rsid w:val="00871F59"/>
    <w:rsid w:val="0087203B"/>
    <w:rsid w:val="00872094"/>
    <w:rsid w:val="008720D0"/>
    <w:rsid w:val="008721C7"/>
    <w:rsid w:val="008725E1"/>
    <w:rsid w:val="008726B6"/>
    <w:rsid w:val="008726C6"/>
    <w:rsid w:val="008726F0"/>
    <w:rsid w:val="00872733"/>
    <w:rsid w:val="00872750"/>
    <w:rsid w:val="008727AB"/>
    <w:rsid w:val="00872855"/>
    <w:rsid w:val="00872877"/>
    <w:rsid w:val="008728FD"/>
    <w:rsid w:val="00872B18"/>
    <w:rsid w:val="00872E67"/>
    <w:rsid w:val="00872F0B"/>
    <w:rsid w:val="00872F1C"/>
    <w:rsid w:val="0087308B"/>
    <w:rsid w:val="008730A8"/>
    <w:rsid w:val="008730AC"/>
    <w:rsid w:val="008730C2"/>
    <w:rsid w:val="008732E5"/>
    <w:rsid w:val="0087339C"/>
    <w:rsid w:val="008733EA"/>
    <w:rsid w:val="008733F1"/>
    <w:rsid w:val="0087359C"/>
    <w:rsid w:val="008736F2"/>
    <w:rsid w:val="008736FC"/>
    <w:rsid w:val="00873775"/>
    <w:rsid w:val="008737F0"/>
    <w:rsid w:val="0087388C"/>
    <w:rsid w:val="00873B4E"/>
    <w:rsid w:val="00873B65"/>
    <w:rsid w:val="00873CDA"/>
    <w:rsid w:val="00873EBB"/>
    <w:rsid w:val="00873F28"/>
    <w:rsid w:val="00873F6F"/>
    <w:rsid w:val="008740AD"/>
    <w:rsid w:val="008740B3"/>
    <w:rsid w:val="008740E9"/>
    <w:rsid w:val="0087421B"/>
    <w:rsid w:val="00874266"/>
    <w:rsid w:val="00874293"/>
    <w:rsid w:val="008742BE"/>
    <w:rsid w:val="0087434D"/>
    <w:rsid w:val="00874458"/>
    <w:rsid w:val="00874A1C"/>
    <w:rsid w:val="00874A36"/>
    <w:rsid w:val="00874BC4"/>
    <w:rsid w:val="00874CFC"/>
    <w:rsid w:val="00874F1B"/>
    <w:rsid w:val="00874F46"/>
    <w:rsid w:val="00874F87"/>
    <w:rsid w:val="008750EE"/>
    <w:rsid w:val="00875142"/>
    <w:rsid w:val="008751CB"/>
    <w:rsid w:val="008752D2"/>
    <w:rsid w:val="008752E9"/>
    <w:rsid w:val="008753A7"/>
    <w:rsid w:val="008753CB"/>
    <w:rsid w:val="008753F3"/>
    <w:rsid w:val="0087548E"/>
    <w:rsid w:val="0087551E"/>
    <w:rsid w:val="0087562F"/>
    <w:rsid w:val="00875652"/>
    <w:rsid w:val="00875678"/>
    <w:rsid w:val="0087567D"/>
    <w:rsid w:val="00875829"/>
    <w:rsid w:val="00875BDA"/>
    <w:rsid w:val="00875D64"/>
    <w:rsid w:val="00875E91"/>
    <w:rsid w:val="00876017"/>
    <w:rsid w:val="00876050"/>
    <w:rsid w:val="00876124"/>
    <w:rsid w:val="008762CD"/>
    <w:rsid w:val="008762E7"/>
    <w:rsid w:val="0087639E"/>
    <w:rsid w:val="0087649C"/>
    <w:rsid w:val="00876579"/>
    <w:rsid w:val="008767E9"/>
    <w:rsid w:val="0087682E"/>
    <w:rsid w:val="00876843"/>
    <w:rsid w:val="008768E9"/>
    <w:rsid w:val="00876A54"/>
    <w:rsid w:val="00876C71"/>
    <w:rsid w:val="00876D63"/>
    <w:rsid w:val="00876F7A"/>
    <w:rsid w:val="00877059"/>
    <w:rsid w:val="00877209"/>
    <w:rsid w:val="008772EC"/>
    <w:rsid w:val="00877447"/>
    <w:rsid w:val="008776D9"/>
    <w:rsid w:val="0087781D"/>
    <w:rsid w:val="0087799A"/>
    <w:rsid w:val="00877B87"/>
    <w:rsid w:val="00877DE5"/>
    <w:rsid w:val="00877E1D"/>
    <w:rsid w:val="00877E83"/>
    <w:rsid w:val="00877F56"/>
    <w:rsid w:val="00880005"/>
    <w:rsid w:val="00880038"/>
    <w:rsid w:val="008800A5"/>
    <w:rsid w:val="00880139"/>
    <w:rsid w:val="008803B1"/>
    <w:rsid w:val="008804CB"/>
    <w:rsid w:val="008804E9"/>
    <w:rsid w:val="00880511"/>
    <w:rsid w:val="008805FF"/>
    <w:rsid w:val="008806C5"/>
    <w:rsid w:val="008806CC"/>
    <w:rsid w:val="008806D0"/>
    <w:rsid w:val="008806D2"/>
    <w:rsid w:val="008809B7"/>
    <w:rsid w:val="008809E4"/>
    <w:rsid w:val="00880B15"/>
    <w:rsid w:val="00880C3C"/>
    <w:rsid w:val="00881016"/>
    <w:rsid w:val="00881065"/>
    <w:rsid w:val="00881349"/>
    <w:rsid w:val="0088134F"/>
    <w:rsid w:val="008813D8"/>
    <w:rsid w:val="0088154E"/>
    <w:rsid w:val="00881550"/>
    <w:rsid w:val="0088163A"/>
    <w:rsid w:val="00881737"/>
    <w:rsid w:val="008818BD"/>
    <w:rsid w:val="008818D3"/>
    <w:rsid w:val="008818E0"/>
    <w:rsid w:val="00881A79"/>
    <w:rsid w:val="00881AB7"/>
    <w:rsid w:val="00881C47"/>
    <w:rsid w:val="00881C80"/>
    <w:rsid w:val="00881CC0"/>
    <w:rsid w:val="00881D0D"/>
    <w:rsid w:val="00881FC2"/>
    <w:rsid w:val="008820CC"/>
    <w:rsid w:val="00882146"/>
    <w:rsid w:val="008821E7"/>
    <w:rsid w:val="00882264"/>
    <w:rsid w:val="008822BC"/>
    <w:rsid w:val="00882401"/>
    <w:rsid w:val="0088257C"/>
    <w:rsid w:val="00882742"/>
    <w:rsid w:val="00882872"/>
    <w:rsid w:val="008828E5"/>
    <w:rsid w:val="0088290D"/>
    <w:rsid w:val="00882A11"/>
    <w:rsid w:val="00882A56"/>
    <w:rsid w:val="00882C1F"/>
    <w:rsid w:val="00882C3B"/>
    <w:rsid w:val="00882C9E"/>
    <w:rsid w:val="00882CDD"/>
    <w:rsid w:val="00882D58"/>
    <w:rsid w:val="00882D9A"/>
    <w:rsid w:val="00882E07"/>
    <w:rsid w:val="00882E12"/>
    <w:rsid w:val="00882E24"/>
    <w:rsid w:val="00882E3E"/>
    <w:rsid w:val="00882E54"/>
    <w:rsid w:val="00882EC5"/>
    <w:rsid w:val="00882EF7"/>
    <w:rsid w:val="00882F06"/>
    <w:rsid w:val="00882F3A"/>
    <w:rsid w:val="0088304E"/>
    <w:rsid w:val="0088306F"/>
    <w:rsid w:val="008830BC"/>
    <w:rsid w:val="008830E3"/>
    <w:rsid w:val="0088311D"/>
    <w:rsid w:val="0088312B"/>
    <w:rsid w:val="008831EB"/>
    <w:rsid w:val="00883217"/>
    <w:rsid w:val="008832D5"/>
    <w:rsid w:val="00883314"/>
    <w:rsid w:val="00883458"/>
    <w:rsid w:val="00883465"/>
    <w:rsid w:val="0088346E"/>
    <w:rsid w:val="0088354A"/>
    <w:rsid w:val="0088367F"/>
    <w:rsid w:val="0088371B"/>
    <w:rsid w:val="00883734"/>
    <w:rsid w:val="008837E6"/>
    <w:rsid w:val="00883A85"/>
    <w:rsid w:val="00883AA8"/>
    <w:rsid w:val="00883B75"/>
    <w:rsid w:val="00883C8E"/>
    <w:rsid w:val="00883CEF"/>
    <w:rsid w:val="00883CFB"/>
    <w:rsid w:val="00883D13"/>
    <w:rsid w:val="00883D4F"/>
    <w:rsid w:val="00883D7D"/>
    <w:rsid w:val="00883E5F"/>
    <w:rsid w:val="00883E65"/>
    <w:rsid w:val="00883ECB"/>
    <w:rsid w:val="00883FEE"/>
    <w:rsid w:val="0088403D"/>
    <w:rsid w:val="0088445C"/>
    <w:rsid w:val="0088449B"/>
    <w:rsid w:val="008844DD"/>
    <w:rsid w:val="00884572"/>
    <w:rsid w:val="008845C2"/>
    <w:rsid w:val="00884616"/>
    <w:rsid w:val="008846B8"/>
    <w:rsid w:val="008846C6"/>
    <w:rsid w:val="0088472D"/>
    <w:rsid w:val="00884935"/>
    <w:rsid w:val="00884A54"/>
    <w:rsid w:val="00884B90"/>
    <w:rsid w:val="00884BD2"/>
    <w:rsid w:val="00884BFF"/>
    <w:rsid w:val="00884C85"/>
    <w:rsid w:val="00884D9D"/>
    <w:rsid w:val="00884DBB"/>
    <w:rsid w:val="00884E13"/>
    <w:rsid w:val="00884E18"/>
    <w:rsid w:val="00884E1C"/>
    <w:rsid w:val="00884E91"/>
    <w:rsid w:val="008851A7"/>
    <w:rsid w:val="00885267"/>
    <w:rsid w:val="00885284"/>
    <w:rsid w:val="00885358"/>
    <w:rsid w:val="00885361"/>
    <w:rsid w:val="008853BF"/>
    <w:rsid w:val="00885416"/>
    <w:rsid w:val="008854DB"/>
    <w:rsid w:val="00885540"/>
    <w:rsid w:val="00885559"/>
    <w:rsid w:val="008855C5"/>
    <w:rsid w:val="00885712"/>
    <w:rsid w:val="0088594C"/>
    <w:rsid w:val="00885972"/>
    <w:rsid w:val="008859BF"/>
    <w:rsid w:val="00885A89"/>
    <w:rsid w:val="00885AD7"/>
    <w:rsid w:val="00885BEF"/>
    <w:rsid w:val="00885C51"/>
    <w:rsid w:val="00885CA0"/>
    <w:rsid w:val="00885CE6"/>
    <w:rsid w:val="00885D22"/>
    <w:rsid w:val="00885DB5"/>
    <w:rsid w:val="00885DD6"/>
    <w:rsid w:val="00885E6B"/>
    <w:rsid w:val="00885ED9"/>
    <w:rsid w:val="0088604D"/>
    <w:rsid w:val="00886050"/>
    <w:rsid w:val="0088616E"/>
    <w:rsid w:val="008861F4"/>
    <w:rsid w:val="00886283"/>
    <w:rsid w:val="008862B9"/>
    <w:rsid w:val="00886440"/>
    <w:rsid w:val="008864AA"/>
    <w:rsid w:val="0088659E"/>
    <w:rsid w:val="008865C0"/>
    <w:rsid w:val="00886763"/>
    <w:rsid w:val="008868F7"/>
    <w:rsid w:val="0088692B"/>
    <w:rsid w:val="00886AB8"/>
    <w:rsid w:val="00886ACC"/>
    <w:rsid w:val="00886CCA"/>
    <w:rsid w:val="00886CDA"/>
    <w:rsid w:val="00886E45"/>
    <w:rsid w:val="00886EB4"/>
    <w:rsid w:val="00886EE5"/>
    <w:rsid w:val="00886F3C"/>
    <w:rsid w:val="00887094"/>
    <w:rsid w:val="0088712B"/>
    <w:rsid w:val="0088740C"/>
    <w:rsid w:val="00887B8E"/>
    <w:rsid w:val="00887BD5"/>
    <w:rsid w:val="00887DA5"/>
    <w:rsid w:val="00887E49"/>
    <w:rsid w:val="00887F80"/>
    <w:rsid w:val="0089007E"/>
    <w:rsid w:val="0089029D"/>
    <w:rsid w:val="008902FD"/>
    <w:rsid w:val="008903CA"/>
    <w:rsid w:val="00890462"/>
    <w:rsid w:val="00890495"/>
    <w:rsid w:val="008904C0"/>
    <w:rsid w:val="0089051D"/>
    <w:rsid w:val="008906FC"/>
    <w:rsid w:val="00890779"/>
    <w:rsid w:val="0089081B"/>
    <w:rsid w:val="00890B0D"/>
    <w:rsid w:val="00890C32"/>
    <w:rsid w:val="00890C52"/>
    <w:rsid w:val="00890FA3"/>
    <w:rsid w:val="008910AA"/>
    <w:rsid w:val="00891146"/>
    <w:rsid w:val="008911D7"/>
    <w:rsid w:val="008912C6"/>
    <w:rsid w:val="00891500"/>
    <w:rsid w:val="008917EE"/>
    <w:rsid w:val="00891998"/>
    <w:rsid w:val="00891AC8"/>
    <w:rsid w:val="00891ACB"/>
    <w:rsid w:val="00891B1F"/>
    <w:rsid w:val="00891B86"/>
    <w:rsid w:val="00891D11"/>
    <w:rsid w:val="00891D1F"/>
    <w:rsid w:val="00891D30"/>
    <w:rsid w:val="00891E98"/>
    <w:rsid w:val="00891E9D"/>
    <w:rsid w:val="00891F3D"/>
    <w:rsid w:val="00892052"/>
    <w:rsid w:val="008922E0"/>
    <w:rsid w:val="008922F1"/>
    <w:rsid w:val="008923C5"/>
    <w:rsid w:val="008924E1"/>
    <w:rsid w:val="00892B29"/>
    <w:rsid w:val="00892C48"/>
    <w:rsid w:val="00892E77"/>
    <w:rsid w:val="00893000"/>
    <w:rsid w:val="00893207"/>
    <w:rsid w:val="0089326B"/>
    <w:rsid w:val="00893293"/>
    <w:rsid w:val="00893298"/>
    <w:rsid w:val="008932BC"/>
    <w:rsid w:val="0089343A"/>
    <w:rsid w:val="008935D1"/>
    <w:rsid w:val="008935F9"/>
    <w:rsid w:val="008936F2"/>
    <w:rsid w:val="0089374A"/>
    <w:rsid w:val="00893A02"/>
    <w:rsid w:val="00893B16"/>
    <w:rsid w:val="00893BC4"/>
    <w:rsid w:val="00893C10"/>
    <w:rsid w:val="00893CD5"/>
    <w:rsid w:val="00893D2A"/>
    <w:rsid w:val="00893D52"/>
    <w:rsid w:val="00893D9B"/>
    <w:rsid w:val="00893DD6"/>
    <w:rsid w:val="00893FCD"/>
    <w:rsid w:val="00894066"/>
    <w:rsid w:val="00894230"/>
    <w:rsid w:val="00894300"/>
    <w:rsid w:val="008943BF"/>
    <w:rsid w:val="0089441F"/>
    <w:rsid w:val="00894531"/>
    <w:rsid w:val="008948AD"/>
    <w:rsid w:val="0089490E"/>
    <w:rsid w:val="00894A66"/>
    <w:rsid w:val="00894A78"/>
    <w:rsid w:val="00894E1D"/>
    <w:rsid w:val="00894FB3"/>
    <w:rsid w:val="00894FD5"/>
    <w:rsid w:val="00895008"/>
    <w:rsid w:val="008950EA"/>
    <w:rsid w:val="0089514C"/>
    <w:rsid w:val="0089535B"/>
    <w:rsid w:val="0089538F"/>
    <w:rsid w:val="008953EF"/>
    <w:rsid w:val="0089544C"/>
    <w:rsid w:val="00895580"/>
    <w:rsid w:val="008955F5"/>
    <w:rsid w:val="008955FB"/>
    <w:rsid w:val="00895678"/>
    <w:rsid w:val="008956A4"/>
    <w:rsid w:val="0089574B"/>
    <w:rsid w:val="00895783"/>
    <w:rsid w:val="00895A4D"/>
    <w:rsid w:val="00895A74"/>
    <w:rsid w:val="00895AF9"/>
    <w:rsid w:val="00895B18"/>
    <w:rsid w:val="00895B33"/>
    <w:rsid w:val="00895B89"/>
    <w:rsid w:val="00895CFC"/>
    <w:rsid w:val="00895D77"/>
    <w:rsid w:val="00895D81"/>
    <w:rsid w:val="00895EDC"/>
    <w:rsid w:val="00895EE0"/>
    <w:rsid w:val="00895F0C"/>
    <w:rsid w:val="00895FDE"/>
    <w:rsid w:val="00896071"/>
    <w:rsid w:val="00896161"/>
    <w:rsid w:val="008961C9"/>
    <w:rsid w:val="008961E0"/>
    <w:rsid w:val="00896203"/>
    <w:rsid w:val="00896321"/>
    <w:rsid w:val="0089640C"/>
    <w:rsid w:val="00896521"/>
    <w:rsid w:val="008966BC"/>
    <w:rsid w:val="0089678A"/>
    <w:rsid w:val="008968E0"/>
    <w:rsid w:val="008968F4"/>
    <w:rsid w:val="008969CF"/>
    <w:rsid w:val="00896A08"/>
    <w:rsid w:val="00896A63"/>
    <w:rsid w:val="00896A65"/>
    <w:rsid w:val="00896B61"/>
    <w:rsid w:val="00896BC2"/>
    <w:rsid w:val="00896C81"/>
    <w:rsid w:val="00896D98"/>
    <w:rsid w:val="00896E68"/>
    <w:rsid w:val="00896EAF"/>
    <w:rsid w:val="00896F1F"/>
    <w:rsid w:val="00896F9E"/>
    <w:rsid w:val="00897060"/>
    <w:rsid w:val="008970A8"/>
    <w:rsid w:val="0089726E"/>
    <w:rsid w:val="00897296"/>
    <w:rsid w:val="00897318"/>
    <w:rsid w:val="0089748E"/>
    <w:rsid w:val="00897492"/>
    <w:rsid w:val="008975A2"/>
    <w:rsid w:val="0089764A"/>
    <w:rsid w:val="00897671"/>
    <w:rsid w:val="008976F0"/>
    <w:rsid w:val="00897774"/>
    <w:rsid w:val="0089777A"/>
    <w:rsid w:val="00897810"/>
    <w:rsid w:val="0089783E"/>
    <w:rsid w:val="00897917"/>
    <w:rsid w:val="0089795A"/>
    <w:rsid w:val="00897997"/>
    <w:rsid w:val="00897A2F"/>
    <w:rsid w:val="00897D2F"/>
    <w:rsid w:val="00897DB6"/>
    <w:rsid w:val="008A0010"/>
    <w:rsid w:val="008A006A"/>
    <w:rsid w:val="008A00AB"/>
    <w:rsid w:val="008A00BF"/>
    <w:rsid w:val="008A010A"/>
    <w:rsid w:val="008A013E"/>
    <w:rsid w:val="008A0263"/>
    <w:rsid w:val="008A03B4"/>
    <w:rsid w:val="008A0536"/>
    <w:rsid w:val="008A05F9"/>
    <w:rsid w:val="008A06A9"/>
    <w:rsid w:val="008A06B4"/>
    <w:rsid w:val="008A0735"/>
    <w:rsid w:val="008A086D"/>
    <w:rsid w:val="008A098E"/>
    <w:rsid w:val="008A0AE0"/>
    <w:rsid w:val="008A0CC2"/>
    <w:rsid w:val="008A0E09"/>
    <w:rsid w:val="008A0F4A"/>
    <w:rsid w:val="008A0FF1"/>
    <w:rsid w:val="008A109D"/>
    <w:rsid w:val="008A10E6"/>
    <w:rsid w:val="008A1119"/>
    <w:rsid w:val="008A1394"/>
    <w:rsid w:val="008A150F"/>
    <w:rsid w:val="008A151F"/>
    <w:rsid w:val="008A1560"/>
    <w:rsid w:val="008A15B8"/>
    <w:rsid w:val="008A164A"/>
    <w:rsid w:val="008A1837"/>
    <w:rsid w:val="008A18EC"/>
    <w:rsid w:val="008A18EF"/>
    <w:rsid w:val="008A1A5F"/>
    <w:rsid w:val="008A1C2B"/>
    <w:rsid w:val="008A1D6C"/>
    <w:rsid w:val="008A1DCF"/>
    <w:rsid w:val="008A1DFF"/>
    <w:rsid w:val="008A1E00"/>
    <w:rsid w:val="008A1F03"/>
    <w:rsid w:val="008A1F05"/>
    <w:rsid w:val="008A20D8"/>
    <w:rsid w:val="008A22D7"/>
    <w:rsid w:val="008A25BA"/>
    <w:rsid w:val="008A269A"/>
    <w:rsid w:val="008A2A90"/>
    <w:rsid w:val="008A2AE6"/>
    <w:rsid w:val="008A2AF2"/>
    <w:rsid w:val="008A2B9C"/>
    <w:rsid w:val="008A2CE1"/>
    <w:rsid w:val="008A2D78"/>
    <w:rsid w:val="008A2D87"/>
    <w:rsid w:val="008A2DC3"/>
    <w:rsid w:val="008A2E7A"/>
    <w:rsid w:val="008A2ECB"/>
    <w:rsid w:val="008A2F35"/>
    <w:rsid w:val="008A30A6"/>
    <w:rsid w:val="008A310B"/>
    <w:rsid w:val="008A3118"/>
    <w:rsid w:val="008A3261"/>
    <w:rsid w:val="008A3343"/>
    <w:rsid w:val="008A33C0"/>
    <w:rsid w:val="008A3402"/>
    <w:rsid w:val="008A3419"/>
    <w:rsid w:val="008A341A"/>
    <w:rsid w:val="008A3477"/>
    <w:rsid w:val="008A3576"/>
    <w:rsid w:val="008A3616"/>
    <w:rsid w:val="008A361E"/>
    <w:rsid w:val="008A3626"/>
    <w:rsid w:val="008A3646"/>
    <w:rsid w:val="008A38D5"/>
    <w:rsid w:val="008A3905"/>
    <w:rsid w:val="008A3BBD"/>
    <w:rsid w:val="008A3BDC"/>
    <w:rsid w:val="008A3CC2"/>
    <w:rsid w:val="008A3D20"/>
    <w:rsid w:val="008A3D3F"/>
    <w:rsid w:val="008A3DC5"/>
    <w:rsid w:val="008A3F2C"/>
    <w:rsid w:val="008A404A"/>
    <w:rsid w:val="008A4093"/>
    <w:rsid w:val="008A40BF"/>
    <w:rsid w:val="008A4119"/>
    <w:rsid w:val="008A4122"/>
    <w:rsid w:val="008A4322"/>
    <w:rsid w:val="008A442C"/>
    <w:rsid w:val="008A45AD"/>
    <w:rsid w:val="008A4627"/>
    <w:rsid w:val="008A473B"/>
    <w:rsid w:val="008A47AF"/>
    <w:rsid w:val="008A4890"/>
    <w:rsid w:val="008A49AB"/>
    <w:rsid w:val="008A4A30"/>
    <w:rsid w:val="008A4A69"/>
    <w:rsid w:val="008A4B59"/>
    <w:rsid w:val="008A4DB4"/>
    <w:rsid w:val="008A4E12"/>
    <w:rsid w:val="008A4FB2"/>
    <w:rsid w:val="008A4FE4"/>
    <w:rsid w:val="008A5008"/>
    <w:rsid w:val="008A50B1"/>
    <w:rsid w:val="008A50C8"/>
    <w:rsid w:val="008A52C4"/>
    <w:rsid w:val="008A52EA"/>
    <w:rsid w:val="008A5389"/>
    <w:rsid w:val="008A5555"/>
    <w:rsid w:val="008A5605"/>
    <w:rsid w:val="008A567A"/>
    <w:rsid w:val="008A568A"/>
    <w:rsid w:val="008A5767"/>
    <w:rsid w:val="008A57AF"/>
    <w:rsid w:val="008A5822"/>
    <w:rsid w:val="008A583D"/>
    <w:rsid w:val="008A5864"/>
    <w:rsid w:val="008A58EF"/>
    <w:rsid w:val="008A5A1B"/>
    <w:rsid w:val="008A5AF9"/>
    <w:rsid w:val="008A5B20"/>
    <w:rsid w:val="008A5B4B"/>
    <w:rsid w:val="008A5BD5"/>
    <w:rsid w:val="008A5CCF"/>
    <w:rsid w:val="008A5CD6"/>
    <w:rsid w:val="008A5E85"/>
    <w:rsid w:val="008A5EB1"/>
    <w:rsid w:val="008A5F7C"/>
    <w:rsid w:val="008A5F92"/>
    <w:rsid w:val="008A5FE1"/>
    <w:rsid w:val="008A607E"/>
    <w:rsid w:val="008A6175"/>
    <w:rsid w:val="008A6198"/>
    <w:rsid w:val="008A61C8"/>
    <w:rsid w:val="008A6239"/>
    <w:rsid w:val="008A6278"/>
    <w:rsid w:val="008A62A3"/>
    <w:rsid w:val="008A62BA"/>
    <w:rsid w:val="008A63E9"/>
    <w:rsid w:val="008A651A"/>
    <w:rsid w:val="008A6629"/>
    <w:rsid w:val="008A670A"/>
    <w:rsid w:val="008A677B"/>
    <w:rsid w:val="008A67B5"/>
    <w:rsid w:val="008A6890"/>
    <w:rsid w:val="008A68AF"/>
    <w:rsid w:val="008A6969"/>
    <w:rsid w:val="008A6A14"/>
    <w:rsid w:val="008A6A6E"/>
    <w:rsid w:val="008A6AC3"/>
    <w:rsid w:val="008A6AEE"/>
    <w:rsid w:val="008A6C85"/>
    <w:rsid w:val="008A6CBB"/>
    <w:rsid w:val="008A6E7F"/>
    <w:rsid w:val="008A6EBB"/>
    <w:rsid w:val="008A6FCE"/>
    <w:rsid w:val="008A6FF2"/>
    <w:rsid w:val="008A71A4"/>
    <w:rsid w:val="008A7246"/>
    <w:rsid w:val="008A726B"/>
    <w:rsid w:val="008A7551"/>
    <w:rsid w:val="008A7666"/>
    <w:rsid w:val="008A76B4"/>
    <w:rsid w:val="008A7837"/>
    <w:rsid w:val="008A791A"/>
    <w:rsid w:val="008A7A19"/>
    <w:rsid w:val="008A7AC0"/>
    <w:rsid w:val="008A7DCF"/>
    <w:rsid w:val="008A7E85"/>
    <w:rsid w:val="008A7F15"/>
    <w:rsid w:val="008A7F58"/>
    <w:rsid w:val="008A7FBB"/>
    <w:rsid w:val="008B0054"/>
    <w:rsid w:val="008B024F"/>
    <w:rsid w:val="008B03B3"/>
    <w:rsid w:val="008B0679"/>
    <w:rsid w:val="008B06E1"/>
    <w:rsid w:val="008B0741"/>
    <w:rsid w:val="008B09AF"/>
    <w:rsid w:val="008B09FB"/>
    <w:rsid w:val="008B0A7F"/>
    <w:rsid w:val="008B0BAB"/>
    <w:rsid w:val="008B0C02"/>
    <w:rsid w:val="008B0C37"/>
    <w:rsid w:val="008B0C98"/>
    <w:rsid w:val="008B0EAF"/>
    <w:rsid w:val="008B113C"/>
    <w:rsid w:val="008B114A"/>
    <w:rsid w:val="008B115B"/>
    <w:rsid w:val="008B11C1"/>
    <w:rsid w:val="008B11FA"/>
    <w:rsid w:val="008B126E"/>
    <w:rsid w:val="008B128C"/>
    <w:rsid w:val="008B13AA"/>
    <w:rsid w:val="008B1445"/>
    <w:rsid w:val="008B1592"/>
    <w:rsid w:val="008B163A"/>
    <w:rsid w:val="008B17D3"/>
    <w:rsid w:val="008B18E3"/>
    <w:rsid w:val="008B1911"/>
    <w:rsid w:val="008B1BEE"/>
    <w:rsid w:val="008B1C2B"/>
    <w:rsid w:val="008B1E08"/>
    <w:rsid w:val="008B1E27"/>
    <w:rsid w:val="008B1E58"/>
    <w:rsid w:val="008B1EBF"/>
    <w:rsid w:val="008B202C"/>
    <w:rsid w:val="008B20DD"/>
    <w:rsid w:val="008B21DF"/>
    <w:rsid w:val="008B2203"/>
    <w:rsid w:val="008B22CE"/>
    <w:rsid w:val="008B231E"/>
    <w:rsid w:val="008B2406"/>
    <w:rsid w:val="008B258B"/>
    <w:rsid w:val="008B2602"/>
    <w:rsid w:val="008B267B"/>
    <w:rsid w:val="008B26B0"/>
    <w:rsid w:val="008B279C"/>
    <w:rsid w:val="008B27B2"/>
    <w:rsid w:val="008B27F5"/>
    <w:rsid w:val="008B28DF"/>
    <w:rsid w:val="008B2935"/>
    <w:rsid w:val="008B29C5"/>
    <w:rsid w:val="008B2AAB"/>
    <w:rsid w:val="008B2B29"/>
    <w:rsid w:val="008B2CBB"/>
    <w:rsid w:val="008B2D13"/>
    <w:rsid w:val="008B2D7C"/>
    <w:rsid w:val="008B2E48"/>
    <w:rsid w:val="008B2E4B"/>
    <w:rsid w:val="008B2EC4"/>
    <w:rsid w:val="008B2F01"/>
    <w:rsid w:val="008B2F0D"/>
    <w:rsid w:val="008B3115"/>
    <w:rsid w:val="008B3262"/>
    <w:rsid w:val="008B3280"/>
    <w:rsid w:val="008B33D1"/>
    <w:rsid w:val="008B33D2"/>
    <w:rsid w:val="008B3505"/>
    <w:rsid w:val="008B3508"/>
    <w:rsid w:val="008B3704"/>
    <w:rsid w:val="008B3741"/>
    <w:rsid w:val="008B377B"/>
    <w:rsid w:val="008B37D8"/>
    <w:rsid w:val="008B3826"/>
    <w:rsid w:val="008B38CC"/>
    <w:rsid w:val="008B38DB"/>
    <w:rsid w:val="008B3997"/>
    <w:rsid w:val="008B3A92"/>
    <w:rsid w:val="008B3AF3"/>
    <w:rsid w:val="008B3AFA"/>
    <w:rsid w:val="008B3C6C"/>
    <w:rsid w:val="008B3C7A"/>
    <w:rsid w:val="008B3ED9"/>
    <w:rsid w:val="008B3F41"/>
    <w:rsid w:val="008B40AF"/>
    <w:rsid w:val="008B40B3"/>
    <w:rsid w:val="008B4126"/>
    <w:rsid w:val="008B4149"/>
    <w:rsid w:val="008B417C"/>
    <w:rsid w:val="008B4200"/>
    <w:rsid w:val="008B4236"/>
    <w:rsid w:val="008B42C6"/>
    <w:rsid w:val="008B43F8"/>
    <w:rsid w:val="008B4406"/>
    <w:rsid w:val="008B44C3"/>
    <w:rsid w:val="008B454C"/>
    <w:rsid w:val="008B45B6"/>
    <w:rsid w:val="008B4654"/>
    <w:rsid w:val="008B465E"/>
    <w:rsid w:val="008B4665"/>
    <w:rsid w:val="008B46FD"/>
    <w:rsid w:val="008B47EE"/>
    <w:rsid w:val="008B4848"/>
    <w:rsid w:val="008B4886"/>
    <w:rsid w:val="008B488D"/>
    <w:rsid w:val="008B49DD"/>
    <w:rsid w:val="008B4B0D"/>
    <w:rsid w:val="008B4B61"/>
    <w:rsid w:val="008B4BBA"/>
    <w:rsid w:val="008B4C8C"/>
    <w:rsid w:val="008B4D03"/>
    <w:rsid w:val="008B4DFD"/>
    <w:rsid w:val="008B4EEF"/>
    <w:rsid w:val="008B4F96"/>
    <w:rsid w:val="008B5029"/>
    <w:rsid w:val="008B50E6"/>
    <w:rsid w:val="008B527F"/>
    <w:rsid w:val="008B532E"/>
    <w:rsid w:val="008B53FB"/>
    <w:rsid w:val="008B5458"/>
    <w:rsid w:val="008B5474"/>
    <w:rsid w:val="008B55CB"/>
    <w:rsid w:val="008B56EA"/>
    <w:rsid w:val="008B57AF"/>
    <w:rsid w:val="008B5819"/>
    <w:rsid w:val="008B5860"/>
    <w:rsid w:val="008B588A"/>
    <w:rsid w:val="008B59A6"/>
    <w:rsid w:val="008B5A51"/>
    <w:rsid w:val="008B5B78"/>
    <w:rsid w:val="008B5C22"/>
    <w:rsid w:val="008B5C58"/>
    <w:rsid w:val="008B5C78"/>
    <w:rsid w:val="008B5CBF"/>
    <w:rsid w:val="008B5D94"/>
    <w:rsid w:val="008B5E2C"/>
    <w:rsid w:val="008B5EBA"/>
    <w:rsid w:val="008B5EC5"/>
    <w:rsid w:val="008B5F3D"/>
    <w:rsid w:val="008B5F6E"/>
    <w:rsid w:val="008B5F7C"/>
    <w:rsid w:val="008B6041"/>
    <w:rsid w:val="008B606D"/>
    <w:rsid w:val="008B6368"/>
    <w:rsid w:val="008B638C"/>
    <w:rsid w:val="008B63B1"/>
    <w:rsid w:val="008B64C0"/>
    <w:rsid w:val="008B64D8"/>
    <w:rsid w:val="008B64FC"/>
    <w:rsid w:val="008B6728"/>
    <w:rsid w:val="008B682B"/>
    <w:rsid w:val="008B6896"/>
    <w:rsid w:val="008B6AF9"/>
    <w:rsid w:val="008B6BB5"/>
    <w:rsid w:val="008B6C09"/>
    <w:rsid w:val="008B6CC2"/>
    <w:rsid w:val="008B6DF5"/>
    <w:rsid w:val="008B7045"/>
    <w:rsid w:val="008B7483"/>
    <w:rsid w:val="008B74EC"/>
    <w:rsid w:val="008B756D"/>
    <w:rsid w:val="008B759E"/>
    <w:rsid w:val="008B7613"/>
    <w:rsid w:val="008B7631"/>
    <w:rsid w:val="008B76E5"/>
    <w:rsid w:val="008B7754"/>
    <w:rsid w:val="008B78ED"/>
    <w:rsid w:val="008B7958"/>
    <w:rsid w:val="008B7A0E"/>
    <w:rsid w:val="008B7ADD"/>
    <w:rsid w:val="008B7C71"/>
    <w:rsid w:val="008C00D3"/>
    <w:rsid w:val="008C019C"/>
    <w:rsid w:val="008C0312"/>
    <w:rsid w:val="008C07A4"/>
    <w:rsid w:val="008C07B9"/>
    <w:rsid w:val="008C0879"/>
    <w:rsid w:val="008C0894"/>
    <w:rsid w:val="008C08A9"/>
    <w:rsid w:val="008C098F"/>
    <w:rsid w:val="008C09CC"/>
    <w:rsid w:val="008C09EF"/>
    <w:rsid w:val="008C0A90"/>
    <w:rsid w:val="008C0AE9"/>
    <w:rsid w:val="008C0B06"/>
    <w:rsid w:val="008C0BA9"/>
    <w:rsid w:val="008C0DEB"/>
    <w:rsid w:val="008C0E2E"/>
    <w:rsid w:val="008C1149"/>
    <w:rsid w:val="008C11AA"/>
    <w:rsid w:val="008C1402"/>
    <w:rsid w:val="008C15E5"/>
    <w:rsid w:val="008C163E"/>
    <w:rsid w:val="008C17E2"/>
    <w:rsid w:val="008C1841"/>
    <w:rsid w:val="008C19B5"/>
    <w:rsid w:val="008C1A97"/>
    <w:rsid w:val="008C1B4D"/>
    <w:rsid w:val="008C1CB8"/>
    <w:rsid w:val="008C1CD5"/>
    <w:rsid w:val="008C1D74"/>
    <w:rsid w:val="008C1F0D"/>
    <w:rsid w:val="008C1F12"/>
    <w:rsid w:val="008C1F74"/>
    <w:rsid w:val="008C1F7D"/>
    <w:rsid w:val="008C21B6"/>
    <w:rsid w:val="008C21C0"/>
    <w:rsid w:val="008C2218"/>
    <w:rsid w:val="008C226C"/>
    <w:rsid w:val="008C22F3"/>
    <w:rsid w:val="008C24A2"/>
    <w:rsid w:val="008C24A5"/>
    <w:rsid w:val="008C2548"/>
    <w:rsid w:val="008C25F8"/>
    <w:rsid w:val="008C2664"/>
    <w:rsid w:val="008C26B0"/>
    <w:rsid w:val="008C2856"/>
    <w:rsid w:val="008C28AE"/>
    <w:rsid w:val="008C28EB"/>
    <w:rsid w:val="008C2964"/>
    <w:rsid w:val="008C2A3A"/>
    <w:rsid w:val="008C2AE0"/>
    <w:rsid w:val="008C2B75"/>
    <w:rsid w:val="008C2BC1"/>
    <w:rsid w:val="008C2CA7"/>
    <w:rsid w:val="008C2D76"/>
    <w:rsid w:val="008C2E6D"/>
    <w:rsid w:val="008C2F62"/>
    <w:rsid w:val="008C30EA"/>
    <w:rsid w:val="008C3118"/>
    <w:rsid w:val="008C314A"/>
    <w:rsid w:val="008C31B3"/>
    <w:rsid w:val="008C323F"/>
    <w:rsid w:val="008C3269"/>
    <w:rsid w:val="008C329B"/>
    <w:rsid w:val="008C330C"/>
    <w:rsid w:val="008C3323"/>
    <w:rsid w:val="008C3365"/>
    <w:rsid w:val="008C346B"/>
    <w:rsid w:val="008C34A0"/>
    <w:rsid w:val="008C34EE"/>
    <w:rsid w:val="008C3593"/>
    <w:rsid w:val="008C35FF"/>
    <w:rsid w:val="008C37A5"/>
    <w:rsid w:val="008C3896"/>
    <w:rsid w:val="008C3D4E"/>
    <w:rsid w:val="008C3DD2"/>
    <w:rsid w:val="008C3DE7"/>
    <w:rsid w:val="008C3E14"/>
    <w:rsid w:val="008C3E7B"/>
    <w:rsid w:val="008C3FA1"/>
    <w:rsid w:val="008C3FE5"/>
    <w:rsid w:val="008C40A4"/>
    <w:rsid w:val="008C42BE"/>
    <w:rsid w:val="008C447C"/>
    <w:rsid w:val="008C454D"/>
    <w:rsid w:val="008C456B"/>
    <w:rsid w:val="008C45C6"/>
    <w:rsid w:val="008C45C7"/>
    <w:rsid w:val="008C4807"/>
    <w:rsid w:val="008C4886"/>
    <w:rsid w:val="008C490C"/>
    <w:rsid w:val="008C4A6A"/>
    <w:rsid w:val="008C4A95"/>
    <w:rsid w:val="008C4AFA"/>
    <w:rsid w:val="008C4C57"/>
    <w:rsid w:val="008C4CE8"/>
    <w:rsid w:val="008C4D0F"/>
    <w:rsid w:val="008C4E76"/>
    <w:rsid w:val="008C4F5E"/>
    <w:rsid w:val="008C50BD"/>
    <w:rsid w:val="008C522B"/>
    <w:rsid w:val="008C5256"/>
    <w:rsid w:val="008C533E"/>
    <w:rsid w:val="008C5395"/>
    <w:rsid w:val="008C5607"/>
    <w:rsid w:val="008C565E"/>
    <w:rsid w:val="008C58C4"/>
    <w:rsid w:val="008C591D"/>
    <w:rsid w:val="008C5964"/>
    <w:rsid w:val="008C5A61"/>
    <w:rsid w:val="008C5B0F"/>
    <w:rsid w:val="008C5BCD"/>
    <w:rsid w:val="008C5C93"/>
    <w:rsid w:val="008C5C9E"/>
    <w:rsid w:val="008C5CF0"/>
    <w:rsid w:val="008C5D12"/>
    <w:rsid w:val="008C5FAB"/>
    <w:rsid w:val="008C6113"/>
    <w:rsid w:val="008C6231"/>
    <w:rsid w:val="008C62AA"/>
    <w:rsid w:val="008C6375"/>
    <w:rsid w:val="008C6386"/>
    <w:rsid w:val="008C63F2"/>
    <w:rsid w:val="008C6873"/>
    <w:rsid w:val="008C698C"/>
    <w:rsid w:val="008C69A6"/>
    <w:rsid w:val="008C6A0D"/>
    <w:rsid w:val="008C6A75"/>
    <w:rsid w:val="008C6ACF"/>
    <w:rsid w:val="008C6AD9"/>
    <w:rsid w:val="008C6B62"/>
    <w:rsid w:val="008C6BE3"/>
    <w:rsid w:val="008C6CA2"/>
    <w:rsid w:val="008C6D46"/>
    <w:rsid w:val="008C6D9E"/>
    <w:rsid w:val="008C6EA3"/>
    <w:rsid w:val="008C6F86"/>
    <w:rsid w:val="008C710C"/>
    <w:rsid w:val="008C725D"/>
    <w:rsid w:val="008C743B"/>
    <w:rsid w:val="008C743C"/>
    <w:rsid w:val="008C74A7"/>
    <w:rsid w:val="008C755C"/>
    <w:rsid w:val="008C75A2"/>
    <w:rsid w:val="008C7627"/>
    <w:rsid w:val="008C7692"/>
    <w:rsid w:val="008C772D"/>
    <w:rsid w:val="008C7791"/>
    <w:rsid w:val="008C780A"/>
    <w:rsid w:val="008C7813"/>
    <w:rsid w:val="008C7901"/>
    <w:rsid w:val="008C799B"/>
    <w:rsid w:val="008C7AA4"/>
    <w:rsid w:val="008C7AAC"/>
    <w:rsid w:val="008C7B15"/>
    <w:rsid w:val="008C7B32"/>
    <w:rsid w:val="008C7B8F"/>
    <w:rsid w:val="008C7C6E"/>
    <w:rsid w:val="008C7CF0"/>
    <w:rsid w:val="008C7DBE"/>
    <w:rsid w:val="008C7E2F"/>
    <w:rsid w:val="008C7F13"/>
    <w:rsid w:val="008C7F14"/>
    <w:rsid w:val="008C7F23"/>
    <w:rsid w:val="008C7F81"/>
    <w:rsid w:val="008D0087"/>
    <w:rsid w:val="008D0167"/>
    <w:rsid w:val="008D01B1"/>
    <w:rsid w:val="008D0336"/>
    <w:rsid w:val="008D03B4"/>
    <w:rsid w:val="008D04E4"/>
    <w:rsid w:val="008D0532"/>
    <w:rsid w:val="008D056C"/>
    <w:rsid w:val="008D0663"/>
    <w:rsid w:val="008D0671"/>
    <w:rsid w:val="008D06AD"/>
    <w:rsid w:val="008D08A2"/>
    <w:rsid w:val="008D0909"/>
    <w:rsid w:val="008D0968"/>
    <w:rsid w:val="008D0A27"/>
    <w:rsid w:val="008D0BF0"/>
    <w:rsid w:val="008D0DA4"/>
    <w:rsid w:val="008D0E88"/>
    <w:rsid w:val="008D0E97"/>
    <w:rsid w:val="008D0ED4"/>
    <w:rsid w:val="008D0F95"/>
    <w:rsid w:val="008D0FDC"/>
    <w:rsid w:val="008D11A1"/>
    <w:rsid w:val="008D12D6"/>
    <w:rsid w:val="008D12ED"/>
    <w:rsid w:val="008D1325"/>
    <w:rsid w:val="008D1346"/>
    <w:rsid w:val="008D13B5"/>
    <w:rsid w:val="008D14AF"/>
    <w:rsid w:val="008D1567"/>
    <w:rsid w:val="008D1610"/>
    <w:rsid w:val="008D162E"/>
    <w:rsid w:val="008D1740"/>
    <w:rsid w:val="008D1791"/>
    <w:rsid w:val="008D1903"/>
    <w:rsid w:val="008D19C6"/>
    <w:rsid w:val="008D19E5"/>
    <w:rsid w:val="008D1A1B"/>
    <w:rsid w:val="008D1A6C"/>
    <w:rsid w:val="008D1BD6"/>
    <w:rsid w:val="008D1CFB"/>
    <w:rsid w:val="008D1D06"/>
    <w:rsid w:val="008D1D22"/>
    <w:rsid w:val="008D1D29"/>
    <w:rsid w:val="008D1F0E"/>
    <w:rsid w:val="008D1F77"/>
    <w:rsid w:val="008D1F7D"/>
    <w:rsid w:val="008D200D"/>
    <w:rsid w:val="008D20CF"/>
    <w:rsid w:val="008D2181"/>
    <w:rsid w:val="008D22FB"/>
    <w:rsid w:val="008D23C6"/>
    <w:rsid w:val="008D25AF"/>
    <w:rsid w:val="008D264E"/>
    <w:rsid w:val="008D279E"/>
    <w:rsid w:val="008D2ACB"/>
    <w:rsid w:val="008D2B12"/>
    <w:rsid w:val="008D2B49"/>
    <w:rsid w:val="008D2B7B"/>
    <w:rsid w:val="008D2F79"/>
    <w:rsid w:val="008D303F"/>
    <w:rsid w:val="008D3120"/>
    <w:rsid w:val="008D3302"/>
    <w:rsid w:val="008D34C0"/>
    <w:rsid w:val="008D36C9"/>
    <w:rsid w:val="008D36D2"/>
    <w:rsid w:val="008D3757"/>
    <w:rsid w:val="008D3853"/>
    <w:rsid w:val="008D39C1"/>
    <w:rsid w:val="008D3A6E"/>
    <w:rsid w:val="008D3AB3"/>
    <w:rsid w:val="008D3C85"/>
    <w:rsid w:val="008D3D9C"/>
    <w:rsid w:val="008D3E1C"/>
    <w:rsid w:val="008D3F1B"/>
    <w:rsid w:val="008D3F8F"/>
    <w:rsid w:val="008D3F92"/>
    <w:rsid w:val="008D3FFC"/>
    <w:rsid w:val="008D409D"/>
    <w:rsid w:val="008D43CD"/>
    <w:rsid w:val="008D4491"/>
    <w:rsid w:val="008D449C"/>
    <w:rsid w:val="008D4544"/>
    <w:rsid w:val="008D460B"/>
    <w:rsid w:val="008D47F8"/>
    <w:rsid w:val="008D486D"/>
    <w:rsid w:val="008D4996"/>
    <w:rsid w:val="008D49C4"/>
    <w:rsid w:val="008D4A07"/>
    <w:rsid w:val="008D4B91"/>
    <w:rsid w:val="008D4C33"/>
    <w:rsid w:val="008D4C8A"/>
    <w:rsid w:val="008D4D2B"/>
    <w:rsid w:val="008D4D3A"/>
    <w:rsid w:val="008D4F96"/>
    <w:rsid w:val="008D50F5"/>
    <w:rsid w:val="008D52C3"/>
    <w:rsid w:val="008D52E4"/>
    <w:rsid w:val="008D52E7"/>
    <w:rsid w:val="008D5552"/>
    <w:rsid w:val="008D55C1"/>
    <w:rsid w:val="008D577A"/>
    <w:rsid w:val="008D5A34"/>
    <w:rsid w:val="008D5A76"/>
    <w:rsid w:val="008D5A89"/>
    <w:rsid w:val="008D5BAB"/>
    <w:rsid w:val="008D5BD2"/>
    <w:rsid w:val="008D5BEB"/>
    <w:rsid w:val="008D5C5D"/>
    <w:rsid w:val="008D5CB6"/>
    <w:rsid w:val="008D5DC4"/>
    <w:rsid w:val="008D5DEC"/>
    <w:rsid w:val="008D5E4D"/>
    <w:rsid w:val="008D5EC1"/>
    <w:rsid w:val="008D5F09"/>
    <w:rsid w:val="008D6033"/>
    <w:rsid w:val="008D606A"/>
    <w:rsid w:val="008D617F"/>
    <w:rsid w:val="008D628B"/>
    <w:rsid w:val="008D6318"/>
    <w:rsid w:val="008D6354"/>
    <w:rsid w:val="008D63AB"/>
    <w:rsid w:val="008D63B8"/>
    <w:rsid w:val="008D6408"/>
    <w:rsid w:val="008D6473"/>
    <w:rsid w:val="008D6573"/>
    <w:rsid w:val="008D659D"/>
    <w:rsid w:val="008D65E1"/>
    <w:rsid w:val="008D65FD"/>
    <w:rsid w:val="008D66A4"/>
    <w:rsid w:val="008D67E2"/>
    <w:rsid w:val="008D6D72"/>
    <w:rsid w:val="008D6F66"/>
    <w:rsid w:val="008D6F82"/>
    <w:rsid w:val="008D6FC5"/>
    <w:rsid w:val="008D7050"/>
    <w:rsid w:val="008D70C9"/>
    <w:rsid w:val="008D70E3"/>
    <w:rsid w:val="008D7125"/>
    <w:rsid w:val="008D72A2"/>
    <w:rsid w:val="008D757B"/>
    <w:rsid w:val="008D795E"/>
    <w:rsid w:val="008D79AF"/>
    <w:rsid w:val="008D7AE7"/>
    <w:rsid w:val="008D7BF2"/>
    <w:rsid w:val="008D7C1C"/>
    <w:rsid w:val="008D7D60"/>
    <w:rsid w:val="008D7E02"/>
    <w:rsid w:val="008D7E20"/>
    <w:rsid w:val="008D7F60"/>
    <w:rsid w:val="008D7FBF"/>
    <w:rsid w:val="008E004C"/>
    <w:rsid w:val="008E0186"/>
    <w:rsid w:val="008E030C"/>
    <w:rsid w:val="008E044B"/>
    <w:rsid w:val="008E04AF"/>
    <w:rsid w:val="008E0568"/>
    <w:rsid w:val="008E05EC"/>
    <w:rsid w:val="008E0642"/>
    <w:rsid w:val="008E06A0"/>
    <w:rsid w:val="008E070B"/>
    <w:rsid w:val="008E0780"/>
    <w:rsid w:val="008E07CF"/>
    <w:rsid w:val="008E085B"/>
    <w:rsid w:val="008E090E"/>
    <w:rsid w:val="008E0C1B"/>
    <w:rsid w:val="008E0D70"/>
    <w:rsid w:val="008E0EC6"/>
    <w:rsid w:val="008E0F2F"/>
    <w:rsid w:val="008E0FB1"/>
    <w:rsid w:val="008E0FD0"/>
    <w:rsid w:val="008E0FD9"/>
    <w:rsid w:val="008E10BF"/>
    <w:rsid w:val="008E10CB"/>
    <w:rsid w:val="008E11F1"/>
    <w:rsid w:val="008E11F5"/>
    <w:rsid w:val="008E1363"/>
    <w:rsid w:val="008E138D"/>
    <w:rsid w:val="008E13CB"/>
    <w:rsid w:val="008E148E"/>
    <w:rsid w:val="008E14FB"/>
    <w:rsid w:val="008E1522"/>
    <w:rsid w:val="008E1551"/>
    <w:rsid w:val="008E158E"/>
    <w:rsid w:val="008E15F6"/>
    <w:rsid w:val="008E1671"/>
    <w:rsid w:val="008E16E8"/>
    <w:rsid w:val="008E17EC"/>
    <w:rsid w:val="008E18C4"/>
    <w:rsid w:val="008E1A46"/>
    <w:rsid w:val="008E1BF7"/>
    <w:rsid w:val="008E1C50"/>
    <w:rsid w:val="008E1DB9"/>
    <w:rsid w:val="008E1F6F"/>
    <w:rsid w:val="008E1F79"/>
    <w:rsid w:val="008E2271"/>
    <w:rsid w:val="008E2345"/>
    <w:rsid w:val="008E24AF"/>
    <w:rsid w:val="008E24E8"/>
    <w:rsid w:val="008E262C"/>
    <w:rsid w:val="008E2670"/>
    <w:rsid w:val="008E270B"/>
    <w:rsid w:val="008E2719"/>
    <w:rsid w:val="008E284F"/>
    <w:rsid w:val="008E2879"/>
    <w:rsid w:val="008E2887"/>
    <w:rsid w:val="008E28A0"/>
    <w:rsid w:val="008E28A8"/>
    <w:rsid w:val="008E2A66"/>
    <w:rsid w:val="008E2C5B"/>
    <w:rsid w:val="008E2CC5"/>
    <w:rsid w:val="008E2D5B"/>
    <w:rsid w:val="008E2DE7"/>
    <w:rsid w:val="008E2E8C"/>
    <w:rsid w:val="008E31B0"/>
    <w:rsid w:val="008E323A"/>
    <w:rsid w:val="008E32B5"/>
    <w:rsid w:val="008E3393"/>
    <w:rsid w:val="008E36AC"/>
    <w:rsid w:val="008E370B"/>
    <w:rsid w:val="008E3738"/>
    <w:rsid w:val="008E3775"/>
    <w:rsid w:val="008E378A"/>
    <w:rsid w:val="008E378F"/>
    <w:rsid w:val="008E382C"/>
    <w:rsid w:val="008E3A9A"/>
    <w:rsid w:val="008E3B54"/>
    <w:rsid w:val="008E3C05"/>
    <w:rsid w:val="008E3C21"/>
    <w:rsid w:val="008E3C27"/>
    <w:rsid w:val="008E3E26"/>
    <w:rsid w:val="008E3EB4"/>
    <w:rsid w:val="008E3EC2"/>
    <w:rsid w:val="008E3F7E"/>
    <w:rsid w:val="008E4037"/>
    <w:rsid w:val="008E412B"/>
    <w:rsid w:val="008E4174"/>
    <w:rsid w:val="008E417A"/>
    <w:rsid w:val="008E41E4"/>
    <w:rsid w:val="008E4246"/>
    <w:rsid w:val="008E42B4"/>
    <w:rsid w:val="008E42BE"/>
    <w:rsid w:val="008E43FA"/>
    <w:rsid w:val="008E4411"/>
    <w:rsid w:val="008E450C"/>
    <w:rsid w:val="008E458F"/>
    <w:rsid w:val="008E474D"/>
    <w:rsid w:val="008E482C"/>
    <w:rsid w:val="008E4883"/>
    <w:rsid w:val="008E492A"/>
    <w:rsid w:val="008E494B"/>
    <w:rsid w:val="008E4AAC"/>
    <w:rsid w:val="008E4B18"/>
    <w:rsid w:val="008E4B3F"/>
    <w:rsid w:val="008E4BF9"/>
    <w:rsid w:val="008E4C91"/>
    <w:rsid w:val="008E4E77"/>
    <w:rsid w:val="008E4F4F"/>
    <w:rsid w:val="008E4FEF"/>
    <w:rsid w:val="008E508E"/>
    <w:rsid w:val="008E5167"/>
    <w:rsid w:val="008E516E"/>
    <w:rsid w:val="008E5194"/>
    <w:rsid w:val="008E559F"/>
    <w:rsid w:val="008E5759"/>
    <w:rsid w:val="008E592A"/>
    <w:rsid w:val="008E59B5"/>
    <w:rsid w:val="008E5A26"/>
    <w:rsid w:val="008E5A70"/>
    <w:rsid w:val="008E5AB5"/>
    <w:rsid w:val="008E5B0B"/>
    <w:rsid w:val="008E5BC0"/>
    <w:rsid w:val="008E5C12"/>
    <w:rsid w:val="008E5CC5"/>
    <w:rsid w:val="008E5EA4"/>
    <w:rsid w:val="008E5F2C"/>
    <w:rsid w:val="008E5FF8"/>
    <w:rsid w:val="008E611F"/>
    <w:rsid w:val="008E629B"/>
    <w:rsid w:val="008E6518"/>
    <w:rsid w:val="008E6634"/>
    <w:rsid w:val="008E667B"/>
    <w:rsid w:val="008E6881"/>
    <w:rsid w:val="008E6894"/>
    <w:rsid w:val="008E696E"/>
    <w:rsid w:val="008E69CA"/>
    <w:rsid w:val="008E6C02"/>
    <w:rsid w:val="008E6C3B"/>
    <w:rsid w:val="008E6CA4"/>
    <w:rsid w:val="008E6DBB"/>
    <w:rsid w:val="008E6DE6"/>
    <w:rsid w:val="008E6EE9"/>
    <w:rsid w:val="008E7179"/>
    <w:rsid w:val="008E7447"/>
    <w:rsid w:val="008E7471"/>
    <w:rsid w:val="008E75DC"/>
    <w:rsid w:val="008E7B3C"/>
    <w:rsid w:val="008E7BA6"/>
    <w:rsid w:val="008E7F9B"/>
    <w:rsid w:val="008F0076"/>
    <w:rsid w:val="008F0096"/>
    <w:rsid w:val="008F00A0"/>
    <w:rsid w:val="008F0273"/>
    <w:rsid w:val="008F0278"/>
    <w:rsid w:val="008F03EA"/>
    <w:rsid w:val="008F03FB"/>
    <w:rsid w:val="008F03FC"/>
    <w:rsid w:val="008F04F0"/>
    <w:rsid w:val="008F0552"/>
    <w:rsid w:val="008F05CF"/>
    <w:rsid w:val="008F0618"/>
    <w:rsid w:val="008F0812"/>
    <w:rsid w:val="008F0813"/>
    <w:rsid w:val="008F0AA3"/>
    <w:rsid w:val="008F0B19"/>
    <w:rsid w:val="008F0B32"/>
    <w:rsid w:val="008F0B4F"/>
    <w:rsid w:val="008F0B51"/>
    <w:rsid w:val="008F0C83"/>
    <w:rsid w:val="008F0CA8"/>
    <w:rsid w:val="008F0E46"/>
    <w:rsid w:val="008F0F96"/>
    <w:rsid w:val="008F0FDC"/>
    <w:rsid w:val="008F1196"/>
    <w:rsid w:val="008F1218"/>
    <w:rsid w:val="008F123D"/>
    <w:rsid w:val="008F12FE"/>
    <w:rsid w:val="008F1457"/>
    <w:rsid w:val="008F1497"/>
    <w:rsid w:val="008F1511"/>
    <w:rsid w:val="008F1631"/>
    <w:rsid w:val="008F1675"/>
    <w:rsid w:val="008F1859"/>
    <w:rsid w:val="008F185F"/>
    <w:rsid w:val="008F1872"/>
    <w:rsid w:val="008F18BE"/>
    <w:rsid w:val="008F1B84"/>
    <w:rsid w:val="008F1B9D"/>
    <w:rsid w:val="008F1CA9"/>
    <w:rsid w:val="008F1D01"/>
    <w:rsid w:val="008F1DCF"/>
    <w:rsid w:val="008F1E71"/>
    <w:rsid w:val="008F1EC6"/>
    <w:rsid w:val="008F1EF7"/>
    <w:rsid w:val="008F1F38"/>
    <w:rsid w:val="008F1F4D"/>
    <w:rsid w:val="008F1FA6"/>
    <w:rsid w:val="008F204B"/>
    <w:rsid w:val="008F2089"/>
    <w:rsid w:val="008F2117"/>
    <w:rsid w:val="008F212D"/>
    <w:rsid w:val="008F22FF"/>
    <w:rsid w:val="008F249D"/>
    <w:rsid w:val="008F2768"/>
    <w:rsid w:val="008F2845"/>
    <w:rsid w:val="008F28AE"/>
    <w:rsid w:val="008F2A01"/>
    <w:rsid w:val="008F2AC3"/>
    <w:rsid w:val="008F2BAF"/>
    <w:rsid w:val="008F2C26"/>
    <w:rsid w:val="008F2EF4"/>
    <w:rsid w:val="008F309A"/>
    <w:rsid w:val="008F319D"/>
    <w:rsid w:val="008F331B"/>
    <w:rsid w:val="008F3379"/>
    <w:rsid w:val="008F33C4"/>
    <w:rsid w:val="008F34B2"/>
    <w:rsid w:val="008F3628"/>
    <w:rsid w:val="008F3699"/>
    <w:rsid w:val="008F3927"/>
    <w:rsid w:val="008F3928"/>
    <w:rsid w:val="008F3973"/>
    <w:rsid w:val="008F39E3"/>
    <w:rsid w:val="008F3B58"/>
    <w:rsid w:val="008F3B8D"/>
    <w:rsid w:val="008F3C1F"/>
    <w:rsid w:val="008F3CD3"/>
    <w:rsid w:val="008F3CDF"/>
    <w:rsid w:val="008F3D32"/>
    <w:rsid w:val="008F3DE9"/>
    <w:rsid w:val="008F3E34"/>
    <w:rsid w:val="008F3E88"/>
    <w:rsid w:val="008F3FF4"/>
    <w:rsid w:val="008F40B0"/>
    <w:rsid w:val="008F41C8"/>
    <w:rsid w:val="008F41D6"/>
    <w:rsid w:val="008F41F2"/>
    <w:rsid w:val="008F431C"/>
    <w:rsid w:val="008F444E"/>
    <w:rsid w:val="008F44F5"/>
    <w:rsid w:val="008F464B"/>
    <w:rsid w:val="008F4665"/>
    <w:rsid w:val="008F46FC"/>
    <w:rsid w:val="008F47A4"/>
    <w:rsid w:val="008F48A5"/>
    <w:rsid w:val="008F48A8"/>
    <w:rsid w:val="008F4983"/>
    <w:rsid w:val="008F4AC8"/>
    <w:rsid w:val="008F4B17"/>
    <w:rsid w:val="008F4C95"/>
    <w:rsid w:val="008F4D76"/>
    <w:rsid w:val="008F4DAF"/>
    <w:rsid w:val="008F4E63"/>
    <w:rsid w:val="008F4ED7"/>
    <w:rsid w:val="008F4F46"/>
    <w:rsid w:val="008F4F51"/>
    <w:rsid w:val="008F50EA"/>
    <w:rsid w:val="008F5113"/>
    <w:rsid w:val="008F51BD"/>
    <w:rsid w:val="008F51C3"/>
    <w:rsid w:val="008F5224"/>
    <w:rsid w:val="008F52EF"/>
    <w:rsid w:val="008F534C"/>
    <w:rsid w:val="008F54B6"/>
    <w:rsid w:val="008F5505"/>
    <w:rsid w:val="008F5598"/>
    <w:rsid w:val="008F55CD"/>
    <w:rsid w:val="008F5619"/>
    <w:rsid w:val="008F5741"/>
    <w:rsid w:val="008F57B1"/>
    <w:rsid w:val="008F5832"/>
    <w:rsid w:val="008F589C"/>
    <w:rsid w:val="008F58EC"/>
    <w:rsid w:val="008F594A"/>
    <w:rsid w:val="008F5958"/>
    <w:rsid w:val="008F59F6"/>
    <w:rsid w:val="008F5BAC"/>
    <w:rsid w:val="008F5BC7"/>
    <w:rsid w:val="008F5BF3"/>
    <w:rsid w:val="008F5C33"/>
    <w:rsid w:val="008F5C75"/>
    <w:rsid w:val="008F5DA6"/>
    <w:rsid w:val="008F5E18"/>
    <w:rsid w:val="008F5F40"/>
    <w:rsid w:val="008F60EC"/>
    <w:rsid w:val="008F616A"/>
    <w:rsid w:val="008F625A"/>
    <w:rsid w:val="008F6296"/>
    <w:rsid w:val="008F62E5"/>
    <w:rsid w:val="008F62EE"/>
    <w:rsid w:val="008F63DE"/>
    <w:rsid w:val="008F646D"/>
    <w:rsid w:val="008F6570"/>
    <w:rsid w:val="008F65BB"/>
    <w:rsid w:val="008F662D"/>
    <w:rsid w:val="008F66A0"/>
    <w:rsid w:val="008F673D"/>
    <w:rsid w:val="008F67E0"/>
    <w:rsid w:val="008F683B"/>
    <w:rsid w:val="008F6902"/>
    <w:rsid w:val="008F6B33"/>
    <w:rsid w:val="008F6B5C"/>
    <w:rsid w:val="008F6E04"/>
    <w:rsid w:val="008F6E18"/>
    <w:rsid w:val="008F6E23"/>
    <w:rsid w:val="008F6E60"/>
    <w:rsid w:val="008F6E94"/>
    <w:rsid w:val="008F6F54"/>
    <w:rsid w:val="008F7069"/>
    <w:rsid w:val="008F70A6"/>
    <w:rsid w:val="008F7102"/>
    <w:rsid w:val="008F71DB"/>
    <w:rsid w:val="008F72BE"/>
    <w:rsid w:val="008F73F2"/>
    <w:rsid w:val="008F75A1"/>
    <w:rsid w:val="008F76BD"/>
    <w:rsid w:val="008F76EC"/>
    <w:rsid w:val="008F76EE"/>
    <w:rsid w:val="008F785B"/>
    <w:rsid w:val="008F785E"/>
    <w:rsid w:val="008F788A"/>
    <w:rsid w:val="008F789B"/>
    <w:rsid w:val="008F78E9"/>
    <w:rsid w:val="008F79C2"/>
    <w:rsid w:val="008F79D2"/>
    <w:rsid w:val="008F79E5"/>
    <w:rsid w:val="008F7C08"/>
    <w:rsid w:val="008F7C28"/>
    <w:rsid w:val="008F7D02"/>
    <w:rsid w:val="008F7D1B"/>
    <w:rsid w:val="009000AD"/>
    <w:rsid w:val="009000B8"/>
    <w:rsid w:val="0090027F"/>
    <w:rsid w:val="00900377"/>
    <w:rsid w:val="00900392"/>
    <w:rsid w:val="0090042F"/>
    <w:rsid w:val="00900491"/>
    <w:rsid w:val="009005AF"/>
    <w:rsid w:val="00900614"/>
    <w:rsid w:val="009006B1"/>
    <w:rsid w:val="009007C7"/>
    <w:rsid w:val="009007EA"/>
    <w:rsid w:val="009009EE"/>
    <w:rsid w:val="00900A54"/>
    <w:rsid w:val="00900A81"/>
    <w:rsid w:val="00900B3A"/>
    <w:rsid w:val="00900C64"/>
    <w:rsid w:val="00900D07"/>
    <w:rsid w:val="00900DE4"/>
    <w:rsid w:val="00900DE8"/>
    <w:rsid w:val="00900E6A"/>
    <w:rsid w:val="00900E87"/>
    <w:rsid w:val="00900EEF"/>
    <w:rsid w:val="00900F31"/>
    <w:rsid w:val="009011F3"/>
    <w:rsid w:val="0090121B"/>
    <w:rsid w:val="00901315"/>
    <w:rsid w:val="00901654"/>
    <w:rsid w:val="00901706"/>
    <w:rsid w:val="00901805"/>
    <w:rsid w:val="0090197D"/>
    <w:rsid w:val="009019D4"/>
    <w:rsid w:val="009019F2"/>
    <w:rsid w:val="00901A6A"/>
    <w:rsid w:val="00901C8D"/>
    <w:rsid w:val="00901D80"/>
    <w:rsid w:val="00901D8D"/>
    <w:rsid w:val="00901DA9"/>
    <w:rsid w:val="00901DFC"/>
    <w:rsid w:val="00901E27"/>
    <w:rsid w:val="00901EFF"/>
    <w:rsid w:val="00901F02"/>
    <w:rsid w:val="00901F9C"/>
    <w:rsid w:val="009020A1"/>
    <w:rsid w:val="00902272"/>
    <w:rsid w:val="009022AF"/>
    <w:rsid w:val="009022DD"/>
    <w:rsid w:val="00902466"/>
    <w:rsid w:val="009024BF"/>
    <w:rsid w:val="009024CD"/>
    <w:rsid w:val="009024E6"/>
    <w:rsid w:val="0090251A"/>
    <w:rsid w:val="00902597"/>
    <w:rsid w:val="0090281E"/>
    <w:rsid w:val="00902996"/>
    <w:rsid w:val="00902BD1"/>
    <w:rsid w:val="00902CFF"/>
    <w:rsid w:val="00902DE0"/>
    <w:rsid w:val="00902E87"/>
    <w:rsid w:val="00902E8D"/>
    <w:rsid w:val="00902EF2"/>
    <w:rsid w:val="00902F29"/>
    <w:rsid w:val="00902F3A"/>
    <w:rsid w:val="00902F65"/>
    <w:rsid w:val="00902FD8"/>
    <w:rsid w:val="009030A6"/>
    <w:rsid w:val="009030C3"/>
    <w:rsid w:val="009030C9"/>
    <w:rsid w:val="0090313E"/>
    <w:rsid w:val="00903151"/>
    <w:rsid w:val="009031D1"/>
    <w:rsid w:val="00903316"/>
    <w:rsid w:val="0090341F"/>
    <w:rsid w:val="009035A4"/>
    <w:rsid w:val="0090364A"/>
    <w:rsid w:val="00903690"/>
    <w:rsid w:val="009037CD"/>
    <w:rsid w:val="009037FB"/>
    <w:rsid w:val="00903A76"/>
    <w:rsid w:val="00903ABC"/>
    <w:rsid w:val="00903B08"/>
    <w:rsid w:val="00903B1C"/>
    <w:rsid w:val="00903B6D"/>
    <w:rsid w:val="00903C06"/>
    <w:rsid w:val="00903C6C"/>
    <w:rsid w:val="00903C90"/>
    <w:rsid w:val="00903CB4"/>
    <w:rsid w:val="00903E53"/>
    <w:rsid w:val="00903FF5"/>
    <w:rsid w:val="0090404F"/>
    <w:rsid w:val="00904202"/>
    <w:rsid w:val="00904244"/>
    <w:rsid w:val="00904253"/>
    <w:rsid w:val="009043C5"/>
    <w:rsid w:val="009044D0"/>
    <w:rsid w:val="00904516"/>
    <w:rsid w:val="009046A9"/>
    <w:rsid w:val="009046B0"/>
    <w:rsid w:val="009047D9"/>
    <w:rsid w:val="00904956"/>
    <w:rsid w:val="00904997"/>
    <w:rsid w:val="009049AE"/>
    <w:rsid w:val="00904A92"/>
    <w:rsid w:val="00904A9D"/>
    <w:rsid w:val="00904AC5"/>
    <w:rsid w:val="00904B14"/>
    <w:rsid w:val="00904B3A"/>
    <w:rsid w:val="00904BE9"/>
    <w:rsid w:val="00904C11"/>
    <w:rsid w:val="00904C4B"/>
    <w:rsid w:val="00904C6A"/>
    <w:rsid w:val="00904CCE"/>
    <w:rsid w:val="00904DA5"/>
    <w:rsid w:val="00904E37"/>
    <w:rsid w:val="00904F44"/>
    <w:rsid w:val="00904F6A"/>
    <w:rsid w:val="00905103"/>
    <w:rsid w:val="009053A9"/>
    <w:rsid w:val="0090547C"/>
    <w:rsid w:val="009054B7"/>
    <w:rsid w:val="009054F2"/>
    <w:rsid w:val="009055E7"/>
    <w:rsid w:val="00905793"/>
    <w:rsid w:val="009057DB"/>
    <w:rsid w:val="0090583D"/>
    <w:rsid w:val="00905930"/>
    <w:rsid w:val="00905993"/>
    <w:rsid w:val="00905DCE"/>
    <w:rsid w:val="00905E4A"/>
    <w:rsid w:val="00905F81"/>
    <w:rsid w:val="00905FEF"/>
    <w:rsid w:val="00905FFA"/>
    <w:rsid w:val="00906127"/>
    <w:rsid w:val="009061CA"/>
    <w:rsid w:val="00906228"/>
    <w:rsid w:val="0090631B"/>
    <w:rsid w:val="0090636A"/>
    <w:rsid w:val="00906446"/>
    <w:rsid w:val="00906647"/>
    <w:rsid w:val="00906669"/>
    <w:rsid w:val="0090669E"/>
    <w:rsid w:val="00906701"/>
    <w:rsid w:val="009067DB"/>
    <w:rsid w:val="0090682C"/>
    <w:rsid w:val="009068F3"/>
    <w:rsid w:val="0090691D"/>
    <w:rsid w:val="00906985"/>
    <w:rsid w:val="00906A9A"/>
    <w:rsid w:val="00906BFE"/>
    <w:rsid w:val="00906FC1"/>
    <w:rsid w:val="009070EB"/>
    <w:rsid w:val="0090710C"/>
    <w:rsid w:val="0090723D"/>
    <w:rsid w:val="00907282"/>
    <w:rsid w:val="0090739B"/>
    <w:rsid w:val="00907596"/>
    <w:rsid w:val="0090763C"/>
    <w:rsid w:val="0090765A"/>
    <w:rsid w:val="0090789A"/>
    <w:rsid w:val="00907992"/>
    <w:rsid w:val="009079E8"/>
    <w:rsid w:val="00907A0E"/>
    <w:rsid w:val="00907A1D"/>
    <w:rsid w:val="00907A65"/>
    <w:rsid w:val="00907A9F"/>
    <w:rsid w:val="00907B60"/>
    <w:rsid w:val="00907D0B"/>
    <w:rsid w:val="00907D74"/>
    <w:rsid w:val="00907DAE"/>
    <w:rsid w:val="0091003C"/>
    <w:rsid w:val="00910040"/>
    <w:rsid w:val="00910191"/>
    <w:rsid w:val="00910260"/>
    <w:rsid w:val="009103BC"/>
    <w:rsid w:val="009103C9"/>
    <w:rsid w:val="00910463"/>
    <w:rsid w:val="009104A5"/>
    <w:rsid w:val="00910556"/>
    <w:rsid w:val="009105D8"/>
    <w:rsid w:val="0091064F"/>
    <w:rsid w:val="009106F8"/>
    <w:rsid w:val="0091074D"/>
    <w:rsid w:val="009108B0"/>
    <w:rsid w:val="009109DC"/>
    <w:rsid w:val="00910A37"/>
    <w:rsid w:val="00910B29"/>
    <w:rsid w:val="00910BCE"/>
    <w:rsid w:val="00910BE7"/>
    <w:rsid w:val="00910C0A"/>
    <w:rsid w:val="00910C31"/>
    <w:rsid w:val="00910D96"/>
    <w:rsid w:val="00910F00"/>
    <w:rsid w:val="00910F8E"/>
    <w:rsid w:val="00911038"/>
    <w:rsid w:val="009110B5"/>
    <w:rsid w:val="009110EA"/>
    <w:rsid w:val="0091118A"/>
    <w:rsid w:val="009111AA"/>
    <w:rsid w:val="0091128B"/>
    <w:rsid w:val="00911316"/>
    <w:rsid w:val="0091163B"/>
    <w:rsid w:val="0091177C"/>
    <w:rsid w:val="00911914"/>
    <w:rsid w:val="00911A00"/>
    <w:rsid w:val="00911A05"/>
    <w:rsid w:val="00911A56"/>
    <w:rsid w:val="00911AAB"/>
    <w:rsid w:val="00911B5E"/>
    <w:rsid w:val="00911C0C"/>
    <w:rsid w:val="00911C3F"/>
    <w:rsid w:val="00911CEF"/>
    <w:rsid w:val="00911D0F"/>
    <w:rsid w:val="00911D4B"/>
    <w:rsid w:val="00911D8A"/>
    <w:rsid w:val="00911E80"/>
    <w:rsid w:val="00911F5F"/>
    <w:rsid w:val="0091203E"/>
    <w:rsid w:val="00912062"/>
    <w:rsid w:val="009120B3"/>
    <w:rsid w:val="009120F4"/>
    <w:rsid w:val="009121E3"/>
    <w:rsid w:val="0091246C"/>
    <w:rsid w:val="009125DE"/>
    <w:rsid w:val="009126F9"/>
    <w:rsid w:val="00912746"/>
    <w:rsid w:val="00912878"/>
    <w:rsid w:val="009129F8"/>
    <w:rsid w:val="00912A07"/>
    <w:rsid w:val="00912AA2"/>
    <w:rsid w:val="00912AAF"/>
    <w:rsid w:val="00912AEE"/>
    <w:rsid w:val="00912B6D"/>
    <w:rsid w:val="00912B79"/>
    <w:rsid w:val="00912CD2"/>
    <w:rsid w:val="00912D6A"/>
    <w:rsid w:val="00912E07"/>
    <w:rsid w:val="00912EE5"/>
    <w:rsid w:val="00912F5D"/>
    <w:rsid w:val="009130FD"/>
    <w:rsid w:val="00913122"/>
    <w:rsid w:val="0091316A"/>
    <w:rsid w:val="00913184"/>
    <w:rsid w:val="00913262"/>
    <w:rsid w:val="009132F9"/>
    <w:rsid w:val="0091346A"/>
    <w:rsid w:val="009134CD"/>
    <w:rsid w:val="0091366E"/>
    <w:rsid w:val="009136AB"/>
    <w:rsid w:val="00913706"/>
    <w:rsid w:val="009137AC"/>
    <w:rsid w:val="0091388F"/>
    <w:rsid w:val="00913947"/>
    <w:rsid w:val="009139DE"/>
    <w:rsid w:val="00913AEC"/>
    <w:rsid w:val="00913B7E"/>
    <w:rsid w:val="00913B9A"/>
    <w:rsid w:val="00913C25"/>
    <w:rsid w:val="00913C97"/>
    <w:rsid w:val="00913CBA"/>
    <w:rsid w:val="00913D91"/>
    <w:rsid w:val="00913E26"/>
    <w:rsid w:val="00913E2F"/>
    <w:rsid w:val="00913F1A"/>
    <w:rsid w:val="00913F9B"/>
    <w:rsid w:val="00913FC6"/>
    <w:rsid w:val="0091402E"/>
    <w:rsid w:val="00914083"/>
    <w:rsid w:val="009140E4"/>
    <w:rsid w:val="00914279"/>
    <w:rsid w:val="009143C6"/>
    <w:rsid w:val="0091444C"/>
    <w:rsid w:val="009144B2"/>
    <w:rsid w:val="009144B5"/>
    <w:rsid w:val="009144D0"/>
    <w:rsid w:val="009146C3"/>
    <w:rsid w:val="00914798"/>
    <w:rsid w:val="009147A1"/>
    <w:rsid w:val="009147CC"/>
    <w:rsid w:val="009147D3"/>
    <w:rsid w:val="009147F8"/>
    <w:rsid w:val="0091483A"/>
    <w:rsid w:val="00914914"/>
    <w:rsid w:val="00914987"/>
    <w:rsid w:val="009149C4"/>
    <w:rsid w:val="00914A9A"/>
    <w:rsid w:val="00914B5A"/>
    <w:rsid w:val="00914B99"/>
    <w:rsid w:val="00914BAE"/>
    <w:rsid w:val="00915137"/>
    <w:rsid w:val="0091521D"/>
    <w:rsid w:val="00915446"/>
    <w:rsid w:val="00915459"/>
    <w:rsid w:val="00915512"/>
    <w:rsid w:val="009155C0"/>
    <w:rsid w:val="0091561F"/>
    <w:rsid w:val="009158BD"/>
    <w:rsid w:val="009159AF"/>
    <w:rsid w:val="009159D6"/>
    <w:rsid w:val="009159EC"/>
    <w:rsid w:val="00915A1B"/>
    <w:rsid w:val="00915B87"/>
    <w:rsid w:val="00915BC9"/>
    <w:rsid w:val="00915EAF"/>
    <w:rsid w:val="00915EE2"/>
    <w:rsid w:val="00916028"/>
    <w:rsid w:val="0091605E"/>
    <w:rsid w:val="00916113"/>
    <w:rsid w:val="00916150"/>
    <w:rsid w:val="0091616A"/>
    <w:rsid w:val="00916276"/>
    <w:rsid w:val="009162F8"/>
    <w:rsid w:val="009164F2"/>
    <w:rsid w:val="009166C0"/>
    <w:rsid w:val="0091671B"/>
    <w:rsid w:val="00916790"/>
    <w:rsid w:val="009168D7"/>
    <w:rsid w:val="009168F2"/>
    <w:rsid w:val="009169E9"/>
    <w:rsid w:val="00916C10"/>
    <w:rsid w:val="00916D1C"/>
    <w:rsid w:val="00916D4B"/>
    <w:rsid w:val="00916D8D"/>
    <w:rsid w:val="00916D90"/>
    <w:rsid w:val="00916D9B"/>
    <w:rsid w:val="00916E09"/>
    <w:rsid w:val="00916E43"/>
    <w:rsid w:val="00916E84"/>
    <w:rsid w:val="00916ED1"/>
    <w:rsid w:val="0091714A"/>
    <w:rsid w:val="0091716C"/>
    <w:rsid w:val="00917245"/>
    <w:rsid w:val="009172F5"/>
    <w:rsid w:val="009174E0"/>
    <w:rsid w:val="00917827"/>
    <w:rsid w:val="009178E8"/>
    <w:rsid w:val="00917A4A"/>
    <w:rsid w:val="00917C61"/>
    <w:rsid w:val="00917D93"/>
    <w:rsid w:val="00917E09"/>
    <w:rsid w:val="00917E57"/>
    <w:rsid w:val="00917EC6"/>
    <w:rsid w:val="00917ED0"/>
    <w:rsid w:val="00917F18"/>
    <w:rsid w:val="00917F5C"/>
    <w:rsid w:val="00917F69"/>
    <w:rsid w:val="00917F93"/>
    <w:rsid w:val="00920098"/>
    <w:rsid w:val="0092010A"/>
    <w:rsid w:val="0092015B"/>
    <w:rsid w:val="009201BD"/>
    <w:rsid w:val="009203A1"/>
    <w:rsid w:val="00920411"/>
    <w:rsid w:val="0092054E"/>
    <w:rsid w:val="00920610"/>
    <w:rsid w:val="009207AB"/>
    <w:rsid w:val="009207DD"/>
    <w:rsid w:val="00920829"/>
    <w:rsid w:val="00920944"/>
    <w:rsid w:val="00920A72"/>
    <w:rsid w:val="00920B38"/>
    <w:rsid w:val="00920C00"/>
    <w:rsid w:val="00920C30"/>
    <w:rsid w:val="00920E86"/>
    <w:rsid w:val="00920EE4"/>
    <w:rsid w:val="00920F1B"/>
    <w:rsid w:val="00920F47"/>
    <w:rsid w:val="00920F6A"/>
    <w:rsid w:val="00921051"/>
    <w:rsid w:val="00921076"/>
    <w:rsid w:val="00921112"/>
    <w:rsid w:val="0092115E"/>
    <w:rsid w:val="009211A4"/>
    <w:rsid w:val="009212FC"/>
    <w:rsid w:val="009213C0"/>
    <w:rsid w:val="0092145C"/>
    <w:rsid w:val="0092160B"/>
    <w:rsid w:val="00921613"/>
    <w:rsid w:val="009217C0"/>
    <w:rsid w:val="00921CFC"/>
    <w:rsid w:val="00921D33"/>
    <w:rsid w:val="00921DF2"/>
    <w:rsid w:val="00921E5C"/>
    <w:rsid w:val="0092200A"/>
    <w:rsid w:val="009220B5"/>
    <w:rsid w:val="00922129"/>
    <w:rsid w:val="009221A9"/>
    <w:rsid w:val="009221C8"/>
    <w:rsid w:val="00922209"/>
    <w:rsid w:val="009224F3"/>
    <w:rsid w:val="009225B3"/>
    <w:rsid w:val="00922694"/>
    <w:rsid w:val="0092283D"/>
    <w:rsid w:val="009228E2"/>
    <w:rsid w:val="0092296D"/>
    <w:rsid w:val="00922B8B"/>
    <w:rsid w:val="00922CF6"/>
    <w:rsid w:val="00923047"/>
    <w:rsid w:val="00923074"/>
    <w:rsid w:val="00923119"/>
    <w:rsid w:val="009231F5"/>
    <w:rsid w:val="00923243"/>
    <w:rsid w:val="00923324"/>
    <w:rsid w:val="0092334A"/>
    <w:rsid w:val="00923823"/>
    <w:rsid w:val="0092390D"/>
    <w:rsid w:val="00923A48"/>
    <w:rsid w:val="00923BEE"/>
    <w:rsid w:val="00923BFE"/>
    <w:rsid w:val="00923DD2"/>
    <w:rsid w:val="00923E05"/>
    <w:rsid w:val="00923E54"/>
    <w:rsid w:val="00923E57"/>
    <w:rsid w:val="00923F32"/>
    <w:rsid w:val="00923F3B"/>
    <w:rsid w:val="00923F77"/>
    <w:rsid w:val="00923F95"/>
    <w:rsid w:val="00924049"/>
    <w:rsid w:val="00924120"/>
    <w:rsid w:val="00924233"/>
    <w:rsid w:val="00924354"/>
    <w:rsid w:val="0092444D"/>
    <w:rsid w:val="009244FF"/>
    <w:rsid w:val="009245D0"/>
    <w:rsid w:val="00924694"/>
    <w:rsid w:val="009246BC"/>
    <w:rsid w:val="0092477C"/>
    <w:rsid w:val="009247A0"/>
    <w:rsid w:val="009248ED"/>
    <w:rsid w:val="009249FB"/>
    <w:rsid w:val="00924A12"/>
    <w:rsid w:val="00924A43"/>
    <w:rsid w:val="00924D5C"/>
    <w:rsid w:val="00924DA9"/>
    <w:rsid w:val="00924E95"/>
    <w:rsid w:val="00924E9B"/>
    <w:rsid w:val="00924FA2"/>
    <w:rsid w:val="00924FBF"/>
    <w:rsid w:val="00925076"/>
    <w:rsid w:val="0092507E"/>
    <w:rsid w:val="00925238"/>
    <w:rsid w:val="009252B1"/>
    <w:rsid w:val="009252ED"/>
    <w:rsid w:val="00925359"/>
    <w:rsid w:val="009253E4"/>
    <w:rsid w:val="0092540E"/>
    <w:rsid w:val="00925424"/>
    <w:rsid w:val="0092542B"/>
    <w:rsid w:val="009255DB"/>
    <w:rsid w:val="009255DE"/>
    <w:rsid w:val="00925616"/>
    <w:rsid w:val="00925679"/>
    <w:rsid w:val="009256C4"/>
    <w:rsid w:val="00925748"/>
    <w:rsid w:val="009258FC"/>
    <w:rsid w:val="009259F5"/>
    <w:rsid w:val="00925A6F"/>
    <w:rsid w:val="00925B04"/>
    <w:rsid w:val="00925B30"/>
    <w:rsid w:val="00925C82"/>
    <w:rsid w:val="00925D82"/>
    <w:rsid w:val="00926087"/>
    <w:rsid w:val="00926148"/>
    <w:rsid w:val="009261EF"/>
    <w:rsid w:val="00926294"/>
    <w:rsid w:val="0092640A"/>
    <w:rsid w:val="00926500"/>
    <w:rsid w:val="00926528"/>
    <w:rsid w:val="009265BB"/>
    <w:rsid w:val="009265D7"/>
    <w:rsid w:val="00926671"/>
    <w:rsid w:val="00926942"/>
    <w:rsid w:val="00926974"/>
    <w:rsid w:val="00926984"/>
    <w:rsid w:val="009269CF"/>
    <w:rsid w:val="009269D9"/>
    <w:rsid w:val="009269F8"/>
    <w:rsid w:val="00926A89"/>
    <w:rsid w:val="00926B08"/>
    <w:rsid w:val="00926B80"/>
    <w:rsid w:val="00926BE3"/>
    <w:rsid w:val="00926C3F"/>
    <w:rsid w:val="00926CC3"/>
    <w:rsid w:val="00927025"/>
    <w:rsid w:val="009271D2"/>
    <w:rsid w:val="00927281"/>
    <w:rsid w:val="009272EF"/>
    <w:rsid w:val="009273E4"/>
    <w:rsid w:val="00927436"/>
    <w:rsid w:val="009276AE"/>
    <w:rsid w:val="009277F0"/>
    <w:rsid w:val="00927825"/>
    <w:rsid w:val="00927868"/>
    <w:rsid w:val="00927915"/>
    <w:rsid w:val="00927AC3"/>
    <w:rsid w:val="00927AD5"/>
    <w:rsid w:val="00927CAA"/>
    <w:rsid w:val="00927D35"/>
    <w:rsid w:val="00927DDC"/>
    <w:rsid w:val="00927E71"/>
    <w:rsid w:val="009300E3"/>
    <w:rsid w:val="009301C4"/>
    <w:rsid w:val="0093030F"/>
    <w:rsid w:val="00930360"/>
    <w:rsid w:val="009303A0"/>
    <w:rsid w:val="009303E9"/>
    <w:rsid w:val="009303F6"/>
    <w:rsid w:val="00930505"/>
    <w:rsid w:val="00930527"/>
    <w:rsid w:val="0093053E"/>
    <w:rsid w:val="00930622"/>
    <w:rsid w:val="00930725"/>
    <w:rsid w:val="0093077E"/>
    <w:rsid w:val="009307F4"/>
    <w:rsid w:val="00930B6F"/>
    <w:rsid w:val="00930BF9"/>
    <w:rsid w:val="00930C3F"/>
    <w:rsid w:val="00930D8A"/>
    <w:rsid w:val="00930F9D"/>
    <w:rsid w:val="00930FB7"/>
    <w:rsid w:val="00931060"/>
    <w:rsid w:val="009310E5"/>
    <w:rsid w:val="009311C3"/>
    <w:rsid w:val="00931308"/>
    <w:rsid w:val="0093137E"/>
    <w:rsid w:val="009314A3"/>
    <w:rsid w:val="0093152E"/>
    <w:rsid w:val="00931569"/>
    <w:rsid w:val="00931666"/>
    <w:rsid w:val="0093170D"/>
    <w:rsid w:val="00931769"/>
    <w:rsid w:val="0093197B"/>
    <w:rsid w:val="00931A2D"/>
    <w:rsid w:val="00931B8B"/>
    <w:rsid w:val="00931E80"/>
    <w:rsid w:val="00932056"/>
    <w:rsid w:val="009320E5"/>
    <w:rsid w:val="009321C2"/>
    <w:rsid w:val="00932332"/>
    <w:rsid w:val="0093239E"/>
    <w:rsid w:val="00932461"/>
    <w:rsid w:val="0093256B"/>
    <w:rsid w:val="0093257A"/>
    <w:rsid w:val="009326A1"/>
    <w:rsid w:val="0093271E"/>
    <w:rsid w:val="009327EF"/>
    <w:rsid w:val="0093281F"/>
    <w:rsid w:val="0093284D"/>
    <w:rsid w:val="009329A8"/>
    <w:rsid w:val="00932AD4"/>
    <w:rsid w:val="00932C2C"/>
    <w:rsid w:val="00932C39"/>
    <w:rsid w:val="00932C46"/>
    <w:rsid w:val="00932C60"/>
    <w:rsid w:val="00932D09"/>
    <w:rsid w:val="00932F4B"/>
    <w:rsid w:val="00932FFC"/>
    <w:rsid w:val="00933069"/>
    <w:rsid w:val="00933151"/>
    <w:rsid w:val="0093317B"/>
    <w:rsid w:val="009331AF"/>
    <w:rsid w:val="00933254"/>
    <w:rsid w:val="00933262"/>
    <w:rsid w:val="0093350A"/>
    <w:rsid w:val="0093352E"/>
    <w:rsid w:val="00933533"/>
    <w:rsid w:val="0093372B"/>
    <w:rsid w:val="009338DD"/>
    <w:rsid w:val="00933A71"/>
    <w:rsid w:val="00933BFC"/>
    <w:rsid w:val="00933E0E"/>
    <w:rsid w:val="00933F01"/>
    <w:rsid w:val="00933F36"/>
    <w:rsid w:val="00934086"/>
    <w:rsid w:val="00934194"/>
    <w:rsid w:val="00934220"/>
    <w:rsid w:val="00934269"/>
    <w:rsid w:val="00934309"/>
    <w:rsid w:val="00934433"/>
    <w:rsid w:val="00934446"/>
    <w:rsid w:val="00934447"/>
    <w:rsid w:val="00934494"/>
    <w:rsid w:val="0093456E"/>
    <w:rsid w:val="0093467D"/>
    <w:rsid w:val="0093473D"/>
    <w:rsid w:val="009349A6"/>
    <w:rsid w:val="00934C7D"/>
    <w:rsid w:val="00934E86"/>
    <w:rsid w:val="00934FFB"/>
    <w:rsid w:val="0093512F"/>
    <w:rsid w:val="00935155"/>
    <w:rsid w:val="00935167"/>
    <w:rsid w:val="009351FB"/>
    <w:rsid w:val="00935237"/>
    <w:rsid w:val="00935266"/>
    <w:rsid w:val="00935268"/>
    <w:rsid w:val="009352ED"/>
    <w:rsid w:val="00935300"/>
    <w:rsid w:val="00935328"/>
    <w:rsid w:val="009353BA"/>
    <w:rsid w:val="00935408"/>
    <w:rsid w:val="00935502"/>
    <w:rsid w:val="009356E5"/>
    <w:rsid w:val="009358B4"/>
    <w:rsid w:val="009358C5"/>
    <w:rsid w:val="009359A0"/>
    <w:rsid w:val="00935AA5"/>
    <w:rsid w:val="00935AAD"/>
    <w:rsid w:val="00935B05"/>
    <w:rsid w:val="00935CD0"/>
    <w:rsid w:val="00935D22"/>
    <w:rsid w:val="00935E74"/>
    <w:rsid w:val="00935E87"/>
    <w:rsid w:val="00935EB2"/>
    <w:rsid w:val="00935ED7"/>
    <w:rsid w:val="00935F4A"/>
    <w:rsid w:val="00935F6A"/>
    <w:rsid w:val="00936293"/>
    <w:rsid w:val="009362D8"/>
    <w:rsid w:val="009363D2"/>
    <w:rsid w:val="0093663B"/>
    <w:rsid w:val="009366FD"/>
    <w:rsid w:val="00936AEF"/>
    <w:rsid w:val="00936BBD"/>
    <w:rsid w:val="00936D52"/>
    <w:rsid w:val="00936D9E"/>
    <w:rsid w:val="00936E34"/>
    <w:rsid w:val="009370D7"/>
    <w:rsid w:val="009371D4"/>
    <w:rsid w:val="009372C2"/>
    <w:rsid w:val="009372CC"/>
    <w:rsid w:val="009373A9"/>
    <w:rsid w:val="009373DD"/>
    <w:rsid w:val="0093746C"/>
    <w:rsid w:val="00937479"/>
    <w:rsid w:val="00937517"/>
    <w:rsid w:val="0093754D"/>
    <w:rsid w:val="0093788F"/>
    <w:rsid w:val="00937935"/>
    <w:rsid w:val="00937984"/>
    <w:rsid w:val="00937B9D"/>
    <w:rsid w:val="00937C3C"/>
    <w:rsid w:val="00937F92"/>
    <w:rsid w:val="00937FB8"/>
    <w:rsid w:val="00937FF3"/>
    <w:rsid w:val="00940049"/>
    <w:rsid w:val="0094006E"/>
    <w:rsid w:val="0094010E"/>
    <w:rsid w:val="0094013A"/>
    <w:rsid w:val="009401B5"/>
    <w:rsid w:val="00940229"/>
    <w:rsid w:val="009403EF"/>
    <w:rsid w:val="009404AF"/>
    <w:rsid w:val="009404F0"/>
    <w:rsid w:val="00940522"/>
    <w:rsid w:val="009405DA"/>
    <w:rsid w:val="009406C5"/>
    <w:rsid w:val="0094075C"/>
    <w:rsid w:val="00940772"/>
    <w:rsid w:val="009407AC"/>
    <w:rsid w:val="00940957"/>
    <w:rsid w:val="00940A28"/>
    <w:rsid w:val="00940A2E"/>
    <w:rsid w:val="00940AF7"/>
    <w:rsid w:val="00940B08"/>
    <w:rsid w:val="00940B24"/>
    <w:rsid w:val="00940C05"/>
    <w:rsid w:val="00940C08"/>
    <w:rsid w:val="00940C95"/>
    <w:rsid w:val="00940ECE"/>
    <w:rsid w:val="00940FCB"/>
    <w:rsid w:val="009410E8"/>
    <w:rsid w:val="009411F9"/>
    <w:rsid w:val="009412E6"/>
    <w:rsid w:val="00941347"/>
    <w:rsid w:val="00941372"/>
    <w:rsid w:val="0094146E"/>
    <w:rsid w:val="00941500"/>
    <w:rsid w:val="00941581"/>
    <w:rsid w:val="009415AF"/>
    <w:rsid w:val="009415BD"/>
    <w:rsid w:val="009415E0"/>
    <w:rsid w:val="009416B4"/>
    <w:rsid w:val="00941771"/>
    <w:rsid w:val="0094179B"/>
    <w:rsid w:val="0094187C"/>
    <w:rsid w:val="00941BE2"/>
    <w:rsid w:val="00941D6D"/>
    <w:rsid w:val="00941E4F"/>
    <w:rsid w:val="00941E6A"/>
    <w:rsid w:val="00942138"/>
    <w:rsid w:val="00942357"/>
    <w:rsid w:val="00942360"/>
    <w:rsid w:val="0094236F"/>
    <w:rsid w:val="00942474"/>
    <w:rsid w:val="009424F9"/>
    <w:rsid w:val="00942599"/>
    <w:rsid w:val="0094261C"/>
    <w:rsid w:val="0094264C"/>
    <w:rsid w:val="0094268C"/>
    <w:rsid w:val="0094270F"/>
    <w:rsid w:val="0094274E"/>
    <w:rsid w:val="00942836"/>
    <w:rsid w:val="00942893"/>
    <w:rsid w:val="0094289C"/>
    <w:rsid w:val="0094289F"/>
    <w:rsid w:val="009428F3"/>
    <w:rsid w:val="0094290C"/>
    <w:rsid w:val="009429AE"/>
    <w:rsid w:val="009429EB"/>
    <w:rsid w:val="00942A24"/>
    <w:rsid w:val="00942A3F"/>
    <w:rsid w:val="00942AD8"/>
    <w:rsid w:val="00942C93"/>
    <w:rsid w:val="00942C9A"/>
    <w:rsid w:val="00942D35"/>
    <w:rsid w:val="00942DDA"/>
    <w:rsid w:val="00942E47"/>
    <w:rsid w:val="00942F36"/>
    <w:rsid w:val="0094301F"/>
    <w:rsid w:val="009430D5"/>
    <w:rsid w:val="00943100"/>
    <w:rsid w:val="009432AC"/>
    <w:rsid w:val="0094336B"/>
    <w:rsid w:val="009435F6"/>
    <w:rsid w:val="00943668"/>
    <w:rsid w:val="009436E7"/>
    <w:rsid w:val="009438DC"/>
    <w:rsid w:val="009439D6"/>
    <w:rsid w:val="00943A39"/>
    <w:rsid w:val="00943BAA"/>
    <w:rsid w:val="00943FCB"/>
    <w:rsid w:val="00943FDB"/>
    <w:rsid w:val="009441CE"/>
    <w:rsid w:val="00944207"/>
    <w:rsid w:val="0094427B"/>
    <w:rsid w:val="009442FF"/>
    <w:rsid w:val="00944326"/>
    <w:rsid w:val="0094453B"/>
    <w:rsid w:val="00944626"/>
    <w:rsid w:val="0094472A"/>
    <w:rsid w:val="009447CF"/>
    <w:rsid w:val="0094483D"/>
    <w:rsid w:val="009449FC"/>
    <w:rsid w:val="00944AB2"/>
    <w:rsid w:val="00944B4A"/>
    <w:rsid w:val="00944BAA"/>
    <w:rsid w:val="00944C4E"/>
    <w:rsid w:val="00944CC3"/>
    <w:rsid w:val="00944E17"/>
    <w:rsid w:val="0094517F"/>
    <w:rsid w:val="009451AC"/>
    <w:rsid w:val="0094521E"/>
    <w:rsid w:val="00945280"/>
    <w:rsid w:val="00945288"/>
    <w:rsid w:val="0094532F"/>
    <w:rsid w:val="009453CB"/>
    <w:rsid w:val="009453DC"/>
    <w:rsid w:val="009453E5"/>
    <w:rsid w:val="00945436"/>
    <w:rsid w:val="00945453"/>
    <w:rsid w:val="00945542"/>
    <w:rsid w:val="009456AE"/>
    <w:rsid w:val="009456D8"/>
    <w:rsid w:val="0094577E"/>
    <w:rsid w:val="00945790"/>
    <w:rsid w:val="009457B1"/>
    <w:rsid w:val="009457EC"/>
    <w:rsid w:val="009459B1"/>
    <w:rsid w:val="009459B8"/>
    <w:rsid w:val="00945A06"/>
    <w:rsid w:val="00945A20"/>
    <w:rsid w:val="00945D17"/>
    <w:rsid w:val="00945D58"/>
    <w:rsid w:val="00945E6C"/>
    <w:rsid w:val="00945FCF"/>
    <w:rsid w:val="00946073"/>
    <w:rsid w:val="0094608C"/>
    <w:rsid w:val="0094613D"/>
    <w:rsid w:val="009461F1"/>
    <w:rsid w:val="0094647A"/>
    <w:rsid w:val="009464EB"/>
    <w:rsid w:val="009465F2"/>
    <w:rsid w:val="00946763"/>
    <w:rsid w:val="009468C9"/>
    <w:rsid w:val="009468F0"/>
    <w:rsid w:val="009469F2"/>
    <w:rsid w:val="00946A8A"/>
    <w:rsid w:val="00946BF8"/>
    <w:rsid w:val="00946C11"/>
    <w:rsid w:val="00946C86"/>
    <w:rsid w:val="00946C99"/>
    <w:rsid w:val="00946C9F"/>
    <w:rsid w:val="00946CA2"/>
    <w:rsid w:val="00946D33"/>
    <w:rsid w:val="00946E60"/>
    <w:rsid w:val="00946F3F"/>
    <w:rsid w:val="00946FBA"/>
    <w:rsid w:val="00946FBC"/>
    <w:rsid w:val="009470FF"/>
    <w:rsid w:val="00947221"/>
    <w:rsid w:val="0094726D"/>
    <w:rsid w:val="009473F0"/>
    <w:rsid w:val="00947404"/>
    <w:rsid w:val="009474EC"/>
    <w:rsid w:val="00947525"/>
    <w:rsid w:val="00947608"/>
    <w:rsid w:val="00947775"/>
    <w:rsid w:val="0094782F"/>
    <w:rsid w:val="00947836"/>
    <w:rsid w:val="0094789F"/>
    <w:rsid w:val="009478B0"/>
    <w:rsid w:val="00947956"/>
    <w:rsid w:val="00947A62"/>
    <w:rsid w:val="00947AAC"/>
    <w:rsid w:val="00947ACD"/>
    <w:rsid w:val="00947B00"/>
    <w:rsid w:val="00947B08"/>
    <w:rsid w:val="00947B27"/>
    <w:rsid w:val="00947D62"/>
    <w:rsid w:val="00947DE2"/>
    <w:rsid w:val="00947E12"/>
    <w:rsid w:val="00947E63"/>
    <w:rsid w:val="00947F3C"/>
    <w:rsid w:val="00950209"/>
    <w:rsid w:val="0095026F"/>
    <w:rsid w:val="00950294"/>
    <w:rsid w:val="009502D7"/>
    <w:rsid w:val="00950407"/>
    <w:rsid w:val="00950409"/>
    <w:rsid w:val="0095045C"/>
    <w:rsid w:val="00950484"/>
    <w:rsid w:val="0095051C"/>
    <w:rsid w:val="00950540"/>
    <w:rsid w:val="009506A8"/>
    <w:rsid w:val="00950707"/>
    <w:rsid w:val="009507CF"/>
    <w:rsid w:val="00950830"/>
    <w:rsid w:val="009509ED"/>
    <w:rsid w:val="00950B3D"/>
    <w:rsid w:val="00950B74"/>
    <w:rsid w:val="00950C39"/>
    <w:rsid w:val="00950C62"/>
    <w:rsid w:val="00950C93"/>
    <w:rsid w:val="00950CB3"/>
    <w:rsid w:val="00950CCF"/>
    <w:rsid w:val="00950CF2"/>
    <w:rsid w:val="00950D93"/>
    <w:rsid w:val="009510ED"/>
    <w:rsid w:val="00951248"/>
    <w:rsid w:val="009512C8"/>
    <w:rsid w:val="009513ED"/>
    <w:rsid w:val="00951482"/>
    <w:rsid w:val="009514AA"/>
    <w:rsid w:val="009514EA"/>
    <w:rsid w:val="009516B0"/>
    <w:rsid w:val="009516D4"/>
    <w:rsid w:val="0095171D"/>
    <w:rsid w:val="009517D0"/>
    <w:rsid w:val="0095187E"/>
    <w:rsid w:val="00951A22"/>
    <w:rsid w:val="00951AB1"/>
    <w:rsid w:val="00951AB2"/>
    <w:rsid w:val="00951B1F"/>
    <w:rsid w:val="00951D1F"/>
    <w:rsid w:val="00951E1E"/>
    <w:rsid w:val="00951E81"/>
    <w:rsid w:val="00952219"/>
    <w:rsid w:val="00952286"/>
    <w:rsid w:val="0095228F"/>
    <w:rsid w:val="009522C2"/>
    <w:rsid w:val="00952453"/>
    <w:rsid w:val="00952495"/>
    <w:rsid w:val="0095252A"/>
    <w:rsid w:val="00952541"/>
    <w:rsid w:val="009525D9"/>
    <w:rsid w:val="00952808"/>
    <w:rsid w:val="00952885"/>
    <w:rsid w:val="009529A9"/>
    <w:rsid w:val="009529B5"/>
    <w:rsid w:val="009529FE"/>
    <w:rsid w:val="00952C95"/>
    <w:rsid w:val="00952D15"/>
    <w:rsid w:val="00952E11"/>
    <w:rsid w:val="0095302E"/>
    <w:rsid w:val="009530F4"/>
    <w:rsid w:val="00953179"/>
    <w:rsid w:val="009531B0"/>
    <w:rsid w:val="00953274"/>
    <w:rsid w:val="00953335"/>
    <w:rsid w:val="009534F5"/>
    <w:rsid w:val="009535B0"/>
    <w:rsid w:val="00953627"/>
    <w:rsid w:val="00953671"/>
    <w:rsid w:val="0095369B"/>
    <w:rsid w:val="00953862"/>
    <w:rsid w:val="009539B7"/>
    <w:rsid w:val="00953A84"/>
    <w:rsid w:val="00953BE3"/>
    <w:rsid w:val="00953C9B"/>
    <w:rsid w:val="00953CE6"/>
    <w:rsid w:val="00953DEC"/>
    <w:rsid w:val="00953E88"/>
    <w:rsid w:val="00953EC3"/>
    <w:rsid w:val="0095409B"/>
    <w:rsid w:val="009540B6"/>
    <w:rsid w:val="009543B7"/>
    <w:rsid w:val="009544FF"/>
    <w:rsid w:val="0095452E"/>
    <w:rsid w:val="00954532"/>
    <w:rsid w:val="00954548"/>
    <w:rsid w:val="00954578"/>
    <w:rsid w:val="009548C1"/>
    <w:rsid w:val="00954928"/>
    <w:rsid w:val="00954997"/>
    <w:rsid w:val="0095499A"/>
    <w:rsid w:val="00954A55"/>
    <w:rsid w:val="00954A62"/>
    <w:rsid w:val="00954B4E"/>
    <w:rsid w:val="00955008"/>
    <w:rsid w:val="009550DB"/>
    <w:rsid w:val="00955443"/>
    <w:rsid w:val="0095554F"/>
    <w:rsid w:val="009555A2"/>
    <w:rsid w:val="00955670"/>
    <w:rsid w:val="00955974"/>
    <w:rsid w:val="00955B23"/>
    <w:rsid w:val="00955BA4"/>
    <w:rsid w:val="00955CD3"/>
    <w:rsid w:val="00955D49"/>
    <w:rsid w:val="00955F34"/>
    <w:rsid w:val="0095600C"/>
    <w:rsid w:val="009560EE"/>
    <w:rsid w:val="00956304"/>
    <w:rsid w:val="00956371"/>
    <w:rsid w:val="00956379"/>
    <w:rsid w:val="009563A3"/>
    <w:rsid w:val="009563F6"/>
    <w:rsid w:val="00956477"/>
    <w:rsid w:val="009565AD"/>
    <w:rsid w:val="009565B3"/>
    <w:rsid w:val="009565CB"/>
    <w:rsid w:val="00956634"/>
    <w:rsid w:val="00956782"/>
    <w:rsid w:val="00956795"/>
    <w:rsid w:val="00956884"/>
    <w:rsid w:val="00956AE0"/>
    <w:rsid w:val="00956BA1"/>
    <w:rsid w:val="00956CA3"/>
    <w:rsid w:val="00956D0C"/>
    <w:rsid w:val="0095700D"/>
    <w:rsid w:val="00957168"/>
    <w:rsid w:val="009571C4"/>
    <w:rsid w:val="0095731B"/>
    <w:rsid w:val="00957357"/>
    <w:rsid w:val="0095739E"/>
    <w:rsid w:val="00957402"/>
    <w:rsid w:val="00957488"/>
    <w:rsid w:val="009574BC"/>
    <w:rsid w:val="00957617"/>
    <w:rsid w:val="009576A4"/>
    <w:rsid w:val="009576AA"/>
    <w:rsid w:val="009576C9"/>
    <w:rsid w:val="009576CE"/>
    <w:rsid w:val="009577BC"/>
    <w:rsid w:val="0095798D"/>
    <w:rsid w:val="00957A49"/>
    <w:rsid w:val="00957A6E"/>
    <w:rsid w:val="00957B91"/>
    <w:rsid w:val="00957DA8"/>
    <w:rsid w:val="00957E5D"/>
    <w:rsid w:val="0096008C"/>
    <w:rsid w:val="009600A6"/>
    <w:rsid w:val="00960148"/>
    <w:rsid w:val="009601DE"/>
    <w:rsid w:val="00960282"/>
    <w:rsid w:val="00960354"/>
    <w:rsid w:val="00960375"/>
    <w:rsid w:val="00960391"/>
    <w:rsid w:val="009603A0"/>
    <w:rsid w:val="009603EA"/>
    <w:rsid w:val="00960437"/>
    <w:rsid w:val="00960515"/>
    <w:rsid w:val="009605FC"/>
    <w:rsid w:val="0096064F"/>
    <w:rsid w:val="0096073C"/>
    <w:rsid w:val="00960876"/>
    <w:rsid w:val="009609C3"/>
    <w:rsid w:val="00960C7A"/>
    <w:rsid w:val="00960D0B"/>
    <w:rsid w:val="00960D1E"/>
    <w:rsid w:val="00960E1B"/>
    <w:rsid w:val="00960F8E"/>
    <w:rsid w:val="00961009"/>
    <w:rsid w:val="00961116"/>
    <w:rsid w:val="00961141"/>
    <w:rsid w:val="00961188"/>
    <w:rsid w:val="009611DA"/>
    <w:rsid w:val="0096124E"/>
    <w:rsid w:val="009612A3"/>
    <w:rsid w:val="009612DA"/>
    <w:rsid w:val="0096150F"/>
    <w:rsid w:val="0096159A"/>
    <w:rsid w:val="009615CE"/>
    <w:rsid w:val="009617D2"/>
    <w:rsid w:val="00961834"/>
    <w:rsid w:val="00961844"/>
    <w:rsid w:val="0096186B"/>
    <w:rsid w:val="00961978"/>
    <w:rsid w:val="0096197D"/>
    <w:rsid w:val="00961A56"/>
    <w:rsid w:val="00961A5E"/>
    <w:rsid w:val="00961AAB"/>
    <w:rsid w:val="00961AE0"/>
    <w:rsid w:val="00961D3E"/>
    <w:rsid w:val="00961E44"/>
    <w:rsid w:val="00961F12"/>
    <w:rsid w:val="00962058"/>
    <w:rsid w:val="009620EC"/>
    <w:rsid w:val="00962194"/>
    <w:rsid w:val="009622E6"/>
    <w:rsid w:val="0096235F"/>
    <w:rsid w:val="009623A3"/>
    <w:rsid w:val="00962430"/>
    <w:rsid w:val="0096249A"/>
    <w:rsid w:val="009624FD"/>
    <w:rsid w:val="009625D8"/>
    <w:rsid w:val="0096296C"/>
    <w:rsid w:val="009629C6"/>
    <w:rsid w:val="00962B1C"/>
    <w:rsid w:val="00962C61"/>
    <w:rsid w:val="00962CBB"/>
    <w:rsid w:val="00962D80"/>
    <w:rsid w:val="00962D88"/>
    <w:rsid w:val="00962E08"/>
    <w:rsid w:val="00962E52"/>
    <w:rsid w:val="0096300E"/>
    <w:rsid w:val="009630D6"/>
    <w:rsid w:val="009632B7"/>
    <w:rsid w:val="009632F6"/>
    <w:rsid w:val="0096341F"/>
    <w:rsid w:val="009634BB"/>
    <w:rsid w:val="00963539"/>
    <w:rsid w:val="009635E9"/>
    <w:rsid w:val="0096365C"/>
    <w:rsid w:val="009636FF"/>
    <w:rsid w:val="00963954"/>
    <w:rsid w:val="00963979"/>
    <w:rsid w:val="00963AAA"/>
    <w:rsid w:val="00963AC4"/>
    <w:rsid w:val="00963ACC"/>
    <w:rsid w:val="00963B3D"/>
    <w:rsid w:val="00963DB2"/>
    <w:rsid w:val="00963DDF"/>
    <w:rsid w:val="00963E3E"/>
    <w:rsid w:val="00964202"/>
    <w:rsid w:val="00964269"/>
    <w:rsid w:val="00964331"/>
    <w:rsid w:val="0096437C"/>
    <w:rsid w:val="00964540"/>
    <w:rsid w:val="00964546"/>
    <w:rsid w:val="00964560"/>
    <w:rsid w:val="00964596"/>
    <w:rsid w:val="009645AB"/>
    <w:rsid w:val="0096460B"/>
    <w:rsid w:val="00964685"/>
    <w:rsid w:val="0096469E"/>
    <w:rsid w:val="009646AA"/>
    <w:rsid w:val="009647CE"/>
    <w:rsid w:val="0096484B"/>
    <w:rsid w:val="0096488D"/>
    <w:rsid w:val="00964916"/>
    <w:rsid w:val="00964A91"/>
    <w:rsid w:val="00964B1A"/>
    <w:rsid w:val="00964BA7"/>
    <w:rsid w:val="00964C05"/>
    <w:rsid w:val="00964DD6"/>
    <w:rsid w:val="00964E79"/>
    <w:rsid w:val="00964EEC"/>
    <w:rsid w:val="00964F1D"/>
    <w:rsid w:val="00964F26"/>
    <w:rsid w:val="0096507B"/>
    <w:rsid w:val="00965093"/>
    <w:rsid w:val="00965348"/>
    <w:rsid w:val="00965355"/>
    <w:rsid w:val="009654B4"/>
    <w:rsid w:val="009654DF"/>
    <w:rsid w:val="0096567A"/>
    <w:rsid w:val="00965708"/>
    <w:rsid w:val="0096571A"/>
    <w:rsid w:val="009657B2"/>
    <w:rsid w:val="009657C3"/>
    <w:rsid w:val="009659CF"/>
    <w:rsid w:val="00965A98"/>
    <w:rsid w:val="00965AF2"/>
    <w:rsid w:val="00965C0A"/>
    <w:rsid w:val="00965C1D"/>
    <w:rsid w:val="00965CB2"/>
    <w:rsid w:val="00965CE7"/>
    <w:rsid w:val="00965CF7"/>
    <w:rsid w:val="00965ED3"/>
    <w:rsid w:val="00965FAF"/>
    <w:rsid w:val="00965FF1"/>
    <w:rsid w:val="009660DB"/>
    <w:rsid w:val="0096610B"/>
    <w:rsid w:val="0096613A"/>
    <w:rsid w:val="00966197"/>
    <w:rsid w:val="009662EC"/>
    <w:rsid w:val="0096647E"/>
    <w:rsid w:val="009664CF"/>
    <w:rsid w:val="00966554"/>
    <w:rsid w:val="00966585"/>
    <w:rsid w:val="009665D8"/>
    <w:rsid w:val="009665E6"/>
    <w:rsid w:val="00966671"/>
    <w:rsid w:val="00966672"/>
    <w:rsid w:val="009667D0"/>
    <w:rsid w:val="009668FB"/>
    <w:rsid w:val="00966928"/>
    <w:rsid w:val="00966A58"/>
    <w:rsid w:val="00966A5E"/>
    <w:rsid w:val="00966AB1"/>
    <w:rsid w:val="00966B8F"/>
    <w:rsid w:val="00966D27"/>
    <w:rsid w:val="00966D68"/>
    <w:rsid w:val="00966DDD"/>
    <w:rsid w:val="0096702F"/>
    <w:rsid w:val="00967073"/>
    <w:rsid w:val="009670BA"/>
    <w:rsid w:val="009670CA"/>
    <w:rsid w:val="00967400"/>
    <w:rsid w:val="00967454"/>
    <w:rsid w:val="00967487"/>
    <w:rsid w:val="0096748A"/>
    <w:rsid w:val="00967588"/>
    <w:rsid w:val="009676D6"/>
    <w:rsid w:val="009677E2"/>
    <w:rsid w:val="00967A19"/>
    <w:rsid w:val="00967AB6"/>
    <w:rsid w:val="00967B79"/>
    <w:rsid w:val="00967B9D"/>
    <w:rsid w:val="00967BE3"/>
    <w:rsid w:val="00967DCA"/>
    <w:rsid w:val="00967F85"/>
    <w:rsid w:val="00967FCE"/>
    <w:rsid w:val="00970052"/>
    <w:rsid w:val="009700FC"/>
    <w:rsid w:val="00970198"/>
    <w:rsid w:val="009701D8"/>
    <w:rsid w:val="009702A5"/>
    <w:rsid w:val="00970312"/>
    <w:rsid w:val="00970359"/>
    <w:rsid w:val="00970376"/>
    <w:rsid w:val="009703B5"/>
    <w:rsid w:val="009703F3"/>
    <w:rsid w:val="0097056F"/>
    <w:rsid w:val="0097072E"/>
    <w:rsid w:val="009707B2"/>
    <w:rsid w:val="0097086C"/>
    <w:rsid w:val="00970970"/>
    <w:rsid w:val="00970AD9"/>
    <w:rsid w:val="00970B42"/>
    <w:rsid w:val="00970B44"/>
    <w:rsid w:val="00970BAD"/>
    <w:rsid w:val="00970C2C"/>
    <w:rsid w:val="00970C42"/>
    <w:rsid w:val="00970C89"/>
    <w:rsid w:val="00970D46"/>
    <w:rsid w:val="00970F71"/>
    <w:rsid w:val="0097105C"/>
    <w:rsid w:val="009712CE"/>
    <w:rsid w:val="009715CB"/>
    <w:rsid w:val="0097168B"/>
    <w:rsid w:val="009717C4"/>
    <w:rsid w:val="00971944"/>
    <w:rsid w:val="00971970"/>
    <w:rsid w:val="00971AB9"/>
    <w:rsid w:val="00971B5E"/>
    <w:rsid w:val="00971BA6"/>
    <w:rsid w:val="00971C36"/>
    <w:rsid w:val="00971CF0"/>
    <w:rsid w:val="00971D5D"/>
    <w:rsid w:val="00971DDC"/>
    <w:rsid w:val="00971DFE"/>
    <w:rsid w:val="00971ED2"/>
    <w:rsid w:val="00972056"/>
    <w:rsid w:val="00972098"/>
    <w:rsid w:val="00972256"/>
    <w:rsid w:val="0097238A"/>
    <w:rsid w:val="009723E7"/>
    <w:rsid w:val="0097243F"/>
    <w:rsid w:val="0097256A"/>
    <w:rsid w:val="009725BD"/>
    <w:rsid w:val="00972638"/>
    <w:rsid w:val="0097264D"/>
    <w:rsid w:val="0097266A"/>
    <w:rsid w:val="00972673"/>
    <w:rsid w:val="00972882"/>
    <w:rsid w:val="00972967"/>
    <w:rsid w:val="00972992"/>
    <w:rsid w:val="00972A0F"/>
    <w:rsid w:val="00972AB6"/>
    <w:rsid w:val="00972ACD"/>
    <w:rsid w:val="00972ADA"/>
    <w:rsid w:val="00972DDF"/>
    <w:rsid w:val="00973021"/>
    <w:rsid w:val="00973227"/>
    <w:rsid w:val="00973360"/>
    <w:rsid w:val="0097339E"/>
    <w:rsid w:val="0097344F"/>
    <w:rsid w:val="00973460"/>
    <w:rsid w:val="0097356B"/>
    <w:rsid w:val="0097364F"/>
    <w:rsid w:val="0097369E"/>
    <w:rsid w:val="009736D9"/>
    <w:rsid w:val="0097370E"/>
    <w:rsid w:val="00973784"/>
    <w:rsid w:val="00973855"/>
    <w:rsid w:val="0097389B"/>
    <w:rsid w:val="009738FD"/>
    <w:rsid w:val="00973932"/>
    <w:rsid w:val="009739D4"/>
    <w:rsid w:val="00973A53"/>
    <w:rsid w:val="00973B7F"/>
    <w:rsid w:val="00973C8E"/>
    <w:rsid w:val="00973C96"/>
    <w:rsid w:val="00973CAD"/>
    <w:rsid w:val="00973E13"/>
    <w:rsid w:val="00973EE9"/>
    <w:rsid w:val="00973EF0"/>
    <w:rsid w:val="0097414E"/>
    <w:rsid w:val="0097444A"/>
    <w:rsid w:val="00974629"/>
    <w:rsid w:val="00974761"/>
    <w:rsid w:val="009747B6"/>
    <w:rsid w:val="009748E9"/>
    <w:rsid w:val="00974915"/>
    <w:rsid w:val="009749FD"/>
    <w:rsid w:val="00974B11"/>
    <w:rsid w:val="00974B6C"/>
    <w:rsid w:val="00974B91"/>
    <w:rsid w:val="00974BD9"/>
    <w:rsid w:val="00974C60"/>
    <w:rsid w:val="00974CB0"/>
    <w:rsid w:val="00974D74"/>
    <w:rsid w:val="00974D86"/>
    <w:rsid w:val="00974F93"/>
    <w:rsid w:val="00974F95"/>
    <w:rsid w:val="00975016"/>
    <w:rsid w:val="00975124"/>
    <w:rsid w:val="00975193"/>
    <w:rsid w:val="009753CF"/>
    <w:rsid w:val="0097549A"/>
    <w:rsid w:val="009754E5"/>
    <w:rsid w:val="00975502"/>
    <w:rsid w:val="00975555"/>
    <w:rsid w:val="0097567C"/>
    <w:rsid w:val="00975BA5"/>
    <w:rsid w:val="00975BF1"/>
    <w:rsid w:val="00975C12"/>
    <w:rsid w:val="00975CEF"/>
    <w:rsid w:val="00975D20"/>
    <w:rsid w:val="00975E12"/>
    <w:rsid w:val="00975ECE"/>
    <w:rsid w:val="00975F64"/>
    <w:rsid w:val="009760EC"/>
    <w:rsid w:val="00976242"/>
    <w:rsid w:val="0097629F"/>
    <w:rsid w:val="009763AC"/>
    <w:rsid w:val="009763B7"/>
    <w:rsid w:val="0097643C"/>
    <w:rsid w:val="009764B7"/>
    <w:rsid w:val="009765CB"/>
    <w:rsid w:val="0097673C"/>
    <w:rsid w:val="00976823"/>
    <w:rsid w:val="0097688C"/>
    <w:rsid w:val="00976A62"/>
    <w:rsid w:val="00976AA5"/>
    <w:rsid w:val="00976BD1"/>
    <w:rsid w:val="00976BE2"/>
    <w:rsid w:val="00976C06"/>
    <w:rsid w:val="00976CCE"/>
    <w:rsid w:val="00976CF9"/>
    <w:rsid w:val="00976D0D"/>
    <w:rsid w:val="00976D20"/>
    <w:rsid w:val="00976D9E"/>
    <w:rsid w:val="00976EED"/>
    <w:rsid w:val="00976F2D"/>
    <w:rsid w:val="00976FE5"/>
    <w:rsid w:val="009772DB"/>
    <w:rsid w:val="009772EF"/>
    <w:rsid w:val="00977389"/>
    <w:rsid w:val="009773C1"/>
    <w:rsid w:val="009773DE"/>
    <w:rsid w:val="00977441"/>
    <w:rsid w:val="00977449"/>
    <w:rsid w:val="009774F1"/>
    <w:rsid w:val="00977667"/>
    <w:rsid w:val="009778C0"/>
    <w:rsid w:val="009778E4"/>
    <w:rsid w:val="00977A51"/>
    <w:rsid w:val="00977ADF"/>
    <w:rsid w:val="00977B0C"/>
    <w:rsid w:val="00977BF7"/>
    <w:rsid w:val="00977C87"/>
    <w:rsid w:val="00977CF5"/>
    <w:rsid w:val="00977D4E"/>
    <w:rsid w:val="00977D9D"/>
    <w:rsid w:val="00977DEF"/>
    <w:rsid w:val="00977F44"/>
    <w:rsid w:val="00980009"/>
    <w:rsid w:val="0098002E"/>
    <w:rsid w:val="009801E7"/>
    <w:rsid w:val="00980316"/>
    <w:rsid w:val="009803D4"/>
    <w:rsid w:val="00980486"/>
    <w:rsid w:val="00980732"/>
    <w:rsid w:val="00980821"/>
    <w:rsid w:val="00980898"/>
    <w:rsid w:val="00980918"/>
    <w:rsid w:val="009809C7"/>
    <w:rsid w:val="009809E8"/>
    <w:rsid w:val="009809EE"/>
    <w:rsid w:val="00980A5C"/>
    <w:rsid w:val="00980A81"/>
    <w:rsid w:val="00980A8D"/>
    <w:rsid w:val="00980BEC"/>
    <w:rsid w:val="00980C24"/>
    <w:rsid w:val="00980D62"/>
    <w:rsid w:val="00980EFF"/>
    <w:rsid w:val="00980FF7"/>
    <w:rsid w:val="009810A3"/>
    <w:rsid w:val="009810E2"/>
    <w:rsid w:val="0098111F"/>
    <w:rsid w:val="00981125"/>
    <w:rsid w:val="00981145"/>
    <w:rsid w:val="0098116B"/>
    <w:rsid w:val="0098118F"/>
    <w:rsid w:val="00981192"/>
    <w:rsid w:val="009813AB"/>
    <w:rsid w:val="009813DB"/>
    <w:rsid w:val="00981422"/>
    <w:rsid w:val="009816B9"/>
    <w:rsid w:val="009817E2"/>
    <w:rsid w:val="00981AB3"/>
    <w:rsid w:val="00981B67"/>
    <w:rsid w:val="00981D1D"/>
    <w:rsid w:val="009820A3"/>
    <w:rsid w:val="00982151"/>
    <w:rsid w:val="009822C7"/>
    <w:rsid w:val="0098241D"/>
    <w:rsid w:val="009824A8"/>
    <w:rsid w:val="009824B3"/>
    <w:rsid w:val="00982563"/>
    <w:rsid w:val="009825A8"/>
    <w:rsid w:val="0098262A"/>
    <w:rsid w:val="009826F4"/>
    <w:rsid w:val="0098280E"/>
    <w:rsid w:val="00982838"/>
    <w:rsid w:val="00982847"/>
    <w:rsid w:val="00982936"/>
    <w:rsid w:val="00982978"/>
    <w:rsid w:val="009829BF"/>
    <w:rsid w:val="00982A68"/>
    <w:rsid w:val="00982A73"/>
    <w:rsid w:val="00982B50"/>
    <w:rsid w:val="00982C43"/>
    <w:rsid w:val="00982C4F"/>
    <w:rsid w:val="00982CFB"/>
    <w:rsid w:val="00982E39"/>
    <w:rsid w:val="00982F1E"/>
    <w:rsid w:val="00983044"/>
    <w:rsid w:val="00983083"/>
    <w:rsid w:val="009830EE"/>
    <w:rsid w:val="00983108"/>
    <w:rsid w:val="009831E8"/>
    <w:rsid w:val="0098333E"/>
    <w:rsid w:val="00983349"/>
    <w:rsid w:val="00983507"/>
    <w:rsid w:val="00983575"/>
    <w:rsid w:val="0098370E"/>
    <w:rsid w:val="009837E5"/>
    <w:rsid w:val="009837E9"/>
    <w:rsid w:val="009837FC"/>
    <w:rsid w:val="009838B3"/>
    <w:rsid w:val="009838D2"/>
    <w:rsid w:val="009838EE"/>
    <w:rsid w:val="00983911"/>
    <w:rsid w:val="00983930"/>
    <w:rsid w:val="00983958"/>
    <w:rsid w:val="0098397A"/>
    <w:rsid w:val="00983A35"/>
    <w:rsid w:val="00983B34"/>
    <w:rsid w:val="00983D0F"/>
    <w:rsid w:val="00983D10"/>
    <w:rsid w:val="00983EB6"/>
    <w:rsid w:val="00984060"/>
    <w:rsid w:val="009840E0"/>
    <w:rsid w:val="00984268"/>
    <w:rsid w:val="009842A4"/>
    <w:rsid w:val="0098453E"/>
    <w:rsid w:val="00984544"/>
    <w:rsid w:val="00984588"/>
    <w:rsid w:val="00984606"/>
    <w:rsid w:val="00984709"/>
    <w:rsid w:val="0098487A"/>
    <w:rsid w:val="00984977"/>
    <w:rsid w:val="00984A9C"/>
    <w:rsid w:val="00984AC3"/>
    <w:rsid w:val="00984BFE"/>
    <w:rsid w:val="00984D22"/>
    <w:rsid w:val="00984D6C"/>
    <w:rsid w:val="00984E52"/>
    <w:rsid w:val="00984EA1"/>
    <w:rsid w:val="00984ED2"/>
    <w:rsid w:val="00984EE0"/>
    <w:rsid w:val="00984F0E"/>
    <w:rsid w:val="00984F4D"/>
    <w:rsid w:val="0098514D"/>
    <w:rsid w:val="009851D7"/>
    <w:rsid w:val="0098521F"/>
    <w:rsid w:val="00985241"/>
    <w:rsid w:val="009852C5"/>
    <w:rsid w:val="009852FD"/>
    <w:rsid w:val="009853CA"/>
    <w:rsid w:val="009853E4"/>
    <w:rsid w:val="009854A2"/>
    <w:rsid w:val="009855FE"/>
    <w:rsid w:val="00985618"/>
    <w:rsid w:val="009856C4"/>
    <w:rsid w:val="0098571F"/>
    <w:rsid w:val="009857F7"/>
    <w:rsid w:val="009858C1"/>
    <w:rsid w:val="00985974"/>
    <w:rsid w:val="009859FF"/>
    <w:rsid w:val="00985A69"/>
    <w:rsid w:val="00985AB1"/>
    <w:rsid w:val="00985C7F"/>
    <w:rsid w:val="00985FBF"/>
    <w:rsid w:val="00986018"/>
    <w:rsid w:val="009860EA"/>
    <w:rsid w:val="0098610E"/>
    <w:rsid w:val="00986139"/>
    <w:rsid w:val="0098620D"/>
    <w:rsid w:val="0098628C"/>
    <w:rsid w:val="00986340"/>
    <w:rsid w:val="00986524"/>
    <w:rsid w:val="00986538"/>
    <w:rsid w:val="0098677B"/>
    <w:rsid w:val="009867CD"/>
    <w:rsid w:val="009867D1"/>
    <w:rsid w:val="00986A67"/>
    <w:rsid w:val="00986B58"/>
    <w:rsid w:val="00986C3B"/>
    <w:rsid w:val="00986FD2"/>
    <w:rsid w:val="00987026"/>
    <w:rsid w:val="0098702C"/>
    <w:rsid w:val="009870F2"/>
    <w:rsid w:val="00987220"/>
    <w:rsid w:val="00987241"/>
    <w:rsid w:val="00987295"/>
    <w:rsid w:val="00987448"/>
    <w:rsid w:val="009877B7"/>
    <w:rsid w:val="009878AB"/>
    <w:rsid w:val="009878F9"/>
    <w:rsid w:val="0098798C"/>
    <w:rsid w:val="00987999"/>
    <w:rsid w:val="009879AA"/>
    <w:rsid w:val="00987A10"/>
    <w:rsid w:val="00987C27"/>
    <w:rsid w:val="00987C36"/>
    <w:rsid w:val="00987CB3"/>
    <w:rsid w:val="00987D03"/>
    <w:rsid w:val="00987E28"/>
    <w:rsid w:val="00987E7A"/>
    <w:rsid w:val="00987F08"/>
    <w:rsid w:val="0099001D"/>
    <w:rsid w:val="0099004D"/>
    <w:rsid w:val="00990172"/>
    <w:rsid w:val="00990222"/>
    <w:rsid w:val="0099022C"/>
    <w:rsid w:val="009902B4"/>
    <w:rsid w:val="009902DB"/>
    <w:rsid w:val="0099045B"/>
    <w:rsid w:val="00990501"/>
    <w:rsid w:val="00990897"/>
    <w:rsid w:val="00990B1C"/>
    <w:rsid w:val="00990B2F"/>
    <w:rsid w:val="00990B58"/>
    <w:rsid w:val="00990C3E"/>
    <w:rsid w:val="00990CCD"/>
    <w:rsid w:val="00990D87"/>
    <w:rsid w:val="00990E04"/>
    <w:rsid w:val="00991033"/>
    <w:rsid w:val="009910DA"/>
    <w:rsid w:val="009910ED"/>
    <w:rsid w:val="00991108"/>
    <w:rsid w:val="00991148"/>
    <w:rsid w:val="0099131F"/>
    <w:rsid w:val="00991320"/>
    <w:rsid w:val="0099139D"/>
    <w:rsid w:val="009913EC"/>
    <w:rsid w:val="009915EA"/>
    <w:rsid w:val="009916BD"/>
    <w:rsid w:val="0099170B"/>
    <w:rsid w:val="009918A1"/>
    <w:rsid w:val="009918FE"/>
    <w:rsid w:val="00991A63"/>
    <w:rsid w:val="00991B9D"/>
    <w:rsid w:val="00991C43"/>
    <w:rsid w:val="00991C61"/>
    <w:rsid w:val="00991D5C"/>
    <w:rsid w:val="00991DD7"/>
    <w:rsid w:val="00991E16"/>
    <w:rsid w:val="00991E19"/>
    <w:rsid w:val="00991F63"/>
    <w:rsid w:val="00991FAE"/>
    <w:rsid w:val="00991FE6"/>
    <w:rsid w:val="009920F8"/>
    <w:rsid w:val="0099212D"/>
    <w:rsid w:val="00992165"/>
    <w:rsid w:val="009921F2"/>
    <w:rsid w:val="00992348"/>
    <w:rsid w:val="009923FF"/>
    <w:rsid w:val="00992498"/>
    <w:rsid w:val="009925A0"/>
    <w:rsid w:val="009925CA"/>
    <w:rsid w:val="0099279F"/>
    <w:rsid w:val="009928A1"/>
    <w:rsid w:val="00992959"/>
    <w:rsid w:val="0099296F"/>
    <w:rsid w:val="00992A0F"/>
    <w:rsid w:val="00992B40"/>
    <w:rsid w:val="00992B51"/>
    <w:rsid w:val="00992C77"/>
    <w:rsid w:val="00992D21"/>
    <w:rsid w:val="00992D3B"/>
    <w:rsid w:val="00992DBF"/>
    <w:rsid w:val="00992E3F"/>
    <w:rsid w:val="00992E97"/>
    <w:rsid w:val="00992F3E"/>
    <w:rsid w:val="00992FED"/>
    <w:rsid w:val="0099304B"/>
    <w:rsid w:val="00993180"/>
    <w:rsid w:val="00993182"/>
    <w:rsid w:val="009931C1"/>
    <w:rsid w:val="009932AA"/>
    <w:rsid w:val="0099333E"/>
    <w:rsid w:val="00993499"/>
    <w:rsid w:val="0099349B"/>
    <w:rsid w:val="00993516"/>
    <w:rsid w:val="009936BC"/>
    <w:rsid w:val="009936C8"/>
    <w:rsid w:val="009936FF"/>
    <w:rsid w:val="009937DB"/>
    <w:rsid w:val="0099381F"/>
    <w:rsid w:val="00993830"/>
    <w:rsid w:val="0099388C"/>
    <w:rsid w:val="00993A8A"/>
    <w:rsid w:val="00993ACB"/>
    <w:rsid w:val="00993C22"/>
    <w:rsid w:val="00993E38"/>
    <w:rsid w:val="00993E4A"/>
    <w:rsid w:val="00993F04"/>
    <w:rsid w:val="00993F74"/>
    <w:rsid w:val="00994018"/>
    <w:rsid w:val="0099404D"/>
    <w:rsid w:val="0099406F"/>
    <w:rsid w:val="00994092"/>
    <w:rsid w:val="00994241"/>
    <w:rsid w:val="00994306"/>
    <w:rsid w:val="00994319"/>
    <w:rsid w:val="00994321"/>
    <w:rsid w:val="00994386"/>
    <w:rsid w:val="00994390"/>
    <w:rsid w:val="009943F0"/>
    <w:rsid w:val="00994478"/>
    <w:rsid w:val="009944B9"/>
    <w:rsid w:val="009946B1"/>
    <w:rsid w:val="009946E3"/>
    <w:rsid w:val="009947B9"/>
    <w:rsid w:val="00994819"/>
    <w:rsid w:val="009948B4"/>
    <w:rsid w:val="00994B65"/>
    <w:rsid w:val="00994C6A"/>
    <w:rsid w:val="00994CD2"/>
    <w:rsid w:val="00994CDA"/>
    <w:rsid w:val="00994D62"/>
    <w:rsid w:val="00994F3A"/>
    <w:rsid w:val="00994F80"/>
    <w:rsid w:val="00994F91"/>
    <w:rsid w:val="009950B1"/>
    <w:rsid w:val="009950F7"/>
    <w:rsid w:val="00995262"/>
    <w:rsid w:val="009954F4"/>
    <w:rsid w:val="0099557B"/>
    <w:rsid w:val="00995658"/>
    <w:rsid w:val="00995820"/>
    <w:rsid w:val="00995876"/>
    <w:rsid w:val="009959FC"/>
    <w:rsid w:val="00995B09"/>
    <w:rsid w:val="00995BD5"/>
    <w:rsid w:val="00995C23"/>
    <w:rsid w:val="00995C30"/>
    <w:rsid w:val="00995C3B"/>
    <w:rsid w:val="00995CEF"/>
    <w:rsid w:val="00995D5A"/>
    <w:rsid w:val="00995DAF"/>
    <w:rsid w:val="0099611B"/>
    <w:rsid w:val="00996140"/>
    <w:rsid w:val="00996177"/>
    <w:rsid w:val="00996337"/>
    <w:rsid w:val="009964F9"/>
    <w:rsid w:val="0099661B"/>
    <w:rsid w:val="009966D0"/>
    <w:rsid w:val="00996744"/>
    <w:rsid w:val="0099676B"/>
    <w:rsid w:val="0099677F"/>
    <w:rsid w:val="009967FF"/>
    <w:rsid w:val="0099680E"/>
    <w:rsid w:val="00996931"/>
    <w:rsid w:val="009969F7"/>
    <w:rsid w:val="00996A34"/>
    <w:rsid w:val="00996B2F"/>
    <w:rsid w:val="00996D43"/>
    <w:rsid w:val="00996DD0"/>
    <w:rsid w:val="00996E2F"/>
    <w:rsid w:val="00996E9F"/>
    <w:rsid w:val="00996EF1"/>
    <w:rsid w:val="00996F61"/>
    <w:rsid w:val="00996F66"/>
    <w:rsid w:val="0099703A"/>
    <w:rsid w:val="009970DD"/>
    <w:rsid w:val="009972A6"/>
    <w:rsid w:val="009972E1"/>
    <w:rsid w:val="0099739E"/>
    <w:rsid w:val="00997418"/>
    <w:rsid w:val="0099749E"/>
    <w:rsid w:val="009974B4"/>
    <w:rsid w:val="009974BF"/>
    <w:rsid w:val="00997588"/>
    <w:rsid w:val="009975C3"/>
    <w:rsid w:val="00997684"/>
    <w:rsid w:val="00997795"/>
    <w:rsid w:val="0099783A"/>
    <w:rsid w:val="00997846"/>
    <w:rsid w:val="009978B1"/>
    <w:rsid w:val="00997A16"/>
    <w:rsid w:val="00997ADA"/>
    <w:rsid w:val="00997AEB"/>
    <w:rsid w:val="00997BEB"/>
    <w:rsid w:val="00997C4F"/>
    <w:rsid w:val="00997D0B"/>
    <w:rsid w:val="00997DE6"/>
    <w:rsid w:val="009A0001"/>
    <w:rsid w:val="009A004B"/>
    <w:rsid w:val="009A00DE"/>
    <w:rsid w:val="009A011B"/>
    <w:rsid w:val="009A02A6"/>
    <w:rsid w:val="009A02FD"/>
    <w:rsid w:val="009A0309"/>
    <w:rsid w:val="009A0319"/>
    <w:rsid w:val="009A0395"/>
    <w:rsid w:val="009A03B0"/>
    <w:rsid w:val="009A041D"/>
    <w:rsid w:val="009A042A"/>
    <w:rsid w:val="009A04FC"/>
    <w:rsid w:val="009A055A"/>
    <w:rsid w:val="009A0570"/>
    <w:rsid w:val="009A05B6"/>
    <w:rsid w:val="009A0775"/>
    <w:rsid w:val="009A0888"/>
    <w:rsid w:val="009A0919"/>
    <w:rsid w:val="009A098E"/>
    <w:rsid w:val="009A0AB9"/>
    <w:rsid w:val="009A0C12"/>
    <w:rsid w:val="009A0CAF"/>
    <w:rsid w:val="009A0D82"/>
    <w:rsid w:val="009A0E4D"/>
    <w:rsid w:val="009A0ED8"/>
    <w:rsid w:val="009A0F35"/>
    <w:rsid w:val="009A0FBC"/>
    <w:rsid w:val="009A100E"/>
    <w:rsid w:val="009A1189"/>
    <w:rsid w:val="009A1264"/>
    <w:rsid w:val="009A131B"/>
    <w:rsid w:val="009A134F"/>
    <w:rsid w:val="009A177E"/>
    <w:rsid w:val="009A17BD"/>
    <w:rsid w:val="009A1811"/>
    <w:rsid w:val="009A1920"/>
    <w:rsid w:val="009A19FB"/>
    <w:rsid w:val="009A1A08"/>
    <w:rsid w:val="009A1A24"/>
    <w:rsid w:val="009A1A2F"/>
    <w:rsid w:val="009A1B4D"/>
    <w:rsid w:val="009A1CDE"/>
    <w:rsid w:val="009A1DA6"/>
    <w:rsid w:val="009A1DA7"/>
    <w:rsid w:val="009A1E8A"/>
    <w:rsid w:val="009A1F48"/>
    <w:rsid w:val="009A1F70"/>
    <w:rsid w:val="009A1F93"/>
    <w:rsid w:val="009A216D"/>
    <w:rsid w:val="009A21F1"/>
    <w:rsid w:val="009A2235"/>
    <w:rsid w:val="009A235E"/>
    <w:rsid w:val="009A2552"/>
    <w:rsid w:val="009A257F"/>
    <w:rsid w:val="009A25CD"/>
    <w:rsid w:val="009A274C"/>
    <w:rsid w:val="009A2754"/>
    <w:rsid w:val="009A284C"/>
    <w:rsid w:val="009A28A3"/>
    <w:rsid w:val="009A2929"/>
    <w:rsid w:val="009A2ADA"/>
    <w:rsid w:val="009A2E9D"/>
    <w:rsid w:val="009A2F46"/>
    <w:rsid w:val="009A2F77"/>
    <w:rsid w:val="009A2FEF"/>
    <w:rsid w:val="009A3143"/>
    <w:rsid w:val="009A3157"/>
    <w:rsid w:val="009A3378"/>
    <w:rsid w:val="009A33F7"/>
    <w:rsid w:val="009A34C7"/>
    <w:rsid w:val="009A358D"/>
    <w:rsid w:val="009A398D"/>
    <w:rsid w:val="009A3998"/>
    <w:rsid w:val="009A39D7"/>
    <w:rsid w:val="009A39F0"/>
    <w:rsid w:val="009A3ABD"/>
    <w:rsid w:val="009A3B66"/>
    <w:rsid w:val="009A3BDC"/>
    <w:rsid w:val="009A3C3B"/>
    <w:rsid w:val="009A3CE4"/>
    <w:rsid w:val="009A3D7D"/>
    <w:rsid w:val="009A3E3D"/>
    <w:rsid w:val="009A3E9F"/>
    <w:rsid w:val="009A45AE"/>
    <w:rsid w:val="009A4615"/>
    <w:rsid w:val="009A46E6"/>
    <w:rsid w:val="009A474A"/>
    <w:rsid w:val="009A486F"/>
    <w:rsid w:val="009A48FE"/>
    <w:rsid w:val="009A495A"/>
    <w:rsid w:val="009A49C2"/>
    <w:rsid w:val="009A4AB2"/>
    <w:rsid w:val="009A4AED"/>
    <w:rsid w:val="009A4B09"/>
    <w:rsid w:val="009A4B7C"/>
    <w:rsid w:val="009A4CB8"/>
    <w:rsid w:val="009A4D19"/>
    <w:rsid w:val="009A4D89"/>
    <w:rsid w:val="009A4E06"/>
    <w:rsid w:val="009A4E6B"/>
    <w:rsid w:val="009A4EBF"/>
    <w:rsid w:val="009A4F11"/>
    <w:rsid w:val="009A5245"/>
    <w:rsid w:val="009A5274"/>
    <w:rsid w:val="009A53AB"/>
    <w:rsid w:val="009A542A"/>
    <w:rsid w:val="009A54B8"/>
    <w:rsid w:val="009A5555"/>
    <w:rsid w:val="009A56A0"/>
    <w:rsid w:val="009A56AA"/>
    <w:rsid w:val="009A5740"/>
    <w:rsid w:val="009A5757"/>
    <w:rsid w:val="009A5804"/>
    <w:rsid w:val="009A5866"/>
    <w:rsid w:val="009A5B71"/>
    <w:rsid w:val="009A5BD1"/>
    <w:rsid w:val="009A5D5F"/>
    <w:rsid w:val="009A5FA3"/>
    <w:rsid w:val="009A5FF5"/>
    <w:rsid w:val="009A609C"/>
    <w:rsid w:val="009A60E8"/>
    <w:rsid w:val="009A65AE"/>
    <w:rsid w:val="009A6608"/>
    <w:rsid w:val="009A66C9"/>
    <w:rsid w:val="009A6832"/>
    <w:rsid w:val="009A68C0"/>
    <w:rsid w:val="009A6904"/>
    <w:rsid w:val="009A6917"/>
    <w:rsid w:val="009A6964"/>
    <w:rsid w:val="009A6A17"/>
    <w:rsid w:val="009A6B18"/>
    <w:rsid w:val="009A6B1A"/>
    <w:rsid w:val="009A6B42"/>
    <w:rsid w:val="009A6B46"/>
    <w:rsid w:val="009A6C24"/>
    <w:rsid w:val="009A6DA5"/>
    <w:rsid w:val="009A6DB7"/>
    <w:rsid w:val="009A6DD6"/>
    <w:rsid w:val="009A6E1F"/>
    <w:rsid w:val="009A6E9A"/>
    <w:rsid w:val="009A6EA5"/>
    <w:rsid w:val="009A6EF1"/>
    <w:rsid w:val="009A6F02"/>
    <w:rsid w:val="009A7010"/>
    <w:rsid w:val="009A70E7"/>
    <w:rsid w:val="009A7106"/>
    <w:rsid w:val="009A7108"/>
    <w:rsid w:val="009A7154"/>
    <w:rsid w:val="009A728D"/>
    <w:rsid w:val="009A749A"/>
    <w:rsid w:val="009A74F9"/>
    <w:rsid w:val="009A7573"/>
    <w:rsid w:val="009A757D"/>
    <w:rsid w:val="009A761C"/>
    <w:rsid w:val="009A7758"/>
    <w:rsid w:val="009A77A3"/>
    <w:rsid w:val="009A77AF"/>
    <w:rsid w:val="009A77E9"/>
    <w:rsid w:val="009A7839"/>
    <w:rsid w:val="009A7873"/>
    <w:rsid w:val="009A7977"/>
    <w:rsid w:val="009A7A35"/>
    <w:rsid w:val="009A7B68"/>
    <w:rsid w:val="009A7BE8"/>
    <w:rsid w:val="009A7CC9"/>
    <w:rsid w:val="009A7EC1"/>
    <w:rsid w:val="009A7ED9"/>
    <w:rsid w:val="009A7EEA"/>
    <w:rsid w:val="009A7F49"/>
    <w:rsid w:val="009B0059"/>
    <w:rsid w:val="009B0170"/>
    <w:rsid w:val="009B0182"/>
    <w:rsid w:val="009B01D7"/>
    <w:rsid w:val="009B029E"/>
    <w:rsid w:val="009B03C3"/>
    <w:rsid w:val="009B044C"/>
    <w:rsid w:val="009B0482"/>
    <w:rsid w:val="009B051B"/>
    <w:rsid w:val="009B05E9"/>
    <w:rsid w:val="009B0788"/>
    <w:rsid w:val="009B0790"/>
    <w:rsid w:val="009B0814"/>
    <w:rsid w:val="009B083A"/>
    <w:rsid w:val="009B0A62"/>
    <w:rsid w:val="009B0AD0"/>
    <w:rsid w:val="009B0C48"/>
    <w:rsid w:val="009B0C56"/>
    <w:rsid w:val="009B0CDD"/>
    <w:rsid w:val="009B0D8F"/>
    <w:rsid w:val="009B0D97"/>
    <w:rsid w:val="009B0DA8"/>
    <w:rsid w:val="009B0DC8"/>
    <w:rsid w:val="009B0E45"/>
    <w:rsid w:val="009B10C9"/>
    <w:rsid w:val="009B10F6"/>
    <w:rsid w:val="009B117A"/>
    <w:rsid w:val="009B11BB"/>
    <w:rsid w:val="009B1263"/>
    <w:rsid w:val="009B1360"/>
    <w:rsid w:val="009B13AD"/>
    <w:rsid w:val="009B14A4"/>
    <w:rsid w:val="009B157B"/>
    <w:rsid w:val="009B16EF"/>
    <w:rsid w:val="009B1783"/>
    <w:rsid w:val="009B1C34"/>
    <w:rsid w:val="009B1E56"/>
    <w:rsid w:val="009B1EF9"/>
    <w:rsid w:val="009B1F70"/>
    <w:rsid w:val="009B211F"/>
    <w:rsid w:val="009B212D"/>
    <w:rsid w:val="009B2161"/>
    <w:rsid w:val="009B21C1"/>
    <w:rsid w:val="009B2326"/>
    <w:rsid w:val="009B23B2"/>
    <w:rsid w:val="009B2435"/>
    <w:rsid w:val="009B2659"/>
    <w:rsid w:val="009B26AC"/>
    <w:rsid w:val="009B273B"/>
    <w:rsid w:val="009B2760"/>
    <w:rsid w:val="009B27B8"/>
    <w:rsid w:val="009B2858"/>
    <w:rsid w:val="009B2928"/>
    <w:rsid w:val="009B2A2D"/>
    <w:rsid w:val="009B2BF4"/>
    <w:rsid w:val="009B2C05"/>
    <w:rsid w:val="009B2C14"/>
    <w:rsid w:val="009B2CFB"/>
    <w:rsid w:val="009B2D15"/>
    <w:rsid w:val="009B2DCC"/>
    <w:rsid w:val="009B2E60"/>
    <w:rsid w:val="009B2F0F"/>
    <w:rsid w:val="009B308B"/>
    <w:rsid w:val="009B340E"/>
    <w:rsid w:val="009B3478"/>
    <w:rsid w:val="009B34EB"/>
    <w:rsid w:val="009B350D"/>
    <w:rsid w:val="009B35A8"/>
    <w:rsid w:val="009B3637"/>
    <w:rsid w:val="009B36EE"/>
    <w:rsid w:val="009B386B"/>
    <w:rsid w:val="009B3980"/>
    <w:rsid w:val="009B3A6C"/>
    <w:rsid w:val="009B3AA2"/>
    <w:rsid w:val="009B3B7A"/>
    <w:rsid w:val="009B3C9B"/>
    <w:rsid w:val="009B3CD3"/>
    <w:rsid w:val="009B40B2"/>
    <w:rsid w:val="009B40E2"/>
    <w:rsid w:val="009B40F3"/>
    <w:rsid w:val="009B41A7"/>
    <w:rsid w:val="009B421F"/>
    <w:rsid w:val="009B424B"/>
    <w:rsid w:val="009B4272"/>
    <w:rsid w:val="009B43D1"/>
    <w:rsid w:val="009B448F"/>
    <w:rsid w:val="009B4496"/>
    <w:rsid w:val="009B4513"/>
    <w:rsid w:val="009B4575"/>
    <w:rsid w:val="009B4630"/>
    <w:rsid w:val="009B46B2"/>
    <w:rsid w:val="009B46D3"/>
    <w:rsid w:val="009B4713"/>
    <w:rsid w:val="009B479F"/>
    <w:rsid w:val="009B47B9"/>
    <w:rsid w:val="009B47E2"/>
    <w:rsid w:val="009B490C"/>
    <w:rsid w:val="009B491D"/>
    <w:rsid w:val="009B49A0"/>
    <w:rsid w:val="009B49C7"/>
    <w:rsid w:val="009B4A46"/>
    <w:rsid w:val="009B4A7F"/>
    <w:rsid w:val="009B4B96"/>
    <w:rsid w:val="009B4D0C"/>
    <w:rsid w:val="009B4D62"/>
    <w:rsid w:val="009B4E2C"/>
    <w:rsid w:val="009B4F1F"/>
    <w:rsid w:val="009B4F62"/>
    <w:rsid w:val="009B5032"/>
    <w:rsid w:val="009B513E"/>
    <w:rsid w:val="009B5346"/>
    <w:rsid w:val="009B5363"/>
    <w:rsid w:val="009B53F7"/>
    <w:rsid w:val="009B543A"/>
    <w:rsid w:val="009B5466"/>
    <w:rsid w:val="009B576E"/>
    <w:rsid w:val="009B5783"/>
    <w:rsid w:val="009B57FB"/>
    <w:rsid w:val="009B5909"/>
    <w:rsid w:val="009B59B8"/>
    <w:rsid w:val="009B59BA"/>
    <w:rsid w:val="009B5A5D"/>
    <w:rsid w:val="009B5AC5"/>
    <w:rsid w:val="009B5AD5"/>
    <w:rsid w:val="009B5BB1"/>
    <w:rsid w:val="009B5C18"/>
    <w:rsid w:val="009B5C9B"/>
    <w:rsid w:val="009B5D4D"/>
    <w:rsid w:val="009B5F67"/>
    <w:rsid w:val="009B5F6C"/>
    <w:rsid w:val="009B5F7B"/>
    <w:rsid w:val="009B5F8E"/>
    <w:rsid w:val="009B603D"/>
    <w:rsid w:val="009B60B7"/>
    <w:rsid w:val="009B60E5"/>
    <w:rsid w:val="009B61FA"/>
    <w:rsid w:val="009B6214"/>
    <w:rsid w:val="009B62CE"/>
    <w:rsid w:val="009B6389"/>
    <w:rsid w:val="009B652F"/>
    <w:rsid w:val="009B6547"/>
    <w:rsid w:val="009B65A3"/>
    <w:rsid w:val="009B6613"/>
    <w:rsid w:val="009B6679"/>
    <w:rsid w:val="009B66F8"/>
    <w:rsid w:val="009B677C"/>
    <w:rsid w:val="009B68D0"/>
    <w:rsid w:val="009B6998"/>
    <w:rsid w:val="009B6A51"/>
    <w:rsid w:val="009B6B5C"/>
    <w:rsid w:val="009B6B8F"/>
    <w:rsid w:val="009B6C4A"/>
    <w:rsid w:val="009B6C8F"/>
    <w:rsid w:val="009B6DEC"/>
    <w:rsid w:val="009B6E9A"/>
    <w:rsid w:val="009B6F00"/>
    <w:rsid w:val="009B6F23"/>
    <w:rsid w:val="009B70C3"/>
    <w:rsid w:val="009B70CD"/>
    <w:rsid w:val="009B7156"/>
    <w:rsid w:val="009B7182"/>
    <w:rsid w:val="009B71D5"/>
    <w:rsid w:val="009B7300"/>
    <w:rsid w:val="009B732F"/>
    <w:rsid w:val="009B736F"/>
    <w:rsid w:val="009B73B9"/>
    <w:rsid w:val="009B76BE"/>
    <w:rsid w:val="009B76E3"/>
    <w:rsid w:val="009B783A"/>
    <w:rsid w:val="009B7845"/>
    <w:rsid w:val="009B78A3"/>
    <w:rsid w:val="009B7A13"/>
    <w:rsid w:val="009B7B0E"/>
    <w:rsid w:val="009B7B1F"/>
    <w:rsid w:val="009B7C59"/>
    <w:rsid w:val="009B7D06"/>
    <w:rsid w:val="009B7D14"/>
    <w:rsid w:val="009B7EE3"/>
    <w:rsid w:val="009B7FE2"/>
    <w:rsid w:val="009C01C0"/>
    <w:rsid w:val="009C03B4"/>
    <w:rsid w:val="009C06E1"/>
    <w:rsid w:val="009C07E9"/>
    <w:rsid w:val="009C0804"/>
    <w:rsid w:val="009C0809"/>
    <w:rsid w:val="009C0821"/>
    <w:rsid w:val="009C08ED"/>
    <w:rsid w:val="009C0932"/>
    <w:rsid w:val="009C0A94"/>
    <w:rsid w:val="009C0CA6"/>
    <w:rsid w:val="009C0F71"/>
    <w:rsid w:val="009C0FA8"/>
    <w:rsid w:val="009C0FDC"/>
    <w:rsid w:val="009C107A"/>
    <w:rsid w:val="009C10C4"/>
    <w:rsid w:val="009C11A0"/>
    <w:rsid w:val="009C1458"/>
    <w:rsid w:val="009C152B"/>
    <w:rsid w:val="009C157C"/>
    <w:rsid w:val="009C1589"/>
    <w:rsid w:val="009C15AD"/>
    <w:rsid w:val="009C15B5"/>
    <w:rsid w:val="009C1664"/>
    <w:rsid w:val="009C18C9"/>
    <w:rsid w:val="009C18ED"/>
    <w:rsid w:val="009C1986"/>
    <w:rsid w:val="009C19B3"/>
    <w:rsid w:val="009C1A0B"/>
    <w:rsid w:val="009C1ACC"/>
    <w:rsid w:val="009C1AFE"/>
    <w:rsid w:val="009C1B40"/>
    <w:rsid w:val="009C1CAD"/>
    <w:rsid w:val="009C1CEA"/>
    <w:rsid w:val="009C1CFA"/>
    <w:rsid w:val="009C1DE4"/>
    <w:rsid w:val="009C1E78"/>
    <w:rsid w:val="009C1F50"/>
    <w:rsid w:val="009C1F8E"/>
    <w:rsid w:val="009C1FC1"/>
    <w:rsid w:val="009C1FDF"/>
    <w:rsid w:val="009C204D"/>
    <w:rsid w:val="009C2122"/>
    <w:rsid w:val="009C2392"/>
    <w:rsid w:val="009C23FC"/>
    <w:rsid w:val="009C2427"/>
    <w:rsid w:val="009C2474"/>
    <w:rsid w:val="009C25BB"/>
    <w:rsid w:val="009C2652"/>
    <w:rsid w:val="009C26CE"/>
    <w:rsid w:val="009C2705"/>
    <w:rsid w:val="009C276B"/>
    <w:rsid w:val="009C2931"/>
    <w:rsid w:val="009C2AC5"/>
    <w:rsid w:val="009C2B6A"/>
    <w:rsid w:val="009C2BB9"/>
    <w:rsid w:val="009C2BD5"/>
    <w:rsid w:val="009C2DB9"/>
    <w:rsid w:val="009C2E37"/>
    <w:rsid w:val="009C2EB1"/>
    <w:rsid w:val="009C2EDB"/>
    <w:rsid w:val="009C2EF4"/>
    <w:rsid w:val="009C2F9F"/>
    <w:rsid w:val="009C3069"/>
    <w:rsid w:val="009C3173"/>
    <w:rsid w:val="009C317D"/>
    <w:rsid w:val="009C3522"/>
    <w:rsid w:val="009C3546"/>
    <w:rsid w:val="009C36C9"/>
    <w:rsid w:val="009C3721"/>
    <w:rsid w:val="009C38A9"/>
    <w:rsid w:val="009C39DA"/>
    <w:rsid w:val="009C3AB5"/>
    <w:rsid w:val="009C3BCC"/>
    <w:rsid w:val="009C3BE4"/>
    <w:rsid w:val="009C3BEA"/>
    <w:rsid w:val="009C3BF6"/>
    <w:rsid w:val="009C3C69"/>
    <w:rsid w:val="009C3DE3"/>
    <w:rsid w:val="009C3EBC"/>
    <w:rsid w:val="009C3F38"/>
    <w:rsid w:val="009C3FFA"/>
    <w:rsid w:val="009C40D3"/>
    <w:rsid w:val="009C429E"/>
    <w:rsid w:val="009C42C9"/>
    <w:rsid w:val="009C430B"/>
    <w:rsid w:val="009C4457"/>
    <w:rsid w:val="009C4490"/>
    <w:rsid w:val="009C44CE"/>
    <w:rsid w:val="009C458D"/>
    <w:rsid w:val="009C45BB"/>
    <w:rsid w:val="009C46AF"/>
    <w:rsid w:val="009C477F"/>
    <w:rsid w:val="009C48B9"/>
    <w:rsid w:val="009C491B"/>
    <w:rsid w:val="009C4996"/>
    <w:rsid w:val="009C49E8"/>
    <w:rsid w:val="009C4A4D"/>
    <w:rsid w:val="009C4CCB"/>
    <w:rsid w:val="009C4E41"/>
    <w:rsid w:val="009C4E80"/>
    <w:rsid w:val="009C4EFF"/>
    <w:rsid w:val="009C50C8"/>
    <w:rsid w:val="009C5109"/>
    <w:rsid w:val="009C5139"/>
    <w:rsid w:val="009C522C"/>
    <w:rsid w:val="009C5633"/>
    <w:rsid w:val="009C57A9"/>
    <w:rsid w:val="009C57D7"/>
    <w:rsid w:val="009C57E3"/>
    <w:rsid w:val="009C58C3"/>
    <w:rsid w:val="009C5949"/>
    <w:rsid w:val="009C5A72"/>
    <w:rsid w:val="009C5A94"/>
    <w:rsid w:val="009C5A98"/>
    <w:rsid w:val="009C5AEA"/>
    <w:rsid w:val="009C5C50"/>
    <w:rsid w:val="009C5CED"/>
    <w:rsid w:val="009C5D24"/>
    <w:rsid w:val="009C6000"/>
    <w:rsid w:val="009C6032"/>
    <w:rsid w:val="009C6127"/>
    <w:rsid w:val="009C6218"/>
    <w:rsid w:val="009C622C"/>
    <w:rsid w:val="009C6257"/>
    <w:rsid w:val="009C6262"/>
    <w:rsid w:val="009C636A"/>
    <w:rsid w:val="009C63DA"/>
    <w:rsid w:val="009C6444"/>
    <w:rsid w:val="009C652A"/>
    <w:rsid w:val="009C6530"/>
    <w:rsid w:val="009C6607"/>
    <w:rsid w:val="009C66A9"/>
    <w:rsid w:val="009C66DA"/>
    <w:rsid w:val="009C66EE"/>
    <w:rsid w:val="009C68A0"/>
    <w:rsid w:val="009C68E4"/>
    <w:rsid w:val="009C69C7"/>
    <w:rsid w:val="009C6A2A"/>
    <w:rsid w:val="009C6BF8"/>
    <w:rsid w:val="009C6C27"/>
    <w:rsid w:val="009C6E79"/>
    <w:rsid w:val="009C6EB0"/>
    <w:rsid w:val="009C6F6C"/>
    <w:rsid w:val="009C6F75"/>
    <w:rsid w:val="009C71BB"/>
    <w:rsid w:val="009C71D7"/>
    <w:rsid w:val="009C722F"/>
    <w:rsid w:val="009C7237"/>
    <w:rsid w:val="009C731B"/>
    <w:rsid w:val="009C7389"/>
    <w:rsid w:val="009C73C8"/>
    <w:rsid w:val="009C7577"/>
    <w:rsid w:val="009C75E7"/>
    <w:rsid w:val="009C7600"/>
    <w:rsid w:val="009C7655"/>
    <w:rsid w:val="009C766A"/>
    <w:rsid w:val="009C7677"/>
    <w:rsid w:val="009C768E"/>
    <w:rsid w:val="009C7844"/>
    <w:rsid w:val="009C78BD"/>
    <w:rsid w:val="009C7927"/>
    <w:rsid w:val="009C7938"/>
    <w:rsid w:val="009C7ADB"/>
    <w:rsid w:val="009C7B03"/>
    <w:rsid w:val="009C7BF2"/>
    <w:rsid w:val="009C7C49"/>
    <w:rsid w:val="009C7E23"/>
    <w:rsid w:val="009C7EE2"/>
    <w:rsid w:val="009C7FC1"/>
    <w:rsid w:val="009C7FD2"/>
    <w:rsid w:val="009D0155"/>
    <w:rsid w:val="009D01AE"/>
    <w:rsid w:val="009D0212"/>
    <w:rsid w:val="009D026B"/>
    <w:rsid w:val="009D0393"/>
    <w:rsid w:val="009D0465"/>
    <w:rsid w:val="009D0503"/>
    <w:rsid w:val="009D063C"/>
    <w:rsid w:val="009D0652"/>
    <w:rsid w:val="009D06ED"/>
    <w:rsid w:val="009D086E"/>
    <w:rsid w:val="009D08A5"/>
    <w:rsid w:val="009D0916"/>
    <w:rsid w:val="009D09F6"/>
    <w:rsid w:val="009D0A72"/>
    <w:rsid w:val="009D0BB0"/>
    <w:rsid w:val="009D0C3A"/>
    <w:rsid w:val="009D0C43"/>
    <w:rsid w:val="009D0CCA"/>
    <w:rsid w:val="009D0D4B"/>
    <w:rsid w:val="009D0D53"/>
    <w:rsid w:val="009D0E13"/>
    <w:rsid w:val="009D0E48"/>
    <w:rsid w:val="009D103F"/>
    <w:rsid w:val="009D11B6"/>
    <w:rsid w:val="009D12BC"/>
    <w:rsid w:val="009D1340"/>
    <w:rsid w:val="009D13F6"/>
    <w:rsid w:val="009D146E"/>
    <w:rsid w:val="009D148D"/>
    <w:rsid w:val="009D1519"/>
    <w:rsid w:val="009D15CE"/>
    <w:rsid w:val="009D15F0"/>
    <w:rsid w:val="009D16AB"/>
    <w:rsid w:val="009D179F"/>
    <w:rsid w:val="009D17E0"/>
    <w:rsid w:val="009D1826"/>
    <w:rsid w:val="009D1961"/>
    <w:rsid w:val="009D1CA6"/>
    <w:rsid w:val="009D1CC0"/>
    <w:rsid w:val="009D1D32"/>
    <w:rsid w:val="009D1DD2"/>
    <w:rsid w:val="009D1F26"/>
    <w:rsid w:val="009D1F51"/>
    <w:rsid w:val="009D1FB1"/>
    <w:rsid w:val="009D2043"/>
    <w:rsid w:val="009D206E"/>
    <w:rsid w:val="009D2182"/>
    <w:rsid w:val="009D21AD"/>
    <w:rsid w:val="009D2287"/>
    <w:rsid w:val="009D2291"/>
    <w:rsid w:val="009D24F2"/>
    <w:rsid w:val="009D2516"/>
    <w:rsid w:val="009D2713"/>
    <w:rsid w:val="009D275B"/>
    <w:rsid w:val="009D277B"/>
    <w:rsid w:val="009D2825"/>
    <w:rsid w:val="009D28CC"/>
    <w:rsid w:val="009D296F"/>
    <w:rsid w:val="009D29B4"/>
    <w:rsid w:val="009D2B03"/>
    <w:rsid w:val="009D2C82"/>
    <w:rsid w:val="009D2CCC"/>
    <w:rsid w:val="009D2D68"/>
    <w:rsid w:val="009D2DB1"/>
    <w:rsid w:val="009D2DCA"/>
    <w:rsid w:val="009D2EF6"/>
    <w:rsid w:val="009D2F51"/>
    <w:rsid w:val="009D2FE6"/>
    <w:rsid w:val="009D30EF"/>
    <w:rsid w:val="009D3369"/>
    <w:rsid w:val="009D3500"/>
    <w:rsid w:val="009D363A"/>
    <w:rsid w:val="009D3658"/>
    <w:rsid w:val="009D3677"/>
    <w:rsid w:val="009D3773"/>
    <w:rsid w:val="009D38B0"/>
    <w:rsid w:val="009D38DC"/>
    <w:rsid w:val="009D39AA"/>
    <w:rsid w:val="009D3A70"/>
    <w:rsid w:val="009D3B77"/>
    <w:rsid w:val="009D3C21"/>
    <w:rsid w:val="009D3C3E"/>
    <w:rsid w:val="009D3C56"/>
    <w:rsid w:val="009D3C68"/>
    <w:rsid w:val="009D3C80"/>
    <w:rsid w:val="009D3EAA"/>
    <w:rsid w:val="009D3EC5"/>
    <w:rsid w:val="009D3FFB"/>
    <w:rsid w:val="009D3FFC"/>
    <w:rsid w:val="009D4252"/>
    <w:rsid w:val="009D433C"/>
    <w:rsid w:val="009D43E7"/>
    <w:rsid w:val="009D446A"/>
    <w:rsid w:val="009D447A"/>
    <w:rsid w:val="009D449C"/>
    <w:rsid w:val="009D45A0"/>
    <w:rsid w:val="009D46AE"/>
    <w:rsid w:val="009D46BD"/>
    <w:rsid w:val="009D4827"/>
    <w:rsid w:val="009D497C"/>
    <w:rsid w:val="009D4A02"/>
    <w:rsid w:val="009D4C92"/>
    <w:rsid w:val="009D4D10"/>
    <w:rsid w:val="009D4E31"/>
    <w:rsid w:val="009D4E35"/>
    <w:rsid w:val="009D4F78"/>
    <w:rsid w:val="009D50AD"/>
    <w:rsid w:val="009D5230"/>
    <w:rsid w:val="009D54D2"/>
    <w:rsid w:val="009D54D6"/>
    <w:rsid w:val="009D54FE"/>
    <w:rsid w:val="009D55DF"/>
    <w:rsid w:val="009D5817"/>
    <w:rsid w:val="009D586A"/>
    <w:rsid w:val="009D58DE"/>
    <w:rsid w:val="009D5A27"/>
    <w:rsid w:val="009D5B18"/>
    <w:rsid w:val="009D5B4D"/>
    <w:rsid w:val="009D5C79"/>
    <w:rsid w:val="009D5CD0"/>
    <w:rsid w:val="009D5D1A"/>
    <w:rsid w:val="009D5D4F"/>
    <w:rsid w:val="009D5D76"/>
    <w:rsid w:val="009D5D8A"/>
    <w:rsid w:val="009D5E0B"/>
    <w:rsid w:val="009D5F02"/>
    <w:rsid w:val="009D6010"/>
    <w:rsid w:val="009D612C"/>
    <w:rsid w:val="009D6185"/>
    <w:rsid w:val="009D62BD"/>
    <w:rsid w:val="009D6343"/>
    <w:rsid w:val="009D6562"/>
    <w:rsid w:val="009D65DF"/>
    <w:rsid w:val="009D6871"/>
    <w:rsid w:val="009D699F"/>
    <w:rsid w:val="009D6AA9"/>
    <w:rsid w:val="009D6AC4"/>
    <w:rsid w:val="009D6C49"/>
    <w:rsid w:val="009D6C80"/>
    <w:rsid w:val="009D6F6C"/>
    <w:rsid w:val="009D72A0"/>
    <w:rsid w:val="009D72B8"/>
    <w:rsid w:val="009D73F5"/>
    <w:rsid w:val="009D740D"/>
    <w:rsid w:val="009D75D3"/>
    <w:rsid w:val="009D7653"/>
    <w:rsid w:val="009D7758"/>
    <w:rsid w:val="009D78DD"/>
    <w:rsid w:val="009D7B65"/>
    <w:rsid w:val="009D7B69"/>
    <w:rsid w:val="009D7B7D"/>
    <w:rsid w:val="009D7D41"/>
    <w:rsid w:val="009D7D7F"/>
    <w:rsid w:val="009D7D8B"/>
    <w:rsid w:val="009D7E33"/>
    <w:rsid w:val="009D7EB6"/>
    <w:rsid w:val="009D7F1C"/>
    <w:rsid w:val="009E0058"/>
    <w:rsid w:val="009E0074"/>
    <w:rsid w:val="009E00BF"/>
    <w:rsid w:val="009E026B"/>
    <w:rsid w:val="009E0300"/>
    <w:rsid w:val="009E039D"/>
    <w:rsid w:val="009E03FB"/>
    <w:rsid w:val="009E0416"/>
    <w:rsid w:val="009E0459"/>
    <w:rsid w:val="009E0509"/>
    <w:rsid w:val="009E0563"/>
    <w:rsid w:val="009E0594"/>
    <w:rsid w:val="009E05AC"/>
    <w:rsid w:val="009E05ED"/>
    <w:rsid w:val="009E06B9"/>
    <w:rsid w:val="009E073F"/>
    <w:rsid w:val="009E078D"/>
    <w:rsid w:val="009E088D"/>
    <w:rsid w:val="009E08D9"/>
    <w:rsid w:val="009E08ED"/>
    <w:rsid w:val="009E09B8"/>
    <w:rsid w:val="009E0AD6"/>
    <w:rsid w:val="009E0B19"/>
    <w:rsid w:val="009E0B62"/>
    <w:rsid w:val="009E0B90"/>
    <w:rsid w:val="009E0C99"/>
    <w:rsid w:val="009E0D4B"/>
    <w:rsid w:val="009E0D79"/>
    <w:rsid w:val="009E0DC9"/>
    <w:rsid w:val="009E0E85"/>
    <w:rsid w:val="009E0F34"/>
    <w:rsid w:val="009E0FE0"/>
    <w:rsid w:val="009E124B"/>
    <w:rsid w:val="009E1257"/>
    <w:rsid w:val="009E12AF"/>
    <w:rsid w:val="009E12F9"/>
    <w:rsid w:val="009E1343"/>
    <w:rsid w:val="009E13B5"/>
    <w:rsid w:val="009E1408"/>
    <w:rsid w:val="009E1439"/>
    <w:rsid w:val="009E14F5"/>
    <w:rsid w:val="009E15CB"/>
    <w:rsid w:val="009E1731"/>
    <w:rsid w:val="009E179A"/>
    <w:rsid w:val="009E17F6"/>
    <w:rsid w:val="009E1934"/>
    <w:rsid w:val="009E1983"/>
    <w:rsid w:val="009E1A2E"/>
    <w:rsid w:val="009E1A83"/>
    <w:rsid w:val="009E1B23"/>
    <w:rsid w:val="009E1C32"/>
    <w:rsid w:val="009E1DDC"/>
    <w:rsid w:val="009E1E20"/>
    <w:rsid w:val="009E200D"/>
    <w:rsid w:val="009E2064"/>
    <w:rsid w:val="009E2133"/>
    <w:rsid w:val="009E218E"/>
    <w:rsid w:val="009E2280"/>
    <w:rsid w:val="009E22F3"/>
    <w:rsid w:val="009E237F"/>
    <w:rsid w:val="009E245A"/>
    <w:rsid w:val="009E24A5"/>
    <w:rsid w:val="009E25D7"/>
    <w:rsid w:val="009E25E4"/>
    <w:rsid w:val="009E25FD"/>
    <w:rsid w:val="009E262F"/>
    <w:rsid w:val="009E26F6"/>
    <w:rsid w:val="009E2719"/>
    <w:rsid w:val="009E2818"/>
    <w:rsid w:val="009E28A1"/>
    <w:rsid w:val="009E29A0"/>
    <w:rsid w:val="009E29E4"/>
    <w:rsid w:val="009E2B15"/>
    <w:rsid w:val="009E2B2A"/>
    <w:rsid w:val="009E2BDD"/>
    <w:rsid w:val="009E2CED"/>
    <w:rsid w:val="009E2D3F"/>
    <w:rsid w:val="009E2E49"/>
    <w:rsid w:val="009E2F34"/>
    <w:rsid w:val="009E30C7"/>
    <w:rsid w:val="009E312A"/>
    <w:rsid w:val="009E318A"/>
    <w:rsid w:val="009E31EF"/>
    <w:rsid w:val="009E3330"/>
    <w:rsid w:val="009E3334"/>
    <w:rsid w:val="009E335F"/>
    <w:rsid w:val="009E3467"/>
    <w:rsid w:val="009E34F5"/>
    <w:rsid w:val="009E3535"/>
    <w:rsid w:val="009E359B"/>
    <w:rsid w:val="009E35E6"/>
    <w:rsid w:val="009E35F9"/>
    <w:rsid w:val="009E372F"/>
    <w:rsid w:val="009E395D"/>
    <w:rsid w:val="009E3982"/>
    <w:rsid w:val="009E39C3"/>
    <w:rsid w:val="009E3A81"/>
    <w:rsid w:val="009E3ADA"/>
    <w:rsid w:val="009E3B6A"/>
    <w:rsid w:val="009E3B92"/>
    <w:rsid w:val="009E3CE9"/>
    <w:rsid w:val="009E3D13"/>
    <w:rsid w:val="009E3E2E"/>
    <w:rsid w:val="009E404D"/>
    <w:rsid w:val="009E40DD"/>
    <w:rsid w:val="009E40E6"/>
    <w:rsid w:val="009E41A1"/>
    <w:rsid w:val="009E4221"/>
    <w:rsid w:val="009E42AF"/>
    <w:rsid w:val="009E4355"/>
    <w:rsid w:val="009E43AD"/>
    <w:rsid w:val="009E4766"/>
    <w:rsid w:val="009E493F"/>
    <w:rsid w:val="009E4A36"/>
    <w:rsid w:val="009E4AFF"/>
    <w:rsid w:val="009E4B38"/>
    <w:rsid w:val="009E4C55"/>
    <w:rsid w:val="009E4C75"/>
    <w:rsid w:val="009E4C8D"/>
    <w:rsid w:val="009E4CEA"/>
    <w:rsid w:val="009E4D0D"/>
    <w:rsid w:val="009E4E8B"/>
    <w:rsid w:val="009E4EA2"/>
    <w:rsid w:val="009E4ED1"/>
    <w:rsid w:val="009E4F19"/>
    <w:rsid w:val="009E502F"/>
    <w:rsid w:val="009E5099"/>
    <w:rsid w:val="009E529F"/>
    <w:rsid w:val="009E555B"/>
    <w:rsid w:val="009E5594"/>
    <w:rsid w:val="009E5654"/>
    <w:rsid w:val="009E5657"/>
    <w:rsid w:val="009E567E"/>
    <w:rsid w:val="009E5681"/>
    <w:rsid w:val="009E5819"/>
    <w:rsid w:val="009E58F5"/>
    <w:rsid w:val="009E5995"/>
    <w:rsid w:val="009E59A8"/>
    <w:rsid w:val="009E5A3F"/>
    <w:rsid w:val="009E5A8C"/>
    <w:rsid w:val="009E5B7A"/>
    <w:rsid w:val="009E5CA6"/>
    <w:rsid w:val="009E5D43"/>
    <w:rsid w:val="009E5DA2"/>
    <w:rsid w:val="009E5DAF"/>
    <w:rsid w:val="009E5DF8"/>
    <w:rsid w:val="009E5E31"/>
    <w:rsid w:val="009E5E76"/>
    <w:rsid w:val="009E5F8F"/>
    <w:rsid w:val="009E5FA3"/>
    <w:rsid w:val="009E5FE2"/>
    <w:rsid w:val="009E6071"/>
    <w:rsid w:val="009E6084"/>
    <w:rsid w:val="009E62F9"/>
    <w:rsid w:val="009E631F"/>
    <w:rsid w:val="009E641A"/>
    <w:rsid w:val="009E6448"/>
    <w:rsid w:val="009E65F7"/>
    <w:rsid w:val="009E664B"/>
    <w:rsid w:val="009E6653"/>
    <w:rsid w:val="009E686B"/>
    <w:rsid w:val="009E68D4"/>
    <w:rsid w:val="009E6946"/>
    <w:rsid w:val="009E6B2F"/>
    <w:rsid w:val="009E6BBF"/>
    <w:rsid w:val="009E6CBC"/>
    <w:rsid w:val="009E6DBF"/>
    <w:rsid w:val="009E70B6"/>
    <w:rsid w:val="009E71F0"/>
    <w:rsid w:val="009E72BB"/>
    <w:rsid w:val="009E747D"/>
    <w:rsid w:val="009E74E3"/>
    <w:rsid w:val="009E7556"/>
    <w:rsid w:val="009E7591"/>
    <w:rsid w:val="009E75EF"/>
    <w:rsid w:val="009E7671"/>
    <w:rsid w:val="009E7684"/>
    <w:rsid w:val="009E76F3"/>
    <w:rsid w:val="009E77E6"/>
    <w:rsid w:val="009E787B"/>
    <w:rsid w:val="009E797B"/>
    <w:rsid w:val="009E7991"/>
    <w:rsid w:val="009E7A8F"/>
    <w:rsid w:val="009E7B87"/>
    <w:rsid w:val="009E7B9C"/>
    <w:rsid w:val="009E7BE0"/>
    <w:rsid w:val="009E7CE4"/>
    <w:rsid w:val="009E7CE8"/>
    <w:rsid w:val="009E7D06"/>
    <w:rsid w:val="009E7D16"/>
    <w:rsid w:val="009E7D2D"/>
    <w:rsid w:val="009E7DB6"/>
    <w:rsid w:val="009E7ECC"/>
    <w:rsid w:val="009E7EF0"/>
    <w:rsid w:val="009E7F79"/>
    <w:rsid w:val="009F0112"/>
    <w:rsid w:val="009F0160"/>
    <w:rsid w:val="009F01DC"/>
    <w:rsid w:val="009F0243"/>
    <w:rsid w:val="009F02DA"/>
    <w:rsid w:val="009F032D"/>
    <w:rsid w:val="009F0409"/>
    <w:rsid w:val="009F0463"/>
    <w:rsid w:val="009F04D0"/>
    <w:rsid w:val="009F0525"/>
    <w:rsid w:val="009F0801"/>
    <w:rsid w:val="009F085A"/>
    <w:rsid w:val="009F08A2"/>
    <w:rsid w:val="009F0E89"/>
    <w:rsid w:val="009F0EF1"/>
    <w:rsid w:val="009F0FC3"/>
    <w:rsid w:val="009F103C"/>
    <w:rsid w:val="009F103E"/>
    <w:rsid w:val="009F1086"/>
    <w:rsid w:val="009F10D9"/>
    <w:rsid w:val="009F10E7"/>
    <w:rsid w:val="009F114F"/>
    <w:rsid w:val="009F130D"/>
    <w:rsid w:val="009F141B"/>
    <w:rsid w:val="009F1565"/>
    <w:rsid w:val="009F1815"/>
    <w:rsid w:val="009F18AE"/>
    <w:rsid w:val="009F1AEE"/>
    <w:rsid w:val="009F1BAB"/>
    <w:rsid w:val="009F1CFA"/>
    <w:rsid w:val="009F1D3B"/>
    <w:rsid w:val="009F1E4A"/>
    <w:rsid w:val="009F1F5E"/>
    <w:rsid w:val="009F2052"/>
    <w:rsid w:val="009F208C"/>
    <w:rsid w:val="009F21B7"/>
    <w:rsid w:val="009F239D"/>
    <w:rsid w:val="009F23E0"/>
    <w:rsid w:val="009F2413"/>
    <w:rsid w:val="009F25BB"/>
    <w:rsid w:val="009F2622"/>
    <w:rsid w:val="009F27AE"/>
    <w:rsid w:val="009F2836"/>
    <w:rsid w:val="009F2842"/>
    <w:rsid w:val="009F29C1"/>
    <w:rsid w:val="009F2AB3"/>
    <w:rsid w:val="009F2DEC"/>
    <w:rsid w:val="009F2F91"/>
    <w:rsid w:val="009F3138"/>
    <w:rsid w:val="009F3271"/>
    <w:rsid w:val="009F3284"/>
    <w:rsid w:val="009F3299"/>
    <w:rsid w:val="009F333C"/>
    <w:rsid w:val="009F3447"/>
    <w:rsid w:val="009F347F"/>
    <w:rsid w:val="009F34A4"/>
    <w:rsid w:val="009F3506"/>
    <w:rsid w:val="009F3511"/>
    <w:rsid w:val="009F3537"/>
    <w:rsid w:val="009F36A3"/>
    <w:rsid w:val="009F3810"/>
    <w:rsid w:val="009F381F"/>
    <w:rsid w:val="009F3B50"/>
    <w:rsid w:val="009F3C85"/>
    <w:rsid w:val="009F3CE8"/>
    <w:rsid w:val="009F3CEC"/>
    <w:rsid w:val="009F3DE3"/>
    <w:rsid w:val="009F3E23"/>
    <w:rsid w:val="009F3E6B"/>
    <w:rsid w:val="009F3E6D"/>
    <w:rsid w:val="009F3EF1"/>
    <w:rsid w:val="009F3F25"/>
    <w:rsid w:val="009F3F97"/>
    <w:rsid w:val="009F3FE8"/>
    <w:rsid w:val="009F416F"/>
    <w:rsid w:val="009F42E3"/>
    <w:rsid w:val="009F43C6"/>
    <w:rsid w:val="009F44D1"/>
    <w:rsid w:val="009F455E"/>
    <w:rsid w:val="009F4604"/>
    <w:rsid w:val="009F4637"/>
    <w:rsid w:val="009F46B9"/>
    <w:rsid w:val="009F46D7"/>
    <w:rsid w:val="009F479A"/>
    <w:rsid w:val="009F4866"/>
    <w:rsid w:val="009F4C1E"/>
    <w:rsid w:val="009F4C73"/>
    <w:rsid w:val="009F4E7A"/>
    <w:rsid w:val="009F50F1"/>
    <w:rsid w:val="009F516C"/>
    <w:rsid w:val="009F51BC"/>
    <w:rsid w:val="009F5603"/>
    <w:rsid w:val="009F5610"/>
    <w:rsid w:val="009F5661"/>
    <w:rsid w:val="009F571D"/>
    <w:rsid w:val="009F5744"/>
    <w:rsid w:val="009F577E"/>
    <w:rsid w:val="009F5789"/>
    <w:rsid w:val="009F57FE"/>
    <w:rsid w:val="009F58F9"/>
    <w:rsid w:val="009F5A9F"/>
    <w:rsid w:val="009F5B88"/>
    <w:rsid w:val="009F5C6F"/>
    <w:rsid w:val="009F5CD0"/>
    <w:rsid w:val="009F5CDE"/>
    <w:rsid w:val="009F5DB1"/>
    <w:rsid w:val="009F5E27"/>
    <w:rsid w:val="009F5E2C"/>
    <w:rsid w:val="009F5E3C"/>
    <w:rsid w:val="009F5EBF"/>
    <w:rsid w:val="009F6171"/>
    <w:rsid w:val="009F638B"/>
    <w:rsid w:val="009F64A2"/>
    <w:rsid w:val="009F65E0"/>
    <w:rsid w:val="009F66EE"/>
    <w:rsid w:val="009F6728"/>
    <w:rsid w:val="009F67D9"/>
    <w:rsid w:val="009F6861"/>
    <w:rsid w:val="009F6AA1"/>
    <w:rsid w:val="009F6AD0"/>
    <w:rsid w:val="009F6AE1"/>
    <w:rsid w:val="009F6BB7"/>
    <w:rsid w:val="009F6C77"/>
    <w:rsid w:val="009F6CC0"/>
    <w:rsid w:val="009F6E5F"/>
    <w:rsid w:val="009F6E7C"/>
    <w:rsid w:val="009F6E96"/>
    <w:rsid w:val="009F6EA9"/>
    <w:rsid w:val="009F6ED4"/>
    <w:rsid w:val="009F6EDD"/>
    <w:rsid w:val="009F705B"/>
    <w:rsid w:val="009F7074"/>
    <w:rsid w:val="009F711F"/>
    <w:rsid w:val="009F7134"/>
    <w:rsid w:val="009F715C"/>
    <w:rsid w:val="009F726E"/>
    <w:rsid w:val="009F744D"/>
    <w:rsid w:val="009F764E"/>
    <w:rsid w:val="009F76DB"/>
    <w:rsid w:val="009F7750"/>
    <w:rsid w:val="009F776D"/>
    <w:rsid w:val="009F7C70"/>
    <w:rsid w:val="009F7D16"/>
    <w:rsid w:val="009F7E64"/>
    <w:rsid w:val="009F7E83"/>
    <w:rsid w:val="009F7F69"/>
    <w:rsid w:val="009F7FC1"/>
    <w:rsid w:val="00A0005B"/>
    <w:rsid w:val="00A0012A"/>
    <w:rsid w:val="00A002AF"/>
    <w:rsid w:val="00A002D9"/>
    <w:rsid w:val="00A00364"/>
    <w:rsid w:val="00A003D7"/>
    <w:rsid w:val="00A0047A"/>
    <w:rsid w:val="00A0053E"/>
    <w:rsid w:val="00A00575"/>
    <w:rsid w:val="00A006B0"/>
    <w:rsid w:val="00A007F0"/>
    <w:rsid w:val="00A00835"/>
    <w:rsid w:val="00A00902"/>
    <w:rsid w:val="00A00974"/>
    <w:rsid w:val="00A00A23"/>
    <w:rsid w:val="00A00A83"/>
    <w:rsid w:val="00A00B40"/>
    <w:rsid w:val="00A00BC6"/>
    <w:rsid w:val="00A00C78"/>
    <w:rsid w:val="00A00CCA"/>
    <w:rsid w:val="00A00D21"/>
    <w:rsid w:val="00A00D89"/>
    <w:rsid w:val="00A00DAB"/>
    <w:rsid w:val="00A00ECE"/>
    <w:rsid w:val="00A00EDB"/>
    <w:rsid w:val="00A0104F"/>
    <w:rsid w:val="00A01063"/>
    <w:rsid w:val="00A0108D"/>
    <w:rsid w:val="00A01214"/>
    <w:rsid w:val="00A0123D"/>
    <w:rsid w:val="00A0124C"/>
    <w:rsid w:val="00A0124D"/>
    <w:rsid w:val="00A0124F"/>
    <w:rsid w:val="00A01255"/>
    <w:rsid w:val="00A012DE"/>
    <w:rsid w:val="00A01394"/>
    <w:rsid w:val="00A013F0"/>
    <w:rsid w:val="00A01529"/>
    <w:rsid w:val="00A017D8"/>
    <w:rsid w:val="00A018AA"/>
    <w:rsid w:val="00A01AE4"/>
    <w:rsid w:val="00A01BF6"/>
    <w:rsid w:val="00A01C85"/>
    <w:rsid w:val="00A01C8D"/>
    <w:rsid w:val="00A01D0B"/>
    <w:rsid w:val="00A01D3F"/>
    <w:rsid w:val="00A01E50"/>
    <w:rsid w:val="00A01F3D"/>
    <w:rsid w:val="00A01F61"/>
    <w:rsid w:val="00A01FE8"/>
    <w:rsid w:val="00A020AD"/>
    <w:rsid w:val="00A021A7"/>
    <w:rsid w:val="00A021FB"/>
    <w:rsid w:val="00A0226F"/>
    <w:rsid w:val="00A022C7"/>
    <w:rsid w:val="00A0236C"/>
    <w:rsid w:val="00A0240E"/>
    <w:rsid w:val="00A0247D"/>
    <w:rsid w:val="00A024D9"/>
    <w:rsid w:val="00A0251B"/>
    <w:rsid w:val="00A025A7"/>
    <w:rsid w:val="00A026CA"/>
    <w:rsid w:val="00A02758"/>
    <w:rsid w:val="00A0280C"/>
    <w:rsid w:val="00A028CC"/>
    <w:rsid w:val="00A028D9"/>
    <w:rsid w:val="00A02990"/>
    <w:rsid w:val="00A029EF"/>
    <w:rsid w:val="00A02B77"/>
    <w:rsid w:val="00A02B93"/>
    <w:rsid w:val="00A02D1C"/>
    <w:rsid w:val="00A02D36"/>
    <w:rsid w:val="00A02DA5"/>
    <w:rsid w:val="00A02E2F"/>
    <w:rsid w:val="00A02F13"/>
    <w:rsid w:val="00A02FA9"/>
    <w:rsid w:val="00A0307F"/>
    <w:rsid w:val="00A0313B"/>
    <w:rsid w:val="00A0315D"/>
    <w:rsid w:val="00A03194"/>
    <w:rsid w:val="00A031F8"/>
    <w:rsid w:val="00A031F9"/>
    <w:rsid w:val="00A0386D"/>
    <w:rsid w:val="00A03AA8"/>
    <w:rsid w:val="00A03ADC"/>
    <w:rsid w:val="00A03B22"/>
    <w:rsid w:val="00A03BB7"/>
    <w:rsid w:val="00A03DA9"/>
    <w:rsid w:val="00A03E94"/>
    <w:rsid w:val="00A03F36"/>
    <w:rsid w:val="00A04151"/>
    <w:rsid w:val="00A0417E"/>
    <w:rsid w:val="00A04188"/>
    <w:rsid w:val="00A042D6"/>
    <w:rsid w:val="00A0442D"/>
    <w:rsid w:val="00A0449B"/>
    <w:rsid w:val="00A044A9"/>
    <w:rsid w:val="00A044E4"/>
    <w:rsid w:val="00A044FD"/>
    <w:rsid w:val="00A0450A"/>
    <w:rsid w:val="00A0469A"/>
    <w:rsid w:val="00A04743"/>
    <w:rsid w:val="00A047D0"/>
    <w:rsid w:val="00A04835"/>
    <w:rsid w:val="00A0488B"/>
    <w:rsid w:val="00A048C2"/>
    <w:rsid w:val="00A04940"/>
    <w:rsid w:val="00A049E7"/>
    <w:rsid w:val="00A04A6D"/>
    <w:rsid w:val="00A04A90"/>
    <w:rsid w:val="00A04A96"/>
    <w:rsid w:val="00A04AD2"/>
    <w:rsid w:val="00A04AD5"/>
    <w:rsid w:val="00A04B20"/>
    <w:rsid w:val="00A04BC2"/>
    <w:rsid w:val="00A04BF1"/>
    <w:rsid w:val="00A04C36"/>
    <w:rsid w:val="00A04E69"/>
    <w:rsid w:val="00A04E87"/>
    <w:rsid w:val="00A04F44"/>
    <w:rsid w:val="00A04F54"/>
    <w:rsid w:val="00A04F86"/>
    <w:rsid w:val="00A0508E"/>
    <w:rsid w:val="00A053C5"/>
    <w:rsid w:val="00A054A7"/>
    <w:rsid w:val="00A056BC"/>
    <w:rsid w:val="00A05723"/>
    <w:rsid w:val="00A057C0"/>
    <w:rsid w:val="00A057D3"/>
    <w:rsid w:val="00A05930"/>
    <w:rsid w:val="00A05991"/>
    <w:rsid w:val="00A059A2"/>
    <w:rsid w:val="00A05A4A"/>
    <w:rsid w:val="00A05B9B"/>
    <w:rsid w:val="00A05CBD"/>
    <w:rsid w:val="00A05E52"/>
    <w:rsid w:val="00A05E5C"/>
    <w:rsid w:val="00A05FDF"/>
    <w:rsid w:val="00A060D0"/>
    <w:rsid w:val="00A061BD"/>
    <w:rsid w:val="00A0621E"/>
    <w:rsid w:val="00A062EE"/>
    <w:rsid w:val="00A0630C"/>
    <w:rsid w:val="00A06395"/>
    <w:rsid w:val="00A063A1"/>
    <w:rsid w:val="00A063D4"/>
    <w:rsid w:val="00A06476"/>
    <w:rsid w:val="00A06485"/>
    <w:rsid w:val="00A064D8"/>
    <w:rsid w:val="00A0650E"/>
    <w:rsid w:val="00A065D8"/>
    <w:rsid w:val="00A065E2"/>
    <w:rsid w:val="00A06671"/>
    <w:rsid w:val="00A06709"/>
    <w:rsid w:val="00A069EA"/>
    <w:rsid w:val="00A06A83"/>
    <w:rsid w:val="00A06C82"/>
    <w:rsid w:val="00A06E7C"/>
    <w:rsid w:val="00A06F7A"/>
    <w:rsid w:val="00A07058"/>
    <w:rsid w:val="00A070E4"/>
    <w:rsid w:val="00A07160"/>
    <w:rsid w:val="00A0717F"/>
    <w:rsid w:val="00A073EF"/>
    <w:rsid w:val="00A07548"/>
    <w:rsid w:val="00A0788F"/>
    <w:rsid w:val="00A07955"/>
    <w:rsid w:val="00A07B27"/>
    <w:rsid w:val="00A07B35"/>
    <w:rsid w:val="00A07B8C"/>
    <w:rsid w:val="00A07CA9"/>
    <w:rsid w:val="00A07CD0"/>
    <w:rsid w:val="00A07CEF"/>
    <w:rsid w:val="00A07D09"/>
    <w:rsid w:val="00A07E24"/>
    <w:rsid w:val="00A07E48"/>
    <w:rsid w:val="00A07F35"/>
    <w:rsid w:val="00A07F55"/>
    <w:rsid w:val="00A07F77"/>
    <w:rsid w:val="00A10082"/>
    <w:rsid w:val="00A10187"/>
    <w:rsid w:val="00A102FE"/>
    <w:rsid w:val="00A10336"/>
    <w:rsid w:val="00A1033F"/>
    <w:rsid w:val="00A103C0"/>
    <w:rsid w:val="00A103E9"/>
    <w:rsid w:val="00A10672"/>
    <w:rsid w:val="00A107D9"/>
    <w:rsid w:val="00A107F2"/>
    <w:rsid w:val="00A10832"/>
    <w:rsid w:val="00A108DA"/>
    <w:rsid w:val="00A10B17"/>
    <w:rsid w:val="00A10B49"/>
    <w:rsid w:val="00A10DC6"/>
    <w:rsid w:val="00A10F39"/>
    <w:rsid w:val="00A1106B"/>
    <w:rsid w:val="00A11112"/>
    <w:rsid w:val="00A11159"/>
    <w:rsid w:val="00A11201"/>
    <w:rsid w:val="00A11226"/>
    <w:rsid w:val="00A11302"/>
    <w:rsid w:val="00A113FB"/>
    <w:rsid w:val="00A11564"/>
    <w:rsid w:val="00A117AA"/>
    <w:rsid w:val="00A117D4"/>
    <w:rsid w:val="00A117E7"/>
    <w:rsid w:val="00A11800"/>
    <w:rsid w:val="00A1184A"/>
    <w:rsid w:val="00A11898"/>
    <w:rsid w:val="00A118B1"/>
    <w:rsid w:val="00A118DD"/>
    <w:rsid w:val="00A11978"/>
    <w:rsid w:val="00A119FD"/>
    <w:rsid w:val="00A11A40"/>
    <w:rsid w:val="00A11A48"/>
    <w:rsid w:val="00A11BB1"/>
    <w:rsid w:val="00A11BD1"/>
    <w:rsid w:val="00A11C4B"/>
    <w:rsid w:val="00A11D15"/>
    <w:rsid w:val="00A11DA5"/>
    <w:rsid w:val="00A11E78"/>
    <w:rsid w:val="00A123F2"/>
    <w:rsid w:val="00A124FC"/>
    <w:rsid w:val="00A12593"/>
    <w:rsid w:val="00A126EA"/>
    <w:rsid w:val="00A12770"/>
    <w:rsid w:val="00A12813"/>
    <w:rsid w:val="00A1283C"/>
    <w:rsid w:val="00A1288D"/>
    <w:rsid w:val="00A128A0"/>
    <w:rsid w:val="00A129DD"/>
    <w:rsid w:val="00A12A10"/>
    <w:rsid w:val="00A12B17"/>
    <w:rsid w:val="00A12B85"/>
    <w:rsid w:val="00A12F61"/>
    <w:rsid w:val="00A12FAA"/>
    <w:rsid w:val="00A13013"/>
    <w:rsid w:val="00A13015"/>
    <w:rsid w:val="00A130D4"/>
    <w:rsid w:val="00A13128"/>
    <w:rsid w:val="00A13229"/>
    <w:rsid w:val="00A13421"/>
    <w:rsid w:val="00A134B2"/>
    <w:rsid w:val="00A134B5"/>
    <w:rsid w:val="00A1358B"/>
    <w:rsid w:val="00A135D0"/>
    <w:rsid w:val="00A135FE"/>
    <w:rsid w:val="00A135FF"/>
    <w:rsid w:val="00A136D7"/>
    <w:rsid w:val="00A139CA"/>
    <w:rsid w:val="00A13D5C"/>
    <w:rsid w:val="00A13DCE"/>
    <w:rsid w:val="00A13E4D"/>
    <w:rsid w:val="00A13F4C"/>
    <w:rsid w:val="00A14004"/>
    <w:rsid w:val="00A1403B"/>
    <w:rsid w:val="00A14087"/>
    <w:rsid w:val="00A1416E"/>
    <w:rsid w:val="00A141A5"/>
    <w:rsid w:val="00A14262"/>
    <w:rsid w:val="00A14294"/>
    <w:rsid w:val="00A142BE"/>
    <w:rsid w:val="00A143CB"/>
    <w:rsid w:val="00A14550"/>
    <w:rsid w:val="00A146C2"/>
    <w:rsid w:val="00A14721"/>
    <w:rsid w:val="00A148A2"/>
    <w:rsid w:val="00A148B8"/>
    <w:rsid w:val="00A14909"/>
    <w:rsid w:val="00A1497C"/>
    <w:rsid w:val="00A14BC7"/>
    <w:rsid w:val="00A14BD1"/>
    <w:rsid w:val="00A14C83"/>
    <w:rsid w:val="00A14CE6"/>
    <w:rsid w:val="00A14D14"/>
    <w:rsid w:val="00A14DF4"/>
    <w:rsid w:val="00A14E38"/>
    <w:rsid w:val="00A14EBA"/>
    <w:rsid w:val="00A15064"/>
    <w:rsid w:val="00A15228"/>
    <w:rsid w:val="00A15295"/>
    <w:rsid w:val="00A15470"/>
    <w:rsid w:val="00A1548B"/>
    <w:rsid w:val="00A15633"/>
    <w:rsid w:val="00A1570A"/>
    <w:rsid w:val="00A1571C"/>
    <w:rsid w:val="00A157BD"/>
    <w:rsid w:val="00A1582C"/>
    <w:rsid w:val="00A15847"/>
    <w:rsid w:val="00A15852"/>
    <w:rsid w:val="00A15965"/>
    <w:rsid w:val="00A159C7"/>
    <w:rsid w:val="00A15A00"/>
    <w:rsid w:val="00A15A37"/>
    <w:rsid w:val="00A15A40"/>
    <w:rsid w:val="00A15BD0"/>
    <w:rsid w:val="00A15C3D"/>
    <w:rsid w:val="00A15C62"/>
    <w:rsid w:val="00A15D2A"/>
    <w:rsid w:val="00A15DF2"/>
    <w:rsid w:val="00A15E96"/>
    <w:rsid w:val="00A15ED0"/>
    <w:rsid w:val="00A15ED6"/>
    <w:rsid w:val="00A16231"/>
    <w:rsid w:val="00A162C2"/>
    <w:rsid w:val="00A1638F"/>
    <w:rsid w:val="00A16427"/>
    <w:rsid w:val="00A16454"/>
    <w:rsid w:val="00A1657C"/>
    <w:rsid w:val="00A16621"/>
    <w:rsid w:val="00A1670E"/>
    <w:rsid w:val="00A167F1"/>
    <w:rsid w:val="00A167FA"/>
    <w:rsid w:val="00A168EF"/>
    <w:rsid w:val="00A168F5"/>
    <w:rsid w:val="00A16B7E"/>
    <w:rsid w:val="00A16CAF"/>
    <w:rsid w:val="00A16D0A"/>
    <w:rsid w:val="00A16FEE"/>
    <w:rsid w:val="00A173EE"/>
    <w:rsid w:val="00A17417"/>
    <w:rsid w:val="00A174E5"/>
    <w:rsid w:val="00A174FF"/>
    <w:rsid w:val="00A17618"/>
    <w:rsid w:val="00A1770F"/>
    <w:rsid w:val="00A1771E"/>
    <w:rsid w:val="00A1788D"/>
    <w:rsid w:val="00A178F1"/>
    <w:rsid w:val="00A17905"/>
    <w:rsid w:val="00A17A53"/>
    <w:rsid w:val="00A17AAC"/>
    <w:rsid w:val="00A17B4B"/>
    <w:rsid w:val="00A17D90"/>
    <w:rsid w:val="00A17E2B"/>
    <w:rsid w:val="00A200B6"/>
    <w:rsid w:val="00A20214"/>
    <w:rsid w:val="00A204CA"/>
    <w:rsid w:val="00A20525"/>
    <w:rsid w:val="00A2059A"/>
    <w:rsid w:val="00A205AA"/>
    <w:rsid w:val="00A205E1"/>
    <w:rsid w:val="00A20764"/>
    <w:rsid w:val="00A20854"/>
    <w:rsid w:val="00A208D0"/>
    <w:rsid w:val="00A20C56"/>
    <w:rsid w:val="00A20CAB"/>
    <w:rsid w:val="00A20D2C"/>
    <w:rsid w:val="00A21038"/>
    <w:rsid w:val="00A210FE"/>
    <w:rsid w:val="00A2116B"/>
    <w:rsid w:val="00A211DE"/>
    <w:rsid w:val="00A21349"/>
    <w:rsid w:val="00A213A0"/>
    <w:rsid w:val="00A21530"/>
    <w:rsid w:val="00A21570"/>
    <w:rsid w:val="00A215A9"/>
    <w:rsid w:val="00A215D3"/>
    <w:rsid w:val="00A215DD"/>
    <w:rsid w:val="00A2161C"/>
    <w:rsid w:val="00A21632"/>
    <w:rsid w:val="00A21693"/>
    <w:rsid w:val="00A216E4"/>
    <w:rsid w:val="00A216FA"/>
    <w:rsid w:val="00A21800"/>
    <w:rsid w:val="00A21810"/>
    <w:rsid w:val="00A21900"/>
    <w:rsid w:val="00A21A84"/>
    <w:rsid w:val="00A21A8F"/>
    <w:rsid w:val="00A21B50"/>
    <w:rsid w:val="00A21BAD"/>
    <w:rsid w:val="00A21C0F"/>
    <w:rsid w:val="00A21CA8"/>
    <w:rsid w:val="00A21D52"/>
    <w:rsid w:val="00A21E1D"/>
    <w:rsid w:val="00A2201D"/>
    <w:rsid w:val="00A22363"/>
    <w:rsid w:val="00A2238F"/>
    <w:rsid w:val="00A2245E"/>
    <w:rsid w:val="00A224BD"/>
    <w:rsid w:val="00A224EF"/>
    <w:rsid w:val="00A22524"/>
    <w:rsid w:val="00A22654"/>
    <w:rsid w:val="00A2268E"/>
    <w:rsid w:val="00A226ED"/>
    <w:rsid w:val="00A2276C"/>
    <w:rsid w:val="00A227C5"/>
    <w:rsid w:val="00A22840"/>
    <w:rsid w:val="00A22908"/>
    <w:rsid w:val="00A22959"/>
    <w:rsid w:val="00A22A84"/>
    <w:rsid w:val="00A22CEC"/>
    <w:rsid w:val="00A22D01"/>
    <w:rsid w:val="00A22E5A"/>
    <w:rsid w:val="00A22F34"/>
    <w:rsid w:val="00A22FC5"/>
    <w:rsid w:val="00A23025"/>
    <w:rsid w:val="00A231C3"/>
    <w:rsid w:val="00A23226"/>
    <w:rsid w:val="00A23402"/>
    <w:rsid w:val="00A23431"/>
    <w:rsid w:val="00A23458"/>
    <w:rsid w:val="00A23508"/>
    <w:rsid w:val="00A235CD"/>
    <w:rsid w:val="00A235F4"/>
    <w:rsid w:val="00A2363D"/>
    <w:rsid w:val="00A23688"/>
    <w:rsid w:val="00A236B8"/>
    <w:rsid w:val="00A237E0"/>
    <w:rsid w:val="00A239D9"/>
    <w:rsid w:val="00A23A55"/>
    <w:rsid w:val="00A23B3E"/>
    <w:rsid w:val="00A23B5A"/>
    <w:rsid w:val="00A23CEC"/>
    <w:rsid w:val="00A23E05"/>
    <w:rsid w:val="00A23E7D"/>
    <w:rsid w:val="00A2415A"/>
    <w:rsid w:val="00A24311"/>
    <w:rsid w:val="00A24331"/>
    <w:rsid w:val="00A24433"/>
    <w:rsid w:val="00A24488"/>
    <w:rsid w:val="00A2448C"/>
    <w:rsid w:val="00A247F0"/>
    <w:rsid w:val="00A24810"/>
    <w:rsid w:val="00A24895"/>
    <w:rsid w:val="00A24A68"/>
    <w:rsid w:val="00A24A6E"/>
    <w:rsid w:val="00A24B66"/>
    <w:rsid w:val="00A24C5D"/>
    <w:rsid w:val="00A24CDD"/>
    <w:rsid w:val="00A24CF3"/>
    <w:rsid w:val="00A24D09"/>
    <w:rsid w:val="00A24D27"/>
    <w:rsid w:val="00A24E32"/>
    <w:rsid w:val="00A24EC5"/>
    <w:rsid w:val="00A24FD6"/>
    <w:rsid w:val="00A24FDB"/>
    <w:rsid w:val="00A25031"/>
    <w:rsid w:val="00A25141"/>
    <w:rsid w:val="00A252B2"/>
    <w:rsid w:val="00A253BE"/>
    <w:rsid w:val="00A2543D"/>
    <w:rsid w:val="00A25507"/>
    <w:rsid w:val="00A255C6"/>
    <w:rsid w:val="00A25600"/>
    <w:rsid w:val="00A2571D"/>
    <w:rsid w:val="00A25722"/>
    <w:rsid w:val="00A257CB"/>
    <w:rsid w:val="00A258A5"/>
    <w:rsid w:val="00A258B1"/>
    <w:rsid w:val="00A2591C"/>
    <w:rsid w:val="00A2593E"/>
    <w:rsid w:val="00A25A13"/>
    <w:rsid w:val="00A25A3F"/>
    <w:rsid w:val="00A25AEC"/>
    <w:rsid w:val="00A25C68"/>
    <w:rsid w:val="00A25D12"/>
    <w:rsid w:val="00A25D99"/>
    <w:rsid w:val="00A25E50"/>
    <w:rsid w:val="00A25F3A"/>
    <w:rsid w:val="00A25F6D"/>
    <w:rsid w:val="00A26075"/>
    <w:rsid w:val="00A260D7"/>
    <w:rsid w:val="00A26175"/>
    <w:rsid w:val="00A26226"/>
    <w:rsid w:val="00A26395"/>
    <w:rsid w:val="00A26571"/>
    <w:rsid w:val="00A267FC"/>
    <w:rsid w:val="00A2684F"/>
    <w:rsid w:val="00A26974"/>
    <w:rsid w:val="00A26CFA"/>
    <w:rsid w:val="00A26D31"/>
    <w:rsid w:val="00A26DE6"/>
    <w:rsid w:val="00A26EDB"/>
    <w:rsid w:val="00A273B6"/>
    <w:rsid w:val="00A2746E"/>
    <w:rsid w:val="00A274A9"/>
    <w:rsid w:val="00A2750E"/>
    <w:rsid w:val="00A27537"/>
    <w:rsid w:val="00A27557"/>
    <w:rsid w:val="00A279F5"/>
    <w:rsid w:val="00A27A14"/>
    <w:rsid w:val="00A27AE7"/>
    <w:rsid w:val="00A27AFE"/>
    <w:rsid w:val="00A27B29"/>
    <w:rsid w:val="00A27C83"/>
    <w:rsid w:val="00A27CCD"/>
    <w:rsid w:val="00A27CFC"/>
    <w:rsid w:val="00A27D82"/>
    <w:rsid w:val="00A27E13"/>
    <w:rsid w:val="00A27E71"/>
    <w:rsid w:val="00A27EAA"/>
    <w:rsid w:val="00A27F9C"/>
    <w:rsid w:val="00A27FEE"/>
    <w:rsid w:val="00A30030"/>
    <w:rsid w:val="00A30065"/>
    <w:rsid w:val="00A30088"/>
    <w:rsid w:val="00A30131"/>
    <w:rsid w:val="00A30132"/>
    <w:rsid w:val="00A30197"/>
    <w:rsid w:val="00A30269"/>
    <w:rsid w:val="00A3077B"/>
    <w:rsid w:val="00A3087F"/>
    <w:rsid w:val="00A309BD"/>
    <w:rsid w:val="00A30B0B"/>
    <w:rsid w:val="00A30C13"/>
    <w:rsid w:val="00A30CD7"/>
    <w:rsid w:val="00A30D55"/>
    <w:rsid w:val="00A30D9D"/>
    <w:rsid w:val="00A30DFB"/>
    <w:rsid w:val="00A30E04"/>
    <w:rsid w:val="00A30F1E"/>
    <w:rsid w:val="00A30FAE"/>
    <w:rsid w:val="00A3104D"/>
    <w:rsid w:val="00A310C0"/>
    <w:rsid w:val="00A3112E"/>
    <w:rsid w:val="00A31335"/>
    <w:rsid w:val="00A3133F"/>
    <w:rsid w:val="00A313DF"/>
    <w:rsid w:val="00A31413"/>
    <w:rsid w:val="00A3141D"/>
    <w:rsid w:val="00A31445"/>
    <w:rsid w:val="00A31572"/>
    <w:rsid w:val="00A31872"/>
    <w:rsid w:val="00A31A1A"/>
    <w:rsid w:val="00A31B4E"/>
    <w:rsid w:val="00A31B5A"/>
    <w:rsid w:val="00A31C04"/>
    <w:rsid w:val="00A31D9D"/>
    <w:rsid w:val="00A321A4"/>
    <w:rsid w:val="00A321AB"/>
    <w:rsid w:val="00A32313"/>
    <w:rsid w:val="00A32393"/>
    <w:rsid w:val="00A323B1"/>
    <w:rsid w:val="00A324FA"/>
    <w:rsid w:val="00A3261C"/>
    <w:rsid w:val="00A326CE"/>
    <w:rsid w:val="00A32744"/>
    <w:rsid w:val="00A32823"/>
    <w:rsid w:val="00A32836"/>
    <w:rsid w:val="00A3283B"/>
    <w:rsid w:val="00A32974"/>
    <w:rsid w:val="00A32B39"/>
    <w:rsid w:val="00A32BDE"/>
    <w:rsid w:val="00A32CB9"/>
    <w:rsid w:val="00A32D05"/>
    <w:rsid w:val="00A32DC1"/>
    <w:rsid w:val="00A32F14"/>
    <w:rsid w:val="00A32F43"/>
    <w:rsid w:val="00A33017"/>
    <w:rsid w:val="00A3306D"/>
    <w:rsid w:val="00A3307B"/>
    <w:rsid w:val="00A330B5"/>
    <w:rsid w:val="00A33200"/>
    <w:rsid w:val="00A33432"/>
    <w:rsid w:val="00A33674"/>
    <w:rsid w:val="00A3368A"/>
    <w:rsid w:val="00A3375E"/>
    <w:rsid w:val="00A33896"/>
    <w:rsid w:val="00A338E4"/>
    <w:rsid w:val="00A339BE"/>
    <w:rsid w:val="00A33AAD"/>
    <w:rsid w:val="00A33B2C"/>
    <w:rsid w:val="00A33B9C"/>
    <w:rsid w:val="00A33C3B"/>
    <w:rsid w:val="00A33D73"/>
    <w:rsid w:val="00A33E20"/>
    <w:rsid w:val="00A33EE9"/>
    <w:rsid w:val="00A33F4D"/>
    <w:rsid w:val="00A33FD5"/>
    <w:rsid w:val="00A340BB"/>
    <w:rsid w:val="00A34257"/>
    <w:rsid w:val="00A3427A"/>
    <w:rsid w:val="00A3433F"/>
    <w:rsid w:val="00A343FC"/>
    <w:rsid w:val="00A34426"/>
    <w:rsid w:val="00A3450B"/>
    <w:rsid w:val="00A34811"/>
    <w:rsid w:val="00A3484F"/>
    <w:rsid w:val="00A3487A"/>
    <w:rsid w:val="00A3488D"/>
    <w:rsid w:val="00A349BD"/>
    <w:rsid w:val="00A34B02"/>
    <w:rsid w:val="00A34C0B"/>
    <w:rsid w:val="00A34C24"/>
    <w:rsid w:val="00A34C39"/>
    <w:rsid w:val="00A34CC8"/>
    <w:rsid w:val="00A34D07"/>
    <w:rsid w:val="00A34D84"/>
    <w:rsid w:val="00A34E09"/>
    <w:rsid w:val="00A34E36"/>
    <w:rsid w:val="00A34F77"/>
    <w:rsid w:val="00A34FE2"/>
    <w:rsid w:val="00A3526F"/>
    <w:rsid w:val="00A35273"/>
    <w:rsid w:val="00A352DB"/>
    <w:rsid w:val="00A353BF"/>
    <w:rsid w:val="00A35418"/>
    <w:rsid w:val="00A35445"/>
    <w:rsid w:val="00A354A5"/>
    <w:rsid w:val="00A35556"/>
    <w:rsid w:val="00A3561B"/>
    <w:rsid w:val="00A35621"/>
    <w:rsid w:val="00A35774"/>
    <w:rsid w:val="00A35998"/>
    <w:rsid w:val="00A35A49"/>
    <w:rsid w:val="00A35A60"/>
    <w:rsid w:val="00A35B38"/>
    <w:rsid w:val="00A35D0E"/>
    <w:rsid w:val="00A35D45"/>
    <w:rsid w:val="00A35D72"/>
    <w:rsid w:val="00A35E7A"/>
    <w:rsid w:val="00A35EB6"/>
    <w:rsid w:val="00A35ED5"/>
    <w:rsid w:val="00A3610E"/>
    <w:rsid w:val="00A3618B"/>
    <w:rsid w:val="00A361A7"/>
    <w:rsid w:val="00A369B3"/>
    <w:rsid w:val="00A369C0"/>
    <w:rsid w:val="00A369D1"/>
    <w:rsid w:val="00A36A63"/>
    <w:rsid w:val="00A36AC0"/>
    <w:rsid w:val="00A36B0C"/>
    <w:rsid w:val="00A36B9E"/>
    <w:rsid w:val="00A36C3E"/>
    <w:rsid w:val="00A36C80"/>
    <w:rsid w:val="00A36CB3"/>
    <w:rsid w:val="00A36CD6"/>
    <w:rsid w:val="00A36E21"/>
    <w:rsid w:val="00A36E2F"/>
    <w:rsid w:val="00A36E67"/>
    <w:rsid w:val="00A3712B"/>
    <w:rsid w:val="00A37151"/>
    <w:rsid w:val="00A3718F"/>
    <w:rsid w:val="00A37200"/>
    <w:rsid w:val="00A37315"/>
    <w:rsid w:val="00A37342"/>
    <w:rsid w:val="00A37348"/>
    <w:rsid w:val="00A375BF"/>
    <w:rsid w:val="00A376AE"/>
    <w:rsid w:val="00A37A07"/>
    <w:rsid w:val="00A37AF0"/>
    <w:rsid w:val="00A37C57"/>
    <w:rsid w:val="00A37C98"/>
    <w:rsid w:val="00A37CB6"/>
    <w:rsid w:val="00A37D9F"/>
    <w:rsid w:val="00A37E52"/>
    <w:rsid w:val="00A37F22"/>
    <w:rsid w:val="00A37F3F"/>
    <w:rsid w:val="00A37F9C"/>
    <w:rsid w:val="00A37FEC"/>
    <w:rsid w:val="00A40166"/>
    <w:rsid w:val="00A40177"/>
    <w:rsid w:val="00A401BF"/>
    <w:rsid w:val="00A4028E"/>
    <w:rsid w:val="00A404B9"/>
    <w:rsid w:val="00A40603"/>
    <w:rsid w:val="00A4066D"/>
    <w:rsid w:val="00A4074D"/>
    <w:rsid w:val="00A407E0"/>
    <w:rsid w:val="00A409B2"/>
    <w:rsid w:val="00A40A64"/>
    <w:rsid w:val="00A40A96"/>
    <w:rsid w:val="00A40BB7"/>
    <w:rsid w:val="00A40D41"/>
    <w:rsid w:val="00A40D50"/>
    <w:rsid w:val="00A40DF1"/>
    <w:rsid w:val="00A40DF3"/>
    <w:rsid w:val="00A40E1D"/>
    <w:rsid w:val="00A40EAD"/>
    <w:rsid w:val="00A40F1E"/>
    <w:rsid w:val="00A40FEF"/>
    <w:rsid w:val="00A41117"/>
    <w:rsid w:val="00A4111F"/>
    <w:rsid w:val="00A41298"/>
    <w:rsid w:val="00A412CA"/>
    <w:rsid w:val="00A41348"/>
    <w:rsid w:val="00A413D9"/>
    <w:rsid w:val="00A41640"/>
    <w:rsid w:val="00A4172A"/>
    <w:rsid w:val="00A41751"/>
    <w:rsid w:val="00A417C9"/>
    <w:rsid w:val="00A417DD"/>
    <w:rsid w:val="00A41802"/>
    <w:rsid w:val="00A418AB"/>
    <w:rsid w:val="00A41A4E"/>
    <w:rsid w:val="00A41AF0"/>
    <w:rsid w:val="00A41B2E"/>
    <w:rsid w:val="00A41BB8"/>
    <w:rsid w:val="00A41C1D"/>
    <w:rsid w:val="00A41D5E"/>
    <w:rsid w:val="00A41E3F"/>
    <w:rsid w:val="00A41F13"/>
    <w:rsid w:val="00A41F46"/>
    <w:rsid w:val="00A4206B"/>
    <w:rsid w:val="00A42070"/>
    <w:rsid w:val="00A422E2"/>
    <w:rsid w:val="00A42314"/>
    <w:rsid w:val="00A423BA"/>
    <w:rsid w:val="00A42402"/>
    <w:rsid w:val="00A4261B"/>
    <w:rsid w:val="00A42665"/>
    <w:rsid w:val="00A42687"/>
    <w:rsid w:val="00A426DA"/>
    <w:rsid w:val="00A42738"/>
    <w:rsid w:val="00A427D9"/>
    <w:rsid w:val="00A427F2"/>
    <w:rsid w:val="00A42942"/>
    <w:rsid w:val="00A42967"/>
    <w:rsid w:val="00A429F9"/>
    <w:rsid w:val="00A42A5C"/>
    <w:rsid w:val="00A42A62"/>
    <w:rsid w:val="00A42B3F"/>
    <w:rsid w:val="00A42B45"/>
    <w:rsid w:val="00A42BF9"/>
    <w:rsid w:val="00A42C69"/>
    <w:rsid w:val="00A42DA8"/>
    <w:rsid w:val="00A42E3D"/>
    <w:rsid w:val="00A42EDE"/>
    <w:rsid w:val="00A430F7"/>
    <w:rsid w:val="00A4310D"/>
    <w:rsid w:val="00A4311A"/>
    <w:rsid w:val="00A4313E"/>
    <w:rsid w:val="00A43180"/>
    <w:rsid w:val="00A43218"/>
    <w:rsid w:val="00A432C5"/>
    <w:rsid w:val="00A432CB"/>
    <w:rsid w:val="00A434A5"/>
    <w:rsid w:val="00A43549"/>
    <w:rsid w:val="00A43558"/>
    <w:rsid w:val="00A43570"/>
    <w:rsid w:val="00A43571"/>
    <w:rsid w:val="00A436F4"/>
    <w:rsid w:val="00A437A3"/>
    <w:rsid w:val="00A43865"/>
    <w:rsid w:val="00A438A4"/>
    <w:rsid w:val="00A4398E"/>
    <w:rsid w:val="00A439FA"/>
    <w:rsid w:val="00A43A0C"/>
    <w:rsid w:val="00A43A8F"/>
    <w:rsid w:val="00A43BC4"/>
    <w:rsid w:val="00A43DCA"/>
    <w:rsid w:val="00A43E5A"/>
    <w:rsid w:val="00A43F3D"/>
    <w:rsid w:val="00A43F4B"/>
    <w:rsid w:val="00A43F72"/>
    <w:rsid w:val="00A43F84"/>
    <w:rsid w:val="00A4404D"/>
    <w:rsid w:val="00A44169"/>
    <w:rsid w:val="00A44269"/>
    <w:rsid w:val="00A44353"/>
    <w:rsid w:val="00A4447F"/>
    <w:rsid w:val="00A444E9"/>
    <w:rsid w:val="00A4452E"/>
    <w:rsid w:val="00A44775"/>
    <w:rsid w:val="00A447F0"/>
    <w:rsid w:val="00A4484E"/>
    <w:rsid w:val="00A4490E"/>
    <w:rsid w:val="00A44969"/>
    <w:rsid w:val="00A449C9"/>
    <w:rsid w:val="00A44A53"/>
    <w:rsid w:val="00A44AF6"/>
    <w:rsid w:val="00A44B6B"/>
    <w:rsid w:val="00A44C52"/>
    <w:rsid w:val="00A44CE3"/>
    <w:rsid w:val="00A44DA5"/>
    <w:rsid w:val="00A45007"/>
    <w:rsid w:val="00A452AD"/>
    <w:rsid w:val="00A453BE"/>
    <w:rsid w:val="00A453C0"/>
    <w:rsid w:val="00A45733"/>
    <w:rsid w:val="00A457AE"/>
    <w:rsid w:val="00A4585E"/>
    <w:rsid w:val="00A45885"/>
    <w:rsid w:val="00A45894"/>
    <w:rsid w:val="00A45B9F"/>
    <w:rsid w:val="00A45BAD"/>
    <w:rsid w:val="00A45C63"/>
    <w:rsid w:val="00A45D2E"/>
    <w:rsid w:val="00A45D71"/>
    <w:rsid w:val="00A4605B"/>
    <w:rsid w:val="00A460A9"/>
    <w:rsid w:val="00A46190"/>
    <w:rsid w:val="00A46329"/>
    <w:rsid w:val="00A46379"/>
    <w:rsid w:val="00A46479"/>
    <w:rsid w:val="00A4647E"/>
    <w:rsid w:val="00A464BC"/>
    <w:rsid w:val="00A464FC"/>
    <w:rsid w:val="00A466A3"/>
    <w:rsid w:val="00A466A6"/>
    <w:rsid w:val="00A46849"/>
    <w:rsid w:val="00A468FC"/>
    <w:rsid w:val="00A46970"/>
    <w:rsid w:val="00A469CB"/>
    <w:rsid w:val="00A469CF"/>
    <w:rsid w:val="00A46ADD"/>
    <w:rsid w:val="00A46AE5"/>
    <w:rsid w:val="00A46B07"/>
    <w:rsid w:val="00A46B62"/>
    <w:rsid w:val="00A46CBB"/>
    <w:rsid w:val="00A46DCB"/>
    <w:rsid w:val="00A46F56"/>
    <w:rsid w:val="00A46F9D"/>
    <w:rsid w:val="00A4710E"/>
    <w:rsid w:val="00A47240"/>
    <w:rsid w:val="00A4724E"/>
    <w:rsid w:val="00A4773F"/>
    <w:rsid w:val="00A477AD"/>
    <w:rsid w:val="00A477FF"/>
    <w:rsid w:val="00A4781E"/>
    <w:rsid w:val="00A47877"/>
    <w:rsid w:val="00A47972"/>
    <w:rsid w:val="00A47A78"/>
    <w:rsid w:val="00A47ABF"/>
    <w:rsid w:val="00A47BA8"/>
    <w:rsid w:val="00A47C09"/>
    <w:rsid w:val="00A47C8B"/>
    <w:rsid w:val="00A47CB9"/>
    <w:rsid w:val="00A47CF9"/>
    <w:rsid w:val="00A47D03"/>
    <w:rsid w:val="00A47D0E"/>
    <w:rsid w:val="00A47FC0"/>
    <w:rsid w:val="00A47FC4"/>
    <w:rsid w:val="00A50068"/>
    <w:rsid w:val="00A50184"/>
    <w:rsid w:val="00A501A5"/>
    <w:rsid w:val="00A50235"/>
    <w:rsid w:val="00A502DD"/>
    <w:rsid w:val="00A505A7"/>
    <w:rsid w:val="00A506D4"/>
    <w:rsid w:val="00A507B4"/>
    <w:rsid w:val="00A507F7"/>
    <w:rsid w:val="00A508C8"/>
    <w:rsid w:val="00A509E4"/>
    <w:rsid w:val="00A50A17"/>
    <w:rsid w:val="00A50A85"/>
    <w:rsid w:val="00A50A8C"/>
    <w:rsid w:val="00A50A98"/>
    <w:rsid w:val="00A50B26"/>
    <w:rsid w:val="00A50B4A"/>
    <w:rsid w:val="00A50C80"/>
    <w:rsid w:val="00A50CC7"/>
    <w:rsid w:val="00A50F7B"/>
    <w:rsid w:val="00A50FD2"/>
    <w:rsid w:val="00A51279"/>
    <w:rsid w:val="00A51410"/>
    <w:rsid w:val="00A51437"/>
    <w:rsid w:val="00A516D7"/>
    <w:rsid w:val="00A51802"/>
    <w:rsid w:val="00A5186C"/>
    <w:rsid w:val="00A51A54"/>
    <w:rsid w:val="00A51BA8"/>
    <w:rsid w:val="00A51C66"/>
    <w:rsid w:val="00A51C9C"/>
    <w:rsid w:val="00A51CC5"/>
    <w:rsid w:val="00A51CE8"/>
    <w:rsid w:val="00A51CE9"/>
    <w:rsid w:val="00A51E28"/>
    <w:rsid w:val="00A51FEF"/>
    <w:rsid w:val="00A5202B"/>
    <w:rsid w:val="00A52045"/>
    <w:rsid w:val="00A52187"/>
    <w:rsid w:val="00A522BE"/>
    <w:rsid w:val="00A523D2"/>
    <w:rsid w:val="00A523F2"/>
    <w:rsid w:val="00A524B7"/>
    <w:rsid w:val="00A525E1"/>
    <w:rsid w:val="00A52693"/>
    <w:rsid w:val="00A52803"/>
    <w:rsid w:val="00A528F5"/>
    <w:rsid w:val="00A52A4A"/>
    <w:rsid w:val="00A52AA2"/>
    <w:rsid w:val="00A52AB1"/>
    <w:rsid w:val="00A52CFD"/>
    <w:rsid w:val="00A52EAB"/>
    <w:rsid w:val="00A530B6"/>
    <w:rsid w:val="00A53164"/>
    <w:rsid w:val="00A532F4"/>
    <w:rsid w:val="00A53336"/>
    <w:rsid w:val="00A53657"/>
    <w:rsid w:val="00A53666"/>
    <w:rsid w:val="00A53744"/>
    <w:rsid w:val="00A53749"/>
    <w:rsid w:val="00A53828"/>
    <w:rsid w:val="00A53985"/>
    <w:rsid w:val="00A53A0C"/>
    <w:rsid w:val="00A53A56"/>
    <w:rsid w:val="00A53BD0"/>
    <w:rsid w:val="00A53C08"/>
    <w:rsid w:val="00A53D59"/>
    <w:rsid w:val="00A53DD7"/>
    <w:rsid w:val="00A5423B"/>
    <w:rsid w:val="00A54332"/>
    <w:rsid w:val="00A543FD"/>
    <w:rsid w:val="00A54491"/>
    <w:rsid w:val="00A5456C"/>
    <w:rsid w:val="00A54609"/>
    <w:rsid w:val="00A5465F"/>
    <w:rsid w:val="00A5468E"/>
    <w:rsid w:val="00A546B5"/>
    <w:rsid w:val="00A5478C"/>
    <w:rsid w:val="00A5481E"/>
    <w:rsid w:val="00A54913"/>
    <w:rsid w:val="00A54AE5"/>
    <w:rsid w:val="00A54BD0"/>
    <w:rsid w:val="00A54C70"/>
    <w:rsid w:val="00A54CC4"/>
    <w:rsid w:val="00A54D03"/>
    <w:rsid w:val="00A54D6C"/>
    <w:rsid w:val="00A54E98"/>
    <w:rsid w:val="00A54ED0"/>
    <w:rsid w:val="00A54F9B"/>
    <w:rsid w:val="00A54F9D"/>
    <w:rsid w:val="00A54FA5"/>
    <w:rsid w:val="00A54FC6"/>
    <w:rsid w:val="00A5502E"/>
    <w:rsid w:val="00A5529F"/>
    <w:rsid w:val="00A552BD"/>
    <w:rsid w:val="00A554CE"/>
    <w:rsid w:val="00A556EF"/>
    <w:rsid w:val="00A558A8"/>
    <w:rsid w:val="00A558E8"/>
    <w:rsid w:val="00A558F0"/>
    <w:rsid w:val="00A5594F"/>
    <w:rsid w:val="00A55980"/>
    <w:rsid w:val="00A55A9F"/>
    <w:rsid w:val="00A55AE3"/>
    <w:rsid w:val="00A55B24"/>
    <w:rsid w:val="00A55B51"/>
    <w:rsid w:val="00A55B94"/>
    <w:rsid w:val="00A55CB7"/>
    <w:rsid w:val="00A55D22"/>
    <w:rsid w:val="00A55D25"/>
    <w:rsid w:val="00A55D4E"/>
    <w:rsid w:val="00A55D87"/>
    <w:rsid w:val="00A55E4F"/>
    <w:rsid w:val="00A55E75"/>
    <w:rsid w:val="00A55F07"/>
    <w:rsid w:val="00A56097"/>
    <w:rsid w:val="00A56139"/>
    <w:rsid w:val="00A5613B"/>
    <w:rsid w:val="00A5636B"/>
    <w:rsid w:val="00A563D6"/>
    <w:rsid w:val="00A5648B"/>
    <w:rsid w:val="00A564DB"/>
    <w:rsid w:val="00A5659D"/>
    <w:rsid w:val="00A5667B"/>
    <w:rsid w:val="00A566C1"/>
    <w:rsid w:val="00A56742"/>
    <w:rsid w:val="00A56761"/>
    <w:rsid w:val="00A5676B"/>
    <w:rsid w:val="00A567F7"/>
    <w:rsid w:val="00A5690B"/>
    <w:rsid w:val="00A5699D"/>
    <w:rsid w:val="00A56A31"/>
    <w:rsid w:val="00A56A77"/>
    <w:rsid w:val="00A56BB5"/>
    <w:rsid w:val="00A56C6D"/>
    <w:rsid w:val="00A56EEE"/>
    <w:rsid w:val="00A57024"/>
    <w:rsid w:val="00A57072"/>
    <w:rsid w:val="00A57073"/>
    <w:rsid w:val="00A570E2"/>
    <w:rsid w:val="00A5712B"/>
    <w:rsid w:val="00A5724D"/>
    <w:rsid w:val="00A5726F"/>
    <w:rsid w:val="00A57283"/>
    <w:rsid w:val="00A57296"/>
    <w:rsid w:val="00A572FC"/>
    <w:rsid w:val="00A5731E"/>
    <w:rsid w:val="00A57519"/>
    <w:rsid w:val="00A5765B"/>
    <w:rsid w:val="00A5776B"/>
    <w:rsid w:val="00A577D3"/>
    <w:rsid w:val="00A57943"/>
    <w:rsid w:val="00A57970"/>
    <w:rsid w:val="00A57E45"/>
    <w:rsid w:val="00A57FA7"/>
    <w:rsid w:val="00A57FBA"/>
    <w:rsid w:val="00A600F6"/>
    <w:rsid w:val="00A60122"/>
    <w:rsid w:val="00A60201"/>
    <w:rsid w:val="00A60267"/>
    <w:rsid w:val="00A602AD"/>
    <w:rsid w:val="00A602BD"/>
    <w:rsid w:val="00A60307"/>
    <w:rsid w:val="00A6046E"/>
    <w:rsid w:val="00A6051B"/>
    <w:rsid w:val="00A60677"/>
    <w:rsid w:val="00A60692"/>
    <w:rsid w:val="00A606C9"/>
    <w:rsid w:val="00A60824"/>
    <w:rsid w:val="00A608CE"/>
    <w:rsid w:val="00A60931"/>
    <w:rsid w:val="00A60966"/>
    <w:rsid w:val="00A6096A"/>
    <w:rsid w:val="00A60997"/>
    <w:rsid w:val="00A60A01"/>
    <w:rsid w:val="00A60B25"/>
    <w:rsid w:val="00A60B4D"/>
    <w:rsid w:val="00A60E26"/>
    <w:rsid w:val="00A60EE9"/>
    <w:rsid w:val="00A60FD5"/>
    <w:rsid w:val="00A61071"/>
    <w:rsid w:val="00A610A6"/>
    <w:rsid w:val="00A612CC"/>
    <w:rsid w:val="00A61348"/>
    <w:rsid w:val="00A613B9"/>
    <w:rsid w:val="00A614A0"/>
    <w:rsid w:val="00A614E1"/>
    <w:rsid w:val="00A615E8"/>
    <w:rsid w:val="00A6162A"/>
    <w:rsid w:val="00A616EA"/>
    <w:rsid w:val="00A616EB"/>
    <w:rsid w:val="00A617A9"/>
    <w:rsid w:val="00A61904"/>
    <w:rsid w:val="00A619C7"/>
    <w:rsid w:val="00A619EE"/>
    <w:rsid w:val="00A61AB6"/>
    <w:rsid w:val="00A61AF2"/>
    <w:rsid w:val="00A61B6A"/>
    <w:rsid w:val="00A61BD7"/>
    <w:rsid w:val="00A61DEA"/>
    <w:rsid w:val="00A61E20"/>
    <w:rsid w:val="00A61F75"/>
    <w:rsid w:val="00A6212D"/>
    <w:rsid w:val="00A62181"/>
    <w:rsid w:val="00A621F4"/>
    <w:rsid w:val="00A62256"/>
    <w:rsid w:val="00A6229E"/>
    <w:rsid w:val="00A62314"/>
    <w:rsid w:val="00A62394"/>
    <w:rsid w:val="00A625D5"/>
    <w:rsid w:val="00A627DC"/>
    <w:rsid w:val="00A62811"/>
    <w:rsid w:val="00A628E4"/>
    <w:rsid w:val="00A629E6"/>
    <w:rsid w:val="00A62B04"/>
    <w:rsid w:val="00A62B9B"/>
    <w:rsid w:val="00A62DFF"/>
    <w:rsid w:val="00A62E8C"/>
    <w:rsid w:val="00A62E96"/>
    <w:rsid w:val="00A62EA0"/>
    <w:rsid w:val="00A62F00"/>
    <w:rsid w:val="00A62F9D"/>
    <w:rsid w:val="00A62FA9"/>
    <w:rsid w:val="00A62FCF"/>
    <w:rsid w:val="00A62FFA"/>
    <w:rsid w:val="00A630D5"/>
    <w:rsid w:val="00A6315E"/>
    <w:rsid w:val="00A6316D"/>
    <w:rsid w:val="00A6319E"/>
    <w:rsid w:val="00A631D1"/>
    <w:rsid w:val="00A631F9"/>
    <w:rsid w:val="00A632C4"/>
    <w:rsid w:val="00A633B4"/>
    <w:rsid w:val="00A63446"/>
    <w:rsid w:val="00A63647"/>
    <w:rsid w:val="00A6365E"/>
    <w:rsid w:val="00A6371F"/>
    <w:rsid w:val="00A63A42"/>
    <w:rsid w:val="00A63BAC"/>
    <w:rsid w:val="00A63C37"/>
    <w:rsid w:val="00A63CE7"/>
    <w:rsid w:val="00A63D9B"/>
    <w:rsid w:val="00A63DC1"/>
    <w:rsid w:val="00A63FF0"/>
    <w:rsid w:val="00A64084"/>
    <w:rsid w:val="00A64085"/>
    <w:rsid w:val="00A6421A"/>
    <w:rsid w:val="00A64363"/>
    <w:rsid w:val="00A643D3"/>
    <w:rsid w:val="00A64514"/>
    <w:rsid w:val="00A64572"/>
    <w:rsid w:val="00A645CF"/>
    <w:rsid w:val="00A645FA"/>
    <w:rsid w:val="00A647C7"/>
    <w:rsid w:val="00A6488E"/>
    <w:rsid w:val="00A649C4"/>
    <w:rsid w:val="00A64A02"/>
    <w:rsid w:val="00A64ADD"/>
    <w:rsid w:val="00A64B27"/>
    <w:rsid w:val="00A64C4E"/>
    <w:rsid w:val="00A64C79"/>
    <w:rsid w:val="00A64C83"/>
    <w:rsid w:val="00A64CB9"/>
    <w:rsid w:val="00A64D4C"/>
    <w:rsid w:val="00A64D83"/>
    <w:rsid w:val="00A64DEA"/>
    <w:rsid w:val="00A64F24"/>
    <w:rsid w:val="00A64F54"/>
    <w:rsid w:val="00A64FEA"/>
    <w:rsid w:val="00A650D4"/>
    <w:rsid w:val="00A65193"/>
    <w:rsid w:val="00A6521F"/>
    <w:rsid w:val="00A65253"/>
    <w:rsid w:val="00A652A1"/>
    <w:rsid w:val="00A652DC"/>
    <w:rsid w:val="00A65317"/>
    <w:rsid w:val="00A653C7"/>
    <w:rsid w:val="00A655B8"/>
    <w:rsid w:val="00A6560A"/>
    <w:rsid w:val="00A65758"/>
    <w:rsid w:val="00A65772"/>
    <w:rsid w:val="00A6584A"/>
    <w:rsid w:val="00A658C0"/>
    <w:rsid w:val="00A658F0"/>
    <w:rsid w:val="00A65A5A"/>
    <w:rsid w:val="00A65AEB"/>
    <w:rsid w:val="00A65B47"/>
    <w:rsid w:val="00A65C27"/>
    <w:rsid w:val="00A65C35"/>
    <w:rsid w:val="00A65C57"/>
    <w:rsid w:val="00A65D26"/>
    <w:rsid w:val="00A65D71"/>
    <w:rsid w:val="00A65E2F"/>
    <w:rsid w:val="00A65E84"/>
    <w:rsid w:val="00A65EBD"/>
    <w:rsid w:val="00A65FAD"/>
    <w:rsid w:val="00A66246"/>
    <w:rsid w:val="00A66284"/>
    <w:rsid w:val="00A662A5"/>
    <w:rsid w:val="00A662C0"/>
    <w:rsid w:val="00A665CD"/>
    <w:rsid w:val="00A667BC"/>
    <w:rsid w:val="00A667D8"/>
    <w:rsid w:val="00A66971"/>
    <w:rsid w:val="00A66AB2"/>
    <w:rsid w:val="00A66B27"/>
    <w:rsid w:val="00A66C7B"/>
    <w:rsid w:val="00A66C93"/>
    <w:rsid w:val="00A66DA7"/>
    <w:rsid w:val="00A66E16"/>
    <w:rsid w:val="00A66E34"/>
    <w:rsid w:val="00A66EC2"/>
    <w:rsid w:val="00A66F3D"/>
    <w:rsid w:val="00A66F63"/>
    <w:rsid w:val="00A67069"/>
    <w:rsid w:val="00A670B2"/>
    <w:rsid w:val="00A672B9"/>
    <w:rsid w:val="00A6730A"/>
    <w:rsid w:val="00A67353"/>
    <w:rsid w:val="00A6746C"/>
    <w:rsid w:val="00A67593"/>
    <w:rsid w:val="00A67659"/>
    <w:rsid w:val="00A67ACC"/>
    <w:rsid w:val="00A67E11"/>
    <w:rsid w:val="00A67EA7"/>
    <w:rsid w:val="00A67EE1"/>
    <w:rsid w:val="00A67F3B"/>
    <w:rsid w:val="00A67F4B"/>
    <w:rsid w:val="00A67F56"/>
    <w:rsid w:val="00A685E5"/>
    <w:rsid w:val="00A70224"/>
    <w:rsid w:val="00A70297"/>
    <w:rsid w:val="00A70358"/>
    <w:rsid w:val="00A7051B"/>
    <w:rsid w:val="00A70647"/>
    <w:rsid w:val="00A708E0"/>
    <w:rsid w:val="00A708E4"/>
    <w:rsid w:val="00A70AEC"/>
    <w:rsid w:val="00A70C0A"/>
    <w:rsid w:val="00A70C3D"/>
    <w:rsid w:val="00A70CBC"/>
    <w:rsid w:val="00A70CC5"/>
    <w:rsid w:val="00A70E63"/>
    <w:rsid w:val="00A70ED0"/>
    <w:rsid w:val="00A70F72"/>
    <w:rsid w:val="00A71048"/>
    <w:rsid w:val="00A71074"/>
    <w:rsid w:val="00A713D9"/>
    <w:rsid w:val="00A71498"/>
    <w:rsid w:val="00A714DB"/>
    <w:rsid w:val="00A715E1"/>
    <w:rsid w:val="00A717A6"/>
    <w:rsid w:val="00A717B3"/>
    <w:rsid w:val="00A7185F"/>
    <w:rsid w:val="00A71B00"/>
    <w:rsid w:val="00A71B74"/>
    <w:rsid w:val="00A71C90"/>
    <w:rsid w:val="00A71DCB"/>
    <w:rsid w:val="00A71E0C"/>
    <w:rsid w:val="00A71ECE"/>
    <w:rsid w:val="00A71EE5"/>
    <w:rsid w:val="00A71F4A"/>
    <w:rsid w:val="00A71FF3"/>
    <w:rsid w:val="00A72083"/>
    <w:rsid w:val="00A72128"/>
    <w:rsid w:val="00A7214D"/>
    <w:rsid w:val="00A72267"/>
    <w:rsid w:val="00A72316"/>
    <w:rsid w:val="00A72513"/>
    <w:rsid w:val="00A72639"/>
    <w:rsid w:val="00A72D07"/>
    <w:rsid w:val="00A72DA5"/>
    <w:rsid w:val="00A72E02"/>
    <w:rsid w:val="00A72F09"/>
    <w:rsid w:val="00A72FCA"/>
    <w:rsid w:val="00A72FCD"/>
    <w:rsid w:val="00A72FDC"/>
    <w:rsid w:val="00A7320C"/>
    <w:rsid w:val="00A7339E"/>
    <w:rsid w:val="00A7344F"/>
    <w:rsid w:val="00A73594"/>
    <w:rsid w:val="00A7379F"/>
    <w:rsid w:val="00A737A1"/>
    <w:rsid w:val="00A737AB"/>
    <w:rsid w:val="00A7386A"/>
    <w:rsid w:val="00A73905"/>
    <w:rsid w:val="00A73A0F"/>
    <w:rsid w:val="00A73A1C"/>
    <w:rsid w:val="00A73ACC"/>
    <w:rsid w:val="00A73AF4"/>
    <w:rsid w:val="00A73B43"/>
    <w:rsid w:val="00A73C26"/>
    <w:rsid w:val="00A73CA3"/>
    <w:rsid w:val="00A73CAB"/>
    <w:rsid w:val="00A73D0F"/>
    <w:rsid w:val="00A73D28"/>
    <w:rsid w:val="00A73F92"/>
    <w:rsid w:val="00A74084"/>
    <w:rsid w:val="00A74166"/>
    <w:rsid w:val="00A741B0"/>
    <w:rsid w:val="00A74216"/>
    <w:rsid w:val="00A742DD"/>
    <w:rsid w:val="00A7449F"/>
    <w:rsid w:val="00A74513"/>
    <w:rsid w:val="00A74540"/>
    <w:rsid w:val="00A74570"/>
    <w:rsid w:val="00A745B4"/>
    <w:rsid w:val="00A74723"/>
    <w:rsid w:val="00A748C0"/>
    <w:rsid w:val="00A7499F"/>
    <w:rsid w:val="00A749BB"/>
    <w:rsid w:val="00A749F3"/>
    <w:rsid w:val="00A74AE8"/>
    <w:rsid w:val="00A74B3A"/>
    <w:rsid w:val="00A74CF4"/>
    <w:rsid w:val="00A74D52"/>
    <w:rsid w:val="00A74D60"/>
    <w:rsid w:val="00A74E30"/>
    <w:rsid w:val="00A74E59"/>
    <w:rsid w:val="00A74F3B"/>
    <w:rsid w:val="00A74FB8"/>
    <w:rsid w:val="00A7516B"/>
    <w:rsid w:val="00A7525E"/>
    <w:rsid w:val="00A752A0"/>
    <w:rsid w:val="00A7552F"/>
    <w:rsid w:val="00A7583F"/>
    <w:rsid w:val="00A7585D"/>
    <w:rsid w:val="00A75926"/>
    <w:rsid w:val="00A7598E"/>
    <w:rsid w:val="00A75A4C"/>
    <w:rsid w:val="00A75A51"/>
    <w:rsid w:val="00A75B1E"/>
    <w:rsid w:val="00A75C38"/>
    <w:rsid w:val="00A75C92"/>
    <w:rsid w:val="00A75EF5"/>
    <w:rsid w:val="00A75FEF"/>
    <w:rsid w:val="00A760AB"/>
    <w:rsid w:val="00A760D4"/>
    <w:rsid w:val="00A76112"/>
    <w:rsid w:val="00A76130"/>
    <w:rsid w:val="00A763E6"/>
    <w:rsid w:val="00A763F7"/>
    <w:rsid w:val="00A765C7"/>
    <w:rsid w:val="00A76761"/>
    <w:rsid w:val="00A767A0"/>
    <w:rsid w:val="00A767BA"/>
    <w:rsid w:val="00A767E8"/>
    <w:rsid w:val="00A76824"/>
    <w:rsid w:val="00A768A8"/>
    <w:rsid w:val="00A76B5B"/>
    <w:rsid w:val="00A76B5E"/>
    <w:rsid w:val="00A76BD1"/>
    <w:rsid w:val="00A76C48"/>
    <w:rsid w:val="00A76E59"/>
    <w:rsid w:val="00A76F71"/>
    <w:rsid w:val="00A76FDA"/>
    <w:rsid w:val="00A7710E"/>
    <w:rsid w:val="00A77121"/>
    <w:rsid w:val="00A771B6"/>
    <w:rsid w:val="00A771F6"/>
    <w:rsid w:val="00A77216"/>
    <w:rsid w:val="00A7731F"/>
    <w:rsid w:val="00A774E2"/>
    <w:rsid w:val="00A774E9"/>
    <w:rsid w:val="00A7757C"/>
    <w:rsid w:val="00A77669"/>
    <w:rsid w:val="00A776E9"/>
    <w:rsid w:val="00A776F2"/>
    <w:rsid w:val="00A777C3"/>
    <w:rsid w:val="00A77954"/>
    <w:rsid w:val="00A77A6A"/>
    <w:rsid w:val="00A77D29"/>
    <w:rsid w:val="00A77E73"/>
    <w:rsid w:val="00A77F42"/>
    <w:rsid w:val="00A77FE4"/>
    <w:rsid w:val="00A80020"/>
    <w:rsid w:val="00A80021"/>
    <w:rsid w:val="00A800D9"/>
    <w:rsid w:val="00A8014B"/>
    <w:rsid w:val="00A80263"/>
    <w:rsid w:val="00A803CA"/>
    <w:rsid w:val="00A80507"/>
    <w:rsid w:val="00A80511"/>
    <w:rsid w:val="00A80673"/>
    <w:rsid w:val="00A8072D"/>
    <w:rsid w:val="00A807BF"/>
    <w:rsid w:val="00A807F5"/>
    <w:rsid w:val="00A80850"/>
    <w:rsid w:val="00A80B42"/>
    <w:rsid w:val="00A80B92"/>
    <w:rsid w:val="00A80BBD"/>
    <w:rsid w:val="00A80C4D"/>
    <w:rsid w:val="00A80EF5"/>
    <w:rsid w:val="00A81035"/>
    <w:rsid w:val="00A8111C"/>
    <w:rsid w:val="00A8112B"/>
    <w:rsid w:val="00A81168"/>
    <w:rsid w:val="00A812AC"/>
    <w:rsid w:val="00A812B9"/>
    <w:rsid w:val="00A81373"/>
    <w:rsid w:val="00A81378"/>
    <w:rsid w:val="00A81417"/>
    <w:rsid w:val="00A81554"/>
    <w:rsid w:val="00A815F9"/>
    <w:rsid w:val="00A8165A"/>
    <w:rsid w:val="00A818C3"/>
    <w:rsid w:val="00A81A70"/>
    <w:rsid w:val="00A81B2A"/>
    <w:rsid w:val="00A81D17"/>
    <w:rsid w:val="00A81D35"/>
    <w:rsid w:val="00A81D9F"/>
    <w:rsid w:val="00A81E55"/>
    <w:rsid w:val="00A81EAD"/>
    <w:rsid w:val="00A81FD0"/>
    <w:rsid w:val="00A82086"/>
    <w:rsid w:val="00A82094"/>
    <w:rsid w:val="00A821B5"/>
    <w:rsid w:val="00A82204"/>
    <w:rsid w:val="00A82522"/>
    <w:rsid w:val="00A825BB"/>
    <w:rsid w:val="00A82786"/>
    <w:rsid w:val="00A827C9"/>
    <w:rsid w:val="00A82805"/>
    <w:rsid w:val="00A82879"/>
    <w:rsid w:val="00A82920"/>
    <w:rsid w:val="00A829E4"/>
    <w:rsid w:val="00A82A23"/>
    <w:rsid w:val="00A82A2A"/>
    <w:rsid w:val="00A82A5A"/>
    <w:rsid w:val="00A82E27"/>
    <w:rsid w:val="00A82F31"/>
    <w:rsid w:val="00A8300C"/>
    <w:rsid w:val="00A83127"/>
    <w:rsid w:val="00A831D5"/>
    <w:rsid w:val="00A831DF"/>
    <w:rsid w:val="00A832DE"/>
    <w:rsid w:val="00A83350"/>
    <w:rsid w:val="00A833CE"/>
    <w:rsid w:val="00A83631"/>
    <w:rsid w:val="00A837D4"/>
    <w:rsid w:val="00A8385D"/>
    <w:rsid w:val="00A839C6"/>
    <w:rsid w:val="00A83AAA"/>
    <w:rsid w:val="00A83C25"/>
    <w:rsid w:val="00A83D13"/>
    <w:rsid w:val="00A83EC2"/>
    <w:rsid w:val="00A83FC1"/>
    <w:rsid w:val="00A84052"/>
    <w:rsid w:val="00A840A9"/>
    <w:rsid w:val="00A840B2"/>
    <w:rsid w:val="00A84155"/>
    <w:rsid w:val="00A8417C"/>
    <w:rsid w:val="00A8425E"/>
    <w:rsid w:val="00A842C0"/>
    <w:rsid w:val="00A8433F"/>
    <w:rsid w:val="00A84458"/>
    <w:rsid w:val="00A84507"/>
    <w:rsid w:val="00A8450A"/>
    <w:rsid w:val="00A845CE"/>
    <w:rsid w:val="00A8477D"/>
    <w:rsid w:val="00A847E1"/>
    <w:rsid w:val="00A8493C"/>
    <w:rsid w:val="00A8495B"/>
    <w:rsid w:val="00A84BBD"/>
    <w:rsid w:val="00A84BC2"/>
    <w:rsid w:val="00A84CFD"/>
    <w:rsid w:val="00A84E15"/>
    <w:rsid w:val="00A84F6E"/>
    <w:rsid w:val="00A84F70"/>
    <w:rsid w:val="00A84F95"/>
    <w:rsid w:val="00A85035"/>
    <w:rsid w:val="00A850BD"/>
    <w:rsid w:val="00A850C4"/>
    <w:rsid w:val="00A851E6"/>
    <w:rsid w:val="00A851FE"/>
    <w:rsid w:val="00A8520A"/>
    <w:rsid w:val="00A853F3"/>
    <w:rsid w:val="00A85419"/>
    <w:rsid w:val="00A85472"/>
    <w:rsid w:val="00A857CA"/>
    <w:rsid w:val="00A85891"/>
    <w:rsid w:val="00A8590D"/>
    <w:rsid w:val="00A85922"/>
    <w:rsid w:val="00A85A41"/>
    <w:rsid w:val="00A85B14"/>
    <w:rsid w:val="00A85DDF"/>
    <w:rsid w:val="00A85F5E"/>
    <w:rsid w:val="00A85FC3"/>
    <w:rsid w:val="00A8607A"/>
    <w:rsid w:val="00A86097"/>
    <w:rsid w:val="00A86273"/>
    <w:rsid w:val="00A86289"/>
    <w:rsid w:val="00A86331"/>
    <w:rsid w:val="00A8645D"/>
    <w:rsid w:val="00A8662E"/>
    <w:rsid w:val="00A86729"/>
    <w:rsid w:val="00A8678B"/>
    <w:rsid w:val="00A867D4"/>
    <w:rsid w:val="00A867F0"/>
    <w:rsid w:val="00A8687A"/>
    <w:rsid w:val="00A868B8"/>
    <w:rsid w:val="00A86900"/>
    <w:rsid w:val="00A86945"/>
    <w:rsid w:val="00A86A05"/>
    <w:rsid w:val="00A86AE4"/>
    <w:rsid w:val="00A86B65"/>
    <w:rsid w:val="00A86B9B"/>
    <w:rsid w:val="00A86BD1"/>
    <w:rsid w:val="00A86BF6"/>
    <w:rsid w:val="00A86CB6"/>
    <w:rsid w:val="00A86F86"/>
    <w:rsid w:val="00A86F92"/>
    <w:rsid w:val="00A87035"/>
    <w:rsid w:val="00A870CC"/>
    <w:rsid w:val="00A8734A"/>
    <w:rsid w:val="00A875A3"/>
    <w:rsid w:val="00A87650"/>
    <w:rsid w:val="00A8769D"/>
    <w:rsid w:val="00A876B5"/>
    <w:rsid w:val="00A87878"/>
    <w:rsid w:val="00A878D6"/>
    <w:rsid w:val="00A879D7"/>
    <w:rsid w:val="00A87AB8"/>
    <w:rsid w:val="00A87BC4"/>
    <w:rsid w:val="00A87C00"/>
    <w:rsid w:val="00A87C96"/>
    <w:rsid w:val="00A87E42"/>
    <w:rsid w:val="00A87EB6"/>
    <w:rsid w:val="00A87EBD"/>
    <w:rsid w:val="00A87F08"/>
    <w:rsid w:val="00A87F77"/>
    <w:rsid w:val="00A87FC8"/>
    <w:rsid w:val="00A9004E"/>
    <w:rsid w:val="00A90147"/>
    <w:rsid w:val="00A901F5"/>
    <w:rsid w:val="00A902AD"/>
    <w:rsid w:val="00A902AE"/>
    <w:rsid w:val="00A904B4"/>
    <w:rsid w:val="00A904E2"/>
    <w:rsid w:val="00A905B9"/>
    <w:rsid w:val="00A9069C"/>
    <w:rsid w:val="00A906CB"/>
    <w:rsid w:val="00A90703"/>
    <w:rsid w:val="00A907EC"/>
    <w:rsid w:val="00A9082A"/>
    <w:rsid w:val="00A90899"/>
    <w:rsid w:val="00A90A4F"/>
    <w:rsid w:val="00A90A5A"/>
    <w:rsid w:val="00A90C98"/>
    <w:rsid w:val="00A90D8E"/>
    <w:rsid w:val="00A90E86"/>
    <w:rsid w:val="00A90E8C"/>
    <w:rsid w:val="00A90ECE"/>
    <w:rsid w:val="00A90EDC"/>
    <w:rsid w:val="00A91068"/>
    <w:rsid w:val="00A910A8"/>
    <w:rsid w:val="00A910B7"/>
    <w:rsid w:val="00A9112F"/>
    <w:rsid w:val="00A911F0"/>
    <w:rsid w:val="00A91222"/>
    <w:rsid w:val="00A912ED"/>
    <w:rsid w:val="00A9141C"/>
    <w:rsid w:val="00A91694"/>
    <w:rsid w:val="00A917CD"/>
    <w:rsid w:val="00A919CF"/>
    <w:rsid w:val="00A91A52"/>
    <w:rsid w:val="00A91AC3"/>
    <w:rsid w:val="00A91C2D"/>
    <w:rsid w:val="00A91DDE"/>
    <w:rsid w:val="00A9204C"/>
    <w:rsid w:val="00A921A9"/>
    <w:rsid w:val="00A922D3"/>
    <w:rsid w:val="00A923B6"/>
    <w:rsid w:val="00A923CB"/>
    <w:rsid w:val="00A92477"/>
    <w:rsid w:val="00A924FF"/>
    <w:rsid w:val="00A92575"/>
    <w:rsid w:val="00A9257C"/>
    <w:rsid w:val="00A92591"/>
    <w:rsid w:val="00A92666"/>
    <w:rsid w:val="00A927D5"/>
    <w:rsid w:val="00A9288B"/>
    <w:rsid w:val="00A928A0"/>
    <w:rsid w:val="00A928CA"/>
    <w:rsid w:val="00A92992"/>
    <w:rsid w:val="00A929FE"/>
    <w:rsid w:val="00A92AFF"/>
    <w:rsid w:val="00A92B4D"/>
    <w:rsid w:val="00A92B7F"/>
    <w:rsid w:val="00A92C1A"/>
    <w:rsid w:val="00A92C34"/>
    <w:rsid w:val="00A92DBA"/>
    <w:rsid w:val="00A92EA3"/>
    <w:rsid w:val="00A92FAA"/>
    <w:rsid w:val="00A9306B"/>
    <w:rsid w:val="00A9316B"/>
    <w:rsid w:val="00A9318A"/>
    <w:rsid w:val="00A9318E"/>
    <w:rsid w:val="00A932F1"/>
    <w:rsid w:val="00A933EA"/>
    <w:rsid w:val="00A9351D"/>
    <w:rsid w:val="00A9366A"/>
    <w:rsid w:val="00A93784"/>
    <w:rsid w:val="00A937B4"/>
    <w:rsid w:val="00A93A1C"/>
    <w:rsid w:val="00A93C91"/>
    <w:rsid w:val="00A93E2B"/>
    <w:rsid w:val="00A93ED3"/>
    <w:rsid w:val="00A93EDB"/>
    <w:rsid w:val="00A940DE"/>
    <w:rsid w:val="00A9413E"/>
    <w:rsid w:val="00A94243"/>
    <w:rsid w:val="00A9425C"/>
    <w:rsid w:val="00A942C8"/>
    <w:rsid w:val="00A943EE"/>
    <w:rsid w:val="00A94594"/>
    <w:rsid w:val="00A945D0"/>
    <w:rsid w:val="00A94616"/>
    <w:rsid w:val="00A94972"/>
    <w:rsid w:val="00A94978"/>
    <w:rsid w:val="00A949AB"/>
    <w:rsid w:val="00A94AB3"/>
    <w:rsid w:val="00A94ACC"/>
    <w:rsid w:val="00A94BC0"/>
    <w:rsid w:val="00A94C1D"/>
    <w:rsid w:val="00A94D7A"/>
    <w:rsid w:val="00A94D86"/>
    <w:rsid w:val="00A94DA9"/>
    <w:rsid w:val="00A94E1E"/>
    <w:rsid w:val="00A94E41"/>
    <w:rsid w:val="00A94E89"/>
    <w:rsid w:val="00A94EF5"/>
    <w:rsid w:val="00A94F10"/>
    <w:rsid w:val="00A94F17"/>
    <w:rsid w:val="00A94FB1"/>
    <w:rsid w:val="00A9502B"/>
    <w:rsid w:val="00A95219"/>
    <w:rsid w:val="00A9526D"/>
    <w:rsid w:val="00A95341"/>
    <w:rsid w:val="00A95523"/>
    <w:rsid w:val="00A95538"/>
    <w:rsid w:val="00A95702"/>
    <w:rsid w:val="00A9577A"/>
    <w:rsid w:val="00A957F0"/>
    <w:rsid w:val="00A95869"/>
    <w:rsid w:val="00A95978"/>
    <w:rsid w:val="00A95B9E"/>
    <w:rsid w:val="00A95BA5"/>
    <w:rsid w:val="00A95C23"/>
    <w:rsid w:val="00A95C61"/>
    <w:rsid w:val="00A95D35"/>
    <w:rsid w:val="00A95DE8"/>
    <w:rsid w:val="00A95F2B"/>
    <w:rsid w:val="00A96045"/>
    <w:rsid w:val="00A96052"/>
    <w:rsid w:val="00A961F1"/>
    <w:rsid w:val="00A96322"/>
    <w:rsid w:val="00A9635E"/>
    <w:rsid w:val="00A96432"/>
    <w:rsid w:val="00A96440"/>
    <w:rsid w:val="00A9646E"/>
    <w:rsid w:val="00A96488"/>
    <w:rsid w:val="00A964E4"/>
    <w:rsid w:val="00A96500"/>
    <w:rsid w:val="00A9651C"/>
    <w:rsid w:val="00A9669A"/>
    <w:rsid w:val="00A966A6"/>
    <w:rsid w:val="00A96743"/>
    <w:rsid w:val="00A96898"/>
    <w:rsid w:val="00A969AB"/>
    <w:rsid w:val="00A969B7"/>
    <w:rsid w:val="00A96A6B"/>
    <w:rsid w:val="00A96B31"/>
    <w:rsid w:val="00A96B7F"/>
    <w:rsid w:val="00A96CA5"/>
    <w:rsid w:val="00A96CB3"/>
    <w:rsid w:val="00A96CCE"/>
    <w:rsid w:val="00A96CDD"/>
    <w:rsid w:val="00A96CEC"/>
    <w:rsid w:val="00A96DAA"/>
    <w:rsid w:val="00A96E5F"/>
    <w:rsid w:val="00A9709B"/>
    <w:rsid w:val="00A970FE"/>
    <w:rsid w:val="00A971AA"/>
    <w:rsid w:val="00A971DD"/>
    <w:rsid w:val="00A973FA"/>
    <w:rsid w:val="00A97409"/>
    <w:rsid w:val="00A9744B"/>
    <w:rsid w:val="00A97496"/>
    <w:rsid w:val="00A9755F"/>
    <w:rsid w:val="00A975D9"/>
    <w:rsid w:val="00A975EE"/>
    <w:rsid w:val="00A9769B"/>
    <w:rsid w:val="00A9769D"/>
    <w:rsid w:val="00A976C0"/>
    <w:rsid w:val="00A9785E"/>
    <w:rsid w:val="00A97A67"/>
    <w:rsid w:val="00A97AF9"/>
    <w:rsid w:val="00A97CD2"/>
    <w:rsid w:val="00A97DE2"/>
    <w:rsid w:val="00A97E76"/>
    <w:rsid w:val="00A97EA3"/>
    <w:rsid w:val="00A97F4B"/>
    <w:rsid w:val="00AA005E"/>
    <w:rsid w:val="00AA047F"/>
    <w:rsid w:val="00AA0519"/>
    <w:rsid w:val="00AA0539"/>
    <w:rsid w:val="00AA0552"/>
    <w:rsid w:val="00AA062B"/>
    <w:rsid w:val="00AA08AD"/>
    <w:rsid w:val="00AA091C"/>
    <w:rsid w:val="00AA0A41"/>
    <w:rsid w:val="00AA0AA5"/>
    <w:rsid w:val="00AA0B8A"/>
    <w:rsid w:val="00AA0E3E"/>
    <w:rsid w:val="00AA0EAE"/>
    <w:rsid w:val="00AA0EEE"/>
    <w:rsid w:val="00AA0F1F"/>
    <w:rsid w:val="00AA0F69"/>
    <w:rsid w:val="00AA0F82"/>
    <w:rsid w:val="00AA1098"/>
    <w:rsid w:val="00AA109F"/>
    <w:rsid w:val="00AA10CA"/>
    <w:rsid w:val="00AA1118"/>
    <w:rsid w:val="00AA1353"/>
    <w:rsid w:val="00AA13EA"/>
    <w:rsid w:val="00AA149C"/>
    <w:rsid w:val="00AA14E3"/>
    <w:rsid w:val="00AA150F"/>
    <w:rsid w:val="00AA1567"/>
    <w:rsid w:val="00AA15F2"/>
    <w:rsid w:val="00AA1795"/>
    <w:rsid w:val="00AA1A6C"/>
    <w:rsid w:val="00AA1A79"/>
    <w:rsid w:val="00AA1CAD"/>
    <w:rsid w:val="00AA1F37"/>
    <w:rsid w:val="00AA200B"/>
    <w:rsid w:val="00AA2044"/>
    <w:rsid w:val="00AA2078"/>
    <w:rsid w:val="00AA210B"/>
    <w:rsid w:val="00AA2186"/>
    <w:rsid w:val="00AA2194"/>
    <w:rsid w:val="00AA2260"/>
    <w:rsid w:val="00AA22D4"/>
    <w:rsid w:val="00AA243E"/>
    <w:rsid w:val="00AA24FF"/>
    <w:rsid w:val="00AA2541"/>
    <w:rsid w:val="00AA254C"/>
    <w:rsid w:val="00AA26B0"/>
    <w:rsid w:val="00AA27C4"/>
    <w:rsid w:val="00AA27E4"/>
    <w:rsid w:val="00AA281B"/>
    <w:rsid w:val="00AA28CA"/>
    <w:rsid w:val="00AA291B"/>
    <w:rsid w:val="00AA2A27"/>
    <w:rsid w:val="00AA2B12"/>
    <w:rsid w:val="00AA2BC8"/>
    <w:rsid w:val="00AA2D72"/>
    <w:rsid w:val="00AA2DAC"/>
    <w:rsid w:val="00AA2DDA"/>
    <w:rsid w:val="00AA2E65"/>
    <w:rsid w:val="00AA2F15"/>
    <w:rsid w:val="00AA2F59"/>
    <w:rsid w:val="00AA2F7F"/>
    <w:rsid w:val="00AA2FAC"/>
    <w:rsid w:val="00AA30A2"/>
    <w:rsid w:val="00AA31FA"/>
    <w:rsid w:val="00AA3251"/>
    <w:rsid w:val="00AA33AC"/>
    <w:rsid w:val="00AA3499"/>
    <w:rsid w:val="00AA3506"/>
    <w:rsid w:val="00AA3542"/>
    <w:rsid w:val="00AA35E3"/>
    <w:rsid w:val="00AA363B"/>
    <w:rsid w:val="00AA3766"/>
    <w:rsid w:val="00AA3855"/>
    <w:rsid w:val="00AA393A"/>
    <w:rsid w:val="00AA3968"/>
    <w:rsid w:val="00AA3AB9"/>
    <w:rsid w:val="00AA3BBE"/>
    <w:rsid w:val="00AA3C99"/>
    <w:rsid w:val="00AA3CA7"/>
    <w:rsid w:val="00AA3D98"/>
    <w:rsid w:val="00AA3ECC"/>
    <w:rsid w:val="00AA3F97"/>
    <w:rsid w:val="00AA3FAF"/>
    <w:rsid w:val="00AA4042"/>
    <w:rsid w:val="00AA40A5"/>
    <w:rsid w:val="00AA41B9"/>
    <w:rsid w:val="00AA4234"/>
    <w:rsid w:val="00AA437C"/>
    <w:rsid w:val="00AA4545"/>
    <w:rsid w:val="00AA46D4"/>
    <w:rsid w:val="00AA47DE"/>
    <w:rsid w:val="00AA47E8"/>
    <w:rsid w:val="00AA4A1D"/>
    <w:rsid w:val="00AA4A2C"/>
    <w:rsid w:val="00AA4BA9"/>
    <w:rsid w:val="00AA4C54"/>
    <w:rsid w:val="00AA4D68"/>
    <w:rsid w:val="00AA4DD8"/>
    <w:rsid w:val="00AA4E3F"/>
    <w:rsid w:val="00AA4E53"/>
    <w:rsid w:val="00AA4F9A"/>
    <w:rsid w:val="00AA4FC5"/>
    <w:rsid w:val="00AA504A"/>
    <w:rsid w:val="00AA50D9"/>
    <w:rsid w:val="00AA51F6"/>
    <w:rsid w:val="00AA5237"/>
    <w:rsid w:val="00AA5250"/>
    <w:rsid w:val="00AA5358"/>
    <w:rsid w:val="00AA53A7"/>
    <w:rsid w:val="00AA54EC"/>
    <w:rsid w:val="00AA558F"/>
    <w:rsid w:val="00AA568F"/>
    <w:rsid w:val="00AA57DD"/>
    <w:rsid w:val="00AA58AE"/>
    <w:rsid w:val="00AA5962"/>
    <w:rsid w:val="00AA598B"/>
    <w:rsid w:val="00AA5BB4"/>
    <w:rsid w:val="00AA5D0A"/>
    <w:rsid w:val="00AA5D4C"/>
    <w:rsid w:val="00AA5D7F"/>
    <w:rsid w:val="00AA5DB9"/>
    <w:rsid w:val="00AA5ED1"/>
    <w:rsid w:val="00AA5EFD"/>
    <w:rsid w:val="00AA5F3B"/>
    <w:rsid w:val="00AA613A"/>
    <w:rsid w:val="00AA63D1"/>
    <w:rsid w:val="00AA63D3"/>
    <w:rsid w:val="00AA6425"/>
    <w:rsid w:val="00AA662A"/>
    <w:rsid w:val="00AA668E"/>
    <w:rsid w:val="00AA68B2"/>
    <w:rsid w:val="00AA68EF"/>
    <w:rsid w:val="00AA6948"/>
    <w:rsid w:val="00AA6A0D"/>
    <w:rsid w:val="00AA6ADE"/>
    <w:rsid w:val="00AA6BF2"/>
    <w:rsid w:val="00AA6CBC"/>
    <w:rsid w:val="00AA6D21"/>
    <w:rsid w:val="00AA6D30"/>
    <w:rsid w:val="00AA6E67"/>
    <w:rsid w:val="00AA6FC1"/>
    <w:rsid w:val="00AA750E"/>
    <w:rsid w:val="00AA75A7"/>
    <w:rsid w:val="00AA763C"/>
    <w:rsid w:val="00AA7791"/>
    <w:rsid w:val="00AA78A4"/>
    <w:rsid w:val="00AA78CE"/>
    <w:rsid w:val="00AA7A2A"/>
    <w:rsid w:val="00AA7B1D"/>
    <w:rsid w:val="00AA7B3A"/>
    <w:rsid w:val="00AA7C87"/>
    <w:rsid w:val="00AA7D73"/>
    <w:rsid w:val="00AB0160"/>
    <w:rsid w:val="00AB0323"/>
    <w:rsid w:val="00AB03F1"/>
    <w:rsid w:val="00AB042F"/>
    <w:rsid w:val="00AB0491"/>
    <w:rsid w:val="00AB054E"/>
    <w:rsid w:val="00AB0574"/>
    <w:rsid w:val="00AB068D"/>
    <w:rsid w:val="00AB06CD"/>
    <w:rsid w:val="00AB09A4"/>
    <w:rsid w:val="00AB0A0C"/>
    <w:rsid w:val="00AB0A13"/>
    <w:rsid w:val="00AB0A47"/>
    <w:rsid w:val="00AB0AF5"/>
    <w:rsid w:val="00AB0CD7"/>
    <w:rsid w:val="00AB0D46"/>
    <w:rsid w:val="00AB0DDC"/>
    <w:rsid w:val="00AB0E77"/>
    <w:rsid w:val="00AB115A"/>
    <w:rsid w:val="00AB128D"/>
    <w:rsid w:val="00AB12BC"/>
    <w:rsid w:val="00AB1324"/>
    <w:rsid w:val="00AB13B8"/>
    <w:rsid w:val="00AB151C"/>
    <w:rsid w:val="00AB15A3"/>
    <w:rsid w:val="00AB15D2"/>
    <w:rsid w:val="00AB1642"/>
    <w:rsid w:val="00AB16A3"/>
    <w:rsid w:val="00AB1724"/>
    <w:rsid w:val="00AB1817"/>
    <w:rsid w:val="00AB1868"/>
    <w:rsid w:val="00AB191A"/>
    <w:rsid w:val="00AB1953"/>
    <w:rsid w:val="00AB19CF"/>
    <w:rsid w:val="00AB19EC"/>
    <w:rsid w:val="00AB1A3A"/>
    <w:rsid w:val="00AB1AA5"/>
    <w:rsid w:val="00AB1B24"/>
    <w:rsid w:val="00AB1BB1"/>
    <w:rsid w:val="00AB1C50"/>
    <w:rsid w:val="00AB1D79"/>
    <w:rsid w:val="00AB1D8C"/>
    <w:rsid w:val="00AB1E9F"/>
    <w:rsid w:val="00AB1EEB"/>
    <w:rsid w:val="00AB1F5E"/>
    <w:rsid w:val="00AB2050"/>
    <w:rsid w:val="00AB2159"/>
    <w:rsid w:val="00AB228E"/>
    <w:rsid w:val="00AB22B1"/>
    <w:rsid w:val="00AB2359"/>
    <w:rsid w:val="00AB2383"/>
    <w:rsid w:val="00AB23AB"/>
    <w:rsid w:val="00AB254D"/>
    <w:rsid w:val="00AB26BA"/>
    <w:rsid w:val="00AB2705"/>
    <w:rsid w:val="00AB2770"/>
    <w:rsid w:val="00AB284D"/>
    <w:rsid w:val="00AB28DF"/>
    <w:rsid w:val="00AB2A63"/>
    <w:rsid w:val="00AB2AC7"/>
    <w:rsid w:val="00AB2AF7"/>
    <w:rsid w:val="00AB2B3A"/>
    <w:rsid w:val="00AB2BA2"/>
    <w:rsid w:val="00AB2D82"/>
    <w:rsid w:val="00AB2D90"/>
    <w:rsid w:val="00AB2DA1"/>
    <w:rsid w:val="00AB2E13"/>
    <w:rsid w:val="00AB2E29"/>
    <w:rsid w:val="00AB2E79"/>
    <w:rsid w:val="00AB2FEB"/>
    <w:rsid w:val="00AB30CC"/>
    <w:rsid w:val="00AB30FE"/>
    <w:rsid w:val="00AB3115"/>
    <w:rsid w:val="00AB31C1"/>
    <w:rsid w:val="00AB3286"/>
    <w:rsid w:val="00AB33E2"/>
    <w:rsid w:val="00AB3453"/>
    <w:rsid w:val="00AB3671"/>
    <w:rsid w:val="00AB37A9"/>
    <w:rsid w:val="00AB38B8"/>
    <w:rsid w:val="00AB3BBB"/>
    <w:rsid w:val="00AB3D1B"/>
    <w:rsid w:val="00AB3E9E"/>
    <w:rsid w:val="00AB3F3B"/>
    <w:rsid w:val="00AB3F4D"/>
    <w:rsid w:val="00AB3F4E"/>
    <w:rsid w:val="00AB3F56"/>
    <w:rsid w:val="00AB3FD9"/>
    <w:rsid w:val="00AB4003"/>
    <w:rsid w:val="00AB40E7"/>
    <w:rsid w:val="00AB413F"/>
    <w:rsid w:val="00AB419B"/>
    <w:rsid w:val="00AB423B"/>
    <w:rsid w:val="00AB4311"/>
    <w:rsid w:val="00AB449D"/>
    <w:rsid w:val="00AB449E"/>
    <w:rsid w:val="00AB45C5"/>
    <w:rsid w:val="00AB47A4"/>
    <w:rsid w:val="00AB47E0"/>
    <w:rsid w:val="00AB4845"/>
    <w:rsid w:val="00AB4905"/>
    <w:rsid w:val="00AB4A7E"/>
    <w:rsid w:val="00AB4AAB"/>
    <w:rsid w:val="00AB4B98"/>
    <w:rsid w:val="00AB4C89"/>
    <w:rsid w:val="00AB4D38"/>
    <w:rsid w:val="00AB5000"/>
    <w:rsid w:val="00AB5031"/>
    <w:rsid w:val="00AB5059"/>
    <w:rsid w:val="00AB5265"/>
    <w:rsid w:val="00AB53BD"/>
    <w:rsid w:val="00AB5592"/>
    <w:rsid w:val="00AB55D9"/>
    <w:rsid w:val="00AB562F"/>
    <w:rsid w:val="00AB5682"/>
    <w:rsid w:val="00AB57F7"/>
    <w:rsid w:val="00AB5A53"/>
    <w:rsid w:val="00AB5A83"/>
    <w:rsid w:val="00AB5B39"/>
    <w:rsid w:val="00AB5B98"/>
    <w:rsid w:val="00AB5D31"/>
    <w:rsid w:val="00AB5F4B"/>
    <w:rsid w:val="00AB5F70"/>
    <w:rsid w:val="00AB6028"/>
    <w:rsid w:val="00AB6072"/>
    <w:rsid w:val="00AB60FB"/>
    <w:rsid w:val="00AB61BB"/>
    <w:rsid w:val="00AB647C"/>
    <w:rsid w:val="00AB64CC"/>
    <w:rsid w:val="00AB6593"/>
    <w:rsid w:val="00AB65E7"/>
    <w:rsid w:val="00AB660C"/>
    <w:rsid w:val="00AB664D"/>
    <w:rsid w:val="00AB6750"/>
    <w:rsid w:val="00AB678B"/>
    <w:rsid w:val="00AB67D8"/>
    <w:rsid w:val="00AB6922"/>
    <w:rsid w:val="00AB6AE4"/>
    <w:rsid w:val="00AB6B16"/>
    <w:rsid w:val="00AB6BA7"/>
    <w:rsid w:val="00AB6C0D"/>
    <w:rsid w:val="00AB6CD0"/>
    <w:rsid w:val="00AB6ECA"/>
    <w:rsid w:val="00AB6F5C"/>
    <w:rsid w:val="00AB6FFA"/>
    <w:rsid w:val="00AB7044"/>
    <w:rsid w:val="00AB7088"/>
    <w:rsid w:val="00AB7091"/>
    <w:rsid w:val="00AB714D"/>
    <w:rsid w:val="00AB71C0"/>
    <w:rsid w:val="00AB723A"/>
    <w:rsid w:val="00AB7268"/>
    <w:rsid w:val="00AB73BB"/>
    <w:rsid w:val="00AB74A1"/>
    <w:rsid w:val="00AB74D9"/>
    <w:rsid w:val="00AB756B"/>
    <w:rsid w:val="00AB757F"/>
    <w:rsid w:val="00AB761B"/>
    <w:rsid w:val="00AB7714"/>
    <w:rsid w:val="00AB77E6"/>
    <w:rsid w:val="00AB7805"/>
    <w:rsid w:val="00AB781A"/>
    <w:rsid w:val="00AB783A"/>
    <w:rsid w:val="00AB785D"/>
    <w:rsid w:val="00AB7B05"/>
    <w:rsid w:val="00AB7B3F"/>
    <w:rsid w:val="00AB7BA5"/>
    <w:rsid w:val="00AB7BEB"/>
    <w:rsid w:val="00AB7C9F"/>
    <w:rsid w:val="00AB7CBC"/>
    <w:rsid w:val="00AB7EAD"/>
    <w:rsid w:val="00AB7ED8"/>
    <w:rsid w:val="00AB7F5F"/>
    <w:rsid w:val="00AB7FBE"/>
    <w:rsid w:val="00AB7FDB"/>
    <w:rsid w:val="00AC00C6"/>
    <w:rsid w:val="00AC01B3"/>
    <w:rsid w:val="00AC044A"/>
    <w:rsid w:val="00AC0539"/>
    <w:rsid w:val="00AC05C8"/>
    <w:rsid w:val="00AC066E"/>
    <w:rsid w:val="00AC0734"/>
    <w:rsid w:val="00AC073F"/>
    <w:rsid w:val="00AC0740"/>
    <w:rsid w:val="00AC0931"/>
    <w:rsid w:val="00AC0936"/>
    <w:rsid w:val="00AC0961"/>
    <w:rsid w:val="00AC09D8"/>
    <w:rsid w:val="00AC0C13"/>
    <w:rsid w:val="00AC0CAB"/>
    <w:rsid w:val="00AC0D40"/>
    <w:rsid w:val="00AC0DD8"/>
    <w:rsid w:val="00AC0E13"/>
    <w:rsid w:val="00AC0E1E"/>
    <w:rsid w:val="00AC1023"/>
    <w:rsid w:val="00AC10A4"/>
    <w:rsid w:val="00AC10B9"/>
    <w:rsid w:val="00AC10F9"/>
    <w:rsid w:val="00AC1102"/>
    <w:rsid w:val="00AC1184"/>
    <w:rsid w:val="00AC11C7"/>
    <w:rsid w:val="00AC1230"/>
    <w:rsid w:val="00AC12B9"/>
    <w:rsid w:val="00AC1481"/>
    <w:rsid w:val="00AC15AA"/>
    <w:rsid w:val="00AC16F1"/>
    <w:rsid w:val="00AC17B8"/>
    <w:rsid w:val="00AC1815"/>
    <w:rsid w:val="00AC1857"/>
    <w:rsid w:val="00AC1899"/>
    <w:rsid w:val="00AC1918"/>
    <w:rsid w:val="00AC19CE"/>
    <w:rsid w:val="00AC1A17"/>
    <w:rsid w:val="00AC1A21"/>
    <w:rsid w:val="00AC1A83"/>
    <w:rsid w:val="00AC1C15"/>
    <w:rsid w:val="00AC1C49"/>
    <w:rsid w:val="00AC1D57"/>
    <w:rsid w:val="00AC2184"/>
    <w:rsid w:val="00AC25AF"/>
    <w:rsid w:val="00AC262C"/>
    <w:rsid w:val="00AC2674"/>
    <w:rsid w:val="00AC27CF"/>
    <w:rsid w:val="00AC2998"/>
    <w:rsid w:val="00AC2AC4"/>
    <w:rsid w:val="00AC2BDC"/>
    <w:rsid w:val="00AC2C55"/>
    <w:rsid w:val="00AC2CFB"/>
    <w:rsid w:val="00AC2DB9"/>
    <w:rsid w:val="00AC2DBA"/>
    <w:rsid w:val="00AC2E67"/>
    <w:rsid w:val="00AC2F10"/>
    <w:rsid w:val="00AC2F12"/>
    <w:rsid w:val="00AC2F60"/>
    <w:rsid w:val="00AC2F69"/>
    <w:rsid w:val="00AC2FCB"/>
    <w:rsid w:val="00AC300F"/>
    <w:rsid w:val="00AC31B1"/>
    <w:rsid w:val="00AC31E4"/>
    <w:rsid w:val="00AC32C7"/>
    <w:rsid w:val="00AC33AE"/>
    <w:rsid w:val="00AC33E5"/>
    <w:rsid w:val="00AC34D9"/>
    <w:rsid w:val="00AC3517"/>
    <w:rsid w:val="00AC3657"/>
    <w:rsid w:val="00AC36D7"/>
    <w:rsid w:val="00AC3798"/>
    <w:rsid w:val="00AC3891"/>
    <w:rsid w:val="00AC397D"/>
    <w:rsid w:val="00AC3A0A"/>
    <w:rsid w:val="00AC3B6D"/>
    <w:rsid w:val="00AC3B8E"/>
    <w:rsid w:val="00AC3C38"/>
    <w:rsid w:val="00AC3D6D"/>
    <w:rsid w:val="00AC3EBC"/>
    <w:rsid w:val="00AC3F3D"/>
    <w:rsid w:val="00AC3F88"/>
    <w:rsid w:val="00AC3F97"/>
    <w:rsid w:val="00AC4113"/>
    <w:rsid w:val="00AC417F"/>
    <w:rsid w:val="00AC4231"/>
    <w:rsid w:val="00AC4452"/>
    <w:rsid w:val="00AC4523"/>
    <w:rsid w:val="00AC4589"/>
    <w:rsid w:val="00AC4648"/>
    <w:rsid w:val="00AC46C7"/>
    <w:rsid w:val="00AC47EC"/>
    <w:rsid w:val="00AC4843"/>
    <w:rsid w:val="00AC49D6"/>
    <w:rsid w:val="00AC4A2A"/>
    <w:rsid w:val="00AC4E4A"/>
    <w:rsid w:val="00AC4F21"/>
    <w:rsid w:val="00AC4F38"/>
    <w:rsid w:val="00AC4F98"/>
    <w:rsid w:val="00AC5073"/>
    <w:rsid w:val="00AC50BF"/>
    <w:rsid w:val="00AC5126"/>
    <w:rsid w:val="00AC512C"/>
    <w:rsid w:val="00AC527D"/>
    <w:rsid w:val="00AC52FC"/>
    <w:rsid w:val="00AC5362"/>
    <w:rsid w:val="00AC5387"/>
    <w:rsid w:val="00AC542E"/>
    <w:rsid w:val="00AC544D"/>
    <w:rsid w:val="00AC54B6"/>
    <w:rsid w:val="00AC55F0"/>
    <w:rsid w:val="00AC5740"/>
    <w:rsid w:val="00AC57E0"/>
    <w:rsid w:val="00AC583E"/>
    <w:rsid w:val="00AC583F"/>
    <w:rsid w:val="00AC59D8"/>
    <w:rsid w:val="00AC59FF"/>
    <w:rsid w:val="00AC5B3F"/>
    <w:rsid w:val="00AC5C0E"/>
    <w:rsid w:val="00AC5D31"/>
    <w:rsid w:val="00AC61F6"/>
    <w:rsid w:val="00AC62F7"/>
    <w:rsid w:val="00AC646C"/>
    <w:rsid w:val="00AC654D"/>
    <w:rsid w:val="00AC6556"/>
    <w:rsid w:val="00AC6677"/>
    <w:rsid w:val="00AC6830"/>
    <w:rsid w:val="00AC684C"/>
    <w:rsid w:val="00AC6913"/>
    <w:rsid w:val="00AC6A53"/>
    <w:rsid w:val="00AC6CA0"/>
    <w:rsid w:val="00AC6D6F"/>
    <w:rsid w:val="00AC6DCC"/>
    <w:rsid w:val="00AC6EB6"/>
    <w:rsid w:val="00AC6EF1"/>
    <w:rsid w:val="00AC6FA7"/>
    <w:rsid w:val="00AC6FBB"/>
    <w:rsid w:val="00AC7016"/>
    <w:rsid w:val="00AC7047"/>
    <w:rsid w:val="00AC70FB"/>
    <w:rsid w:val="00AC7105"/>
    <w:rsid w:val="00AC7145"/>
    <w:rsid w:val="00AC7150"/>
    <w:rsid w:val="00AC742D"/>
    <w:rsid w:val="00AC7456"/>
    <w:rsid w:val="00AC74E9"/>
    <w:rsid w:val="00AC764B"/>
    <w:rsid w:val="00AC764C"/>
    <w:rsid w:val="00AC780D"/>
    <w:rsid w:val="00AC78EB"/>
    <w:rsid w:val="00AC79D8"/>
    <w:rsid w:val="00AC7B39"/>
    <w:rsid w:val="00AC7B96"/>
    <w:rsid w:val="00AC7BC5"/>
    <w:rsid w:val="00AC7C19"/>
    <w:rsid w:val="00AC7D89"/>
    <w:rsid w:val="00AC7E41"/>
    <w:rsid w:val="00AD0110"/>
    <w:rsid w:val="00AD01AB"/>
    <w:rsid w:val="00AD01E5"/>
    <w:rsid w:val="00AD01E9"/>
    <w:rsid w:val="00AD0205"/>
    <w:rsid w:val="00AD024E"/>
    <w:rsid w:val="00AD0645"/>
    <w:rsid w:val="00AD0681"/>
    <w:rsid w:val="00AD0744"/>
    <w:rsid w:val="00AD08E8"/>
    <w:rsid w:val="00AD09D3"/>
    <w:rsid w:val="00AD0A93"/>
    <w:rsid w:val="00AD0B10"/>
    <w:rsid w:val="00AD0B60"/>
    <w:rsid w:val="00AD0C7A"/>
    <w:rsid w:val="00AD0CA1"/>
    <w:rsid w:val="00AD0CDA"/>
    <w:rsid w:val="00AD0F7B"/>
    <w:rsid w:val="00AD0F9E"/>
    <w:rsid w:val="00AD0FAF"/>
    <w:rsid w:val="00AD0FD0"/>
    <w:rsid w:val="00AD11A7"/>
    <w:rsid w:val="00AD1261"/>
    <w:rsid w:val="00AD14BA"/>
    <w:rsid w:val="00AD14BF"/>
    <w:rsid w:val="00AD156E"/>
    <w:rsid w:val="00AD161E"/>
    <w:rsid w:val="00AD16C0"/>
    <w:rsid w:val="00AD1891"/>
    <w:rsid w:val="00AD19BF"/>
    <w:rsid w:val="00AD1A9A"/>
    <w:rsid w:val="00AD1BC8"/>
    <w:rsid w:val="00AD1D2D"/>
    <w:rsid w:val="00AD1F78"/>
    <w:rsid w:val="00AD20BF"/>
    <w:rsid w:val="00AD2157"/>
    <w:rsid w:val="00AD2279"/>
    <w:rsid w:val="00AD2337"/>
    <w:rsid w:val="00AD241E"/>
    <w:rsid w:val="00AD2428"/>
    <w:rsid w:val="00AD247C"/>
    <w:rsid w:val="00AD2519"/>
    <w:rsid w:val="00AD2537"/>
    <w:rsid w:val="00AD287C"/>
    <w:rsid w:val="00AD29E7"/>
    <w:rsid w:val="00AD29F2"/>
    <w:rsid w:val="00AD2A3C"/>
    <w:rsid w:val="00AD2BEE"/>
    <w:rsid w:val="00AD2BF6"/>
    <w:rsid w:val="00AD2DF9"/>
    <w:rsid w:val="00AD2E5D"/>
    <w:rsid w:val="00AD302F"/>
    <w:rsid w:val="00AD3116"/>
    <w:rsid w:val="00AD3158"/>
    <w:rsid w:val="00AD3242"/>
    <w:rsid w:val="00AD327A"/>
    <w:rsid w:val="00AD3324"/>
    <w:rsid w:val="00AD3560"/>
    <w:rsid w:val="00AD3738"/>
    <w:rsid w:val="00AD37AB"/>
    <w:rsid w:val="00AD37CA"/>
    <w:rsid w:val="00AD38E1"/>
    <w:rsid w:val="00AD393C"/>
    <w:rsid w:val="00AD39A3"/>
    <w:rsid w:val="00AD39BD"/>
    <w:rsid w:val="00AD3A38"/>
    <w:rsid w:val="00AD3D60"/>
    <w:rsid w:val="00AD3D89"/>
    <w:rsid w:val="00AD3E41"/>
    <w:rsid w:val="00AD3F2F"/>
    <w:rsid w:val="00AD3F64"/>
    <w:rsid w:val="00AD3FB8"/>
    <w:rsid w:val="00AD40BD"/>
    <w:rsid w:val="00AD40D5"/>
    <w:rsid w:val="00AD4181"/>
    <w:rsid w:val="00AD41A0"/>
    <w:rsid w:val="00AD41AF"/>
    <w:rsid w:val="00AD42E1"/>
    <w:rsid w:val="00AD43FC"/>
    <w:rsid w:val="00AD44A5"/>
    <w:rsid w:val="00AD475F"/>
    <w:rsid w:val="00AD48A6"/>
    <w:rsid w:val="00AD49B2"/>
    <w:rsid w:val="00AD4AEC"/>
    <w:rsid w:val="00AD4B2C"/>
    <w:rsid w:val="00AD4B46"/>
    <w:rsid w:val="00AD4BFD"/>
    <w:rsid w:val="00AD4C3C"/>
    <w:rsid w:val="00AD4D82"/>
    <w:rsid w:val="00AD4EDE"/>
    <w:rsid w:val="00AD4F36"/>
    <w:rsid w:val="00AD5037"/>
    <w:rsid w:val="00AD511E"/>
    <w:rsid w:val="00AD5179"/>
    <w:rsid w:val="00AD51B1"/>
    <w:rsid w:val="00AD51EC"/>
    <w:rsid w:val="00AD523E"/>
    <w:rsid w:val="00AD5399"/>
    <w:rsid w:val="00AD5441"/>
    <w:rsid w:val="00AD546A"/>
    <w:rsid w:val="00AD548D"/>
    <w:rsid w:val="00AD553A"/>
    <w:rsid w:val="00AD55AA"/>
    <w:rsid w:val="00AD565A"/>
    <w:rsid w:val="00AD5721"/>
    <w:rsid w:val="00AD583B"/>
    <w:rsid w:val="00AD59F1"/>
    <w:rsid w:val="00AD5A77"/>
    <w:rsid w:val="00AD5AEE"/>
    <w:rsid w:val="00AD5B7A"/>
    <w:rsid w:val="00AD5F23"/>
    <w:rsid w:val="00AD5F24"/>
    <w:rsid w:val="00AD5F4E"/>
    <w:rsid w:val="00AD5FF4"/>
    <w:rsid w:val="00AD608A"/>
    <w:rsid w:val="00AD61BB"/>
    <w:rsid w:val="00AD61C8"/>
    <w:rsid w:val="00AD6334"/>
    <w:rsid w:val="00AD6551"/>
    <w:rsid w:val="00AD65CF"/>
    <w:rsid w:val="00AD6824"/>
    <w:rsid w:val="00AD682D"/>
    <w:rsid w:val="00AD68B9"/>
    <w:rsid w:val="00AD68FC"/>
    <w:rsid w:val="00AD69CB"/>
    <w:rsid w:val="00AD6B53"/>
    <w:rsid w:val="00AD6C18"/>
    <w:rsid w:val="00AD7038"/>
    <w:rsid w:val="00AD7148"/>
    <w:rsid w:val="00AD71FB"/>
    <w:rsid w:val="00AD7239"/>
    <w:rsid w:val="00AD72C6"/>
    <w:rsid w:val="00AD72E2"/>
    <w:rsid w:val="00AD72F2"/>
    <w:rsid w:val="00AD734F"/>
    <w:rsid w:val="00AD7388"/>
    <w:rsid w:val="00AD73EC"/>
    <w:rsid w:val="00AD742B"/>
    <w:rsid w:val="00AD744B"/>
    <w:rsid w:val="00AD74E6"/>
    <w:rsid w:val="00AD74E9"/>
    <w:rsid w:val="00AD7576"/>
    <w:rsid w:val="00AD758A"/>
    <w:rsid w:val="00AD7744"/>
    <w:rsid w:val="00AD77AF"/>
    <w:rsid w:val="00AD77CC"/>
    <w:rsid w:val="00AD7850"/>
    <w:rsid w:val="00AD7BA4"/>
    <w:rsid w:val="00AD7BE9"/>
    <w:rsid w:val="00AD7D02"/>
    <w:rsid w:val="00AD7D26"/>
    <w:rsid w:val="00AD7D3D"/>
    <w:rsid w:val="00AD7D4A"/>
    <w:rsid w:val="00AD7D95"/>
    <w:rsid w:val="00AD7D96"/>
    <w:rsid w:val="00AE0027"/>
    <w:rsid w:val="00AE0218"/>
    <w:rsid w:val="00AE0282"/>
    <w:rsid w:val="00AE03A6"/>
    <w:rsid w:val="00AE042D"/>
    <w:rsid w:val="00AE051E"/>
    <w:rsid w:val="00AE06E8"/>
    <w:rsid w:val="00AE077B"/>
    <w:rsid w:val="00AE079B"/>
    <w:rsid w:val="00AE07C8"/>
    <w:rsid w:val="00AE0987"/>
    <w:rsid w:val="00AE099A"/>
    <w:rsid w:val="00AE0BCE"/>
    <w:rsid w:val="00AE0D36"/>
    <w:rsid w:val="00AE0E36"/>
    <w:rsid w:val="00AE0F0A"/>
    <w:rsid w:val="00AE0F41"/>
    <w:rsid w:val="00AE0FFF"/>
    <w:rsid w:val="00AE108D"/>
    <w:rsid w:val="00AE10BB"/>
    <w:rsid w:val="00AE11B9"/>
    <w:rsid w:val="00AE11DC"/>
    <w:rsid w:val="00AE1201"/>
    <w:rsid w:val="00AE128F"/>
    <w:rsid w:val="00AE130E"/>
    <w:rsid w:val="00AE130F"/>
    <w:rsid w:val="00AE1416"/>
    <w:rsid w:val="00AE141A"/>
    <w:rsid w:val="00AE146A"/>
    <w:rsid w:val="00AE1666"/>
    <w:rsid w:val="00AE169C"/>
    <w:rsid w:val="00AE181E"/>
    <w:rsid w:val="00AE1853"/>
    <w:rsid w:val="00AE1B16"/>
    <w:rsid w:val="00AE1B3E"/>
    <w:rsid w:val="00AE1B61"/>
    <w:rsid w:val="00AE1BE5"/>
    <w:rsid w:val="00AE1C13"/>
    <w:rsid w:val="00AE1C5C"/>
    <w:rsid w:val="00AE1D00"/>
    <w:rsid w:val="00AE1F38"/>
    <w:rsid w:val="00AE22BB"/>
    <w:rsid w:val="00AE240A"/>
    <w:rsid w:val="00AE240E"/>
    <w:rsid w:val="00AE25A8"/>
    <w:rsid w:val="00AE27BB"/>
    <w:rsid w:val="00AE2851"/>
    <w:rsid w:val="00AE2A2F"/>
    <w:rsid w:val="00AE2A7D"/>
    <w:rsid w:val="00AE2AFB"/>
    <w:rsid w:val="00AE2B7B"/>
    <w:rsid w:val="00AE2BC6"/>
    <w:rsid w:val="00AE2C8F"/>
    <w:rsid w:val="00AE2CF1"/>
    <w:rsid w:val="00AE2DFC"/>
    <w:rsid w:val="00AE2E17"/>
    <w:rsid w:val="00AE2EC0"/>
    <w:rsid w:val="00AE2EE1"/>
    <w:rsid w:val="00AE2EE2"/>
    <w:rsid w:val="00AE2FA7"/>
    <w:rsid w:val="00AE2FBD"/>
    <w:rsid w:val="00AE2FD0"/>
    <w:rsid w:val="00AE3145"/>
    <w:rsid w:val="00AE3197"/>
    <w:rsid w:val="00AE3286"/>
    <w:rsid w:val="00AE35A0"/>
    <w:rsid w:val="00AE3690"/>
    <w:rsid w:val="00AE3877"/>
    <w:rsid w:val="00AE3949"/>
    <w:rsid w:val="00AE3A06"/>
    <w:rsid w:val="00AE3B6C"/>
    <w:rsid w:val="00AE3CB8"/>
    <w:rsid w:val="00AE3D61"/>
    <w:rsid w:val="00AE3D95"/>
    <w:rsid w:val="00AE3E2B"/>
    <w:rsid w:val="00AE3EA2"/>
    <w:rsid w:val="00AE3EE9"/>
    <w:rsid w:val="00AE3F56"/>
    <w:rsid w:val="00AE3F62"/>
    <w:rsid w:val="00AE410F"/>
    <w:rsid w:val="00AE412A"/>
    <w:rsid w:val="00AE4196"/>
    <w:rsid w:val="00AE4314"/>
    <w:rsid w:val="00AE4351"/>
    <w:rsid w:val="00AE43BC"/>
    <w:rsid w:val="00AE4484"/>
    <w:rsid w:val="00AE457F"/>
    <w:rsid w:val="00AE45E7"/>
    <w:rsid w:val="00AE4628"/>
    <w:rsid w:val="00AE462D"/>
    <w:rsid w:val="00AE4741"/>
    <w:rsid w:val="00AE47FE"/>
    <w:rsid w:val="00AE4A37"/>
    <w:rsid w:val="00AE4A43"/>
    <w:rsid w:val="00AE4A6C"/>
    <w:rsid w:val="00AE4A7A"/>
    <w:rsid w:val="00AE4B43"/>
    <w:rsid w:val="00AE4BAC"/>
    <w:rsid w:val="00AE4C21"/>
    <w:rsid w:val="00AE4C38"/>
    <w:rsid w:val="00AE4C5E"/>
    <w:rsid w:val="00AE4CE3"/>
    <w:rsid w:val="00AE4D0F"/>
    <w:rsid w:val="00AE4D13"/>
    <w:rsid w:val="00AE4D8A"/>
    <w:rsid w:val="00AE4E51"/>
    <w:rsid w:val="00AE4F28"/>
    <w:rsid w:val="00AE5065"/>
    <w:rsid w:val="00AE5121"/>
    <w:rsid w:val="00AE5258"/>
    <w:rsid w:val="00AE526D"/>
    <w:rsid w:val="00AE52AA"/>
    <w:rsid w:val="00AE5313"/>
    <w:rsid w:val="00AE5373"/>
    <w:rsid w:val="00AE53F2"/>
    <w:rsid w:val="00AE547B"/>
    <w:rsid w:val="00AE56A7"/>
    <w:rsid w:val="00AE57FE"/>
    <w:rsid w:val="00AE586F"/>
    <w:rsid w:val="00AE59F2"/>
    <w:rsid w:val="00AE5A0E"/>
    <w:rsid w:val="00AE5D3E"/>
    <w:rsid w:val="00AE5E18"/>
    <w:rsid w:val="00AE5E51"/>
    <w:rsid w:val="00AE5F35"/>
    <w:rsid w:val="00AE5FC3"/>
    <w:rsid w:val="00AE5FFC"/>
    <w:rsid w:val="00AE60BD"/>
    <w:rsid w:val="00AE640B"/>
    <w:rsid w:val="00AE640F"/>
    <w:rsid w:val="00AE64F9"/>
    <w:rsid w:val="00AE6552"/>
    <w:rsid w:val="00AE65A3"/>
    <w:rsid w:val="00AE65F2"/>
    <w:rsid w:val="00AE6637"/>
    <w:rsid w:val="00AE682D"/>
    <w:rsid w:val="00AE6869"/>
    <w:rsid w:val="00AE689B"/>
    <w:rsid w:val="00AE68B3"/>
    <w:rsid w:val="00AE68DD"/>
    <w:rsid w:val="00AE68F5"/>
    <w:rsid w:val="00AE6B60"/>
    <w:rsid w:val="00AE6BBD"/>
    <w:rsid w:val="00AE6BCB"/>
    <w:rsid w:val="00AE6BD7"/>
    <w:rsid w:val="00AE6CC3"/>
    <w:rsid w:val="00AE6DCD"/>
    <w:rsid w:val="00AE70F3"/>
    <w:rsid w:val="00AE7162"/>
    <w:rsid w:val="00AE7218"/>
    <w:rsid w:val="00AE721A"/>
    <w:rsid w:val="00AE721E"/>
    <w:rsid w:val="00AE72A9"/>
    <w:rsid w:val="00AE746F"/>
    <w:rsid w:val="00AE74CA"/>
    <w:rsid w:val="00AE74ED"/>
    <w:rsid w:val="00AE7516"/>
    <w:rsid w:val="00AE7530"/>
    <w:rsid w:val="00AE757F"/>
    <w:rsid w:val="00AE75C0"/>
    <w:rsid w:val="00AE760D"/>
    <w:rsid w:val="00AE761E"/>
    <w:rsid w:val="00AE77B0"/>
    <w:rsid w:val="00AE77B8"/>
    <w:rsid w:val="00AE7911"/>
    <w:rsid w:val="00AE7949"/>
    <w:rsid w:val="00AE7A9A"/>
    <w:rsid w:val="00AE7AE6"/>
    <w:rsid w:val="00AE7D1C"/>
    <w:rsid w:val="00AE7D4F"/>
    <w:rsid w:val="00AE7F02"/>
    <w:rsid w:val="00AE7F09"/>
    <w:rsid w:val="00AE7F4E"/>
    <w:rsid w:val="00AE7F58"/>
    <w:rsid w:val="00AE7FB3"/>
    <w:rsid w:val="00AF00CC"/>
    <w:rsid w:val="00AF01E3"/>
    <w:rsid w:val="00AF020B"/>
    <w:rsid w:val="00AF027C"/>
    <w:rsid w:val="00AF0280"/>
    <w:rsid w:val="00AF02EA"/>
    <w:rsid w:val="00AF0321"/>
    <w:rsid w:val="00AF0357"/>
    <w:rsid w:val="00AF041A"/>
    <w:rsid w:val="00AF0501"/>
    <w:rsid w:val="00AF058C"/>
    <w:rsid w:val="00AF0598"/>
    <w:rsid w:val="00AF061F"/>
    <w:rsid w:val="00AF0635"/>
    <w:rsid w:val="00AF0785"/>
    <w:rsid w:val="00AF079E"/>
    <w:rsid w:val="00AF0961"/>
    <w:rsid w:val="00AF0A56"/>
    <w:rsid w:val="00AF0A6B"/>
    <w:rsid w:val="00AF0AD4"/>
    <w:rsid w:val="00AF0B09"/>
    <w:rsid w:val="00AF0B3A"/>
    <w:rsid w:val="00AF0C22"/>
    <w:rsid w:val="00AF1076"/>
    <w:rsid w:val="00AF11A1"/>
    <w:rsid w:val="00AF1364"/>
    <w:rsid w:val="00AF14D4"/>
    <w:rsid w:val="00AF14DF"/>
    <w:rsid w:val="00AF15E2"/>
    <w:rsid w:val="00AF15F0"/>
    <w:rsid w:val="00AF169F"/>
    <w:rsid w:val="00AF17B0"/>
    <w:rsid w:val="00AF17E4"/>
    <w:rsid w:val="00AF1A1A"/>
    <w:rsid w:val="00AF1A3B"/>
    <w:rsid w:val="00AF1A7A"/>
    <w:rsid w:val="00AF1AB5"/>
    <w:rsid w:val="00AF1C8A"/>
    <w:rsid w:val="00AF1D04"/>
    <w:rsid w:val="00AF1D5D"/>
    <w:rsid w:val="00AF2456"/>
    <w:rsid w:val="00AF2531"/>
    <w:rsid w:val="00AF2689"/>
    <w:rsid w:val="00AF26A3"/>
    <w:rsid w:val="00AF26E2"/>
    <w:rsid w:val="00AF27AC"/>
    <w:rsid w:val="00AF2825"/>
    <w:rsid w:val="00AF29AA"/>
    <w:rsid w:val="00AF29C5"/>
    <w:rsid w:val="00AF2A62"/>
    <w:rsid w:val="00AF2A67"/>
    <w:rsid w:val="00AF2AA1"/>
    <w:rsid w:val="00AF2B33"/>
    <w:rsid w:val="00AF2BC8"/>
    <w:rsid w:val="00AF2BFE"/>
    <w:rsid w:val="00AF2C15"/>
    <w:rsid w:val="00AF2D66"/>
    <w:rsid w:val="00AF2D6A"/>
    <w:rsid w:val="00AF2DA5"/>
    <w:rsid w:val="00AF2DAA"/>
    <w:rsid w:val="00AF2DB9"/>
    <w:rsid w:val="00AF2DDF"/>
    <w:rsid w:val="00AF2E48"/>
    <w:rsid w:val="00AF2E5F"/>
    <w:rsid w:val="00AF2F26"/>
    <w:rsid w:val="00AF303C"/>
    <w:rsid w:val="00AF30C8"/>
    <w:rsid w:val="00AF3176"/>
    <w:rsid w:val="00AF3458"/>
    <w:rsid w:val="00AF3576"/>
    <w:rsid w:val="00AF35B8"/>
    <w:rsid w:val="00AF3612"/>
    <w:rsid w:val="00AF3726"/>
    <w:rsid w:val="00AF372A"/>
    <w:rsid w:val="00AF3751"/>
    <w:rsid w:val="00AF3769"/>
    <w:rsid w:val="00AF3828"/>
    <w:rsid w:val="00AF38F0"/>
    <w:rsid w:val="00AF38FA"/>
    <w:rsid w:val="00AF3971"/>
    <w:rsid w:val="00AF3A95"/>
    <w:rsid w:val="00AF3AA6"/>
    <w:rsid w:val="00AF3B21"/>
    <w:rsid w:val="00AF3C35"/>
    <w:rsid w:val="00AF3C43"/>
    <w:rsid w:val="00AF3C54"/>
    <w:rsid w:val="00AF3C87"/>
    <w:rsid w:val="00AF3CB6"/>
    <w:rsid w:val="00AF3D8F"/>
    <w:rsid w:val="00AF3DE6"/>
    <w:rsid w:val="00AF3FEC"/>
    <w:rsid w:val="00AF43E8"/>
    <w:rsid w:val="00AF43FE"/>
    <w:rsid w:val="00AF44E8"/>
    <w:rsid w:val="00AF45BB"/>
    <w:rsid w:val="00AF45E4"/>
    <w:rsid w:val="00AF4631"/>
    <w:rsid w:val="00AF4683"/>
    <w:rsid w:val="00AF46A7"/>
    <w:rsid w:val="00AF46B6"/>
    <w:rsid w:val="00AF4755"/>
    <w:rsid w:val="00AF47A2"/>
    <w:rsid w:val="00AF4ADC"/>
    <w:rsid w:val="00AF4AFD"/>
    <w:rsid w:val="00AF4B6A"/>
    <w:rsid w:val="00AF4D32"/>
    <w:rsid w:val="00AF4E2E"/>
    <w:rsid w:val="00AF4F2A"/>
    <w:rsid w:val="00AF5073"/>
    <w:rsid w:val="00AF50DC"/>
    <w:rsid w:val="00AF516D"/>
    <w:rsid w:val="00AF51CB"/>
    <w:rsid w:val="00AF528E"/>
    <w:rsid w:val="00AF549C"/>
    <w:rsid w:val="00AF54B3"/>
    <w:rsid w:val="00AF5519"/>
    <w:rsid w:val="00AF55D5"/>
    <w:rsid w:val="00AF5600"/>
    <w:rsid w:val="00AF586C"/>
    <w:rsid w:val="00AF588A"/>
    <w:rsid w:val="00AF59B0"/>
    <w:rsid w:val="00AF5A35"/>
    <w:rsid w:val="00AF5A93"/>
    <w:rsid w:val="00AF5AA3"/>
    <w:rsid w:val="00AF5D56"/>
    <w:rsid w:val="00AF5D69"/>
    <w:rsid w:val="00AF5D7D"/>
    <w:rsid w:val="00AF5DB8"/>
    <w:rsid w:val="00AF5E59"/>
    <w:rsid w:val="00AF5E5C"/>
    <w:rsid w:val="00AF5E67"/>
    <w:rsid w:val="00AF60E9"/>
    <w:rsid w:val="00AF613A"/>
    <w:rsid w:val="00AF61A0"/>
    <w:rsid w:val="00AF62BD"/>
    <w:rsid w:val="00AF62D3"/>
    <w:rsid w:val="00AF641B"/>
    <w:rsid w:val="00AF64E2"/>
    <w:rsid w:val="00AF651B"/>
    <w:rsid w:val="00AF67C8"/>
    <w:rsid w:val="00AF683A"/>
    <w:rsid w:val="00AF68A5"/>
    <w:rsid w:val="00AF68FA"/>
    <w:rsid w:val="00AF6953"/>
    <w:rsid w:val="00AF698F"/>
    <w:rsid w:val="00AF6B78"/>
    <w:rsid w:val="00AF6BF6"/>
    <w:rsid w:val="00AF6E19"/>
    <w:rsid w:val="00AF702C"/>
    <w:rsid w:val="00AF7143"/>
    <w:rsid w:val="00AF71AE"/>
    <w:rsid w:val="00AF720D"/>
    <w:rsid w:val="00AF7233"/>
    <w:rsid w:val="00AF7246"/>
    <w:rsid w:val="00AF736D"/>
    <w:rsid w:val="00AF76C9"/>
    <w:rsid w:val="00AF76E0"/>
    <w:rsid w:val="00AF77F6"/>
    <w:rsid w:val="00AF7879"/>
    <w:rsid w:val="00AF7909"/>
    <w:rsid w:val="00AF7951"/>
    <w:rsid w:val="00AF79FA"/>
    <w:rsid w:val="00AF7ADA"/>
    <w:rsid w:val="00AF7B44"/>
    <w:rsid w:val="00AF7FC8"/>
    <w:rsid w:val="00B00071"/>
    <w:rsid w:val="00B001CB"/>
    <w:rsid w:val="00B001FD"/>
    <w:rsid w:val="00B00271"/>
    <w:rsid w:val="00B00364"/>
    <w:rsid w:val="00B003C4"/>
    <w:rsid w:val="00B00411"/>
    <w:rsid w:val="00B0048D"/>
    <w:rsid w:val="00B004CF"/>
    <w:rsid w:val="00B0054A"/>
    <w:rsid w:val="00B005F0"/>
    <w:rsid w:val="00B00639"/>
    <w:rsid w:val="00B007D6"/>
    <w:rsid w:val="00B0085C"/>
    <w:rsid w:val="00B008E0"/>
    <w:rsid w:val="00B009FC"/>
    <w:rsid w:val="00B00C87"/>
    <w:rsid w:val="00B00DCF"/>
    <w:rsid w:val="00B00E39"/>
    <w:rsid w:val="00B00EAB"/>
    <w:rsid w:val="00B0106C"/>
    <w:rsid w:val="00B0120B"/>
    <w:rsid w:val="00B01228"/>
    <w:rsid w:val="00B01377"/>
    <w:rsid w:val="00B01389"/>
    <w:rsid w:val="00B01409"/>
    <w:rsid w:val="00B01463"/>
    <w:rsid w:val="00B015CC"/>
    <w:rsid w:val="00B0163E"/>
    <w:rsid w:val="00B017E2"/>
    <w:rsid w:val="00B0198D"/>
    <w:rsid w:val="00B019EB"/>
    <w:rsid w:val="00B019F2"/>
    <w:rsid w:val="00B01A88"/>
    <w:rsid w:val="00B01A95"/>
    <w:rsid w:val="00B01ABE"/>
    <w:rsid w:val="00B01AFC"/>
    <w:rsid w:val="00B01B57"/>
    <w:rsid w:val="00B01CF6"/>
    <w:rsid w:val="00B01D31"/>
    <w:rsid w:val="00B01DD3"/>
    <w:rsid w:val="00B01E60"/>
    <w:rsid w:val="00B01F50"/>
    <w:rsid w:val="00B01FA7"/>
    <w:rsid w:val="00B01FB3"/>
    <w:rsid w:val="00B01FE6"/>
    <w:rsid w:val="00B02133"/>
    <w:rsid w:val="00B023E7"/>
    <w:rsid w:val="00B023EE"/>
    <w:rsid w:val="00B02403"/>
    <w:rsid w:val="00B0240C"/>
    <w:rsid w:val="00B024D7"/>
    <w:rsid w:val="00B0260F"/>
    <w:rsid w:val="00B0270D"/>
    <w:rsid w:val="00B02745"/>
    <w:rsid w:val="00B0276F"/>
    <w:rsid w:val="00B027D2"/>
    <w:rsid w:val="00B0282E"/>
    <w:rsid w:val="00B028A3"/>
    <w:rsid w:val="00B028C6"/>
    <w:rsid w:val="00B028D3"/>
    <w:rsid w:val="00B0293D"/>
    <w:rsid w:val="00B02943"/>
    <w:rsid w:val="00B02A1A"/>
    <w:rsid w:val="00B02B01"/>
    <w:rsid w:val="00B02B51"/>
    <w:rsid w:val="00B02BA9"/>
    <w:rsid w:val="00B02C4B"/>
    <w:rsid w:val="00B02E73"/>
    <w:rsid w:val="00B02E74"/>
    <w:rsid w:val="00B02EC2"/>
    <w:rsid w:val="00B030EA"/>
    <w:rsid w:val="00B03124"/>
    <w:rsid w:val="00B031CA"/>
    <w:rsid w:val="00B03408"/>
    <w:rsid w:val="00B03589"/>
    <w:rsid w:val="00B03605"/>
    <w:rsid w:val="00B03670"/>
    <w:rsid w:val="00B036D3"/>
    <w:rsid w:val="00B03947"/>
    <w:rsid w:val="00B03A1C"/>
    <w:rsid w:val="00B03A43"/>
    <w:rsid w:val="00B03AB6"/>
    <w:rsid w:val="00B03B00"/>
    <w:rsid w:val="00B03BB6"/>
    <w:rsid w:val="00B03C5C"/>
    <w:rsid w:val="00B03DC6"/>
    <w:rsid w:val="00B03E83"/>
    <w:rsid w:val="00B03E89"/>
    <w:rsid w:val="00B03F35"/>
    <w:rsid w:val="00B03F58"/>
    <w:rsid w:val="00B04092"/>
    <w:rsid w:val="00B040C9"/>
    <w:rsid w:val="00B04184"/>
    <w:rsid w:val="00B043C3"/>
    <w:rsid w:val="00B04408"/>
    <w:rsid w:val="00B04427"/>
    <w:rsid w:val="00B04467"/>
    <w:rsid w:val="00B04558"/>
    <w:rsid w:val="00B0459E"/>
    <w:rsid w:val="00B045A3"/>
    <w:rsid w:val="00B04677"/>
    <w:rsid w:val="00B04696"/>
    <w:rsid w:val="00B0479A"/>
    <w:rsid w:val="00B048C0"/>
    <w:rsid w:val="00B049A8"/>
    <w:rsid w:val="00B04AED"/>
    <w:rsid w:val="00B04C3D"/>
    <w:rsid w:val="00B04D58"/>
    <w:rsid w:val="00B04D9F"/>
    <w:rsid w:val="00B04DA6"/>
    <w:rsid w:val="00B04E73"/>
    <w:rsid w:val="00B04F38"/>
    <w:rsid w:val="00B050F2"/>
    <w:rsid w:val="00B05180"/>
    <w:rsid w:val="00B05202"/>
    <w:rsid w:val="00B05303"/>
    <w:rsid w:val="00B0530A"/>
    <w:rsid w:val="00B053E0"/>
    <w:rsid w:val="00B054BB"/>
    <w:rsid w:val="00B054E6"/>
    <w:rsid w:val="00B05543"/>
    <w:rsid w:val="00B05643"/>
    <w:rsid w:val="00B058DD"/>
    <w:rsid w:val="00B05A23"/>
    <w:rsid w:val="00B05AFC"/>
    <w:rsid w:val="00B05B0E"/>
    <w:rsid w:val="00B05B4A"/>
    <w:rsid w:val="00B05BB0"/>
    <w:rsid w:val="00B05BC8"/>
    <w:rsid w:val="00B05CE2"/>
    <w:rsid w:val="00B05D93"/>
    <w:rsid w:val="00B05E52"/>
    <w:rsid w:val="00B06139"/>
    <w:rsid w:val="00B061D8"/>
    <w:rsid w:val="00B0621D"/>
    <w:rsid w:val="00B06324"/>
    <w:rsid w:val="00B063E8"/>
    <w:rsid w:val="00B06430"/>
    <w:rsid w:val="00B064AC"/>
    <w:rsid w:val="00B064BA"/>
    <w:rsid w:val="00B06782"/>
    <w:rsid w:val="00B067BC"/>
    <w:rsid w:val="00B06828"/>
    <w:rsid w:val="00B06A9A"/>
    <w:rsid w:val="00B06BB7"/>
    <w:rsid w:val="00B06CA0"/>
    <w:rsid w:val="00B06CA2"/>
    <w:rsid w:val="00B06D18"/>
    <w:rsid w:val="00B06D7F"/>
    <w:rsid w:val="00B06E72"/>
    <w:rsid w:val="00B06EAF"/>
    <w:rsid w:val="00B0702A"/>
    <w:rsid w:val="00B0709F"/>
    <w:rsid w:val="00B070AE"/>
    <w:rsid w:val="00B072BA"/>
    <w:rsid w:val="00B07345"/>
    <w:rsid w:val="00B074A4"/>
    <w:rsid w:val="00B07554"/>
    <w:rsid w:val="00B0758F"/>
    <w:rsid w:val="00B07675"/>
    <w:rsid w:val="00B07736"/>
    <w:rsid w:val="00B07790"/>
    <w:rsid w:val="00B077E1"/>
    <w:rsid w:val="00B07837"/>
    <w:rsid w:val="00B07A27"/>
    <w:rsid w:val="00B07B59"/>
    <w:rsid w:val="00B07CB8"/>
    <w:rsid w:val="00B07CC7"/>
    <w:rsid w:val="00B07CE6"/>
    <w:rsid w:val="00B07DB7"/>
    <w:rsid w:val="00B07DC6"/>
    <w:rsid w:val="00B07E6C"/>
    <w:rsid w:val="00B07E89"/>
    <w:rsid w:val="00B07F37"/>
    <w:rsid w:val="00B10051"/>
    <w:rsid w:val="00B10066"/>
    <w:rsid w:val="00B100AC"/>
    <w:rsid w:val="00B100BC"/>
    <w:rsid w:val="00B1019A"/>
    <w:rsid w:val="00B1028C"/>
    <w:rsid w:val="00B102B4"/>
    <w:rsid w:val="00B102E2"/>
    <w:rsid w:val="00B102F8"/>
    <w:rsid w:val="00B10362"/>
    <w:rsid w:val="00B10369"/>
    <w:rsid w:val="00B103DA"/>
    <w:rsid w:val="00B104B6"/>
    <w:rsid w:val="00B1050A"/>
    <w:rsid w:val="00B1052D"/>
    <w:rsid w:val="00B10530"/>
    <w:rsid w:val="00B105B3"/>
    <w:rsid w:val="00B105C2"/>
    <w:rsid w:val="00B10664"/>
    <w:rsid w:val="00B10684"/>
    <w:rsid w:val="00B107B3"/>
    <w:rsid w:val="00B107EA"/>
    <w:rsid w:val="00B10925"/>
    <w:rsid w:val="00B10A82"/>
    <w:rsid w:val="00B10A89"/>
    <w:rsid w:val="00B10B9A"/>
    <w:rsid w:val="00B10BF5"/>
    <w:rsid w:val="00B10C31"/>
    <w:rsid w:val="00B10CFA"/>
    <w:rsid w:val="00B10DAC"/>
    <w:rsid w:val="00B10F91"/>
    <w:rsid w:val="00B1115E"/>
    <w:rsid w:val="00B11189"/>
    <w:rsid w:val="00B1127E"/>
    <w:rsid w:val="00B112E5"/>
    <w:rsid w:val="00B112E8"/>
    <w:rsid w:val="00B112F2"/>
    <w:rsid w:val="00B1130A"/>
    <w:rsid w:val="00B114B8"/>
    <w:rsid w:val="00B11501"/>
    <w:rsid w:val="00B1162D"/>
    <w:rsid w:val="00B116AD"/>
    <w:rsid w:val="00B118A3"/>
    <w:rsid w:val="00B118FA"/>
    <w:rsid w:val="00B11964"/>
    <w:rsid w:val="00B11971"/>
    <w:rsid w:val="00B119DB"/>
    <w:rsid w:val="00B11B00"/>
    <w:rsid w:val="00B11B6B"/>
    <w:rsid w:val="00B11C31"/>
    <w:rsid w:val="00B11D1E"/>
    <w:rsid w:val="00B11D95"/>
    <w:rsid w:val="00B11D96"/>
    <w:rsid w:val="00B11DC5"/>
    <w:rsid w:val="00B11E17"/>
    <w:rsid w:val="00B11E42"/>
    <w:rsid w:val="00B11F29"/>
    <w:rsid w:val="00B11F3B"/>
    <w:rsid w:val="00B11FBA"/>
    <w:rsid w:val="00B11FF2"/>
    <w:rsid w:val="00B12020"/>
    <w:rsid w:val="00B1213A"/>
    <w:rsid w:val="00B121CE"/>
    <w:rsid w:val="00B1222C"/>
    <w:rsid w:val="00B122BB"/>
    <w:rsid w:val="00B12562"/>
    <w:rsid w:val="00B12605"/>
    <w:rsid w:val="00B126A2"/>
    <w:rsid w:val="00B12777"/>
    <w:rsid w:val="00B12845"/>
    <w:rsid w:val="00B1290B"/>
    <w:rsid w:val="00B1294D"/>
    <w:rsid w:val="00B12A59"/>
    <w:rsid w:val="00B12A94"/>
    <w:rsid w:val="00B12B68"/>
    <w:rsid w:val="00B12CF5"/>
    <w:rsid w:val="00B12E74"/>
    <w:rsid w:val="00B12EF5"/>
    <w:rsid w:val="00B12F23"/>
    <w:rsid w:val="00B12F72"/>
    <w:rsid w:val="00B13043"/>
    <w:rsid w:val="00B13354"/>
    <w:rsid w:val="00B133E5"/>
    <w:rsid w:val="00B13404"/>
    <w:rsid w:val="00B13472"/>
    <w:rsid w:val="00B1351C"/>
    <w:rsid w:val="00B13531"/>
    <w:rsid w:val="00B136C6"/>
    <w:rsid w:val="00B1378E"/>
    <w:rsid w:val="00B1380C"/>
    <w:rsid w:val="00B1387C"/>
    <w:rsid w:val="00B13894"/>
    <w:rsid w:val="00B13927"/>
    <w:rsid w:val="00B1392B"/>
    <w:rsid w:val="00B139AE"/>
    <w:rsid w:val="00B13C02"/>
    <w:rsid w:val="00B13EC2"/>
    <w:rsid w:val="00B13F05"/>
    <w:rsid w:val="00B13F11"/>
    <w:rsid w:val="00B140FE"/>
    <w:rsid w:val="00B14262"/>
    <w:rsid w:val="00B14467"/>
    <w:rsid w:val="00B144CD"/>
    <w:rsid w:val="00B14718"/>
    <w:rsid w:val="00B1472B"/>
    <w:rsid w:val="00B148EF"/>
    <w:rsid w:val="00B149AA"/>
    <w:rsid w:val="00B14AD3"/>
    <w:rsid w:val="00B14AFF"/>
    <w:rsid w:val="00B14C1E"/>
    <w:rsid w:val="00B14C49"/>
    <w:rsid w:val="00B14CCE"/>
    <w:rsid w:val="00B14D42"/>
    <w:rsid w:val="00B14DF3"/>
    <w:rsid w:val="00B14E75"/>
    <w:rsid w:val="00B14EB5"/>
    <w:rsid w:val="00B14ECD"/>
    <w:rsid w:val="00B14F9D"/>
    <w:rsid w:val="00B15045"/>
    <w:rsid w:val="00B151B1"/>
    <w:rsid w:val="00B15290"/>
    <w:rsid w:val="00B152AF"/>
    <w:rsid w:val="00B1537C"/>
    <w:rsid w:val="00B15404"/>
    <w:rsid w:val="00B154E9"/>
    <w:rsid w:val="00B15514"/>
    <w:rsid w:val="00B15590"/>
    <w:rsid w:val="00B15652"/>
    <w:rsid w:val="00B15656"/>
    <w:rsid w:val="00B1571E"/>
    <w:rsid w:val="00B157CD"/>
    <w:rsid w:val="00B15802"/>
    <w:rsid w:val="00B158A6"/>
    <w:rsid w:val="00B159E0"/>
    <w:rsid w:val="00B15A64"/>
    <w:rsid w:val="00B15A71"/>
    <w:rsid w:val="00B15AF8"/>
    <w:rsid w:val="00B15B47"/>
    <w:rsid w:val="00B15EFA"/>
    <w:rsid w:val="00B15F98"/>
    <w:rsid w:val="00B16067"/>
    <w:rsid w:val="00B160BC"/>
    <w:rsid w:val="00B161C7"/>
    <w:rsid w:val="00B162A9"/>
    <w:rsid w:val="00B1643A"/>
    <w:rsid w:val="00B1646C"/>
    <w:rsid w:val="00B1652A"/>
    <w:rsid w:val="00B16613"/>
    <w:rsid w:val="00B16723"/>
    <w:rsid w:val="00B167AF"/>
    <w:rsid w:val="00B1686D"/>
    <w:rsid w:val="00B168F4"/>
    <w:rsid w:val="00B16A11"/>
    <w:rsid w:val="00B16B18"/>
    <w:rsid w:val="00B16B66"/>
    <w:rsid w:val="00B16BBB"/>
    <w:rsid w:val="00B16CAF"/>
    <w:rsid w:val="00B16CD7"/>
    <w:rsid w:val="00B16DA9"/>
    <w:rsid w:val="00B16ECC"/>
    <w:rsid w:val="00B16F74"/>
    <w:rsid w:val="00B170D4"/>
    <w:rsid w:val="00B1719E"/>
    <w:rsid w:val="00B171DA"/>
    <w:rsid w:val="00B17218"/>
    <w:rsid w:val="00B1726B"/>
    <w:rsid w:val="00B17738"/>
    <w:rsid w:val="00B177D0"/>
    <w:rsid w:val="00B17835"/>
    <w:rsid w:val="00B178AC"/>
    <w:rsid w:val="00B179CA"/>
    <w:rsid w:val="00B17A07"/>
    <w:rsid w:val="00B17A18"/>
    <w:rsid w:val="00B17AF3"/>
    <w:rsid w:val="00B17B3E"/>
    <w:rsid w:val="00B17B64"/>
    <w:rsid w:val="00B17D44"/>
    <w:rsid w:val="00B17E57"/>
    <w:rsid w:val="00B17EE2"/>
    <w:rsid w:val="00B17EF4"/>
    <w:rsid w:val="00B20071"/>
    <w:rsid w:val="00B201B1"/>
    <w:rsid w:val="00B2022A"/>
    <w:rsid w:val="00B20460"/>
    <w:rsid w:val="00B204ED"/>
    <w:rsid w:val="00B20561"/>
    <w:rsid w:val="00B2057E"/>
    <w:rsid w:val="00B205B9"/>
    <w:rsid w:val="00B20634"/>
    <w:rsid w:val="00B2064F"/>
    <w:rsid w:val="00B206D4"/>
    <w:rsid w:val="00B207C8"/>
    <w:rsid w:val="00B208FA"/>
    <w:rsid w:val="00B2095A"/>
    <w:rsid w:val="00B209A3"/>
    <w:rsid w:val="00B20C40"/>
    <w:rsid w:val="00B20C42"/>
    <w:rsid w:val="00B20D96"/>
    <w:rsid w:val="00B20DA0"/>
    <w:rsid w:val="00B20EAA"/>
    <w:rsid w:val="00B20F13"/>
    <w:rsid w:val="00B20F77"/>
    <w:rsid w:val="00B20F90"/>
    <w:rsid w:val="00B20FBC"/>
    <w:rsid w:val="00B210B9"/>
    <w:rsid w:val="00B2124D"/>
    <w:rsid w:val="00B21314"/>
    <w:rsid w:val="00B214BC"/>
    <w:rsid w:val="00B2156F"/>
    <w:rsid w:val="00B216D5"/>
    <w:rsid w:val="00B216E0"/>
    <w:rsid w:val="00B217CA"/>
    <w:rsid w:val="00B2194D"/>
    <w:rsid w:val="00B2199C"/>
    <w:rsid w:val="00B21A1B"/>
    <w:rsid w:val="00B21A70"/>
    <w:rsid w:val="00B21AEB"/>
    <w:rsid w:val="00B21CB1"/>
    <w:rsid w:val="00B21D89"/>
    <w:rsid w:val="00B21EF0"/>
    <w:rsid w:val="00B21F46"/>
    <w:rsid w:val="00B2207B"/>
    <w:rsid w:val="00B220B3"/>
    <w:rsid w:val="00B22181"/>
    <w:rsid w:val="00B22216"/>
    <w:rsid w:val="00B22238"/>
    <w:rsid w:val="00B22268"/>
    <w:rsid w:val="00B22292"/>
    <w:rsid w:val="00B2230A"/>
    <w:rsid w:val="00B2251F"/>
    <w:rsid w:val="00B2252A"/>
    <w:rsid w:val="00B2256C"/>
    <w:rsid w:val="00B2263E"/>
    <w:rsid w:val="00B22703"/>
    <w:rsid w:val="00B227BA"/>
    <w:rsid w:val="00B22827"/>
    <w:rsid w:val="00B2298D"/>
    <w:rsid w:val="00B22A3D"/>
    <w:rsid w:val="00B22C76"/>
    <w:rsid w:val="00B22DA5"/>
    <w:rsid w:val="00B22FEC"/>
    <w:rsid w:val="00B230CF"/>
    <w:rsid w:val="00B23108"/>
    <w:rsid w:val="00B231A3"/>
    <w:rsid w:val="00B23264"/>
    <w:rsid w:val="00B2338F"/>
    <w:rsid w:val="00B2353E"/>
    <w:rsid w:val="00B235C0"/>
    <w:rsid w:val="00B235E7"/>
    <w:rsid w:val="00B238BA"/>
    <w:rsid w:val="00B238D3"/>
    <w:rsid w:val="00B238EE"/>
    <w:rsid w:val="00B2395D"/>
    <w:rsid w:val="00B239AB"/>
    <w:rsid w:val="00B23B0A"/>
    <w:rsid w:val="00B23B60"/>
    <w:rsid w:val="00B23B83"/>
    <w:rsid w:val="00B23BB1"/>
    <w:rsid w:val="00B23C79"/>
    <w:rsid w:val="00B23D4B"/>
    <w:rsid w:val="00B23EA7"/>
    <w:rsid w:val="00B23EE5"/>
    <w:rsid w:val="00B240DC"/>
    <w:rsid w:val="00B24233"/>
    <w:rsid w:val="00B2425E"/>
    <w:rsid w:val="00B24269"/>
    <w:rsid w:val="00B242A2"/>
    <w:rsid w:val="00B243E6"/>
    <w:rsid w:val="00B244B6"/>
    <w:rsid w:val="00B24549"/>
    <w:rsid w:val="00B24662"/>
    <w:rsid w:val="00B24699"/>
    <w:rsid w:val="00B247C3"/>
    <w:rsid w:val="00B247FE"/>
    <w:rsid w:val="00B24805"/>
    <w:rsid w:val="00B248DF"/>
    <w:rsid w:val="00B24A36"/>
    <w:rsid w:val="00B24B55"/>
    <w:rsid w:val="00B24DDD"/>
    <w:rsid w:val="00B24E78"/>
    <w:rsid w:val="00B24E7A"/>
    <w:rsid w:val="00B24F4E"/>
    <w:rsid w:val="00B25013"/>
    <w:rsid w:val="00B25200"/>
    <w:rsid w:val="00B252D0"/>
    <w:rsid w:val="00B254E4"/>
    <w:rsid w:val="00B254ED"/>
    <w:rsid w:val="00B25548"/>
    <w:rsid w:val="00B2570C"/>
    <w:rsid w:val="00B25779"/>
    <w:rsid w:val="00B258A9"/>
    <w:rsid w:val="00B25A21"/>
    <w:rsid w:val="00B25A57"/>
    <w:rsid w:val="00B25BEB"/>
    <w:rsid w:val="00B25C49"/>
    <w:rsid w:val="00B25C63"/>
    <w:rsid w:val="00B25D4F"/>
    <w:rsid w:val="00B25DF5"/>
    <w:rsid w:val="00B25E56"/>
    <w:rsid w:val="00B26004"/>
    <w:rsid w:val="00B26082"/>
    <w:rsid w:val="00B26085"/>
    <w:rsid w:val="00B2619F"/>
    <w:rsid w:val="00B2634E"/>
    <w:rsid w:val="00B263A4"/>
    <w:rsid w:val="00B265EF"/>
    <w:rsid w:val="00B2661E"/>
    <w:rsid w:val="00B266C2"/>
    <w:rsid w:val="00B26780"/>
    <w:rsid w:val="00B26A28"/>
    <w:rsid w:val="00B26AC5"/>
    <w:rsid w:val="00B26ACB"/>
    <w:rsid w:val="00B26B17"/>
    <w:rsid w:val="00B26B22"/>
    <w:rsid w:val="00B26BDF"/>
    <w:rsid w:val="00B26CC1"/>
    <w:rsid w:val="00B26E41"/>
    <w:rsid w:val="00B26E77"/>
    <w:rsid w:val="00B26FA8"/>
    <w:rsid w:val="00B27087"/>
    <w:rsid w:val="00B270B3"/>
    <w:rsid w:val="00B27171"/>
    <w:rsid w:val="00B271B7"/>
    <w:rsid w:val="00B27214"/>
    <w:rsid w:val="00B27227"/>
    <w:rsid w:val="00B2726E"/>
    <w:rsid w:val="00B27342"/>
    <w:rsid w:val="00B27359"/>
    <w:rsid w:val="00B27582"/>
    <w:rsid w:val="00B275BF"/>
    <w:rsid w:val="00B276E7"/>
    <w:rsid w:val="00B279AE"/>
    <w:rsid w:val="00B27AAD"/>
    <w:rsid w:val="00B27C63"/>
    <w:rsid w:val="00B27C68"/>
    <w:rsid w:val="00B27EC1"/>
    <w:rsid w:val="00B27F0A"/>
    <w:rsid w:val="00B27F4D"/>
    <w:rsid w:val="00B30101"/>
    <w:rsid w:val="00B30144"/>
    <w:rsid w:val="00B30251"/>
    <w:rsid w:val="00B30270"/>
    <w:rsid w:val="00B3029F"/>
    <w:rsid w:val="00B302DD"/>
    <w:rsid w:val="00B3031F"/>
    <w:rsid w:val="00B3045E"/>
    <w:rsid w:val="00B30571"/>
    <w:rsid w:val="00B305CF"/>
    <w:rsid w:val="00B30610"/>
    <w:rsid w:val="00B3065B"/>
    <w:rsid w:val="00B3065C"/>
    <w:rsid w:val="00B30697"/>
    <w:rsid w:val="00B3070D"/>
    <w:rsid w:val="00B3079D"/>
    <w:rsid w:val="00B3084E"/>
    <w:rsid w:val="00B30884"/>
    <w:rsid w:val="00B308F0"/>
    <w:rsid w:val="00B30905"/>
    <w:rsid w:val="00B30AA3"/>
    <w:rsid w:val="00B30AD8"/>
    <w:rsid w:val="00B30BA1"/>
    <w:rsid w:val="00B30BDA"/>
    <w:rsid w:val="00B30C38"/>
    <w:rsid w:val="00B30D84"/>
    <w:rsid w:val="00B30D9A"/>
    <w:rsid w:val="00B30DD6"/>
    <w:rsid w:val="00B31148"/>
    <w:rsid w:val="00B311D9"/>
    <w:rsid w:val="00B31338"/>
    <w:rsid w:val="00B313AC"/>
    <w:rsid w:val="00B31410"/>
    <w:rsid w:val="00B315A6"/>
    <w:rsid w:val="00B316D4"/>
    <w:rsid w:val="00B31896"/>
    <w:rsid w:val="00B3191B"/>
    <w:rsid w:val="00B319DD"/>
    <w:rsid w:val="00B319E3"/>
    <w:rsid w:val="00B31A7A"/>
    <w:rsid w:val="00B31A85"/>
    <w:rsid w:val="00B31BED"/>
    <w:rsid w:val="00B31CD0"/>
    <w:rsid w:val="00B31D09"/>
    <w:rsid w:val="00B31E2F"/>
    <w:rsid w:val="00B32003"/>
    <w:rsid w:val="00B32068"/>
    <w:rsid w:val="00B32268"/>
    <w:rsid w:val="00B323F6"/>
    <w:rsid w:val="00B3240E"/>
    <w:rsid w:val="00B32416"/>
    <w:rsid w:val="00B324FD"/>
    <w:rsid w:val="00B326A0"/>
    <w:rsid w:val="00B3296F"/>
    <w:rsid w:val="00B329A8"/>
    <w:rsid w:val="00B329F6"/>
    <w:rsid w:val="00B32AF5"/>
    <w:rsid w:val="00B32BFD"/>
    <w:rsid w:val="00B32C05"/>
    <w:rsid w:val="00B32D92"/>
    <w:rsid w:val="00B32E08"/>
    <w:rsid w:val="00B32EA7"/>
    <w:rsid w:val="00B32EEF"/>
    <w:rsid w:val="00B32F62"/>
    <w:rsid w:val="00B32F9F"/>
    <w:rsid w:val="00B3305F"/>
    <w:rsid w:val="00B330B1"/>
    <w:rsid w:val="00B330DD"/>
    <w:rsid w:val="00B330E5"/>
    <w:rsid w:val="00B33254"/>
    <w:rsid w:val="00B3328A"/>
    <w:rsid w:val="00B332EC"/>
    <w:rsid w:val="00B332FB"/>
    <w:rsid w:val="00B3334D"/>
    <w:rsid w:val="00B33352"/>
    <w:rsid w:val="00B335B3"/>
    <w:rsid w:val="00B336DA"/>
    <w:rsid w:val="00B3372A"/>
    <w:rsid w:val="00B33848"/>
    <w:rsid w:val="00B339F4"/>
    <w:rsid w:val="00B33B8F"/>
    <w:rsid w:val="00B33B93"/>
    <w:rsid w:val="00B33BE9"/>
    <w:rsid w:val="00B33C41"/>
    <w:rsid w:val="00B33C72"/>
    <w:rsid w:val="00B33DB8"/>
    <w:rsid w:val="00B33E11"/>
    <w:rsid w:val="00B33E72"/>
    <w:rsid w:val="00B33F24"/>
    <w:rsid w:val="00B33FAF"/>
    <w:rsid w:val="00B34107"/>
    <w:rsid w:val="00B34143"/>
    <w:rsid w:val="00B341B9"/>
    <w:rsid w:val="00B34296"/>
    <w:rsid w:val="00B34309"/>
    <w:rsid w:val="00B34387"/>
    <w:rsid w:val="00B343B0"/>
    <w:rsid w:val="00B3447B"/>
    <w:rsid w:val="00B3452B"/>
    <w:rsid w:val="00B34645"/>
    <w:rsid w:val="00B34863"/>
    <w:rsid w:val="00B34A04"/>
    <w:rsid w:val="00B34A6B"/>
    <w:rsid w:val="00B34AAA"/>
    <w:rsid w:val="00B34ABA"/>
    <w:rsid w:val="00B34D10"/>
    <w:rsid w:val="00B34D6F"/>
    <w:rsid w:val="00B34DF9"/>
    <w:rsid w:val="00B34E28"/>
    <w:rsid w:val="00B34E50"/>
    <w:rsid w:val="00B34F40"/>
    <w:rsid w:val="00B3508F"/>
    <w:rsid w:val="00B350B1"/>
    <w:rsid w:val="00B35117"/>
    <w:rsid w:val="00B3515B"/>
    <w:rsid w:val="00B35187"/>
    <w:rsid w:val="00B3523D"/>
    <w:rsid w:val="00B353CB"/>
    <w:rsid w:val="00B3540B"/>
    <w:rsid w:val="00B35436"/>
    <w:rsid w:val="00B35440"/>
    <w:rsid w:val="00B355D4"/>
    <w:rsid w:val="00B3564E"/>
    <w:rsid w:val="00B35758"/>
    <w:rsid w:val="00B35958"/>
    <w:rsid w:val="00B359A9"/>
    <w:rsid w:val="00B359B6"/>
    <w:rsid w:val="00B359E7"/>
    <w:rsid w:val="00B35B30"/>
    <w:rsid w:val="00B35B8B"/>
    <w:rsid w:val="00B35C15"/>
    <w:rsid w:val="00B35C70"/>
    <w:rsid w:val="00B35D8E"/>
    <w:rsid w:val="00B35F14"/>
    <w:rsid w:val="00B35F32"/>
    <w:rsid w:val="00B35FEB"/>
    <w:rsid w:val="00B36283"/>
    <w:rsid w:val="00B36369"/>
    <w:rsid w:val="00B363A0"/>
    <w:rsid w:val="00B363BD"/>
    <w:rsid w:val="00B364AD"/>
    <w:rsid w:val="00B3650E"/>
    <w:rsid w:val="00B3660A"/>
    <w:rsid w:val="00B3669D"/>
    <w:rsid w:val="00B368A6"/>
    <w:rsid w:val="00B368C1"/>
    <w:rsid w:val="00B36935"/>
    <w:rsid w:val="00B36A5C"/>
    <w:rsid w:val="00B36ABC"/>
    <w:rsid w:val="00B36B9D"/>
    <w:rsid w:val="00B36C34"/>
    <w:rsid w:val="00B36CBF"/>
    <w:rsid w:val="00B36EBB"/>
    <w:rsid w:val="00B36EDE"/>
    <w:rsid w:val="00B36F34"/>
    <w:rsid w:val="00B37098"/>
    <w:rsid w:val="00B37136"/>
    <w:rsid w:val="00B37409"/>
    <w:rsid w:val="00B37433"/>
    <w:rsid w:val="00B3761D"/>
    <w:rsid w:val="00B37719"/>
    <w:rsid w:val="00B37749"/>
    <w:rsid w:val="00B37776"/>
    <w:rsid w:val="00B377C5"/>
    <w:rsid w:val="00B37855"/>
    <w:rsid w:val="00B3792E"/>
    <w:rsid w:val="00B37934"/>
    <w:rsid w:val="00B37B55"/>
    <w:rsid w:val="00B37DDB"/>
    <w:rsid w:val="00B37E07"/>
    <w:rsid w:val="00B37E45"/>
    <w:rsid w:val="00B37EAA"/>
    <w:rsid w:val="00B37EBD"/>
    <w:rsid w:val="00B4001C"/>
    <w:rsid w:val="00B400A9"/>
    <w:rsid w:val="00B40127"/>
    <w:rsid w:val="00B40183"/>
    <w:rsid w:val="00B401AD"/>
    <w:rsid w:val="00B402EF"/>
    <w:rsid w:val="00B403B0"/>
    <w:rsid w:val="00B403CC"/>
    <w:rsid w:val="00B40492"/>
    <w:rsid w:val="00B404A7"/>
    <w:rsid w:val="00B404E1"/>
    <w:rsid w:val="00B40587"/>
    <w:rsid w:val="00B40629"/>
    <w:rsid w:val="00B406BD"/>
    <w:rsid w:val="00B406EF"/>
    <w:rsid w:val="00B406F0"/>
    <w:rsid w:val="00B40810"/>
    <w:rsid w:val="00B408E3"/>
    <w:rsid w:val="00B409CD"/>
    <w:rsid w:val="00B40AD9"/>
    <w:rsid w:val="00B40C27"/>
    <w:rsid w:val="00B40C3A"/>
    <w:rsid w:val="00B40CB4"/>
    <w:rsid w:val="00B40CC4"/>
    <w:rsid w:val="00B40D5A"/>
    <w:rsid w:val="00B40DE6"/>
    <w:rsid w:val="00B40E3B"/>
    <w:rsid w:val="00B40E58"/>
    <w:rsid w:val="00B41036"/>
    <w:rsid w:val="00B41084"/>
    <w:rsid w:val="00B410B3"/>
    <w:rsid w:val="00B410F4"/>
    <w:rsid w:val="00B411B1"/>
    <w:rsid w:val="00B411FE"/>
    <w:rsid w:val="00B41251"/>
    <w:rsid w:val="00B41262"/>
    <w:rsid w:val="00B412A1"/>
    <w:rsid w:val="00B41306"/>
    <w:rsid w:val="00B4146E"/>
    <w:rsid w:val="00B4154E"/>
    <w:rsid w:val="00B415FA"/>
    <w:rsid w:val="00B415FE"/>
    <w:rsid w:val="00B416B5"/>
    <w:rsid w:val="00B416C3"/>
    <w:rsid w:val="00B417B7"/>
    <w:rsid w:val="00B417B8"/>
    <w:rsid w:val="00B41888"/>
    <w:rsid w:val="00B41898"/>
    <w:rsid w:val="00B418BE"/>
    <w:rsid w:val="00B419AA"/>
    <w:rsid w:val="00B419AB"/>
    <w:rsid w:val="00B41A78"/>
    <w:rsid w:val="00B41ACC"/>
    <w:rsid w:val="00B41B81"/>
    <w:rsid w:val="00B41B8E"/>
    <w:rsid w:val="00B41EBB"/>
    <w:rsid w:val="00B41F0D"/>
    <w:rsid w:val="00B4206A"/>
    <w:rsid w:val="00B4206C"/>
    <w:rsid w:val="00B4229A"/>
    <w:rsid w:val="00B4253D"/>
    <w:rsid w:val="00B425C9"/>
    <w:rsid w:val="00B42699"/>
    <w:rsid w:val="00B4279D"/>
    <w:rsid w:val="00B42BB4"/>
    <w:rsid w:val="00B42C1D"/>
    <w:rsid w:val="00B42C9B"/>
    <w:rsid w:val="00B42CCE"/>
    <w:rsid w:val="00B42E80"/>
    <w:rsid w:val="00B42EF3"/>
    <w:rsid w:val="00B4316D"/>
    <w:rsid w:val="00B431ED"/>
    <w:rsid w:val="00B43201"/>
    <w:rsid w:val="00B43248"/>
    <w:rsid w:val="00B4325C"/>
    <w:rsid w:val="00B43290"/>
    <w:rsid w:val="00B432ED"/>
    <w:rsid w:val="00B43326"/>
    <w:rsid w:val="00B433FD"/>
    <w:rsid w:val="00B434E7"/>
    <w:rsid w:val="00B43521"/>
    <w:rsid w:val="00B43534"/>
    <w:rsid w:val="00B4355C"/>
    <w:rsid w:val="00B438CF"/>
    <w:rsid w:val="00B438F4"/>
    <w:rsid w:val="00B43B74"/>
    <w:rsid w:val="00B43C24"/>
    <w:rsid w:val="00B43C65"/>
    <w:rsid w:val="00B43D28"/>
    <w:rsid w:val="00B43F5D"/>
    <w:rsid w:val="00B43FD8"/>
    <w:rsid w:val="00B44036"/>
    <w:rsid w:val="00B4429F"/>
    <w:rsid w:val="00B442B7"/>
    <w:rsid w:val="00B442C5"/>
    <w:rsid w:val="00B442CD"/>
    <w:rsid w:val="00B442D3"/>
    <w:rsid w:val="00B443AF"/>
    <w:rsid w:val="00B4443B"/>
    <w:rsid w:val="00B445C8"/>
    <w:rsid w:val="00B445F4"/>
    <w:rsid w:val="00B445FA"/>
    <w:rsid w:val="00B44646"/>
    <w:rsid w:val="00B4472D"/>
    <w:rsid w:val="00B4475B"/>
    <w:rsid w:val="00B44828"/>
    <w:rsid w:val="00B44867"/>
    <w:rsid w:val="00B44973"/>
    <w:rsid w:val="00B44A16"/>
    <w:rsid w:val="00B44CE0"/>
    <w:rsid w:val="00B44CE7"/>
    <w:rsid w:val="00B44DC6"/>
    <w:rsid w:val="00B44DE1"/>
    <w:rsid w:val="00B44E75"/>
    <w:rsid w:val="00B44F0B"/>
    <w:rsid w:val="00B45156"/>
    <w:rsid w:val="00B45282"/>
    <w:rsid w:val="00B452DB"/>
    <w:rsid w:val="00B452DE"/>
    <w:rsid w:val="00B45379"/>
    <w:rsid w:val="00B45416"/>
    <w:rsid w:val="00B45575"/>
    <w:rsid w:val="00B4557F"/>
    <w:rsid w:val="00B4564C"/>
    <w:rsid w:val="00B45782"/>
    <w:rsid w:val="00B459F0"/>
    <w:rsid w:val="00B45A93"/>
    <w:rsid w:val="00B45AC5"/>
    <w:rsid w:val="00B45AC6"/>
    <w:rsid w:val="00B46017"/>
    <w:rsid w:val="00B460CA"/>
    <w:rsid w:val="00B46161"/>
    <w:rsid w:val="00B461B3"/>
    <w:rsid w:val="00B461EE"/>
    <w:rsid w:val="00B46240"/>
    <w:rsid w:val="00B46315"/>
    <w:rsid w:val="00B4640C"/>
    <w:rsid w:val="00B465B5"/>
    <w:rsid w:val="00B46746"/>
    <w:rsid w:val="00B4675C"/>
    <w:rsid w:val="00B46849"/>
    <w:rsid w:val="00B468D6"/>
    <w:rsid w:val="00B468FF"/>
    <w:rsid w:val="00B46A26"/>
    <w:rsid w:val="00B46A47"/>
    <w:rsid w:val="00B46AAC"/>
    <w:rsid w:val="00B46B3E"/>
    <w:rsid w:val="00B46B6E"/>
    <w:rsid w:val="00B46B99"/>
    <w:rsid w:val="00B46C13"/>
    <w:rsid w:val="00B46C2D"/>
    <w:rsid w:val="00B46C78"/>
    <w:rsid w:val="00B46CB2"/>
    <w:rsid w:val="00B46D5C"/>
    <w:rsid w:val="00B46DD0"/>
    <w:rsid w:val="00B46DF2"/>
    <w:rsid w:val="00B46DF6"/>
    <w:rsid w:val="00B46E19"/>
    <w:rsid w:val="00B46E86"/>
    <w:rsid w:val="00B46EB3"/>
    <w:rsid w:val="00B46F87"/>
    <w:rsid w:val="00B470E8"/>
    <w:rsid w:val="00B47168"/>
    <w:rsid w:val="00B471D0"/>
    <w:rsid w:val="00B471F7"/>
    <w:rsid w:val="00B472FD"/>
    <w:rsid w:val="00B472FF"/>
    <w:rsid w:val="00B473A2"/>
    <w:rsid w:val="00B473C7"/>
    <w:rsid w:val="00B473D3"/>
    <w:rsid w:val="00B474A3"/>
    <w:rsid w:val="00B475DA"/>
    <w:rsid w:val="00B47638"/>
    <w:rsid w:val="00B47708"/>
    <w:rsid w:val="00B47868"/>
    <w:rsid w:val="00B478C3"/>
    <w:rsid w:val="00B4791A"/>
    <w:rsid w:val="00B4797A"/>
    <w:rsid w:val="00B47992"/>
    <w:rsid w:val="00B47A61"/>
    <w:rsid w:val="00B47A7A"/>
    <w:rsid w:val="00B47B54"/>
    <w:rsid w:val="00B47BFB"/>
    <w:rsid w:val="00B47C41"/>
    <w:rsid w:val="00B47F20"/>
    <w:rsid w:val="00B47F74"/>
    <w:rsid w:val="00B47FA2"/>
    <w:rsid w:val="00B47FF6"/>
    <w:rsid w:val="00B5004C"/>
    <w:rsid w:val="00B500D3"/>
    <w:rsid w:val="00B50207"/>
    <w:rsid w:val="00B503A1"/>
    <w:rsid w:val="00B50428"/>
    <w:rsid w:val="00B50583"/>
    <w:rsid w:val="00B50705"/>
    <w:rsid w:val="00B50936"/>
    <w:rsid w:val="00B50956"/>
    <w:rsid w:val="00B50970"/>
    <w:rsid w:val="00B50AC4"/>
    <w:rsid w:val="00B50B31"/>
    <w:rsid w:val="00B50B33"/>
    <w:rsid w:val="00B50B46"/>
    <w:rsid w:val="00B50B9E"/>
    <w:rsid w:val="00B50C3A"/>
    <w:rsid w:val="00B50CF1"/>
    <w:rsid w:val="00B50D3D"/>
    <w:rsid w:val="00B50D5D"/>
    <w:rsid w:val="00B50DB8"/>
    <w:rsid w:val="00B50E13"/>
    <w:rsid w:val="00B50E41"/>
    <w:rsid w:val="00B50E63"/>
    <w:rsid w:val="00B50EE1"/>
    <w:rsid w:val="00B50F29"/>
    <w:rsid w:val="00B50F55"/>
    <w:rsid w:val="00B50F98"/>
    <w:rsid w:val="00B51000"/>
    <w:rsid w:val="00B51007"/>
    <w:rsid w:val="00B5101B"/>
    <w:rsid w:val="00B5106D"/>
    <w:rsid w:val="00B510B0"/>
    <w:rsid w:val="00B510B1"/>
    <w:rsid w:val="00B51105"/>
    <w:rsid w:val="00B51132"/>
    <w:rsid w:val="00B51191"/>
    <w:rsid w:val="00B511C8"/>
    <w:rsid w:val="00B5145F"/>
    <w:rsid w:val="00B51528"/>
    <w:rsid w:val="00B5157B"/>
    <w:rsid w:val="00B5159C"/>
    <w:rsid w:val="00B51767"/>
    <w:rsid w:val="00B517C2"/>
    <w:rsid w:val="00B5180D"/>
    <w:rsid w:val="00B51817"/>
    <w:rsid w:val="00B51893"/>
    <w:rsid w:val="00B5199D"/>
    <w:rsid w:val="00B51AD8"/>
    <w:rsid w:val="00B51BFA"/>
    <w:rsid w:val="00B51C0B"/>
    <w:rsid w:val="00B51C8B"/>
    <w:rsid w:val="00B51D1F"/>
    <w:rsid w:val="00B51E00"/>
    <w:rsid w:val="00B51E79"/>
    <w:rsid w:val="00B51F0B"/>
    <w:rsid w:val="00B51FC2"/>
    <w:rsid w:val="00B5207C"/>
    <w:rsid w:val="00B520D8"/>
    <w:rsid w:val="00B52103"/>
    <w:rsid w:val="00B522ED"/>
    <w:rsid w:val="00B52464"/>
    <w:rsid w:val="00B52497"/>
    <w:rsid w:val="00B5269B"/>
    <w:rsid w:val="00B52838"/>
    <w:rsid w:val="00B528A1"/>
    <w:rsid w:val="00B52AC5"/>
    <w:rsid w:val="00B52B0B"/>
    <w:rsid w:val="00B52B89"/>
    <w:rsid w:val="00B52BA9"/>
    <w:rsid w:val="00B52C24"/>
    <w:rsid w:val="00B52D7B"/>
    <w:rsid w:val="00B52DD5"/>
    <w:rsid w:val="00B52F29"/>
    <w:rsid w:val="00B53004"/>
    <w:rsid w:val="00B530A5"/>
    <w:rsid w:val="00B530E3"/>
    <w:rsid w:val="00B531B2"/>
    <w:rsid w:val="00B53266"/>
    <w:rsid w:val="00B534CB"/>
    <w:rsid w:val="00B535F1"/>
    <w:rsid w:val="00B53709"/>
    <w:rsid w:val="00B53781"/>
    <w:rsid w:val="00B53795"/>
    <w:rsid w:val="00B53839"/>
    <w:rsid w:val="00B53A11"/>
    <w:rsid w:val="00B53B70"/>
    <w:rsid w:val="00B53CB8"/>
    <w:rsid w:val="00B53E95"/>
    <w:rsid w:val="00B540FC"/>
    <w:rsid w:val="00B54389"/>
    <w:rsid w:val="00B543F8"/>
    <w:rsid w:val="00B544E0"/>
    <w:rsid w:val="00B549A3"/>
    <w:rsid w:val="00B549B5"/>
    <w:rsid w:val="00B54A5B"/>
    <w:rsid w:val="00B54A85"/>
    <w:rsid w:val="00B54AA5"/>
    <w:rsid w:val="00B54AD0"/>
    <w:rsid w:val="00B54B23"/>
    <w:rsid w:val="00B54BF5"/>
    <w:rsid w:val="00B54DC3"/>
    <w:rsid w:val="00B54E45"/>
    <w:rsid w:val="00B54E4A"/>
    <w:rsid w:val="00B54F0D"/>
    <w:rsid w:val="00B54F27"/>
    <w:rsid w:val="00B55011"/>
    <w:rsid w:val="00B553E7"/>
    <w:rsid w:val="00B5547B"/>
    <w:rsid w:val="00B554D3"/>
    <w:rsid w:val="00B555F7"/>
    <w:rsid w:val="00B5563E"/>
    <w:rsid w:val="00B556BA"/>
    <w:rsid w:val="00B556E0"/>
    <w:rsid w:val="00B557AD"/>
    <w:rsid w:val="00B5581A"/>
    <w:rsid w:val="00B55AF9"/>
    <w:rsid w:val="00B55B02"/>
    <w:rsid w:val="00B55BCE"/>
    <w:rsid w:val="00B55C08"/>
    <w:rsid w:val="00B55CA2"/>
    <w:rsid w:val="00B55CC2"/>
    <w:rsid w:val="00B55CF7"/>
    <w:rsid w:val="00B55DB4"/>
    <w:rsid w:val="00B55DC8"/>
    <w:rsid w:val="00B55E9A"/>
    <w:rsid w:val="00B55F32"/>
    <w:rsid w:val="00B5606D"/>
    <w:rsid w:val="00B560B7"/>
    <w:rsid w:val="00B56184"/>
    <w:rsid w:val="00B56355"/>
    <w:rsid w:val="00B5638E"/>
    <w:rsid w:val="00B56433"/>
    <w:rsid w:val="00B5645D"/>
    <w:rsid w:val="00B564BC"/>
    <w:rsid w:val="00B5656C"/>
    <w:rsid w:val="00B5663E"/>
    <w:rsid w:val="00B569DC"/>
    <w:rsid w:val="00B56A4A"/>
    <w:rsid w:val="00B56AED"/>
    <w:rsid w:val="00B56C37"/>
    <w:rsid w:val="00B56D0F"/>
    <w:rsid w:val="00B56D41"/>
    <w:rsid w:val="00B56E66"/>
    <w:rsid w:val="00B56F4D"/>
    <w:rsid w:val="00B56FB8"/>
    <w:rsid w:val="00B57152"/>
    <w:rsid w:val="00B573DA"/>
    <w:rsid w:val="00B57432"/>
    <w:rsid w:val="00B574E0"/>
    <w:rsid w:val="00B5756E"/>
    <w:rsid w:val="00B57600"/>
    <w:rsid w:val="00B57695"/>
    <w:rsid w:val="00B577BE"/>
    <w:rsid w:val="00B577F3"/>
    <w:rsid w:val="00B57816"/>
    <w:rsid w:val="00B57960"/>
    <w:rsid w:val="00B57B38"/>
    <w:rsid w:val="00B57C19"/>
    <w:rsid w:val="00B57D24"/>
    <w:rsid w:val="00B57DCD"/>
    <w:rsid w:val="00B57E30"/>
    <w:rsid w:val="00B57F57"/>
    <w:rsid w:val="00B57F9C"/>
    <w:rsid w:val="00B60006"/>
    <w:rsid w:val="00B6002C"/>
    <w:rsid w:val="00B60117"/>
    <w:rsid w:val="00B60167"/>
    <w:rsid w:val="00B601AA"/>
    <w:rsid w:val="00B601B9"/>
    <w:rsid w:val="00B603F4"/>
    <w:rsid w:val="00B60497"/>
    <w:rsid w:val="00B604CD"/>
    <w:rsid w:val="00B6057C"/>
    <w:rsid w:val="00B605BB"/>
    <w:rsid w:val="00B60664"/>
    <w:rsid w:val="00B60742"/>
    <w:rsid w:val="00B60906"/>
    <w:rsid w:val="00B60979"/>
    <w:rsid w:val="00B609C5"/>
    <w:rsid w:val="00B609FC"/>
    <w:rsid w:val="00B60A97"/>
    <w:rsid w:val="00B60C40"/>
    <w:rsid w:val="00B60C56"/>
    <w:rsid w:val="00B60C79"/>
    <w:rsid w:val="00B60E2E"/>
    <w:rsid w:val="00B60E2F"/>
    <w:rsid w:val="00B60F1D"/>
    <w:rsid w:val="00B60F37"/>
    <w:rsid w:val="00B60F83"/>
    <w:rsid w:val="00B61031"/>
    <w:rsid w:val="00B6109E"/>
    <w:rsid w:val="00B61173"/>
    <w:rsid w:val="00B612D5"/>
    <w:rsid w:val="00B612EB"/>
    <w:rsid w:val="00B6143F"/>
    <w:rsid w:val="00B6146B"/>
    <w:rsid w:val="00B61493"/>
    <w:rsid w:val="00B615BC"/>
    <w:rsid w:val="00B615CB"/>
    <w:rsid w:val="00B61617"/>
    <w:rsid w:val="00B61652"/>
    <w:rsid w:val="00B617EF"/>
    <w:rsid w:val="00B61956"/>
    <w:rsid w:val="00B619C9"/>
    <w:rsid w:val="00B61BAF"/>
    <w:rsid w:val="00B61D22"/>
    <w:rsid w:val="00B61E28"/>
    <w:rsid w:val="00B61FAF"/>
    <w:rsid w:val="00B620AD"/>
    <w:rsid w:val="00B62110"/>
    <w:rsid w:val="00B62254"/>
    <w:rsid w:val="00B6225F"/>
    <w:rsid w:val="00B6242E"/>
    <w:rsid w:val="00B62487"/>
    <w:rsid w:val="00B624F6"/>
    <w:rsid w:val="00B6260A"/>
    <w:rsid w:val="00B62637"/>
    <w:rsid w:val="00B626A2"/>
    <w:rsid w:val="00B62755"/>
    <w:rsid w:val="00B62866"/>
    <w:rsid w:val="00B628F5"/>
    <w:rsid w:val="00B62A07"/>
    <w:rsid w:val="00B62AAD"/>
    <w:rsid w:val="00B62B78"/>
    <w:rsid w:val="00B62E0E"/>
    <w:rsid w:val="00B62E38"/>
    <w:rsid w:val="00B62E4B"/>
    <w:rsid w:val="00B62E8C"/>
    <w:rsid w:val="00B62EF6"/>
    <w:rsid w:val="00B62F1F"/>
    <w:rsid w:val="00B62F47"/>
    <w:rsid w:val="00B6305F"/>
    <w:rsid w:val="00B63132"/>
    <w:rsid w:val="00B63359"/>
    <w:rsid w:val="00B6345A"/>
    <w:rsid w:val="00B63551"/>
    <w:rsid w:val="00B6360E"/>
    <w:rsid w:val="00B63611"/>
    <w:rsid w:val="00B63782"/>
    <w:rsid w:val="00B637D6"/>
    <w:rsid w:val="00B6393E"/>
    <w:rsid w:val="00B63C6E"/>
    <w:rsid w:val="00B63C7A"/>
    <w:rsid w:val="00B63CDC"/>
    <w:rsid w:val="00B63D3F"/>
    <w:rsid w:val="00B63DB3"/>
    <w:rsid w:val="00B63E2C"/>
    <w:rsid w:val="00B63FB4"/>
    <w:rsid w:val="00B64142"/>
    <w:rsid w:val="00B641B9"/>
    <w:rsid w:val="00B64445"/>
    <w:rsid w:val="00B644ED"/>
    <w:rsid w:val="00B6450B"/>
    <w:rsid w:val="00B64550"/>
    <w:rsid w:val="00B64618"/>
    <w:rsid w:val="00B64636"/>
    <w:rsid w:val="00B647EC"/>
    <w:rsid w:val="00B6480A"/>
    <w:rsid w:val="00B64AA7"/>
    <w:rsid w:val="00B64ABD"/>
    <w:rsid w:val="00B64AFA"/>
    <w:rsid w:val="00B64B3F"/>
    <w:rsid w:val="00B64D3D"/>
    <w:rsid w:val="00B64DDE"/>
    <w:rsid w:val="00B64E14"/>
    <w:rsid w:val="00B64FCF"/>
    <w:rsid w:val="00B64FD8"/>
    <w:rsid w:val="00B6500D"/>
    <w:rsid w:val="00B6501E"/>
    <w:rsid w:val="00B6501F"/>
    <w:rsid w:val="00B650E8"/>
    <w:rsid w:val="00B65173"/>
    <w:rsid w:val="00B6527D"/>
    <w:rsid w:val="00B653D6"/>
    <w:rsid w:val="00B65443"/>
    <w:rsid w:val="00B65585"/>
    <w:rsid w:val="00B6565D"/>
    <w:rsid w:val="00B658D0"/>
    <w:rsid w:val="00B6595A"/>
    <w:rsid w:val="00B659BE"/>
    <w:rsid w:val="00B65A49"/>
    <w:rsid w:val="00B65A5A"/>
    <w:rsid w:val="00B65B7E"/>
    <w:rsid w:val="00B65BC5"/>
    <w:rsid w:val="00B65CC7"/>
    <w:rsid w:val="00B65D66"/>
    <w:rsid w:val="00B65DA1"/>
    <w:rsid w:val="00B65DC1"/>
    <w:rsid w:val="00B65E21"/>
    <w:rsid w:val="00B65F38"/>
    <w:rsid w:val="00B6633A"/>
    <w:rsid w:val="00B6636F"/>
    <w:rsid w:val="00B66370"/>
    <w:rsid w:val="00B664A1"/>
    <w:rsid w:val="00B664EE"/>
    <w:rsid w:val="00B6656F"/>
    <w:rsid w:val="00B66571"/>
    <w:rsid w:val="00B66593"/>
    <w:rsid w:val="00B66683"/>
    <w:rsid w:val="00B667B4"/>
    <w:rsid w:val="00B66837"/>
    <w:rsid w:val="00B66915"/>
    <w:rsid w:val="00B66956"/>
    <w:rsid w:val="00B669AA"/>
    <w:rsid w:val="00B669E4"/>
    <w:rsid w:val="00B66AB1"/>
    <w:rsid w:val="00B66BD4"/>
    <w:rsid w:val="00B66C92"/>
    <w:rsid w:val="00B66CBB"/>
    <w:rsid w:val="00B66F3D"/>
    <w:rsid w:val="00B66FA2"/>
    <w:rsid w:val="00B67102"/>
    <w:rsid w:val="00B67114"/>
    <w:rsid w:val="00B67131"/>
    <w:rsid w:val="00B6714B"/>
    <w:rsid w:val="00B67156"/>
    <w:rsid w:val="00B672B4"/>
    <w:rsid w:val="00B67377"/>
    <w:rsid w:val="00B674D7"/>
    <w:rsid w:val="00B6750D"/>
    <w:rsid w:val="00B6764F"/>
    <w:rsid w:val="00B676DD"/>
    <w:rsid w:val="00B677B0"/>
    <w:rsid w:val="00B678E6"/>
    <w:rsid w:val="00B67916"/>
    <w:rsid w:val="00B67A34"/>
    <w:rsid w:val="00B67A76"/>
    <w:rsid w:val="00B67B64"/>
    <w:rsid w:val="00B67BC3"/>
    <w:rsid w:val="00B67BFA"/>
    <w:rsid w:val="00B67C16"/>
    <w:rsid w:val="00B67C38"/>
    <w:rsid w:val="00B67C92"/>
    <w:rsid w:val="00B67C9B"/>
    <w:rsid w:val="00B67D5A"/>
    <w:rsid w:val="00B67DB4"/>
    <w:rsid w:val="00B67DD3"/>
    <w:rsid w:val="00B67DE4"/>
    <w:rsid w:val="00B70005"/>
    <w:rsid w:val="00B70401"/>
    <w:rsid w:val="00B7043D"/>
    <w:rsid w:val="00B704BF"/>
    <w:rsid w:val="00B70640"/>
    <w:rsid w:val="00B70656"/>
    <w:rsid w:val="00B707A3"/>
    <w:rsid w:val="00B70837"/>
    <w:rsid w:val="00B708B7"/>
    <w:rsid w:val="00B70937"/>
    <w:rsid w:val="00B7096F"/>
    <w:rsid w:val="00B709D9"/>
    <w:rsid w:val="00B70AD3"/>
    <w:rsid w:val="00B70B76"/>
    <w:rsid w:val="00B70B94"/>
    <w:rsid w:val="00B70C49"/>
    <w:rsid w:val="00B70D6D"/>
    <w:rsid w:val="00B70D93"/>
    <w:rsid w:val="00B70FD3"/>
    <w:rsid w:val="00B70FF0"/>
    <w:rsid w:val="00B7109F"/>
    <w:rsid w:val="00B711BC"/>
    <w:rsid w:val="00B71241"/>
    <w:rsid w:val="00B713EE"/>
    <w:rsid w:val="00B71496"/>
    <w:rsid w:val="00B71598"/>
    <w:rsid w:val="00B7168F"/>
    <w:rsid w:val="00B717E5"/>
    <w:rsid w:val="00B71851"/>
    <w:rsid w:val="00B71C0D"/>
    <w:rsid w:val="00B71D2A"/>
    <w:rsid w:val="00B71D68"/>
    <w:rsid w:val="00B71E50"/>
    <w:rsid w:val="00B71FDE"/>
    <w:rsid w:val="00B7201C"/>
    <w:rsid w:val="00B7221A"/>
    <w:rsid w:val="00B72399"/>
    <w:rsid w:val="00B7239A"/>
    <w:rsid w:val="00B7246E"/>
    <w:rsid w:val="00B724C0"/>
    <w:rsid w:val="00B72648"/>
    <w:rsid w:val="00B726E4"/>
    <w:rsid w:val="00B72743"/>
    <w:rsid w:val="00B7282E"/>
    <w:rsid w:val="00B7284B"/>
    <w:rsid w:val="00B72894"/>
    <w:rsid w:val="00B7296D"/>
    <w:rsid w:val="00B729C2"/>
    <w:rsid w:val="00B72A6D"/>
    <w:rsid w:val="00B72AC6"/>
    <w:rsid w:val="00B72D3E"/>
    <w:rsid w:val="00B72E3E"/>
    <w:rsid w:val="00B72E5C"/>
    <w:rsid w:val="00B72E6B"/>
    <w:rsid w:val="00B72FC4"/>
    <w:rsid w:val="00B73087"/>
    <w:rsid w:val="00B73093"/>
    <w:rsid w:val="00B73181"/>
    <w:rsid w:val="00B73192"/>
    <w:rsid w:val="00B7323B"/>
    <w:rsid w:val="00B732D8"/>
    <w:rsid w:val="00B73311"/>
    <w:rsid w:val="00B73318"/>
    <w:rsid w:val="00B7337D"/>
    <w:rsid w:val="00B733A6"/>
    <w:rsid w:val="00B733E5"/>
    <w:rsid w:val="00B735A3"/>
    <w:rsid w:val="00B735DD"/>
    <w:rsid w:val="00B739AD"/>
    <w:rsid w:val="00B73C49"/>
    <w:rsid w:val="00B73CA2"/>
    <w:rsid w:val="00B73CEE"/>
    <w:rsid w:val="00B73E18"/>
    <w:rsid w:val="00B74113"/>
    <w:rsid w:val="00B7414C"/>
    <w:rsid w:val="00B742A5"/>
    <w:rsid w:val="00B742BF"/>
    <w:rsid w:val="00B742F3"/>
    <w:rsid w:val="00B7435D"/>
    <w:rsid w:val="00B7438E"/>
    <w:rsid w:val="00B743D1"/>
    <w:rsid w:val="00B74534"/>
    <w:rsid w:val="00B7460E"/>
    <w:rsid w:val="00B746BA"/>
    <w:rsid w:val="00B74845"/>
    <w:rsid w:val="00B7494C"/>
    <w:rsid w:val="00B74961"/>
    <w:rsid w:val="00B7499B"/>
    <w:rsid w:val="00B74A50"/>
    <w:rsid w:val="00B74B2F"/>
    <w:rsid w:val="00B74DA9"/>
    <w:rsid w:val="00B74E30"/>
    <w:rsid w:val="00B74E3D"/>
    <w:rsid w:val="00B74E5F"/>
    <w:rsid w:val="00B74EBC"/>
    <w:rsid w:val="00B750DB"/>
    <w:rsid w:val="00B7519D"/>
    <w:rsid w:val="00B7527C"/>
    <w:rsid w:val="00B753FF"/>
    <w:rsid w:val="00B7544C"/>
    <w:rsid w:val="00B75500"/>
    <w:rsid w:val="00B75680"/>
    <w:rsid w:val="00B756A5"/>
    <w:rsid w:val="00B756E6"/>
    <w:rsid w:val="00B75718"/>
    <w:rsid w:val="00B75761"/>
    <w:rsid w:val="00B757B5"/>
    <w:rsid w:val="00B75837"/>
    <w:rsid w:val="00B758EF"/>
    <w:rsid w:val="00B75937"/>
    <w:rsid w:val="00B75980"/>
    <w:rsid w:val="00B7599D"/>
    <w:rsid w:val="00B75AA2"/>
    <w:rsid w:val="00B75C5B"/>
    <w:rsid w:val="00B75C74"/>
    <w:rsid w:val="00B75D92"/>
    <w:rsid w:val="00B75D96"/>
    <w:rsid w:val="00B75E28"/>
    <w:rsid w:val="00B75EBF"/>
    <w:rsid w:val="00B75F0A"/>
    <w:rsid w:val="00B75F5E"/>
    <w:rsid w:val="00B75FD6"/>
    <w:rsid w:val="00B7606A"/>
    <w:rsid w:val="00B761F0"/>
    <w:rsid w:val="00B76378"/>
    <w:rsid w:val="00B7640E"/>
    <w:rsid w:val="00B76492"/>
    <w:rsid w:val="00B764D2"/>
    <w:rsid w:val="00B7650B"/>
    <w:rsid w:val="00B7669F"/>
    <w:rsid w:val="00B76736"/>
    <w:rsid w:val="00B7682C"/>
    <w:rsid w:val="00B76AE8"/>
    <w:rsid w:val="00B76B28"/>
    <w:rsid w:val="00B76B6B"/>
    <w:rsid w:val="00B76C69"/>
    <w:rsid w:val="00B76C8A"/>
    <w:rsid w:val="00B76C96"/>
    <w:rsid w:val="00B76DBB"/>
    <w:rsid w:val="00B76E33"/>
    <w:rsid w:val="00B76E9D"/>
    <w:rsid w:val="00B76EC0"/>
    <w:rsid w:val="00B7705E"/>
    <w:rsid w:val="00B770DC"/>
    <w:rsid w:val="00B7710C"/>
    <w:rsid w:val="00B7719D"/>
    <w:rsid w:val="00B7734A"/>
    <w:rsid w:val="00B77441"/>
    <w:rsid w:val="00B775D4"/>
    <w:rsid w:val="00B7766F"/>
    <w:rsid w:val="00B7771B"/>
    <w:rsid w:val="00B778B6"/>
    <w:rsid w:val="00B7791F"/>
    <w:rsid w:val="00B77A23"/>
    <w:rsid w:val="00B77A95"/>
    <w:rsid w:val="00B77B4D"/>
    <w:rsid w:val="00B77B79"/>
    <w:rsid w:val="00B77D06"/>
    <w:rsid w:val="00B77D83"/>
    <w:rsid w:val="00B77DD6"/>
    <w:rsid w:val="00B77E75"/>
    <w:rsid w:val="00B77ECC"/>
    <w:rsid w:val="00B8006A"/>
    <w:rsid w:val="00B800BD"/>
    <w:rsid w:val="00B801E4"/>
    <w:rsid w:val="00B80251"/>
    <w:rsid w:val="00B802CA"/>
    <w:rsid w:val="00B8048B"/>
    <w:rsid w:val="00B8052A"/>
    <w:rsid w:val="00B80618"/>
    <w:rsid w:val="00B8063A"/>
    <w:rsid w:val="00B806DA"/>
    <w:rsid w:val="00B80700"/>
    <w:rsid w:val="00B807C2"/>
    <w:rsid w:val="00B8080A"/>
    <w:rsid w:val="00B8084E"/>
    <w:rsid w:val="00B80863"/>
    <w:rsid w:val="00B808D0"/>
    <w:rsid w:val="00B809A8"/>
    <w:rsid w:val="00B809CC"/>
    <w:rsid w:val="00B80B6F"/>
    <w:rsid w:val="00B80D21"/>
    <w:rsid w:val="00B80D3E"/>
    <w:rsid w:val="00B80F6E"/>
    <w:rsid w:val="00B80F76"/>
    <w:rsid w:val="00B80FF8"/>
    <w:rsid w:val="00B8101F"/>
    <w:rsid w:val="00B81067"/>
    <w:rsid w:val="00B81128"/>
    <w:rsid w:val="00B8130D"/>
    <w:rsid w:val="00B813A8"/>
    <w:rsid w:val="00B81538"/>
    <w:rsid w:val="00B8160D"/>
    <w:rsid w:val="00B81678"/>
    <w:rsid w:val="00B816AE"/>
    <w:rsid w:val="00B816C7"/>
    <w:rsid w:val="00B8191F"/>
    <w:rsid w:val="00B81976"/>
    <w:rsid w:val="00B81A73"/>
    <w:rsid w:val="00B81A87"/>
    <w:rsid w:val="00B81B48"/>
    <w:rsid w:val="00B81BF9"/>
    <w:rsid w:val="00B81CA4"/>
    <w:rsid w:val="00B81D6E"/>
    <w:rsid w:val="00B81DC0"/>
    <w:rsid w:val="00B81EC2"/>
    <w:rsid w:val="00B81F54"/>
    <w:rsid w:val="00B82008"/>
    <w:rsid w:val="00B820BE"/>
    <w:rsid w:val="00B820DB"/>
    <w:rsid w:val="00B82157"/>
    <w:rsid w:val="00B8238E"/>
    <w:rsid w:val="00B8246E"/>
    <w:rsid w:val="00B82631"/>
    <w:rsid w:val="00B8263F"/>
    <w:rsid w:val="00B826D4"/>
    <w:rsid w:val="00B826F2"/>
    <w:rsid w:val="00B8270F"/>
    <w:rsid w:val="00B82743"/>
    <w:rsid w:val="00B8277A"/>
    <w:rsid w:val="00B828E0"/>
    <w:rsid w:val="00B8296F"/>
    <w:rsid w:val="00B829D5"/>
    <w:rsid w:val="00B829D7"/>
    <w:rsid w:val="00B82A01"/>
    <w:rsid w:val="00B82A8F"/>
    <w:rsid w:val="00B82B0A"/>
    <w:rsid w:val="00B82C09"/>
    <w:rsid w:val="00B82CBF"/>
    <w:rsid w:val="00B82DB8"/>
    <w:rsid w:val="00B82E09"/>
    <w:rsid w:val="00B82E45"/>
    <w:rsid w:val="00B82E98"/>
    <w:rsid w:val="00B82EE0"/>
    <w:rsid w:val="00B82F2F"/>
    <w:rsid w:val="00B82F3A"/>
    <w:rsid w:val="00B82FD1"/>
    <w:rsid w:val="00B83014"/>
    <w:rsid w:val="00B8324A"/>
    <w:rsid w:val="00B83290"/>
    <w:rsid w:val="00B8340E"/>
    <w:rsid w:val="00B8359D"/>
    <w:rsid w:val="00B835C5"/>
    <w:rsid w:val="00B83665"/>
    <w:rsid w:val="00B837A4"/>
    <w:rsid w:val="00B83836"/>
    <w:rsid w:val="00B8383E"/>
    <w:rsid w:val="00B83A73"/>
    <w:rsid w:val="00B83B83"/>
    <w:rsid w:val="00B83B8F"/>
    <w:rsid w:val="00B83BC0"/>
    <w:rsid w:val="00B83C7F"/>
    <w:rsid w:val="00B83E72"/>
    <w:rsid w:val="00B83EA9"/>
    <w:rsid w:val="00B83F98"/>
    <w:rsid w:val="00B83FBC"/>
    <w:rsid w:val="00B84011"/>
    <w:rsid w:val="00B84015"/>
    <w:rsid w:val="00B8414C"/>
    <w:rsid w:val="00B84301"/>
    <w:rsid w:val="00B8436D"/>
    <w:rsid w:val="00B84579"/>
    <w:rsid w:val="00B8464C"/>
    <w:rsid w:val="00B8467D"/>
    <w:rsid w:val="00B846C8"/>
    <w:rsid w:val="00B847B8"/>
    <w:rsid w:val="00B8487A"/>
    <w:rsid w:val="00B848FD"/>
    <w:rsid w:val="00B84921"/>
    <w:rsid w:val="00B84984"/>
    <w:rsid w:val="00B84A18"/>
    <w:rsid w:val="00B84AFA"/>
    <w:rsid w:val="00B84B7F"/>
    <w:rsid w:val="00B84DDD"/>
    <w:rsid w:val="00B84EDD"/>
    <w:rsid w:val="00B851FB"/>
    <w:rsid w:val="00B85220"/>
    <w:rsid w:val="00B85674"/>
    <w:rsid w:val="00B857F2"/>
    <w:rsid w:val="00B8585B"/>
    <w:rsid w:val="00B85A26"/>
    <w:rsid w:val="00B85B37"/>
    <w:rsid w:val="00B85DBD"/>
    <w:rsid w:val="00B85FA5"/>
    <w:rsid w:val="00B86059"/>
    <w:rsid w:val="00B86185"/>
    <w:rsid w:val="00B86381"/>
    <w:rsid w:val="00B86397"/>
    <w:rsid w:val="00B864A1"/>
    <w:rsid w:val="00B865B0"/>
    <w:rsid w:val="00B866EE"/>
    <w:rsid w:val="00B86870"/>
    <w:rsid w:val="00B86A26"/>
    <w:rsid w:val="00B86AFB"/>
    <w:rsid w:val="00B86B55"/>
    <w:rsid w:val="00B86BEA"/>
    <w:rsid w:val="00B86BEB"/>
    <w:rsid w:val="00B86D79"/>
    <w:rsid w:val="00B86DB8"/>
    <w:rsid w:val="00B86DEE"/>
    <w:rsid w:val="00B86E50"/>
    <w:rsid w:val="00B86E62"/>
    <w:rsid w:val="00B86E82"/>
    <w:rsid w:val="00B86F8C"/>
    <w:rsid w:val="00B87089"/>
    <w:rsid w:val="00B87159"/>
    <w:rsid w:val="00B872F3"/>
    <w:rsid w:val="00B8736B"/>
    <w:rsid w:val="00B87385"/>
    <w:rsid w:val="00B87484"/>
    <w:rsid w:val="00B87593"/>
    <w:rsid w:val="00B875C4"/>
    <w:rsid w:val="00B876D6"/>
    <w:rsid w:val="00B876EC"/>
    <w:rsid w:val="00B87771"/>
    <w:rsid w:val="00B877AA"/>
    <w:rsid w:val="00B877BC"/>
    <w:rsid w:val="00B877DC"/>
    <w:rsid w:val="00B878A9"/>
    <w:rsid w:val="00B87949"/>
    <w:rsid w:val="00B879EE"/>
    <w:rsid w:val="00B87AC5"/>
    <w:rsid w:val="00B87BE7"/>
    <w:rsid w:val="00B87D45"/>
    <w:rsid w:val="00B87E18"/>
    <w:rsid w:val="00B87E84"/>
    <w:rsid w:val="00B87F4C"/>
    <w:rsid w:val="00B87F86"/>
    <w:rsid w:val="00B90005"/>
    <w:rsid w:val="00B90009"/>
    <w:rsid w:val="00B90056"/>
    <w:rsid w:val="00B900E2"/>
    <w:rsid w:val="00B901A9"/>
    <w:rsid w:val="00B901DE"/>
    <w:rsid w:val="00B90244"/>
    <w:rsid w:val="00B9024D"/>
    <w:rsid w:val="00B9025A"/>
    <w:rsid w:val="00B90320"/>
    <w:rsid w:val="00B903A7"/>
    <w:rsid w:val="00B90481"/>
    <w:rsid w:val="00B90484"/>
    <w:rsid w:val="00B904A0"/>
    <w:rsid w:val="00B9054C"/>
    <w:rsid w:val="00B9056A"/>
    <w:rsid w:val="00B90571"/>
    <w:rsid w:val="00B9061F"/>
    <w:rsid w:val="00B9072E"/>
    <w:rsid w:val="00B90768"/>
    <w:rsid w:val="00B90781"/>
    <w:rsid w:val="00B907D7"/>
    <w:rsid w:val="00B90840"/>
    <w:rsid w:val="00B90A4F"/>
    <w:rsid w:val="00B90A5D"/>
    <w:rsid w:val="00B90B50"/>
    <w:rsid w:val="00B90BB6"/>
    <w:rsid w:val="00B90C1B"/>
    <w:rsid w:val="00B90C37"/>
    <w:rsid w:val="00B90C48"/>
    <w:rsid w:val="00B90DAC"/>
    <w:rsid w:val="00B90F1B"/>
    <w:rsid w:val="00B91021"/>
    <w:rsid w:val="00B91046"/>
    <w:rsid w:val="00B911F4"/>
    <w:rsid w:val="00B912E9"/>
    <w:rsid w:val="00B91315"/>
    <w:rsid w:val="00B91365"/>
    <w:rsid w:val="00B913C3"/>
    <w:rsid w:val="00B9145B"/>
    <w:rsid w:val="00B9146A"/>
    <w:rsid w:val="00B9148C"/>
    <w:rsid w:val="00B914DA"/>
    <w:rsid w:val="00B914FD"/>
    <w:rsid w:val="00B9153E"/>
    <w:rsid w:val="00B9155C"/>
    <w:rsid w:val="00B9166E"/>
    <w:rsid w:val="00B91782"/>
    <w:rsid w:val="00B9180A"/>
    <w:rsid w:val="00B91946"/>
    <w:rsid w:val="00B919AF"/>
    <w:rsid w:val="00B91A15"/>
    <w:rsid w:val="00B91A53"/>
    <w:rsid w:val="00B91A7E"/>
    <w:rsid w:val="00B91B0D"/>
    <w:rsid w:val="00B91B64"/>
    <w:rsid w:val="00B91D51"/>
    <w:rsid w:val="00B91E59"/>
    <w:rsid w:val="00B91FC7"/>
    <w:rsid w:val="00B91FF3"/>
    <w:rsid w:val="00B922F7"/>
    <w:rsid w:val="00B923B8"/>
    <w:rsid w:val="00B9243B"/>
    <w:rsid w:val="00B92712"/>
    <w:rsid w:val="00B927E9"/>
    <w:rsid w:val="00B92917"/>
    <w:rsid w:val="00B929F3"/>
    <w:rsid w:val="00B92A05"/>
    <w:rsid w:val="00B92EAB"/>
    <w:rsid w:val="00B93483"/>
    <w:rsid w:val="00B9349F"/>
    <w:rsid w:val="00B93604"/>
    <w:rsid w:val="00B9364D"/>
    <w:rsid w:val="00B93705"/>
    <w:rsid w:val="00B93708"/>
    <w:rsid w:val="00B93728"/>
    <w:rsid w:val="00B9373D"/>
    <w:rsid w:val="00B93754"/>
    <w:rsid w:val="00B93799"/>
    <w:rsid w:val="00B9392D"/>
    <w:rsid w:val="00B93966"/>
    <w:rsid w:val="00B93AFC"/>
    <w:rsid w:val="00B93CEC"/>
    <w:rsid w:val="00B93DA0"/>
    <w:rsid w:val="00B93E3D"/>
    <w:rsid w:val="00B93FAA"/>
    <w:rsid w:val="00B940BD"/>
    <w:rsid w:val="00B94126"/>
    <w:rsid w:val="00B94175"/>
    <w:rsid w:val="00B9417A"/>
    <w:rsid w:val="00B94192"/>
    <w:rsid w:val="00B941B9"/>
    <w:rsid w:val="00B9423C"/>
    <w:rsid w:val="00B9426C"/>
    <w:rsid w:val="00B9439D"/>
    <w:rsid w:val="00B944A8"/>
    <w:rsid w:val="00B94582"/>
    <w:rsid w:val="00B9465A"/>
    <w:rsid w:val="00B946B8"/>
    <w:rsid w:val="00B9480F"/>
    <w:rsid w:val="00B948E8"/>
    <w:rsid w:val="00B94911"/>
    <w:rsid w:val="00B94A36"/>
    <w:rsid w:val="00B94A4D"/>
    <w:rsid w:val="00B94A9A"/>
    <w:rsid w:val="00B94AB9"/>
    <w:rsid w:val="00B94BAD"/>
    <w:rsid w:val="00B94CA6"/>
    <w:rsid w:val="00B94CF0"/>
    <w:rsid w:val="00B94D1D"/>
    <w:rsid w:val="00B94D51"/>
    <w:rsid w:val="00B94D76"/>
    <w:rsid w:val="00B94DFB"/>
    <w:rsid w:val="00B94EAF"/>
    <w:rsid w:val="00B94F60"/>
    <w:rsid w:val="00B94FEE"/>
    <w:rsid w:val="00B95064"/>
    <w:rsid w:val="00B95096"/>
    <w:rsid w:val="00B950B0"/>
    <w:rsid w:val="00B950FC"/>
    <w:rsid w:val="00B951B0"/>
    <w:rsid w:val="00B95237"/>
    <w:rsid w:val="00B953DC"/>
    <w:rsid w:val="00B9543F"/>
    <w:rsid w:val="00B9553B"/>
    <w:rsid w:val="00B95627"/>
    <w:rsid w:val="00B956F4"/>
    <w:rsid w:val="00B95748"/>
    <w:rsid w:val="00B95834"/>
    <w:rsid w:val="00B9586C"/>
    <w:rsid w:val="00B95880"/>
    <w:rsid w:val="00B95AB2"/>
    <w:rsid w:val="00B95C24"/>
    <w:rsid w:val="00B95C2A"/>
    <w:rsid w:val="00B95CA1"/>
    <w:rsid w:val="00B95CDD"/>
    <w:rsid w:val="00B95D99"/>
    <w:rsid w:val="00B95E82"/>
    <w:rsid w:val="00B95FAD"/>
    <w:rsid w:val="00B960F9"/>
    <w:rsid w:val="00B96160"/>
    <w:rsid w:val="00B962E7"/>
    <w:rsid w:val="00B96392"/>
    <w:rsid w:val="00B964C3"/>
    <w:rsid w:val="00B964FB"/>
    <w:rsid w:val="00B96639"/>
    <w:rsid w:val="00B966AF"/>
    <w:rsid w:val="00B96731"/>
    <w:rsid w:val="00B96758"/>
    <w:rsid w:val="00B967D5"/>
    <w:rsid w:val="00B968EB"/>
    <w:rsid w:val="00B9694F"/>
    <w:rsid w:val="00B9698F"/>
    <w:rsid w:val="00B96A30"/>
    <w:rsid w:val="00B96A35"/>
    <w:rsid w:val="00B96A43"/>
    <w:rsid w:val="00B96AAA"/>
    <w:rsid w:val="00B96B71"/>
    <w:rsid w:val="00B96CA9"/>
    <w:rsid w:val="00B96DBD"/>
    <w:rsid w:val="00B96DD3"/>
    <w:rsid w:val="00B96F33"/>
    <w:rsid w:val="00B97047"/>
    <w:rsid w:val="00B970E5"/>
    <w:rsid w:val="00B97180"/>
    <w:rsid w:val="00B9735E"/>
    <w:rsid w:val="00B97376"/>
    <w:rsid w:val="00B97542"/>
    <w:rsid w:val="00B976C6"/>
    <w:rsid w:val="00B976CD"/>
    <w:rsid w:val="00B9775A"/>
    <w:rsid w:val="00B9777F"/>
    <w:rsid w:val="00B97815"/>
    <w:rsid w:val="00B97897"/>
    <w:rsid w:val="00B97A37"/>
    <w:rsid w:val="00B97A7D"/>
    <w:rsid w:val="00B97C7C"/>
    <w:rsid w:val="00B97CBE"/>
    <w:rsid w:val="00B97F73"/>
    <w:rsid w:val="00BA0037"/>
    <w:rsid w:val="00BA0138"/>
    <w:rsid w:val="00BA0154"/>
    <w:rsid w:val="00BA0178"/>
    <w:rsid w:val="00BA0207"/>
    <w:rsid w:val="00BA030D"/>
    <w:rsid w:val="00BA04E6"/>
    <w:rsid w:val="00BA050E"/>
    <w:rsid w:val="00BA06E4"/>
    <w:rsid w:val="00BA0721"/>
    <w:rsid w:val="00BA084A"/>
    <w:rsid w:val="00BA0872"/>
    <w:rsid w:val="00BA08AD"/>
    <w:rsid w:val="00BA08F7"/>
    <w:rsid w:val="00BA0982"/>
    <w:rsid w:val="00BA0AD5"/>
    <w:rsid w:val="00BA0C6F"/>
    <w:rsid w:val="00BA0CCE"/>
    <w:rsid w:val="00BA0E08"/>
    <w:rsid w:val="00BA0E22"/>
    <w:rsid w:val="00BA0E69"/>
    <w:rsid w:val="00BA0F66"/>
    <w:rsid w:val="00BA0F85"/>
    <w:rsid w:val="00BA10E2"/>
    <w:rsid w:val="00BA10F9"/>
    <w:rsid w:val="00BA11A8"/>
    <w:rsid w:val="00BA1404"/>
    <w:rsid w:val="00BA1434"/>
    <w:rsid w:val="00BA149F"/>
    <w:rsid w:val="00BA1686"/>
    <w:rsid w:val="00BA17F5"/>
    <w:rsid w:val="00BA191A"/>
    <w:rsid w:val="00BA1A17"/>
    <w:rsid w:val="00BA1AA9"/>
    <w:rsid w:val="00BA1B96"/>
    <w:rsid w:val="00BA1D8C"/>
    <w:rsid w:val="00BA1DA3"/>
    <w:rsid w:val="00BA1DBA"/>
    <w:rsid w:val="00BA1E91"/>
    <w:rsid w:val="00BA205B"/>
    <w:rsid w:val="00BA20F5"/>
    <w:rsid w:val="00BA2229"/>
    <w:rsid w:val="00BA25F8"/>
    <w:rsid w:val="00BA2728"/>
    <w:rsid w:val="00BA2739"/>
    <w:rsid w:val="00BA295C"/>
    <w:rsid w:val="00BA2A2B"/>
    <w:rsid w:val="00BA2C2F"/>
    <w:rsid w:val="00BA2C30"/>
    <w:rsid w:val="00BA2CB6"/>
    <w:rsid w:val="00BA2D37"/>
    <w:rsid w:val="00BA2D3D"/>
    <w:rsid w:val="00BA2D56"/>
    <w:rsid w:val="00BA2EE8"/>
    <w:rsid w:val="00BA2FC7"/>
    <w:rsid w:val="00BA303B"/>
    <w:rsid w:val="00BA307A"/>
    <w:rsid w:val="00BA3154"/>
    <w:rsid w:val="00BA31D2"/>
    <w:rsid w:val="00BA327E"/>
    <w:rsid w:val="00BA32FA"/>
    <w:rsid w:val="00BA3386"/>
    <w:rsid w:val="00BA359C"/>
    <w:rsid w:val="00BA3674"/>
    <w:rsid w:val="00BA3683"/>
    <w:rsid w:val="00BA36DC"/>
    <w:rsid w:val="00BA36E3"/>
    <w:rsid w:val="00BA388C"/>
    <w:rsid w:val="00BA38A3"/>
    <w:rsid w:val="00BA38BB"/>
    <w:rsid w:val="00BA38D1"/>
    <w:rsid w:val="00BA3938"/>
    <w:rsid w:val="00BA3BA1"/>
    <w:rsid w:val="00BA3C1F"/>
    <w:rsid w:val="00BA3D38"/>
    <w:rsid w:val="00BA3D5D"/>
    <w:rsid w:val="00BA3DC1"/>
    <w:rsid w:val="00BA3E4C"/>
    <w:rsid w:val="00BA3E5B"/>
    <w:rsid w:val="00BA3EBE"/>
    <w:rsid w:val="00BA3F6F"/>
    <w:rsid w:val="00BA3F79"/>
    <w:rsid w:val="00BA4035"/>
    <w:rsid w:val="00BA4037"/>
    <w:rsid w:val="00BA4052"/>
    <w:rsid w:val="00BA40BE"/>
    <w:rsid w:val="00BA4120"/>
    <w:rsid w:val="00BA4200"/>
    <w:rsid w:val="00BA4216"/>
    <w:rsid w:val="00BA4271"/>
    <w:rsid w:val="00BA4429"/>
    <w:rsid w:val="00BA44DF"/>
    <w:rsid w:val="00BA4634"/>
    <w:rsid w:val="00BA475F"/>
    <w:rsid w:val="00BA47A1"/>
    <w:rsid w:val="00BA489E"/>
    <w:rsid w:val="00BA4A5C"/>
    <w:rsid w:val="00BA4AE3"/>
    <w:rsid w:val="00BA4CBF"/>
    <w:rsid w:val="00BA4DD8"/>
    <w:rsid w:val="00BA4DE2"/>
    <w:rsid w:val="00BA4EAB"/>
    <w:rsid w:val="00BA4ECF"/>
    <w:rsid w:val="00BA4FE0"/>
    <w:rsid w:val="00BA5014"/>
    <w:rsid w:val="00BA50C9"/>
    <w:rsid w:val="00BA50D0"/>
    <w:rsid w:val="00BA5108"/>
    <w:rsid w:val="00BA511F"/>
    <w:rsid w:val="00BA5175"/>
    <w:rsid w:val="00BA5247"/>
    <w:rsid w:val="00BA524C"/>
    <w:rsid w:val="00BA52FB"/>
    <w:rsid w:val="00BA5354"/>
    <w:rsid w:val="00BA5411"/>
    <w:rsid w:val="00BA556B"/>
    <w:rsid w:val="00BA562D"/>
    <w:rsid w:val="00BA57F4"/>
    <w:rsid w:val="00BA5929"/>
    <w:rsid w:val="00BA5ACD"/>
    <w:rsid w:val="00BA5C3B"/>
    <w:rsid w:val="00BA5CEB"/>
    <w:rsid w:val="00BA5D3F"/>
    <w:rsid w:val="00BA5DCB"/>
    <w:rsid w:val="00BA5E9B"/>
    <w:rsid w:val="00BA5F1D"/>
    <w:rsid w:val="00BA5F22"/>
    <w:rsid w:val="00BA5FD3"/>
    <w:rsid w:val="00BA5FF7"/>
    <w:rsid w:val="00BA6013"/>
    <w:rsid w:val="00BA61D7"/>
    <w:rsid w:val="00BA626D"/>
    <w:rsid w:val="00BA63E6"/>
    <w:rsid w:val="00BA65E6"/>
    <w:rsid w:val="00BA686D"/>
    <w:rsid w:val="00BA69E4"/>
    <w:rsid w:val="00BA69F8"/>
    <w:rsid w:val="00BA6A55"/>
    <w:rsid w:val="00BA6B02"/>
    <w:rsid w:val="00BA6C88"/>
    <w:rsid w:val="00BA6CBA"/>
    <w:rsid w:val="00BA6ECB"/>
    <w:rsid w:val="00BA6F0D"/>
    <w:rsid w:val="00BA7153"/>
    <w:rsid w:val="00BA7275"/>
    <w:rsid w:val="00BA72F7"/>
    <w:rsid w:val="00BA7305"/>
    <w:rsid w:val="00BA7335"/>
    <w:rsid w:val="00BA7421"/>
    <w:rsid w:val="00BA74B8"/>
    <w:rsid w:val="00BA75B0"/>
    <w:rsid w:val="00BA75DD"/>
    <w:rsid w:val="00BA7610"/>
    <w:rsid w:val="00BA7813"/>
    <w:rsid w:val="00BA782D"/>
    <w:rsid w:val="00BA7839"/>
    <w:rsid w:val="00BA797D"/>
    <w:rsid w:val="00BA7A1F"/>
    <w:rsid w:val="00BA7A39"/>
    <w:rsid w:val="00BA7BC1"/>
    <w:rsid w:val="00BA7BD3"/>
    <w:rsid w:val="00BA7C25"/>
    <w:rsid w:val="00BA7C41"/>
    <w:rsid w:val="00BA7C5E"/>
    <w:rsid w:val="00BA7D6C"/>
    <w:rsid w:val="00BA7E69"/>
    <w:rsid w:val="00BB0046"/>
    <w:rsid w:val="00BB008E"/>
    <w:rsid w:val="00BB0096"/>
    <w:rsid w:val="00BB044A"/>
    <w:rsid w:val="00BB047E"/>
    <w:rsid w:val="00BB04AD"/>
    <w:rsid w:val="00BB04D4"/>
    <w:rsid w:val="00BB055E"/>
    <w:rsid w:val="00BB0764"/>
    <w:rsid w:val="00BB07C0"/>
    <w:rsid w:val="00BB082F"/>
    <w:rsid w:val="00BB092C"/>
    <w:rsid w:val="00BB0975"/>
    <w:rsid w:val="00BB0C13"/>
    <w:rsid w:val="00BB0C59"/>
    <w:rsid w:val="00BB0F4C"/>
    <w:rsid w:val="00BB0F9B"/>
    <w:rsid w:val="00BB1069"/>
    <w:rsid w:val="00BB113E"/>
    <w:rsid w:val="00BB130D"/>
    <w:rsid w:val="00BB1322"/>
    <w:rsid w:val="00BB140C"/>
    <w:rsid w:val="00BB144A"/>
    <w:rsid w:val="00BB14A2"/>
    <w:rsid w:val="00BB1545"/>
    <w:rsid w:val="00BB1667"/>
    <w:rsid w:val="00BB18B6"/>
    <w:rsid w:val="00BB190B"/>
    <w:rsid w:val="00BB1B96"/>
    <w:rsid w:val="00BB1C17"/>
    <w:rsid w:val="00BB1D1E"/>
    <w:rsid w:val="00BB1F27"/>
    <w:rsid w:val="00BB1F53"/>
    <w:rsid w:val="00BB2014"/>
    <w:rsid w:val="00BB20EA"/>
    <w:rsid w:val="00BB21DC"/>
    <w:rsid w:val="00BB220D"/>
    <w:rsid w:val="00BB2284"/>
    <w:rsid w:val="00BB237B"/>
    <w:rsid w:val="00BB244B"/>
    <w:rsid w:val="00BB253F"/>
    <w:rsid w:val="00BB25F7"/>
    <w:rsid w:val="00BB2671"/>
    <w:rsid w:val="00BB28DD"/>
    <w:rsid w:val="00BB2A3E"/>
    <w:rsid w:val="00BB2A60"/>
    <w:rsid w:val="00BB2B10"/>
    <w:rsid w:val="00BB2BF2"/>
    <w:rsid w:val="00BB2C56"/>
    <w:rsid w:val="00BB2CF9"/>
    <w:rsid w:val="00BB2E3A"/>
    <w:rsid w:val="00BB2EE3"/>
    <w:rsid w:val="00BB2F64"/>
    <w:rsid w:val="00BB3011"/>
    <w:rsid w:val="00BB3094"/>
    <w:rsid w:val="00BB3113"/>
    <w:rsid w:val="00BB3153"/>
    <w:rsid w:val="00BB31F2"/>
    <w:rsid w:val="00BB324B"/>
    <w:rsid w:val="00BB32C2"/>
    <w:rsid w:val="00BB374A"/>
    <w:rsid w:val="00BB3750"/>
    <w:rsid w:val="00BB3791"/>
    <w:rsid w:val="00BB3806"/>
    <w:rsid w:val="00BB389C"/>
    <w:rsid w:val="00BB38C5"/>
    <w:rsid w:val="00BB3AF3"/>
    <w:rsid w:val="00BB3BE1"/>
    <w:rsid w:val="00BB3BEE"/>
    <w:rsid w:val="00BB3ED5"/>
    <w:rsid w:val="00BB3F0C"/>
    <w:rsid w:val="00BB3FB3"/>
    <w:rsid w:val="00BB435D"/>
    <w:rsid w:val="00BB435E"/>
    <w:rsid w:val="00BB451B"/>
    <w:rsid w:val="00BB45EB"/>
    <w:rsid w:val="00BB46F5"/>
    <w:rsid w:val="00BB4C51"/>
    <w:rsid w:val="00BB4C94"/>
    <w:rsid w:val="00BB4CE5"/>
    <w:rsid w:val="00BB4EAD"/>
    <w:rsid w:val="00BB4EF1"/>
    <w:rsid w:val="00BB5075"/>
    <w:rsid w:val="00BB5152"/>
    <w:rsid w:val="00BB519A"/>
    <w:rsid w:val="00BB51DE"/>
    <w:rsid w:val="00BB52BA"/>
    <w:rsid w:val="00BB531A"/>
    <w:rsid w:val="00BB5361"/>
    <w:rsid w:val="00BB5366"/>
    <w:rsid w:val="00BB5628"/>
    <w:rsid w:val="00BB56B8"/>
    <w:rsid w:val="00BB57D2"/>
    <w:rsid w:val="00BB57FF"/>
    <w:rsid w:val="00BB5909"/>
    <w:rsid w:val="00BB5997"/>
    <w:rsid w:val="00BB59F4"/>
    <w:rsid w:val="00BB5C46"/>
    <w:rsid w:val="00BB5E49"/>
    <w:rsid w:val="00BB5F1E"/>
    <w:rsid w:val="00BB5FD8"/>
    <w:rsid w:val="00BB62EE"/>
    <w:rsid w:val="00BB6338"/>
    <w:rsid w:val="00BB6452"/>
    <w:rsid w:val="00BB6670"/>
    <w:rsid w:val="00BB6685"/>
    <w:rsid w:val="00BB6686"/>
    <w:rsid w:val="00BB66C9"/>
    <w:rsid w:val="00BB671F"/>
    <w:rsid w:val="00BB67B2"/>
    <w:rsid w:val="00BB68DA"/>
    <w:rsid w:val="00BB6CD5"/>
    <w:rsid w:val="00BB6D82"/>
    <w:rsid w:val="00BB6E10"/>
    <w:rsid w:val="00BB6F11"/>
    <w:rsid w:val="00BB6F3C"/>
    <w:rsid w:val="00BB7152"/>
    <w:rsid w:val="00BB72EF"/>
    <w:rsid w:val="00BB739E"/>
    <w:rsid w:val="00BB75CA"/>
    <w:rsid w:val="00BB7603"/>
    <w:rsid w:val="00BB76B4"/>
    <w:rsid w:val="00BB7709"/>
    <w:rsid w:val="00BB7779"/>
    <w:rsid w:val="00BB796E"/>
    <w:rsid w:val="00BB79E1"/>
    <w:rsid w:val="00BB7A49"/>
    <w:rsid w:val="00BB7AB1"/>
    <w:rsid w:val="00BB7B54"/>
    <w:rsid w:val="00BB7D20"/>
    <w:rsid w:val="00BB7D38"/>
    <w:rsid w:val="00BB7D60"/>
    <w:rsid w:val="00BB7E99"/>
    <w:rsid w:val="00BB7F38"/>
    <w:rsid w:val="00BC0265"/>
    <w:rsid w:val="00BC028E"/>
    <w:rsid w:val="00BC02F0"/>
    <w:rsid w:val="00BC03B3"/>
    <w:rsid w:val="00BC03E1"/>
    <w:rsid w:val="00BC040A"/>
    <w:rsid w:val="00BC0650"/>
    <w:rsid w:val="00BC0689"/>
    <w:rsid w:val="00BC075F"/>
    <w:rsid w:val="00BC0783"/>
    <w:rsid w:val="00BC085F"/>
    <w:rsid w:val="00BC0874"/>
    <w:rsid w:val="00BC08FE"/>
    <w:rsid w:val="00BC0988"/>
    <w:rsid w:val="00BC0A51"/>
    <w:rsid w:val="00BC0AE4"/>
    <w:rsid w:val="00BC0B16"/>
    <w:rsid w:val="00BC0B41"/>
    <w:rsid w:val="00BC0BAE"/>
    <w:rsid w:val="00BC0C85"/>
    <w:rsid w:val="00BC0DBA"/>
    <w:rsid w:val="00BC0EAC"/>
    <w:rsid w:val="00BC0ED6"/>
    <w:rsid w:val="00BC0F32"/>
    <w:rsid w:val="00BC0FCC"/>
    <w:rsid w:val="00BC100E"/>
    <w:rsid w:val="00BC10EE"/>
    <w:rsid w:val="00BC164D"/>
    <w:rsid w:val="00BC16C9"/>
    <w:rsid w:val="00BC17AC"/>
    <w:rsid w:val="00BC18AF"/>
    <w:rsid w:val="00BC1965"/>
    <w:rsid w:val="00BC19A7"/>
    <w:rsid w:val="00BC1AE7"/>
    <w:rsid w:val="00BC1AEC"/>
    <w:rsid w:val="00BC1B63"/>
    <w:rsid w:val="00BC1C64"/>
    <w:rsid w:val="00BC1CC2"/>
    <w:rsid w:val="00BC1CF3"/>
    <w:rsid w:val="00BC1DA7"/>
    <w:rsid w:val="00BC1ECA"/>
    <w:rsid w:val="00BC1F19"/>
    <w:rsid w:val="00BC1F1B"/>
    <w:rsid w:val="00BC1F61"/>
    <w:rsid w:val="00BC2332"/>
    <w:rsid w:val="00BC23A9"/>
    <w:rsid w:val="00BC2457"/>
    <w:rsid w:val="00BC2866"/>
    <w:rsid w:val="00BC2868"/>
    <w:rsid w:val="00BC28E9"/>
    <w:rsid w:val="00BC297D"/>
    <w:rsid w:val="00BC29FF"/>
    <w:rsid w:val="00BC2A19"/>
    <w:rsid w:val="00BC2A6D"/>
    <w:rsid w:val="00BC2B13"/>
    <w:rsid w:val="00BC2B7A"/>
    <w:rsid w:val="00BC2DC2"/>
    <w:rsid w:val="00BC2EC3"/>
    <w:rsid w:val="00BC2FF4"/>
    <w:rsid w:val="00BC3130"/>
    <w:rsid w:val="00BC3223"/>
    <w:rsid w:val="00BC3304"/>
    <w:rsid w:val="00BC3386"/>
    <w:rsid w:val="00BC340F"/>
    <w:rsid w:val="00BC343C"/>
    <w:rsid w:val="00BC3559"/>
    <w:rsid w:val="00BC358A"/>
    <w:rsid w:val="00BC3600"/>
    <w:rsid w:val="00BC3728"/>
    <w:rsid w:val="00BC3997"/>
    <w:rsid w:val="00BC3DB0"/>
    <w:rsid w:val="00BC3ECA"/>
    <w:rsid w:val="00BC404F"/>
    <w:rsid w:val="00BC4171"/>
    <w:rsid w:val="00BC4338"/>
    <w:rsid w:val="00BC43AB"/>
    <w:rsid w:val="00BC449A"/>
    <w:rsid w:val="00BC44B8"/>
    <w:rsid w:val="00BC45DE"/>
    <w:rsid w:val="00BC46EC"/>
    <w:rsid w:val="00BC47FF"/>
    <w:rsid w:val="00BC4874"/>
    <w:rsid w:val="00BC4890"/>
    <w:rsid w:val="00BC4984"/>
    <w:rsid w:val="00BC4CC4"/>
    <w:rsid w:val="00BC4D82"/>
    <w:rsid w:val="00BC4F40"/>
    <w:rsid w:val="00BC51C3"/>
    <w:rsid w:val="00BC520D"/>
    <w:rsid w:val="00BC5249"/>
    <w:rsid w:val="00BC52F2"/>
    <w:rsid w:val="00BC5455"/>
    <w:rsid w:val="00BC56BB"/>
    <w:rsid w:val="00BC57E9"/>
    <w:rsid w:val="00BC58B5"/>
    <w:rsid w:val="00BC5AD2"/>
    <w:rsid w:val="00BC5B90"/>
    <w:rsid w:val="00BC5B96"/>
    <w:rsid w:val="00BC5C7C"/>
    <w:rsid w:val="00BC5CF8"/>
    <w:rsid w:val="00BC5DE1"/>
    <w:rsid w:val="00BC5DE8"/>
    <w:rsid w:val="00BC5F11"/>
    <w:rsid w:val="00BC5FAB"/>
    <w:rsid w:val="00BC5FC1"/>
    <w:rsid w:val="00BC6010"/>
    <w:rsid w:val="00BC614C"/>
    <w:rsid w:val="00BC628D"/>
    <w:rsid w:val="00BC6359"/>
    <w:rsid w:val="00BC6595"/>
    <w:rsid w:val="00BC65E9"/>
    <w:rsid w:val="00BC6604"/>
    <w:rsid w:val="00BC660A"/>
    <w:rsid w:val="00BC677B"/>
    <w:rsid w:val="00BC68F9"/>
    <w:rsid w:val="00BC6913"/>
    <w:rsid w:val="00BC6A46"/>
    <w:rsid w:val="00BC6B98"/>
    <w:rsid w:val="00BC6CBB"/>
    <w:rsid w:val="00BC6DA2"/>
    <w:rsid w:val="00BC6EAB"/>
    <w:rsid w:val="00BC6F37"/>
    <w:rsid w:val="00BC6F57"/>
    <w:rsid w:val="00BC6F96"/>
    <w:rsid w:val="00BC709C"/>
    <w:rsid w:val="00BC710A"/>
    <w:rsid w:val="00BC71C7"/>
    <w:rsid w:val="00BC7218"/>
    <w:rsid w:val="00BC72CE"/>
    <w:rsid w:val="00BC732A"/>
    <w:rsid w:val="00BC750E"/>
    <w:rsid w:val="00BC75D0"/>
    <w:rsid w:val="00BC762F"/>
    <w:rsid w:val="00BC7681"/>
    <w:rsid w:val="00BC76C3"/>
    <w:rsid w:val="00BC7707"/>
    <w:rsid w:val="00BC772F"/>
    <w:rsid w:val="00BC7732"/>
    <w:rsid w:val="00BC7766"/>
    <w:rsid w:val="00BC78BA"/>
    <w:rsid w:val="00BC78F2"/>
    <w:rsid w:val="00BC7AFE"/>
    <w:rsid w:val="00BC7BBA"/>
    <w:rsid w:val="00BC7BFE"/>
    <w:rsid w:val="00BC7DCD"/>
    <w:rsid w:val="00BC7F2B"/>
    <w:rsid w:val="00BC7FD7"/>
    <w:rsid w:val="00BD01E1"/>
    <w:rsid w:val="00BD01E9"/>
    <w:rsid w:val="00BD01EC"/>
    <w:rsid w:val="00BD021A"/>
    <w:rsid w:val="00BD0338"/>
    <w:rsid w:val="00BD085A"/>
    <w:rsid w:val="00BD08E3"/>
    <w:rsid w:val="00BD0937"/>
    <w:rsid w:val="00BD0AC5"/>
    <w:rsid w:val="00BD0B66"/>
    <w:rsid w:val="00BD0B75"/>
    <w:rsid w:val="00BD0E03"/>
    <w:rsid w:val="00BD0F2D"/>
    <w:rsid w:val="00BD0F8D"/>
    <w:rsid w:val="00BD1011"/>
    <w:rsid w:val="00BD1154"/>
    <w:rsid w:val="00BD1384"/>
    <w:rsid w:val="00BD146D"/>
    <w:rsid w:val="00BD1493"/>
    <w:rsid w:val="00BD173A"/>
    <w:rsid w:val="00BD1817"/>
    <w:rsid w:val="00BD186B"/>
    <w:rsid w:val="00BD1912"/>
    <w:rsid w:val="00BD1BF5"/>
    <w:rsid w:val="00BD1CC1"/>
    <w:rsid w:val="00BD1D38"/>
    <w:rsid w:val="00BD1DAF"/>
    <w:rsid w:val="00BD1E4D"/>
    <w:rsid w:val="00BD1E9A"/>
    <w:rsid w:val="00BD1EB2"/>
    <w:rsid w:val="00BD1F75"/>
    <w:rsid w:val="00BD20BF"/>
    <w:rsid w:val="00BD20C3"/>
    <w:rsid w:val="00BD20FE"/>
    <w:rsid w:val="00BD22FA"/>
    <w:rsid w:val="00BD2385"/>
    <w:rsid w:val="00BD252C"/>
    <w:rsid w:val="00BD253C"/>
    <w:rsid w:val="00BD25C0"/>
    <w:rsid w:val="00BD275D"/>
    <w:rsid w:val="00BD2820"/>
    <w:rsid w:val="00BD2B02"/>
    <w:rsid w:val="00BD2B39"/>
    <w:rsid w:val="00BD2DD2"/>
    <w:rsid w:val="00BD2DE1"/>
    <w:rsid w:val="00BD2E67"/>
    <w:rsid w:val="00BD333C"/>
    <w:rsid w:val="00BD34C7"/>
    <w:rsid w:val="00BD367B"/>
    <w:rsid w:val="00BD377A"/>
    <w:rsid w:val="00BD37F3"/>
    <w:rsid w:val="00BD38F8"/>
    <w:rsid w:val="00BD39A7"/>
    <w:rsid w:val="00BD3A08"/>
    <w:rsid w:val="00BD3A4D"/>
    <w:rsid w:val="00BD3AE4"/>
    <w:rsid w:val="00BD3D7A"/>
    <w:rsid w:val="00BD3DBD"/>
    <w:rsid w:val="00BD3F51"/>
    <w:rsid w:val="00BD3F8F"/>
    <w:rsid w:val="00BD3FFA"/>
    <w:rsid w:val="00BD40F2"/>
    <w:rsid w:val="00BD40FB"/>
    <w:rsid w:val="00BD41A1"/>
    <w:rsid w:val="00BD4224"/>
    <w:rsid w:val="00BD42B5"/>
    <w:rsid w:val="00BD433D"/>
    <w:rsid w:val="00BD438F"/>
    <w:rsid w:val="00BD4456"/>
    <w:rsid w:val="00BD4480"/>
    <w:rsid w:val="00BD44B5"/>
    <w:rsid w:val="00BD4684"/>
    <w:rsid w:val="00BD47FB"/>
    <w:rsid w:val="00BD4844"/>
    <w:rsid w:val="00BD49EA"/>
    <w:rsid w:val="00BD4BF0"/>
    <w:rsid w:val="00BD4CAC"/>
    <w:rsid w:val="00BD4CB9"/>
    <w:rsid w:val="00BD4CF0"/>
    <w:rsid w:val="00BD4D62"/>
    <w:rsid w:val="00BD4E54"/>
    <w:rsid w:val="00BD4E75"/>
    <w:rsid w:val="00BD4EBE"/>
    <w:rsid w:val="00BD4EEB"/>
    <w:rsid w:val="00BD4F0B"/>
    <w:rsid w:val="00BD4F75"/>
    <w:rsid w:val="00BD4FD9"/>
    <w:rsid w:val="00BD5061"/>
    <w:rsid w:val="00BD5154"/>
    <w:rsid w:val="00BD528B"/>
    <w:rsid w:val="00BD52DE"/>
    <w:rsid w:val="00BD5354"/>
    <w:rsid w:val="00BD5375"/>
    <w:rsid w:val="00BD5386"/>
    <w:rsid w:val="00BD53B0"/>
    <w:rsid w:val="00BD53EC"/>
    <w:rsid w:val="00BD543C"/>
    <w:rsid w:val="00BD54B3"/>
    <w:rsid w:val="00BD5542"/>
    <w:rsid w:val="00BD55D0"/>
    <w:rsid w:val="00BD56B3"/>
    <w:rsid w:val="00BD586E"/>
    <w:rsid w:val="00BD598B"/>
    <w:rsid w:val="00BD5A83"/>
    <w:rsid w:val="00BD5AC7"/>
    <w:rsid w:val="00BD5BD5"/>
    <w:rsid w:val="00BD5BF8"/>
    <w:rsid w:val="00BD5C0C"/>
    <w:rsid w:val="00BD5C13"/>
    <w:rsid w:val="00BD5E51"/>
    <w:rsid w:val="00BD5F0A"/>
    <w:rsid w:val="00BD6037"/>
    <w:rsid w:val="00BD605C"/>
    <w:rsid w:val="00BD642D"/>
    <w:rsid w:val="00BD6454"/>
    <w:rsid w:val="00BD646D"/>
    <w:rsid w:val="00BD6538"/>
    <w:rsid w:val="00BD6558"/>
    <w:rsid w:val="00BD65B4"/>
    <w:rsid w:val="00BD672D"/>
    <w:rsid w:val="00BD6840"/>
    <w:rsid w:val="00BD6860"/>
    <w:rsid w:val="00BD689A"/>
    <w:rsid w:val="00BD68EA"/>
    <w:rsid w:val="00BD694A"/>
    <w:rsid w:val="00BD69F8"/>
    <w:rsid w:val="00BD69FE"/>
    <w:rsid w:val="00BD6BD2"/>
    <w:rsid w:val="00BD6DB9"/>
    <w:rsid w:val="00BD6EF8"/>
    <w:rsid w:val="00BD6F56"/>
    <w:rsid w:val="00BD706A"/>
    <w:rsid w:val="00BD7197"/>
    <w:rsid w:val="00BD727F"/>
    <w:rsid w:val="00BD72D3"/>
    <w:rsid w:val="00BD744C"/>
    <w:rsid w:val="00BD7454"/>
    <w:rsid w:val="00BD74BB"/>
    <w:rsid w:val="00BD74C1"/>
    <w:rsid w:val="00BD74E4"/>
    <w:rsid w:val="00BD7556"/>
    <w:rsid w:val="00BD7620"/>
    <w:rsid w:val="00BD767A"/>
    <w:rsid w:val="00BD7785"/>
    <w:rsid w:val="00BD77C2"/>
    <w:rsid w:val="00BD7A2A"/>
    <w:rsid w:val="00BD7A4B"/>
    <w:rsid w:val="00BD7BC0"/>
    <w:rsid w:val="00BD7BC6"/>
    <w:rsid w:val="00BD7C04"/>
    <w:rsid w:val="00BD7D56"/>
    <w:rsid w:val="00BD7DA2"/>
    <w:rsid w:val="00BD7FAC"/>
    <w:rsid w:val="00BE0187"/>
    <w:rsid w:val="00BE0196"/>
    <w:rsid w:val="00BE01DD"/>
    <w:rsid w:val="00BE0238"/>
    <w:rsid w:val="00BE02A6"/>
    <w:rsid w:val="00BE0364"/>
    <w:rsid w:val="00BE036F"/>
    <w:rsid w:val="00BE0477"/>
    <w:rsid w:val="00BE069B"/>
    <w:rsid w:val="00BE073A"/>
    <w:rsid w:val="00BE07B2"/>
    <w:rsid w:val="00BE0A2D"/>
    <w:rsid w:val="00BE0A84"/>
    <w:rsid w:val="00BE0A97"/>
    <w:rsid w:val="00BE0CD4"/>
    <w:rsid w:val="00BE0CD6"/>
    <w:rsid w:val="00BE0DED"/>
    <w:rsid w:val="00BE110F"/>
    <w:rsid w:val="00BE1115"/>
    <w:rsid w:val="00BE1198"/>
    <w:rsid w:val="00BE11F5"/>
    <w:rsid w:val="00BE1222"/>
    <w:rsid w:val="00BE1288"/>
    <w:rsid w:val="00BE12CC"/>
    <w:rsid w:val="00BE1335"/>
    <w:rsid w:val="00BE1345"/>
    <w:rsid w:val="00BE1396"/>
    <w:rsid w:val="00BE13E7"/>
    <w:rsid w:val="00BE1572"/>
    <w:rsid w:val="00BE15FA"/>
    <w:rsid w:val="00BE17FC"/>
    <w:rsid w:val="00BE18DA"/>
    <w:rsid w:val="00BE19A1"/>
    <w:rsid w:val="00BE19CF"/>
    <w:rsid w:val="00BE1BA4"/>
    <w:rsid w:val="00BE1BD2"/>
    <w:rsid w:val="00BE1BD5"/>
    <w:rsid w:val="00BE1BD9"/>
    <w:rsid w:val="00BE1C86"/>
    <w:rsid w:val="00BE1F23"/>
    <w:rsid w:val="00BE20A6"/>
    <w:rsid w:val="00BE210C"/>
    <w:rsid w:val="00BE224E"/>
    <w:rsid w:val="00BE226D"/>
    <w:rsid w:val="00BE23E3"/>
    <w:rsid w:val="00BE24AA"/>
    <w:rsid w:val="00BE24DE"/>
    <w:rsid w:val="00BE283A"/>
    <w:rsid w:val="00BE2865"/>
    <w:rsid w:val="00BE2930"/>
    <w:rsid w:val="00BE29CD"/>
    <w:rsid w:val="00BE29D2"/>
    <w:rsid w:val="00BE2A43"/>
    <w:rsid w:val="00BE2ABE"/>
    <w:rsid w:val="00BE2AD5"/>
    <w:rsid w:val="00BE2C84"/>
    <w:rsid w:val="00BE2E30"/>
    <w:rsid w:val="00BE2E35"/>
    <w:rsid w:val="00BE2E54"/>
    <w:rsid w:val="00BE2F62"/>
    <w:rsid w:val="00BE2FE4"/>
    <w:rsid w:val="00BE30B2"/>
    <w:rsid w:val="00BE30EF"/>
    <w:rsid w:val="00BE31BF"/>
    <w:rsid w:val="00BE31D3"/>
    <w:rsid w:val="00BE3202"/>
    <w:rsid w:val="00BE3328"/>
    <w:rsid w:val="00BE336C"/>
    <w:rsid w:val="00BE34F3"/>
    <w:rsid w:val="00BE3527"/>
    <w:rsid w:val="00BE35C7"/>
    <w:rsid w:val="00BE3634"/>
    <w:rsid w:val="00BE3649"/>
    <w:rsid w:val="00BE3741"/>
    <w:rsid w:val="00BE37D5"/>
    <w:rsid w:val="00BE3945"/>
    <w:rsid w:val="00BE396A"/>
    <w:rsid w:val="00BE3975"/>
    <w:rsid w:val="00BE3A57"/>
    <w:rsid w:val="00BE3A83"/>
    <w:rsid w:val="00BE3A98"/>
    <w:rsid w:val="00BE3B37"/>
    <w:rsid w:val="00BE3B48"/>
    <w:rsid w:val="00BE3B4F"/>
    <w:rsid w:val="00BE3BA0"/>
    <w:rsid w:val="00BE3C57"/>
    <w:rsid w:val="00BE3D9A"/>
    <w:rsid w:val="00BE3E32"/>
    <w:rsid w:val="00BE3EAE"/>
    <w:rsid w:val="00BE4044"/>
    <w:rsid w:val="00BE40B6"/>
    <w:rsid w:val="00BE4115"/>
    <w:rsid w:val="00BE4116"/>
    <w:rsid w:val="00BE423F"/>
    <w:rsid w:val="00BE430B"/>
    <w:rsid w:val="00BE433C"/>
    <w:rsid w:val="00BE43C2"/>
    <w:rsid w:val="00BE4402"/>
    <w:rsid w:val="00BE45D2"/>
    <w:rsid w:val="00BE4690"/>
    <w:rsid w:val="00BE470B"/>
    <w:rsid w:val="00BE47E5"/>
    <w:rsid w:val="00BE4B13"/>
    <w:rsid w:val="00BE4B4F"/>
    <w:rsid w:val="00BE4BEF"/>
    <w:rsid w:val="00BE4C39"/>
    <w:rsid w:val="00BE4D14"/>
    <w:rsid w:val="00BE4E8F"/>
    <w:rsid w:val="00BE4FCF"/>
    <w:rsid w:val="00BE4FFC"/>
    <w:rsid w:val="00BE50BF"/>
    <w:rsid w:val="00BE51C2"/>
    <w:rsid w:val="00BE51DB"/>
    <w:rsid w:val="00BE5289"/>
    <w:rsid w:val="00BE5305"/>
    <w:rsid w:val="00BE552A"/>
    <w:rsid w:val="00BE55D3"/>
    <w:rsid w:val="00BE55EE"/>
    <w:rsid w:val="00BE5722"/>
    <w:rsid w:val="00BE57EC"/>
    <w:rsid w:val="00BE584A"/>
    <w:rsid w:val="00BE5852"/>
    <w:rsid w:val="00BE5920"/>
    <w:rsid w:val="00BE5930"/>
    <w:rsid w:val="00BE59C0"/>
    <w:rsid w:val="00BE5D15"/>
    <w:rsid w:val="00BE5F93"/>
    <w:rsid w:val="00BE5F99"/>
    <w:rsid w:val="00BE6000"/>
    <w:rsid w:val="00BE6014"/>
    <w:rsid w:val="00BE6036"/>
    <w:rsid w:val="00BE6051"/>
    <w:rsid w:val="00BE6074"/>
    <w:rsid w:val="00BE60AE"/>
    <w:rsid w:val="00BE6127"/>
    <w:rsid w:val="00BE617B"/>
    <w:rsid w:val="00BE6299"/>
    <w:rsid w:val="00BE63CE"/>
    <w:rsid w:val="00BE6426"/>
    <w:rsid w:val="00BE65CC"/>
    <w:rsid w:val="00BE6624"/>
    <w:rsid w:val="00BE664A"/>
    <w:rsid w:val="00BE6685"/>
    <w:rsid w:val="00BE66E3"/>
    <w:rsid w:val="00BE6725"/>
    <w:rsid w:val="00BE684D"/>
    <w:rsid w:val="00BE6952"/>
    <w:rsid w:val="00BE6985"/>
    <w:rsid w:val="00BE6A6E"/>
    <w:rsid w:val="00BE6B76"/>
    <w:rsid w:val="00BE6B89"/>
    <w:rsid w:val="00BE6B95"/>
    <w:rsid w:val="00BE6C1F"/>
    <w:rsid w:val="00BE6C4B"/>
    <w:rsid w:val="00BE6D3A"/>
    <w:rsid w:val="00BE6D47"/>
    <w:rsid w:val="00BE6DA2"/>
    <w:rsid w:val="00BE6EB3"/>
    <w:rsid w:val="00BE6ED4"/>
    <w:rsid w:val="00BE6EE4"/>
    <w:rsid w:val="00BE6FAB"/>
    <w:rsid w:val="00BE7039"/>
    <w:rsid w:val="00BE717F"/>
    <w:rsid w:val="00BE71DC"/>
    <w:rsid w:val="00BE71F8"/>
    <w:rsid w:val="00BE72E0"/>
    <w:rsid w:val="00BE72E6"/>
    <w:rsid w:val="00BE7565"/>
    <w:rsid w:val="00BE7662"/>
    <w:rsid w:val="00BE76B4"/>
    <w:rsid w:val="00BE77FF"/>
    <w:rsid w:val="00BE790C"/>
    <w:rsid w:val="00BE7983"/>
    <w:rsid w:val="00BE79A2"/>
    <w:rsid w:val="00BE7BCB"/>
    <w:rsid w:val="00BE7BD1"/>
    <w:rsid w:val="00BE7BE5"/>
    <w:rsid w:val="00BE7C51"/>
    <w:rsid w:val="00BE7CB2"/>
    <w:rsid w:val="00BE7D79"/>
    <w:rsid w:val="00BE7DA7"/>
    <w:rsid w:val="00BE7FF4"/>
    <w:rsid w:val="00BF00B5"/>
    <w:rsid w:val="00BF02A6"/>
    <w:rsid w:val="00BF02DD"/>
    <w:rsid w:val="00BF03A2"/>
    <w:rsid w:val="00BF046F"/>
    <w:rsid w:val="00BF04BD"/>
    <w:rsid w:val="00BF05A5"/>
    <w:rsid w:val="00BF070E"/>
    <w:rsid w:val="00BF0782"/>
    <w:rsid w:val="00BF07BE"/>
    <w:rsid w:val="00BF0824"/>
    <w:rsid w:val="00BF0906"/>
    <w:rsid w:val="00BF0923"/>
    <w:rsid w:val="00BF09E7"/>
    <w:rsid w:val="00BF0A16"/>
    <w:rsid w:val="00BF0A2C"/>
    <w:rsid w:val="00BF0B12"/>
    <w:rsid w:val="00BF0BF0"/>
    <w:rsid w:val="00BF0C00"/>
    <w:rsid w:val="00BF0C20"/>
    <w:rsid w:val="00BF0C65"/>
    <w:rsid w:val="00BF0D88"/>
    <w:rsid w:val="00BF0DCD"/>
    <w:rsid w:val="00BF0DEE"/>
    <w:rsid w:val="00BF0F66"/>
    <w:rsid w:val="00BF1038"/>
    <w:rsid w:val="00BF10D7"/>
    <w:rsid w:val="00BF10DB"/>
    <w:rsid w:val="00BF10F0"/>
    <w:rsid w:val="00BF10F6"/>
    <w:rsid w:val="00BF1130"/>
    <w:rsid w:val="00BF125A"/>
    <w:rsid w:val="00BF12CC"/>
    <w:rsid w:val="00BF12E3"/>
    <w:rsid w:val="00BF136D"/>
    <w:rsid w:val="00BF13D9"/>
    <w:rsid w:val="00BF17CA"/>
    <w:rsid w:val="00BF1822"/>
    <w:rsid w:val="00BF18F6"/>
    <w:rsid w:val="00BF19A6"/>
    <w:rsid w:val="00BF19B3"/>
    <w:rsid w:val="00BF1BDA"/>
    <w:rsid w:val="00BF1BFB"/>
    <w:rsid w:val="00BF1C53"/>
    <w:rsid w:val="00BF1C95"/>
    <w:rsid w:val="00BF1D0E"/>
    <w:rsid w:val="00BF1D97"/>
    <w:rsid w:val="00BF1DAA"/>
    <w:rsid w:val="00BF1FE8"/>
    <w:rsid w:val="00BF1FF9"/>
    <w:rsid w:val="00BF20DF"/>
    <w:rsid w:val="00BF20FE"/>
    <w:rsid w:val="00BF2150"/>
    <w:rsid w:val="00BF2197"/>
    <w:rsid w:val="00BF2237"/>
    <w:rsid w:val="00BF229E"/>
    <w:rsid w:val="00BF2400"/>
    <w:rsid w:val="00BF2416"/>
    <w:rsid w:val="00BF248C"/>
    <w:rsid w:val="00BF287B"/>
    <w:rsid w:val="00BF2882"/>
    <w:rsid w:val="00BF290F"/>
    <w:rsid w:val="00BF2949"/>
    <w:rsid w:val="00BF29FE"/>
    <w:rsid w:val="00BF2A72"/>
    <w:rsid w:val="00BF2AE2"/>
    <w:rsid w:val="00BF2BBD"/>
    <w:rsid w:val="00BF2BFD"/>
    <w:rsid w:val="00BF2C1A"/>
    <w:rsid w:val="00BF2C5C"/>
    <w:rsid w:val="00BF2C60"/>
    <w:rsid w:val="00BF2C6C"/>
    <w:rsid w:val="00BF2CB3"/>
    <w:rsid w:val="00BF2F3E"/>
    <w:rsid w:val="00BF2FCB"/>
    <w:rsid w:val="00BF30B9"/>
    <w:rsid w:val="00BF3111"/>
    <w:rsid w:val="00BF3113"/>
    <w:rsid w:val="00BF31BE"/>
    <w:rsid w:val="00BF32F4"/>
    <w:rsid w:val="00BF3392"/>
    <w:rsid w:val="00BF34B3"/>
    <w:rsid w:val="00BF34C8"/>
    <w:rsid w:val="00BF35CA"/>
    <w:rsid w:val="00BF3629"/>
    <w:rsid w:val="00BF381D"/>
    <w:rsid w:val="00BF396D"/>
    <w:rsid w:val="00BF3AA7"/>
    <w:rsid w:val="00BF3B00"/>
    <w:rsid w:val="00BF3C5F"/>
    <w:rsid w:val="00BF3CF2"/>
    <w:rsid w:val="00BF3D2D"/>
    <w:rsid w:val="00BF3DAD"/>
    <w:rsid w:val="00BF3F96"/>
    <w:rsid w:val="00BF3FF2"/>
    <w:rsid w:val="00BF4277"/>
    <w:rsid w:val="00BF42CD"/>
    <w:rsid w:val="00BF4327"/>
    <w:rsid w:val="00BF44BE"/>
    <w:rsid w:val="00BF4509"/>
    <w:rsid w:val="00BF457C"/>
    <w:rsid w:val="00BF4596"/>
    <w:rsid w:val="00BF45AB"/>
    <w:rsid w:val="00BF46E5"/>
    <w:rsid w:val="00BF47DD"/>
    <w:rsid w:val="00BF48FF"/>
    <w:rsid w:val="00BF4A27"/>
    <w:rsid w:val="00BF4B67"/>
    <w:rsid w:val="00BF4B6B"/>
    <w:rsid w:val="00BF4B6E"/>
    <w:rsid w:val="00BF4D66"/>
    <w:rsid w:val="00BF4EB9"/>
    <w:rsid w:val="00BF4EDD"/>
    <w:rsid w:val="00BF4FF0"/>
    <w:rsid w:val="00BF50DC"/>
    <w:rsid w:val="00BF5148"/>
    <w:rsid w:val="00BF5383"/>
    <w:rsid w:val="00BF5414"/>
    <w:rsid w:val="00BF54D1"/>
    <w:rsid w:val="00BF55E3"/>
    <w:rsid w:val="00BF5676"/>
    <w:rsid w:val="00BF56FC"/>
    <w:rsid w:val="00BF571F"/>
    <w:rsid w:val="00BF58A6"/>
    <w:rsid w:val="00BF5A03"/>
    <w:rsid w:val="00BF5AC3"/>
    <w:rsid w:val="00BF5C3D"/>
    <w:rsid w:val="00BF5C51"/>
    <w:rsid w:val="00BF5D43"/>
    <w:rsid w:val="00BF5D69"/>
    <w:rsid w:val="00BF5F2D"/>
    <w:rsid w:val="00BF6171"/>
    <w:rsid w:val="00BF6174"/>
    <w:rsid w:val="00BF627B"/>
    <w:rsid w:val="00BF62E4"/>
    <w:rsid w:val="00BF62F1"/>
    <w:rsid w:val="00BF6310"/>
    <w:rsid w:val="00BF6347"/>
    <w:rsid w:val="00BF6428"/>
    <w:rsid w:val="00BF645A"/>
    <w:rsid w:val="00BF6462"/>
    <w:rsid w:val="00BF654A"/>
    <w:rsid w:val="00BF660B"/>
    <w:rsid w:val="00BF6638"/>
    <w:rsid w:val="00BF66AE"/>
    <w:rsid w:val="00BF66EE"/>
    <w:rsid w:val="00BF6791"/>
    <w:rsid w:val="00BF683F"/>
    <w:rsid w:val="00BF68B0"/>
    <w:rsid w:val="00BF69CA"/>
    <w:rsid w:val="00BF6B08"/>
    <w:rsid w:val="00BF6B87"/>
    <w:rsid w:val="00BF6BD3"/>
    <w:rsid w:val="00BF6C16"/>
    <w:rsid w:val="00BF6C78"/>
    <w:rsid w:val="00BF6E4B"/>
    <w:rsid w:val="00BF6F1C"/>
    <w:rsid w:val="00BF6F2C"/>
    <w:rsid w:val="00BF6F4D"/>
    <w:rsid w:val="00BF6FFC"/>
    <w:rsid w:val="00BF70A9"/>
    <w:rsid w:val="00BF71A5"/>
    <w:rsid w:val="00BF71AB"/>
    <w:rsid w:val="00BF71B4"/>
    <w:rsid w:val="00BF71F1"/>
    <w:rsid w:val="00BF7275"/>
    <w:rsid w:val="00BF72B3"/>
    <w:rsid w:val="00BF733E"/>
    <w:rsid w:val="00BF734E"/>
    <w:rsid w:val="00BF7423"/>
    <w:rsid w:val="00BF744F"/>
    <w:rsid w:val="00BF757D"/>
    <w:rsid w:val="00BF7604"/>
    <w:rsid w:val="00BF76EF"/>
    <w:rsid w:val="00BF7868"/>
    <w:rsid w:val="00BF7906"/>
    <w:rsid w:val="00BF7960"/>
    <w:rsid w:val="00BF79DF"/>
    <w:rsid w:val="00BF7B8E"/>
    <w:rsid w:val="00BF7C27"/>
    <w:rsid w:val="00BF7EC0"/>
    <w:rsid w:val="00C00052"/>
    <w:rsid w:val="00C00065"/>
    <w:rsid w:val="00C0025A"/>
    <w:rsid w:val="00C002A0"/>
    <w:rsid w:val="00C0036E"/>
    <w:rsid w:val="00C00538"/>
    <w:rsid w:val="00C0058C"/>
    <w:rsid w:val="00C0066E"/>
    <w:rsid w:val="00C00680"/>
    <w:rsid w:val="00C00834"/>
    <w:rsid w:val="00C00848"/>
    <w:rsid w:val="00C00887"/>
    <w:rsid w:val="00C008B8"/>
    <w:rsid w:val="00C009DA"/>
    <w:rsid w:val="00C00E05"/>
    <w:rsid w:val="00C01071"/>
    <w:rsid w:val="00C01146"/>
    <w:rsid w:val="00C011AB"/>
    <w:rsid w:val="00C011ED"/>
    <w:rsid w:val="00C0128A"/>
    <w:rsid w:val="00C01422"/>
    <w:rsid w:val="00C0150F"/>
    <w:rsid w:val="00C01586"/>
    <w:rsid w:val="00C015CB"/>
    <w:rsid w:val="00C01682"/>
    <w:rsid w:val="00C016A9"/>
    <w:rsid w:val="00C01870"/>
    <w:rsid w:val="00C01871"/>
    <w:rsid w:val="00C01939"/>
    <w:rsid w:val="00C01ABA"/>
    <w:rsid w:val="00C01ACC"/>
    <w:rsid w:val="00C01AF5"/>
    <w:rsid w:val="00C01C74"/>
    <w:rsid w:val="00C01D0C"/>
    <w:rsid w:val="00C01DB0"/>
    <w:rsid w:val="00C01DD5"/>
    <w:rsid w:val="00C01ECB"/>
    <w:rsid w:val="00C01F0F"/>
    <w:rsid w:val="00C0203F"/>
    <w:rsid w:val="00C020A4"/>
    <w:rsid w:val="00C0210C"/>
    <w:rsid w:val="00C02252"/>
    <w:rsid w:val="00C02354"/>
    <w:rsid w:val="00C023D2"/>
    <w:rsid w:val="00C023F6"/>
    <w:rsid w:val="00C0245C"/>
    <w:rsid w:val="00C024B4"/>
    <w:rsid w:val="00C024D8"/>
    <w:rsid w:val="00C025CF"/>
    <w:rsid w:val="00C0261D"/>
    <w:rsid w:val="00C027B8"/>
    <w:rsid w:val="00C02876"/>
    <w:rsid w:val="00C02907"/>
    <w:rsid w:val="00C02935"/>
    <w:rsid w:val="00C02B9B"/>
    <w:rsid w:val="00C02BF2"/>
    <w:rsid w:val="00C02C8D"/>
    <w:rsid w:val="00C02C9A"/>
    <w:rsid w:val="00C02CB3"/>
    <w:rsid w:val="00C02CBB"/>
    <w:rsid w:val="00C02CD1"/>
    <w:rsid w:val="00C02D67"/>
    <w:rsid w:val="00C02DFF"/>
    <w:rsid w:val="00C02E52"/>
    <w:rsid w:val="00C030FC"/>
    <w:rsid w:val="00C031A4"/>
    <w:rsid w:val="00C03345"/>
    <w:rsid w:val="00C033FE"/>
    <w:rsid w:val="00C0346A"/>
    <w:rsid w:val="00C035E9"/>
    <w:rsid w:val="00C03624"/>
    <w:rsid w:val="00C036C6"/>
    <w:rsid w:val="00C036DC"/>
    <w:rsid w:val="00C036F0"/>
    <w:rsid w:val="00C0372B"/>
    <w:rsid w:val="00C03793"/>
    <w:rsid w:val="00C03799"/>
    <w:rsid w:val="00C0380D"/>
    <w:rsid w:val="00C0393B"/>
    <w:rsid w:val="00C039A0"/>
    <w:rsid w:val="00C03A77"/>
    <w:rsid w:val="00C03A97"/>
    <w:rsid w:val="00C03BF2"/>
    <w:rsid w:val="00C03C67"/>
    <w:rsid w:val="00C03CF4"/>
    <w:rsid w:val="00C03D14"/>
    <w:rsid w:val="00C03D79"/>
    <w:rsid w:val="00C03FC8"/>
    <w:rsid w:val="00C04067"/>
    <w:rsid w:val="00C0421E"/>
    <w:rsid w:val="00C04251"/>
    <w:rsid w:val="00C0436F"/>
    <w:rsid w:val="00C04436"/>
    <w:rsid w:val="00C0449D"/>
    <w:rsid w:val="00C044F6"/>
    <w:rsid w:val="00C04503"/>
    <w:rsid w:val="00C04632"/>
    <w:rsid w:val="00C0476D"/>
    <w:rsid w:val="00C04803"/>
    <w:rsid w:val="00C04A92"/>
    <w:rsid w:val="00C04AE2"/>
    <w:rsid w:val="00C04B9D"/>
    <w:rsid w:val="00C04BCD"/>
    <w:rsid w:val="00C04C78"/>
    <w:rsid w:val="00C04CD2"/>
    <w:rsid w:val="00C04CDE"/>
    <w:rsid w:val="00C04CE8"/>
    <w:rsid w:val="00C04D69"/>
    <w:rsid w:val="00C04E12"/>
    <w:rsid w:val="00C04E7D"/>
    <w:rsid w:val="00C05297"/>
    <w:rsid w:val="00C052AC"/>
    <w:rsid w:val="00C052F2"/>
    <w:rsid w:val="00C05362"/>
    <w:rsid w:val="00C05479"/>
    <w:rsid w:val="00C05497"/>
    <w:rsid w:val="00C054C8"/>
    <w:rsid w:val="00C0567B"/>
    <w:rsid w:val="00C058AC"/>
    <w:rsid w:val="00C058FF"/>
    <w:rsid w:val="00C05918"/>
    <w:rsid w:val="00C05B28"/>
    <w:rsid w:val="00C05D5D"/>
    <w:rsid w:val="00C05E42"/>
    <w:rsid w:val="00C05E4F"/>
    <w:rsid w:val="00C05EB8"/>
    <w:rsid w:val="00C0604C"/>
    <w:rsid w:val="00C06117"/>
    <w:rsid w:val="00C06198"/>
    <w:rsid w:val="00C061C0"/>
    <w:rsid w:val="00C0626D"/>
    <w:rsid w:val="00C062A6"/>
    <w:rsid w:val="00C06613"/>
    <w:rsid w:val="00C06871"/>
    <w:rsid w:val="00C06966"/>
    <w:rsid w:val="00C069F9"/>
    <w:rsid w:val="00C06A64"/>
    <w:rsid w:val="00C06A6A"/>
    <w:rsid w:val="00C06A7B"/>
    <w:rsid w:val="00C06A83"/>
    <w:rsid w:val="00C06AA4"/>
    <w:rsid w:val="00C06AA6"/>
    <w:rsid w:val="00C06B34"/>
    <w:rsid w:val="00C06C20"/>
    <w:rsid w:val="00C06CED"/>
    <w:rsid w:val="00C06CFA"/>
    <w:rsid w:val="00C06E18"/>
    <w:rsid w:val="00C06EC7"/>
    <w:rsid w:val="00C07004"/>
    <w:rsid w:val="00C070FD"/>
    <w:rsid w:val="00C0710F"/>
    <w:rsid w:val="00C071D6"/>
    <w:rsid w:val="00C07291"/>
    <w:rsid w:val="00C072F3"/>
    <w:rsid w:val="00C07357"/>
    <w:rsid w:val="00C07398"/>
    <w:rsid w:val="00C073A8"/>
    <w:rsid w:val="00C074AF"/>
    <w:rsid w:val="00C074DB"/>
    <w:rsid w:val="00C07617"/>
    <w:rsid w:val="00C0762D"/>
    <w:rsid w:val="00C07638"/>
    <w:rsid w:val="00C076BA"/>
    <w:rsid w:val="00C0774C"/>
    <w:rsid w:val="00C07852"/>
    <w:rsid w:val="00C079AC"/>
    <w:rsid w:val="00C07A33"/>
    <w:rsid w:val="00C07BA0"/>
    <w:rsid w:val="00C07BC0"/>
    <w:rsid w:val="00C07CE8"/>
    <w:rsid w:val="00C07D29"/>
    <w:rsid w:val="00C07DC6"/>
    <w:rsid w:val="00C07E73"/>
    <w:rsid w:val="00C07F93"/>
    <w:rsid w:val="00C1003C"/>
    <w:rsid w:val="00C10152"/>
    <w:rsid w:val="00C1015F"/>
    <w:rsid w:val="00C10247"/>
    <w:rsid w:val="00C1052B"/>
    <w:rsid w:val="00C10682"/>
    <w:rsid w:val="00C106F4"/>
    <w:rsid w:val="00C10756"/>
    <w:rsid w:val="00C108ED"/>
    <w:rsid w:val="00C10A2B"/>
    <w:rsid w:val="00C10AAA"/>
    <w:rsid w:val="00C10B2F"/>
    <w:rsid w:val="00C10B3C"/>
    <w:rsid w:val="00C10C5E"/>
    <w:rsid w:val="00C10CEB"/>
    <w:rsid w:val="00C10DE0"/>
    <w:rsid w:val="00C10E0D"/>
    <w:rsid w:val="00C10E3A"/>
    <w:rsid w:val="00C10E58"/>
    <w:rsid w:val="00C10F4E"/>
    <w:rsid w:val="00C10FA7"/>
    <w:rsid w:val="00C11045"/>
    <w:rsid w:val="00C1107B"/>
    <w:rsid w:val="00C1125F"/>
    <w:rsid w:val="00C11360"/>
    <w:rsid w:val="00C11425"/>
    <w:rsid w:val="00C1142B"/>
    <w:rsid w:val="00C1157B"/>
    <w:rsid w:val="00C1162E"/>
    <w:rsid w:val="00C1163E"/>
    <w:rsid w:val="00C11872"/>
    <w:rsid w:val="00C11AA9"/>
    <w:rsid w:val="00C11B03"/>
    <w:rsid w:val="00C11C8A"/>
    <w:rsid w:val="00C11D2A"/>
    <w:rsid w:val="00C11D91"/>
    <w:rsid w:val="00C11E72"/>
    <w:rsid w:val="00C11EFA"/>
    <w:rsid w:val="00C12008"/>
    <w:rsid w:val="00C120CA"/>
    <w:rsid w:val="00C120ED"/>
    <w:rsid w:val="00C120F6"/>
    <w:rsid w:val="00C12222"/>
    <w:rsid w:val="00C12327"/>
    <w:rsid w:val="00C123F8"/>
    <w:rsid w:val="00C1247A"/>
    <w:rsid w:val="00C12490"/>
    <w:rsid w:val="00C124E1"/>
    <w:rsid w:val="00C1251D"/>
    <w:rsid w:val="00C12732"/>
    <w:rsid w:val="00C127B1"/>
    <w:rsid w:val="00C1284F"/>
    <w:rsid w:val="00C12947"/>
    <w:rsid w:val="00C1296B"/>
    <w:rsid w:val="00C12A5A"/>
    <w:rsid w:val="00C12ABA"/>
    <w:rsid w:val="00C12AF1"/>
    <w:rsid w:val="00C12B4F"/>
    <w:rsid w:val="00C12BAB"/>
    <w:rsid w:val="00C12C88"/>
    <w:rsid w:val="00C12E25"/>
    <w:rsid w:val="00C12EF4"/>
    <w:rsid w:val="00C12FDF"/>
    <w:rsid w:val="00C1301B"/>
    <w:rsid w:val="00C131EE"/>
    <w:rsid w:val="00C1321C"/>
    <w:rsid w:val="00C1324A"/>
    <w:rsid w:val="00C13416"/>
    <w:rsid w:val="00C1351A"/>
    <w:rsid w:val="00C135AC"/>
    <w:rsid w:val="00C1361C"/>
    <w:rsid w:val="00C13663"/>
    <w:rsid w:val="00C136D7"/>
    <w:rsid w:val="00C13756"/>
    <w:rsid w:val="00C13783"/>
    <w:rsid w:val="00C138C5"/>
    <w:rsid w:val="00C138F6"/>
    <w:rsid w:val="00C139B2"/>
    <w:rsid w:val="00C13A88"/>
    <w:rsid w:val="00C13A8A"/>
    <w:rsid w:val="00C13B53"/>
    <w:rsid w:val="00C13DC9"/>
    <w:rsid w:val="00C13E00"/>
    <w:rsid w:val="00C13F2B"/>
    <w:rsid w:val="00C13F31"/>
    <w:rsid w:val="00C13FB0"/>
    <w:rsid w:val="00C13FB6"/>
    <w:rsid w:val="00C140A3"/>
    <w:rsid w:val="00C14113"/>
    <w:rsid w:val="00C14139"/>
    <w:rsid w:val="00C1414D"/>
    <w:rsid w:val="00C14351"/>
    <w:rsid w:val="00C143B6"/>
    <w:rsid w:val="00C14486"/>
    <w:rsid w:val="00C144F5"/>
    <w:rsid w:val="00C144F8"/>
    <w:rsid w:val="00C14579"/>
    <w:rsid w:val="00C145E2"/>
    <w:rsid w:val="00C14683"/>
    <w:rsid w:val="00C146EE"/>
    <w:rsid w:val="00C1477E"/>
    <w:rsid w:val="00C147CB"/>
    <w:rsid w:val="00C147D6"/>
    <w:rsid w:val="00C1481F"/>
    <w:rsid w:val="00C14824"/>
    <w:rsid w:val="00C1484A"/>
    <w:rsid w:val="00C14917"/>
    <w:rsid w:val="00C149EA"/>
    <w:rsid w:val="00C14A55"/>
    <w:rsid w:val="00C14C7D"/>
    <w:rsid w:val="00C14CC3"/>
    <w:rsid w:val="00C14CDD"/>
    <w:rsid w:val="00C14E58"/>
    <w:rsid w:val="00C14F66"/>
    <w:rsid w:val="00C14FD1"/>
    <w:rsid w:val="00C150BE"/>
    <w:rsid w:val="00C15259"/>
    <w:rsid w:val="00C15285"/>
    <w:rsid w:val="00C15554"/>
    <w:rsid w:val="00C15573"/>
    <w:rsid w:val="00C155B0"/>
    <w:rsid w:val="00C156AF"/>
    <w:rsid w:val="00C1573D"/>
    <w:rsid w:val="00C158FA"/>
    <w:rsid w:val="00C15910"/>
    <w:rsid w:val="00C1593B"/>
    <w:rsid w:val="00C15991"/>
    <w:rsid w:val="00C15A9A"/>
    <w:rsid w:val="00C15B4F"/>
    <w:rsid w:val="00C15B66"/>
    <w:rsid w:val="00C15B6E"/>
    <w:rsid w:val="00C15B76"/>
    <w:rsid w:val="00C15B96"/>
    <w:rsid w:val="00C15C7E"/>
    <w:rsid w:val="00C15CCF"/>
    <w:rsid w:val="00C15CD6"/>
    <w:rsid w:val="00C15D1B"/>
    <w:rsid w:val="00C15D81"/>
    <w:rsid w:val="00C15DB4"/>
    <w:rsid w:val="00C15DBF"/>
    <w:rsid w:val="00C15DFE"/>
    <w:rsid w:val="00C1603A"/>
    <w:rsid w:val="00C161E0"/>
    <w:rsid w:val="00C1643A"/>
    <w:rsid w:val="00C16499"/>
    <w:rsid w:val="00C16566"/>
    <w:rsid w:val="00C165B7"/>
    <w:rsid w:val="00C16681"/>
    <w:rsid w:val="00C1668C"/>
    <w:rsid w:val="00C166A6"/>
    <w:rsid w:val="00C167BF"/>
    <w:rsid w:val="00C16A62"/>
    <w:rsid w:val="00C16C65"/>
    <w:rsid w:val="00C16D58"/>
    <w:rsid w:val="00C16D79"/>
    <w:rsid w:val="00C16E10"/>
    <w:rsid w:val="00C16E78"/>
    <w:rsid w:val="00C16E93"/>
    <w:rsid w:val="00C16EE4"/>
    <w:rsid w:val="00C16F0A"/>
    <w:rsid w:val="00C16F23"/>
    <w:rsid w:val="00C17024"/>
    <w:rsid w:val="00C17057"/>
    <w:rsid w:val="00C17183"/>
    <w:rsid w:val="00C171C3"/>
    <w:rsid w:val="00C174D4"/>
    <w:rsid w:val="00C1766C"/>
    <w:rsid w:val="00C177AE"/>
    <w:rsid w:val="00C177CF"/>
    <w:rsid w:val="00C17868"/>
    <w:rsid w:val="00C1786E"/>
    <w:rsid w:val="00C17899"/>
    <w:rsid w:val="00C178E3"/>
    <w:rsid w:val="00C179C6"/>
    <w:rsid w:val="00C179C7"/>
    <w:rsid w:val="00C179E7"/>
    <w:rsid w:val="00C17A06"/>
    <w:rsid w:val="00C17A78"/>
    <w:rsid w:val="00C17A8B"/>
    <w:rsid w:val="00C17C8C"/>
    <w:rsid w:val="00C17DEE"/>
    <w:rsid w:val="00C200B3"/>
    <w:rsid w:val="00C200D4"/>
    <w:rsid w:val="00C200E3"/>
    <w:rsid w:val="00C2012B"/>
    <w:rsid w:val="00C20167"/>
    <w:rsid w:val="00C20239"/>
    <w:rsid w:val="00C20240"/>
    <w:rsid w:val="00C20336"/>
    <w:rsid w:val="00C203C8"/>
    <w:rsid w:val="00C203EB"/>
    <w:rsid w:val="00C2045D"/>
    <w:rsid w:val="00C20473"/>
    <w:rsid w:val="00C204EB"/>
    <w:rsid w:val="00C20631"/>
    <w:rsid w:val="00C20652"/>
    <w:rsid w:val="00C20845"/>
    <w:rsid w:val="00C2084E"/>
    <w:rsid w:val="00C208D9"/>
    <w:rsid w:val="00C208FF"/>
    <w:rsid w:val="00C20AF5"/>
    <w:rsid w:val="00C20B19"/>
    <w:rsid w:val="00C20B21"/>
    <w:rsid w:val="00C20E04"/>
    <w:rsid w:val="00C20E48"/>
    <w:rsid w:val="00C21056"/>
    <w:rsid w:val="00C2106D"/>
    <w:rsid w:val="00C211F6"/>
    <w:rsid w:val="00C212BF"/>
    <w:rsid w:val="00C2131B"/>
    <w:rsid w:val="00C2148F"/>
    <w:rsid w:val="00C214F3"/>
    <w:rsid w:val="00C21503"/>
    <w:rsid w:val="00C21544"/>
    <w:rsid w:val="00C21546"/>
    <w:rsid w:val="00C2154A"/>
    <w:rsid w:val="00C21698"/>
    <w:rsid w:val="00C216E0"/>
    <w:rsid w:val="00C2174B"/>
    <w:rsid w:val="00C218BE"/>
    <w:rsid w:val="00C2190B"/>
    <w:rsid w:val="00C2197B"/>
    <w:rsid w:val="00C219E1"/>
    <w:rsid w:val="00C21A62"/>
    <w:rsid w:val="00C21AC3"/>
    <w:rsid w:val="00C21B24"/>
    <w:rsid w:val="00C21BB8"/>
    <w:rsid w:val="00C21BE3"/>
    <w:rsid w:val="00C21C35"/>
    <w:rsid w:val="00C21C80"/>
    <w:rsid w:val="00C21CD2"/>
    <w:rsid w:val="00C21CE0"/>
    <w:rsid w:val="00C21D8E"/>
    <w:rsid w:val="00C21E4A"/>
    <w:rsid w:val="00C21ECF"/>
    <w:rsid w:val="00C21FB8"/>
    <w:rsid w:val="00C220BC"/>
    <w:rsid w:val="00C220C4"/>
    <w:rsid w:val="00C221BB"/>
    <w:rsid w:val="00C221F4"/>
    <w:rsid w:val="00C2231B"/>
    <w:rsid w:val="00C2238F"/>
    <w:rsid w:val="00C223B0"/>
    <w:rsid w:val="00C22484"/>
    <w:rsid w:val="00C224F6"/>
    <w:rsid w:val="00C22562"/>
    <w:rsid w:val="00C225D5"/>
    <w:rsid w:val="00C22773"/>
    <w:rsid w:val="00C2280E"/>
    <w:rsid w:val="00C22867"/>
    <w:rsid w:val="00C22962"/>
    <w:rsid w:val="00C22BA7"/>
    <w:rsid w:val="00C22CDD"/>
    <w:rsid w:val="00C22DF2"/>
    <w:rsid w:val="00C22E12"/>
    <w:rsid w:val="00C22EC5"/>
    <w:rsid w:val="00C2317D"/>
    <w:rsid w:val="00C2318A"/>
    <w:rsid w:val="00C231EB"/>
    <w:rsid w:val="00C2328B"/>
    <w:rsid w:val="00C232B9"/>
    <w:rsid w:val="00C2337A"/>
    <w:rsid w:val="00C233B6"/>
    <w:rsid w:val="00C233C3"/>
    <w:rsid w:val="00C2386D"/>
    <w:rsid w:val="00C23A47"/>
    <w:rsid w:val="00C23D1F"/>
    <w:rsid w:val="00C23D78"/>
    <w:rsid w:val="00C23F99"/>
    <w:rsid w:val="00C240EF"/>
    <w:rsid w:val="00C24103"/>
    <w:rsid w:val="00C2421B"/>
    <w:rsid w:val="00C2424B"/>
    <w:rsid w:val="00C24311"/>
    <w:rsid w:val="00C2435E"/>
    <w:rsid w:val="00C2446E"/>
    <w:rsid w:val="00C244B2"/>
    <w:rsid w:val="00C245CD"/>
    <w:rsid w:val="00C245E5"/>
    <w:rsid w:val="00C2461A"/>
    <w:rsid w:val="00C2484D"/>
    <w:rsid w:val="00C248DB"/>
    <w:rsid w:val="00C24B33"/>
    <w:rsid w:val="00C24C5C"/>
    <w:rsid w:val="00C24EC7"/>
    <w:rsid w:val="00C24FF2"/>
    <w:rsid w:val="00C25084"/>
    <w:rsid w:val="00C25094"/>
    <w:rsid w:val="00C25165"/>
    <w:rsid w:val="00C25228"/>
    <w:rsid w:val="00C253C5"/>
    <w:rsid w:val="00C2553A"/>
    <w:rsid w:val="00C255AB"/>
    <w:rsid w:val="00C256E7"/>
    <w:rsid w:val="00C2578C"/>
    <w:rsid w:val="00C25792"/>
    <w:rsid w:val="00C25795"/>
    <w:rsid w:val="00C25812"/>
    <w:rsid w:val="00C258A5"/>
    <w:rsid w:val="00C2592E"/>
    <w:rsid w:val="00C2596A"/>
    <w:rsid w:val="00C259A9"/>
    <w:rsid w:val="00C25A07"/>
    <w:rsid w:val="00C25B70"/>
    <w:rsid w:val="00C25BEF"/>
    <w:rsid w:val="00C25CF1"/>
    <w:rsid w:val="00C25E27"/>
    <w:rsid w:val="00C25E7E"/>
    <w:rsid w:val="00C25F45"/>
    <w:rsid w:val="00C261A0"/>
    <w:rsid w:val="00C261E1"/>
    <w:rsid w:val="00C262EE"/>
    <w:rsid w:val="00C263E8"/>
    <w:rsid w:val="00C2645F"/>
    <w:rsid w:val="00C264B9"/>
    <w:rsid w:val="00C2658E"/>
    <w:rsid w:val="00C2666E"/>
    <w:rsid w:val="00C266C6"/>
    <w:rsid w:val="00C26745"/>
    <w:rsid w:val="00C26763"/>
    <w:rsid w:val="00C26943"/>
    <w:rsid w:val="00C26949"/>
    <w:rsid w:val="00C269D7"/>
    <w:rsid w:val="00C26AB2"/>
    <w:rsid w:val="00C26B07"/>
    <w:rsid w:val="00C26C4C"/>
    <w:rsid w:val="00C26C52"/>
    <w:rsid w:val="00C26D11"/>
    <w:rsid w:val="00C26D93"/>
    <w:rsid w:val="00C26E54"/>
    <w:rsid w:val="00C26E89"/>
    <w:rsid w:val="00C26F6A"/>
    <w:rsid w:val="00C27098"/>
    <w:rsid w:val="00C2709D"/>
    <w:rsid w:val="00C27116"/>
    <w:rsid w:val="00C27153"/>
    <w:rsid w:val="00C271BE"/>
    <w:rsid w:val="00C27214"/>
    <w:rsid w:val="00C27263"/>
    <w:rsid w:val="00C27284"/>
    <w:rsid w:val="00C2732A"/>
    <w:rsid w:val="00C27380"/>
    <w:rsid w:val="00C2747B"/>
    <w:rsid w:val="00C2762A"/>
    <w:rsid w:val="00C27699"/>
    <w:rsid w:val="00C27882"/>
    <w:rsid w:val="00C2789E"/>
    <w:rsid w:val="00C27939"/>
    <w:rsid w:val="00C2797A"/>
    <w:rsid w:val="00C279DC"/>
    <w:rsid w:val="00C27B6D"/>
    <w:rsid w:val="00C27C30"/>
    <w:rsid w:val="00C27C3C"/>
    <w:rsid w:val="00C27C69"/>
    <w:rsid w:val="00C27D6A"/>
    <w:rsid w:val="00C27D7F"/>
    <w:rsid w:val="00C27E48"/>
    <w:rsid w:val="00C27E67"/>
    <w:rsid w:val="00C27FB7"/>
    <w:rsid w:val="00C27FC7"/>
    <w:rsid w:val="00C27FF2"/>
    <w:rsid w:val="00C300CE"/>
    <w:rsid w:val="00C30123"/>
    <w:rsid w:val="00C3012C"/>
    <w:rsid w:val="00C3020C"/>
    <w:rsid w:val="00C3029C"/>
    <w:rsid w:val="00C302DD"/>
    <w:rsid w:val="00C30301"/>
    <w:rsid w:val="00C303C0"/>
    <w:rsid w:val="00C303C1"/>
    <w:rsid w:val="00C303F8"/>
    <w:rsid w:val="00C30472"/>
    <w:rsid w:val="00C30485"/>
    <w:rsid w:val="00C3048E"/>
    <w:rsid w:val="00C304A5"/>
    <w:rsid w:val="00C30558"/>
    <w:rsid w:val="00C305FF"/>
    <w:rsid w:val="00C30606"/>
    <w:rsid w:val="00C30677"/>
    <w:rsid w:val="00C30719"/>
    <w:rsid w:val="00C307D1"/>
    <w:rsid w:val="00C30902"/>
    <w:rsid w:val="00C309FE"/>
    <w:rsid w:val="00C30C10"/>
    <w:rsid w:val="00C30CFA"/>
    <w:rsid w:val="00C30D68"/>
    <w:rsid w:val="00C30DC3"/>
    <w:rsid w:val="00C30DFE"/>
    <w:rsid w:val="00C30EB2"/>
    <w:rsid w:val="00C30F2A"/>
    <w:rsid w:val="00C30F3B"/>
    <w:rsid w:val="00C30F96"/>
    <w:rsid w:val="00C3100D"/>
    <w:rsid w:val="00C31052"/>
    <w:rsid w:val="00C31263"/>
    <w:rsid w:val="00C313CB"/>
    <w:rsid w:val="00C3158B"/>
    <w:rsid w:val="00C31686"/>
    <w:rsid w:val="00C3168A"/>
    <w:rsid w:val="00C3181F"/>
    <w:rsid w:val="00C31847"/>
    <w:rsid w:val="00C3187D"/>
    <w:rsid w:val="00C31981"/>
    <w:rsid w:val="00C31A43"/>
    <w:rsid w:val="00C31C94"/>
    <w:rsid w:val="00C31CB6"/>
    <w:rsid w:val="00C31E23"/>
    <w:rsid w:val="00C32037"/>
    <w:rsid w:val="00C320C4"/>
    <w:rsid w:val="00C322BF"/>
    <w:rsid w:val="00C323C9"/>
    <w:rsid w:val="00C3243D"/>
    <w:rsid w:val="00C324F6"/>
    <w:rsid w:val="00C32669"/>
    <w:rsid w:val="00C326A3"/>
    <w:rsid w:val="00C32759"/>
    <w:rsid w:val="00C32766"/>
    <w:rsid w:val="00C32805"/>
    <w:rsid w:val="00C32857"/>
    <w:rsid w:val="00C328BD"/>
    <w:rsid w:val="00C3294A"/>
    <w:rsid w:val="00C32969"/>
    <w:rsid w:val="00C329AD"/>
    <w:rsid w:val="00C32A0F"/>
    <w:rsid w:val="00C32A27"/>
    <w:rsid w:val="00C32A41"/>
    <w:rsid w:val="00C32AC3"/>
    <w:rsid w:val="00C32ACB"/>
    <w:rsid w:val="00C32B65"/>
    <w:rsid w:val="00C32B71"/>
    <w:rsid w:val="00C32CF9"/>
    <w:rsid w:val="00C32DED"/>
    <w:rsid w:val="00C32E3E"/>
    <w:rsid w:val="00C32E72"/>
    <w:rsid w:val="00C32EAF"/>
    <w:rsid w:val="00C33179"/>
    <w:rsid w:val="00C3320C"/>
    <w:rsid w:val="00C3329A"/>
    <w:rsid w:val="00C3335A"/>
    <w:rsid w:val="00C33374"/>
    <w:rsid w:val="00C3345D"/>
    <w:rsid w:val="00C335A5"/>
    <w:rsid w:val="00C3360C"/>
    <w:rsid w:val="00C336F2"/>
    <w:rsid w:val="00C33861"/>
    <w:rsid w:val="00C338D2"/>
    <w:rsid w:val="00C33AD5"/>
    <w:rsid w:val="00C33BF6"/>
    <w:rsid w:val="00C33C2F"/>
    <w:rsid w:val="00C33C9A"/>
    <w:rsid w:val="00C33CEA"/>
    <w:rsid w:val="00C33FCB"/>
    <w:rsid w:val="00C33FD7"/>
    <w:rsid w:val="00C340E7"/>
    <w:rsid w:val="00C34155"/>
    <w:rsid w:val="00C341C6"/>
    <w:rsid w:val="00C342D0"/>
    <w:rsid w:val="00C344D2"/>
    <w:rsid w:val="00C3458A"/>
    <w:rsid w:val="00C345A2"/>
    <w:rsid w:val="00C345FF"/>
    <w:rsid w:val="00C34778"/>
    <w:rsid w:val="00C347AA"/>
    <w:rsid w:val="00C34817"/>
    <w:rsid w:val="00C34872"/>
    <w:rsid w:val="00C3489E"/>
    <w:rsid w:val="00C34963"/>
    <w:rsid w:val="00C349B1"/>
    <w:rsid w:val="00C34DAB"/>
    <w:rsid w:val="00C34E7A"/>
    <w:rsid w:val="00C34EFA"/>
    <w:rsid w:val="00C34F14"/>
    <w:rsid w:val="00C34F1A"/>
    <w:rsid w:val="00C3508B"/>
    <w:rsid w:val="00C35156"/>
    <w:rsid w:val="00C3515F"/>
    <w:rsid w:val="00C35412"/>
    <w:rsid w:val="00C354B5"/>
    <w:rsid w:val="00C354C8"/>
    <w:rsid w:val="00C3552B"/>
    <w:rsid w:val="00C35586"/>
    <w:rsid w:val="00C35743"/>
    <w:rsid w:val="00C35786"/>
    <w:rsid w:val="00C358E7"/>
    <w:rsid w:val="00C359F2"/>
    <w:rsid w:val="00C35ACE"/>
    <w:rsid w:val="00C35AE5"/>
    <w:rsid w:val="00C35B02"/>
    <w:rsid w:val="00C35B08"/>
    <w:rsid w:val="00C35BD7"/>
    <w:rsid w:val="00C35C5F"/>
    <w:rsid w:val="00C35C6E"/>
    <w:rsid w:val="00C35E3A"/>
    <w:rsid w:val="00C35F17"/>
    <w:rsid w:val="00C35F8F"/>
    <w:rsid w:val="00C35FD3"/>
    <w:rsid w:val="00C35FED"/>
    <w:rsid w:val="00C36044"/>
    <w:rsid w:val="00C360A6"/>
    <w:rsid w:val="00C360B0"/>
    <w:rsid w:val="00C3625C"/>
    <w:rsid w:val="00C363FF"/>
    <w:rsid w:val="00C3648B"/>
    <w:rsid w:val="00C364BC"/>
    <w:rsid w:val="00C36657"/>
    <w:rsid w:val="00C366F9"/>
    <w:rsid w:val="00C3686D"/>
    <w:rsid w:val="00C36873"/>
    <w:rsid w:val="00C36889"/>
    <w:rsid w:val="00C368D6"/>
    <w:rsid w:val="00C369B2"/>
    <w:rsid w:val="00C369C8"/>
    <w:rsid w:val="00C36CCF"/>
    <w:rsid w:val="00C36CD2"/>
    <w:rsid w:val="00C36FE1"/>
    <w:rsid w:val="00C37044"/>
    <w:rsid w:val="00C37052"/>
    <w:rsid w:val="00C370F6"/>
    <w:rsid w:val="00C371B6"/>
    <w:rsid w:val="00C373B5"/>
    <w:rsid w:val="00C3740F"/>
    <w:rsid w:val="00C375A3"/>
    <w:rsid w:val="00C37678"/>
    <w:rsid w:val="00C3769C"/>
    <w:rsid w:val="00C37754"/>
    <w:rsid w:val="00C377B6"/>
    <w:rsid w:val="00C3792E"/>
    <w:rsid w:val="00C379AB"/>
    <w:rsid w:val="00C37BEF"/>
    <w:rsid w:val="00C37C9E"/>
    <w:rsid w:val="00C37D6D"/>
    <w:rsid w:val="00C37ED2"/>
    <w:rsid w:val="00C37F47"/>
    <w:rsid w:val="00C40037"/>
    <w:rsid w:val="00C4008A"/>
    <w:rsid w:val="00C400A3"/>
    <w:rsid w:val="00C405C9"/>
    <w:rsid w:val="00C405FD"/>
    <w:rsid w:val="00C4076E"/>
    <w:rsid w:val="00C407B1"/>
    <w:rsid w:val="00C407F0"/>
    <w:rsid w:val="00C4084D"/>
    <w:rsid w:val="00C40CDE"/>
    <w:rsid w:val="00C40CEE"/>
    <w:rsid w:val="00C40D33"/>
    <w:rsid w:val="00C40EA2"/>
    <w:rsid w:val="00C40EAF"/>
    <w:rsid w:val="00C40ECD"/>
    <w:rsid w:val="00C40ED2"/>
    <w:rsid w:val="00C40F54"/>
    <w:rsid w:val="00C40F90"/>
    <w:rsid w:val="00C41124"/>
    <w:rsid w:val="00C41148"/>
    <w:rsid w:val="00C411A8"/>
    <w:rsid w:val="00C4122F"/>
    <w:rsid w:val="00C4135F"/>
    <w:rsid w:val="00C413C7"/>
    <w:rsid w:val="00C41526"/>
    <w:rsid w:val="00C41566"/>
    <w:rsid w:val="00C415F2"/>
    <w:rsid w:val="00C41613"/>
    <w:rsid w:val="00C416FA"/>
    <w:rsid w:val="00C41723"/>
    <w:rsid w:val="00C417D9"/>
    <w:rsid w:val="00C41844"/>
    <w:rsid w:val="00C4185B"/>
    <w:rsid w:val="00C418CD"/>
    <w:rsid w:val="00C419CF"/>
    <w:rsid w:val="00C41AC7"/>
    <w:rsid w:val="00C41B1E"/>
    <w:rsid w:val="00C41B44"/>
    <w:rsid w:val="00C41B57"/>
    <w:rsid w:val="00C41B9E"/>
    <w:rsid w:val="00C41BBF"/>
    <w:rsid w:val="00C41C39"/>
    <w:rsid w:val="00C41D65"/>
    <w:rsid w:val="00C41D91"/>
    <w:rsid w:val="00C41E4C"/>
    <w:rsid w:val="00C41F7E"/>
    <w:rsid w:val="00C41FA7"/>
    <w:rsid w:val="00C41FE1"/>
    <w:rsid w:val="00C42060"/>
    <w:rsid w:val="00C4206C"/>
    <w:rsid w:val="00C420A2"/>
    <w:rsid w:val="00C42193"/>
    <w:rsid w:val="00C421D1"/>
    <w:rsid w:val="00C4232D"/>
    <w:rsid w:val="00C4233C"/>
    <w:rsid w:val="00C42572"/>
    <w:rsid w:val="00C425CF"/>
    <w:rsid w:val="00C4288A"/>
    <w:rsid w:val="00C4299B"/>
    <w:rsid w:val="00C429F3"/>
    <w:rsid w:val="00C42A2C"/>
    <w:rsid w:val="00C42A9E"/>
    <w:rsid w:val="00C42ACE"/>
    <w:rsid w:val="00C42AFE"/>
    <w:rsid w:val="00C42CA6"/>
    <w:rsid w:val="00C42D47"/>
    <w:rsid w:val="00C42D7B"/>
    <w:rsid w:val="00C42E25"/>
    <w:rsid w:val="00C42E9E"/>
    <w:rsid w:val="00C42F56"/>
    <w:rsid w:val="00C42FEA"/>
    <w:rsid w:val="00C43079"/>
    <w:rsid w:val="00C430BE"/>
    <w:rsid w:val="00C430CE"/>
    <w:rsid w:val="00C43279"/>
    <w:rsid w:val="00C43320"/>
    <w:rsid w:val="00C4336B"/>
    <w:rsid w:val="00C4338B"/>
    <w:rsid w:val="00C43414"/>
    <w:rsid w:val="00C434AE"/>
    <w:rsid w:val="00C434ED"/>
    <w:rsid w:val="00C43548"/>
    <w:rsid w:val="00C436CF"/>
    <w:rsid w:val="00C43757"/>
    <w:rsid w:val="00C4376B"/>
    <w:rsid w:val="00C437C5"/>
    <w:rsid w:val="00C437DF"/>
    <w:rsid w:val="00C438CF"/>
    <w:rsid w:val="00C438F9"/>
    <w:rsid w:val="00C43939"/>
    <w:rsid w:val="00C43988"/>
    <w:rsid w:val="00C439FA"/>
    <w:rsid w:val="00C43A13"/>
    <w:rsid w:val="00C43ACF"/>
    <w:rsid w:val="00C43AFB"/>
    <w:rsid w:val="00C43B16"/>
    <w:rsid w:val="00C43C7B"/>
    <w:rsid w:val="00C43F68"/>
    <w:rsid w:val="00C43F93"/>
    <w:rsid w:val="00C43FCB"/>
    <w:rsid w:val="00C44007"/>
    <w:rsid w:val="00C44066"/>
    <w:rsid w:val="00C44086"/>
    <w:rsid w:val="00C440A3"/>
    <w:rsid w:val="00C4413F"/>
    <w:rsid w:val="00C442C5"/>
    <w:rsid w:val="00C4435C"/>
    <w:rsid w:val="00C4439F"/>
    <w:rsid w:val="00C44624"/>
    <w:rsid w:val="00C4464B"/>
    <w:rsid w:val="00C44706"/>
    <w:rsid w:val="00C4474D"/>
    <w:rsid w:val="00C44779"/>
    <w:rsid w:val="00C4477D"/>
    <w:rsid w:val="00C447C5"/>
    <w:rsid w:val="00C44829"/>
    <w:rsid w:val="00C44DF8"/>
    <w:rsid w:val="00C44E23"/>
    <w:rsid w:val="00C44F70"/>
    <w:rsid w:val="00C45038"/>
    <w:rsid w:val="00C45120"/>
    <w:rsid w:val="00C451CD"/>
    <w:rsid w:val="00C45212"/>
    <w:rsid w:val="00C452EF"/>
    <w:rsid w:val="00C4540C"/>
    <w:rsid w:val="00C454E6"/>
    <w:rsid w:val="00C457E8"/>
    <w:rsid w:val="00C45891"/>
    <w:rsid w:val="00C458FD"/>
    <w:rsid w:val="00C45AC3"/>
    <w:rsid w:val="00C45B47"/>
    <w:rsid w:val="00C45B51"/>
    <w:rsid w:val="00C45CD8"/>
    <w:rsid w:val="00C45E8D"/>
    <w:rsid w:val="00C45EB1"/>
    <w:rsid w:val="00C461C8"/>
    <w:rsid w:val="00C461EB"/>
    <w:rsid w:val="00C46286"/>
    <w:rsid w:val="00C46343"/>
    <w:rsid w:val="00C463D1"/>
    <w:rsid w:val="00C4645C"/>
    <w:rsid w:val="00C46472"/>
    <w:rsid w:val="00C4648F"/>
    <w:rsid w:val="00C4656F"/>
    <w:rsid w:val="00C466EA"/>
    <w:rsid w:val="00C4677A"/>
    <w:rsid w:val="00C467B0"/>
    <w:rsid w:val="00C4680A"/>
    <w:rsid w:val="00C4688B"/>
    <w:rsid w:val="00C468A2"/>
    <w:rsid w:val="00C46B05"/>
    <w:rsid w:val="00C46BD7"/>
    <w:rsid w:val="00C46C3B"/>
    <w:rsid w:val="00C46E13"/>
    <w:rsid w:val="00C46E34"/>
    <w:rsid w:val="00C46E84"/>
    <w:rsid w:val="00C46EE2"/>
    <w:rsid w:val="00C47080"/>
    <w:rsid w:val="00C4714B"/>
    <w:rsid w:val="00C47218"/>
    <w:rsid w:val="00C47285"/>
    <w:rsid w:val="00C4730C"/>
    <w:rsid w:val="00C47339"/>
    <w:rsid w:val="00C47419"/>
    <w:rsid w:val="00C47528"/>
    <w:rsid w:val="00C476ED"/>
    <w:rsid w:val="00C4770F"/>
    <w:rsid w:val="00C4773C"/>
    <w:rsid w:val="00C47A1A"/>
    <w:rsid w:val="00C47B72"/>
    <w:rsid w:val="00C47C95"/>
    <w:rsid w:val="00C47CF7"/>
    <w:rsid w:val="00C47E7E"/>
    <w:rsid w:val="00C47F30"/>
    <w:rsid w:val="00C5002A"/>
    <w:rsid w:val="00C5005E"/>
    <w:rsid w:val="00C500BF"/>
    <w:rsid w:val="00C50255"/>
    <w:rsid w:val="00C5029C"/>
    <w:rsid w:val="00C504AC"/>
    <w:rsid w:val="00C50670"/>
    <w:rsid w:val="00C507CC"/>
    <w:rsid w:val="00C50815"/>
    <w:rsid w:val="00C5084D"/>
    <w:rsid w:val="00C508F1"/>
    <w:rsid w:val="00C50984"/>
    <w:rsid w:val="00C509C6"/>
    <w:rsid w:val="00C50A7D"/>
    <w:rsid w:val="00C50A8C"/>
    <w:rsid w:val="00C50B38"/>
    <w:rsid w:val="00C50B42"/>
    <w:rsid w:val="00C50BF1"/>
    <w:rsid w:val="00C50D55"/>
    <w:rsid w:val="00C50E06"/>
    <w:rsid w:val="00C50EA6"/>
    <w:rsid w:val="00C50FCD"/>
    <w:rsid w:val="00C5113A"/>
    <w:rsid w:val="00C5120D"/>
    <w:rsid w:val="00C51272"/>
    <w:rsid w:val="00C51294"/>
    <w:rsid w:val="00C51368"/>
    <w:rsid w:val="00C513BD"/>
    <w:rsid w:val="00C51407"/>
    <w:rsid w:val="00C5153E"/>
    <w:rsid w:val="00C51582"/>
    <w:rsid w:val="00C516F2"/>
    <w:rsid w:val="00C5197B"/>
    <w:rsid w:val="00C51A7F"/>
    <w:rsid w:val="00C51CD4"/>
    <w:rsid w:val="00C51E77"/>
    <w:rsid w:val="00C51ED1"/>
    <w:rsid w:val="00C51F4F"/>
    <w:rsid w:val="00C52035"/>
    <w:rsid w:val="00C52217"/>
    <w:rsid w:val="00C52246"/>
    <w:rsid w:val="00C522DA"/>
    <w:rsid w:val="00C52378"/>
    <w:rsid w:val="00C524C8"/>
    <w:rsid w:val="00C52513"/>
    <w:rsid w:val="00C525C8"/>
    <w:rsid w:val="00C52630"/>
    <w:rsid w:val="00C52688"/>
    <w:rsid w:val="00C526E0"/>
    <w:rsid w:val="00C52756"/>
    <w:rsid w:val="00C52784"/>
    <w:rsid w:val="00C527BA"/>
    <w:rsid w:val="00C52B7A"/>
    <w:rsid w:val="00C52BF0"/>
    <w:rsid w:val="00C52C97"/>
    <w:rsid w:val="00C52D07"/>
    <w:rsid w:val="00C52EA4"/>
    <w:rsid w:val="00C52F26"/>
    <w:rsid w:val="00C530A0"/>
    <w:rsid w:val="00C53153"/>
    <w:rsid w:val="00C53225"/>
    <w:rsid w:val="00C53252"/>
    <w:rsid w:val="00C5332F"/>
    <w:rsid w:val="00C533E7"/>
    <w:rsid w:val="00C53424"/>
    <w:rsid w:val="00C53445"/>
    <w:rsid w:val="00C5352F"/>
    <w:rsid w:val="00C5371E"/>
    <w:rsid w:val="00C53783"/>
    <w:rsid w:val="00C53931"/>
    <w:rsid w:val="00C53941"/>
    <w:rsid w:val="00C5395D"/>
    <w:rsid w:val="00C539D3"/>
    <w:rsid w:val="00C539D6"/>
    <w:rsid w:val="00C53A4F"/>
    <w:rsid w:val="00C53ADB"/>
    <w:rsid w:val="00C53BDD"/>
    <w:rsid w:val="00C53C49"/>
    <w:rsid w:val="00C53CD2"/>
    <w:rsid w:val="00C53CE5"/>
    <w:rsid w:val="00C53CEA"/>
    <w:rsid w:val="00C53E96"/>
    <w:rsid w:val="00C53E9C"/>
    <w:rsid w:val="00C53F04"/>
    <w:rsid w:val="00C53F15"/>
    <w:rsid w:val="00C53F71"/>
    <w:rsid w:val="00C54055"/>
    <w:rsid w:val="00C54146"/>
    <w:rsid w:val="00C54178"/>
    <w:rsid w:val="00C54420"/>
    <w:rsid w:val="00C545A1"/>
    <w:rsid w:val="00C54806"/>
    <w:rsid w:val="00C54807"/>
    <w:rsid w:val="00C54892"/>
    <w:rsid w:val="00C54941"/>
    <w:rsid w:val="00C54954"/>
    <w:rsid w:val="00C54A68"/>
    <w:rsid w:val="00C54AD5"/>
    <w:rsid w:val="00C54B2D"/>
    <w:rsid w:val="00C54B31"/>
    <w:rsid w:val="00C54B9E"/>
    <w:rsid w:val="00C54D2E"/>
    <w:rsid w:val="00C54D58"/>
    <w:rsid w:val="00C54DC9"/>
    <w:rsid w:val="00C54E5F"/>
    <w:rsid w:val="00C55019"/>
    <w:rsid w:val="00C5507C"/>
    <w:rsid w:val="00C55111"/>
    <w:rsid w:val="00C5513D"/>
    <w:rsid w:val="00C55185"/>
    <w:rsid w:val="00C552F2"/>
    <w:rsid w:val="00C55362"/>
    <w:rsid w:val="00C553BF"/>
    <w:rsid w:val="00C55406"/>
    <w:rsid w:val="00C5543D"/>
    <w:rsid w:val="00C55488"/>
    <w:rsid w:val="00C554AF"/>
    <w:rsid w:val="00C55516"/>
    <w:rsid w:val="00C5551D"/>
    <w:rsid w:val="00C55526"/>
    <w:rsid w:val="00C55578"/>
    <w:rsid w:val="00C55838"/>
    <w:rsid w:val="00C559BD"/>
    <w:rsid w:val="00C559E0"/>
    <w:rsid w:val="00C55A18"/>
    <w:rsid w:val="00C55A2F"/>
    <w:rsid w:val="00C55A96"/>
    <w:rsid w:val="00C55B01"/>
    <w:rsid w:val="00C55B8D"/>
    <w:rsid w:val="00C55C8F"/>
    <w:rsid w:val="00C55E5B"/>
    <w:rsid w:val="00C56083"/>
    <w:rsid w:val="00C561E4"/>
    <w:rsid w:val="00C56309"/>
    <w:rsid w:val="00C563B6"/>
    <w:rsid w:val="00C563C0"/>
    <w:rsid w:val="00C5661B"/>
    <w:rsid w:val="00C56683"/>
    <w:rsid w:val="00C5687A"/>
    <w:rsid w:val="00C56917"/>
    <w:rsid w:val="00C56942"/>
    <w:rsid w:val="00C56961"/>
    <w:rsid w:val="00C5699F"/>
    <w:rsid w:val="00C569B1"/>
    <w:rsid w:val="00C569D5"/>
    <w:rsid w:val="00C56D1B"/>
    <w:rsid w:val="00C56D36"/>
    <w:rsid w:val="00C56D8D"/>
    <w:rsid w:val="00C56E47"/>
    <w:rsid w:val="00C56FB3"/>
    <w:rsid w:val="00C56FB7"/>
    <w:rsid w:val="00C56FE9"/>
    <w:rsid w:val="00C57062"/>
    <w:rsid w:val="00C570E5"/>
    <w:rsid w:val="00C57126"/>
    <w:rsid w:val="00C571C6"/>
    <w:rsid w:val="00C572FD"/>
    <w:rsid w:val="00C573FA"/>
    <w:rsid w:val="00C5752A"/>
    <w:rsid w:val="00C57552"/>
    <w:rsid w:val="00C5758E"/>
    <w:rsid w:val="00C575FB"/>
    <w:rsid w:val="00C5767B"/>
    <w:rsid w:val="00C57746"/>
    <w:rsid w:val="00C5776A"/>
    <w:rsid w:val="00C577F5"/>
    <w:rsid w:val="00C578C1"/>
    <w:rsid w:val="00C5798C"/>
    <w:rsid w:val="00C57A87"/>
    <w:rsid w:val="00C57CFC"/>
    <w:rsid w:val="00C57D97"/>
    <w:rsid w:val="00C57EB4"/>
    <w:rsid w:val="00C600B4"/>
    <w:rsid w:val="00C600C1"/>
    <w:rsid w:val="00C600DD"/>
    <w:rsid w:val="00C6035C"/>
    <w:rsid w:val="00C6039E"/>
    <w:rsid w:val="00C60453"/>
    <w:rsid w:val="00C6062D"/>
    <w:rsid w:val="00C6064E"/>
    <w:rsid w:val="00C60694"/>
    <w:rsid w:val="00C607FF"/>
    <w:rsid w:val="00C60922"/>
    <w:rsid w:val="00C60A15"/>
    <w:rsid w:val="00C60A74"/>
    <w:rsid w:val="00C60B2B"/>
    <w:rsid w:val="00C60BF0"/>
    <w:rsid w:val="00C60DB6"/>
    <w:rsid w:val="00C60DF7"/>
    <w:rsid w:val="00C60E2B"/>
    <w:rsid w:val="00C60E61"/>
    <w:rsid w:val="00C60ED4"/>
    <w:rsid w:val="00C60ED6"/>
    <w:rsid w:val="00C60EFA"/>
    <w:rsid w:val="00C61172"/>
    <w:rsid w:val="00C611BE"/>
    <w:rsid w:val="00C61273"/>
    <w:rsid w:val="00C6132B"/>
    <w:rsid w:val="00C61353"/>
    <w:rsid w:val="00C6147C"/>
    <w:rsid w:val="00C61651"/>
    <w:rsid w:val="00C61662"/>
    <w:rsid w:val="00C616CC"/>
    <w:rsid w:val="00C61844"/>
    <w:rsid w:val="00C61851"/>
    <w:rsid w:val="00C6185A"/>
    <w:rsid w:val="00C61A65"/>
    <w:rsid w:val="00C61BC5"/>
    <w:rsid w:val="00C61C06"/>
    <w:rsid w:val="00C61CAB"/>
    <w:rsid w:val="00C61D18"/>
    <w:rsid w:val="00C61E31"/>
    <w:rsid w:val="00C61E67"/>
    <w:rsid w:val="00C61F66"/>
    <w:rsid w:val="00C61FD1"/>
    <w:rsid w:val="00C620AE"/>
    <w:rsid w:val="00C62106"/>
    <w:rsid w:val="00C6217D"/>
    <w:rsid w:val="00C6219E"/>
    <w:rsid w:val="00C62693"/>
    <w:rsid w:val="00C629D6"/>
    <w:rsid w:val="00C62AB0"/>
    <w:rsid w:val="00C62C10"/>
    <w:rsid w:val="00C62ED3"/>
    <w:rsid w:val="00C62FAA"/>
    <w:rsid w:val="00C63053"/>
    <w:rsid w:val="00C6319E"/>
    <w:rsid w:val="00C632AA"/>
    <w:rsid w:val="00C63313"/>
    <w:rsid w:val="00C633BE"/>
    <w:rsid w:val="00C63413"/>
    <w:rsid w:val="00C635B4"/>
    <w:rsid w:val="00C63881"/>
    <w:rsid w:val="00C6388F"/>
    <w:rsid w:val="00C63925"/>
    <w:rsid w:val="00C63A54"/>
    <w:rsid w:val="00C63A7D"/>
    <w:rsid w:val="00C63B90"/>
    <w:rsid w:val="00C63CA4"/>
    <w:rsid w:val="00C63E40"/>
    <w:rsid w:val="00C63E42"/>
    <w:rsid w:val="00C63F0F"/>
    <w:rsid w:val="00C641B0"/>
    <w:rsid w:val="00C6425A"/>
    <w:rsid w:val="00C645E5"/>
    <w:rsid w:val="00C646BE"/>
    <w:rsid w:val="00C648D8"/>
    <w:rsid w:val="00C64967"/>
    <w:rsid w:val="00C6498C"/>
    <w:rsid w:val="00C64A35"/>
    <w:rsid w:val="00C64E35"/>
    <w:rsid w:val="00C6500A"/>
    <w:rsid w:val="00C6518B"/>
    <w:rsid w:val="00C65275"/>
    <w:rsid w:val="00C65296"/>
    <w:rsid w:val="00C653C3"/>
    <w:rsid w:val="00C65549"/>
    <w:rsid w:val="00C657E7"/>
    <w:rsid w:val="00C657F8"/>
    <w:rsid w:val="00C659CD"/>
    <w:rsid w:val="00C65A93"/>
    <w:rsid w:val="00C65ACD"/>
    <w:rsid w:val="00C65B47"/>
    <w:rsid w:val="00C65B8D"/>
    <w:rsid w:val="00C65C1E"/>
    <w:rsid w:val="00C65C35"/>
    <w:rsid w:val="00C65C5D"/>
    <w:rsid w:val="00C65CCD"/>
    <w:rsid w:val="00C65D36"/>
    <w:rsid w:val="00C65E28"/>
    <w:rsid w:val="00C65E5C"/>
    <w:rsid w:val="00C65F0B"/>
    <w:rsid w:val="00C66039"/>
    <w:rsid w:val="00C66190"/>
    <w:rsid w:val="00C66236"/>
    <w:rsid w:val="00C66366"/>
    <w:rsid w:val="00C66377"/>
    <w:rsid w:val="00C66452"/>
    <w:rsid w:val="00C664B9"/>
    <w:rsid w:val="00C665C5"/>
    <w:rsid w:val="00C665E5"/>
    <w:rsid w:val="00C66658"/>
    <w:rsid w:val="00C6668A"/>
    <w:rsid w:val="00C666B3"/>
    <w:rsid w:val="00C66813"/>
    <w:rsid w:val="00C66839"/>
    <w:rsid w:val="00C66890"/>
    <w:rsid w:val="00C66944"/>
    <w:rsid w:val="00C669A0"/>
    <w:rsid w:val="00C66ADC"/>
    <w:rsid w:val="00C66B23"/>
    <w:rsid w:val="00C66B4F"/>
    <w:rsid w:val="00C66B93"/>
    <w:rsid w:val="00C66BF2"/>
    <w:rsid w:val="00C66C88"/>
    <w:rsid w:val="00C66CDC"/>
    <w:rsid w:val="00C66DBA"/>
    <w:rsid w:val="00C66EC7"/>
    <w:rsid w:val="00C66F1E"/>
    <w:rsid w:val="00C66FAA"/>
    <w:rsid w:val="00C6739C"/>
    <w:rsid w:val="00C67402"/>
    <w:rsid w:val="00C674B6"/>
    <w:rsid w:val="00C674C4"/>
    <w:rsid w:val="00C674FA"/>
    <w:rsid w:val="00C67521"/>
    <w:rsid w:val="00C675AE"/>
    <w:rsid w:val="00C67666"/>
    <w:rsid w:val="00C6771D"/>
    <w:rsid w:val="00C6772E"/>
    <w:rsid w:val="00C67748"/>
    <w:rsid w:val="00C677CE"/>
    <w:rsid w:val="00C679FA"/>
    <w:rsid w:val="00C67AA7"/>
    <w:rsid w:val="00C67AC8"/>
    <w:rsid w:val="00C67B45"/>
    <w:rsid w:val="00C67C84"/>
    <w:rsid w:val="00C67D2C"/>
    <w:rsid w:val="00C67D3D"/>
    <w:rsid w:val="00C67D95"/>
    <w:rsid w:val="00C67DB5"/>
    <w:rsid w:val="00C67DEF"/>
    <w:rsid w:val="00C67E10"/>
    <w:rsid w:val="00C67ECF"/>
    <w:rsid w:val="00C67EEC"/>
    <w:rsid w:val="00C70048"/>
    <w:rsid w:val="00C70066"/>
    <w:rsid w:val="00C700D6"/>
    <w:rsid w:val="00C70336"/>
    <w:rsid w:val="00C70381"/>
    <w:rsid w:val="00C703DE"/>
    <w:rsid w:val="00C70426"/>
    <w:rsid w:val="00C70538"/>
    <w:rsid w:val="00C705A5"/>
    <w:rsid w:val="00C70630"/>
    <w:rsid w:val="00C706C9"/>
    <w:rsid w:val="00C70744"/>
    <w:rsid w:val="00C70754"/>
    <w:rsid w:val="00C707FF"/>
    <w:rsid w:val="00C70884"/>
    <w:rsid w:val="00C708DC"/>
    <w:rsid w:val="00C70904"/>
    <w:rsid w:val="00C709E7"/>
    <w:rsid w:val="00C70B4F"/>
    <w:rsid w:val="00C70C4B"/>
    <w:rsid w:val="00C70C76"/>
    <w:rsid w:val="00C70CDF"/>
    <w:rsid w:val="00C70D22"/>
    <w:rsid w:val="00C70D43"/>
    <w:rsid w:val="00C70DFC"/>
    <w:rsid w:val="00C70E6D"/>
    <w:rsid w:val="00C70EAF"/>
    <w:rsid w:val="00C70F87"/>
    <w:rsid w:val="00C71064"/>
    <w:rsid w:val="00C71067"/>
    <w:rsid w:val="00C710A8"/>
    <w:rsid w:val="00C71109"/>
    <w:rsid w:val="00C7111F"/>
    <w:rsid w:val="00C711FD"/>
    <w:rsid w:val="00C713B0"/>
    <w:rsid w:val="00C71491"/>
    <w:rsid w:val="00C716A8"/>
    <w:rsid w:val="00C716C8"/>
    <w:rsid w:val="00C716CE"/>
    <w:rsid w:val="00C71719"/>
    <w:rsid w:val="00C717B0"/>
    <w:rsid w:val="00C718E5"/>
    <w:rsid w:val="00C719CB"/>
    <w:rsid w:val="00C71AC6"/>
    <w:rsid w:val="00C71C77"/>
    <w:rsid w:val="00C71D2B"/>
    <w:rsid w:val="00C71F22"/>
    <w:rsid w:val="00C71FF8"/>
    <w:rsid w:val="00C7200C"/>
    <w:rsid w:val="00C72172"/>
    <w:rsid w:val="00C72202"/>
    <w:rsid w:val="00C72353"/>
    <w:rsid w:val="00C723CB"/>
    <w:rsid w:val="00C72457"/>
    <w:rsid w:val="00C725AD"/>
    <w:rsid w:val="00C72625"/>
    <w:rsid w:val="00C72783"/>
    <w:rsid w:val="00C7287D"/>
    <w:rsid w:val="00C72888"/>
    <w:rsid w:val="00C72983"/>
    <w:rsid w:val="00C729CB"/>
    <w:rsid w:val="00C729CE"/>
    <w:rsid w:val="00C72C22"/>
    <w:rsid w:val="00C72D33"/>
    <w:rsid w:val="00C72E54"/>
    <w:rsid w:val="00C72E7E"/>
    <w:rsid w:val="00C72F40"/>
    <w:rsid w:val="00C7315E"/>
    <w:rsid w:val="00C7315F"/>
    <w:rsid w:val="00C732CA"/>
    <w:rsid w:val="00C734CD"/>
    <w:rsid w:val="00C73541"/>
    <w:rsid w:val="00C735E3"/>
    <w:rsid w:val="00C73602"/>
    <w:rsid w:val="00C73624"/>
    <w:rsid w:val="00C73675"/>
    <w:rsid w:val="00C7368B"/>
    <w:rsid w:val="00C73717"/>
    <w:rsid w:val="00C7371B"/>
    <w:rsid w:val="00C737A3"/>
    <w:rsid w:val="00C73A01"/>
    <w:rsid w:val="00C73AA0"/>
    <w:rsid w:val="00C73BE8"/>
    <w:rsid w:val="00C73BFC"/>
    <w:rsid w:val="00C73C3D"/>
    <w:rsid w:val="00C73CB1"/>
    <w:rsid w:val="00C73CE6"/>
    <w:rsid w:val="00C73EC6"/>
    <w:rsid w:val="00C741ED"/>
    <w:rsid w:val="00C7421F"/>
    <w:rsid w:val="00C7434C"/>
    <w:rsid w:val="00C74482"/>
    <w:rsid w:val="00C74491"/>
    <w:rsid w:val="00C744E2"/>
    <w:rsid w:val="00C74665"/>
    <w:rsid w:val="00C74768"/>
    <w:rsid w:val="00C7477B"/>
    <w:rsid w:val="00C747D9"/>
    <w:rsid w:val="00C747DC"/>
    <w:rsid w:val="00C749E7"/>
    <w:rsid w:val="00C74AC7"/>
    <w:rsid w:val="00C74BB4"/>
    <w:rsid w:val="00C74C41"/>
    <w:rsid w:val="00C74C80"/>
    <w:rsid w:val="00C74CFC"/>
    <w:rsid w:val="00C74D18"/>
    <w:rsid w:val="00C74D2C"/>
    <w:rsid w:val="00C74D4C"/>
    <w:rsid w:val="00C74DCA"/>
    <w:rsid w:val="00C7509A"/>
    <w:rsid w:val="00C751B5"/>
    <w:rsid w:val="00C7526A"/>
    <w:rsid w:val="00C75291"/>
    <w:rsid w:val="00C75311"/>
    <w:rsid w:val="00C7532E"/>
    <w:rsid w:val="00C7537A"/>
    <w:rsid w:val="00C753C3"/>
    <w:rsid w:val="00C75464"/>
    <w:rsid w:val="00C754B2"/>
    <w:rsid w:val="00C7567E"/>
    <w:rsid w:val="00C75696"/>
    <w:rsid w:val="00C75730"/>
    <w:rsid w:val="00C75B52"/>
    <w:rsid w:val="00C75B5B"/>
    <w:rsid w:val="00C75B9C"/>
    <w:rsid w:val="00C75BBE"/>
    <w:rsid w:val="00C75D08"/>
    <w:rsid w:val="00C75D23"/>
    <w:rsid w:val="00C75D99"/>
    <w:rsid w:val="00C75E09"/>
    <w:rsid w:val="00C75E40"/>
    <w:rsid w:val="00C75E8F"/>
    <w:rsid w:val="00C75EA7"/>
    <w:rsid w:val="00C76155"/>
    <w:rsid w:val="00C76386"/>
    <w:rsid w:val="00C764AF"/>
    <w:rsid w:val="00C7661C"/>
    <w:rsid w:val="00C766D1"/>
    <w:rsid w:val="00C768E1"/>
    <w:rsid w:val="00C7692A"/>
    <w:rsid w:val="00C769E9"/>
    <w:rsid w:val="00C76B0B"/>
    <w:rsid w:val="00C76B82"/>
    <w:rsid w:val="00C76C3B"/>
    <w:rsid w:val="00C76C52"/>
    <w:rsid w:val="00C76C6D"/>
    <w:rsid w:val="00C76C95"/>
    <w:rsid w:val="00C76CC7"/>
    <w:rsid w:val="00C76D4F"/>
    <w:rsid w:val="00C76ED6"/>
    <w:rsid w:val="00C77013"/>
    <w:rsid w:val="00C77064"/>
    <w:rsid w:val="00C77081"/>
    <w:rsid w:val="00C770DB"/>
    <w:rsid w:val="00C770F5"/>
    <w:rsid w:val="00C77339"/>
    <w:rsid w:val="00C773C3"/>
    <w:rsid w:val="00C77547"/>
    <w:rsid w:val="00C77649"/>
    <w:rsid w:val="00C7778C"/>
    <w:rsid w:val="00C7793A"/>
    <w:rsid w:val="00C77B6B"/>
    <w:rsid w:val="00C77BB9"/>
    <w:rsid w:val="00C77D8B"/>
    <w:rsid w:val="00C77E35"/>
    <w:rsid w:val="00C8009A"/>
    <w:rsid w:val="00C800D1"/>
    <w:rsid w:val="00C800ED"/>
    <w:rsid w:val="00C8012F"/>
    <w:rsid w:val="00C80146"/>
    <w:rsid w:val="00C80245"/>
    <w:rsid w:val="00C80295"/>
    <w:rsid w:val="00C802E6"/>
    <w:rsid w:val="00C8031C"/>
    <w:rsid w:val="00C8039C"/>
    <w:rsid w:val="00C804BD"/>
    <w:rsid w:val="00C80685"/>
    <w:rsid w:val="00C80690"/>
    <w:rsid w:val="00C80844"/>
    <w:rsid w:val="00C80869"/>
    <w:rsid w:val="00C809F4"/>
    <w:rsid w:val="00C80B45"/>
    <w:rsid w:val="00C80B4F"/>
    <w:rsid w:val="00C80CDA"/>
    <w:rsid w:val="00C80DE7"/>
    <w:rsid w:val="00C80F18"/>
    <w:rsid w:val="00C81101"/>
    <w:rsid w:val="00C8111A"/>
    <w:rsid w:val="00C811E1"/>
    <w:rsid w:val="00C81251"/>
    <w:rsid w:val="00C812D0"/>
    <w:rsid w:val="00C813F5"/>
    <w:rsid w:val="00C814AA"/>
    <w:rsid w:val="00C81642"/>
    <w:rsid w:val="00C81769"/>
    <w:rsid w:val="00C8187F"/>
    <w:rsid w:val="00C81936"/>
    <w:rsid w:val="00C819AE"/>
    <w:rsid w:val="00C81C78"/>
    <w:rsid w:val="00C81CE8"/>
    <w:rsid w:val="00C81DD6"/>
    <w:rsid w:val="00C81DE1"/>
    <w:rsid w:val="00C81E00"/>
    <w:rsid w:val="00C81EDC"/>
    <w:rsid w:val="00C81F9C"/>
    <w:rsid w:val="00C81FB4"/>
    <w:rsid w:val="00C8220C"/>
    <w:rsid w:val="00C82216"/>
    <w:rsid w:val="00C822F6"/>
    <w:rsid w:val="00C82339"/>
    <w:rsid w:val="00C82440"/>
    <w:rsid w:val="00C82533"/>
    <w:rsid w:val="00C82547"/>
    <w:rsid w:val="00C82706"/>
    <w:rsid w:val="00C82799"/>
    <w:rsid w:val="00C82840"/>
    <w:rsid w:val="00C8286F"/>
    <w:rsid w:val="00C828A5"/>
    <w:rsid w:val="00C82967"/>
    <w:rsid w:val="00C82982"/>
    <w:rsid w:val="00C829A0"/>
    <w:rsid w:val="00C82AB3"/>
    <w:rsid w:val="00C82AB8"/>
    <w:rsid w:val="00C82C25"/>
    <w:rsid w:val="00C82CEE"/>
    <w:rsid w:val="00C82D2D"/>
    <w:rsid w:val="00C82E57"/>
    <w:rsid w:val="00C82E5D"/>
    <w:rsid w:val="00C82E5F"/>
    <w:rsid w:val="00C83008"/>
    <w:rsid w:val="00C8311A"/>
    <w:rsid w:val="00C8327C"/>
    <w:rsid w:val="00C83286"/>
    <w:rsid w:val="00C8340D"/>
    <w:rsid w:val="00C83424"/>
    <w:rsid w:val="00C83437"/>
    <w:rsid w:val="00C8363A"/>
    <w:rsid w:val="00C836B7"/>
    <w:rsid w:val="00C836ED"/>
    <w:rsid w:val="00C83729"/>
    <w:rsid w:val="00C83743"/>
    <w:rsid w:val="00C8392E"/>
    <w:rsid w:val="00C83B2D"/>
    <w:rsid w:val="00C83BF8"/>
    <w:rsid w:val="00C83E4B"/>
    <w:rsid w:val="00C83E5B"/>
    <w:rsid w:val="00C83E92"/>
    <w:rsid w:val="00C83F9C"/>
    <w:rsid w:val="00C84112"/>
    <w:rsid w:val="00C8413F"/>
    <w:rsid w:val="00C8415D"/>
    <w:rsid w:val="00C84181"/>
    <w:rsid w:val="00C841A4"/>
    <w:rsid w:val="00C8420F"/>
    <w:rsid w:val="00C84258"/>
    <w:rsid w:val="00C844F3"/>
    <w:rsid w:val="00C84721"/>
    <w:rsid w:val="00C84C09"/>
    <w:rsid w:val="00C84C79"/>
    <w:rsid w:val="00C84CD2"/>
    <w:rsid w:val="00C84DBC"/>
    <w:rsid w:val="00C84E4B"/>
    <w:rsid w:val="00C84E8B"/>
    <w:rsid w:val="00C85258"/>
    <w:rsid w:val="00C85318"/>
    <w:rsid w:val="00C85405"/>
    <w:rsid w:val="00C8562E"/>
    <w:rsid w:val="00C85631"/>
    <w:rsid w:val="00C8568D"/>
    <w:rsid w:val="00C85723"/>
    <w:rsid w:val="00C85773"/>
    <w:rsid w:val="00C859FA"/>
    <w:rsid w:val="00C85C2E"/>
    <w:rsid w:val="00C85E80"/>
    <w:rsid w:val="00C85FE2"/>
    <w:rsid w:val="00C860C7"/>
    <w:rsid w:val="00C860D6"/>
    <w:rsid w:val="00C860F4"/>
    <w:rsid w:val="00C8610E"/>
    <w:rsid w:val="00C86149"/>
    <w:rsid w:val="00C86165"/>
    <w:rsid w:val="00C861E9"/>
    <w:rsid w:val="00C86258"/>
    <w:rsid w:val="00C862D0"/>
    <w:rsid w:val="00C862DF"/>
    <w:rsid w:val="00C86312"/>
    <w:rsid w:val="00C864A1"/>
    <w:rsid w:val="00C86506"/>
    <w:rsid w:val="00C8654C"/>
    <w:rsid w:val="00C86636"/>
    <w:rsid w:val="00C86637"/>
    <w:rsid w:val="00C866C5"/>
    <w:rsid w:val="00C86754"/>
    <w:rsid w:val="00C86878"/>
    <w:rsid w:val="00C86892"/>
    <w:rsid w:val="00C868B4"/>
    <w:rsid w:val="00C869F1"/>
    <w:rsid w:val="00C86A9B"/>
    <w:rsid w:val="00C86B33"/>
    <w:rsid w:val="00C86BD4"/>
    <w:rsid w:val="00C86C0B"/>
    <w:rsid w:val="00C86D0E"/>
    <w:rsid w:val="00C86D84"/>
    <w:rsid w:val="00C86E07"/>
    <w:rsid w:val="00C86E0F"/>
    <w:rsid w:val="00C86FB1"/>
    <w:rsid w:val="00C87012"/>
    <w:rsid w:val="00C87101"/>
    <w:rsid w:val="00C87145"/>
    <w:rsid w:val="00C87260"/>
    <w:rsid w:val="00C872A5"/>
    <w:rsid w:val="00C87361"/>
    <w:rsid w:val="00C87366"/>
    <w:rsid w:val="00C8739B"/>
    <w:rsid w:val="00C874CC"/>
    <w:rsid w:val="00C874FE"/>
    <w:rsid w:val="00C875BE"/>
    <w:rsid w:val="00C87603"/>
    <w:rsid w:val="00C876B2"/>
    <w:rsid w:val="00C878F7"/>
    <w:rsid w:val="00C87AD3"/>
    <w:rsid w:val="00C87B2F"/>
    <w:rsid w:val="00C87BC8"/>
    <w:rsid w:val="00C87C31"/>
    <w:rsid w:val="00C87E49"/>
    <w:rsid w:val="00C901C8"/>
    <w:rsid w:val="00C902C4"/>
    <w:rsid w:val="00C9031B"/>
    <w:rsid w:val="00C9031E"/>
    <w:rsid w:val="00C9043B"/>
    <w:rsid w:val="00C9054A"/>
    <w:rsid w:val="00C905C8"/>
    <w:rsid w:val="00C905FD"/>
    <w:rsid w:val="00C907E6"/>
    <w:rsid w:val="00C90832"/>
    <w:rsid w:val="00C90892"/>
    <w:rsid w:val="00C908C7"/>
    <w:rsid w:val="00C90968"/>
    <w:rsid w:val="00C909C1"/>
    <w:rsid w:val="00C909C8"/>
    <w:rsid w:val="00C909E1"/>
    <w:rsid w:val="00C909FD"/>
    <w:rsid w:val="00C90B4B"/>
    <w:rsid w:val="00C90BC0"/>
    <w:rsid w:val="00C90BEB"/>
    <w:rsid w:val="00C90C12"/>
    <w:rsid w:val="00C90C67"/>
    <w:rsid w:val="00C90D60"/>
    <w:rsid w:val="00C90D7C"/>
    <w:rsid w:val="00C90E88"/>
    <w:rsid w:val="00C91030"/>
    <w:rsid w:val="00C91036"/>
    <w:rsid w:val="00C911DE"/>
    <w:rsid w:val="00C915C7"/>
    <w:rsid w:val="00C91721"/>
    <w:rsid w:val="00C918D8"/>
    <w:rsid w:val="00C91A79"/>
    <w:rsid w:val="00C91A83"/>
    <w:rsid w:val="00C91AC8"/>
    <w:rsid w:val="00C91C6B"/>
    <w:rsid w:val="00C91CE8"/>
    <w:rsid w:val="00C91CF3"/>
    <w:rsid w:val="00C91D70"/>
    <w:rsid w:val="00C91DAF"/>
    <w:rsid w:val="00C91E17"/>
    <w:rsid w:val="00C91E2E"/>
    <w:rsid w:val="00C91E63"/>
    <w:rsid w:val="00C91E67"/>
    <w:rsid w:val="00C91FBA"/>
    <w:rsid w:val="00C92003"/>
    <w:rsid w:val="00C92021"/>
    <w:rsid w:val="00C92194"/>
    <w:rsid w:val="00C92271"/>
    <w:rsid w:val="00C92285"/>
    <w:rsid w:val="00C9230B"/>
    <w:rsid w:val="00C92350"/>
    <w:rsid w:val="00C9248B"/>
    <w:rsid w:val="00C924FF"/>
    <w:rsid w:val="00C9256F"/>
    <w:rsid w:val="00C9264E"/>
    <w:rsid w:val="00C92705"/>
    <w:rsid w:val="00C9271C"/>
    <w:rsid w:val="00C92783"/>
    <w:rsid w:val="00C928EC"/>
    <w:rsid w:val="00C92957"/>
    <w:rsid w:val="00C9297B"/>
    <w:rsid w:val="00C929B6"/>
    <w:rsid w:val="00C92A5A"/>
    <w:rsid w:val="00C92A81"/>
    <w:rsid w:val="00C92CB6"/>
    <w:rsid w:val="00C92D04"/>
    <w:rsid w:val="00C92D06"/>
    <w:rsid w:val="00C92D44"/>
    <w:rsid w:val="00C92DB9"/>
    <w:rsid w:val="00C92E6E"/>
    <w:rsid w:val="00C92EE2"/>
    <w:rsid w:val="00C92F1D"/>
    <w:rsid w:val="00C92FAB"/>
    <w:rsid w:val="00C92FC4"/>
    <w:rsid w:val="00C92FFC"/>
    <w:rsid w:val="00C930C2"/>
    <w:rsid w:val="00C9315D"/>
    <w:rsid w:val="00C9318B"/>
    <w:rsid w:val="00C9336C"/>
    <w:rsid w:val="00C935C2"/>
    <w:rsid w:val="00C9366D"/>
    <w:rsid w:val="00C93708"/>
    <w:rsid w:val="00C93734"/>
    <w:rsid w:val="00C9378C"/>
    <w:rsid w:val="00C937A7"/>
    <w:rsid w:val="00C937C7"/>
    <w:rsid w:val="00C93811"/>
    <w:rsid w:val="00C939EF"/>
    <w:rsid w:val="00C93B1E"/>
    <w:rsid w:val="00C93BD6"/>
    <w:rsid w:val="00C93C38"/>
    <w:rsid w:val="00C93D00"/>
    <w:rsid w:val="00C93D76"/>
    <w:rsid w:val="00C93E4E"/>
    <w:rsid w:val="00C93F04"/>
    <w:rsid w:val="00C93FE5"/>
    <w:rsid w:val="00C94007"/>
    <w:rsid w:val="00C94071"/>
    <w:rsid w:val="00C940D4"/>
    <w:rsid w:val="00C94135"/>
    <w:rsid w:val="00C941BE"/>
    <w:rsid w:val="00C941E5"/>
    <w:rsid w:val="00C94236"/>
    <w:rsid w:val="00C943AA"/>
    <w:rsid w:val="00C943FF"/>
    <w:rsid w:val="00C9447E"/>
    <w:rsid w:val="00C944F6"/>
    <w:rsid w:val="00C9460B"/>
    <w:rsid w:val="00C94663"/>
    <w:rsid w:val="00C94723"/>
    <w:rsid w:val="00C94761"/>
    <w:rsid w:val="00C94868"/>
    <w:rsid w:val="00C94946"/>
    <w:rsid w:val="00C94972"/>
    <w:rsid w:val="00C949DA"/>
    <w:rsid w:val="00C949E5"/>
    <w:rsid w:val="00C94A6A"/>
    <w:rsid w:val="00C94B10"/>
    <w:rsid w:val="00C94B84"/>
    <w:rsid w:val="00C94CB9"/>
    <w:rsid w:val="00C94D34"/>
    <w:rsid w:val="00C94D8F"/>
    <w:rsid w:val="00C94E02"/>
    <w:rsid w:val="00C94EBE"/>
    <w:rsid w:val="00C94F45"/>
    <w:rsid w:val="00C94F75"/>
    <w:rsid w:val="00C94FCA"/>
    <w:rsid w:val="00C95084"/>
    <w:rsid w:val="00C95087"/>
    <w:rsid w:val="00C9527C"/>
    <w:rsid w:val="00C9528F"/>
    <w:rsid w:val="00C952B5"/>
    <w:rsid w:val="00C9535E"/>
    <w:rsid w:val="00C95375"/>
    <w:rsid w:val="00C95564"/>
    <w:rsid w:val="00C9557B"/>
    <w:rsid w:val="00C9567E"/>
    <w:rsid w:val="00C95724"/>
    <w:rsid w:val="00C95794"/>
    <w:rsid w:val="00C957A3"/>
    <w:rsid w:val="00C958D2"/>
    <w:rsid w:val="00C958EB"/>
    <w:rsid w:val="00C95967"/>
    <w:rsid w:val="00C959B3"/>
    <w:rsid w:val="00C95B7B"/>
    <w:rsid w:val="00C95BDC"/>
    <w:rsid w:val="00C95C7C"/>
    <w:rsid w:val="00C95C9B"/>
    <w:rsid w:val="00C95CA5"/>
    <w:rsid w:val="00C95D16"/>
    <w:rsid w:val="00C95D4D"/>
    <w:rsid w:val="00C95DA9"/>
    <w:rsid w:val="00C9602D"/>
    <w:rsid w:val="00C9609E"/>
    <w:rsid w:val="00C96165"/>
    <w:rsid w:val="00C96211"/>
    <w:rsid w:val="00C962C7"/>
    <w:rsid w:val="00C962F0"/>
    <w:rsid w:val="00C96328"/>
    <w:rsid w:val="00C96507"/>
    <w:rsid w:val="00C965F9"/>
    <w:rsid w:val="00C9661E"/>
    <w:rsid w:val="00C967C2"/>
    <w:rsid w:val="00C96947"/>
    <w:rsid w:val="00C96960"/>
    <w:rsid w:val="00C96A35"/>
    <w:rsid w:val="00C96A4F"/>
    <w:rsid w:val="00C96ADF"/>
    <w:rsid w:val="00C96B46"/>
    <w:rsid w:val="00C96C23"/>
    <w:rsid w:val="00C96C6A"/>
    <w:rsid w:val="00C96C8F"/>
    <w:rsid w:val="00C96CFB"/>
    <w:rsid w:val="00C96D1A"/>
    <w:rsid w:val="00C96D51"/>
    <w:rsid w:val="00C97085"/>
    <w:rsid w:val="00C97087"/>
    <w:rsid w:val="00C970E8"/>
    <w:rsid w:val="00C97253"/>
    <w:rsid w:val="00C9729F"/>
    <w:rsid w:val="00C9747C"/>
    <w:rsid w:val="00C97488"/>
    <w:rsid w:val="00C9752A"/>
    <w:rsid w:val="00C975DC"/>
    <w:rsid w:val="00C975F0"/>
    <w:rsid w:val="00C9766B"/>
    <w:rsid w:val="00C976F1"/>
    <w:rsid w:val="00C97A9D"/>
    <w:rsid w:val="00C97FF5"/>
    <w:rsid w:val="00CA00D2"/>
    <w:rsid w:val="00CA0198"/>
    <w:rsid w:val="00CA0244"/>
    <w:rsid w:val="00CA0296"/>
    <w:rsid w:val="00CA0328"/>
    <w:rsid w:val="00CA052C"/>
    <w:rsid w:val="00CA0A2B"/>
    <w:rsid w:val="00CA0A38"/>
    <w:rsid w:val="00CA0A71"/>
    <w:rsid w:val="00CA0C82"/>
    <w:rsid w:val="00CA0FD6"/>
    <w:rsid w:val="00CA0FE0"/>
    <w:rsid w:val="00CA1345"/>
    <w:rsid w:val="00CA134A"/>
    <w:rsid w:val="00CA137F"/>
    <w:rsid w:val="00CA13AE"/>
    <w:rsid w:val="00CA13E1"/>
    <w:rsid w:val="00CA141E"/>
    <w:rsid w:val="00CA151B"/>
    <w:rsid w:val="00CA15AF"/>
    <w:rsid w:val="00CA15F9"/>
    <w:rsid w:val="00CA16CA"/>
    <w:rsid w:val="00CA1701"/>
    <w:rsid w:val="00CA17C2"/>
    <w:rsid w:val="00CA1817"/>
    <w:rsid w:val="00CA1886"/>
    <w:rsid w:val="00CA18A9"/>
    <w:rsid w:val="00CA18BA"/>
    <w:rsid w:val="00CA19F4"/>
    <w:rsid w:val="00CA1A85"/>
    <w:rsid w:val="00CA1AB5"/>
    <w:rsid w:val="00CA1AFA"/>
    <w:rsid w:val="00CA1AFF"/>
    <w:rsid w:val="00CA1B20"/>
    <w:rsid w:val="00CA1BAF"/>
    <w:rsid w:val="00CA1BF6"/>
    <w:rsid w:val="00CA1CD8"/>
    <w:rsid w:val="00CA1E3A"/>
    <w:rsid w:val="00CA1E5B"/>
    <w:rsid w:val="00CA1FDA"/>
    <w:rsid w:val="00CA1FE3"/>
    <w:rsid w:val="00CA21C3"/>
    <w:rsid w:val="00CA2252"/>
    <w:rsid w:val="00CA23BC"/>
    <w:rsid w:val="00CA2504"/>
    <w:rsid w:val="00CA2788"/>
    <w:rsid w:val="00CA2883"/>
    <w:rsid w:val="00CA28D7"/>
    <w:rsid w:val="00CA2930"/>
    <w:rsid w:val="00CA2B0F"/>
    <w:rsid w:val="00CA2B38"/>
    <w:rsid w:val="00CA2C14"/>
    <w:rsid w:val="00CA2C33"/>
    <w:rsid w:val="00CA30C9"/>
    <w:rsid w:val="00CA30F0"/>
    <w:rsid w:val="00CA32D7"/>
    <w:rsid w:val="00CA33C3"/>
    <w:rsid w:val="00CA33E3"/>
    <w:rsid w:val="00CA3454"/>
    <w:rsid w:val="00CA3683"/>
    <w:rsid w:val="00CA36F2"/>
    <w:rsid w:val="00CA36F5"/>
    <w:rsid w:val="00CA3A01"/>
    <w:rsid w:val="00CA3A0F"/>
    <w:rsid w:val="00CA3A25"/>
    <w:rsid w:val="00CA3A42"/>
    <w:rsid w:val="00CA3AE3"/>
    <w:rsid w:val="00CA3B87"/>
    <w:rsid w:val="00CA3BBB"/>
    <w:rsid w:val="00CA3C14"/>
    <w:rsid w:val="00CA3DAB"/>
    <w:rsid w:val="00CA3DBE"/>
    <w:rsid w:val="00CA3F59"/>
    <w:rsid w:val="00CA3F97"/>
    <w:rsid w:val="00CA4176"/>
    <w:rsid w:val="00CA4268"/>
    <w:rsid w:val="00CA45E3"/>
    <w:rsid w:val="00CA4661"/>
    <w:rsid w:val="00CA46D6"/>
    <w:rsid w:val="00CA4712"/>
    <w:rsid w:val="00CA474B"/>
    <w:rsid w:val="00CA4776"/>
    <w:rsid w:val="00CA47CE"/>
    <w:rsid w:val="00CA4816"/>
    <w:rsid w:val="00CA48EA"/>
    <w:rsid w:val="00CA4A41"/>
    <w:rsid w:val="00CA4A82"/>
    <w:rsid w:val="00CA4AAC"/>
    <w:rsid w:val="00CA4B2D"/>
    <w:rsid w:val="00CA4B38"/>
    <w:rsid w:val="00CA4BA1"/>
    <w:rsid w:val="00CA4C24"/>
    <w:rsid w:val="00CA4EA2"/>
    <w:rsid w:val="00CA50D4"/>
    <w:rsid w:val="00CA511D"/>
    <w:rsid w:val="00CA52BC"/>
    <w:rsid w:val="00CA53CA"/>
    <w:rsid w:val="00CA54C4"/>
    <w:rsid w:val="00CA54DD"/>
    <w:rsid w:val="00CA559E"/>
    <w:rsid w:val="00CA564E"/>
    <w:rsid w:val="00CA56B1"/>
    <w:rsid w:val="00CA56B4"/>
    <w:rsid w:val="00CA57DD"/>
    <w:rsid w:val="00CA57FE"/>
    <w:rsid w:val="00CA5866"/>
    <w:rsid w:val="00CA597E"/>
    <w:rsid w:val="00CA5997"/>
    <w:rsid w:val="00CA59D8"/>
    <w:rsid w:val="00CA5AF9"/>
    <w:rsid w:val="00CA5C40"/>
    <w:rsid w:val="00CA5DD7"/>
    <w:rsid w:val="00CA5E0D"/>
    <w:rsid w:val="00CA5E8E"/>
    <w:rsid w:val="00CA5F9C"/>
    <w:rsid w:val="00CA5FD2"/>
    <w:rsid w:val="00CA6093"/>
    <w:rsid w:val="00CA60BE"/>
    <w:rsid w:val="00CA60DF"/>
    <w:rsid w:val="00CA6259"/>
    <w:rsid w:val="00CA67CE"/>
    <w:rsid w:val="00CA682D"/>
    <w:rsid w:val="00CA6896"/>
    <w:rsid w:val="00CA6951"/>
    <w:rsid w:val="00CA696C"/>
    <w:rsid w:val="00CA6B7F"/>
    <w:rsid w:val="00CA6C35"/>
    <w:rsid w:val="00CA6CD8"/>
    <w:rsid w:val="00CA6DCD"/>
    <w:rsid w:val="00CA6E19"/>
    <w:rsid w:val="00CA6FD8"/>
    <w:rsid w:val="00CA7009"/>
    <w:rsid w:val="00CA7057"/>
    <w:rsid w:val="00CA73FF"/>
    <w:rsid w:val="00CA7495"/>
    <w:rsid w:val="00CA757A"/>
    <w:rsid w:val="00CA7989"/>
    <w:rsid w:val="00CA7E99"/>
    <w:rsid w:val="00CB014D"/>
    <w:rsid w:val="00CB0350"/>
    <w:rsid w:val="00CB0393"/>
    <w:rsid w:val="00CB043C"/>
    <w:rsid w:val="00CB0462"/>
    <w:rsid w:val="00CB0467"/>
    <w:rsid w:val="00CB0552"/>
    <w:rsid w:val="00CB063A"/>
    <w:rsid w:val="00CB0783"/>
    <w:rsid w:val="00CB07E5"/>
    <w:rsid w:val="00CB089F"/>
    <w:rsid w:val="00CB08E2"/>
    <w:rsid w:val="00CB0992"/>
    <w:rsid w:val="00CB0A2B"/>
    <w:rsid w:val="00CB0C1B"/>
    <w:rsid w:val="00CB0E7D"/>
    <w:rsid w:val="00CB0E94"/>
    <w:rsid w:val="00CB0EAD"/>
    <w:rsid w:val="00CB0F4A"/>
    <w:rsid w:val="00CB0FD3"/>
    <w:rsid w:val="00CB1027"/>
    <w:rsid w:val="00CB1057"/>
    <w:rsid w:val="00CB10D0"/>
    <w:rsid w:val="00CB10EE"/>
    <w:rsid w:val="00CB11C7"/>
    <w:rsid w:val="00CB136B"/>
    <w:rsid w:val="00CB142C"/>
    <w:rsid w:val="00CB1458"/>
    <w:rsid w:val="00CB1490"/>
    <w:rsid w:val="00CB1491"/>
    <w:rsid w:val="00CB14FE"/>
    <w:rsid w:val="00CB17C2"/>
    <w:rsid w:val="00CB17D3"/>
    <w:rsid w:val="00CB18BB"/>
    <w:rsid w:val="00CB1A59"/>
    <w:rsid w:val="00CB1A94"/>
    <w:rsid w:val="00CB1C1C"/>
    <w:rsid w:val="00CB1D30"/>
    <w:rsid w:val="00CB1DF2"/>
    <w:rsid w:val="00CB1E4F"/>
    <w:rsid w:val="00CB1E78"/>
    <w:rsid w:val="00CB1EBF"/>
    <w:rsid w:val="00CB1ED5"/>
    <w:rsid w:val="00CB1EE3"/>
    <w:rsid w:val="00CB1F98"/>
    <w:rsid w:val="00CB20FF"/>
    <w:rsid w:val="00CB21C2"/>
    <w:rsid w:val="00CB2205"/>
    <w:rsid w:val="00CB2357"/>
    <w:rsid w:val="00CB24DF"/>
    <w:rsid w:val="00CB257D"/>
    <w:rsid w:val="00CB260B"/>
    <w:rsid w:val="00CB262B"/>
    <w:rsid w:val="00CB2721"/>
    <w:rsid w:val="00CB273B"/>
    <w:rsid w:val="00CB276F"/>
    <w:rsid w:val="00CB27FC"/>
    <w:rsid w:val="00CB2AFD"/>
    <w:rsid w:val="00CB2BC6"/>
    <w:rsid w:val="00CB2BF4"/>
    <w:rsid w:val="00CB2C07"/>
    <w:rsid w:val="00CB2CC3"/>
    <w:rsid w:val="00CB2D1C"/>
    <w:rsid w:val="00CB2DA4"/>
    <w:rsid w:val="00CB2DAD"/>
    <w:rsid w:val="00CB2ECE"/>
    <w:rsid w:val="00CB3055"/>
    <w:rsid w:val="00CB30CE"/>
    <w:rsid w:val="00CB312A"/>
    <w:rsid w:val="00CB31A0"/>
    <w:rsid w:val="00CB3285"/>
    <w:rsid w:val="00CB32C9"/>
    <w:rsid w:val="00CB32FD"/>
    <w:rsid w:val="00CB38E8"/>
    <w:rsid w:val="00CB3925"/>
    <w:rsid w:val="00CB395D"/>
    <w:rsid w:val="00CB398F"/>
    <w:rsid w:val="00CB3999"/>
    <w:rsid w:val="00CB3A94"/>
    <w:rsid w:val="00CB3BAC"/>
    <w:rsid w:val="00CB3D2E"/>
    <w:rsid w:val="00CB3DB4"/>
    <w:rsid w:val="00CB3EEC"/>
    <w:rsid w:val="00CB3F3F"/>
    <w:rsid w:val="00CB3F55"/>
    <w:rsid w:val="00CB4006"/>
    <w:rsid w:val="00CB40C3"/>
    <w:rsid w:val="00CB41D8"/>
    <w:rsid w:val="00CB421E"/>
    <w:rsid w:val="00CB42CA"/>
    <w:rsid w:val="00CB437D"/>
    <w:rsid w:val="00CB44C2"/>
    <w:rsid w:val="00CB4546"/>
    <w:rsid w:val="00CB48CB"/>
    <w:rsid w:val="00CB48D7"/>
    <w:rsid w:val="00CB4943"/>
    <w:rsid w:val="00CB49A9"/>
    <w:rsid w:val="00CB4BA2"/>
    <w:rsid w:val="00CB4CAE"/>
    <w:rsid w:val="00CB4D90"/>
    <w:rsid w:val="00CB4E69"/>
    <w:rsid w:val="00CB4EAC"/>
    <w:rsid w:val="00CB4F88"/>
    <w:rsid w:val="00CB5036"/>
    <w:rsid w:val="00CB50DA"/>
    <w:rsid w:val="00CB510F"/>
    <w:rsid w:val="00CB515B"/>
    <w:rsid w:val="00CB534F"/>
    <w:rsid w:val="00CB54A3"/>
    <w:rsid w:val="00CB54D8"/>
    <w:rsid w:val="00CB556E"/>
    <w:rsid w:val="00CB5599"/>
    <w:rsid w:val="00CB55CF"/>
    <w:rsid w:val="00CB56F4"/>
    <w:rsid w:val="00CB58AD"/>
    <w:rsid w:val="00CB5932"/>
    <w:rsid w:val="00CB5C1B"/>
    <w:rsid w:val="00CB5CE8"/>
    <w:rsid w:val="00CB5DB3"/>
    <w:rsid w:val="00CB5F36"/>
    <w:rsid w:val="00CB5FA7"/>
    <w:rsid w:val="00CB6038"/>
    <w:rsid w:val="00CB6101"/>
    <w:rsid w:val="00CB6146"/>
    <w:rsid w:val="00CB62BE"/>
    <w:rsid w:val="00CB62D7"/>
    <w:rsid w:val="00CB6313"/>
    <w:rsid w:val="00CB6401"/>
    <w:rsid w:val="00CB6465"/>
    <w:rsid w:val="00CB6503"/>
    <w:rsid w:val="00CB67B8"/>
    <w:rsid w:val="00CB6868"/>
    <w:rsid w:val="00CB68B6"/>
    <w:rsid w:val="00CB68FC"/>
    <w:rsid w:val="00CB6B25"/>
    <w:rsid w:val="00CB6BEC"/>
    <w:rsid w:val="00CB708E"/>
    <w:rsid w:val="00CB70BD"/>
    <w:rsid w:val="00CB710C"/>
    <w:rsid w:val="00CB71A9"/>
    <w:rsid w:val="00CB7309"/>
    <w:rsid w:val="00CB73DE"/>
    <w:rsid w:val="00CB73E1"/>
    <w:rsid w:val="00CB7478"/>
    <w:rsid w:val="00CB7657"/>
    <w:rsid w:val="00CB77BE"/>
    <w:rsid w:val="00CB78AB"/>
    <w:rsid w:val="00CB7942"/>
    <w:rsid w:val="00CB7968"/>
    <w:rsid w:val="00CB79CC"/>
    <w:rsid w:val="00CB7B3E"/>
    <w:rsid w:val="00CB7C6C"/>
    <w:rsid w:val="00CB7CDC"/>
    <w:rsid w:val="00CB7D0E"/>
    <w:rsid w:val="00CB7D28"/>
    <w:rsid w:val="00CB7DA6"/>
    <w:rsid w:val="00CB7DBD"/>
    <w:rsid w:val="00CB7E04"/>
    <w:rsid w:val="00CB7EF8"/>
    <w:rsid w:val="00CB7F30"/>
    <w:rsid w:val="00CB7FC7"/>
    <w:rsid w:val="00CC00A2"/>
    <w:rsid w:val="00CC00A7"/>
    <w:rsid w:val="00CC00BC"/>
    <w:rsid w:val="00CC02AE"/>
    <w:rsid w:val="00CC02D9"/>
    <w:rsid w:val="00CC03C8"/>
    <w:rsid w:val="00CC03CE"/>
    <w:rsid w:val="00CC05CC"/>
    <w:rsid w:val="00CC06C6"/>
    <w:rsid w:val="00CC06D5"/>
    <w:rsid w:val="00CC06E2"/>
    <w:rsid w:val="00CC0851"/>
    <w:rsid w:val="00CC088E"/>
    <w:rsid w:val="00CC08A7"/>
    <w:rsid w:val="00CC08B9"/>
    <w:rsid w:val="00CC0959"/>
    <w:rsid w:val="00CC0B0C"/>
    <w:rsid w:val="00CC0B6C"/>
    <w:rsid w:val="00CC0BB2"/>
    <w:rsid w:val="00CC0DA0"/>
    <w:rsid w:val="00CC1137"/>
    <w:rsid w:val="00CC115F"/>
    <w:rsid w:val="00CC1199"/>
    <w:rsid w:val="00CC11A8"/>
    <w:rsid w:val="00CC11FB"/>
    <w:rsid w:val="00CC12C6"/>
    <w:rsid w:val="00CC12E9"/>
    <w:rsid w:val="00CC1304"/>
    <w:rsid w:val="00CC1461"/>
    <w:rsid w:val="00CC1644"/>
    <w:rsid w:val="00CC1951"/>
    <w:rsid w:val="00CC19AE"/>
    <w:rsid w:val="00CC1AEF"/>
    <w:rsid w:val="00CC1B76"/>
    <w:rsid w:val="00CC1C38"/>
    <w:rsid w:val="00CC1C3A"/>
    <w:rsid w:val="00CC1CDA"/>
    <w:rsid w:val="00CC1DD2"/>
    <w:rsid w:val="00CC1E57"/>
    <w:rsid w:val="00CC1E59"/>
    <w:rsid w:val="00CC1FA7"/>
    <w:rsid w:val="00CC1FF9"/>
    <w:rsid w:val="00CC2163"/>
    <w:rsid w:val="00CC21FD"/>
    <w:rsid w:val="00CC22D0"/>
    <w:rsid w:val="00CC23ED"/>
    <w:rsid w:val="00CC2501"/>
    <w:rsid w:val="00CC2615"/>
    <w:rsid w:val="00CC26AA"/>
    <w:rsid w:val="00CC26C9"/>
    <w:rsid w:val="00CC26CA"/>
    <w:rsid w:val="00CC289B"/>
    <w:rsid w:val="00CC28D6"/>
    <w:rsid w:val="00CC29AF"/>
    <w:rsid w:val="00CC2B8D"/>
    <w:rsid w:val="00CC2C5E"/>
    <w:rsid w:val="00CC2D74"/>
    <w:rsid w:val="00CC2E43"/>
    <w:rsid w:val="00CC2E55"/>
    <w:rsid w:val="00CC2E7F"/>
    <w:rsid w:val="00CC2F7A"/>
    <w:rsid w:val="00CC3027"/>
    <w:rsid w:val="00CC3036"/>
    <w:rsid w:val="00CC30E6"/>
    <w:rsid w:val="00CC32F9"/>
    <w:rsid w:val="00CC337B"/>
    <w:rsid w:val="00CC345B"/>
    <w:rsid w:val="00CC3526"/>
    <w:rsid w:val="00CC35C3"/>
    <w:rsid w:val="00CC3621"/>
    <w:rsid w:val="00CC3767"/>
    <w:rsid w:val="00CC382B"/>
    <w:rsid w:val="00CC3875"/>
    <w:rsid w:val="00CC3941"/>
    <w:rsid w:val="00CC3BCD"/>
    <w:rsid w:val="00CC3C7A"/>
    <w:rsid w:val="00CC3CDB"/>
    <w:rsid w:val="00CC3D6B"/>
    <w:rsid w:val="00CC3DF5"/>
    <w:rsid w:val="00CC3E23"/>
    <w:rsid w:val="00CC3E91"/>
    <w:rsid w:val="00CC3F3D"/>
    <w:rsid w:val="00CC3FD9"/>
    <w:rsid w:val="00CC3FDF"/>
    <w:rsid w:val="00CC430C"/>
    <w:rsid w:val="00CC444A"/>
    <w:rsid w:val="00CC44B5"/>
    <w:rsid w:val="00CC45A4"/>
    <w:rsid w:val="00CC46E4"/>
    <w:rsid w:val="00CC4715"/>
    <w:rsid w:val="00CC4888"/>
    <w:rsid w:val="00CC4ABE"/>
    <w:rsid w:val="00CC4ACB"/>
    <w:rsid w:val="00CC4BB5"/>
    <w:rsid w:val="00CC4C25"/>
    <w:rsid w:val="00CC4D19"/>
    <w:rsid w:val="00CC4D49"/>
    <w:rsid w:val="00CC4D4A"/>
    <w:rsid w:val="00CC4D61"/>
    <w:rsid w:val="00CC4E10"/>
    <w:rsid w:val="00CC4E45"/>
    <w:rsid w:val="00CC50FA"/>
    <w:rsid w:val="00CC52DC"/>
    <w:rsid w:val="00CC5517"/>
    <w:rsid w:val="00CC5575"/>
    <w:rsid w:val="00CC563F"/>
    <w:rsid w:val="00CC56C3"/>
    <w:rsid w:val="00CC579E"/>
    <w:rsid w:val="00CC57AC"/>
    <w:rsid w:val="00CC5ACC"/>
    <w:rsid w:val="00CC5B0E"/>
    <w:rsid w:val="00CC5C18"/>
    <w:rsid w:val="00CC5C77"/>
    <w:rsid w:val="00CC5CE8"/>
    <w:rsid w:val="00CC5D37"/>
    <w:rsid w:val="00CC5DA9"/>
    <w:rsid w:val="00CC5E6E"/>
    <w:rsid w:val="00CC5F5B"/>
    <w:rsid w:val="00CC5FB7"/>
    <w:rsid w:val="00CC5FCB"/>
    <w:rsid w:val="00CC602A"/>
    <w:rsid w:val="00CC60F6"/>
    <w:rsid w:val="00CC6120"/>
    <w:rsid w:val="00CC612D"/>
    <w:rsid w:val="00CC618B"/>
    <w:rsid w:val="00CC6204"/>
    <w:rsid w:val="00CC6286"/>
    <w:rsid w:val="00CC648A"/>
    <w:rsid w:val="00CC64E9"/>
    <w:rsid w:val="00CC653E"/>
    <w:rsid w:val="00CC654B"/>
    <w:rsid w:val="00CC65DF"/>
    <w:rsid w:val="00CC6680"/>
    <w:rsid w:val="00CC6796"/>
    <w:rsid w:val="00CC67C1"/>
    <w:rsid w:val="00CC69CB"/>
    <w:rsid w:val="00CC6A1D"/>
    <w:rsid w:val="00CC6A38"/>
    <w:rsid w:val="00CC6B26"/>
    <w:rsid w:val="00CC6E13"/>
    <w:rsid w:val="00CC6E48"/>
    <w:rsid w:val="00CC6F0D"/>
    <w:rsid w:val="00CC7010"/>
    <w:rsid w:val="00CC709C"/>
    <w:rsid w:val="00CC70A6"/>
    <w:rsid w:val="00CC7184"/>
    <w:rsid w:val="00CC7204"/>
    <w:rsid w:val="00CC7344"/>
    <w:rsid w:val="00CC74F6"/>
    <w:rsid w:val="00CC75AE"/>
    <w:rsid w:val="00CC75EF"/>
    <w:rsid w:val="00CC768A"/>
    <w:rsid w:val="00CC7710"/>
    <w:rsid w:val="00CC78C7"/>
    <w:rsid w:val="00CC78DC"/>
    <w:rsid w:val="00CC7BAD"/>
    <w:rsid w:val="00CC7D27"/>
    <w:rsid w:val="00CC7DCB"/>
    <w:rsid w:val="00CC7DD8"/>
    <w:rsid w:val="00CC7E4B"/>
    <w:rsid w:val="00CC7F05"/>
    <w:rsid w:val="00CCE2B1"/>
    <w:rsid w:val="00CD0128"/>
    <w:rsid w:val="00CD0242"/>
    <w:rsid w:val="00CD0247"/>
    <w:rsid w:val="00CD0293"/>
    <w:rsid w:val="00CD0355"/>
    <w:rsid w:val="00CD03F1"/>
    <w:rsid w:val="00CD04B2"/>
    <w:rsid w:val="00CD04DC"/>
    <w:rsid w:val="00CD0546"/>
    <w:rsid w:val="00CD06C5"/>
    <w:rsid w:val="00CD072F"/>
    <w:rsid w:val="00CD07DF"/>
    <w:rsid w:val="00CD0800"/>
    <w:rsid w:val="00CD0AC8"/>
    <w:rsid w:val="00CD0B6F"/>
    <w:rsid w:val="00CD0BBB"/>
    <w:rsid w:val="00CD0CBB"/>
    <w:rsid w:val="00CD0D0A"/>
    <w:rsid w:val="00CD0D6A"/>
    <w:rsid w:val="00CD0F7E"/>
    <w:rsid w:val="00CD102D"/>
    <w:rsid w:val="00CD1141"/>
    <w:rsid w:val="00CD11C6"/>
    <w:rsid w:val="00CD11F3"/>
    <w:rsid w:val="00CD12E2"/>
    <w:rsid w:val="00CD12FD"/>
    <w:rsid w:val="00CD13B5"/>
    <w:rsid w:val="00CD146D"/>
    <w:rsid w:val="00CD14B3"/>
    <w:rsid w:val="00CD14C7"/>
    <w:rsid w:val="00CD15CD"/>
    <w:rsid w:val="00CD16A1"/>
    <w:rsid w:val="00CD17CE"/>
    <w:rsid w:val="00CD18E1"/>
    <w:rsid w:val="00CD1926"/>
    <w:rsid w:val="00CD1941"/>
    <w:rsid w:val="00CD1A27"/>
    <w:rsid w:val="00CD1A3C"/>
    <w:rsid w:val="00CD1A4B"/>
    <w:rsid w:val="00CD1AD0"/>
    <w:rsid w:val="00CD1B07"/>
    <w:rsid w:val="00CD1B41"/>
    <w:rsid w:val="00CD1B80"/>
    <w:rsid w:val="00CD1BBE"/>
    <w:rsid w:val="00CD1CB8"/>
    <w:rsid w:val="00CD1D2E"/>
    <w:rsid w:val="00CD1E69"/>
    <w:rsid w:val="00CD1FA4"/>
    <w:rsid w:val="00CD20E6"/>
    <w:rsid w:val="00CD20ED"/>
    <w:rsid w:val="00CD22B6"/>
    <w:rsid w:val="00CD22FD"/>
    <w:rsid w:val="00CD236F"/>
    <w:rsid w:val="00CD26ED"/>
    <w:rsid w:val="00CD27B3"/>
    <w:rsid w:val="00CD27DB"/>
    <w:rsid w:val="00CD2976"/>
    <w:rsid w:val="00CD29C8"/>
    <w:rsid w:val="00CD29E7"/>
    <w:rsid w:val="00CD2A4C"/>
    <w:rsid w:val="00CD2A58"/>
    <w:rsid w:val="00CD2ACE"/>
    <w:rsid w:val="00CD2C1E"/>
    <w:rsid w:val="00CD2E06"/>
    <w:rsid w:val="00CD2F82"/>
    <w:rsid w:val="00CD31CA"/>
    <w:rsid w:val="00CD322C"/>
    <w:rsid w:val="00CD325B"/>
    <w:rsid w:val="00CD334A"/>
    <w:rsid w:val="00CD3378"/>
    <w:rsid w:val="00CD346A"/>
    <w:rsid w:val="00CD3649"/>
    <w:rsid w:val="00CD3761"/>
    <w:rsid w:val="00CD3779"/>
    <w:rsid w:val="00CD382A"/>
    <w:rsid w:val="00CD385F"/>
    <w:rsid w:val="00CD389A"/>
    <w:rsid w:val="00CD390C"/>
    <w:rsid w:val="00CD391D"/>
    <w:rsid w:val="00CD3A0D"/>
    <w:rsid w:val="00CD3A98"/>
    <w:rsid w:val="00CD3A9C"/>
    <w:rsid w:val="00CD3B6A"/>
    <w:rsid w:val="00CD3BA7"/>
    <w:rsid w:val="00CD3CB6"/>
    <w:rsid w:val="00CD3DE9"/>
    <w:rsid w:val="00CD3EE3"/>
    <w:rsid w:val="00CD3F6A"/>
    <w:rsid w:val="00CD4050"/>
    <w:rsid w:val="00CD41EF"/>
    <w:rsid w:val="00CD4205"/>
    <w:rsid w:val="00CD441A"/>
    <w:rsid w:val="00CD4539"/>
    <w:rsid w:val="00CD455C"/>
    <w:rsid w:val="00CD45BA"/>
    <w:rsid w:val="00CD4831"/>
    <w:rsid w:val="00CD48EC"/>
    <w:rsid w:val="00CD48F4"/>
    <w:rsid w:val="00CD4A3A"/>
    <w:rsid w:val="00CD4B58"/>
    <w:rsid w:val="00CD4B95"/>
    <w:rsid w:val="00CD4BAF"/>
    <w:rsid w:val="00CD4C08"/>
    <w:rsid w:val="00CD4DD0"/>
    <w:rsid w:val="00CD4E0D"/>
    <w:rsid w:val="00CD4E79"/>
    <w:rsid w:val="00CD4F65"/>
    <w:rsid w:val="00CD4F66"/>
    <w:rsid w:val="00CD4FB6"/>
    <w:rsid w:val="00CD4FCB"/>
    <w:rsid w:val="00CD5149"/>
    <w:rsid w:val="00CD515A"/>
    <w:rsid w:val="00CD518D"/>
    <w:rsid w:val="00CD52C7"/>
    <w:rsid w:val="00CD53A5"/>
    <w:rsid w:val="00CD5467"/>
    <w:rsid w:val="00CD55D7"/>
    <w:rsid w:val="00CD573E"/>
    <w:rsid w:val="00CD5790"/>
    <w:rsid w:val="00CD594B"/>
    <w:rsid w:val="00CD597F"/>
    <w:rsid w:val="00CD59FA"/>
    <w:rsid w:val="00CD5A6A"/>
    <w:rsid w:val="00CD5AC5"/>
    <w:rsid w:val="00CD5AEA"/>
    <w:rsid w:val="00CD5BAF"/>
    <w:rsid w:val="00CD5BBE"/>
    <w:rsid w:val="00CD5BF1"/>
    <w:rsid w:val="00CD5CE5"/>
    <w:rsid w:val="00CD5D85"/>
    <w:rsid w:val="00CD5E21"/>
    <w:rsid w:val="00CD5F8F"/>
    <w:rsid w:val="00CD6010"/>
    <w:rsid w:val="00CD6475"/>
    <w:rsid w:val="00CD6521"/>
    <w:rsid w:val="00CD6533"/>
    <w:rsid w:val="00CD65A0"/>
    <w:rsid w:val="00CD65A9"/>
    <w:rsid w:val="00CD65FD"/>
    <w:rsid w:val="00CD665C"/>
    <w:rsid w:val="00CD6664"/>
    <w:rsid w:val="00CD67AB"/>
    <w:rsid w:val="00CD6885"/>
    <w:rsid w:val="00CD693C"/>
    <w:rsid w:val="00CD6989"/>
    <w:rsid w:val="00CD69A2"/>
    <w:rsid w:val="00CD6A55"/>
    <w:rsid w:val="00CD6A66"/>
    <w:rsid w:val="00CD6A71"/>
    <w:rsid w:val="00CD6A7E"/>
    <w:rsid w:val="00CD6B43"/>
    <w:rsid w:val="00CD6B66"/>
    <w:rsid w:val="00CD6E43"/>
    <w:rsid w:val="00CD6FD6"/>
    <w:rsid w:val="00CD706C"/>
    <w:rsid w:val="00CD7086"/>
    <w:rsid w:val="00CD72DE"/>
    <w:rsid w:val="00CD7301"/>
    <w:rsid w:val="00CD73AB"/>
    <w:rsid w:val="00CD746D"/>
    <w:rsid w:val="00CD7712"/>
    <w:rsid w:val="00CD78D0"/>
    <w:rsid w:val="00CD7C35"/>
    <w:rsid w:val="00CD7CA0"/>
    <w:rsid w:val="00CD7CDF"/>
    <w:rsid w:val="00CD7CEB"/>
    <w:rsid w:val="00CD7D10"/>
    <w:rsid w:val="00CD7D7B"/>
    <w:rsid w:val="00CD7D92"/>
    <w:rsid w:val="00CD7E3D"/>
    <w:rsid w:val="00CD7E59"/>
    <w:rsid w:val="00CD7E82"/>
    <w:rsid w:val="00CD7FE1"/>
    <w:rsid w:val="00CE009F"/>
    <w:rsid w:val="00CE0215"/>
    <w:rsid w:val="00CE02D6"/>
    <w:rsid w:val="00CE0325"/>
    <w:rsid w:val="00CE0336"/>
    <w:rsid w:val="00CE033E"/>
    <w:rsid w:val="00CE03AA"/>
    <w:rsid w:val="00CE03E8"/>
    <w:rsid w:val="00CE0447"/>
    <w:rsid w:val="00CE045F"/>
    <w:rsid w:val="00CE04DE"/>
    <w:rsid w:val="00CE052A"/>
    <w:rsid w:val="00CE0608"/>
    <w:rsid w:val="00CE062D"/>
    <w:rsid w:val="00CE063C"/>
    <w:rsid w:val="00CE06CD"/>
    <w:rsid w:val="00CE075C"/>
    <w:rsid w:val="00CE0865"/>
    <w:rsid w:val="00CE0957"/>
    <w:rsid w:val="00CE0977"/>
    <w:rsid w:val="00CE09E9"/>
    <w:rsid w:val="00CE0A1A"/>
    <w:rsid w:val="00CE0A50"/>
    <w:rsid w:val="00CE0B8A"/>
    <w:rsid w:val="00CE0BB1"/>
    <w:rsid w:val="00CE0BB3"/>
    <w:rsid w:val="00CE0BDB"/>
    <w:rsid w:val="00CE0C14"/>
    <w:rsid w:val="00CE0CF4"/>
    <w:rsid w:val="00CE0DF7"/>
    <w:rsid w:val="00CE0E50"/>
    <w:rsid w:val="00CE0FCC"/>
    <w:rsid w:val="00CE1014"/>
    <w:rsid w:val="00CE1060"/>
    <w:rsid w:val="00CE108A"/>
    <w:rsid w:val="00CE12A5"/>
    <w:rsid w:val="00CE12D6"/>
    <w:rsid w:val="00CE12FB"/>
    <w:rsid w:val="00CE136A"/>
    <w:rsid w:val="00CE13A5"/>
    <w:rsid w:val="00CE1683"/>
    <w:rsid w:val="00CE1740"/>
    <w:rsid w:val="00CE1752"/>
    <w:rsid w:val="00CE1807"/>
    <w:rsid w:val="00CE181C"/>
    <w:rsid w:val="00CE193D"/>
    <w:rsid w:val="00CE1A08"/>
    <w:rsid w:val="00CE1A57"/>
    <w:rsid w:val="00CE1AD8"/>
    <w:rsid w:val="00CE1BE2"/>
    <w:rsid w:val="00CE1C9D"/>
    <w:rsid w:val="00CE1CA2"/>
    <w:rsid w:val="00CE1CF1"/>
    <w:rsid w:val="00CE1D0E"/>
    <w:rsid w:val="00CE1D3B"/>
    <w:rsid w:val="00CE1D99"/>
    <w:rsid w:val="00CE1E33"/>
    <w:rsid w:val="00CE1E4F"/>
    <w:rsid w:val="00CE1FD2"/>
    <w:rsid w:val="00CE2175"/>
    <w:rsid w:val="00CE219D"/>
    <w:rsid w:val="00CE22AB"/>
    <w:rsid w:val="00CE2330"/>
    <w:rsid w:val="00CE2361"/>
    <w:rsid w:val="00CE237B"/>
    <w:rsid w:val="00CE23A4"/>
    <w:rsid w:val="00CE247B"/>
    <w:rsid w:val="00CE24DF"/>
    <w:rsid w:val="00CE252D"/>
    <w:rsid w:val="00CE2567"/>
    <w:rsid w:val="00CE2650"/>
    <w:rsid w:val="00CE2746"/>
    <w:rsid w:val="00CE283F"/>
    <w:rsid w:val="00CE2955"/>
    <w:rsid w:val="00CE2B1E"/>
    <w:rsid w:val="00CE2EAF"/>
    <w:rsid w:val="00CE2F5B"/>
    <w:rsid w:val="00CE2FB2"/>
    <w:rsid w:val="00CE3016"/>
    <w:rsid w:val="00CE31A5"/>
    <w:rsid w:val="00CE321B"/>
    <w:rsid w:val="00CE3261"/>
    <w:rsid w:val="00CE32E8"/>
    <w:rsid w:val="00CE3333"/>
    <w:rsid w:val="00CE34A1"/>
    <w:rsid w:val="00CE34B6"/>
    <w:rsid w:val="00CE34C9"/>
    <w:rsid w:val="00CE3564"/>
    <w:rsid w:val="00CE3689"/>
    <w:rsid w:val="00CE36DA"/>
    <w:rsid w:val="00CE37F9"/>
    <w:rsid w:val="00CE3AC6"/>
    <w:rsid w:val="00CE3AF5"/>
    <w:rsid w:val="00CE3B9C"/>
    <w:rsid w:val="00CE3BEC"/>
    <w:rsid w:val="00CE3FF6"/>
    <w:rsid w:val="00CE4008"/>
    <w:rsid w:val="00CE4044"/>
    <w:rsid w:val="00CE40E4"/>
    <w:rsid w:val="00CE412F"/>
    <w:rsid w:val="00CE4131"/>
    <w:rsid w:val="00CE4149"/>
    <w:rsid w:val="00CE41F2"/>
    <w:rsid w:val="00CE41F9"/>
    <w:rsid w:val="00CE4342"/>
    <w:rsid w:val="00CE4357"/>
    <w:rsid w:val="00CE4482"/>
    <w:rsid w:val="00CE44D3"/>
    <w:rsid w:val="00CE44DF"/>
    <w:rsid w:val="00CE451E"/>
    <w:rsid w:val="00CE469D"/>
    <w:rsid w:val="00CE46C6"/>
    <w:rsid w:val="00CE490A"/>
    <w:rsid w:val="00CE49AF"/>
    <w:rsid w:val="00CE4A9D"/>
    <w:rsid w:val="00CE4C4F"/>
    <w:rsid w:val="00CE4D41"/>
    <w:rsid w:val="00CE4D95"/>
    <w:rsid w:val="00CE4E21"/>
    <w:rsid w:val="00CE4EC8"/>
    <w:rsid w:val="00CE4F54"/>
    <w:rsid w:val="00CE4FC8"/>
    <w:rsid w:val="00CE500E"/>
    <w:rsid w:val="00CE50D6"/>
    <w:rsid w:val="00CE51F1"/>
    <w:rsid w:val="00CE5357"/>
    <w:rsid w:val="00CE53E5"/>
    <w:rsid w:val="00CE5490"/>
    <w:rsid w:val="00CE54A2"/>
    <w:rsid w:val="00CE5799"/>
    <w:rsid w:val="00CE57B6"/>
    <w:rsid w:val="00CE5885"/>
    <w:rsid w:val="00CE5AD2"/>
    <w:rsid w:val="00CE5D1E"/>
    <w:rsid w:val="00CE5E1A"/>
    <w:rsid w:val="00CE5EE7"/>
    <w:rsid w:val="00CE5F05"/>
    <w:rsid w:val="00CE601D"/>
    <w:rsid w:val="00CE60BA"/>
    <w:rsid w:val="00CE60F8"/>
    <w:rsid w:val="00CE6116"/>
    <w:rsid w:val="00CE6239"/>
    <w:rsid w:val="00CE6262"/>
    <w:rsid w:val="00CE62BB"/>
    <w:rsid w:val="00CE6384"/>
    <w:rsid w:val="00CE64C8"/>
    <w:rsid w:val="00CE666E"/>
    <w:rsid w:val="00CE6690"/>
    <w:rsid w:val="00CE680D"/>
    <w:rsid w:val="00CE6814"/>
    <w:rsid w:val="00CE6928"/>
    <w:rsid w:val="00CE694C"/>
    <w:rsid w:val="00CE6A50"/>
    <w:rsid w:val="00CE6A68"/>
    <w:rsid w:val="00CE6AD1"/>
    <w:rsid w:val="00CE6BC6"/>
    <w:rsid w:val="00CE6BF4"/>
    <w:rsid w:val="00CE6D8F"/>
    <w:rsid w:val="00CE6D97"/>
    <w:rsid w:val="00CE6DF5"/>
    <w:rsid w:val="00CE6E44"/>
    <w:rsid w:val="00CE6E65"/>
    <w:rsid w:val="00CE6F43"/>
    <w:rsid w:val="00CE6FA3"/>
    <w:rsid w:val="00CE6FAD"/>
    <w:rsid w:val="00CE709E"/>
    <w:rsid w:val="00CE70CB"/>
    <w:rsid w:val="00CE728B"/>
    <w:rsid w:val="00CE7626"/>
    <w:rsid w:val="00CE788F"/>
    <w:rsid w:val="00CE78E0"/>
    <w:rsid w:val="00CE79E9"/>
    <w:rsid w:val="00CE7A70"/>
    <w:rsid w:val="00CE7B2C"/>
    <w:rsid w:val="00CE7B46"/>
    <w:rsid w:val="00CE7B87"/>
    <w:rsid w:val="00CE7C36"/>
    <w:rsid w:val="00CE7D8E"/>
    <w:rsid w:val="00CE7EEA"/>
    <w:rsid w:val="00CE7F34"/>
    <w:rsid w:val="00CF0021"/>
    <w:rsid w:val="00CF0053"/>
    <w:rsid w:val="00CF00BB"/>
    <w:rsid w:val="00CF00F0"/>
    <w:rsid w:val="00CF015A"/>
    <w:rsid w:val="00CF01A3"/>
    <w:rsid w:val="00CF0326"/>
    <w:rsid w:val="00CF033A"/>
    <w:rsid w:val="00CF03AC"/>
    <w:rsid w:val="00CF03F2"/>
    <w:rsid w:val="00CF0430"/>
    <w:rsid w:val="00CF0487"/>
    <w:rsid w:val="00CF04E8"/>
    <w:rsid w:val="00CF050B"/>
    <w:rsid w:val="00CF0526"/>
    <w:rsid w:val="00CF06AE"/>
    <w:rsid w:val="00CF0770"/>
    <w:rsid w:val="00CF07C0"/>
    <w:rsid w:val="00CF08C6"/>
    <w:rsid w:val="00CF097C"/>
    <w:rsid w:val="00CF0986"/>
    <w:rsid w:val="00CF0B7D"/>
    <w:rsid w:val="00CF0BDA"/>
    <w:rsid w:val="00CF0C2D"/>
    <w:rsid w:val="00CF0CDB"/>
    <w:rsid w:val="00CF0D3B"/>
    <w:rsid w:val="00CF0D8C"/>
    <w:rsid w:val="00CF0E16"/>
    <w:rsid w:val="00CF0EAB"/>
    <w:rsid w:val="00CF1175"/>
    <w:rsid w:val="00CF123D"/>
    <w:rsid w:val="00CF1272"/>
    <w:rsid w:val="00CF131C"/>
    <w:rsid w:val="00CF132E"/>
    <w:rsid w:val="00CF14C1"/>
    <w:rsid w:val="00CF14DA"/>
    <w:rsid w:val="00CF15D4"/>
    <w:rsid w:val="00CF1658"/>
    <w:rsid w:val="00CF1801"/>
    <w:rsid w:val="00CF181B"/>
    <w:rsid w:val="00CF1883"/>
    <w:rsid w:val="00CF190F"/>
    <w:rsid w:val="00CF1939"/>
    <w:rsid w:val="00CF19CD"/>
    <w:rsid w:val="00CF1AB5"/>
    <w:rsid w:val="00CF1B53"/>
    <w:rsid w:val="00CF1B9F"/>
    <w:rsid w:val="00CF1C30"/>
    <w:rsid w:val="00CF1CCB"/>
    <w:rsid w:val="00CF2021"/>
    <w:rsid w:val="00CF2072"/>
    <w:rsid w:val="00CF20BC"/>
    <w:rsid w:val="00CF2251"/>
    <w:rsid w:val="00CF226C"/>
    <w:rsid w:val="00CF2297"/>
    <w:rsid w:val="00CF23E7"/>
    <w:rsid w:val="00CF23EB"/>
    <w:rsid w:val="00CF2459"/>
    <w:rsid w:val="00CF2481"/>
    <w:rsid w:val="00CF2581"/>
    <w:rsid w:val="00CF25B2"/>
    <w:rsid w:val="00CF25F2"/>
    <w:rsid w:val="00CF268B"/>
    <w:rsid w:val="00CF2737"/>
    <w:rsid w:val="00CF273C"/>
    <w:rsid w:val="00CF27F6"/>
    <w:rsid w:val="00CF28A2"/>
    <w:rsid w:val="00CF28D8"/>
    <w:rsid w:val="00CF295D"/>
    <w:rsid w:val="00CF2A9C"/>
    <w:rsid w:val="00CF2B6E"/>
    <w:rsid w:val="00CF2C3E"/>
    <w:rsid w:val="00CF2D59"/>
    <w:rsid w:val="00CF2D87"/>
    <w:rsid w:val="00CF2DBD"/>
    <w:rsid w:val="00CF2E35"/>
    <w:rsid w:val="00CF2E61"/>
    <w:rsid w:val="00CF2E63"/>
    <w:rsid w:val="00CF2F15"/>
    <w:rsid w:val="00CF311C"/>
    <w:rsid w:val="00CF312D"/>
    <w:rsid w:val="00CF317E"/>
    <w:rsid w:val="00CF3204"/>
    <w:rsid w:val="00CF32A8"/>
    <w:rsid w:val="00CF3311"/>
    <w:rsid w:val="00CF3324"/>
    <w:rsid w:val="00CF34EA"/>
    <w:rsid w:val="00CF3601"/>
    <w:rsid w:val="00CF3A27"/>
    <w:rsid w:val="00CF3A38"/>
    <w:rsid w:val="00CF3B91"/>
    <w:rsid w:val="00CF3BBB"/>
    <w:rsid w:val="00CF3BE0"/>
    <w:rsid w:val="00CF3CAF"/>
    <w:rsid w:val="00CF3CF3"/>
    <w:rsid w:val="00CF3EC0"/>
    <w:rsid w:val="00CF3ED1"/>
    <w:rsid w:val="00CF405C"/>
    <w:rsid w:val="00CF417F"/>
    <w:rsid w:val="00CF4260"/>
    <w:rsid w:val="00CF440C"/>
    <w:rsid w:val="00CF44C6"/>
    <w:rsid w:val="00CF44D4"/>
    <w:rsid w:val="00CF45D2"/>
    <w:rsid w:val="00CF46FB"/>
    <w:rsid w:val="00CF4712"/>
    <w:rsid w:val="00CF47D2"/>
    <w:rsid w:val="00CF47E0"/>
    <w:rsid w:val="00CF4A76"/>
    <w:rsid w:val="00CF4AC2"/>
    <w:rsid w:val="00CF4B1D"/>
    <w:rsid w:val="00CF4CF7"/>
    <w:rsid w:val="00CF4DC0"/>
    <w:rsid w:val="00CF4F59"/>
    <w:rsid w:val="00CF4F5C"/>
    <w:rsid w:val="00CF50CD"/>
    <w:rsid w:val="00CF5244"/>
    <w:rsid w:val="00CF5339"/>
    <w:rsid w:val="00CF5351"/>
    <w:rsid w:val="00CF5359"/>
    <w:rsid w:val="00CF5415"/>
    <w:rsid w:val="00CF54D8"/>
    <w:rsid w:val="00CF54E6"/>
    <w:rsid w:val="00CF5506"/>
    <w:rsid w:val="00CF55B6"/>
    <w:rsid w:val="00CF5643"/>
    <w:rsid w:val="00CF584C"/>
    <w:rsid w:val="00CF5988"/>
    <w:rsid w:val="00CF59E5"/>
    <w:rsid w:val="00CF5AF8"/>
    <w:rsid w:val="00CF5B7C"/>
    <w:rsid w:val="00CF5BAC"/>
    <w:rsid w:val="00CF5CB2"/>
    <w:rsid w:val="00CF5D4D"/>
    <w:rsid w:val="00CF5DD3"/>
    <w:rsid w:val="00CF605A"/>
    <w:rsid w:val="00CF6085"/>
    <w:rsid w:val="00CF60BA"/>
    <w:rsid w:val="00CF6147"/>
    <w:rsid w:val="00CF6169"/>
    <w:rsid w:val="00CF62E7"/>
    <w:rsid w:val="00CF62F8"/>
    <w:rsid w:val="00CF63A8"/>
    <w:rsid w:val="00CF640C"/>
    <w:rsid w:val="00CF6453"/>
    <w:rsid w:val="00CF6480"/>
    <w:rsid w:val="00CF64A2"/>
    <w:rsid w:val="00CF6535"/>
    <w:rsid w:val="00CF6692"/>
    <w:rsid w:val="00CF676C"/>
    <w:rsid w:val="00CF67CF"/>
    <w:rsid w:val="00CF681A"/>
    <w:rsid w:val="00CF69BC"/>
    <w:rsid w:val="00CF69D3"/>
    <w:rsid w:val="00CF6B13"/>
    <w:rsid w:val="00CF6D59"/>
    <w:rsid w:val="00CF6D88"/>
    <w:rsid w:val="00CF6E2D"/>
    <w:rsid w:val="00CF6EB3"/>
    <w:rsid w:val="00CF6F73"/>
    <w:rsid w:val="00CF6FAC"/>
    <w:rsid w:val="00CF6FDA"/>
    <w:rsid w:val="00CF703F"/>
    <w:rsid w:val="00CF70EA"/>
    <w:rsid w:val="00CF7368"/>
    <w:rsid w:val="00CF7453"/>
    <w:rsid w:val="00CF745A"/>
    <w:rsid w:val="00CF7502"/>
    <w:rsid w:val="00CF763C"/>
    <w:rsid w:val="00CF7942"/>
    <w:rsid w:val="00CF7973"/>
    <w:rsid w:val="00CF7B64"/>
    <w:rsid w:val="00CF7C4D"/>
    <w:rsid w:val="00CF7C7B"/>
    <w:rsid w:val="00CF7CCC"/>
    <w:rsid w:val="00CF7E73"/>
    <w:rsid w:val="00CF7F4A"/>
    <w:rsid w:val="00CF7FD9"/>
    <w:rsid w:val="00D000EC"/>
    <w:rsid w:val="00D00101"/>
    <w:rsid w:val="00D002CD"/>
    <w:rsid w:val="00D00381"/>
    <w:rsid w:val="00D0040F"/>
    <w:rsid w:val="00D00490"/>
    <w:rsid w:val="00D004A3"/>
    <w:rsid w:val="00D0051D"/>
    <w:rsid w:val="00D00520"/>
    <w:rsid w:val="00D00572"/>
    <w:rsid w:val="00D00579"/>
    <w:rsid w:val="00D00794"/>
    <w:rsid w:val="00D007A2"/>
    <w:rsid w:val="00D007E1"/>
    <w:rsid w:val="00D00826"/>
    <w:rsid w:val="00D00860"/>
    <w:rsid w:val="00D00A96"/>
    <w:rsid w:val="00D00AA6"/>
    <w:rsid w:val="00D00BE0"/>
    <w:rsid w:val="00D00C68"/>
    <w:rsid w:val="00D01048"/>
    <w:rsid w:val="00D0126F"/>
    <w:rsid w:val="00D012DC"/>
    <w:rsid w:val="00D012EB"/>
    <w:rsid w:val="00D0140F"/>
    <w:rsid w:val="00D01437"/>
    <w:rsid w:val="00D01647"/>
    <w:rsid w:val="00D01663"/>
    <w:rsid w:val="00D0166F"/>
    <w:rsid w:val="00D0168A"/>
    <w:rsid w:val="00D016DD"/>
    <w:rsid w:val="00D0171F"/>
    <w:rsid w:val="00D017A1"/>
    <w:rsid w:val="00D018C2"/>
    <w:rsid w:val="00D01914"/>
    <w:rsid w:val="00D01A17"/>
    <w:rsid w:val="00D01BD6"/>
    <w:rsid w:val="00D01CD6"/>
    <w:rsid w:val="00D01CF5"/>
    <w:rsid w:val="00D01DEC"/>
    <w:rsid w:val="00D01E6B"/>
    <w:rsid w:val="00D01EE9"/>
    <w:rsid w:val="00D01FF3"/>
    <w:rsid w:val="00D02034"/>
    <w:rsid w:val="00D021A2"/>
    <w:rsid w:val="00D0236A"/>
    <w:rsid w:val="00D02380"/>
    <w:rsid w:val="00D02392"/>
    <w:rsid w:val="00D0240B"/>
    <w:rsid w:val="00D02447"/>
    <w:rsid w:val="00D02596"/>
    <w:rsid w:val="00D0261C"/>
    <w:rsid w:val="00D02636"/>
    <w:rsid w:val="00D026AF"/>
    <w:rsid w:val="00D02708"/>
    <w:rsid w:val="00D02789"/>
    <w:rsid w:val="00D02794"/>
    <w:rsid w:val="00D027F7"/>
    <w:rsid w:val="00D02937"/>
    <w:rsid w:val="00D02A9A"/>
    <w:rsid w:val="00D02B9A"/>
    <w:rsid w:val="00D02BAF"/>
    <w:rsid w:val="00D02BC6"/>
    <w:rsid w:val="00D02BE8"/>
    <w:rsid w:val="00D02BF7"/>
    <w:rsid w:val="00D02F02"/>
    <w:rsid w:val="00D03019"/>
    <w:rsid w:val="00D0305C"/>
    <w:rsid w:val="00D030B4"/>
    <w:rsid w:val="00D031BB"/>
    <w:rsid w:val="00D0320B"/>
    <w:rsid w:val="00D03280"/>
    <w:rsid w:val="00D0329D"/>
    <w:rsid w:val="00D032DA"/>
    <w:rsid w:val="00D038FF"/>
    <w:rsid w:val="00D03953"/>
    <w:rsid w:val="00D03A83"/>
    <w:rsid w:val="00D03AD3"/>
    <w:rsid w:val="00D03B76"/>
    <w:rsid w:val="00D03BD1"/>
    <w:rsid w:val="00D03C06"/>
    <w:rsid w:val="00D03D10"/>
    <w:rsid w:val="00D03D8D"/>
    <w:rsid w:val="00D03E1B"/>
    <w:rsid w:val="00D03E1D"/>
    <w:rsid w:val="00D03E67"/>
    <w:rsid w:val="00D03F3B"/>
    <w:rsid w:val="00D03F48"/>
    <w:rsid w:val="00D040BD"/>
    <w:rsid w:val="00D0431E"/>
    <w:rsid w:val="00D04469"/>
    <w:rsid w:val="00D04627"/>
    <w:rsid w:val="00D0462A"/>
    <w:rsid w:val="00D046D5"/>
    <w:rsid w:val="00D047FD"/>
    <w:rsid w:val="00D04896"/>
    <w:rsid w:val="00D048B7"/>
    <w:rsid w:val="00D04950"/>
    <w:rsid w:val="00D049D2"/>
    <w:rsid w:val="00D04A7B"/>
    <w:rsid w:val="00D04ACC"/>
    <w:rsid w:val="00D04AD1"/>
    <w:rsid w:val="00D04B15"/>
    <w:rsid w:val="00D04BA9"/>
    <w:rsid w:val="00D04C2D"/>
    <w:rsid w:val="00D04D91"/>
    <w:rsid w:val="00D04DDE"/>
    <w:rsid w:val="00D04E66"/>
    <w:rsid w:val="00D04E6D"/>
    <w:rsid w:val="00D0511B"/>
    <w:rsid w:val="00D05315"/>
    <w:rsid w:val="00D0548E"/>
    <w:rsid w:val="00D055A8"/>
    <w:rsid w:val="00D055E3"/>
    <w:rsid w:val="00D0572E"/>
    <w:rsid w:val="00D058C7"/>
    <w:rsid w:val="00D058F5"/>
    <w:rsid w:val="00D0596D"/>
    <w:rsid w:val="00D059BC"/>
    <w:rsid w:val="00D05A1B"/>
    <w:rsid w:val="00D05A77"/>
    <w:rsid w:val="00D05A8D"/>
    <w:rsid w:val="00D05AD6"/>
    <w:rsid w:val="00D05B3C"/>
    <w:rsid w:val="00D05B75"/>
    <w:rsid w:val="00D05B7D"/>
    <w:rsid w:val="00D05D4C"/>
    <w:rsid w:val="00D05DD0"/>
    <w:rsid w:val="00D05F35"/>
    <w:rsid w:val="00D0618F"/>
    <w:rsid w:val="00D061B1"/>
    <w:rsid w:val="00D06243"/>
    <w:rsid w:val="00D062F3"/>
    <w:rsid w:val="00D06442"/>
    <w:rsid w:val="00D064E3"/>
    <w:rsid w:val="00D0663B"/>
    <w:rsid w:val="00D066D1"/>
    <w:rsid w:val="00D066E2"/>
    <w:rsid w:val="00D06754"/>
    <w:rsid w:val="00D0676B"/>
    <w:rsid w:val="00D0676D"/>
    <w:rsid w:val="00D06806"/>
    <w:rsid w:val="00D06993"/>
    <w:rsid w:val="00D06997"/>
    <w:rsid w:val="00D069D9"/>
    <w:rsid w:val="00D06A0C"/>
    <w:rsid w:val="00D06B01"/>
    <w:rsid w:val="00D06B31"/>
    <w:rsid w:val="00D06C90"/>
    <w:rsid w:val="00D06D37"/>
    <w:rsid w:val="00D06E61"/>
    <w:rsid w:val="00D06E88"/>
    <w:rsid w:val="00D06EFC"/>
    <w:rsid w:val="00D06FB6"/>
    <w:rsid w:val="00D07263"/>
    <w:rsid w:val="00D072F2"/>
    <w:rsid w:val="00D07420"/>
    <w:rsid w:val="00D07431"/>
    <w:rsid w:val="00D07432"/>
    <w:rsid w:val="00D0751B"/>
    <w:rsid w:val="00D0755F"/>
    <w:rsid w:val="00D075A1"/>
    <w:rsid w:val="00D07630"/>
    <w:rsid w:val="00D07657"/>
    <w:rsid w:val="00D07673"/>
    <w:rsid w:val="00D076A0"/>
    <w:rsid w:val="00D07806"/>
    <w:rsid w:val="00D07808"/>
    <w:rsid w:val="00D07860"/>
    <w:rsid w:val="00D07887"/>
    <w:rsid w:val="00D07AA8"/>
    <w:rsid w:val="00D07B79"/>
    <w:rsid w:val="00D07C23"/>
    <w:rsid w:val="00D07C92"/>
    <w:rsid w:val="00D07D4C"/>
    <w:rsid w:val="00D07D52"/>
    <w:rsid w:val="00D07DC5"/>
    <w:rsid w:val="00D07E0C"/>
    <w:rsid w:val="00D07F9E"/>
    <w:rsid w:val="00D07FF8"/>
    <w:rsid w:val="00D10095"/>
    <w:rsid w:val="00D100F9"/>
    <w:rsid w:val="00D1017B"/>
    <w:rsid w:val="00D1027F"/>
    <w:rsid w:val="00D1028E"/>
    <w:rsid w:val="00D10302"/>
    <w:rsid w:val="00D103AD"/>
    <w:rsid w:val="00D10476"/>
    <w:rsid w:val="00D10532"/>
    <w:rsid w:val="00D10533"/>
    <w:rsid w:val="00D10615"/>
    <w:rsid w:val="00D10699"/>
    <w:rsid w:val="00D10751"/>
    <w:rsid w:val="00D10755"/>
    <w:rsid w:val="00D1076A"/>
    <w:rsid w:val="00D10802"/>
    <w:rsid w:val="00D10808"/>
    <w:rsid w:val="00D10930"/>
    <w:rsid w:val="00D10958"/>
    <w:rsid w:val="00D10AF9"/>
    <w:rsid w:val="00D10B42"/>
    <w:rsid w:val="00D10CE0"/>
    <w:rsid w:val="00D10E75"/>
    <w:rsid w:val="00D10E9E"/>
    <w:rsid w:val="00D10F4F"/>
    <w:rsid w:val="00D11180"/>
    <w:rsid w:val="00D11227"/>
    <w:rsid w:val="00D112E5"/>
    <w:rsid w:val="00D113F9"/>
    <w:rsid w:val="00D114BE"/>
    <w:rsid w:val="00D118D8"/>
    <w:rsid w:val="00D11910"/>
    <w:rsid w:val="00D119BE"/>
    <w:rsid w:val="00D11A79"/>
    <w:rsid w:val="00D11A85"/>
    <w:rsid w:val="00D11C62"/>
    <w:rsid w:val="00D11C95"/>
    <w:rsid w:val="00D11F4A"/>
    <w:rsid w:val="00D11FDA"/>
    <w:rsid w:val="00D12054"/>
    <w:rsid w:val="00D12141"/>
    <w:rsid w:val="00D122AB"/>
    <w:rsid w:val="00D12359"/>
    <w:rsid w:val="00D123BF"/>
    <w:rsid w:val="00D1253A"/>
    <w:rsid w:val="00D12615"/>
    <w:rsid w:val="00D1264F"/>
    <w:rsid w:val="00D127C8"/>
    <w:rsid w:val="00D128F5"/>
    <w:rsid w:val="00D1291D"/>
    <w:rsid w:val="00D129E0"/>
    <w:rsid w:val="00D12B8B"/>
    <w:rsid w:val="00D12BF7"/>
    <w:rsid w:val="00D12D2C"/>
    <w:rsid w:val="00D12D60"/>
    <w:rsid w:val="00D12DAE"/>
    <w:rsid w:val="00D12E5E"/>
    <w:rsid w:val="00D12FB1"/>
    <w:rsid w:val="00D12FF4"/>
    <w:rsid w:val="00D1310A"/>
    <w:rsid w:val="00D134CF"/>
    <w:rsid w:val="00D1350E"/>
    <w:rsid w:val="00D137D0"/>
    <w:rsid w:val="00D137D9"/>
    <w:rsid w:val="00D1382F"/>
    <w:rsid w:val="00D1396C"/>
    <w:rsid w:val="00D13A2A"/>
    <w:rsid w:val="00D13A8E"/>
    <w:rsid w:val="00D13AA1"/>
    <w:rsid w:val="00D13AED"/>
    <w:rsid w:val="00D13D02"/>
    <w:rsid w:val="00D13E76"/>
    <w:rsid w:val="00D13EBA"/>
    <w:rsid w:val="00D13EBC"/>
    <w:rsid w:val="00D140B7"/>
    <w:rsid w:val="00D140D4"/>
    <w:rsid w:val="00D1420E"/>
    <w:rsid w:val="00D14260"/>
    <w:rsid w:val="00D1433A"/>
    <w:rsid w:val="00D144B2"/>
    <w:rsid w:val="00D144E8"/>
    <w:rsid w:val="00D1451B"/>
    <w:rsid w:val="00D145B9"/>
    <w:rsid w:val="00D14672"/>
    <w:rsid w:val="00D14680"/>
    <w:rsid w:val="00D1468A"/>
    <w:rsid w:val="00D14773"/>
    <w:rsid w:val="00D14796"/>
    <w:rsid w:val="00D147A1"/>
    <w:rsid w:val="00D147F8"/>
    <w:rsid w:val="00D148B7"/>
    <w:rsid w:val="00D1494D"/>
    <w:rsid w:val="00D14B7B"/>
    <w:rsid w:val="00D14C32"/>
    <w:rsid w:val="00D14DA0"/>
    <w:rsid w:val="00D14DA7"/>
    <w:rsid w:val="00D14E46"/>
    <w:rsid w:val="00D14E67"/>
    <w:rsid w:val="00D14EBA"/>
    <w:rsid w:val="00D14FBC"/>
    <w:rsid w:val="00D15008"/>
    <w:rsid w:val="00D150AE"/>
    <w:rsid w:val="00D15152"/>
    <w:rsid w:val="00D151B4"/>
    <w:rsid w:val="00D151F4"/>
    <w:rsid w:val="00D15414"/>
    <w:rsid w:val="00D15543"/>
    <w:rsid w:val="00D155B1"/>
    <w:rsid w:val="00D156F4"/>
    <w:rsid w:val="00D15841"/>
    <w:rsid w:val="00D1595C"/>
    <w:rsid w:val="00D15AAC"/>
    <w:rsid w:val="00D15CAB"/>
    <w:rsid w:val="00D15CD1"/>
    <w:rsid w:val="00D15D07"/>
    <w:rsid w:val="00D15D8E"/>
    <w:rsid w:val="00D15E7D"/>
    <w:rsid w:val="00D15E84"/>
    <w:rsid w:val="00D15E90"/>
    <w:rsid w:val="00D15F19"/>
    <w:rsid w:val="00D160AB"/>
    <w:rsid w:val="00D1632F"/>
    <w:rsid w:val="00D163AE"/>
    <w:rsid w:val="00D16401"/>
    <w:rsid w:val="00D16424"/>
    <w:rsid w:val="00D16554"/>
    <w:rsid w:val="00D16883"/>
    <w:rsid w:val="00D168E3"/>
    <w:rsid w:val="00D1695C"/>
    <w:rsid w:val="00D16983"/>
    <w:rsid w:val="00D16BE0"/>
    <w:rsid w:val="00D16C12"/>
    <w:rsid w:val="00D16C57"/>
    <w:rsid w:val="00D16C64"/>
    <w:rsid w:val="00D16CD3"/>
    <w:rsid w:val="00D16F21"/>
    <w:rsid w:val="00D16F46"/>
    <w:rsid w:val="00D16F9E"/>
    <w:rsid w:val="00D170F7"/>
    <w:rsid w:val="00D171E5"/>
    <w:rsid w:val="00D17295"/>
    <w:rsid w:val="00D173F7"/>
    <w:rsid w:val="00D174CF"/>
    <w:rsid w:val="00D1753E"/>
    <w:rsid w:val="00D175A6"/>
    <w:rsid w:val="00D17907"/>
    <w:rsid w:val="00D17986"/>
    <w:rsid w:val="00D179EE"/>
    <w:rsid w:val="00D17B12"/>
    <w:rsid w:val="00D17BA2"/>
    <w:rsid w:val="00D17C56"/>
    <w:rsid w:val="00D17C59"/>
    <w:rsid w:val="00D17CAA"/>
    <w:rsid w:val="00D17CEB"/>
    <w:rsid w:val="00D17D93"/>
    <w:rsid w:val="00D17E2B"/>
    <w:rsid w:val="00D17E3F"/>
    <w:rsid w:val="00D17EA2"/>
    <w:rsid w:val="00D20135"/>
    <w:rsid w:val="00D20418"/>
    <w:rsid w:val="00D2049D"/>
    <w:rsid w:val="00D204E5"/>
    <w:rsid w:val="00D20646"/>
    <w:rsid w:val="00D206A3"/>
    <w:rsid w:val="00D208B7"/>
    <w:rsid w:val="00D209C8"/>
    <w:rsid w:val="00D20AE1"/>
    <w:rsid w:val="00D20B69"/>
    <w:rsid w:val="00D20DB1"/>
    <w:rsid w:val="00D20DEE"/>
    <w:rsid w:val="00D20E11"/>
    <w:rsid w:val="00D20FBB"/>
    <w:rsid w:val="00D20FC6"/>
    <w:rsid w:val="00D211F8"/>
    <w:rsid w:val="00D211FC"/>
    <w:rsid w:val="00D2128F"/>
    <w:rsid w:val="00D212A6"/>
    <w:rsid w:val="00D21306"/>
    <w:rsid w:val="00D2134D"/>
    <w:rsid w:val="00D215E3"/>
    <w:rsid w:val="00D216D2"/>
    <w:rsid w:val="00D216F5"/>
    <w:rsid w:val="00D218B8"/>
    <w:rsid w:val="00D21C5E"/>
    <w:rsid w:val="00D21DBA"/>
    <w:rsid w:val="00D21E98"/>
    <w:rsid w:val="00D21ED7"/>
    <w:rsid w:val="00D21F4F"/>
    <w:rsid w:val="00D21FB7"/>
    <w:rsid w:val="00D21FBB"/>
    <w:rsid w:val="00D21FD4"/>
    <w:rsid w:val="00D22046"/>
    <w:rsid w:val="00D22106"/>
    <w:rsid w:val="00D22241"/>
    <w:rsid w:val="00D22266"/>
    <w:rsid w:val="00D22475"/>
    <w:rsid w:val="00D224E7"/>
    <w:rsid w:val="00D2254A"/>
    <w:rsid w:val="00D22640"/>
    <w:rsid w:val="00D226F4"/>
    <w:rsid w:val="00D22740"/>
    <w:rsid w:val="00D2283B"/>
    <w:rsid w:val="00D22995"/>
    <w:rsid w:val="00D22A81"/>
    <w:rsid w:val="00D22A93"/>
    <w:rsid w:val="00D22B30"/>
    <w:rsid w:val="00D22B31"/>
    <w:rsid w:val="00D22C54"/>
    <w:rsid w:val="00D22C9E"/>
    <w:rsid w:val="00D22CA6"/>
    <w:rsid w:val="00D22D35"/>
    <w:rsid w:val="00D22DA2"/>
    <w:rsid w:val="00D22DC6"/>
    <w:rsid w:val="00D22EEC"/>
    <w:rsid w:val="00D22F63"/>
    <w:rsid w:val="00D22F7E"/>
    <w:rsid w:val="00D22FF8"/>
    <w:rsid w:val="00D23005"/>
    <w:rsid w:val="00D23275"/>
    <w:rsid w:val="00D232EA"/>
    <w:rsid w:val="00D23371"/>
    <w:rsid w:val="00D23395"/>
    <w:rsid w:val="00D234B1"/>
    <w:rsid w:val="00D23605"/>
    <w:rsid w:val="00D23694"/>
    <w:rsid w:val="00D237BB"/>
    <w:rsid w:val="00D23811"/>
    <w:rsid w:val="00D238E9"/>
    <w:rsid w:val="00D239E1"/>
    <w:rsid w:val="00D23A44"/>
    <w:rsid w:val="00D23B0E"/>
    <w:rsid w:val="00D23B9D"/>
    <w:rsid w:val="00D23C3E"/>
    <w:rsid w:val="00D23EED"/>
    <w:rsid w:val="00D23EF7"/>
    <w:rsid w:val="00D23FBC"/>
    <w:rsid w:val="00D23FF0"/>
    <w:rsid w:val="00D2401B"/>
    <w:rsid w:val="00D2404A"/>
    <w:rsid w:val="00D240DE"/>
    <w:rsid w:val="00D240F7"/>
    <w:rsid w:val="00D241BF"/>
    <w:rsid w:val="00D241E7"/>
    <w:rsid w:val="00D2429E"/>
    <w:rsid w:val="00D2437C"/>
    <w:rsid w:val="00D243B9"/>
    <w:rsid w:val="00D243C0"/>
    <w:rsid w:val="00D24525"/>
    <w:rsid w:val="00D24617"/>
    <w:rsid w:val="00D2482B"/>
    <w:rsid w:val="00D249E6"/>
    <w:rsid w:val="00D24C0E"/>
    <w:rsid w:val="00D24C84"/>
    <w:rsid w:val="00D24C89"/>
    <w:rsid w:val="00D24F6E"/>
    <w:rsid w:val="00D24F97"/>
    <w:rsid w:val="00D24FE2"/>
    <w:rsid w:val="00D250F1"/>
    <w:rsid w:val="00D250F3"/>
    <w:rsid w:val="00D2520A"/>
    <w:rsid w:val="00D2521D"/>
    <w:rsid w:val="00D25325"/>
    <w:rsid w:val="00D253D1"/>
    <w:rsid w:val="00D25900"/>
    <w:rsid w:val="00D25989"/>
    <w:rsid w:val="00D25A6A"/>
    <w:rsid w:val="00D25A7F"/>
    <w:rsid w:val="00D25A99"/>
    <w:rsid w:val="00D25B18"/>
    <w:rsid w:val="00D25B7C"/>
    <w:rsid w:val="00D25D31"/>
    <w:rsid w:val="00D25DF2"/>
    <w:rsid w:val="00D25E4B"/>
    <w:rsid w:val="00D25F29"/>
    <w:rsid w:val="00D25F9C"/>
    <w:rsid w:val="00D25FB2"/>
    <w:rsid w:val="00D25FF9"/>
    <w:rsid w:val="00D26049"/>
    <w:rsid w:val="00D26297"/>
    <w:rsid w:val="00D26351"/>
    <w:rsid w:val="00D26431"/>
    <w:rsid w:val="00D26528"/>
    <w:rsid w:val="00D26553"/>
    <w:rsid w:val="00D26582"/>
    <w:rsid w:val="00D266E5"/>
    <w:rsid w:val="00D266E7"/>
    <w:rsid w:val="00D267FB"/>
    <w:rsid w:val="00D26839"/>
    <w:rsid w:val="00D268A8"/>
    <w:rsid w:val="00D26931"/>
    <w:rsid w:val="00D26A40"/>
    <w:rsid w:val="00D26C48"/>
    <w:rsid w:val="00D26C65"/>
    <w:rsid w:val="00D26F20"/>
    <w:rsid w:val="00D26FBB"/>
    <w:rsid w:val="00D2707A"/>
    <w:rsid w:val="00D27083"/>
    <w:rsid w:val="00D270A6"/>
    <w:rsid w:val="00D2719C"/>
    <w:rsid w:val="00D271B5"/>
    <w:rsid w:val="00D271CB"/>
    <w:rsid w:val="00D272DC"/>
    <w:rsid w:val="00D2740C"/>
    <w:rsid w:val="00D27499"/>
    <w:rsid w:val="00D274D9"/>
    <w:rsid w:val="00D27820"/>
    <w:rsid w:val="00D278B3"/>
    <w:rsid w:val="00D2793E"/>
    <w:rsid w:val="00D279F0"/>
    <w:rsid w:val="00D27A04"/>
    <w:rsid w:val="00D27AFD"/>
    <w:rsid w:val="00D27B38"/>
    <w:rsid w:val="00D27CCF"/>
    <w:rsid w:val="00D27E2F"/>
    <w:rsid w:val="00D27EF2"/>
    <w:rsid w:val="00D300A4"/>
    <w:rsid w:val="00D301C6"/>
    <w:rsid w:val="00D301FF"/>
    <w:rsid w:val="00D30334"/>
    <w:rsid w:val="00D30344"/>
    <w:rsid w:val="00D3034E"/>
    <w:rsid w:val="00D303A6"/>
    <w:rsid w:val="00D303CB"/>
    <w:rsid w:val="00D303F9"/>
    <w:rsid w:val="00D30440"/>
    <w:rsid w:val="00D30560"/>
    <w:rsid w:val="00D306ED"/>
    <w:rsid w:val="00D30708"/>
    <w:rsid w:val="00D30750"/>
    <w:rsid w:val="00D30771"/>
    <w:rsid w:val="00D30901"/>
    <w:rsid w:val="00D30A1F"/>
    <w:rsid w:val="00D30B0A"/>
    <w:rsid w:val="00D30D51"/>
    <w:rsid w:val="00D30D70"/>
    <w:rsid w:val="00D30E0D"/>
    <w:rsid w:val="00D30E7B"/>
    <w:rsid w:val="00D30ED7"/>
    <w:rsid w:val="00D30F9B"/>
    <w:rsid w:val="00D30FD1"/>
    <w:rsid w:val="00D31133"/>
    <w:rsid w:val="00D31196"/>
    <w:rsid w:val="00D311BC"/>
    <w:rsid w:val="00D3123C"/>
    <w:rsid w:val="00D3128C"/>
    <w:rsid w:val="00D312C0"/>
    <w:rsid w:val="00D31380"/>
    <w:rsid w:val="00D3143C"/>
    <w:rsid w:val="00D3148E"/>
    <w:rsid w:val="00D31503"/>
    <w:rsid w:val="00D317D5"/>
    <w:rsid w:val="00D3191A"/>
    <w:rsid w:val="00D31975"/>
    <w:rsid w:val="00D319E8"/>
    <w:rsid w:val="00D31A0C"/>
    <w:rsid w:val="00D31B46"/>
    <w:rsid w:val="00D31B59"/>
    <w:rsid w:val="00D31C63"/>
    <w:rsid w:val="00D31CE9"/>
    <w:rsid w:val="00D31EA8"/>
    <w:rsid w:val="00D31F4D"/>
    <w:rsid w:val="00D32099"/>
    <w:rsid w:val="00D32100"/>
    <w:rsid w:val="00D321DF"/>
    <w:rsid w:val="00D32264"/>
    <w:rsid w:val="00D32278"/>
    <w:rsid w:val="00D3235E"/>
    <w:rsid w:val="00D323C6"/>
    <w:rsid w:val="00D323D1"/>
    <w:rsid w:val="00D3242E"/>
    <w:rsid w:val="00D324BE"/>
    <w:rsid w:val="00D32595"/>
    <w:rsid w:val="00D326B5"/>
    <w:rsid w:val="00D32701"/>
    <w:rsid w:val="00D3271E"/>
    <w:rsid w:val="00D327E4"/>
    <w:rsid w:val="00D329DE"/>
    <w:rsid w:val="00D329EF"/>
    <w:rsid w:val="00D32B46"/>
    <w:rsid w:val="00D32D65"/>
    <w:rsid w:val="00D32F18"/>
    <w:rsid w:val="00D32FE2"/>
    <w:rsid w:val="00D33034"/>
    <w:rsid w:val="00D3306B"/>
    <w:rsid w:val="00D331AF"/>
    <w:rsid w:val="00D33255"/>
    <w:rsid w:val="00D33388"/>
    <w:rsid w:val="00D33523"/>
    <w:rsid w:val="00D33610"/>
    <w:rsid w:val="00D336E1"/>
    <w:rsid w:val="00D3381E"/>
    <w:rsid w:val="00D33862"/>
    <w:rsid w:val="00D33890"/>
    <w:rsid w:val="00D338EC"/>
    <w:rsid w:val="00D33965"/>
    <w:rsid w:val="00D33A05"/>
    <w:rsid w:val="00D33AF4"/>
    <w:rsid w:val="00D33B09"/>
    <w:rsid w:val="00D33B4B"/>
    <w:rsid w:val="00D33C56"/>
    <w:rsid w:val="00D33D68"/>
    <w:rsid w:val="00D33E33"/>
    <w:rsid w:val="00D33EA8"/>
    <w:rsid w:val="00D33EE5"/>
    <w:rsid w:val="00D33FA2"/>
    <w:rsid w:val="00D33FFC"/>
    <w:rsid w:val="00D340F7"/>
    <w:rsid w:val="00D34106"/>
    <w:rsid w:val="00D342B6"/>
    <w:rsid w:val="00D34411"/>
    <w:rsid w:val="00D3443F"/>
    <w:rsid w:val="00D344BD"/>
    <w:rsid w:val="00D34525"/>
    <w:rsid w:val="00D34595"/>
    <w:rsid w:val="00D345DE"/>
    <w:rsid w:val="00D34653"/>
    <w:rsid w:val="00D346FF"/>
    <w:rsid w:val="00D34725"/>
    <w:rsid w:val="00D34802"/>
    <w:rsid w:val="00D34808"/>
    <w:rsid w:val="00D3495E"/>
    <w:rsid w:val="00D34B9E"/>
    <w:rsid w:val="00D34CDA"/>
    <w:rsid w:val="00D34DEA"/>
    <w:rsid w:val="00D34EBE"/>
    <w:rsid w:val="00D350B9"/>
    <w:rsid w:val="00D3510F"/>
    <w:rsid w:val="00D35302"/>
    <w:rsid w:val="00D3531B"/>
    <w:rsid w:val="00D3531F"/>
    <w:rsid w:val="00D3555C"/>
    <w:rsid w:val="00D355FC"/>
    <w:rsid w:val="00D35615"/>
    <w:rsid w:val="00D3561D"/>
    <w:rsid w:val="00D3568D"/>
    <w:rsid w:val="00D356BD"/>
    <w:rsid w:val="00D3592F"/>
    <w:rsid w:val="00D35A2D"/>
    <w:rsid w:val="00D35B7D"/>
    <w:rsid w:val="00D35C5D"/>
    <w:rsid w:val="00D35C5F"/>
    <w:rsid w:val="00D35CFD"/>
    <w:rsid w:val="00D35D63"/>
    <w:rsid w:val="00D35E0B"/>
    <w:rsid w:val="00D35EB9"/>
    <w:rsid w:val="00D35F19"/>
    <w:rsid w:val="00D360CD"/>
    <w:rsid w:val="00D360D5"/>
    <w:rsid w:val="00D36205"/>
    <w:rsid w:val="00D362A7"/>
    <w:rsid w:val="00D362EC"/>
    <w:rsid w:val="00D3636C"/>
    <w:rsid w:val="00D363F5"/>
    <w:rsid w:val="00D364E2"/>
    <w:rsid w:val="00D365BE"/>
    <w:rsid w:val="00D365DF"/>
    <w:rsid w:val="00D3676E"/>
    <w:rsid w:val="00D367AB"/>
    <w:rsid w:val="00D367EF"/>
    <w:rsid w:val="00D367F8"/>
    <w:rsid w:val="00D3691C"/>
    <w:rsid w:val="00D369F3"/>
    <w:rsid w:val="00D36A71"/>
    <w:rsid w:val="00D36C67"/>
    <w:rsid w:val="00D36C89"/>
    <w:rsid w:val="00D373D8"/>
    <w:rsid w:val="00D374CC"/>
    <w:rsid w:val="00D37512"/>
    <w:rsid w:val="00D37526"/>
    <w:rsid w:val="00D37663"/>
    <w:rsid w:val="00D3772C"/>
    <w:rsid w:val="00D3775F"/>
    <w:rsid w:val="00D37814"/>
    <w:rsid w:val="00D378B4"/>
    <w:rsid w:val="00D378D0"/>
    <w:rsid w:val="00D37948"/>
    <w:rsid w:val="00D379D7"/>
    <w:rsid w:val="00D37AB7"/>
    <w:rsid w:val="00D37B14"/>
    <w:rsid w:val="00D37C67"/>
    <w:rsid w:val="00D37DB1"/>
    <w:rsid w:val="00D37E47"/>
    <w:rsid w:val="00D37F2D"/>
    <w:rsid w:val="00D37F7E"/>
    <w:rsid w:val="00D40174"/>
    <w:rsid w:val="00D4019B"/>
    <w:rsid w:val="00D403F2"/>
    <w:rsid w:val="00D403FE"/>
    <w:rsid w:val="00D4047C"/>
    <w:rsid w:val="00D404C6"/>
    <w:rsid w:val="00D404FC"/>
    <w:rsid w:val="00D4064B"/>
    <w:rsid w:val="00D407FD"/>
    <w:rsid w:val="00D40807"/>
    <w:rsid w:val="00D40818"/>
    <w:rsid w:val="00D40949"/>
    <w:rsid w:val="00D409A7"/>
    <w:rsid w:val="00D40B3E"/>
    <w:rsid w:val="00D40C20"/>
    <w:rsid w:val="00D40C41"/>
    <w:rsid w:val="00D40E27"/>
    <w:rsid w:val="00D40ED0"/>
    <w:rsid w:val="00D40FEE"/>
    <w:rsid w:val="00D41264"/>
    <w:rsid w:val="00D41308"/>
    <w:rsid w:val="00D4131F"/>
    <w:rsid w:val="00D41342"/>
    <w:rsid w:val="00D413B5"/>
    <w:rsid w:val="00D41489"/>
    <w:rsid w:val="00D414FA"/>
    <w:rsid w:val="00D4150E"/>
    <w:rsid w:val="00D41522"/>
    <w:rsid w:val="00D415DD"/>
    <w:rsid w:val="00D41632"/>
    <w:rsid w:val="00D41657"/>
    <w:rsid w:val="00D4177B"/>
    <w:rsid w:val="00D418A5"/>
    <w:rsid w:val="00D4190F"/>
    <w:rsid w:val="00D4193C"/>
    <w:rsid w:val="00D41957"/>
    <w:rsid w:val="00D41B3B"/>
    <w:rsid w:val="00D41B7A"/>
    <w:rsid w:val="00D41B83"/>
    <w:rsid w:val="00D41D0D"/>
    <w:rsid w:val="00D41E3F"/>
    <w:rsid w:val="00D41E87"/>
    <w:rsid w:val="00D41E90"/>
    <w:rsid w:val="00D4205C"/>
    <w:rsid w:val="00D42178"/>
    <w:rsid w:val="00D4225C"/>
    <w:rsid w:val="00D422BC"/>
    <w:rsid w:val="00D423D1"/>
    <w:rsid w:val="00D42407"/>
    <w:rsid w:val="00D42472"/>
    <w:rsid w:val="00D425E9"/>
    <w:rsid w:val="00D4264F"/>
    <w:rsid w:val="00D4267F"/>
    <w:rsid w:val="00D427AF"/>
    <w:rsid w:val="00D4285A"/>
    <w:rsid w:val="00D428B7"/>
    <w:rsid w:val="00D428B8"/>
    <w:rsid w:val="00D42A22"/>
    <w:rsid w:val="00D42AD3"/>
    <w:rsid w:val="00D42AE5"/>
    <w:rsid w:val="00D42BE8"/>
    <w:rsid w:val="00D42CBC"/>
    <w:rsid w:val="00D42DB0"/>
    <w:rsid w:val="00D42DB6"/>
    <w:rsid w:val="00D42DEB"/>
    <w:rsid w:val="00D42FEB"/>
    <w:rsid w:val="00D43118"/>
    <w:rsid w:val="00D431A0"/>
    <w:rsid w:val="00D43240"/>
    <w:rsid w:val="00D433AD"/>
    <w:rsid w:val="00D434D1"/>
    <w:rsid w:val="00D43586"/>
    <w:rsid w:val="00D435C8"/>
    <w:rsid w:val="00D4377B"/>
    <w:rsid w:val="00D4379D"/>
    <w:rsid w:val="00D4387C"/>
    <w:rsid w:val="00D43AF0"/>
    <w:rsid w:val="00D43B56"/>
    <w:rsid w:val="00D43B82"/>
    <w:rsid w:val="00D43BF3"/>
    <w:rsid w:val="00D43C78"/>
    <w:rsid w:val="00D43CE3"/>
    <w:rsid w:val="00D43E38"/>
    <w:rsid w:val="00D43FC3"/>
    <w:rsid w:val="00D43FDB"/>
    <w:rsid w:val="00D440EB"/>
    <w:rsid w:val="00D44116"/>
    <w:rsid w:val="00D4417C"/>
    <w:rsid w:val="00D441A7"/>
    <w:rsid w:val="00D4422F"/>
    <w:rsid w:val="00D44244"/>
    <w:rsid w:val="00D44297"/>
    <w:rsid w:val="00D442C8"/>
    <w:rsid w:val="00D44654"/>
    <w:rsid w:val="00D4465D"/>
    <w:rsid w:val="00D44915"/>
    <w:rsid w:val="00D44A26"/>
    <w:rsid w:val="00D44B15"/>
    <w:rsid w:val="00D44C33"/>
    <w:rsid w:val="00D44E91"/>
    <w:rsid w:val="00D44EC6"/>
    <w:rsid w:val="00D44ECF"/>
    <w:rsid w:val="00D450CF"/>
    <w:rsid w:val="00D4510A"/>
    <w:rsid w:val="00D4525D"/>
    <w:rsid w:val="00D45264"/>
    <w:rsid w:val="00D45275"/>
    <w:rsid w:val="00D452F2"/>
    <w:rsid w:val="00D453D7"/>
    <w:rsid w:val="00D45450"/>
    <w:rsid w:val="00D4548D"/>
    <w:rsid w:val="00D4554B"/>
    <w:rsid w:val="00D4555A"/>
    <w:rsid w:val="00D4585A"/>
    <w:rsid w:val="00D45984"/>
    <w:rsid w:val="00D45A2E"/>
    <w:rsid w:val="00D45A80"/>
    <w:rsid w:val="00D45ABF"/>
    <w:rsid w:val="00D45B4E"/>
    <w:rsid w:val="00D45BA0"/>
    <w:rsid w:val="00D45BC0"/>
    <w:rsid w:val="00D45CAB"/>
    <w:rsid w:val="00D45D70"/>
    <w:rsid w:val="00D45EBA"/>
    <w:rsid w:val="00D45EDB"/>
    <w:rsid w:val="00D4603B"/>
    <w:rsid w:val="00D4606B"/>
    <w:rsid w:val="00D4616C"/>
    <w:rsid w:val="00D461A1"/>
    <w:rsid w:val="00D4620D"/>
    <w:rsid w:val="00D462D5"/>
    <w:rsid w:val="00D4649C"/>
    <w:rsid w:val="00D46527"/>
    <w:rsid w:val="00D466BC"/>
    <w:rsid w:val="00D4673F"/>
    <w:rsid w:val="00D467C8"/>
    <w:rsid w:val="00D46806"/>
    <w:rsid w:val="00D4681A"/>
    <w:rsid w:val="00D46829"/>
    <w:rsid w:val="00D469D7"/>
    <w:rsid w:val="00D46BBF"/>
    <w:rsid w:val="00D46BD7"/>
    <w:rsid w:val="00D46C08"/>
    <w:rsid w:val="00D46E6D"/>
    <w:rsid w:val="00D46F95"/>
    <w:rsid w:val="00D47019"/>
    <w:rsid w:val="00D470AE"/>
    <w:rsid w:val="00D47152"/>
    <w:rsid w:val="00D4721E"/>
    <w:rsid w:val="00D472A9"/>
    <w:rsid w:val="00D47369"/>
    <w:rsid w:val="00D4737B"/>
    <w:rsid w:val="00D473E5"/>
    <w:rsid w:val="00D47553"/>
    <w:rsid w:val="00D475A5"/>
    <w:rsid w:val="00D476A5"/>
    <w:rsid w:val="00D4782C"/>
    <w:rsid w:val="00D4783E"/>
    <w:rsid w:val="00D4786C"/>
    <w:rsid w:val="00D47961"/>
    <w:rsid w:val="00D47984"/>
    <w:rsid w:val="00D47BB8"/>
    <w:rsid w:val="00D47BBA"/>
    <w:rsid w:val="00D47CD8"/>
    <w:rsid w:val="00D47CFC"/>
    <w:rsid w:val="00D47ECF"/>
    <w:rsid w:val="00D47ED6"/>
    <w:rsid w:val="00D500B2"/>
    <w:rsid w:val="00D500CC"/>
    <w:rsid w:val="00D501E7"/>
    <w:rsid w:val="00D502EB"/>
    <w:rsid w:val="00D5030C"/>
    <w:rsid w:val="00D5048C"/>
    <w:rsid w:val="00D504C0"/>
    <w:rsid w:val="00D504D6"/>
    <w:rsid w:val="00D50506"/>
    <w:rsid w:val="00D50529"/>
    <w:rsid w:val="00D5052A"/>
    <w:rsid w:val="00D5059C"/>
    <w:rsid w:val="00D50602"/>
    <w:rsid w:val="00D506AE"/>
    <w:rsid w:val="00D5088C"/>
    <w:rsid w:val="00D50A21"/>
    <w:rsid w:val="00D50A41"/>
    <w:rsid w:val="00D50C04"/>
    <w:rsid w:val="00D50E56"/>
    <w:rsid w:val="00D50ECE"/>
    <w:rsid w:val="00D50EF9"/>
    <w:rsid w:val="00D50F0D"/>
    <w:rsid w:val="00D50F8C"/>
    <w:rsid w:val="00D5125C"/>
    <w:rsid w:val="00D51340"/>
    <w:rsid w:val="00D514D6"/>
    <w:rsid w:val="00D5155C"/>
    <w:rsid w:val="00D517B9"/>
    <w:rsid w:val="00D51891"/>
    <w:rsid w:val="00D51A0A"/>
    <w:rsid w:val="00D51AC9"/>
    <w:rsid w:val="00D51BCB"/>
    <w:rsid w:val="00D51BD9"/>
    <w:rsid w:val="00D51C01"/>
    <w:rsid w:val="00D51C83"/>
    <w:rsid w:val="00D51C8A"/>
    <w:rsid w:val="00D51D1B"/>
    <w:rsid w:val="00D51DE0"/>
    <w:rsid w:val="00D520EA"/>
    <w:rsid w:val="00D5223F"/>
    <w:rsid w:val="00D52307"/>
    <w:rsid w:val="00D523C2"/>
    <w:rsid w:val="00D52480"/>
    <w:rsid w:val="00D526F9"/>
    <w:rsid w:val="00D5275D"/>
    <w:rsid w:val="00D52783"/>
    <w:rsid w:val="00D527C6"/>
    <w:rsid w:val="00D52934"/>
    <w:rsid w:val="00D529C9"/>
    <w:rsid w:val="00D52A08"/>
    <w:rsid w:val="00D52B20"/>
    <w:rsid w:val="00D52B36"/>
    <w:rsid w:val="00D52D92"/>
    <w:rsid w:val="00D52D9A"/>
    <w:rsid w:val="00D52DE0"/>
    <w:rsid w:val="00D52DE4"/>
    <w:rsid w:val="00D52EBF"/>
    <w:rsid w:val="00D52EC8"/>
    <w:rsid w:val="00D53146"/>
    <w:rsid w:val="00D5315B"/>
    <w:rsid w:val="00D53200"/>
    <w:rsid w:val="00D53294"/>
    <w:rsid w:val="00D532F4"/>
    <w:rsid w:val="00D53400"/>
    <w:rsid w:val="00D53541"/>
    <w:rsid w:val="00D535A6"/>
    <w:rsid w:val="00D535E4"/>
    <w:rsid w:val="00D5362B"/>
    <w:rsid w:val="00D53641"/>
    <w:rsid w:val="00D536E0"/>
    <w:rsid w:val="00D53A39"/>
    <w:rsid w:val="00D53A79"/>
    <w:rsid w:val="00D53AA5"/>
    <w:rsid w:val="00D53ABC"/>
    <w:rsid w:val="00D53AE2"/>
    <w:rsid w:val="00D53AEB"/>
    <w:rsid w:val="00D53B0D"/>
    <w:rsid w:val="00D53B0F"/>
    <w:rsid w:val="00D53CF7"/>
    <w:rsid w:val="00D53E4E"/>
    <w:rsid w:val="00D53F9A"/>
    <w:rsid w:val="00D5403B"/>
    <w:rsid w:val="00D5405F"/>
    <w:rsid w:val="00D54197"/>
    <w:rsid w:val="00D541FF"/>
    <w:rsid w:val="00D543C6"/>
    <w:rsid w:val="00D54430"/>
    <w:rsid w:val="00D54454"/>
    <w:rsid w:val="00D54597"/>
    <w:rsid w:val="00D5461B"/>
    <w:rsid w:val="00D5485F"/>
    <w:rsid w:val="00D54B10"/>
    <w:rsid w:val="00D54B1C"/>
    <w:rsid w:val="00D54B22"/>
    <w:rsid w:val="00D54BBA"/>
    <w:rsid w:val="00D54C83"/>
    <w:rsid w:val="00D54C9C"/>
    <w:rsid w:val="00D54CE6"/>
    <w:rsid w:val="00D54DA7"/>
    <w:rsid w:val="00D54DD1"/>
    <w:rsid w:val="00D54E59"/>
    <w:rsid w:val="00D54F20"/>
    <w:rsid w:val="00D54F54"/>
    <w:rsid w:val="00D54FD4"/>
    <w:rsid w:val="00D5501D"/>
    <w:rsid w:val="00D550C7"/>
    <w:rsid w:val="00D551E4"/>
    <w:rsid w:val="00D55212"/>
    <w:rsid w:val="00D55247"/>
    <w:rsid w:val="00D55314"/>
    <w:rsid w:val="00D55365"/>
    <w:rsid w:val="00D553A1"/>
    <w:rsid w:val="00D55470"/>
    <w:rsid w:val="00D55529"/>
    <w:rsid w:val="00D5555B"/>
    <w:rsid w:val="00D55598"/>
    <w:rsid w:val="00D55609"/>
    <w:rsid w:val="00D55639"/>
    <w:rsid w:val="00D55778"/>
    <w:rsid w:val="00D5579D"/>
    <w:rsid w:val="00D557AD"/>
    <w:rsid w:val="00D5588F"/>
    <w:rsid w:val="00D55946"/>
    <w:rsid w:val="00D559E4"/>
    <w:rsid w:val="00D559EE"/>
    <w:rsid w:val="00D55AB4"/>
    <w:rsid w:val="00D55AC9"/>
    <w:rsid w:val="00D55B73"/>
    <w:rsid w:val="00D55D16"/>
    <w:rsid w:val="00D55E47"/>
    <w:rsid w:val="00D55E8C"/>
    <w:rsid w:val="00D55F08"/>
    <w:rsid w:val="00D56078"/>
    <w:rsid w:val="00D5613E"/>
    <w:rsid w:val="00D56388"/>
    <w:rsid w:val="00D564C0"/>
    <w:rsid w:val="00D566E0"/>
    <w:rsid w:val="00D566F7"/>
    <w:rsid w:val="00D567D3"/>
    <w:rsid w:val="00D5689E"/>
    <w:rsid w:val="00D568B7"/>
    <w:rsid w:val="00D5692C"/>
    <w:rsid w:val="00D56A52"/>
    <w:rsid w:val="00D56B26"/>
    <w:rsid w:val="00D56F98"/>
    <w:rsid w:val="00D570B2"/>
    <w:rsid w:val="00D570BE"/>
    <w:rsid w:val="00D5712B"/>
    <w:rsid w:val="00D5718C"/>
    <w:rsid w:val="00D571D1"/>
    <w:rsid w:val="00D5729D"/>
    <w:rsid w:val="00D572A6"/>
    <w:rsid w:val="00D57554"/>
    <w:rsid w:val="00D57642"/>
    <w:rsid w:val="00D577E4"/>
    <w:rsid w:val="00D5781A"/>
    <w:rsid w:val="00D5781B"/>
    <w:rsid w:val="00D57877"/>
    <w:rsid w:val="00D578AE"/>
    <w:rsid w:val="00D57A39"/>
    <w:rsid w:val="00D57ACF"/>
    <w:rsid w:val="00D57AFA"/>
    <w:rsid w:val="00D57B1F"/>
    <w:rsid w:val="00D57B5F"/>
    <w:rsid w:val="00D57BAF"/>
    <w:rsid w:val="00D57BB3"/>
    <w:rsid w:val="00D57BC3"/>
    <w:rsid w:val="00D57BFA"/>
    <w:rsid w:val="00D57C4C"/>
    <w:rsid w:val="00D57C5E"/>
    <w:rsid w:val="00D57C7C"/>
    <w:rsid w:val="00D57C93"/>
    <w:rsid w:val="00D57CCF"/>
    <w:rsid w:val="00D6006D"/>
    <w:rsid w:val="00D600CB"/>
    <w:rsid w:val="00D60183"/>
    <w:rsid w:val="00D60214"/>
    <w:rsid w:val="00D602AE"/>
    <w:rsid w:val="00D6034F"/>
    <w:rsid w:val="00D603AB"/>
    <w:rsid w:val="00D604B7"/>
    <w:rsid w:val="00D60913"/>
    <w:rsid w:val="00D60AB8"/>
    <w:rsid w:val="00D60B0D"/>
    <w:rsid w:val="00D60C1C"/>
    <w:rsid w:val="00D60DEB"/>
    <w:rsid w:val="00D60E53"/>
    <w:rsid w:val="00D60E83"/>
    <w:rsid w:val="00D60F56"/>
    <w:rsid w:val="00D61061"/>
    <w:rsid w:val="00D61301"/>
    <w:rsid w:val="00D613E7"/>
    <w:rsid w:val="00D6142B"/>
    <w:rsid w:val="00D61442"/>
    <w:rsid w:val="00D617A2"/>
    <w:rsid w:val="00D618C0"/>
    <w:rsid w:val="00D6197E"/>
    <w:rsid w:val="00D619DD"/>
    <w:rsid w:val="00D61A9F"/>
    <w:rsid w:val="00D61AA9"/>
    <w:rsid w:val="00D61ABE"/>
    <w:rsid w:val="00D61B0F"/>
    <w:rsid w:val="00D61CBD"/>
    <w:rsid w:val="00D61D50"/>
    <w:rsid w:val="00D61DA3"/>
    <w:rsid w:val="00D61DC7"/>
    <w:rsid w:val="00D61EE6"/>
    <w:rsid w:val="00D61FC0"/>
    <w:rsid w:val="00D61FF9"/>
    <w:rsid w:val="00D621A4"/>
    <w:rsid w:val="00D6221D"/>
    <w:rsid w:val="00D62450"/>
    <w:rsid w:val="00D624ED"/>
    <w:rsid w:val="00D62573"/>
    <w:rsid w:val="00D6273D"/>
    <w:rsid w:val="00D6282B"/>
    <w:rsid w:val="00D62AA5"/>
    <w:rsid w:val="00D62AEC"/>
    <w:rsid w:val="00D62B12"/>
    <w:rsid w:val="00D62DBD"/>
    <w:rsid w:val="00D62F39"/>
    <w:rsid w:val="00D62F4D"/>
    <w:rsid w:val="00D630A0"/>
    <w:rsid w:val="00D63200"/>
    <w:rsid w:val="00D6333B"/>
    <w:rsid w:val="00D63560"/>
    <w:rsid w:val="00D636C9"/>
    <w:rsid w:val="00D6372A"/>
    <w:rsid w:val="00D6386D"/>
    <w:rsid w:val="00D638E6"/>
    <w:rsid w:val="00D63A9F"/>
    <w:rsid w:val="00D63AB6"/>
    <w:rsid w:val="00D63C84"/>
    <w:rsid w:val="00D63C92"/>
    <w:rsid w:val="00D63D8E"/>
    <w:rsid w:val="00D63E9B"/>
    <w:rsid w:val="00D63ED0"/>
    <w:rsid w:val="00D63F92"/>
    <w:rsid w:val="00D6401E"/>
    <w:rsid w:val="00D6408F"/>
    <w:rsid w:val="00D64118"/>
    <w:rsid w:val="00D64170"/>
    <w:rsid w:val="00D642D3"/>
    <w:rsid w:val="00D64435"/>
    <w:rsid w:val="00D644D3"/>
    <w:rsid w:val="00D644E3"/>
    <w:rsid w:val="00D646ED"/>
    <w:rsid w:val="00D64736"/>
    <w:rsid w:val="00D64743"/>
    <w:rsid w:val="00D6488A"/>
    <w:rsid w:val="00D648FE"/>
    <w:rsid w:val="00D64A81"/>
    <w:rsid w:val="00D64ADE"/>
    <w:rsid w:val="00D64C3F"/>
    <w:rsid w:val="00D64CB2"/>
    <w:rsid w:val="00D64D03"/>
    <w:rsid w:val="00D64D36"/>
    <w:rsid w:val="00D652F0"/>
    <w:rsid w:val="00D6563B"/>
    <w:rsid w:val="00D656FA"/>
    <w:rsid w:val="00D65861"/>
    <w:rsid w:val="00D65869"/>
    <w:rsid w:val="00D65975"/>
    <w:rsid w:val="00D6599F"/>
    <w:rsid w:val="00D659A3"/>
    <w:rsid w:val="00D65C83"/>
    <w:rsid w:val="00D65D49"/>
    <w:rsid w:val="00D66150"/>
    <w:rsid w:val="00D6623E"/>
    <w:rsid w:val="00D6624F"/>
    <w:rsid w:val="00D66631"/>
    <w:rsid w:val="00D66635"/>
    <w:rsid w:val="00D666DE"/>
    <w:rsid w:val="00D66783"/>
    <w:rsid w:val="00D667A3"/>
    <w:rsid w:val="00D667F3"/>
    <w:rsid w:val="00D669FD"/>
    <w:rsid w:val="00D66AF1"/>
    <w:rsid w:val="00D66D18"/>
    <w:rsid w:val="00D66D52"/>
    <w:rsid w:val="00D66D95"/>
    <w:rsid w:val="00D66DA5"/>
    <w:rsid w:val="00D66EA6"/>
    <w:rsid w:val="00D66FA6"/>
    <w:rsid w:val="00D66FD0"/>
    <w:rsid w:val="00D6701D"/>
    <w:rsid w:val="00D67026"/>
    <w:rsid w:val="00D67182"/>
    <w:rsid w:val="00D67351"/>
    <w:rsid w:val="00D67396"/>
    <w:rsid w:val="00D67509"/>
    <w:rsid w:val="00D6756F"/>
    <w:rsid w:val="00D67678"/>
    <w:rsid w:val="00D67699"/>
    <w:rsid w:val="00D676ED"/>
    <w:rsid w:val="00D67715"/>
    <w:rsid w:val="00D6780B"/>
    <w:rsid w:val="00D67815"/>
    <w:rsid w:val="00D67826"/>
    <w:rsid w:val="00D67A4B"/>
    <w:rsid w:val="00D67AF0"/>
    <w:rsid w:val="00D67B5D"/>
    <w:rsid w:val="00D67D28"/>
    <w:rsid w:val="00D67D51"/>
    <w:rsid w:val="00D67EB6"/>
    <w:rsid w:val="00D67ED2"/>
    <w:rsid w:val="00D67EE4"/>
    <w:rsid w:val="00D67F53"/>
    <w:rsid w:val="00D67F6F"/>
    <w:rsid w:val="00D67FA5"/>
    <w:rsid w:val="00D67FBB"/>
    <w:rsid w:val="00D700C8"/>
    <w:rsid w:val="00D70368"/>
    <w:rsid w:val="00D70428"/>
    <w:rsid w:val="00D70565"/>
    <w:rsid w:val="00D70567"/>
    <w:rsid w:val="00D7062C"/>
    <w:rsid w:val="00D706A9"/>
    <w:rsid w:val="00D706BC"/>
    <w:rsid w:val="00D708B4"/>
    <w:rsid w:val="00D7091E"/>
    <w:rsid w:val="00D70A1F"/>
    <w:rsid w:val="00D70AF5"/>
    <w:rsid w:val="00D70B55"/>
    <w:rsid w:val="00D70D37"/>
    <w:rsid w:val="00D70D8F"/>
    <w:rsid w:val="00D70DB9"/>
    <w:rsid w:val="00D70E44"/>
    <w:rsid w:val="00D70E78"/>
    <w:rsid w:val="00D70E8A"/>
    <w:rsid w:val="00D70FE6"/>
    <w:rsid w:val="00D71017"/>
    <w:rsid w:val="00D71277"/>
    <w:rsid w:val="00D7127A"/>
    <w:rsid w:val="00D712C7"/>
    <w:rsid w:val="00D71368"/>
    <w:rsid w:val="00D71551"/>
    <w:rsid w:val="00D715D1"/>
    <w:rsid w:val="00D715D5"/>
    <w:rsid w:val="00D7175F"/>
    <w:rsid w:val="00D71885"/>
    <w:rsid w:val="00D71A56"/>
    <w:rsid w:val="00D71AC9"/>
    <w:rsid w:val="00D71B50"/>
    <w:rsid w:val="00D71CA3"/>
    <w:rsid w:val="00D71D23"/>
    <w:rsid w:val="00D71E3B"/>
    <w:rsid w:val="00D71ED0"/>
    <w:rsid w:val="00D71F4C"/>
    <w:rsid w:val="00D7212C"/>
    <w:rsid w:val="00D721FB"/>
    <w:rsid w:val="00D722E1"/>
    <w:rsid w:val="00D72313"/>
    <w:rsid w:val="00D723E6"/>
    <w:rsid w:val="00D723F8"/>
    <w:rsid w:val="00D725B1"/>
    <w:rsid w:val="00D725CB"/>
    <w:rsid w:val="00D725D2"/>
    <w:rsid w:val="00D725EF"/>
    <w:rsid w:val="00D7274F"/>
    <w:rsid w:val="00D7275C"/>
    <w:rsid w:val="00D727C5"/>
    <w:rsid w:val="00D727D7"/>
    <w:rsid w:val="00D7287E"/>
    <w:rsid w:val="00D729B6"/>
    <w:rsid w:val="00D729D7"/>
    <w:rsid w:val="00D72A5F"/>
    <w:rsid w:val="00D72B77"/>
    <w:rsid w:val="00D72CC3"/>
    <w:rsid w:val="00D72E25"/>
    <w:rsid w:val="00D72EA3"/>
    <w:rsid w:val="00D72EC9"/>
    <w:rsid w:val="00D73056"/>
    <w:rsid w:val="00D73177"/>
    <w:rsid w:val="00D731C6"/>
    <w:rsid w:val="00D732F4"/>
    <w:rsid w:val="00D7338B"/>
    <w:rsid w:val="00D733EA"/>
    <w:rsid w:val="00D733EB"/>
    <w:rsid w:val="00D73679"/>
    <w:rsid w:val="00D73889"/>
    <w:rsid w:val="00D738C9"/>
    <w:rsid w:val="00D738F0"/>
    <w:rsid w:val="00D738FD"/>
    <w:rsid w:val="00D73A77"/>
    <w:rsid w:val="00D73A9F"/>
    <w:rsid w:val="00D73B14"/>
    <w:rsid w:val="00D73B32"/>
    <w:rsid w:val="00D73B5D"/>
    <w:rsid w:val="00D73B6F"/>
    <w:rsid w:val="00D73BFF"/>
    <w:rsid w:val="00D73D42"/>
    <w:rsid w:val="00D73D48"/>
    <w:rsid w:val="00D73DEA"/>
    <w:rsid w:val="00D73E78"/>
    <w:rsid w:val="00D73F32"/>
    <w:rsid w:val="00D74084"/>
    <w:rsid w:val="00D7413E"/>
    <w:rsid w:val="00D741CF"/>
    <w:rsid w:val="00D743E7"/>
    <w:rsid w:val="00D744A7"/>
    <w:rsid w:val="00D745DE"/>
    <w:rsid w:val="00D74618"/>
    <w:rsid w:val="00D74794"/>
    <w:rsid w:val="00D74859"/>
    <w:rsid w:val="00D74903"/>
    <w:rsid w:val="00D74931"/>
    <w:rsid w:val="00D74B2E"/>
    <w:rsid w:val="00D74B4D"/>
    <w:rsid w:val="00D74BD9"/>
    <w:rsid w:val="00D74BDA"/>
    <w:rsid w:val="00D74BDE"/>
    <w:rsid w:val="00D74C1F"/>
    <w:rsid w:val="00D74C49"/>
    <w:rsid w:val="00D74C60"/>
    <w:rsid w:val="00D74C6C"/>
    <w:rsid w:val="00D74D37"/>
    <w:rsid w:val="00D74F0B"/>
    <w:rsid w:val="00D74F30"/>
    <w:rsid w:val="00D750AF"/>
    <w:rsid w:val="00D75198"/>
    <w:rsid w:val="00D751EC"/>
    <w:rsid w:val="00D75488"/>
    <w:rsid w:val="00D7556F"/>
    <w:rsid w:val="00D7557D"/>
    <w:rsid w:val="00D755D7"/>
    <w:rsid w:val="00D75608"/>
    <w:rsid w:val="00D7567B"/>
    <w:rsid w:val="00D756B0"/>
    <w:rsid w:val="00D7571A"/>
    <w:rsid w:val="00D75762"/>
    <w:rsid w:val="00D757A6"/>
    <w:rsid w:val="00D757F3"/>
    <w:rsid w:val="00D7582C"/>
    <w:rsid w:val="00D75946"/>
    <w:rsid w:val="00D759F0"/>
    <w:rsid w:val="00D75A41"/>
    <w:rsid w:val="00D75C25"/>
    <w:rsid w:val="00D75C37"/>
    <w:rsid w:val="00D75C49"/>
    <w:rsid w:val="00D75E46"/>
    <w:rsid w:val="00D75EBA"/>
    <w:rsid w:val="00D7609D"/>
    <w:rsid w:val="00D7619B"/>
    <w:rsid w:val="00D7624A"/>
    <w:rsid w:val="00D762C1"/>
    <w:rsid w:val="00D762FA"/>
    <w:rsid w:val="00D76365"/>
    <w:rsid w:val="00D76374"/>
    <w:rsid w:val="00D763CE"/>
    <w:rsid w:val="00D7668A"/>
    <w:rsid w:val="00D766CF"/>
    <w:rsid w:val="00D76897"/>
    <w:rsid w:val="00D76A7C"/>
    <w:rsid w:val="00D76A8B"/>
    <w:rsid w:val="00D76BDF"/>
    <w:rsid w:val="00D76C67"/>
    <w:rsid w:val="00D76D7A"/>
    <w:rsid w:val="00D76EA4"/>
    <w:rsid w:val="00D76EA9"/>
    <w:rsid w:val="00D770F0"/>
    <w:rsid w:val="00D7715E"/>
    <w:rsid w:val="00D774E8"/>
    <w:rsid w:val="00D77514"/>
    <w:rsid w:val="00D77515"/>
    <w:rsid w:val="00D77525"/>
    <w:rsid w:val="00D77821"/>
    <w:rsid w:val="00D77829"/>
    <w:rsid w:val="00D77E27"/>
    <w:rsid w:val="00D77EDC"/>
    <w:rsid w:val="00D8004C"/>
    <w:rsid w:val="00D8007C"/>
    <w:rsid w:val="00D80232"/>
    <w:rsid w:val="00D8025C"/>
    <w:rsid w:val="00D8037E"/>
    <w:rsid w:val="00D804CC"/>
    <w:rsid w:val="00D80502"/>
    <w:rsid w:val="00D805FD"/>
    <w:rsid w:val="00D806EC"/>
    <w:rsid w:val="00D80781"/>
    <w:rsid w:val="00D807A9"/>
    <w:rsid w:val="00D807EA"/>
    <w:rsid w:val="00D80834"/>
    <w:rsid w:val="00D80839"/>
    <w:rsid w:val="00D80886"/>
    <w:rsid w:val="00D808FF"/>
    <w:rsid w:val="00D809A5"/>
    <w:rsid w:val="00D80A97"/>
    <w:rsid w:val="00D80ACF"/>
    <w:rsid w:val="00D80B73"/>
    <w:rsid w:val="00D80BF8"/>
    <w:rsid w:val="00D80C12"/>
    <w:rsid w:val="00D80C36"/>
    <w:rsid w:val="00D80C4F"/>
    <w:rsid w:val="00D80C91"/>
    <w:rsid w:val="00D80D48"/>
    <w:rsid w:val="00D80ED7"/>
    <w:rsid w:val="00D80FB8"/>
    <w:rsid w:val="00D812A0"/>
    <w:rsid w:val="00D81396"/>
    <w:rsid w:val="00D813C4"/>
    <w:rsid w:val="00D81404"/>
    <w:rsid w:val="00D8149D"/>
    <w:rsid w:val="00D8153F"/>
    <w:rsid w:val="00D81614"/>
    <w:rsid w:val="00D8164F"/>
    <w:rsid w:val="00D81653"/>
    <w:rsid w:val="00D8166B"/>
    <w:rsid w:val="00D8176C"/>
    <w:rsid w:val="00D81931"/>
    <w:rsid w:val="00D81941"/>
    <w:rsid w:val="00D81C51"/>
    <w:rsid w:val="00D81FD5"/>
    <w:rsid w:val="00D8204F"/>
    <w:rsid w:val="00D82055"/>
    <w:rsid w:val="00D82079"/>
    <w:rsid w:val="00D82098"/>
    <w:rsid w:val="00D820AF"/>
    <w:rsid w:val="00D820D7"/>
    <w:rsid w:val="00D822C2"/>
    <w:rsid w:val="00D8234E"/>
    <w:rsid w:val="00D8248A"/>
    <w:rsid w:val="00D824E4"/>
    <w:rsid w:val="00D82582"/>
    <w:rsid w:val="00D826B6"/>
    <w:rsid w:val="00D826D2"/>
    <w:rsid w:val="00D826E6"/>
    <w:rsid w:val="00D82718"/>
    <w:rsid w:val="00D82720"/>
    <w:rsid w:val="00D8278E"/>
    <w:rsid w:val="00D82801"/>
    <w:rsid w:val="00D828A6"/>
    <w:rsid w:val="00D82AB2"/>
    <w:rsid w:val="00D82B9B"/>
    <w:rsid w:val="00D82CBC"/>
    <w:rsid w:val="00D82CFC"/>
    <w:rsid w:val="00D82E21"/>
    <w:rsid w:val="00D82E72"/>
    <w:rsid w:val="00D82E99"/>
    <w:rsid w:val="00D82FCE"/>
    <w:rsid w:val="00D8309D"/>
    <w:rsid w:val="00D830C6"/>
    <w:rsid w:val="00D8323D"/>
    <w:rsid w:val="00D83250"/>
    <w:rsid w:val="00D83294"/>
    <w:rsid w:val="00D832D7"/>
    <w:rsid w:val="00D83368"/>
    <w:rsid w:val="00D83393"/>
    <w:rsid w:val="00D83447"/>
    <w:rsid w:val="00D837A2"/>
    <w:rsid w:val="00D837E2"/>
    <w:rsid w:val="00D83C1F"/>
    <w:rsid w:val="00D83C78"/>
    <w:rsid w:val="00D83CE3"/>
    <w:rsid w:val="00D83DBD"/>
    <w:rsid w:val="00D83E5A"/>
    <w:rsid w:val="00D83EAB"/>
    <w:rsid w:val="00D83FB0"/>
    <w:rsid w:val="00D84068"/>
    <w:rsid w:val="00D84077"/>
    <w:rsid w:val="00D84127"/>
    <w:rsid w:val="00D84232"/>
    <w:rsid w:val="00D84293"/>
    <w:rsid w:val="00D842DA"/>
    <w:rsid w:val="00D843B7"/>
    <w:rsid w:val="00D844AC"/>
    <w:rsid w:val="00D84533"/>
    <w:rsid w:val="00D845DA"/>
    <w:rsid w:val="00D845E0"/>
    <w:rsid w:val="00D8465C"/>
    <w:rsid w:val="00D84726"/>
    <w:rsid w:val="00D84936"/>
    <w:rsid w:val="00D849A5"/>
    <w:rsid w:val="00D84A25"/>
    <w:rsid w:val="00D84A6D"/>
    <w:rsid w:val="00D84A7C"/>
    <w:rsid w:val="00D84ACF"/>
    <w:rsid w:val="00D84AD8"/>
    <w:rsid w:val="00D84B82"/>
    <w:rsid w:val="00D84BD9"/>
    <w:rsid w:val="00D84CFA"/>
    <w:rsid w:val="00D84EF7"/>
    <w:rsid w:val="00D84F30"/>
    <w:rsid w:val="00D84F72"/>
    <w:rsid w:val="00D85292"/>
    <w:rsid w:val="00D8529E"/>
    <w:rsid w:val="00D85348"/>
    <w:rsid w:val="00D8564F"/>
    <w:rsid w:val="00D8567B"/>
    <w:rsid w:val="00D8569E"/>
    <w:rsid w:val="00D856D5"/>
    <w:rsid w:val="00D857FE"/>
    <w:rsid w:val="00D85901"/>
    <w:rsid w:val="00D85B58"/>
    <w:rsid w:val="00D85C5A"/>
    <w:rsid w:val="00D85C89"/>
    <w:rsid w:val="00D85E1E"/>
    <w:rsid w:val="00D85E33"/>
    <w:rsid w:val="00D85E6F"/>
    <w:rsid w:val="00D85E99"/>
    <w:rsid w:val="00D85E9B"/>
    <w:rsid w:val="00D85EA7"/>
    <w:rsid w:val="00D85EE4"/>
    <w:rsid w:val="00D86158"/>
    <w:rsid w:val="00D861CC"/>
    <w:rsid w:val="00D862C2"/>
    <w:rsid w:val="00D862D4"/>
    <w:rsid w:val="00D8640A"/>
    <w:rsid w:val="00D86454"/>
    <w:rsid w:val="00D864F0"/>
    <w:rsid w:val="00D8658C"/>
    <w:rsid w:val="00D86685"/>
    <w:rsid w:val="00D866DD"/>
    <w:rsid w:val="00D8673E"/>
    <w:rsid w:val="00D86765"/>
    <w:rsid w:val="00D8690D"/>
    <w:rsid w:val="00D86A5A"/>
    <w:rsid w:val="00D86A93"/>
    <w:rsid w:val="00D86B09"/>
    <w:rsid w:val="00D86BBC"/>
    <w:rsid w:val="00D86CCD"/>
    <w:rsid w:val="00D86F19"/>
    <w:rsid w:val="00D86F4E"/>
    <w:rsid w:val="00D86FF0"/>
    <w:rsid w:val="00D87290"/>
    <w:rsid w:val="00D872B0"/>
    <w:rsid w:val="00D873A8"/>
    <w:rsid w:val="00D873FB"/>
    <w:rsid w:val="00D8748C"/>
    <w:rsid w:val="00D874A7"/>
    <w:rsid w:val="00D874DA"/>
    <w:rsid w:val="00D87505"/>
    <w:rsid w:val="00D87664"/>
    <w:rsid w:val="00D876AC"/>
    <w:rsid w:val="00D877B4"/>
    <w:rsid w:val="00D879CA"/>
    <w:rsid w:val="00D87A4B"/>
    <w:rsid w:val="00D87B2A"/>
    <w:rsid w:val="00D87B6C"/>
    <w:rsid w:val="00D87C07"/>
    <w:rsid w:val="00D87D8D"/>
    <w:rsid w:val="00D87E9C"/>
    <w:rsid w:val="00D87F41"/>
    <w:rsid w:val="00D87F7A"/>
    <w:rsid w:val="00D87FB2"/>
    <w:rsid w:val="00D90013"/>
    <w:rsid w:val="00D900EB"/>
    <w:rsid w:val="00D90133"/>
    <w:rsid w:val="00D90208"/>
    <w:rsid w:val="00D90396"/>
    <w:rsid w:val="00D9045C"/>
    <w:rsid w:val="00D9052A"/>
    <w:rsid w:val="00D90828"/>
    <w:rsid w:val="00D90957"/>
    <w:rsid w:val="00D90A51"/>
    <w:rsid w:val="00D90BBF"/>
    <w:rsid w:val="00D90C5C"/>
    <w:rsid w:val="00D90C6F"/>
    <w:rsid w:val="00D90C8F"/>
    <w:rsid w:val="00D90D2F"/>
    <w:rsid w:val="00D90E91"/>
    <w:rsid w:val="00D90F52"/>
    <w:rsid w:val="00D90FA2"/>
    <w:rsid w:val="00D911CE"/>
    <w:rsid w:val="00D911D9"/>
    <w:rsid w:val="00D911E4"/>
    <w:rsid w:val="00D91242"/>
    <w:rsid w:val="00D912BF"/>
    <w:rsid w:val="00D912D2"/>
    <w:rsid w:val="00D912DE"/>
    <w:rsid w:val="00D91464"/>
    <w:rsid w:val="00D914C0"/>
    <w:rsid w:val="00D914CF"/>
    <w:rsid w:val="00D916CA"/>
    <w:rsid w:val="00D918D1"/>
    <w:rsid w:val="00D919DC"/>
    <w:rsid w:val="00D91A0F"/>
    <w:rsid w:val="00D91B14"/>
    <w:rsid w:val="00D91C2E"/>
    <w:rsid w:val="00D91D1E"/>
    <w:rsid w:val="00D91D66"/>
    <w:rsid w:val="00D91FA5"/>
    <w:rsid w:val="00D9207F"/>
    <w:rsid w:val="00D92118"/>
    <w:rsid w:val="00D921AC"/>
    <w:rsid w:val="00D921C1"/>
    <w:rsid w:val="00D922B8"/>
    <w:rsid w:val="00D92345"/>
    <w:rsid w:val="00D925D6"/>
    <w:rsid w:val="00D92601"/>
    <w:rsid w:val="00D92653"/>
    <w:rsid w:val="00D92709"/>
    <w:rsid w:val="00D92811"/>
    <w:rsid w:val="00D92943"/>
    <w:rsid w:val="00D92A1E"/>
    <w:rsid w:val="00D92AFC"/>
    <w:rsid w:val="00D92C20"/>
    <w:rsid w:val="00D92D42"/>
    <w:rsid w:val="00D92EB5"/>
    <w:rsid w:val="00D92FBE"/>
    <w:rsid w:val="00D93128"/>
    <w:rsid w:val="00D9314D"/>
    <w:rsid w:val="00D9317A"/>
    <w:rsid w:val="00D931E4"/>
    <w:rsid w:val="00D93332"/>
    <w:rsid w:val="00D93346"/>
    <w:rsid w:val="00D933CE"/>
    <w:rsid w:val="00D934A3"/>
    <w:rsid w:val="00D935F5"/>
    <w:rsid w:val="00D935FE"/>
    <w:rsid w:val="00D936B7"/>
    <w:rsid w:val="00D937EC"/>
    <w:rsid w:val="00D93841"/>
    <w:rsid w:val="00D93867"/>
    <w:rsid w:val="00D939EF"/>
    <w:rsid w:val="00D93A4D"/>
    <w:rsid w:val="00D93AED"/>
    <w:rsid w:val="00D93C0F"/>
    <w:rsid w:val="00D93CE3"/>
    <w:rsid w:val="00D93D40"/>
    <w:rsid w:val="00D93D81"/>
    <w:rsid w:val="00D93F22"/>
    <w:rsid w:val="00D93F3E"/>
    <w:rsid w:val="00D93F6A"/>
    <w:rsid w:val="00D93F91"/>
    <w:rsid w:val="00D94105"/>
    <w:rsid w:val="00D9428E"/>
    <w:rsid w:val="00D945FF"/>
    <w:rsid w:val="00D94601"/>
    <w:rsid w:val="00D946EC"/>
    <w:rsid w:val="00D9481B"/>
    <w:rsid w:val="00D948CC"/>
    <w:rsid w:val="00D94942"/>
    <w:rsid w:val="00D94A7F"/>
    <w:rsid w:val="00D94BB5"/>
    <w:rsid w:val="00D94C43"/>
    <w:rsid w:val="00D94D56"/>
    <w:rsid w:val="00D94D6D"/>
    <w:rsid w:val="00D94D8A"/>
    <w:rsid w:val="00D94E06"/>
    <w:rsid w:val="00D94EF2"/>
    <w:rsid w:val="00D94FD7"/>
    <w:rsid w:val="00D951BB"/>
    <w:rsid w:val="00D953DB"/>
    <w:rsid w:val="00D9549F"/>
    <w:rsid w:val="00D9560F"/>
    <w:rsid w:val="00D95694"/>
    <w:rsid w:val="00D9576A"/>
    <w:rsid w:val="00D9576D"/>
    <w:rsid w:val="00D9583E"/>
    <w:rsid w:val="00D95867"/>
    <w:rsid w:val="00D959DA"/>
    <w:rsid w:val="00D95A25"/>
    <w:rsid w:val="00D95AC5"/>
    <w:rsid w:val="00D95BE3"/>
    <w:rsid w:val="00D95EF0"/>
    <w:rsid w:val="00D95FFA"/>
    <w:rsid w:val="00D9609C"/>
    <w:rsid w:val="00D961B4"/>
    <w:rsid w:val="00D961DC"/>
    <w:rsid w:val="00D962CA"/>
    <w:rsid w:val="00D962DD"/>
    <w:rsid w:val="00D9650A"/>
    <w:rsid w:val="00D965C2"/>
    <w:rsid w:val="00D965E8"/>
    <w:rsid w:val="00D96614"/>
    <w:rsid w:val="00D96848"/>
    <w:rsid w:val="00D96916"/>
    <w:rsid w:val="00D96925"/>
    <w:rsid w:val="00D96BF2"/>
    <w:rsid w:val="00D96D70"/>
    <w:rsid w:val="00D96F4B"/>
    <w:rsid w:val="00D96F98"/>
    <w:rsid w:val="00D96FEB"/>
    <w:rsid w:val="00D9701F"/>
    <w:rsid w:val="00D97056"/>
    <w:rsid w:val="00D9705C"/>
    <w:rsid w:val="00D9724C"/>
    <w:rsid w:val="00D9732A"/>
    <w:rsid w:val="00D97342"/>
    <w:rsid w:val="00D97352"/>
    <w:rsid w:val="00D973AB"/>
    <w:rsid w:val="00D973AF"/>
    <w:rsid w:val="00D97516"/>
    <w:rsid w:val="00D97524"/>
    <w:rsid w:val="00D975B4"/>
    <w:rsid w:val="00D9767E"/>
    <w:rsid w:val="00D97745"/>
    <w:rsid w:val="00D9778A"/>
    <w:rsid w:val="00D97969"/>
    <w:rsid w:val="00D97A8C"/>
    <w:rsid w:val="00D97CE0"/>
    <w:rsid w:val="00D97E49"/>
    <w:rsid w:val="00D97E68"/>
    <w:rsid w:val="00D97EDA"/>
    <w:rsid w:val="00D97F37"/>
    <w:rsid w:val="00D97F6C"/>
    <w:rsid w:val="00D97FFD"/>
    <w:rsid w:val="00DA0013"/>
    <w:rsid w:val="00DA030B"/>
    <w:rsid w:val="00DA031A"/>
    <w:rsid w:val="00DA0356"/>
    <w:rsid w:val="00DA03D5"/>
    <w:rsid w:val="00DA05BD"/>
    <w:rsid w:val="00DA05D9"/>
    <w:rsid w:val="00DA06D3"/>
    <w:rsid w:val="00DA074D"/>
    <w:rsid w:val="00DA08C6"/>
    <w:rsid w:val="00DA095F"/>
    <w:rsid w:val="00DA0A24"/>
    <w:rsid w:val="00DA0A9C"/>
    <w:rsid w:val="00DA0B9F"/>
    <w:rsid w:val="00DA0C1B"/>
    <w:rsid w:val="00DA0D70"/>
    <w:rsid w:val="00DA0E2C"/>
    <w:rsid w:val="00DA0E8F"/>
    <w:rsid w:val="00DA10CE"/>
    <w:rsid w:val="00DA10DB"/>
    <w:rsid w:val="00DA10E5"/>
    <w:rsid w:val="00DA111D"/>
    <w:rsid w:val="00DA11AB"/>
    <w:rsid w:val="00DA1301"/>
    <w:rsid w:val="00DA132C"/>
    <w:rsid w:val="00DA1336"/>
    <w:rsid w:val="00DA141F"/>
    <w:rsid w:val="00DA1432"/>
    <w:rsid w:val="00DA14ED"/>
    <w:rsid w:val="00DA157D"/>
    <w:rsid w:val="00DA16B3"/>
    <w:rsid w:val="00DA16ED"/>
    <w:rsid w:val="00DA1768"/>
    <w:rsid w:val="00DA178F"/>
    <w:rsid w:val="00DA17A9"/>
    <w:rsid w:val="00DA17F3"/>
    <w:rsid w:val="00DA183F"/>
    <w:rsid w:val="00DA18C1"/>
    <w:rsid w:val="00DA193C"/>
    <w:rsid w:val="00DA19D9"/>
    <w:rsid w:val="00DA1A00"/>
    <w:rsid w:val="00DA1CFD"/>
    <w:rsid w:val="00DA1D72"/>
    <w:rsid w:val="00DA1D84"/>
    <w:rsid w:val="00DA1DF2"/>
    <w:rsid w:val="00DA1FEF"/>
    <w:rsid w:val="00DA1FFE"/>
    <w:rsid w:val="00DA21F4"/>
    <w:rsid w:val="00DA2271"/>
    <w:rsid w:val="00DA24D8"/>
    <w:rsid w:val="00DA2512"/>
    <w:rsid w:val="00DA263F"/>
    <w:rsid w:val="00DA2814"/>
    <w:rsid w:val="00DA2A74"/>
    <w:rsid w:val="00DA2A93"/>
    <w:rsid w:val="00DA2ACE"/>
    <w:rsid w:val="00DA2B0A"/>
    <w:rsid w:val="00DA2B63"/>
    <w:rsid w:val="00DA2BCE"/>
    <w:rsid w:val="00DA2CFF"/>
    <w:rsid w:val="00DA2D41"/>
    <w:rsid w:val="00DA2D5B"/>
    <w:rsid w:val="00DA2D70"/>
    <w:rsid w:val="00DA2DA3"/>
    <w:rsid w:val="00DA2DBA"/>
    <w:rsid w:val="00DA2DC3"/>
    <w:rsid w:val="00DA2DC8"/>
    <w:rsid w:val="00DA2EE1"/>
    <w:rsid w:val="00DA2EEC"/>
    <w:rsid w:val="00DA2F2D"/>
    <w:rsid w:val="00DA2F9C"/>
    <w:rsid w:val="00DA2FAA"/>
    <w:rsid w:val="00DA3001"/>
    <w:rsid w:val="00DA30CF"/>
    <w:rsid w:val="00DA3166"/>
    <w:rsid w:val="00DA32EE"/>
    <w:rsid w:val="00DA3469"/>
    <w:rsid w:val="00DA34F3"/>
    <w:rsid w:val="00DA35B6"/>
    <w:rsid w:val="00DA3616"/>
    <w:rsid w:val="00DA36C7"/>
    <w:rsid w:val="00DA3853"/>
    <w:rsid w:val="00DA3909"/>
    <w:rsid w:val="00DA3920"/>
    <w:rsid w:val="00DA3964"/>
    <w:rsid w:val="00DA399D"/>
    <w:rsid w:val="00DA39F7"/>
    <w:rsid w:val="00DA3ABF"/>
    <w:rsid w:val="00DA3B9A"/>
    <w:rsid w:val="00DA3C37"/>
    <w:rsid w:val="00DA3CBB"/>
    <w:rsid w:val="00DA3D6D"/>
    <w:rsid w:val="00DA3EAB"/>
    <w:rsid w:val="00DA3F28"/>
    <w:rsid w:val="00DA3FB0"/>
    <w:rsid w:val="00DA4000"/>
    <w:rsid w:val="00DA413D"/>
    <w:rsid w:val="00DA4144"/>
    <w:rsid w:val="00DA419D"/>
    <w:rsid w:val="00DA41EC"/>
    <w:rsid w:val="00DA41F7"/>
    <w:rsid w:val="00DA432B"/>
    <w:rsid w:val="00DA43B8"/>
    <w:rsid w:val="00DA43CF"/>
    <w:rsid w:val="00DA43E5"/>
    <w:rsid w:val="00DA4517"/>
    <w:rsid w:val="00DA4672"/>
    <w:rsid w:val="00DA492F"/>
    <w:rsid w:val="00DA4983"/>
    <w:rsid w:val="00DA4988"/>
    <w:rsid w:val="00DA4A0C"/>
    <w:rsid w:val="00DA4AC0"/>
    <w:rsid w:val="00DA4AC4"/>
    <w:rsid w:val="00DA4B32"/>
    <w:rsid w:val="00DA4B69"/>
    <w:rsid w:val="00DA4C47"/>
    <w:rsid w:val="00DA4D1D"/>
    <w:rsid w:val="00DA4F53"/>
    <w:rsid w:val="00DA4FBB"/>
    <w:rsid w:val="00DA5187"/>
    <w:rsid w:val="00DA51DB"/>
    <w:rsid w:val="00DA51E3"/>
    <w:rsid w:val="00DA526D"/>
    <w:rsid w:val="00DA5314"/>
    <w:rsid w:val="00DA54B1"/>
    <w:rsid w:val="00DA54B8"/>
    <w:rsid w:val="00DA5760"/>
    <w:rsid w:val="00DA5767"/>
    <w:rsid w:val="00DA5932"/>
    <w:rsid w:val="00DA593D"/>
    <w:rsid w:val="00DA59CD"/>
    <w:rsid w:val="00DA5AA5"/>
    <w:rsid w:val="00DA5AE9"/>
    <w:rsid w:val="00DA5B23"/>
    <w:rsid w:val="00DA5BA2"/>
    <w:rsid w:val="00DA5CF4"/>
    <w:rsid w:val="00DA5EF2"/>
    <w:rsid w:val="00DA5F31"/>
    <w:rsid w:val="00DA5F67"/>
    <w:rsid w:val="00DA608D"/>
    <w:rsid w:val="00DA61B8"/>
    <w:rsid w:val="00DA620E"/>
    <w:rsid w:val="00DA6330"/>
    <w:rsid w:val="00DA63AE"/>
    <w:rsid w:val="00DA64A1"/>
    <w:rsid w:val="00DA65D4"/>
    <w:rsid w:val="00DA65FA"/>
    <w:rsid w:val="00DA6755"/>
    <w:rsid w:val="00DA6782"/>
    <w:rsid w:val="00DA68F1"/>
    <w:rsid w:val="00DA691A"/>
    <w:rsid w:val="00DA692B"/>
    <w:rsid w:val="00DA6B41"/>
    <w:rsid w:val="00DA6C59"/>
    <w:rsid w:val="00DA6D36"/>
    <w:rsid w:val="00DA6E6D"/>
    <w:rsid w:val="00DA7087"/>
    <w:rsid w:val="00DA7171"/>
    <w:rsid w:val="00DA719B"/>
    <w:rsid w:val="00DA724B"/>
    <w:rsid w:val="00DA7294"/>
    <w:rsid w:val="00DA73E7"/>
    <w:rsid w:val="00DA74CF"/>
    <w:rsid w:val="00DA753A"/>
    <w:rsid w:val="00DA7561"/>
    <w:rsid w:val="00DA76D0"/>
    <w:rsid w:val="00DA772F"/>
    <w:rsid w:val="00DA7937"/>
    <w:rsid w:val="00DA79A5"/>
    <w:rsid w:val="00DA79E0"/>
    <w:rsid w:val="00DA7A4D"/>
    <w:rsid w:val="00DA7B47"/>
    <w:rsid w:val="00DA7B48"/>
    <w:rsid w:val="00DA7CC7"/>
    <w:rsid w:val="00DA7F06"/>
    <w:rsid w:val="00DA7F5D"/>
    <w:rsid w:val="00DB0077"/>
    <w:rsid w:val="00DB0087"/>
    <w:rsid w:val="00DB00FE"/>
    <w:rsid w:val="00DB0117"/>
    <w:rsid w:val="00DB0216"/>
    <w:rsid w:val="00DB02CC"/>
    <w:rsid w:val="00DB0410"/>
    <w:rsid w:val="00DB051F"/>
    <w:rsid w:val="00DB057E"/>
    <w:rsid w:val="00DB05D8"/>
    <w:rsid w:val="00DB05E6"/>
    <w:rsid w:val="00DB05ED"/>
    <w:rsid w:val="00DB0946"/>
    <w:rsid w:val="00DB0AB9"/>
    <w:rsid w:val="00DB0AE0"/>
    <w:rsid w:val="00DB0AEC"/>
    <w:rsid w:val="00DB0BDF"/>
    <w:rsid w:val="00DB0CC8"/>
    <w:rsid w:val="00DB0DB5"/>
    <w:rsid w:val="00DB0E8F"/>
    <w:rsid w:val="00DB11BD"/>
    <w:rsid w:val="00DB1381"/>
    <w:rsid w:val="00DB142D"/>
    <w:rsid w:val="00DB1487"/>
    <w:rsid w:val="00DB15A8"/>
    <w:rsid w:val="00DB164C"/>
    <w:rsid w:val="00DB170A"/>
    <w:rsid w:val="00DB17EE"/>
    <w:rsid w:val="00DB1B15"/>
    <w:rsid w:val="00DB1C7A"/>
    <w:rsid w:val="00DB1C99"/>
    <w:rsid w:val="00DB1CB4"/>
    <w:rsid w:val="00DB1D40"/>
    <w:rsid w:val="00DB1E46"/>
    <w:rsid w:val="00DB1EA6"/>
    <w:rsid w:val="00DB1F64"/>
    <w:rsid w:val="00DB1FCD"/>
    <w:rsid w:val="00DB2175"/>
    <w:rsid w:val="00DB21E3"/>
    <w:rsid w:val="00DB2212"/>
    <w:rsid w:val="00DB224C"/>
    <w:rsid w:val="00DB2264"/>
    <w:rsid w:val="00DB2458"/>
    <w:rsid w:val="00DB2492"/>
    <w:rsid w:val="00DB2509"/>
    <w:rsid w:val="00DB2677"/>
    <w:rsid w:val="00DB26AB"/>
    <w:rsid w:val="00DB27B2"/>
    <w:rsid w:val="00DB28FE"/>
    <w:rsid w:val="00DB29A8"/>
    <w:rsid w:val="00DB29BC"/>
    <w:rsid w:val="00DB2B47"/>
    <w:rsid w:val="00DB2D31"/>
    <w:rsid w:val="00DB2D54"/>
    <w:rsid w:val="00DB2DB6"/>
    <w:rsid w:val="00DB2DBF"/>
    <w:rsid w:val="00DB2E12"/>
    <w:rsid w:val="00DB301F"/>
    <w:rsid w:val="00DB3059"/>
    <w:rsid w:val="00DB3135"/>
    <w:rsid w:val="00DB323A"/>
    <w:rsid w:val="00DB344E"/>
    <w:rsid w:val="00DB3497"/>
    <w:rsid w:val="00DB34C8"/>
    <w:rsid w:val="00DB354B"/>
    <w:rsid w:val="00DB3672"/>
    <w:rsid w:val="00DB3812"/>
    <w:rsid w:val="00DB382A"/>
    <w:rsid w:val="00DB3920"/>
    <w:rsid w:val="00DB3946"/>
    <w:rsid w:val="00DB3972"/>
    <w:rsid w:val="00DB39E6"/>
    <w:rsid w:val="00DB3B4D"/>
    <w:rsid w:val="00DB3C7F"/>
    <w:rsid w:val="00DB3DBF"/>
    <w:rsid w:val="00DB3DFF"/>
    <w:rsid w:val="00DB3E8D"/>
    <w:rsid w:val="00DB3F00"/>
    <w:rsid w:val="00DB415D"/>
    <w:rsid w:val="00DB4194"/>
    <w:rsid w:val="00DB41BA"/>
    <w:rsid w:val="00DB4431"/>
    <w:rsid w:val="00DB44D1"/>
    <w:rsid w:val="00DB461B"/>
    <w:rsid w:val="00DB4687"/>
    <w:rsid w:val="00DB46D1"/>
    <w:rsid w:val="00DB46ED"/>
    <w:rsid w:val="00DB4797"/>
    <w:rsid w:val="00DB4820"/>
    <w:rsid w:val="00DB4933"/>
    <w:rsid w:val="00DB4A8A"/>
    <w:rsid w:val="00DB4BA5"/>
    <w:rsid w:val="00DB4C0A"/>
    <w:rsid w:val="00DB4C91"/>
    <w:rsid w:val="00DB4CC2"/>
    <w:rsid w:val="00DB4CE2"/>
    <w:rsid w:val="00DB4CE6"/>
    <w:rsid w:val="00DB4D88"/>
    <w:rsid w:val="00DB4E26"/>
    <w:rsid w:val="00DB4E89"/>
    <w:rsid w:val="00DB4ED3"/>
    <w:rsid w:val="00DB4F6B"/>
    <w:rsid w:val="00DB500F"/>
    <w:rsid w:val="00DB506F"/>
    <w:rsid w:val="00DB511C"/>
    <w:rsid w:val="00DB524D"/>
    <w:rsid w:val="00DB547B"/>
    <w:rsid w:val="00DB5500"/>
    <w:rsid w:val="00DB5528"/>
    <w:rsid w:val="00DB5645"/>
    <w:rsid w:val="00DB568A"/>
    <w:rsid w:val="00DB5729"/>
    <w:rsid w:val="00DB5859"/>
    <w:rsid w:val="00DB5897"/>
    <w:rsid w:val="00DB593C"/>
    <w:rsid w:val="00DB5AAD"/>
    <w:rsid w:val="00DB5B3C"/>
    <w:rsid w:val="00DB5BCC"/>
    <w:rsid w:val="00DB5BFE"/>
    <w:rsid w:val="00DB5C59"/>
    <w:rsid w:val="00DB5CBE"/>
    <w:rsid w:val="00DB5DFF"/>
    <w:rsid w:val="00DB5EFC"/>
    <w:rsid w:val="00DB5FB9"/>
    <w:rsid w:val="00DB5FBE"/>
    <w:rsid w:val="00DB5FF9"/>
    <w:rsid w:val="00DB6109"/>
    <w:rsid w:val="00DB6149"/>
    <w:rsid w:val="00DB6372"/>
    <w:rsid w:val="00DB6494"/>
    <w:rsid w:val="00DB649C"/>
    <w:rsid w:val="00DB65DF"/>
    <w:rsid w:val="00DB667E"/>
    <w:rsid w:val="00DB674A"/>
    <w:rsid w:val="00DB68A7"/>
    <w:rsid w:val="00DB6A2E"/>
    <w:rsid w:val="00DB6AE1"/>
    <w:rsid w:val="00DB6C52"/>
    <w:rsid w:val="00DB6C71"/>
    <w:rsid w:val="00DB6D30"/>
    <w:rsid w:val="00DB72AF"/>
    <w:rsid w:val="00DB737B"/>
    <w:rsid w:val="00DB74D1"/>
    <w:rsid w:val="00DB7545"/>
    <w:rsid w:val="00DB75BD"/>
    <w:rsid w:val="00DB764A"/>
    <w:rsid w:val="00DB766E"/>
    <w:rsid w:val="00DB76A2"/>
    <w:rsid w:val="00DB77A8"/>
    <w:rsid w:val="00DB7A26"/>
    <w:rsid w:val="00DB7B1D"/>
    <w:rsid w:val="00DB7B4F"/>
    <w:rsid w:val="00DB7BED"/>
    <w:rsid w:val="00DB7CF2"/>
    <w:rsid w:val="00DB7F1E"/>
    <w:rsid w:val="00DC00AA"/>
    <w:rsid w:val="00DC020D"/>
    <w:rsid w:val="00DC0218"/>
    <w:rsid w:val="00DC0275"/>
    <w:rsid w:val="00DC032B"/>
    <w:rsid w:val="00DC03CA"/>
    <w:rsid w:val="00DC03EE"/>
    <w:rsid w:val="00DC051E"/>
    <w:rsid w:val="00DC051F"/>
    <w:rsid w:val="00DC058A"/>
    <w:rsid w:val="00DC0703"/>
    <w:rsid w:val="00DC07CD"/>
    <w:rsid w:val="00DC07DA"/>
    <w:rsid w:val="00DC08CC"/>
    <w:rsid w:val="00DC0ABF"/>
    <w:rsid w:val="00DC0D14"/>
    <w:rsid w:val="00DC0D86"/>
    <w:rsid w:val="00DC0E48"/>
    <w:rsid w:val="00DC0E76"/>
    <w:rsid w:val="00DC107E"/>
    <w:rsid w:val="00DC10D3"/>
    <w:rsid w:val="00DC12A0"/>
    <w:rsid w:val="00DC12E5"/>
    <w:rsid w:val="00DC13B0"/>
    <w:rsid w:val="00DC1401"/>
    <w:rsid w:val="00DC145D"/>
    <w:rsid w:val="00DC172D"/>
    <w:rsid w:val="00DC17D0"/>
    <w:rsid w:val="00DC18CE"/>
    <w:rsid w:val="00DC18FA"/>
    <w:rsid w:val="00DC196C"/>
    <w:rsid w:val="00DC1ABA"/>
    <w:rsid w:val="00DC1BC0"/>
    <w:rsid w:val="00DC1BDB"/>
    <w:rsid w:val="00DC1C39"/>
    <w:rsid w:val="00DC1D76"/>
    <w:rsid w:val="00DC1D8D"/>
    <w:rsid w:val="00DC1D91"/>
    <w:rsid w:val="00DC2053"/>
    <w:rsid w:val="00DC20AD"/>
    <w:rsid w:val="00DC218A"/>
    <w:rsid w:val="00DC218C"/>
    <w:rsid w:val="00DC22CD"/>
    <w:rsid w:val="00DC250D"/>
    <w:rsid w:val="00DC25A8"/>
    <w:rsid w:val="00DC26F0"/>
    <w:rsid w:val="00DC279A"/>
    <w:rsid w:val="00DC2815"/>
    <w:rsid w:val="00DC2B0B"/>
    <w:rsid w:val="00DC2CB8"/>
    <w:rsid w:val="00DC2DA8"/>
    <w:rsid w:val="00DC2DA9"/>
    <w:rsid w:val="00DC2E7F"/>
    <w:rsid w:val="00DC2EE5"/>
    <w:rsid w:val="00DC30DE"/>
    <w:rsid w:val="00DC3369"/>
    <w:rsid w:val="00DC345C"/>
    <w:rsid w:val="00DC35B1"/>
    <w:rsid w:val="00DC35FC"/>
    <w:rsid w:val="00DC371B"/>
    <w:rsid w:val="00DC3774"/>
    <w:rsid w:val="00DC396F"/>
    <w:rsid w:val="00DC399C"/>
    <w:rsid w:val="00DC39B8"/>
    <w:rsid w:val="00DC39E1"/>
    <w:rsid w:val="00DC3AE1"/>
    <w:rsid w:val="00DC3B3D"/>
    <w:rsid w:val="00DC3B86"/>
    <w:rsid w:val="00DC3CD4"/>
    <w:rsid w:val="00DC3CE3"/>
    <w:rsid w:val="00DC3DFD"/>
    <w:rsid w:val="00DC3EB5"/>
    <w:rsid w:val="00DC3F5E"/>
    <w:rsid w:val="00DC4060"/>
    <w:rsid w:val="00DC40C9"/>
    <w:rsid w:val="00DC4133"/>
    <w:rsid w:val="00DC42CB"/>
    <w:rsid w:val="00DC4376"/>
    <w:rsid w:val="00DC447E"/>
    <w:rsid w:val="00DC450D"/>
    <w:rsid w:val="00DC467A"/>
    <w:rsid w:val="00DC478F"/>
    <w:rsid w:val="00DC479E"/>
    <w:rsid w:val="00DC47F0"/>
    <w:rsid w:val="00DC4843"/>
    <w:rsid w:val="00DC493E"/>
    <w:rsid w:val="00DC4957"/>
    <w:rsid w:val="00DC498A"/>
    <w:rsid w:val="00DC49A7"/>
    <w:rsid w:val="00DC49C6"/>
    <w:rsid w:val="00DC4B8E"/>
    <w:rsid w:val="00DC4C76"/>
    <w:rsid w:val="00DC4CD9"/>
    <w:rsid w:val="00DC4D12"/>
    <w:rsid w:val="00DC4D4F"/>
    <w:rsid w:val="00DC4D7D"/>
    <w:rsid w:val="00DC4DEA"/>
    <w:rsid w:val="00DC4E64"/>
    <w:rsid w:val="00DC4E8E"/>
    <w:rsid w:val="00DC534A"/>
    <w:rsid w:val="00DC54D1"/>
    <w:rsid w:val="00DC54F5"/>
    <w:rsid w:val="00DC55EE"/>
    <w:rsid w:val="00DC5729"/>
    <w:rsid w:val="00DC574F"/>
    <w:rsid w:val="00DC588F"/>
    <w:rsid w:val="00DC58CE"/>
    <w:rsid w:val="00DC5B2A"/>
    <w:rsid w:val="00DC5B6F"/>
    <w:rsid w:val="00DC5D8F"/>
    <w:rsid w:val="00DC5DA1"/>
    <w:rsid w:val="00DC5EAE"/>
    <w:rsid w:val="00DC5EE0"/>
    <w:rsid w:val="00DC600B"/>
    <w:rsid w:val="00DC60FE"/>
    <w:rsid w:val="00DC60FF"/>
    <w:rsid w:val="00DC62A9"/>
    <w:rsid w:val="00DC62B3"/>
    <w:rsid w:val="00DC634B"/>
    <w:rsid w:val="00DC6362"/>
    <w:rsid w:val="00DC63A2"/>
    <w:rsid w:val="00DC63F1"/>
    <w:rsid w:val="00DC6569"/>
    <w:rsid w:val="00DC656C"/>
    <w:rsid w:val="00DC658B"/>
    <w:rsid w:val="00DC65E9"/>
    <w:rsid w:val="00DC660C"/>
    <w:rsid w:val="00DC662D"/>
    <w:rsid w:val="00DC6660"/>
    <w:rsid w:val="00DC6752"/>
    <w:rsid w:val="00DC681C"/>
    <w:rsid w:val="00DC6820"/>
    <w:rsid w:val="00DC687C"/>
    <w:rsid w:val="00DC698D"/>
    <w:rsid w:val="00DC69CB"/>
    <w:rsid w:val="00DC6A6F"/>
    <w:rsid w:val="00DC6AD4"/>
    <w:rsid w:val="00DC6B7C"/>
    <w:rsid w:val="00DC6BD5"/>
    <w:rsid w:val="00DC6BF8"/>
    <w:rsid w:val="00DC6CB0"/>
    <w:rsid w:val="00DC6D9D"/>
    <w:rsid w:val="00DC6E5A"/>
    <w:rsid w:val="00DC6EFA"/>
    <w:rsid w:val="00DC71F1"/>
    <w:rsid w:val="00DC7298"/>
    <w:rsid w:val="00DC73B6"/>
    <w:rsid w:val="00DC7422"/>
    <w:rsid w:val="00DC774D"/>
    <w:rsid w:val="00DC7768"/>
    <w:rsid w:val="00DC7802"/>
    <w:rsid w:val="00DC78F5"/>
    <w:rsid w:val="00DC7A0A"/>
    <w:rsid w:val="00DC7A6B"/>
    <w:rsid w:val="00DC7B06"/>
    <w:rsid w:val="00DC7B29"/>
    <w:rsid w:val="00DC7C60"/>
    <w:rsid w:val="00DC7CA2"/>
    <w:rsid w:val="00DC7E80"/>
    <w:rsid w:val="00DC7F6A"/>
    <w:rsid w:val="00DC7F70"/>
    <w:rsid w:val="00DC7FF5"/>
    <w:rsid w:val="00DD00C7"/>
    <w:rsid w:val="00DD011A"/>
    <w:rsid w:val="00DD0152"/>
    <w:rsid w:val="00DD0169"/>
    <w:rsid w:val="00DD0170"/>
    <w:rsid w:val="00DD01A6"/>
    <w:rsid w:val="00DD023A"/>
    <w:rsid w:val="00DD0408"/>
    <w:rsid w:val="00DD0418"/>
    <w:rsid w:val="00DD043C"/>
    <w:rsid w:val="00DD0481"/>
    <w:rsid w:val="00DD059D"/>
    <w:rsid w:val="00DD0628"/>
    <w:rsid w:val="00DD0709"/>
    <w:rsid w:val="00DD071D"/>
    <w:rsid w:val="00DD071E"/>
    <w:rsid w:val="00DD0742"/>
    <w:rsid w:val="00DD07A3"/>
    <w:rsid w:val="00DD0958"/>
    <w:rsid w:val="00DD0A0C"/>
    <w:rsid w:val="00DD0A25"/>
    <w:rsid w:val="00DD0A2B"/>
    <w:rsid w:val="00DD0A44"/>
    <w:rsid w:val="00DD0B21"/>
    <w:rsid w:val="00DD0BC6"/>
    <w:rsid w:val="00DD0BFD"/>
    <w:rsid w:val="00DD0C5F"/>
    <w:rsid w:val="00DD0D34"/>
    <w:rsid w:val="00DD0D9F"/>
    <w:rsid w:val="00DD0DEC"/>
    <w:rsid w:val="00DD0E45"/>
    <w:rsid w:val="00DD0F29"/>
    <w:rsid w:val="00DD0FE8"/>
    <w:rsid w:val="00DD1012"/>
    <w:rsid w:val="00DD1194"/>
    <w:rsid w:val="00DD1219"/>
    <w:rsid w:val="00DD12DA"/>
    <w:rsid w:val="00DD1329"/>
    <w:rsid w:val="00DD1346"/>
    <w:rsid w:val="00DD1360"/>
    <w:rsid w:val="00DD14A9"/>
    <w:rsid w:val="00DD14B0"/>
    <w:rsid w:val="00DD14E9"/>
    <w:rsid w:val="00DD1632"/>
    <w:rsid w:val="00DD16EC"/>
    <w:rsid w:val="00DD1740"/>
    <w:rsid w:val="00DD17AE"/>
    <w:rsid w:val="00DD1897"/>
    <w:rsid w:val="00DD1ABA"/>
    <w:rsid w:val="00DD1B91"/>
    <w:rsid w:val="00DD1D1D"/>
    <w:rsid w:val="00DD1D8B"/>
    <w:rsid w:val="00DD1D9A"/>
    <w:rsid w:val="00DD1EC6"/>
    <w:rsid w:val="00DD1EE0"/>
    <w:rsid w:val="00DD1F14"/>
    <w:rsid w:val="00DD1F87"/>
    <w:rsid w:val="00DD2057"/>
    <w:rsid w:val="00DD2126"/>
    <w:rsid w:val="00DD22BB"/>
    <w:rsid w:val="00DD239A"/>
    <w:rsid w:val="00DD24D1"/>
    <w:rsid w:val="00DD2531"/>
    <w:rsid w:val="00DD25A6"/>
    <w:rsid w:val="00DD25B0"/>
    <w:rsid w:val="00DD2658"/>
    <w:rsid w:val="00DD2897"/>
    <w:rsid w:val="00DD28B0"/>
    <w:rsid w:val="00DD28DC"/>
    <w:rsid w:val="00DD28FC"/>
    <w:rsid w:val="00DD298C"/>
    <w:rsid w:val="00DD29BD"/>
    <w:rsid w:val="00DD29C1"/>
    <w:rsid w:val="00DD29DE"/>
    <w:rsid w:val="00DD29F2"/>
    <w:rsid w:val="00DD2B22"/>
    <w:rsid w:val="00DD2CC5"/>
    <w:rsid w:val="00DD2D10"/>
    <w:rsid w:val="00DD2DB6"/>
    <w:rsid w:val="00DD2E25"/>
    <w:rsid w:val="00DD2E41"/>
    <w:rsid w:val="00DD2FF8"/>
    <w:rsid w:val="00DD3175"/>
    <w:rsid w:val="00DD31E4"/>
    <w:rsid w:val="00DD32C9"/>
    <w:rsid w:val="00DD35A5"/>
    <w:rsid w:val="00DD37B9"/>
    <w:rsid w:val="00DD3887"/>
    <w:rsid w:val="00DD3914"/>
    <w:rsid w:val="00DD3976"/>
    <w:rsid w:val="00DD3B58"/>
    <w:rsid w:val="00DD3BAC"/>
    <w:rsid w:val="00DD3D63"/>
    <w:rsid w:val="00DD3D9F"/>
    <w:rsid w:val="00DD3E2E"/>
    <w:rsid w:val="00DD3E46"/>
    <w:rsid w:val="00DD3E57"/>
    <w:rsid w:val="00DD3EFB"/>
    <w:rsid w:val="00DD3F65"/>
    <w:rsid w:val="00DD402D"/>
    <w:rsid w:val="00DD41BE"/>
    <w:rsid w:val="00DD4217"/>
    <w:rsid w:val="00DD424A"/>
    <w:rsid w:val="00DD42CF"/>
    <w:rsid w:val="00DD441C"/>
    <w:rsid w:val="00DD475B"/>
    <w:rsid w:val="00DD4776"/>
    <w:rsid w:val="00DD47B0"/>
    <w:rsid w:val="00DD4A7F"/>
    <w:rsid w:val="00DD4AFF"/>
    <w:rsid w:val="00DD4B28"/>
    <w:rsid w:val="00DD4B52"/>
    <w:rsid w:val="00DD4C08"/>
    <w:rsid w:val="00DD4D68"/>
    <w:rsid w:val="00DD4E4C"/>
    <w:rsid w:val="00DD505C"/>
    <w:rsid w:val="00DD50A3"/>
    <w:rsid w:val="00DD50C4"/>
    <w:rsid w:val="00DD5174"/>
    <w:rsid w:val="00DD5233"/>
    <w:rsid w:val="00DD5239"/>
    <w:rsid w:val="00DD52BE"/>
    <w:rsid w:val="00DD5327"/>
    <w:rsid w:val="00DD548B"/>
    <w:rsid w:val="00DD56D7"/>
    <w:rsid w:val="00DD57E5"/>
    <w:rsid w:val="00DD58A0"/>
    <w:rsid w:val="00DD590F"/>
    <w:rsid w:val="00DD5A01"/>
    <w:rsid w:val="00DD5D11"/>
    <w:rsid w:val="00DD5F6C"/>
    <w:rsid w:val="00DD5FAB"/>
    <w:rsid w:val="00DD6025"/>
    <w:rsid w:val="00DD6055"/>
    <w:rsid w:val="00DD6067"/>
    <w:rsid w:val="00DD610D"/>
    <w:rsid w:val="00DD6143"/>
    <w:rsid w:val="00DD617A"/>
    <w:rsid w:val="00DD6192"/>
    <w:rsid w:val="00DD61D3"/>
    <w:rsid w:val="00DD62D2"/>
    <w:rsid w:val="00DD6429"/>
    <w:rsid w:val="00DD65E4"/>
    <w:rsid w:val="00DD65FC"/>
    <w:rsid w:val="00DD66C8"/>
    <w:rsid w:val="00DD680F"/>
    <w:rsid w:val="00DD6A4A"/>
    <w:rsid w:val="00DD6ACE"/>
    <w:rsid w:val="00DD6AFB"/>
    <w:rsid w:val="00DD6BA0"/>
    <w:rsid w:val="00DD6C1C"/>
    <w:rsid w:val="00DD6C84"/>
    <w:rsid w:val="00DD6E3D"/>
    <w:rsid w:val="00DD6F17"/>
    <w:rsid w:val="00DD6F1C"/>
    <w:rsid w:val="00DD6F46"/>
    <w:rsid w:val="00DD6FCB"/>
    <w:rsid w:val="00DD71E4"/>
    <w:rsid w:val="00DD7312"/>
    <w:rsid w:val="00DD7346"/>
    <w:rsid w:val="00DD73B3"/>
    <w:rsid w:val="00DD73F1"/>
    <w:rsid w:val="00DD746D"/>
    <w:rsid w:val="00DD75FA"/>
    <w:rsid w:val="00DD76C1"/>
    <w:rsid w:val="00DD785E"/>
    <w:rsid w:val="00DD78B8"/>
    <w:rsid w:val="00DD796B"/>
    <w:rsid w:val="00DD7B22"/>
    <w:rsid w:val="00DD7B38"/>
    <w:rsid w:val="00DD7DD8"/>
    <w:rsid w:val="00DD7FB5"/>
    <w:rsid w:val="00DE0011"/>
    <w:rsid w:val="00DE005C"/>
    <w:rsid w:val="00DE0187"/>
    <w:rsid w:val="00DE02AC"/>
    <w:rsid w:val="00DE02B6"/>
    <w:rsid w:val="00DE0423"/>
    <w:rsid w:val="00DE0462"/>
    <w:rsid w:val="00DE074A"/>
    <w:rsid w:val="00DE0766"/>
    <w:rsid w:val="00DE0821"/>
    <w:rsid w:val="00DE0845"/>
    <w:rsid w:val="00DE08EB"/>
    <w:rsid w:val="00DE0999"/>
    <w:rsid w:val="00DE0A22"/>
    <w:rsid w:val="00DE0A2E"/>
    <w:rsid w:val="00DE0BA1"/>
    <w:rsid w:val="00DE0D78"/>
    <w:rsid w:val="00DE0D81"/>
    <w:rsid w:val="00DE0DAF"/>
    <w:rsid w:val="00DE0DC8"/>
    <w:rsid w:val="00DE0DC9"/>
    <w:rsid w:val="00DE0DD3"/>
    <w:rsid w:val="00DE0EA7"/>
    <w:rsid w:val="00DE0F13"/>
    <w:rsid w:val="00DE0F9E"/>
    <w:rsid w:val="00DE1216"/>
    <w:rsid w:val="00DE13DD"/>
    <w:rsid w:val="00DE142A"/>
    <w:rsid w:val="00DE1477"/>
    <w:rsid w:val="00DE1521"/>
    <w:rsid w:val="00DE1604"/>
    <w:rsid w:val="00DE17FF"/>
    <w:rsid w:val="00DE189B"/>
    <w:rsid w:val="00DE1A20"/>
    <w:rsid w:val="00DE1C0A"/>
    <w:rsid w:val="00DE1C49"/>
    <w:rsid w:val="00DE1CF3"/>
    <w:rsid w:val="00DE1F3B"/>
    <w:rsid w:val="00DE1FED"/>
    <w:rsid w:val="00DE205C"/>
    <w:rsid w:val="00DE20AE"/>
    <w:rsid w:val="00DE2101"/>
    <w:rsid w:val="00DE211D"/>
    <w:rsid w:val="00DE2133"/>
    <w:rsid w:val="00DE219E"/>
    <w:rsid w:val="00DE21DB"/>
    <w:rsid w:val="00DE2252"/>
    <w:rsid w:val="00DE2396"/>
    <w:rsid w:val="00DE2468"/>
    <w:rsid w:val="00DE2517"/>
    <w:rsid w:val="00DE26CE"/>
    <w:rsid w:val="00DE27DD"/>
    <w:rsid w:val="00DE2803"/>
    <w:rsid w:val="00DE2829"/>
    <w:rsid w:val="00DE2830"/>
    <w:rsid w:val="00DE2870"/>
    <w:rsid w:val="00DE28AD"/>
    <w:rsid w:val="00DE292B"/>
    <w:rsid w:val="00DE2A9C"/>
    <w:rsid w:val="00DE2CA9"/>
    <w:rsid w:val="00DE2D57"/>
    <w:rsid w:val="00DE30B6"/>
    <w:rsid w:val="00DE31BF"/>
    <w:rsid w:val="00DE3230"/>
    <w:rsid w:val="00DE334D"/>
    <w:rsid w:val="00DE3789"/>
    <w:rsid w:val="00DE385C"/>
    <w:rsid w:val="00DE390B"/>
    <w:rsid w:val="00DE3A6D"/>
    <w:rsid w:val="00DE3B66"/>
    <w:rsid w:val="00DE3C43"/>
    <w:rsid w:val="00DE3C5E"/>
    <w:rsid w:val="00DE3CCA"/>
    <w:rsid w:val="00DE410A"/>
    <w:rsid w:val="00DE4159"/>
    <w:rsid w:val="00DE42E6"/>
    <w:rsid w:val="00DE4319"/>
    <w:rsid w:val="00DE43A0"/>
    <w:rsid w:val="00DE43FE"/>
    <w:rsid w:val="00DE4579"/>
    <w:rsid w:val="00DE46B2"/>
    <w:rsid w:val="00DE46CD"/>
    <w:rsid w:val="00DE4760"/>
    <w:rsid w:val="00DE4894"/>
    <w:rsid w:val="00DE48C2"/>
    <w:rsid w:val="00DE48FA"/>
    <w:rsid w:val="00DE4985"/>
    <w:rsid w:val="00DE4AE8"/>
    <w:rsid w:val="00DE4B3E"/>
    <w:rsid w:val="00DE4CCC"/>
    <w:rsid w:val="00DE50A4"/>
    <w:rsid w:val="00DE511D"/>
    <w:rsid w:val="00DE52EB"/>
    <w:rsid w:val="00DE56A1"/>
    <w:rsid w:val="00DE5A42"/>
    <w:rsid w:val="00DE5A7B"/>
    <w:rsid w:val="00DE5AB2"/>
    <w:rsid w:val="00DE5AD8"/>
    <w:rsid w:val="00DE5AF3"/>
    <w:rsid w:val="00DE5BF7"/>
    <w:rsid w:val="00DE5C03"/>
    <w:rsid w:val="00DE5D62"/>
    <w:rsid w:val="00DE5ED5"/>
    <w:rsid w:val="00DE60AA"/>
    <w:rsid w:val="00DE60DE"/>
    <w:rsid w:val="00DE6193"/>
    <w:rsid w:val="00DE6323"/>
    <w:rsid w:val="00DE6353"/>
    <w:rsid w:val="00DE6381"/>
    <w:rsid w:val="00DE63A6"/>
    <w:rsid w:val="00DE644E"/>
    <w:rsid w:val="00DE6477"/>
    <w:rsid w:val="00DE64C5"/>
    <w:rsid w:val="00DE66CA"/>
    <w:rsid w:val="00DE6824"/>
    <w:rsid w:val="00DE686E"/>
    <w:rsid w:val="00DE6967"/>
    <w:rsid w:val="00DE6B3E"/>
    <w:rsid w:val="00DE6BEC"/>
    <w:rsid w:val="00DE6C22"/>
    <w:rsid w:val="00DE6D4A"/>
    <w:rsid w:val="00DE6DB2"/>
    <w:rsid w:val="00DE6E51"/>
    <w:rsid w:val="00DE6E59"/>
    <w:rsid w:val="00DE6E88"/>
    <w:rsid w:val="00DE6F13"/>
    <w:rsid w:val="00DE6FE5"/>
    <w:rsid w:val="00DE70C1"/>
    <w:rsid w:val="00DE711A"/>
    <w:rsid w:val="00DE7446"/>
    <w:rsid w:val="00DE74B2"/>
    <w:rsid w:val="00DE7583"/>
    <w:rsid w:val="00DE76FA"/>
    <w:rsid w:val="00DE7744"/>
    <w:rsid w:val="00DE77C9"/>
    <w:rsid w:val="00DE781E"/>
    <w:rsid w:val="00DE7986"/>
    <w:rsid w:val="00DE79A3"/>
    <w:rsid w:val="00DE7ADF"/>
    <w:rsid w:val="00DE7C70"/>
    <w:rsid w:val="00DE7D91"/>
    <w:rsid w:val="00DE7E1E"/>
    <w:rsid w:val="00DE7EEC"/>
    <w:rsid w:val="00DE7F5B"/>
    <w:rsid w:val="00DE7FBA"/>
    <w:rsid w:val="00DF0006"/>
    <w:rsid w:val="00DF01AF"/>
    <w:rsid w:val="00DF01CA"/>
    <w:rsid w:val="00DF0304"/>
    <w:rsid w:val="00DF03D3"/>
    <w:rsid w:val="00DF03FF"/>
    <w:rsid w:val="00DF04E0"/>
    <w:rsid w:val="00DF04ED"/>
    <w:rsid w:val="00DF05BE"/>
    <w:rsid w:val="00DF061E"/>
    <w:rsid w:val="00DF0732"/>
    <w:rsid w:val="00DF079D"/>
    <w:rsid w:val="00DF09BD"/>
    <w:rsid w:val="00DF09F7"/>
    <w:rsid w:val="00DF0A1F"/>
    <w:rsid w:val="00DF0A6D"/>
    <w:rsid w:val="00DF0AC4"/>
    <w:rsid w:val="00DF0B09"/>
    <w:rsid w:val="00DF0BA6"/>
    <w:rsid w:val="00DF0C2D"/>
    <w:rsid w:val="00DF0C52"/>
    <w:rsid w:val="00DF0D4D"/>
    <w:rsid w:val="00DF1061"/>
    <w:rsid w:val="00DF10E4"/>
    <w:rsid w:val="00DF12FA"/>
    <w:rsid w:val="00DF139A"/>
    <w:rsid w:val="00DF13F2"/>
    <w:rsid w:val="00DF1470"/>
    <w:rsid w:val="00DF15DB"/>
    <w:rsid w:val="00DF1616"/>
    <w:rsid w:val="00DF16B0"/>
    <w:rsid w:val="00DF1707"/>
    <w:rsid w:val="00DF1715"/>
    <w:rsid w:val="00DF173B"/>
    <w:rsid w:val="00DF1968"/>
    <w:rsid w:val="00DF19B8"/>
    <w:rsid w:val="00DF1AA5"/>
    <w:rsid w:val="00DF1B84"/>
    <w:rsid w:val="00DF1BA2"/>
    <w:rsid w:val="00DF1C6E"/>
    <w:rsid w:val="00DF1CB1"/>
    <w:rsid w:val="00DF1F6E"/>
    <w:rsid w:val="00DF1F73"/>
    <w:rsid w:val="00DF1FE1"/>
    <w:rsid w:val="00DF2173"/>
    <w:rsid w:val="00DF219F"/>
    <w:rsid w:val="00DF21C7"/>
    <w:rsid w:val="00DF2267"/>
    <w:rsid w:val="00DF2274"/>
    <w:rsid w:val="00DF2294"/>
    <w:rsid w:val="00DF241B"/>
    <w:rsid w:val="00DF243E"/>
    <w:rsid w:val="00DF26B0"/>
    <w:rsid w:val="00DF27C5"/>
    <w:rsid w:val="00DF283B"/>
    <w:rsid w:val="00DF2CF0"/>
    <w:rsid w:val="00DF2CFC"/>
    <w:rsid w:val="00DF2D2B"/>
    <w:rsid w:val="00DF2DB5"/>
    <w:rsid w:val="00DF2E0C"/>
    <w:rsid w:val="00DF2E7C"/>
    <w:rsid w:val="00DF2E8C"/>
    <w:rsid w:val="00DF2EE2"/>
    <w:rsid w:val="00DF30A3"/>
    <w:rsid w:val="00DF310D"/>
    <w:rsid w:val="00DF310E"/>
    <w:rsid w:val="00DF3295"/>
    <w:rsid w:val="00DF32F9"/>
    <w:rsid w:val="00DF357F"/>
    <w:rsid w:val="00DF3692"/>
    <w:rsid w:val="00DF36CB"/>
    <w:rsid w:val="00DF3A9F"/>
    <w:rsid w:val="00DF3B36"/>
    <w:rsid w:val="00DF3B3F"/>
    <w:rsid w:val="00DF3BE5"/>
    <w:rsid w:val="00DF3CDE"/>
    <w:rsid w:val="00DF3DA1"/>
    <w:rsid w:val="00DF3EF3"/>
    <w:rsid w:val="00DF4040"/>
    <w:rsid w:val="00DF42ED"/>
    <w:rsid w:val="00DF4325"/>
    <w:rsid w:val="00DF43BF"/>
    <w:rsid w:val="00DF44A7"/>
    <w:rsid w:val="00DF453E"/>
    <w:rsid w:val="00DF45C1"/>
    <w:rsid w:val="00DF4664"/>
    <w:rsid w:val="00DF468C"/>
    <w:rsid w:val="00DF46CE"/>
    <w:rsid w:val="00DF47A5"/>
    <w:rsid w:val="00DF4A31"/>
    <w:rsid w:val="00DF4A5A"/>
    <w:rsid w:val="00DF4A61"/>
    <w:rsid w:val="00DF4A7A"/>
    <w:rsid w:val="00DF4B92"/>
    <w:rsid w:val="00DF4BA4"/>
    <w:rsid w:val="00DF4BED"/>
    <w:rsid w:val="00DF4C17"/>
    <w:rsid w:val="00DF4CCF"/>
    <w:rsid w:val="00DF4DC2"/>
    <w:rsid w:val="00DF4E38"/>
    <w:rsid w:val="00DF4E89"/>
    <w:rsid w:val="00DF4E9F"/>
    <w:rsid w:val="00DF517C"/>
    <w:rsid w:val="00DF51DD"/>
    <w:rsid w:val="00DF525D"/>
    <w:rsid w:val="00DF52BA"/>
    <w:rsid w:val="00DF542E"/>
    <w:rsid w:val="00DF5627"/>
    <w:rsid w:val="00DF5643"/>
    <w:rsid w:val="00DF57CF"/>
    <w:rsid w:val="00DF581F"/>
    <w:rsid w:val="00DF590B"/>
    <w:rsid w:val="00DF59A4"/>
    <w:rsid w:val="00DF5A47"/>
    <w:rsid w:val="00DF5A68"/>
    <w:rsid w:val="00DF5A93"/>
    <w:rsid w:val="00DF5B75"/>
    <w:rsid w:val="00DF5CAE"/>
    <w:rsid w:val="00DF5D64"/>
    <w:rsid w:val="00DF5E9B"/>
    <w:rsid w:val="00DF5F03"/>
    <w:rsid w:val="00DF61AC"/>
    <w:rsid w:val="00DF620B"/>
    <w:rsid w:val="00DF651F"/>
    <w:rsid w:val="00DF669A"/>
    <w:rsid w:val="00DF68D6"/>
    <w:rsid w:val="00DF69CE"/>
    <w:rsid w:val="00DF6A6A"/>
    <w:rsid w:val="00DF6C3C"/>
    <w:rsid w:val="00DF6CBF"/>
    <w:rsid w:val="00DF6D7B"/>
    <w:rsid w:val="00DF6DE8"/>
    <w:rsid w:val="00DF6F15"/>
    <w:rsid w:val="00DF6FB2"/>
    <w:rsid w:val="00DF7023"/>
    <w:rsid w:val="00DF7040"/>
    <w:rsid w:val="00DF7118"/>
    <w:rsid w:val="00DF7237"/>
    <w:rsid w:val="00DF7294"/>
    <w:rsid w:val="00DF72AB"/>
    <w:rsid w:val="00DF7578"/>
    <w:rsid w:val="00DF75D8"/>
    <w:rsid w:val="00DF7654"/>
    <w:rsid w:val="00DF77CF"/>
    <w:rsid w:val="00DF7814"/>
    <w:rsid w:val="00DF7911"/>
    <w:rsid w:val="00DF791F"/>
    <w:rsid w:val="00DF795E"/>
    <w:rsid w:val="00DF7A1E"/>
    <w:rsid w:val="00DF7A41"/>
    <w:rsid w:val="00DF7A54"/>
    <w:rsid w:val="00DF7A76"/>
    <w:rsid w:val="00DF7BA3"/>
    <w:rsid w:val="00DF7C2D"/>
    <w:rsid w:val="00DF7C4D"/>
    <w:rsid w:val="00DF7C8D"/>
    <w:rsid w:val="00DF7D29"/>
    <w:rsid w:val="00DF7D37"/>
    <w:rsid w:val="00DF7D91"/>
    <w:rsid w:val="00DF7E41"/>
    <w:rsid w:val="00DF7EE5"/>
    <w:rsid w:val="00DF7EF2"/>
    <w:rsid w:val="00E00188"/>
    <w:rsid w:val="00E001F7"/>
    <w:rsid w:val="00E002D8"/>
    <w:rsid w:val="00E002ED"/>
    <w:rsid w:val="00E003EC"/>
    <w:rsid w:val="00E00401"/>
    <w:rsid w:val="00E0040D"/>
    <w:rsid w:val="00E00446"/>
    <w:rsid w:val="00E005A4"/>
    <w:rsid w:val="00E00656"/>
    <w:rsid w:val="00E008D4"/>
    <w:rsid w:val="00E00A4E"/>
    <w:rsid w:val="00E00B36"/>
    <w:rsid w:val="00E00BAC"/>
    <w:rsid w:val="00E00BD3"/>
    <w:rsid w:val="00E00DF3"/>
    <w:rsid w:val="00E00E48"/>
    <w:rsid w:val="00E00EB2"/>
    <w:rsid w:val="00E01029"/>
    <w:rsid w:val="00E0103C"/>
    <w:rsid w:val="00E011B3"/>
    <w:rsid w:val="00E0124A"/>
    <w:rsid w:val="00E0128B"/>
    <w:rsid w:val="00E01364"/>
    <w:rsid w:val="00E01495"/>
    <w:rsid w:val="00E014AC"/>
    <w:rsid w:val="00E0167C"/>
    <w:rsid w:val="00E01777"/>
    <w:rsid w:val="00E017BE"/>
    <w:rsid w:val="00E017DD"/>
    <w:rsid w:val="00E017EC"/>
    <w:rsid w:val="00E01890"/>
    <w:rsid w:val="00E018CF"/>
    <w:rsid w:val="00E018E9"/>
    <w:rsid w:val="00E01944"/>
    <w:rsid w:val="00E019D4"/>
    <w:rsid w:val="00E01AAE"/>
    <w:rsid w:val="00E01ADE"/>
    <w:rsid w:val="00E01AE2"/>
    <w:rsid w:val="00E01BBD"/>
    <w:rsid w:val="00E01C0F"/>
    <w:rsid w:val="00E01C5D"/>
    <w:rsid w:val="00E01CAA"/>
    <w:rsid w:val="00E01D42"/>
    <w:rsid w:val="00E01D8E"/>
    <w:rsid w:val="00E01D9F"/>
    <w:rsid w:val="00E01E79"/>
    <w:rsid w:val="00E01EE6"/>
    <w:rsid w:val="00E01F37"/>
    <w:rsid w:val="00E01FA0"/>
    <w:rsid w:val="00E01FCD"/>
    <w:rsid w:val="00E01FE5"/>
    <w:rsid w:val="00E02167"/>
    <w:rsid w:val="00E021F1"/>
    <w:rsid w:val="00E022B1"/>
    <w:rsid w:val="00E022D4"/>
    <w:rsid w:val="00E022DE"/>
    <w:rsid w:val="00E0232F"/>
    <w:rsid w:val="00E023D0"/>
    <w:rsid w:val="00E02708"/>
    <w:rsid w:val="00E027DE"/>
    <w:rsid w:val="00E028D0"/>
    <w:rsid w:val="00E028DE"/>
    <w:rsid w:val="00E0294B"/>
    <w:rsid w:val="00E02A50"/>
    <w:rsid w:val="00E02ADC"/>
    <w:rsid w:val="00E02C7F"/>
    <w:rsid w:val="00E02D9C"/>
    <w:rsid w:val="00E03183"/>
    <w:rsid w:val="00E0321F"/>
    <w:rsid w:val="00E03275"/>
    <w:rsid w:val="00E0334C"/>
    <w:rsid w:val="00E033CD"/>
    <w:rsid w:val="00E034AC"/>
    <w:rsid w:val="00E03537"/>
    <w:rsid w:val="00E03550"/>
    <w:rsid w:val="00E03556"/>
    <w:rsid w:val="00E035B8"/>
    <w:rsid w:val="00E0387A"/>
    <w:rsid w:val="00E038C7"/>
    <w:rsid w:val="00E03917"/>
    <w:rsid w:val="00E03A56"/>
    <w:rsid w:val="00E03A86"/>
    <w:rsid w:val="00E03CB2"/>
    <w:rsid w:val="00E03D9B"/>
    <w:rsid w:val="00E03ED1"/>
    <w:rsid w:val="00E03F22"/>
    <w:rsid w:val="00E03FB5"/>
    <w:rsid w:val="00E04010"/>
    <w:rsid w:val="00E0412E"/>
    <w:rsid w:val="00E04314"/>
    <w:rsid w:val="00E0443B"/>
    <w:rsid w:val="00E0443D"/>
    <w:rsid w:val="00E044A3"/>
    <w:rsid w:val="00E04554"/>
    <w:rsid w:val="00E0458A"/>
    <w:rsid w:val="00E04606"/>
    <w:rsid w:val="00E04619"/>
    <w:rsid w:val="00E046B3"/>
    <w:rsid w:val="00E04745"/>
    <w:rsid w:val="00E047C4"/>
    <w:rsid w:val="00E04803"/>
    <w:rsid w:val="00E04973"/>
    <w:rsid w:val="00E04AFA"/>
    <w:rsid w:val="00E04B27"/>
    <w:rsid w:val="00E04B3B"/>
    <w:rsid w:val="00E04BCF"/>
    <w:rsid w:val="00E04CF2"/>
    <w:rsid w:val="00E04D17"/>
    <w:rsid w:val="00E04D96"/>
    <w:rsid w:val="00E04E7E"/>
    <w:rsid w:val="00E04F5E"/>
    <w:rsid w:val="00E04FF5"/>
    <w:rsid w:val="00E05011"/>
    <w:rsid w:val="00E050BC"/>
    <w:rsid w:val="00E05119"/>
    <w:rsid w:val="00E05172"/>
    <w:rsid w:val="00E051F9"/>
    <w:rsid w:val="00E05213"/>
    <w:rsid w:val="00E05262"/>
    <w:rsid w:val="00E05294"/>
    <w:rsid w:val="00E05337"/>
    <w:rsid w:val="00E053AC"/>
    <w:rsid w:val="00E05593"/>
    <w:rsid w:val="00E056BB"/>
    <w:rsid w:val="00E0583F"/>
    <w:rsid w:val="00E05877"/>
    <w:rsid w:val="00E058E2"/>
    <w:rsid w:val="00E0593B"/>
    <w:rsid w:val="00E05A4E"/>
    <w:rsid w:val="00E05C93"/>
    <w:rsid w:val="00E05C98"/>
    <w:rsid w:val="00E05CED"/>
    <w:rsid w:val="00E05D0F"/>
    <w:rsid w:val="00E05FDE"/>
    <w:rsid w:val="00E0611A"/>
    <w:rsid w:val="00E06245"/>
    <w:rsid w:val="00E062C9"/>
    <w:rsid w:val="00E062DA"/>
    <w:rsid w:val="00E06324"/>
    <w:rsid w:val="00E0649B"/>
    <w:rsid w:val="00E0653A"/>
    <w:rsid w:val="00E0658D"/>
    <w:rsid w:val="00E06644"/>
    <w:rsid w:val="00E06653"/>
    <w:rsid w:val="00E06987"/>
    <w:rsid w:val="00E06A8E"/>
    <w:rsid w:val="00E06AE1"/>
    <w:rsid w:val="00E06B2E"/>
    <w:rsid w:val="00E06C10"/>
    <w:rsid w:val="00E06E1D"/>
    <w:rsid w:val="00E06F6A"/>
    <w:rsid w:val="00E0704A"/>
    <w:rsid w:val="00E07132"/>
    <w:rsid w:val="00E0745F"/>
    <w:rsid w:val="00E07550"/>
    <w:rsid w:val="00E07610"/>
    <w:rsid w:val="00E07629"/>
    <w:rsid w:val="00E0763F"/>
    <w:rsid w:val="00E0774E"/>
    <w:rsid w:val="00E07818"/>
    <w:rsid w:val="00E0787D"/>
    <w:rsid w:val="00E07891"/>
    <w:rsid w:val="00E07964"/>
    <w:rsid w:val="00E07977"/>
    <w:rsid w:val="00E07A76"/>
    <w:rsid w:val="00E07C7B"/>
    <w:rsid w:val="00E07CBA"/>
    <w:rsid w:val="00E07CCD"/>
    <w:rsid w:val="00E07D33"/>
    <w:rsid w:val="00E07D4B"/>
    <w:rsid w:val="00E07F7C"/>
    <w:rsid w:val="00E100CA"/>
    <w:rsid w:val="00E100EF"/>
    <w:rsid w:val="00E100F0"/>
    <w:rsid w:val="00E1027D"/>
    <w:rsid w:val="00E10300"/>
    <w:rsid w:val="00E103E7"/>
    <w:rsid w:val="00E10444"/>
    <w:rsid w:val="00E104AA"/>
    <w:rsid w:val="00E104CE"/>
    <w:rsid w:val="00E104FD"/>
    <w:rsid w:val="00E10609"/>
    <w:rsid w:val="00E106D0"/>
    <w:rsid w:val="00E1074F"/>
    <w:rsid w:val="00E10799"/>
    <w:rsid w:val="00E1079A"/>
    <w:rsid w:val="00E10802"/>
    <w:rsid w:val="00E1082E"/>
    <w:rsid w:val="00E108D8"/>
    <w:rsid w:val="00E10A15"/>
    <w:rsid w:val="00E10AF1"/>
    <w:rsid w:val="00E10E40"/>
    <w:rsid w:val="00E10F71"/>
    <w:rsid w:val="00E10F97"/>
    <w:rsid w:val="00E10FA9"/>
    <w:rsid w:val="00E1109F"/>
    <w:rsid w:val="00E110B4"/>
    <w:rsid w:val="00E110EB"/>
    <w:rsid w:val="00E111E4"/>
    <w:rsid w:val="00E1128D"/>
    <w:rsid w:val="00E112CA"/>
    <w:rsid w:val="00E113FE"/>
    <w:rsid w:val="00E11418"/>
    <w:rsid w:val="00E11431"/>
    <w:rsid w:val="00E1148D"/>
    <w:rsid w:val="00E115B7"/>
    <w:rsid w:val="00E1164E"/>
    <w:rsid w:val="00E1165B"/>
    <w:rsid w:val="00E11837"/>
    <w:rsid w:val="00E11865"/>
    <w:rsid w:val="00E1186E"/>
    <w:rsid w:val="00E11918"/>
    <w:rsid w:val="00E1198F"/>
    <w:rsid w:val="00E11B00"/>
    <w:rsid w:val="00E11EAC"/>
    <w:rsid w:val="00E11F51"/>
    <w:rsid w:val="00E11F71"/>
    <w:rsid w:val="00E1200F"/>
    <w:rsid w:val="00E1201C"/>
    <w:rsid w:val="00E120F4"/>
    <w:rsid w:val="00E121F0"/>
    <w:rsid w:val="00E122DC"/>
    <w:rsid w:val="00E12390"/>
    <w:rsid w:val="00E123F8"/>
    <w:rsid w:val="00E12562"/>
    <w:rsid w:val="00E125C1"/>
    <w:rsid w:val="00E126C7"/>
    <w:rsid w:val="00E126EC"/>
    <w:rsid w:val="00E12A72"/>
    <w:rsid w:val="00E12F0B"/>
    <w:rsid w:val="00E12F9F"/>
    <w:rsid w:val="00E13034"/>
    <w:rsid w:val="00E1316C"/>
    <w:rsid w:val="00E131F4"/>
    <w:rsid w:val="00E131F5"/>
    <w:rsid w:val="00E1322D"/>
    <w:rsid w:val="00E13271"/>
    <w:rsid w:val="00E132E1"/>
    <w:rsid w:val="00E13385"/>
    <w:rsid w:val="00E1339B"/>
    <w:rsid w:val="00E13478"/>
    <w:rsid w:val="00E134EB"/>
    <w:rsid w:val="00E13538"/>
    <w:rsid w:val="00E1356B"/>
    <w:rsid w:val="00E1361D"/>
    <w:rsid w:val="00E13735"/>
    <w:rsid w:val="00E13738"/>
    <w:rsid w:val="00E1384F"/>
    <w:rsid w:val="00E138F4"/>
    <w:rsid w:val="00E139CF"/>
    <w:rsid w:val="00E13C41"/>
    <w:rsid w:val="00E13E09"/>
    <w:rsid w:val="00E13E94"/>
    <w:rsid w:val="00E13ECE"/>
    <w:rsid w:val="00E14073"/>
    <w:rsid w:val="00E14130"/>
    <w:rsid w:val="00E142FC"/>
    <w:rsid w:val="00E14317"/>
    <w:rsid w:val="00E144C1"/>
    <w:rsid w:val="00E144FA"/>
    <w:rsid w:val="00E14682"/>
    <w:rsid w:val="00E147FC"/>
    <w:rsid w:val="00E1485B"/>
    <w:rsid w:val="00E148C3"/>
    <w:rsid w:val="00E1495B"/>
    <w:rsid w:val="00E14A2D"/>
    <w:rsid w:val="00E14B17"/>
    <w:rsid w:val="00E14CC1"/>
    <w:rsid w:val="00E14DC7"/>
    <w:rsid w:val="00E14E36"/>
    <w:rsid w:val="00E14E59"/>
    <w:rsid w:val="00E14EA4"/>
    <w:rsid w:val="00E14F74"/>
    <w:rsid w:val="00E14FFE"/>
    <w:rsid w:val="00E150DB"/>
    <w:rsid w:val="00E15286"/>
    <w:rsid w:val="00E152E8"/>
    <w:rsid w:val="00E15488"/>
    <w:rsid w:val="00E155CD"/>
    <w:rsid w:val="00E1566E"/>
    <w:rsid w:val="00E157B2"/>
    <w:rsid w:val="00E1581F"/>
    <w:rsid w:val="00E15991"/>
    <w:rsid w:val="00E159F2"/>
    <w:rsid w:val="00E15A05"/>
    <w:rsid w:val="00E15C2E"/>
    <w:rsid w:val="00E15E67"/>
    <w:rsid w:val="00E15F54"/>
    <w:rsid w:val="00E15FF7"/>
    <w:rsid w:val="00E160DE"/>
    <w:rsid w:val="00E16167"/>
    <w:rsid w:val="00E1622D"/>
    <w:rsid w:val="00E16390"/>
    <w:rsid w:val="00E16456"/>
    <w:rsid w:val="00E16483"/>
    <w:rsid w:val="00E16493"/>
    <w:rsid w:val="00E16572"/>
    <w:rsid w:val="00E165DC"/>
    <w:rsid w:val="00E16622"/>
    <w:rsid w:val="00E16635"/>
    <w:rsid w:val="00E16875"/>
    <w:rsid w:val="00E16994"/>
    <w:rsid w:val="00E16B1E"/>
    <w:rsid w:val="00E16B51"/>
    <w:rsid w:val="00E16CBE"/>
    <w:rsid w:val="00E16D35"/>
    <w:rsid w:val="00E16D79"/>
    <w:rsid w:val="00E16F16"/>
    <w:rsid w:val="00E16FC6"/>
    <w:rsid w:val="00E1708D"/>
    <w:rsid w:val="00E17116"/>
    <w:rsid w:val="00E172C0"/>
    <w:rsid w:val="00E1738A"/>
    <w:rsid w:val="00E175B8"/>
    <w:rsid w:val="00E1765F"/>
    <w:rsid w:val="00E1767F"/>
    <w:rsid w:val="00E1775E"/>
    <w:rsid w:val="00E17887"/>
    <w:rsid w:val="00E179CB"/>
    <w:rsid w:val="00E17AA7"/>
    <w:rsid w:val="00E17C84"/>
    <w:rsid w:val="00E17CAC"/>
    <w:rsid w:val="00E17CB9"/>
    <w:rsid w:val="00E17D70"/>
    <w:rsid w:val="00E17DD2"/>
    <w:rsid w:val="00E20430"/>
    <w:rsid w:val="00E20607"/>
    <w:rsid w:val="00E20639"/>
    <w:rsid w:val="00E208DB"/>
    <w:rsid w:val="00E20912"/>
    <w:rsid w:val="00E2095E"/>
    <w:rsid w:val="00E20999"/>
    <w:rsid w:val="00E209C0"/>
    <w:rsid w:val="00E20A66"/>
    <w:rsid w:val="00E20AA7"/>
    <w:rsid w:val="00E20F24"/>
    <w:rsid w:val="00E2101E"/>
    <w:rsid w:val="00E21085"/>
    <w:rsid w:val="00E210C9"/>
    <w:rsid w:val="00E211D9"/>
    <w:rsid w:val="00E211E9"/>
    <w:rsid w:val="00E212A3"/>
    <w:rsid w:val="00E212FB"/>
    <w:rsid w:val="00E213B0"/>
    <w:rsid w:val="00E213C4"/>
    <w:rsid w:val="00E215B0"/>
    <w:rsid w:val="00E21621"/>
    <w:rsid w:val="00E21BA5"/>
    <w:rsid w:val="00E21CCC"/>
    <w:rsid w:val="00E21D2C"/>
    <w:rsid w:val="00E21D85"/>
    <w:rsid w:val="00E21E52"/>
    <w:rsid w:val="00E22035"/>
    <w:rsid w:val="00E221D7"/>
    <w:rsid w:val="00E22240"/>
    <w:rsid w:val="00E2231E"/>
    <w:rsid w:val="00E22345"/>
    <w:rsid w:val="00E223B7"/>
    <w:rsid w:val="00E2246A"/>
    <w:rsid w:val="00E224C9"/>
    <w:rsid w:val="00E225C7"/>
    <w:rsid w:val="00E2263D"/>
    <w:rsid w:val="00E22663"/>
    <w:rsid w:val="00E22696"/>
    <w:rsid w:val="00E2288A"/>
    <w:rsid w:val="00E22AFE"/>
    <w:rsid w:val="00E22D88"/>
    <w:rsid w:val="00E22E73"/>
    <w:rsid w:val="00E22EA7"/>
    <w:rsid w:val="00E22EC9"/>
    <w:rsid w:val="00E22FB1"/>
    <w:rsid w:val="00E22FF4"/>
    <w:rsid w:val="00E23024"/>
    <w:rsid w:val="00E23132"/>
    <w:rsid w:val="00E23133"/>
    <w:rsid w:val="00E231FA"/>
    <w:rsid w:val="00E23277"/>
    <w:rsid w:val="00E2344F"/>
    <w:rsid w:val="00E2357E"/>
    <w:rsid w:val="00E235B9"/>
    <w:rsid w:val="00E236AA"/>
    <w:rsid w:val="00E236EB"/>
    <w:rsid w:val="00E236F9"/>
    <w:rsid w:val="00E23932"/>
    <w:rsid w:val="00E23A01"/>
    <w:rsid w:val="00E23AD4"/>
    <w:rsid w:val="00E23D75"/>
    <w:rsid w:val="00E23D8E"/>
    <w:rsid w:val="00E23DD9"/>
    <w:rsid w:val="00E23DE3"/>
    <w:rsid w:val="00E23DF2"/>
    <w:rsid w:val="00E23E62"/>
    <w:rsid w:val="00E23E7E"/>
    <w:rsid w:val="00E23EEB"/>
    <w:rsid w:val="00E23F1E"/>
    <w:rsid w:val="00E24018"/>
    <w:rsid w:val="00E2408A"/>
    <w:rsid w:val="00E24265"/>
    <w:rsid w:val="00E24484"/>
    <w:rsid w:val="00E24495"/>
    <w:rsid w:val="00E24584"/>
    <w:rsid w:val="00E245A3"/>
    <w:rsid w:val="00E24674"/>
    <w:rsid w:val="00E246B6"/>
    <w:rsid w:val="00E2484C"/>
    <w:rsid w:val="00E248E2"/>
    <w:rsid w:val="00E24944"/>
    <w:rsid w:val="00E24A75"/>
    <w:rsid w:val="00E24A82"/>
    <w:rsid w:val="00E24CBA"/>
    <w:rsid w:val="00E24CD4"/>
    <w:rsid w:val="00E24CF9"/>
    <w:rsid w:val="00E24D38"/>
    <w:rsid w:val="00E24F4F"/>
    <w:rsid w:val="00E25022"/>
    <w:rsid w:val="00E25039"/>
    <w:rsid w:val="00E2520B"/>
    <w:rsid w:val="00E253D6"/>
    <w:rsid w:val="00E25443"/>
    <w:rsid w:val="00E254EE"/>
    <w:rsid w:val="00E25503"/>
    <w:rsid w:val="00E255B1"/>
    <w:rsid w:val="00E255C2"/>
    <w:rsid w:val="00E25647"/>
    <w:rsid w:val="00E25693"/>
    <w:rsid w:val="00E256AF"/>
    <w:rsid w:val="00E25706"/>
    <w:rsid w:val="00E258FB"/>
    <w:rsid w:val="00E25A36"/>
    <w:rsid w:val="00E25AB2"/>
    <w:rsid w:val="00E25BF7"/>
    <w:rsid w:val="00E25D0D"/>
    <w:rsid w:val="00E25DA4"/>
    <w:rsid w:val="00E25E2B"/>
    <w:rsid w:val="00E25E6A"/>
    <w:rsid w:val="00E25F65"/>
    <w:rsid w:val="00E25FAC"/>
    <w:rsid w:val="00E2602D"/>
    <w:rsid w:val="00E260AD"/>
    <w:rsid w:val="00E260B8"/>
    <w:rsid w:val="00E261BF"/>
    <w:rsid w:val="00E2628E"/>
    <w:rsid w:val="00E26312"/>
    <w:rsid w:val="00E2632E"/>
    <w:rsid w:val="00E26330"/>
    <w:rsid w:val="00E2637F"/>
    <w:rsid w:val="00E2640D"/>
    <w:rsid w:val="00E2645C"/>
    <w:rsid w:val="00E2645D"/>
    <w:rsid w:val="00E26469"/>
    <w:rsid w:val="00E26568"/>
    <w:rsid w:val="00E2659A"/>
    <w:rsid w:val="00E265AC"/>
    <w:rsid w:val="00E2679C"/>
    <w:rsid w:val="00E26887"/>
    <w:rsid w:val="00E26924"/>
    <w:rsid w:val="00E269DA"/>
    <w:rsid w:val="00E269EE"/>
    <w:rsid w:val="00E26A29"/>
    <w:rsid w:val="00E26B65"/>
    <w:rsid w:val="00E26C50"/>
    <w:rsid w:val="00E26CB1"/>
    <w:rsid w:val="00E26E2A"/>
    <w:rsid w:val="00E26E61"/>
    <w:rsid w:val="00E26E9A"/>
    <w:rsid w:val="00E26EAA"/>
    <w:rsid w:val="00E26EF7"/>
    <w:rsid w:val="00E26F30"/>
    <w:rsid w:val="00E270DD"/>
    <w:rsid w:val="00E271C4"/>
    <w:rsid w:val="00E272AB"/>
    <w:rsid w:val="00E272B2"/>
    <w:rsid w:val="00E2746D"/>
    <w:rsid w:val="00E2747A"/>
    <w:rsid w:val="00E27502"/>
    <w:rsid w:val="00E27715"/>
    <w:rsid w:val="00E279C9"/>
    <w:rsid w:val="00E27C50"/>
    <w:rsid w:val="00E27ED4"/>
    <w:rsid w:val="00E27F90"/>
    <w:rsid w:val="00E302E5"/>
    <w:rsid w:val="00E3046D"/>
    <w:rsid w:val="00E3049A"/>
    <w:rsid w:val="00E304BE"/>
    <w:rsid w:val="00E3059B"/>
    <w:rsid w:val="00E308BC"/>
    <w:rsid w:val="00E30A28"/>
    <w:rsid w:val="00E30BD5"/>
    <w:rsid w:val="00E30DDC"/>
    <w:rsid w:val="00E30EC1"/>
    <w:rsid w:val="00E31102"/>
    <w:rsid w:val="00E31121"/>
    <w:rsid w:val="00E31125"/>
    <w:rsid w:val="00E311CF"/>
    <w:rsid w:val="00E31246"/>
    <w:rsid w:val="00E312DB"/>
    <w:rsid w:val="00E312E1"/>
    <w:rsid w:val="00E3147E"/>
    <w:rsid w:val="00E31540"/>
    <w:rsid w:val="00E31626"/>
    <w:rsid w:val="00E31650"/>
    <w:rsid w:val="00E3187F"/>
    <w:rsid w:val="00E318BA"/>
    <w:rsid w:val="00E31AA5"/>
    <w:rsid w:val="00E31BE1"/>
    <w:rsid w:val="00E31C85"/>
    <w:rsid w:val="00E31E92"/>
    <w:rsid w:val="00E31F14"/>
    <w:rsid w:val="00E32061"/>
    <w:rsid w:val="00E3208F"/>
    <w:rsid w:val="00E320FA"/>
    <w:rsid w:val="00E32111"/>
    <w:rsid w:val="00E3211F"/>
    <w:rsid w:val="00E3216C"/>
    <w:rsid w:val="00E321BE"/>
    <w:rsid w:val="00E322CD"/>
    <w:rsid w:val="00E32306"/>
    <w:rsid w:val="00E32452"/>
    <w:rsid w:val="00E327A3"/>
    <w:rsid w:val="00E32832"/>
    <w:rsid w:val="00E328A5"/>
    <w:rsid w:val="00E32916"/>
    <w:rsid w:val="00E329EB"/>
    <w:rsid w:val="00E32A03"/>
    <w:rsid w:val="00E32A55"/>
    <w:rsid w:val="00E32A62"/>
    <w:rsid w:val="00E32CF1"/>
    <w:rsid w:val="00E32E43"/>
    <w:rsid w:val="00E32E6E"/>
    <w:rsid w:val="00E32F40"/>
    <w:rsid w:val="00E33055"/>
    <w:rsid w:val="00E33213"/>
    <w:rsid w:val="00E332D4"/>
    <w:rsid w:val="00E334FA"/>
    <w:rsid w:val="00E33510"/>
    <w:rsid w:val="00E33523"/>
    <w:rsid w:val="00E335DE"/>
    <w:rsid w:val="00E335E2"/>
    <w:rsid w:val="00E33691"/>
    <w:rsid w:val="00E33697"/>
    <w:rsid w:val="00E337D3"/>
    <w:rsid w:val="00E33904"/>
    <w:rsid w:val="00E33918"/>
    <w:rsid w:val="00E3392F"/>
    <w:rsid w:val="00E33B1F"/>
    <w:rsid w:val="00E33BB5"/>
    <w:rsid w:val="00E33BE7"/>
    <w:rsid w:val="00E33CDE"/>
    <w:rsid w:val="00E33D8A"/>
    <w:rsid w:val="00E33F50"/>
    <w:rsid w:val="00E3401B"/>
    <w:rsid w:val="00E34179"/>
    <w:rsid w:val="00E34196"/>
    <w:rsid w:val="00E34244"/>
    <w:rsid w:val="00E34406"/>
    <w:rsid w:val="00E3447F"/>
    <w:rsid w:val="00E34893"/>
    <w:rsid w:val="00E34D12"/>
    <w:rsid w:val="00E34D16"/>
    <w:rsid w:val="00E34D50"/>
    <w:rsid w:val="00E34D55"/>
    <w:rsid w:val="00E34DD1"/>
    <w:rsid w:val="00E34F07"/>
    <w:rsid w:val="00E34F0E"/>
    <w:rsid w:val="00E34F8E"/>
    <w:rsid w:val="00E350A1"/>
    <w:rsid w:val="00E350BF"/>
    <w:rsid w:val="00E350F8"/>
    <w:rsid w:val="00E351F8"/>
    <w:rsid w:val="00E352C5"/>
    <w:rsid w:val="00E35300"/>
    <w:rsid w:val="00E35347"/>
    <w:rsid w:val="00E35406"/>
    <w:rsid w:val="00E354DC"/>
    <w:rsid w:val="00E35566"/>
    <w:rsid w:val="00E35671"/>
    <w:rsid w:val="00E356F4"/>
    <w:rsid w:val="00E3581E"/>
    <w:rsid w:val="00E35926"/>
    <w:rsid w:val="00E35A0E"/>
    <w:rsid w:val="00E35A58"/>
    <w:rsid w:val="00E35BB9"/>
    <w:rsid w:val="00E35D40"/>
    <w:rsid w:val="00E35D58"/>
    <w:rsid w:val="00E35E4B"/>
    <w:rsid w:val="00E35E5F"/>
    <w:rsid w:val="00E36059"/>
    <w:rsid w:val="00E36088"/>
    <w:rsid w:val="00E3615E"/>
    <w:rsid w:val="00E361DF"/>
    <w:rsid w:val="00E362C1"/>
    <w:rsid w:val="00E3635A"/>
    <w:rsid w:val="00E364E4"/>
    <w:rsid w:val="00E366DF"/>
    <w:rsid w:val="00E36766"/>
    <w:rsid w:val="00E368D5"/>
    <w:rsid w:val="00E36977"/>
    <w:rsid w:val="00E369AD"/>
    <w:rsid w:val="00E36A51"/>
    <w:rsid w:val="00E36B8F"/>
    <w:rsid w:val="00E36BC3"/>
    <w:rsid w:val="00E36C9F"/>
    <w:rsid w:val="00E36D40"/>
    <w:rsid w:val="00E36F03"/>
    <w:rsid w:val="00E36F21"/>
    <w:rsid w:val="00E36F3F"/>
    <w:rsid w:val="00E3700F"/>
    <w:rsid w:val="00E37072"/>
    <w:rsid w:val="00E371A3"/>
    <w:rsid w:val="00E37222"/>
    <w:rsid w:val="00E3737C"/>
    <w:rsid w:val="00E373E8"/>
    <w:rsid w:val="00E37435"/>
    <w:rsid w:val="00E37697"/>
    <w:rsid w:val="00E376BE"/>
    <w:rsid w:val="00E378B8"/>
    <w:rsid w:val="00E37942"/>
    <w:rsid w:val="00E379BB"/>
    <w:rsid w:val="00E37A79"/>
    <w:rsid w:val="00E37AF7"/>
    <w:rsid w:val="00E37B56"/>
    <w:rsid w:val="00E37B71"/>
    <w:rsid w:val="00E37BC3"/>
    <w:rsid w:val="00E37D03"/>
    <w:rsid w:val="00E37D1C"/>
    <w:rsid w:val="00E37DE4"/>
    <w:rsid w:val="00E37DFE"/>
    <w:rsid w:val="00E37E10"/>
    <w:rsid w:val="00E37F19"/>
    <w:rsid w:val="00E40199"/>
    <w:rsid w:val="00E4020C"/>
    <w:rsid w:val="00E4031D"/>
    <w:rsid w:val="00E404BA"/>
    <w:rsid w:val="00E404FD"/>
    <w:rsid w:val="00E4050D"/>
    <w:rsid w:val="00E40511"/>
    <w:rsid w:val="00E4052E"/>
    <w:rsid w:val="00E4058A"/>
    <w:rsid w:val="00E405A7"/>
    <w:rsid w:val="00E40602"/>
    <w:rsid w:val="00E40633"/>
    <w:rsid w:val="00E40703"/>
    <w:rsid w:val="00E40A8A"/>
    <w:rsid w:val="00E40AA4"/>
    <w:rsid w:val="00E40B2A"/>
    <w:rsid w:val="00E40BEF"/>
    <w:rsid w:val="00E40CED"/>
    <w:rsid w:val="00E40CFB"/>
    <w:rsid w:val="00E40DE8"/>
    <w:rsid w:val="00E40DF8"/>
    <w:rsid w:val="00E40F07"/>
    <w:rsid w:val="00E411F3"/>
    <w:rsid w:val="00E413DC"/>
    <w:rsid w:val="00E413FB"/>
    <w:rsid w:val="00E41420"/>
    <w:rsid w:val="00E41567"/>
    <w:rsid w:val="00E416A7"/>
    <w:rsid w:val="00E417EE"/>
    <w:rsid w:val="00E4180C"/>
    <w:rsid w:val="00E41892"/>
    <w:rsid w:val="00E418F4"/>
    <w:rsid w:val="00E41955"/>
    <w:rsid w:val="00E41966"/>
    <w:rsid w:val="00E41A33"/>
    <w:rsid w:val="00E41BCA"/>
    <w:rsid w:val="00E41DFB"/>
    <w:rsid w:val="00E41E07"/>
    <w:rsid w:val="00E41E24"/>
    <w:rsid w:val="00E41F72"/>
    <w:rsid w:val="00E42138"/>
    <w:rsid w:val="00E42351"/>
    <w:rsid w:val="00E4239E"/>
    <w:rsid w:val="00E424FE"/>
    <w:rsid w:val="00E425E3"/>
    <w:rsid w:val="00E4262C"/>
    <w:rsid w:val="00E42681"/>
    <w:rsid w:val="00E426AF"/>
    <w:rsid w:val="00E4274F"/>
    <w:rsid w:val="00E4277A"/>
    <w:rsid w:val="00E42870"/>
    <w:rsid w:val="00E42AEC"/>
    <w:rsid w:val="00E42B3D"/>
    <w:rsid w:val="00E42B93"/>
    <w:rsid w:val="00E42C24"/>
    <w:rsid w:val="00E42D73"/>
    <w:rsid w:val="00E42DD9"/>
    <w:rsid w:val="00E42E86"/>
    <w:rsid w:val="00E42F7E"/>
    <w:rsid w:val="00E43127"/>
    <w:rsid w:val="00E432AC"/>
    <w:rsid w:val="00E43359"/>
    <w:rsid w:val="00E43366"/>
    <w:rsid w:val="00E4344D"/>
    <w:rsid w:val="00E4348F"/>
    <w:rsid w:val="00E43546"/>
    <w:rsid w:val="00E43628"/>
    <w:rsid w:val="00E437A8"/>
    <w:rsid w:val="00E43BB6"/>
    <w:rsid w:val="00E43BC8"/>
    <w:rsid w:val="00E43CF0"/>
    <w:rsid w:val="00E43D1F"/>
    <w:rsid w:val="00E43D41"/>
    <w:rsid w:val="00E43D53"/>
    <w:rsid w:val="00E43DED"/>
    <w:rsid w:val="00E43E8D"/>
    <w:rsid w:val="00E43F16"/>
    <w:rsid w:val="00E43F4D"/>
    <w:rsid w:val="00E43FBA"/>
    <w:rsid w:val="00E441FC"/>
    <w:rsid w:val="00E4420C"/>
    <w:rsid w:val="00E4430F"/>
    <w:rsid w:val="00E443AE"/>
    <w:rsid w:val="00E44417"/>
    <w:rsid w:val="00E445C4"/>
    <w:rsid w:val="00E4488D"/>
    <w:rsid w:val="00E44AFA"/>
    <w:rsid w:val="00E44B44"/>
    <w:rsid w:val="00E44BCB"/>
    <w:rsid w:val="00E44D1D"/>
    <w:rsid w:val="00E44D2B"/>
    <w:rsid w:val="00E44D70"/>
    <w:rsid w:val="00E44E1E"/>
    <w:rsid w:val="00E44E3F"/>
    <w:rsid w:val="00E44ED5"/>
    <w:rsid w:val="00E45032"/>
    <w:rsid w:val="00E450CD"/>
    <w:rsid w:val="00E4572F"/>
    <w:rsid w:val="00E459EE"/>
    <w:rsid w:val="00E45CDF"/>
    <w:rsid w:val="00E45D2E"/>
    <w:rsid w:val="00E45D90"/>
    <w:rsid w:val="00E45DA6"/>
    <w:rsid w:val="00E45E42"/>
    <w:rsid w:val="00E4601E"/>
    <w:rsid w:val="00E46135"/>
    <w:rsid w:val="00E4617D"/>
    <w:rsid w:val="00E46431"/>
    <w:rsid w:val="00E4651D"/>
    <w:rsid w:val="00E46535"/>
    <w:rsid w:val="00E46832"/>
    <w:rsid w:val="00E4685B"/>
    <w:rsid w:val="00E46880"/>
    <w:rsid w:val="00E469CC"/>
    <w:rsid w:val="00E46A7E"/>
    <w:rsid w:val="00E46D0A"/>
    <w:rsid w:val="00E46DAB"/>
    <w:rsid w:val="00E46DC3"/>
    <w:rsid w:val="00E46E1D"/>
    <w:rsid w:val="00E46EAD"/>
    <w:rsid w:val="00E46F0F"/>
    <w:rsid w:val="00E4700A"/>
    <w:rsid w:val="00E47020"/>
    <w:rsid w:val="00E4707A"/>
    <w:rsid w:val="00E47253"/>
    <w:rsid w:val="00E47340"/>
    <w:rsid w:val="00E47346"/>
    <w:rsid w:val="00E473B8"/>
    <w:rsid w:val="00E47481"/>
    <w:rsid w:val="00E475BE"/>
    <w:rsid w:val="00E4761D"/>
    <w:rsid w:val="00E47658"/>
    <w:rsid w:val="00E47836"/>
    <w:rsid w:val="00E47846"/>
    <w:rsid w:val="00E478D8"/>
    <w:rsid w:val="00E47A91"/>
    <w:rsid w:val="00E47AFE"/>
    <w:rsid w:val="00E47BD0"/>
    <w:rsid w:val="00E47BE3"/>
    <w:rsid w:val="00E47C3E"/>
    <w:rsid w:val="00E47D29"/>
    <w:rsid w:val="00E47D72"/>
    <w:rsid w:val="00E47D95"/>
    <w:rsid w:val="00E47E61"/>
    <w:rsid w:val="00E47E8A"/>
    <w:rsid w:val="00E47F6E"/>
    <w:rsid w:val="00E47F76"/>
    <w:rsid w:val="00E50218"/>
    <w:rsid w:val="00E5021C"/>
    <w:rsid w:val="00E503FB"/>
    <w:rsid w:val="00E504FE"/>
    <w:rsid w:val="00E50506"/>
    <w:rsid w:val="00E50609"/>
    <w:rsid w:val="00E50798"/>
    <w:rsid w:val="00E50A76"/>
    <w:rsid w:val="00E50B7B"/>
    <w:rsid w:val="00E50BD7"/>
    <w:rsid w:val="00E50C88"/>
    <w:rsid w:val="00E50CA6"/>
    <w:rsid w:val="00E50E41"/>
    <w:rsid w:val="00E50ECC"/>
    <w:rsid w:val="00E50F92"/>
    <w:rsid w:val="00E51001"/>
    <w:rsid w:val="00E51106"/>
    <w:rsid w:val="00E51153"/>
    <w:rsid w:val="00E512C7"/>
    <w:rsid w:val="00E51303"/>
    <w:rsid w:val="00E5133F"/>
    <w:rsid w:val="00E51720"/>
    <w:rsid w:val="00E51757"/>
    <w:rsid w:val="00E5182A"/>
    <w:rsid w:val="00E51917"/>
    <w:rsid w:val="00E51976"/>
    <w:rsid w:val="00E51A52"/>
    <w:rsid w:val="00E51B9C"/>
    <w:rsid w:val="00E51BD9"/>
    <w:rsid w:val="00E51CC7"/>
    <w:rsid w:val="00E51D3A"/>
    <w:rsid w:val="00E51DCE"/>
    <w:rsid w:val="00E51F2F"/>
    <w:rsid w:val="00E51F33"/>
    <w:rsid w:val="00E52040"/>
    <w:rsid w:val="00E5213A"/>
    <w:rsid w:val="00E5222D"/>
    <w:rsid w:val="00E5228E"/>
    <w:rsid w:val="00E522B6"/>
    <w:rsid w:val="00E52387"/>
    <w:rsid w:val="00E52392"/>
    <w:rsid w:val="00E523CB"/>
    <w:rsid w:val="00E523FE"/>
    <w:rsid w:val="00E52423"/>
    <w:rsid w:val="00E5255F"/>
    <w:rsid w:val="00E52639"/>
    <w:rsid w:val="00E52668"/>
    <w:rsid w:val="00E52754"/>
    <w:rsid w:val="00E52760"/>
    <w:rsid w:val="00E52858"/>
    <w:rsid w:val="00E528E4"/>
    <w:rsid w:val="00E5290E"/>
    <w:rsid w:val="00E529EB"/>
    <w:rsid w:val="00E52A50"/>
    <w:rsid w:val="00E52BA8"/>
    <w:rsid w:val="00E52CA6"/>
    <w:rsid w:val="00E52CBC"/>
    <w:rsid w:val="00E52D22"/>
    <w:rsid w:val="00E52D6E"/>
    <w:rsid w:val="00E52D81"/>
    <w:rsid w:val="00E52D8B"/>
    <w:rsid w:val="00E52FD4"/>
    <w:rsid w:val="00E5301A"/>
    <w:rsid w:val="00E530CD"/>
    <w:rsid w:val="00E53184"/>
    <w:rsid w:val="00E53595"/>
    <w:rsid w:val="00E53752"/>
    <w:rsid w:val="00E5382C"/>
    <w:rsid w:val="00E53901"/>
    <w:rsid w:val="00E5397F"/>
    <w:rsid w:val="00E53A7F"/>
    <w:rsid w:val="00E53B35"/>
    <w:rsid w:val="00E53B65"/>
    <w:rsid w:val="00E53C2E"/>
    <w:rsid w:val="00E53CD8"/>
    <w:rsid w:val="00E53D04"/>
    <w:rsid w:val="00E53DC4"/>
    <w:rsid w:val="00E53DE3"/>
    <w:rsid w:val="00E5412A"/>
    <w:rsid w:val="00E541D1"/>
    <w:rsid w:val="00E54279"/>
    <w:rsid w:val="00E542A4"/>
    <w:rsid w:val="00E5435B"/>
    <w:rsid w:val="00E54366"/>
    <w:rsid w:val="00E54378"/>
    <w:rsid w:val="00E543E9"/>
    <w:rsid w:val="00E54421"/>
    <w:rsid w:val="00E54499"/>
    <w:rsid w:val="00E544EC"/>
    <w:rsid w:val="00E5452F"/>
    <w:rsid w:val="00E545DB"/>
    <w:rsid w:val="00E5461F"/>
    <w:rsid w:val="00E54663"/>
    <w:rsid w:val="00E547B2"/>
    <w:rsid w:val="00E54A5C"/>
    <w:rsid w:val="00E54ABE"/>
    <w:rsid w:val="00E54AFB"/>
    <w:rsid w:val="00E54AFC"/>
    <w:rsid w:val="00E54B26"/>
    <w:rsid w:val="00E54BA7"/>
    <w:rsid w:val="00E54C3F"/>
    <w:rsid w:val="00E54C9D"/>
    <w:rsid w:val="00E54E33"/>
    <w:rsid w:val="00E54F65"/>
    <w:rsid w:val="00E550A9"/>
    <w:rsid w:val="00E5522B"/>
    <w:rsid w:val="00E5534D"/>
    <w:rsid w:val="00E553EC"/>
    <w:rsid w:val="00E55438"/>
    <w:rsid w:val="00E554E7"/>
    <w:rsid w:val="00E5557D"/>
    <w:rsid w:val="00E55600"/>
    <w:rsid w:val="00E5569F"/>
    <w:rsid w:val="00E55767"/>
    <w:rsid w:val="00E5579D"/>
    <w:rsid w:val="00E557C3"/>
    <w:rsid w:val="00E557E7"/>
    <w:rsid w:val="00E55871"/>
    <w:rsid w:val="00E559FE"/>
    <w:rsid w:val="00E55AB8"/>
    <w:rsid w:val="00E55BE2"/>
    <w:rsid w:val="00E55C92"/>
    <w:rsid w:val="00E55EF8"/>
    <w:rsid w:val="00E55FBD"/>
    <w:rsid w:val="00E5603B"/>
    <w:rsid w:val="00E56059"/>
    <w:rsid w:val="00E561C8"/>
    <w:rsid w:val="00E562C9"/>
    <w:rsid w:val="00E562F5"/>
    <w:rsid w:val="00E56567"/>
    <w:rsid w:val="00E56579"/>
    <w:rsid w:val="00E568C1"/>
    <w:rsid w:val="00E56948"/>
    <w:rsid w:val="00E5694F"/>
    <w:rsid w:val="00E569F8"/>
    <w:rsid w:val="00E56A53"/>
    <w:rsid w:val="00E56BD4"/>
    <w:rsid w:val="00E56CCA"/>
    <w:rsid w:val="00E56D80"/>
    <w:rsid w:val="00E56E13"/>
    <w:rsid w:val="00E56E2C"/>
    <w:rsid w:val="00E56E8B"/>
    <w:rsid w:val="00E5707A"/>
    <w:rsid w:val="00E5717E"/>
    <w:rsid w:val="00E57452"/>
    <w:rsid w:val="00E57462"/>
    <w:rsid w:val="00E574E7"/>
    <w:rsid w:val="00E578B5"/>
    <w:rsid w:val="00E57A54"/>
    <w:rsid w:val="00E57A7B"/>
    <w:rsid w:val="00E57AE0"/>
    <w:rsid w:val="00E57B70"/>
    <w:rsid w:val="00E57BA3"/>
    <w:rsid w:val="00E57C09"/>
    <w:rsid w:val="00E57EAA"/>
    <w:rsid w:val="00E57FD7"/>
    <w:rsid w:val="00E6009E"/>
    <w:rsid w:val="00E60115"/>
    <w:rsid w:val="00E60219"/>
    <w:rsid w:val="00E602DC"/>
    <w:rsid w:val="00E60337"/>
    <w:rsid w:val="00E60375"/>
    <w:rsid w:val="00E604AC"/>
    <w:rsid w:val="00E60569"/>
    <w:rsid w:val="00E6097C"/>
    <w:rsid w:val="00E609F7"/>
    <w:rsid w:val="00E60A73"/>
    <w:rsid w:val="00E60AC3"/>
    <w:rsid w:val="00E60C26"/>
    <w:rsid w:val="00E60D3D"/>
    <w:rsid w:val="00E60D8D"/>
    <w:rsid w:val="00E60E2C"/>
    <w:rsid w:val="00E60E6D"/>
    <w:rsid w:val="00E60E83"/>
    <w:rsid w:val="00E60E89"/>
    <w:rsid w:val="00E60F84"/>
    <w:rsid w:val="00E60FB1"/>
    <w:rsid w:val="00E61175"/>
    <w:rsid w:val="00E611C5"/>
    <w:rsid w:val="00E6135F"/>
    <w:rsid w:val="00E6146B"/>
    <w:rsid w:val="00E615AD"/>
    <w:rsid w:val="00E615D3"/>
    <w:rsid w:val="00E6160D"/>
    <w:rsid w:val="00E61640"/>
    <w:rsid w:val="00E6169B"/>
    <w:rsid w:val="00E61764"/>
    <w:rsid w:val="00E61765"/>
    <w:rsid w:val="00E61776"/>
    <w:rsid w:val="00E61790"/>
    <w:rsid w:val="00E61832"/>
    <w:rsid w:val="00E61846"/>
    <w:rsid w:val="00E618CD"/>
    <w:rsid w:val="00E61906"/>
    <w:rsid w:val="00E61918"/>
    <w:rsid w:val="00E619A7"/>
    <w:rsid w:val="00E61D48"/>
    <w:rsid w:val="00E61D85"/>
    <w:rsid w:val="00E61F4C"/>
    <w:rsid w:val="00E62390"/>
    <w:rsid w:val="00E6244D"/>
    <w:rsid w:val="00E624AA"/>
    <w:rsid w:val="00E624B3"/>
    <w:rsid w:val="00E62679"/>
    <w:rsid w:val="00E626F7"/>
    <w:rsid w:val="00E6274B"/>
    <w:rsid w:val="00E62750"/>
    <w:rsid w:val="00E628B8"/>
    <w:rsid w:val="00E62A1C"/>
    <w:rsid w:val="00E62AB9"/>
    <w:rsid w:val="00E62E7A"/>
    <w:rsid w:val="00E62EE0"/>
    <w:rsid w:val="00E62F35"/>
    <w:rsid w:val="00E63002"/>
    <w:rsid w:val="00E63235"/>
    <w:rsid w:val="00E632B0"/>
    <w:rsid w:val="00E633C0"/>
    <w:rsid w:val="00E633CC"/>
    <w:rsid w:val="00E63554"/>
    <w:rsid w:val="00E6363F"/>
    <w:rsid w:val="00E636B3"/>
    <w:rsid w:val="00E636BB"/>
    <w:rsid w:val="00E63741"/>
    <w:rsid w:val="00E637C6"/>
    <w:rsid w:val="00E637D3"/>
    <w:rsid w:val="00E63874"/>
    <w:rsid w:val="00E63893"/>
    <w:rsid w:val="00E639E3"/>
    <w:rsid w:val="00E63AAA"/>
    <w:rsid w:val="00E63CFA"/>
    <w:rsid w:val="00E63F3C"/>
    <w:rsid w:val="00E63F49"/>
    <w:rsid w:val="00E640A0"/>
    <w:rsid w:val="00E64300"/>
    <w:rsid w:val="00E6442C"/>
    <w:rsid w:val="00E644CD"/>
    <w:rsid w:val="00E64556"/>
    <w:rsid w:val="00E64656"/>
    <w:rsid w:val="00E64687"/>
    <w:rsid w:val="00E647D1"/>
    <w:rsid w:val="00E64984"/>
    <w:rsid w:val="00E649A8"/>
    <w:rsid w:val="00E64AB9"/>
    <w:rsid w:val="00E64ADB"/>
    <w:rsid w:val="00E64B0B"/>
    <w:rsid w:val="00E64B62"/>
    <w:rsid w:val="00E64BD3"/>
    <w:rsid w:val="00E64CDA"/>
    <w:rsid w:val="00E64D07"/>
    <w:rsid w:val="00E64D4D"/>
    <w:rsid w:val="00E64D78"/>
    <w:rsid w:val="00E64F08"/>
    <w:rsid w:val="00E64F4B"/>
    <w:rsid w:val="00E64F93"/>
    <w:rsid w:val="00E64FB7"/>
    <w:rsid w:val="00E650CC"/>
    <w:rsid w:val="00E65167"/>
    <w:rsid w:val="00E6525E"/>
    <w:rsid w:val="00E65371"/>
    <w:rsid w:val="00E6537C"/>
    <w:rsid w:val="00E65446"/>
    <w:rsid w:val="00E65512"/>
    <w:rsid w:val="00E655A5"/>
    <w:rsid w:val="00E655A7"/>
    <w:rsid w:val="00E6575A"/>
    <w:rsid w:val="00E658D5"/>
    <w:rsid w:val="00E65915"/>
    <w:rsid w:val="00E65A1F"/>
    <w:rsid w:val="00E65A74"/>
    <w:rsid w:val="00E65C39"/>
    <w:rsid w:val="00E65D58"/>
    <w:rsid w:val="00E65E62"/>
    <w:rsid w:val="00E65EB1"/>
    <w:rsid w:val="00E65F29"/>
    <w:rsid w:val="00E65F8E"/>
    <w:rsid w:val="00E65F8F"/>
    <w:rsid w:val="00E66058"/>
    <w:rsid w:val="00E6609D"/>
    <w:rsid w:val="00E660AD"/>
    <w:rsid w:val="00E663CF"/>
    <w:rsid w:val="00E664C5"/>
    <w:rsid w:val="00E6663B"/>
    <w:rsid w:val="00E666ED"/>
    <w:rsid w:val="00E667FE"/>
    <w:rsid w:val="00E66866"/>
    <w:rsid w:val="00E66879"/>
    <w:rsid w:val="00E668E2"/>
    <w:rsid w:val="00E6693C"/>
    <w:rsid w:val="00E66A44"/>
    <w:rsid w:val="00E66A4C"/>
    <w:rsid w:val="00E66A89"/>
    <w:rsid w:val="00E66AC3"/>
    <w:rsid w:val="00E66BAE"/>
    <w:rsid w:val="00E66C9A"/>
    <w:rsid w:val="00E66CCC"/>
    <w:rsid w:val="00E66CF6"/>
    <w:rsid w:val="00E66D4A"/>
    <w:rsid w:val="00E66DA7"/>
    <w:rsid w:val="00E66E5E"/>
    <w:rsid w:val="00E66EC9"/>
    <w:rsid w:val="00E66F5F"/>
    <w:rsid w:val="00E6704D"/>
    <w:rsid w:val="00E67107"/>
    <w:rsid w:val="00E672E0"/>
    <w:rsid w:val="00E67426"/>
    <w:rsid w:val="00E67481"/>
    <w:rsid w:val="00E6755B"/>
    <w:rsid w:val="00E675A0"/>
    <w:rsid w:val="00E67654"/>
    <w:rsid w:val="00E679C7"/>
    <w:rsid w:val="00E67A82"/>
    <w:rsid w:val="00E67ACD"/>
    <w:rsid w:val="00E67BFD"/>
    <w:rsid w:val="00E67D76"/>
    <w:rsid w:val="00E67D8B"/>
    <w:rsid w:val="00E67D9D"/>
    <w:rsid w:val="00E67EB2"/>
    <w:rsid w:val="00E67FE2"/>
    <w:rsid w:val="00E70023"/>
    <w:rsid w:val="00E7004B"/>
    <w:rsid w:val="00E7019B"/>
    <w:rsid w:val="00E701B7"/>
    <w:rsid w:val="00E701F7"/>
    <w:rsid w:val="00E702D4"/>
    <w:rsid w:val="00E7036F"/>
    <w:rsid w:val="00E703A7"/>
    <w:rsid w:val="00E703C2"/>
    <w:rsid w:val="00E70408"/>
    <w:rsid w:val="00E705BC"/>
    <w:rsid w:val="00E70688"/>
    <w:rsid w:val="00E70756"/>
    <w:rsid w:val="00E7088B"/>
    <w:rsid w:val="00E70A5E"/>
    <w:rsid w:val="00E70A96"/>
    <w:rsid w:val="00E70AAF"/>
    <w:rsid w:val="00E70BBF"/>
    <w:rsid w:val="00E70BE9"/>
    <w:rsid w:val="00E70D49"/>
    <w:rsid w:val="00E70DF9"/>
    <w:rsid w:val="00E70E31"/>
    <w:rsid w:val="00E71036"/>
    <w:rsid w:val="00E71141"/>
    <w:rsid w:val="00E71161"/>
    <w:rsid w:val="00E71207"/>
    <w:rsid w:val="00E7121D"/>
    <w:rsid w:val="00E71230"/>
    <w:rsid w:val="00E712A8"/>
    <w:rsid w:val="00E71320"/>
    <w:rsid w:val="00E713D8"/>
    <w:rsid w:val="00E7154E"/>
    <w:rsid w:val="00E7162B"/>
    <w:rsid w:val="00E7167A"/>
    <w:rsid w:val="00E7183C"/>
    <w:rsid w:val="00E718EE"/>
    <w:rsid w:val="00E71921"/>
    <w:rsid w:val="00E71941"/>
    <w:rsid w:val="00E71A9E"/>
    <w:rsid w:val="00E71B82"/>
    <w:rsid w:val="00E71BAA"/>
    <w:rsid w:val="00E71C4D"/>
    <w:rsid w:val="00E71D15"/>
    <w:rsid w:val="00E71DB4"/>
    <w:rsid w:val="00E71DCC"/>
    <w:rsid w:val="00E71F58"/>
    <w:rsid w:val="00E72105"/>
    <w:rsid w:val="00E721F6"/>
    <w:rsid w:val="00E7224C"/>
    <w:rsid w:val="00E7228C"/>
    <w:rsid w:val="00E724E9"/>
    <w:rsid w:val="00E72521"/>
    <w:rsid w:val="00E725AC"/>
    <w:rsid w:val="00E7266C"/>
    <w:rsid w:val="00E7273A"/>
    <w:rsid w:val="00E72786"/>
    <w:rsid w:val="00E729E7"/>
    <w:rsid w:val="00E72A1D"/>
    <w:rsid w:val="00E72A34"/>
    <w:rsid w:val="00E72B9D"/>
    <w:rsid w:val="00E72BAF"/>
    <w:rsid w:val="00E72C4B"/>
    <w:rsid w:val="00E72CF2"/>
    <w:rsid w:val="00E73056"/>
    <w:rsid w:val="00E73138"/>
    <w:rsid w:val="00E73334"/>
    <w:rsid w:val="00E73346"/>
    <w:rsid w:val="00E7336E"/>
    <w:rsid w:val="00E73471"/>
    <w:rsid w:val="00E73534"/>
    <w:rsid w:val="00E7354F"/>
    <w:rsid w:val="00E735B6"/>
    <w:rsid w:val="00E735EF"/>
    <w:rsid w:val="00E738F6"/>
    <w:rsid w:val="00E7399C"/>
    <w:rsid w:val="00E73A52"/>
    <w:rsid w:val="00E73B05"/>
    <w:rsid w:val="00E73BE1"/>
    <w:rsid w:val="00E73CB7"/>
    <w:rsid w:val="00E73CFC"/>
    <w:rsid w:val="00E73E8D"/>
    <w:rsid w:val="00E73EE7"/>
    <w:rsid w:val="00E73FD2"/>
    <w:rsid w:val="00E740F9"/>
    <w:rsid w:val="00E74169"/>
    <w:rsid w:val="00E7418D"/>
    <w:rsid w:val="00E741C9"/>
    <w:rsid w:val="00E741D5"/>
    <w:rsid w:val="00E743E5"/>
    <w:rsid w:val="00E74402"/>
    <w:rsid w:val="00E74529"/>
    <w:rsid w:val="00E747EA"/>
    <w:rsid w:val="00E74966"/>
    <w:rsid w:val="00E749D6"/>
    <w:rsid w:val="00E74A30"/>
    <w:rsid w:val="00E74AFF"/>
    <w:rsid w:val="00E74BB0"/>
    <w:rsid w:val="00E74CAD"/>
    <w:rsid w:val="00E74D1F"/>
    <w:rsid w:val="00E74D8E"/>
    <w:rsid w:val="00E74EC7"/>
    <w:rsid w:val="00E74ECC"/>
    <w:rsid w:val="00E74FBD"/>
    <w:rsid w:val="00E75152"/>
    <w:rsid w:val="00E7519E"/>
    <w:rsid w:val="00E75207"/>
    <w:rsid w:val="00E7529E"/>
    <w:rsid w:val="00E75323"/>
    <w:rsid w:val="00E754C6"/>
    <w:rsid w:val="00E754E7"/>
    <w:rsid w:val="00E7551D"/>
    <w:rsid w:val="00E755A2"/>
    <w:rsid w:val="00E755D8"/>
    <w:rsid w:val="00E756DC"/>
    <w:rsid w:val="00E7582F"/>
    <w:rsid w:val="00E75894"/>
    <w:rsid w:val="00E758EA"/>
    <w:rsid w:val="00E75921"/>
    <w:rsid w:val="00E759A0"/>
    <w:rsid w:val="00E75B05"/>
    <w:rsid w:val="00E75B4A"/>
    <w:rsid w:val="00E75C31"/>
    <w:rsid w:val="00E75EC5"/>
    <w:rsid w:val="00E76039"/>
    <w:rsid w:val="00E76145"/>
    <w:rsid w:val="00E76206"/>
    <w:rsid w:val="00E762A9"/>
    <w:rsid w:val="00E763A2"/>
    <w:rsid w:val="00E7640D"/>
    <w:rsid w:val="00E76422"/>
    <w:rsid w:val="00E7643E"/>
    <w:rsid w:val="00E76455"/>
    <w:rsid w:val="00E76514"/>
    <w:rsid w:val="00E7652F"/>
    <w:rsid w:val="00E76594"/>
    <w:rsid w:val="00E76773"/>
    <w:rsid w:val="00E769F6"/>
    <w:rsid w:val="00E76CE9"/>
    <w:rsid w:val="00E76DBB"/>
    <w:rsid w:val="00E76DCE"/>
    <w:rsid w:val="00E76DFA"/>
    <w:rsid w:val="00E76FBC"/>
    <w:rsid w:val="00E76FEE"/>
    <w:rsid w:val="00E77125"/>
    <w:rsid w:val="00E77248"/>
    <w:rsid w:val="00E7747C"/>
    <w:rsid w:val="00E774B5"/>
    <w:rsid w:val="00E774DB"/>
    <w:rsid w:val="00E77556"/>
    <w:rsid w:val="00E77865"/>
    <w:rsid w:val="00E77888"/>
    <w:rsid w:val="00E77B10"/>
    <w:rsid w:val="00E77B35"/>
    <w:rsid w:val="00E77B3A"/>
    <w:rsid w:val="00E77D1D"/>
    <w:rsid w:val="00E77D25"/>
    <w:rsid w:val="00E77EF8"/>
    <w:rsid w:val="00E800B2"/>
    <w:rsid w:val="00E800DA"/>
    <w:rsid w:val="00E8023F"/>
    <w:rsid w:val="00E80273"/>
    <w:rsid w:val="00E8029A"/>
    <w:rsid w:val="00E802FC"/>
    <w:rsid w:val="00E8058A"/>
    <w:rsid w:val="00E807D8"/>
    <w:rsid w:val="00E8087C"/>
    <w:rsid w:val="00E80A22"/>
    <w:rsid w:val="00E80B1B"/>
    <w:rsid w:val="00E80BA1"/>
    <w:rsid w:val="00E80C9C"/>
    <w:rsid w:val="00E80F23"/>
    <w:rsid w:val="00E8101E"/>
    <w:rsid w:val="00E8118A"/>
    <w:rsid w:val="00E81216"/>
    <w:rsid w:val="00E81236"/>
    <w:rsid w:val="00E8127B"/>
    <w:rsid w:val="00E812CF"/>
    <w:rsid w:val="00E815C9"/>
    <w:rsid w:val="00E815CD"/>
    <w:rsid w:val="00E815D3"/>
    <w:rsid w:val="00E81625"/>
    <w:rsid w:val="00E819AF"/>
    <w:rsid w:val="00E81D73"/>
    <w:rsid w:val="00E81FF1"/>
    <w:rsid w:val="00E82000"/>
    <w:rsid w:val="00E82048"/>
    <w:rsid w:val="00E821F9"/>
    <w:rsid w:val="00E822E1"/>
    <w:rsid w:val="00E823F2"/>
    <w:rsid w:val="00E823FC"/>
    <w:rsid w:val="00E824CA"/>
    <w:rsid w:val="00E8250C"/>
    <w:rsid w:val="00E8253E"/>
    <w:rsid w:val="00E8271E"/>
    <w:rsid w:val="00E828B4"/>
    <w:rsid w:val="00E828CA"/>
    <w:rsid w:val="00E82978"/>
    <w:rsid w:val="00E829AD"/>
    <w:rsid w:val="00E829B9"/>
    <w:rsid w:val="00E82B6E"/>
    <w:rsid w:val="00E82B75"/>
    <w:rsid w:val="00E82C32"/>
    <w:rsid w:val="00E82D3B"/>
    <w:rsid w:val="00E82E4F"/>
    <w:rsid w:val="00E83009"/>
    <w:rsid w:val="00E83082"/>
    <w:rsid w:val="00E8323B"/>
    <w:rsid w:val="00E8325A"/>
    <w:rsid w:val="00E8341B"/>
    <w:rsid w:val="00E834B2"/>
    <w:rsid w:val="00E83533"/>
    <w:rsid w:val="00E83578"/>
    <w:rsid w:val="00E83597"/>
    <w:rsid w:val="00E835BE"/>
    <w:rsid w:val="00E8364F"/>
    <w:rsid w:val="00E83685"/>
    <w:rsid w:val="00E836E8"/>
    <w:rsid w:val="00E83757"/>
    <w:rsid w:val="00E8375F"/>
    <w:rsid w:val="00E83760"/>
    <w:rsid w:val="00E83902"/>
    <w:rsid w:val="00E839F2"/>
    <w:rsid w:val="00E83A95"/>
    <w:rsid w:val="00E83B17"/>
    <w:rsid w:val="00E83B3A"/>
    <w:rsid w:val="00E83C4A"/>
    <w:rsid w:val="00E83E03"/>
    <w:rsid w:val="00E83E14"/>
    <w:rsid w:val="00E83E53"/>
    <w:rsid w:val="00E843F0"/>
    <w:rsid w:val="00E84538"/>
    <w:rsid w:val="00E8469D"/>
    <w:rsid w:val="00E84722"/>
    <w:rsid w:val="00E849A1"/>
    <w:rsid w:val="00E84A13"/>
    <w:rsid w:val="00E84A50"/>
    <w:rsid w:val="00E84AA1"/>
    <w:rsid w:val="00E84B29"/>
    <w:rsid w:val="00E84BB8"/>
    <w:rsid w:val="00E84C3E"/>
    <w:rsid w:val="00E84C5C"/>
    <w:rsid w:val="00E84C75"/>
    <w:rsid w:val="00E84C96"/>
    <w:rsid w:val="00E84CCA"/>
    <w:rsid w:val="00E84D40"/>
    <w:rsid w:val="00E84D44"/>
    <w:rsid w:val="00E84E73"/>
    <w:rsid w:val="00E84FAF"/>
    <w:rsid w:val="00E8509D"/>
    <w:rsid w:val="00E850B7"/>
    <w:rsid w:val="00E850D9"/>
    <w:rsid w:val="00E851E1"/>
    <w:rsid w:val="00E85202"/>
    <w:rsid w:val="00E85216"/>
    <w:rsid w:val="00E85242"/>
    <w:rsid w:val="00E852B8"/>
    <w:rsid w:val="00E852C8"/>
    <w:rsid w:val="00E85327"/>
    <w:rsid w:val="00E853FE"/>
    <w:rsid w:val="00E8549A"/>
    <w:rsid w:val="00E8559C"/>
    <w:rsid w:val="00E8560C"/>
    <w:rsid w:val="00E85696"/>
    <w:rsid w:val="00E8580A"/>
    <w:rsid w:val="00E858A9"/>
    <w:rsid w:val="00E858AD"/>
    <w:rsid w:val="00E8591B"/>
    <w:rsid w:val="00E859DA"/>
    <w:rsid w:val="00E859DC"/>
    <w:rsid w:val="00E85A14"/>
    <w:rsid w:val="00E85A6B"/>
    <w:rsid w:val="00E85AAE"/>
    <w:rsid w:val="00E85C29"/>
    <w:rsid w:val="00E85D7B"/>
    <w:rsid w:val="00E85F0B"/>
    <w:rsid w:val="00E86012"/>
    <w:rsid w:val="00E861AA"/>
    <w:rsid w:val="00E86355"/>
    <w:rsid w:val="00E86364"/>
    <w:rsid w:val="00E8641E"/>
    <w:rsid w:val="00E864C6"/>
    <w:rsid w:val="00E864E3"/>
    <w:rsid w:val="00E86518"/>
    <w:rsid w:val="00E8659F"/>
    <w:rsid w:val="00E86634"/>
    <w:rsid w:val="00E86692"/>
    <w:rsid w:val="00E866C7"/>
    <w:rsid w:val="00E867A7"/>
    <w:rsid w:val="00E868A5"/>
    <w:rsid w:val="00E868B2"/>
    <w:rsid w:val="00E868C1"/>
    <w:rsid w:val="00E86A08"/>
    <w:rsid w:val="00E86AE7"/>
    <w:rsid w:val="00E86BD9"/>
    <w:rsid w:val="00E86D17"/>
    <w:rsid w:val="00E86D7B"/>
    <w:rsid w:val="00E86E12"/>
    <w:rsid w:val="00E86EAE"/>
    <w:rsid w:val="00E86F9A"/>
    <w:rsid w:val="00E870CC"/>
    <w:rsid w:val="00E870E0"/>
    <w:rsid w:val="00E871F4"/>
    <w:rsid w:val="00E87291"/>
    <w:rsid w:val="00E872E0"/>
    <w:rsid w:val="00E8730E"/>
    <w:rsid w:val="00E8739C"/>
    <w:rsid w:val="00E873DC"/>
    <w:rsid w:val="00E8743A"/>
    <w:rsid w:val="00E874FB"/>
    <w:rsid w:val="00E87575"/>
    <w:rsid w:val="00E875DA"/>
    <w:rsid w:val="00E87666"/>
    <w:rsid w:val="00E87683"/>
    <w:rsid w:val="00E87818"/>
    <w:rsid w:val="00E8781D"/>
    <w:rsid w:val="00E8785E"/>
    <w:rsid w:val="00E8787A"/>
    <w:rsid w:val="00E878B4"/>
    <w:rsid w:val="00E878F9"/>
    <w:rsid w:val="00E87951"/>
    <w:rsid w:val="00E87AA3"/>
    <w:rsid w:val="00E87DFF"/>
    <w:rsid w:val="00E87EE2"/>
    <w:rsid w:val="00E90205"/>
    <w:rsid w:val="00E902FD"/>
    <w:rsid w:val="00E90317"/>
    <w:rsid w:val="00E90327"/>
    <w:rsid w:val="00E90495"/>
    <w:rsid w:val="00E9053E"/>
    <w:rsid w:val="00E905AF"/>
    <w:rsid w:val="00E90600"/>
    <w:rsid w:val="00E90657"/>
    <w:rsid w:val="00E9075B"/>
    <w:rsid w:val="00E907AA"/>
    <w:rsid w:val="00E907C4"/>
    <w:rsid w:val="00E90855"/>
    <w:rsid w:val="00E9095A"/>
    <w:rsid w:val="00E909CD"/>
    <w:rsid w:val="00E90A81"/>
    <w:rsid w:val="00E90BE6"/>
    <w:rsid w:val="00E90C7F"/>
    <w:rsid w:val="00E90CAE"/>
    <w:rsid w:val="00E90E57"/>
    <w:rsid w:val="00E90E7B"/>
    <w:rsid w:val="00E90E82"/>
    <w:rsid w:val="00E90EA5"/>
    <w:rsid w:val="00E90F56"/>
    <w:rsid w:val="00E90F8D"/>
    <w:rsid w:val="00E90FDE"/>
    <w:rsid w:val="00E911AF"/>
    <w:rsid w:val="00E911E4"/>
    <w:rsid w:val="00E91392"/>
    <w:rsid w:val="00E913BB"/>
    <w:rsid w:val="00E913F9"/>
    <w:rsid w:val="00E91586"/>
    <w:rsid w:val="00E91634"/>
    <w:rsid w:val="00E9167B"/>
    <w:rsid w:val="00E91782"/>
    <w:rsid w:val="00E91A79"/>
    <w:rsid w:val="00E91AC4"/>
    <w:rsid w:val="00E91BF5"/>
    <w:rsid w:val="00E91EBD"/>
    <w:rsid w:val="00E91EFA"/>
    <w:rsid w:val="00E91F3E"/>
    <w:rsid w:val="00E91F96"/>
    <w:rsid w:val="00E920E8"/>
    <w:rsid w:val="00E92307"/>
    <w:rsid w:val="00E923BE"/>
    <w:rsid w:val="00E92419"/>
    <w:rsid w:val="00E92534"/>
    <w:rsid w:val="00E92567"/>
    <w:rsid w:val="00E9257C"/>
    <w:rsid w:val="00E9266A"/>
    <w:rsid w:val="00E926DB"/>
    <w:rsid w:val="00E927F0"/>
    <w:rsid w:val="00E9287A"/>
    <w:rsid w:val="00E92956"/>
    <w:rsid w:val="00E92959"/>
    <w:rsid w:val="00E92A7F"/>
    <w:rsid w:val="00E93184"/>
    <w:rsid w:val="00E93223"/>
    <w:rsid w:val="00E93582"/>
    <w:rsid w:val="00E93586"/>
    <w:rsid w:val="00E93649"/>
    <w:rsid w:val="00E93721"/>
    <w:rsid w:val="00E9373D"/>
    <w:rsid w:val="00E937F7"/>
    <w:rsid w:val="00E93861"/>
    <w:rsid w:val="00E93914"/>
    <w:rsid w:val="00E9393C"/>
    <w:rsid w:val="00E93A17"/>
    <w:rsid w:val="00E93A59"/>
    <w:rsid w:val="00E93A6F"/>
    <w:rsid w:val="00E93BDB"/>
    <w:rsid w:val="00E93D02"/>
    <w:rsid w:val="00E93D4C"/>
    <w:rsid w:val="00E93DE8"/>
    <w:rsid w:val="00E93E7C"/>
    <w:rsid w:val="00E93ED1"/>
    <w:rsid w:val="00E93FB4"/>
    <w:rsid w:val="00E94037"/>
    <w:rsid w:val="00E94138"/>
    <w:rsid w:val="00E94150"/>
    <w:rsid w:val="00E9416C"/>
    <w:rsid w:val="00E94351"/>
    <w:rsid w:val="00E9444B"/>
    <w:rsid w:val="00E94471"/>
    <w:rsid w:val="00E94539"/>
    <w:rsid w:val="00E945DF"/>
    <w:rsid w:val="00E946BE"/>
    <w:rsid w:val="00E94727"/>
    <w:rsid w:val="00E9479F"/>
    <w:rsid w:val="00E9488F"/>
    <w:rsid w:val="00E948A0"/>
    <w:rsid w:val="00E94A88"/>
    <w:rsid w:val="00E94CCB"/>
    <w:rsid w:val="00E94E5B"/>
    <w:rsid w:val="00E94EA7"/>
    <w:rsid w:val="00E94F09"/>
    <w:rsid w:val="00E94F19"/>
    <w:rsid w:val="00E94F9F"/>
    <w:rsid w:val="00E94FED"/>
    <w:rsid w:val="00E95203"/>
    <w:rsid w:val="00E95227"/>
    <w:rsid w:val="00E9522A"/>
    <w:rsid w:val="00E95254"/>
    <w:rsid w:val="00E95457"/>
    <w:rsid w:val="00E95471"/>
    <w:rsid w:val="00E95480"/>
    <w:rsid w:val="00E954EE"/>
    <w:rsid w:val="00E95591"/>
    <w:rsid w:val="00E9559D"/>
    <w:rsid w:val="00E955A4"/>
    <w:rsid w:val="00E95670"/>
    <w:rsid w:val="00E95988"/>
    <w:rsid w:val="00E95A37"/>
    <w:rsid w:val="00E95A70"/>
    <w:rsid w:val="00E95A78"/>
    <w:rsid w:val="00E95AC6"/>
    <w:rsid w:val="00E95B33"/>
    <w:rsid w:val="00E95B6C"/>
    <w:rsid w:val="00E95C43"/>
    <w:rsid w:val="00E96264"/>
    <w:rsid w:val="00E963E1"/>
    <w:rsid w:val="00E963F3"/>
    <w:rsid w:val="00E963FB"/>
    <w:rsid w:val="00E96471"/>
    <w:rsid w:val="00E964E6"/>
    <w:rsid w:val="00E965D9"/>
    <w:rsid w:val="00E966B1"/>
    <w:rsid w:val="00E9682F"/>
    <w:rsid w:val="00E968C1"/>
    <w:rsid w:val="00E96DB3"/>
    <w:rsid w:val="00E96E7A"/>
    <w:rsid w:val="00E96FF2"/>
    <w:rsid w:val="00E9700F"/>
    <w:rsid w:val="00E97019"/>
    <w:rsid w:val="00E97229"/>
    <w:rsid w:val="00E9729B"/>
    <w:rsid w:val="00E97367"/>
    <w:rsid w:val="00E973A3"/>
    <w:rsid w:val="00E9743D"/>
    <w:rsid w:val="00E976D3"/>
    <w:rsid w:val="00E97782"/>
    <w:rsid w:val="00E9788F"/>
    <w:rsid w:val="00E97955"/>
    <w:rsid w:val="00E979BC"/>
    <w:rsid w:val="00E97A31"/>
    <w:rsid w:val="00E97D15"/>
    <w:rsid w:val="00E97DC4"/>
    <w:rsid w:val="00E97DD2"/>
    <w:rsid w:val="00E97DE2"/>
    <w:rsid w:val="00E97EE0"/>
    <w:rsid w:val="00E97F4A"/>
    <w:rsid w:val="00E97FA8"/>
    <w:rsid w:val="00EA01B3"/>
    <w:rsid w:val="00EA0207"/>
    <w:rsid w:val="00EA037A"/>
    <w:rsid w:val="00EA046E"/>
    <w:rsid w:val="00EA04D6"/>
    <w:rsid w:val="00EA06C7"/>
    <w:rsid w:val="00EA0794"/>
    <w:rsid w:val="00EA07F2"/>
    <w:rsid w:val="00EA083C"/>
    <w:rsid w:val="00EA08CD"/>
    <w:rsid w:val="00EA08D6"/>
    <w:rsid w:val="00EA08F3"/>
    <w:rsid w:val="00EA0922"/>
    <w:rsid w:val="00EA0C31"/>
    <w:rsid w:val="00EA0C81"/>
    <w:rsid w:val="00EA0CA5"/>
    <w:rsid w:val="00EA0D19"/>
    <w:rsid w:val="00EA0D3B"/>
    <w:rsid w:val="00EA0E07"/>
    <w:rsid w:val="00EA0E7A"/>
    <w:rsid w:val="00EA0F77"/>
    <w:rsid w:val="00EA0FF6"/>
    <w:rsid w:val="00EA1024"/>
    <w:rsid w:val="00EA10B8"/>
    <w:rsid w:val="00EA116D"/>
    <w:rsid w:val="00EA118D"/>
    <w:rsid w:val="00EA11F6"/>
    <w:rsid w:val="00EA12DC"/>
    <w:rsid w:val="00EA138B"/>
    <w:rsid w:val="00EA1393"/>
    <w:rsid w:val="00EA1418"/>
    <w:rsid w:val="00EA160B"/>
    <w:rsid w:val="00EA16D5"/>
    <w:rsid w:val="00EA17CD"/>
    <w:rsid w:val="00EA1B8A"/>
    <w:rsid w:val="00EA1BAA"/>
    <w:rsid w:val="00EA1C34"/>
    <w:rsid w:val="00EA1CC0"/>
    <w:rsid w:val="00EA1D41"/>
    <w:rsid w:val="00EA1DF2"/>
    <w:rsid w:val="00EA1EC7"/>
    <w:rsid w:val="00EA1F33"/>
    <w:rsid w:val="00EA1FDE"/>
    <w:rsid w:val="00EA20ED"/>
    <w:rsid w:val="00EA2143"/>
    <w:rsid w:val="00EA2167"/>
    <w:rsid w:val="00EA22CB"/>
    <w:rsid w:val="00EA2308"/>
    <w:rsid w:val="00EA2329"/>
    <w:rsid w:val="00EA2344"/>
    <w:rsid w:val="00EA248C"/>
    <w:rsid w:val="00EA254B"/>
    <w:rsid w:val="00EA256C"/>
    <w:rsid w:val="00EA2577"/>
    <w:rsid w:val="00EA25E8"/>
    <w:rsid w:val="00EA2721"/>
    <w:rsid w:val="00EA287E"/>
    <w:rsid w:val="00EA2948"/>
    <w:rsid w:val="00EA2966"/>
    <w:rsid w:val="00EA2B0E"/>
    <w:rsid w:val="00EA2B7E"/>
    <w:rsid w:val="00EA2BC7"/>
    <w:rsid w:val="00EA2BCD"/>
    <w:rsid w:val="00EA2BEC"/>
    <w:rsid w:val="00EA2BEE"/>
    <w:rsid w:val="00EA2D28"/>
    <w:rsid w:val="00EA2D86"/>
    <w:rsid w:val="00EA2E79"/>
    <w:rsid w:val="00EA2EAA"/>
    <w:rsid w:val="00EA2ECE"/>
    <w:rsid w:val="00EA2EDD"/>
    <w:rsid w:val="00EA2F11"/>
    <w:rsid w:val="00EA2F67"/>
    <w:rsid w:val="00EA2FB1"/>
    <w:rsid w:val="00EA3146"/>
    <w:rsid w:val="00EA31B0"/>
    <w:rsid w:val="00EA3326"/>
    <w:rsid w:val="00EA33E4"/>
    <w:rsid w:val="00EA365F"/>
    <w:rsid w:val="00EA36BF"/>
    <w:rsid w:val="00EA36F5"/>
    <w:rsid w:val="00EA373A"/>
    <w:rsid w:val="00EA3B05"/>
    <w:rsid w:val="00EA3CCE"/>
    <w:rsid w:val="00EA3CDD"/>
    <w:rsid w:val="00EA3F5D"/>
    <w:rsid w:val="00EA3FFC"/>
    <w:rsid w:val="00EA40B8"/>
    <w:rsid w:val="00EA4143"/>
    <w:rsid w:val="00EA4196"/>
    <w:rsid w:val="00EA41DE"/>
    <w:rsid w:val="00EA424C"/>
    <w:rsid w:val="00EA427E"/>
    <w:rsid w:val="00EA42B4"/>
    <w:rsid w:val="00EA4350"/>
    <w:rsid w:val="00EA448F"/>
    <w:rsid w:val="00EA451F"/>
    <w:rsid w:val="00EA4566"/>
    <w:rsid w:val="00EA468D"/>
    <w:rsid w:val="00EA46D3"/>
    <w:rsid w:val="00EA47F7"/>
    <w:rsid w:val="00EA4855"/>
    <w:rsid w:val="00EA4878"/>
    <w:rsid w:val="00EA498A"/>
    <w:rsid w:val="00EA4D80"/>
    <w:rsid w:val="00EA4E3B"/>
    <w:rsid w:val="00EA4F95"/>
    <w:rsid w:val="00EA4FF8"/>
    <w:rsid w:val="00EA506D"/>
    <w:rsid w:val="00EA50E2"/>
    <w:rsid w:val="00EA50FC"/>
    <w:rsid w:val="00EA510F"/>
    <w:rsid w:val="00EA512C"/>
    <w:rsid w:val="00EA51E2"/>
    <w:rsid w:val="00EA5274"/>
    <w:rsid w:val="00EA5343"/>
    <w:rsid w:val="00EA53B5"/>
    <w:rsid w:val="00EA5421"/>
    <w:rsid w:val="00EA54EE"/>
    <w:rsid w:val="00EA55CC"/>
    <w:rsid w:val="00EA55F3"/>
    <w:rsid w:val="00EA56CE"/>
    <w:rsid w:val="00EA57FA"/>
    <w:rsid w:val="00EA58FE"/>
    <w:rsid w:val="00EA59EE"/>
    <w:rsid w:val="00EA5A27"/>
    <w:rsid w:val="00EA5A47"/>
    <w:rsid w:val="00EA5A60"/>
    <w:rsid w:val="00EA5B7D"/>
    <w:rsid w:val="00EA5B8C"/>
    <w:rsid w:val="00EA5CBC"/>
    <w:rsid w:val="00EA5D92"/>
    <w:rsid w:val="00EA5E0D"/>
    <w:rsid w:val="00EA5E22"/>
    <w:rsid w:val="00EA5EC0"/>
    <w:rsid w:val="00EA5EF4"/>
    <w:rsid w:val="00EA5F13"/>
    <w:rsid w:val="00EA6025"/>
    <w:rsid w:val="00EA604B"/>
    <w:rsid w:val="00EA619A"/>
    <w:rsid w:val="00EA64DF"/>
    <w:rsid w:val="00EA6514"/>
    <w:rsid w:val="00EA664A"/>
    <w:rsid w:val="00EA66E3"/>
    <w:rsid w:val="00EA689D"/>
    <w:rsid w:val="00EA6A61"/>
    <w:rsid w:val="00EA6B37"/>
    <w:rsid w:val="00EA6B91"/>
    <w:rsid w:val="00EA6B9A"/>
    <w:rsid w:val="00EA6BD1"/>
    <w:rsid w:val="00EA6C1E"/>
    <w:rsid w:val="00EA6C69"/>
    <w:rsid w:val="00EA7010"/>
    <w:rsid w:val="00EA702F"/>
    <w:rsid w:val="00EA71D7"/>
    <w:rsid w:val="00EA7242"/>
    <w:rsid w:val="00EA726A"/>
    <w:rsid w:val="00EA7394"/>
    <w:rsid w:val="00EA7541"/>
    <w:rsid w:val="00EA7556"/>
    <w:rsid w:val="00EA759C"/>
    <w:rsid w:val="00EA760F"/>
    <w:rsid w:val="00EA766B"/>
    <w:rsid w:val="00EA7748"/>
    <w:rsid w:val="00EA77DE"/>
    <w:rsid w:val="00EA7802"/>
    <w:rsid w:val="00EA79CD"/>
    <w:rsid w:val="00EA7D5C"/>
    <w:rsid w:val="00EA7E26"/>
    <w:rsid w:val="00EB033F"/>
    <w:rsid w:val="00EB0356"/>
    <w:rsid w:val="00EB037B"/>
    <w:rsid w:val="00EB0385"/>
    <w:rsid w:val="00EB047D"/>
    <w:rsid w:val="00EB04CD"/>
    <w:rsid w:val="00EB057A"/>
    <w:rsid w:val="00EB0581"/>
    <w:rsid w:val="00EB05AF"/>
    <w:rsid w:val="00EB05E0"/>
    <w:rsid w:val="00EB07A1"/>
    <w:rsid w:val="00EB07E1"/>
    <w:rsid w:val="00EB0940"/>
    <w:rsid w:val="00EB0A52"/>
    <w:rsid w:val="00EB0B11"/>
    <w:rsid w:val="00EB0B2C"/>
    <w:rsid w:val="00EB0BD3"/>
    <w:rsid w:val="00EB0DBF"/>
    <w:rsid w:val="00EB0E96"/>
    <w:rsid w:val="00EB0EEA"/>
    <w:rsid w:val="00EB0EF8"/>
    <w:rsid w:val="00EB10CE"/>
    <w:rsid w:val="00EB114D"/>
    <w:rsid w:val="00EB117F"/>
    <w:rsid w:val="00EB127A"/>
    <w:rsid w:val="00EB12FA"/>
    <w:rsid w:val="00EB158D"/>
    <w:rsid w:val="00EB1619"/>
    <w:rsid w:val="00EB1673"/>
    <w:rsid w:val="00EB167B"/>
    <w:rsid w:val="00EB1729"/>
    <w:rsid w:val="00EB17A4"/>
    <w:rsid w:val="00EB18B5"/>
    <w:rsid w:val="00EB1A0F"/>
    <w:rsid w:val="00EB1BE8"/>
    <w:rsid w:val="00EB1DED"/>
    <w:rsid w:val="00EB1E9D"/>
    <w:rsid w:val="00EB1F40"/>
    <w:rsid w:val="00EB2060"/>
    <w:rsid w:val="00EB215B"/>
    <w:rsid w:val="00EB218C"/>
    <w:rsid w:val="00EB221A"/>
    <w:rsid w:val="00EB243F"/>
    <w:rsid w:val="00EB26FF"/>
    <w:rsid w:val="00EB270B"/>
    <w:rsid w:val="00EB2752"/>
    <w:rsid w:val="00EB278E"/>
    <w:rsid w:val="00EB2829"/>
    <w:rsid w:val="00EB288B"/>
    <w:rsid w:val="00EB28A9"/>
    <w:rsid w:val="00EB29CF"/>
    <w:rsid w:val="00EB2A6B"/>
    <w:rsid w:val="00EB2C7C"/>
    <w:rsid w:val="00EB2CB6"/>
    <w:rsid w:val="00EB2CC4"/>
    <w:rsid w:val="00EB2CE4"/>
    <w:rsid w:val="00EB2F20"/>
    <w:rsid w:val="00EB2FA6"/>
    <w:rsid w:val="00EB2FF4"/>
    <w:rsid w:val="00EB33BC"/>
    <w:rsid w:val="00EB374B"/>
    <w:rsid w:val="00EB379D"/>
    <w:rsid w:val="00EB37E8"/>
    <w:rsid w:val="00EB38A3"/>
    <w:rsid w:val="00EB390A"/>
    <w:rsid w:val="00EB391A"/>
    <w:rsid w:val="00EB395A"/>
    <w:rsid w:val="00EB39EC"/>
    <w:rsid w:val="00EB3C5E"/>
    <w:rsid w:val="00EB3C9A"/>
    <w:rsid w:val="00EB3E3B"/>
    <w:rsid w:val="00EB3F4F"/>
    <w:rsid w:val="00EB4297"/>
    <w:rsid w:val="00EB4316"/>
    <w:rsid w:val="00EB4412"/>
    <w:rsid w:val="00EB4461"/>
    <w:rsid w:val="00EB44AE"/>
    <w:rsid w:val="00EB4563"/>
    <w:rsid w:val="00EB458C"/>
    <w:rsid w:val="00EB46BB"/>
    <w:rsid w:val="00EB4928"/>
    <w:rsid w:val="00EB49E5"/>
    <w:rsid w:val="00EB49FE"/>
    <w:rsid w:val="00EB4A1F"/>
    <w:rsid w:val="00EB4D0B"/>
    <w:rsid w:val="00EB4D1C"/>
    <w:rsid w:val="00EB4ECE"/>
    <w:rsid w:val="00EB5198"/>
    <w:rsid w:val="00EB5386"/>
    <w:rsid w:val="00EB5387"/>
    <w:rsid w:val="00EB5413"/>
    <w:rsid w:val="00EB544D"/>
    <w:rsid w:val="00EB5475"/>
    <w:rsid w:val="00EB55B4"/>
    <w:rsid w:val="00EB5703"/>
    <w:rsid w:val="00EB571F"/>
    <w:rsid w:val="00EB5775"/>
    <w:rsid w:val="00EB57B7"/>
    <w:rsid w:val="00EB581A"/>
    <w:rsid w:val="00EB5828"/>
    <w:rsid w:val="00EB589A"/>
    <w:rsid w:val="00EB595C"/>
    <w:rsid w:val="00EB5A5A"/>
    <w:rsid w:val="00EB5B3C"/>
    <w:rsid w:val="00EB5B54"/>
    <w:rsid w:val="00EB5BF4"/>
    <w:rsid w:val="00EB5BF6"/>
    <w:rsid w:val="00EB5C23"/>
    <w:rsid w:val="00EB5C79"/>
    <w:rsid w:val="00EB5C90"/>
    <w:rsid w:val="00EB5CF5"/>
    <w:rsid w:val="00EB5EFD"/>
    <w:rsid w:val="00EB5FE6"/>
    <w:rsid w:val="00EB60CD"/>
    <w:rsid w:val="00EB6118"/>
    <w:rsid w:val="00EB62FF"/>
    <w:rsid w:val="00EB637F"/>
    <w:rsid w:val="00EB63E1"/>
    <w:rsid w:val="00EB6413"/>
    <w:rsid w:val="00EB6418"/>
    <w:rsid w:val="00EB6666"/>
    <w:rsid w:val="00EB672A"/>
    <w:rsid w:val="00EB67B8"/>
    <w:rsid w:val="00EB67F3"/>
    <w:rsid w:val="00EB6AB9"/>
    <w:rsid w:val="00EB6B4E"/>
    <w:rsid w:val="00EB6CA3"/>
    <w:rsid w:val="00EB6D37"/>
    <w:rsid w:val="00EB6D70"/>
    <w:rsid w:val="00EB6D8A"/>
    <w:rsid w:val="00EB6DAC"/>
    <w:rsid w:val="00EB6DFB"/>
    <w:rsid w:val="00EB6E3C"/>
    <w:rsid w:val="00EB6F9E"/>
    <w:rsid w:val="00EB715D"/>
    <w:rsid w:val="00EB7165"/>
    <w:rsid w:val="00EB74A2"/>
    <w:rsid w:val="00EB7657"/>
    <w:rsid w:val="00EB76CB"/>
    <w:rsid w:val="00EB7780"/>
    <w:rsid w:val="00EB779C"/>
    <w:rsid w:val="00EB77C2"/>
    <w:rsid w:val="00EB79B2"/>
    <w:rsid w:val="00EB7A95"/>
    <w:rsid w:val="00EB7A9C"/>
    <w:rsid w:val="00EB7A9F"/>
    <w:rsid w:val="00EB7B55"/>
    <w:rsid w:val="00EB7C1C"/>
    <w:rsid w:val="00EB7CFD"/>
    <w:rsid w:val="00EB7EBC"/>
    <w:rsid w:val="00EB7F55"/>
    <w:rsid w:val="00EC0030"/>
    <w:rsid w:val="00EC005D"/>
    <w:rsid w:val="00EC0094"/>
    <w:rsid w:val="00EC0149"/>
    <w:rsid w:val="00EC01CA"/>
    <w:rsid w:val="00EC02A0"/>
    <w:rsid w:val="00EC02EB"/>
    <w:rsid w:val="00EC039F"/>
    <w:rsid w:val="00EC043F"/>
    <w:rsid w:val="00EC04BA"/>
    <w:rsid w:val="00EC04C5"/>
    <w:rsid w:val="00EC072E"/>
    <w:rsid w:val="00EC0740"/>
    <w:rsid w:val="00EC07E8"/>
    <w:rsid w:val="00EC07FC"/>
    <w:rsid w:val="00EC07FD"/>
    <w:rsid w:val="00EC081A"/>
    <w:rsid w:val="00EC08C4"/>
    <w:rsid w:val="00EC0902"/>
    <w:rsid w:val="00EC09EA"/>
    <w:rsid w:val="00EC0B38"/>
    <w:rsid w:val="00EC0B92"/>
    <w:rsid w:val="00EC0D23"/>
    <w:rsid w:val="00EC1004"/>
    <w:rsid w:val="00EC1014"/>
    <w:rsid w:val="00EC1060"/>
    <w:rsid w:val="00EC109F"/>
    <w:rsid w:val="00EC1110"/>
    <w:rsid w:val="00EC119A"/>
    <w:rsid w:val="00EC11EF"/>
    <w:rsid w:val="00EC1358"/>
    <w:rsid w:val="00EC13B3"/>
    <w:rsid w:val="00EC142E"/>
    <w:rsid w:val="00EC15C6"/>
    <w:rsid w:val="00EC169B"/>
    <w:rsid w:val="00EC1786"/>
    <w:rsid w:val="00EC1818"/>
    <w:rsid w:val="00EC1915"/>
    <w:rsid w:val="00EC198B"/>
    <w:rsid w:val="00EC1BD9"/>
    <w:rsid w:val="00EC1C61"/>
    <w:rsid w:val="00EC1C7E"/>
    <w:rsid w:val="00EC1CF6"/>
    <w:rsid w:val="00EC1D02"/>
    <w:rsid w:val="00EC1D48"/>
    <w:rsid w:val="00EC1D90"/>
    <w:rsid w:val="00EC1F27"/>
    <w:rsid w:val="00EC1F87"/>
    <w:rsid w:val="00EC2059"/>
    <w:rsid w:val="00EC21C5"/>
    <w:rsid w:val="00EC21EC"/>
    <w:rsid w:val="00EC232E"/>
    <w:rsid w:val="00EC2467"/>
    <w:rsid w:val="00EC24F2"/>
    <w:rsid w:val="00EC2621"/>
    <w:rsid w:val="00EC26A1"/>
    <w:rsid w:val="00EC27E3"/>
    <w:rsid w:val="00EC29F0"/>
    <w:rsid w:val="00EC2AD9"/>
    <w:rsid w:val="00EC2B01"/>
    <w:rsid w:val="00EC2BCB"/>
    <w:rsid w:val="00EC2CAE"/>
    <w:rsid w:val="00EC2D09"/>
    <w:rsid w:val="00EC2D4B"/>
    <w:rsid w:val="00EC2E24"/>
    <w:rsid w:val="00EC2EA0"/>
    <w:rsid w:val="00EC2EFE"/>
    <w:rsid w:val="00EC2F05"/>
    <w:rsid w:val="00EC30CD"/>
    <w:rsid w:val="00EC30E5"/>
    <w:rsid w:val="00EC30FB"/>
    <w:rsid w:val="00EC3282"/>
    <w:rsid w:val="00EC340A"/>
    <w:rsid w:val="00EC3486"/>
    <w:rsid w:val="00EC34D6"/>
    <w:rsid w:val="00EC34F3"/>
    <w:rsid w:val="00EC3553"/>
    <w:rsid w:val="00EC360A"/>
    <w:rsid w:val="00EC3614"/>
    <w:rsid w:val="00EC382F"/>
    <w:rsid w:val="00EC3898"/>
    <w:rsid w:val="00EC38F5"/>
    <w:rsid w:val="00EC39DB"/>
    <w:rsid w:val="00EC39F1"/>
    <w:rsid w:val="00EC3AD9"/>
    <w:rsid w:val="00EC3BAB"/>
    <w:rsid w:val="00EC3BCB"/>
    <w:rsid w:val="00EC3BE8"/>
    <w:rsid w:val="00EC3DAC"/>
    <w:rsid w:val="00EC3DD1"/>
    <w:rsid w:val="00EC3E69"/>
    <w:rsid w:val="00EC3F0A"/>
    <w:rsid w:val="00EC3F9A"/>
    <w:rsid w:val="00EC41D5"/>
    <w:rsid w:val="00EC421E"/>
    <w:rsid w:val="00EC4486"/>
    <w:rsid w:val="00EC44A3"/>
    <w:rsid w:val="00EC44CF"/>
    <w:rsid w:val="00EC44D9"/>
    <w:rsid w:val="00EC4503"/>
    <w:rsid w:val="00EC4699"/>
    <w:rsid w:val="00EC4815"/>
    <w:rsid w:val="00EC48D5"/>
    <w:rsid w:val="00EC498C"/>
    <w:rsid w:val="00EC49B8"/>
    <w:rsid w:val="00EC4A45"/>
    <w:rsid w:val="00EC4B4C"/>
    <w:rsid w:val="00EC4BD7"/>
    <w:rsid w:val="00EC4CFF"/>
    <w:rsid w:val="00EC4D7C"/>
    <w:rsid w:val="00EC4DB0"/>
    <w:rsid w:val="00EC4E10"/>
    <w:rsid w:val="00EC5008"/>
    <w:rsid w:val="00EC511D"/>
    <w:rsid w:val="00EC5265"/>
    <w:rsid w:val="00EC5275"/>
    <w:rsid w:val="00EC53DE"/>
    <w:rsid w:val="00EC5698"/>
    <w:rsid w:val="00EC56A0"/>
    <w:rsid w:val="00EC5722"/>
    <w:rsid w:val="00EC576E"/>
    <w:rsid w:val="00EC5885"/>
    <w:rsid w:val="00EC58D7"/>
    <w:rsid w:val="00EC59BB"/>
    <w:rsid w:val="00EC5AB7"/>
    <w:rsid w:val="00EC5B6A"/>
    <w:rsid w:val="00EC5B85"/>
    <w:rsid w:val="00EC5C62"/>
    <w:rsid w:val="00EC5CE1"/>
    <w:rsid w:val="00EC5D36"/>
    <w:rsid w:val="00EC5D54"/>
    <w:rsid w:val="00EC5DEB"/>
    <w:rsid w:val="00EC5E04"/>
    <w:rsid w:val="00EC5F00"/>
    <w:rsid w:val="00EC5FAA"/>
    <w:rsid w:val="00EC5FE5"/>
    <w:rsid w:val="00EC6377"/>
    <w:rsid w:val="00EC6439"/>
    <w:rsid w:val="00EC653F"/>
    <w:rsid w:val="00EC65EE"/>
    <w:rsid w:val="00EC65F2"/>
    <w:rsid w:val="00EC667F"/>
    <w:rsid w:val="00EC6749"/>
    <w:rsid w:val="00EC674B"/>
    <w:rsid w:val="00EC6778"/>
    <w:rsid w:val="00EC68D5"/>
    <w:rsid w:val="00EC6B89"/>
    <w:rsid w:val="00EC6D07"/>
    <w:rsid w:val="00EC6ECE"/>
    <w:rsid w:val="00EC7016"/>
    <w:rsid w:val="00EC7177"/>
    <w:rsid w:val="00EC71A1"/>
    <w:rsid w:val="00EC71FA"/>
    <w:rsid w:val="00EC7318"/>
    <w:rsid w:val="00EC746E"/>
    <w:rsid w:val="00EC747A"/>
    <w:rsid w:val="00EC750D"/>
    <w:rsid w:val="00EC7580"/>
    <w:rsid w:val="00EC7640"/>
    <w:rsid w:val="00EC7853"/>
    <w:rsid w:val="00EC791E"/>
    <w:rsid w:val="00EC793B"/>
    <w:rsid w:val="00EC7953"/>
    <w:rsid w:val="00EC7963"/>
    <w:rsid w:val="00EC7974"/>
    <w:rsid w:val="00EC79DC"/>
    <w:rsid w:val="00EC7A3D"/>
    <w:rsid w:val="00EC7AB3"/>
    <w:rsid w:val="00EC7ADD"/>
    <w:rsid w:val="00EC7B91"/>
    <w:rsid w:val="00EC7BA5"/>
    <w:rsid w:val="00EC7CA0"/>
    <w:rsid w:val="00EC7CE9"/>
    <w:rsid w:val="00EC7ED0"/>
    <w:rsid w:val="00EC7ED3"/>
    <w:rsid w:val="00EC7F79"/>
    <w:rsid w:val="00ED0129"/>
    <w:rsid w:val="00ED0285"/>
    <w:rsid w:val="00ED028C"/>
    <w:rsid w:val="00ED03F5"/>
    <w:rsid w:val="00ED0469"/>
    <w:rsid w:val="00ED049B"/>
    <w:rsid w:val="00ED04BA"/>
    <w:rsid w:val="00ED051B"/>
    <w:rsid w:val="00ED06D3"/>
    <w:rsid w:val="00ED06D6"/>
    <w:rsid w:val="00ED06E7"/>
    <w:rsid w:val="00ED085C"/>
    <w:rsid w:val="00ED09AF"/>
    <w:rsid w:val="00ED09E4"/>
    <w:rsid w:val="00ED0AAB"/>
    <w:rsid w:val="00ED0B85"/>
    <w:rsid w:val="00ED0BD0"/>
    <w:rsid w:val="00ED0C3D"/>
    <w:rsid w:val="00ED0C9F"/>
    <w:rsid w:val="00ED0FD8"/>
    <w:rsid w:val="00ED12A1"/>
    <w:rsid w:val="00ED13A5"/>
    <w:rsid w:val="00ED14E9"/>
    <w:rsid w:val="00ED158B"/>
    <w:rsid w:val="00ED166A"/>
    <w:rsid w:val="00ED16CC"/>
    <w:rsid w:val="00ED1A1D"/>
    <w:rsid w:val="00ED1BD9"/>
    <w:rsid w:val="00ED1BEA"/>
    <w:rsid w:val="00ED1DFC"/>
    <w:rsid w:val="00ED1E71"/>
    <w:rsid w:val="00ED1FB9"/>
    <w:rsid w:val="00ED21EF"/>
    <w:rsid w:val="00ED21F0"/>
    <w:rsid w:val="00ED224A"/>
    <w:rsid w:val="00ED2273"/>
    <w:rsid w:val="00ED2392"/>
    <w:rsid w:val="00ED251E"/>
    <w:rsid w:val="00ED2558"/>
    <w:rsid w:val="00ED27B0"/>
    <w:rsid w:val="00ED291F"/>
    <w:rsid w:val="00ED2984"/>
    <w:rsid w:val="00ED29EE"/>
    <w:rsid w:val="00ED2B6B"/>
    <w:rsid w:val="00ED2B7B"/>
    <w:rsid w:val="00ED2C56"/>
    <w:rsid w:val="00ED2CB1"/>
    <w:rsid w:val="00ED2D81"/>
    <w:rsid w:val="00ED2D87"/>
    <w:rsid w:val="00ED2DB4"/>
    <w:rsid w:val="00ED2DC1"/>
    <w:rsid w:val="00ED2E3F"/>
    <w:rsid w:val="00ED2E93"/>
    <w:rsid w:val="00ED2F5E"/>
    <w:rsid w:val="00ED2FB8"/>
    <w:rsid w:val="00ED3045"/>
    <w:rsid w:val="00ED318C"/>
    <w:rsid w:val="00ED31EE"/>
    <w:rsid w:val="00ED32B0"/>
    <w:rsid w:val="00ED3400"/>
    <w:rsid w:val="00ED3474"/>
    <w:rsid w:val="00ED36B9"/>
    <w:rsid w:val="00ED376C"/>
    <w:rsid w:val="00ED380E"/>
    <w:rsid w:val="00ED3810"/>
    <w:rsid w:val="00ED38F7"/>
    <w:rsid w:val="00ED3A0D"/>
    <w:rsid w:val="00ED3C39"/>
    <w:rsid w:val="00ED3C9F"/>
    <w:rsid w:val="00ED3DCE"/>
    <w:rsid w:val="00ED3EDE"/>
    <w:rsid w:val="00ED4189"/>
    <w:rsid w:val="00ED41C8"/>
    <w:rsid w:val="00ED4345"/>
    <w:rsid w:val="00ED43FD"/>
    <w:rsid w:val="00ED4440"/>
    <w:rsid w:val="00ED44F6"/>
    <w:rsid w:val="00ED44F9"/>
    <w:rsid w:val="00ED45C7"/>
    <w:rsid w:val="00ED47FE"/>
    <w:rsid w:val="00ED4872"/>
    <w:rsid w:val="00ED4965"/>
    <w:rsid w:val="00ED4B1C"/>
    <w:rsid w:val="00ED4B61"/>
    <w:rsid w:val="00ED4BA4"/>
    <w:rsid w:val="00ED4C99"/>
    <w:rsid w:val="00ED4EB4"/>
    <w:rsid w:val="00ED4FA9"/>
    <w:rsid w:val="00ED4FE4"/>
    <w:rsid w:val="00ED5175"/>
    <w:rsid w:val="00ED523F"/>
    <w:rsid w:val="00ED52AE"/>
    <w:rsid w:val="00ED52FB"/>
    <w:rsid w:val="00ED5358"/>
    <w:rsid w:val="00ED5573"/>
    <w:rsid w:val="00ED55AD"/>
    <w:rsid w:val="00ED56E5"/>
    <w:rsid w:val="00ED5711"/>
    <w:rsid w:val="00ED5A2C"/>
    <w:rsid w:val="00ED5A81"/>
    <w:rsid w:val="00ED5AC7"/>
    <w:rsid w:val="00ED5BC6"/>
    <w:rsid w:val="00ED5C75"/>
    <w:rsid w:val="00ED5CE0"/>
    <w:rsid w:val="00ED5DD8"/>
    <w:rsid w:val="00ED6057"/>
    <w:rsid w:val="00ED60FC"/>
    <w:rsid w:val="00ED6139"/>
    <w:rsid w:val="00ED615D"/>
    <w:rsid w:val="00ED636A"/>
    <w:rsid w:val="00ED6587"/>
    <w:rsid w:val="00ED65BA"/>
    <w:rsid w:val="00ED65E2"/>
    <w:rsid w:val="00ED669F"/>
    <w:rsid w:val="00ED66C1"/>
    <w:rsid w:val="00ED678B"/>
    <w:rsid w:val="00ED6804"/>
    <w:rsid w:val="00ED6898"/>
    <w:rsid w:val="00ED6948"/>
    <w:rsid w:val="00ED6953"/>
    <w:rsid w:val="00ED6A09"/>
    <w:rsid w:val="00ED6A49"/>
    <w:rsid w:val="00ED6A7E"/>
    <w:rsid w:val="00ED6ABF"/>
    <w:rsid w:val="00ED6AFE"/>
    <w:rsid w:val="00ED6B1C"/>
    <w:rsid w:val="00ED6B9C"/>
    <w:rsid w:val="00ED6C42"/>
    <w:rsid w:val="00ED6C7D"/>
    <w:rsid w:val="00ED6CCE"/>
    <w:rsid w:val="00ED6E8E"/>
    <w:rsid w:val="00ED6E8F"/>
    <w:rsid w:val="00ED6F09"/>
    <w:rsid w:val="00ED6FFC"/>
    <w:rsid w:val="00ED703D"/>
    <w:rsid w:val="00ED71E3"/>
    <w:rsid w:val="00ED71F2"/>
    <w:rsid w:val="00ED72A2"/>
    <w:rsid w:val="00ED7333"/>
    <w:rsid w:val="00ED7464"/>
    <w:rsid w:val="00ED75D2"/>
    <w:rsid w:val="00ED76F6"/>
    <w:rsid w:val="00ED77F3"/>
    <w:rsid w:val="00ED7805"/>
    <w:rsid w:val="00ED7843"/>
    <w:rsid w:val="00ED784A"/>
    <w:rsid w:val="00ED787F"/>
    <w:rsid w:val="00ED7881"/>
    <w:rsid w:val="00ED7979"/>
    <w:rsid w:val="00ED79CE"/>
    <w:rsid w:val="00ED7A56"/>
    <w:rsid w:val="00ED7F48"/>
    <w:rsid w:val="00ED7FE5"/>
    <w:rsid w:val="00ED7FFA"/>
    <w:rsid w:val="00EE0168"/>
    <w:rsid w:val="00EE0286"/>
    <w:rsid w:val="00EE0295"/>
    <w:rsid w:val="00EE0469"/>
    <w:rsid w:val="00EE05A9"/>
    <w:rsid w:val="00EE06DF"/>
    <w:rsid w:val="00EE077F"/>
    <w:rsid w:val="00EE083E"/>
    <w:rsid w:val="00EE0974"/>
    <w:rsid w:val="00EE09B3"/>
    <w:rsid w:val="00EE09DC"/>
    <w:rsid w:val="00EE0B39"/>
    <w:rsid w:val="00EE0B61"/>
    <w:rsid w:val="00EE0C2D"/>
    <w:rsid w:val="00EE0CB4"/>
    <w:rsid w:val="00EE0D2C"/>
    <w:rsid w:val="00EE0E69"/>
    <w:rsid w:val="00EE0E92"/>
    <w:rsid w:val="00EE0F4D"/>
    <w:rsid w:val="00EE0FEB"/>
    <w:rsid w:val="00EE1010"/>
    <w:rsid w:val="00EE1038"/>
    <w:rsid w:val="00EE10A8"/>
    <w:rsid w:val="00EE1108"/>
    <w:rsid w:val="00EE1144"/>
    <w:rsid w:val="00EE11B5"/>
    <w:rsid w:val="00EE124B"/>
    <w:rsid w:val="00EE1258"/>
    <w:rsid w:val="00EE12A9"/>
    <w:rsid w:val="00EE12CB"/>
    <w:rsid w:val="00EE15DF"/>
    <w:rsid w:val="00EE1614"/>
    <w:rsid w:val="00EE174A"/>
    <w:rsid w:val="00EE1936"/>
    <w:rsid w:val="00EE19DB"/>
    <w:rsid w:val="00EE1A23"/>
    <w:rsid w:val="00EE1A99"/>
    <w:rsid w:val="00EE1BBB"/>
    <w:rsid w:val="00EE1C67"/>
    <w:rsid w:val="00EE1C78"/>
    <w:rsid w:val="00EE1CC4"/>
    <w:rsid w:val="00EE1CD4"/>
    <w:rsid w:val="00EE1D56"/>
    <w:rsid w:val="00EE2070"/>
    <w:rsid w:val="00EE2241"/>
    <w:rsid w:val="00EE248F"/>
    <w:rsid w:val="00EE25FC"/>
    <w:rsid w:val="00EE261B"/>
    <w:rsid w:val="00EE27CD"/>
    <w:rsid w:val="00EE2801"/>
    <w:rsid w:val="00EE2868"/>
    <w:rsid w:val="00EE2885"/>
    <w:rsid w:val="00EE2929"/>
    <w:rsid w:val="00EE29F5"/>
    <w:rsid w:val="00EE2AD6"/>
    <w:rsid w:val="00EE2B06"/>
    <w:rsid w:val="00EE2C70"/>
    <w:rsid w:val="00EE2C89"/>
    <w:rsid w:val="00EE2CEA"/>
    <w:rsid w:val="00EE2D5B"/>
    <w:rsid w:val="00EE2D69"/>
    <w:rsid w:val="00EE2DD3"/>
    <w:rsid w:val="00EE2F1F"/>
    <w:rsid w:val="00EE2FD3"/>
    <w:rsid w:val="00EE30F4"/>
    <w:rsid w:val="00EE3194"/>
    <w:rsid w:val="00EE31F2"/>
    <w:rsid w:val="00EE329D"/>
    <w:rsid w:val="00EE329E"/>
    <w:rsid w:val="00EE32A7"/>
    <w:rsid w:val="00EE32E9"/>
    <w:rsid w:val="00EE33FF"/>
    <w:rsid w:val="00EE341A"/>
    <w:rsid w:val="00EE34F4"/>
    <w:rsid w:val="00EE359B"/>
    <w:rsid w:val="00EE3601"/>
    <w:rsid w:val="00EE3724"/>
    <w:rsid w:val="00EE3796"/>
    <w:rsid w:val="00EE37AA"/>
    <w:rsid w:val="00EE38A4"/>
    <w:rsid w:val="00EE38EF"/>
    <w:rsid w:val="00EE394F"/>
    <w:rsid w:val="00EE39F6"/>
    <w:rsid w:val="00EE3BEB"/>
    <w:rsid w:val="00EE3D0E"/>
    <w:rsid w:val="00EE3E0D"/>
    <w:rsid w:val="00EE3EC9"/>
    <w:rsid w:val="00EE3F4B"/>
    <w:rsid w:val="00EE3FF7"/>
    <w:rsid w:val="00EE40D9"/>
    <w:rsid w:val="00EE40ED"/>
    <w:rsid w:val="00EE416C"/>
    <w:rsid w:val="00EE41EB"/>
    <w:rsid w:val="00EE430D"/>
    <w:rsid w:val="00EE4319"/>
    <w:rsid w:val="00EE4457"/>
    <w:rsid w:val="00EE44BC"/>
    <w:rsid w:val="00EE462C"/>
    <w:rsid w:val="00EE465C"/>
    <w:rsid w:val="00EE4679"/>
    <w:rsid w:val="00EE46C5"/>
    <w:rsid w:val="00EE4823"/>
    <w:rsid w:val="00EE487A"/>
    <w:rsid w:val="00EE4934"/>
    <w:rsid w:val="00EE49E1"/>
    <w:rsid w:val="00EE4A79"/>
    <w:rsid w:val="00EE4AEC"/>
    <w:rsid w:val="00EE4CDB"/>
    <w:rsid w:val="00EE4D3A"/>
    <w:rsid w:val="00EE509E"/>
    <w:rsid w:val="00EE5116"/>
    <w:rsid w:val="00EE51C8"/>
    <w:rsid w:val="00EE5241"/>
    <w:rsid w:val="00EE525F"/>
    <w:rsid w:val="00EE532C"/>
    <w:rsid w:val="00EE53AD"/>
    <w:rsid w:val="00EE547E"/>
    <w:rsid w:val="00EE54E7"/>
    <w:rsid w:val="00EE5521"/>
    <w:rsid w:val="00EE561B"/>
    <w:rsid w:val="00EE5643"/>
    <w:rsid w:val="00EE5688"/>
    <w:rsid w:val="00EE5801"/>
    <w:rsid w:val="00EE5857"/>
    <w:rsid w:val="00EE588C"/>
    <w:rsid w:val="00EE593A"/>
    <w:rsid w:val="00EE59CA"/>
    <w:rsid w:val="00EE59E3"/>
    <w:rsid w:val="00EE59FC"/>
    <w:rsid w:val="00EE5B46"/>
    <w:rsid w:val="00EE5B49"/>
    <w:rsid w:val="00EE5CDB"/>
    <w:rsid w:val="00EE5CDC"/>
    <w:rsid w:val="00EE5D68"/>
    <w:rsid w:val="00EE5F9D"/>
    <w:rsid w:val="00EE6146"/>
    <w:rsid w:val="00EE6210"/>
    <w:rsid w:val="00EE62BB"/>
    <w:rsid w:val="00EE62CF"/>
    <w:rsid w:val="00EE62FA"/>
    <w:rsid w:val="00EE63F1"/>
    <w:rsid w:val="00EE642D"/>
    <w:rsid w:val="00EE6504"/>
    <w:rsid w:val="00EE661C"/>
    <w:rsid w:val="00EE66ED"/>
    <w:rsid w:val="00EE6751"/>
    <w:rsid w:val="00EE676B"/>
    <w:rsid w:val="00EE676E"/>
    <w:rsid w:val="00EE6790"/>
    <w:rsid w:val="00EE67A3"/>
    <w:rsid w:val="00EE67E3"/>
    <w:rsid w:val="00EE67E7"/>
    <w:rsid w:val="00EE6A33"/>
    <w:rsid w:val="00EE6AA3"/>
    <w:rsid w:val="00EE6B87"/>
    <w:rsid w:val="00EE6C09"/>
    <w:rsid w:val="00EE6C4A"/>
    <w:rsid w:val="00EE6E92"/>
    <w:rsid w:val="00EE6EAE"/>
    <w:rsid w:val="00EE6F42"/>
    <w:rsid w:val="00EE6FAF"/>
    <w:rsid w:val="00EE6FC1"/>
    <w:rsid w:val="00EE70E9"/>
    <w:rsid w:val="00EE71F5"/>
    <w:rsid w:val="00EE72FB"/>
    <w:rsid w:val="00EE7366"/>
    <w:rsid w:val="00EE737B"/>
    <w:rsid w:val="00EE74A4"/>
    <w:rsid w:val="00EE74D1"/>
    <w:rsid w:val="00EE7543"/>
    <w:rsid w:val="00EE76E5"/>
    <w:rsid w:val="00EE7702"/>
    <w:rsid w:val="00EE7739"/>
    <w:rsid w:val="00EE773D"/>
    <w:rsid w:val="00EE7760"/>
    <w:rsid w:val="00EE77DC"/>
    <w:rsid w:val="00EE7843"/>
    <w:rsid w:val="00EE78C1"/>
    <w:rsid w:val="00EE79E9"/>
    <w:rsid w:val="00EE7C29"/>
    <w:rsid w:val="00EE7CBC"/>
    <w:rsid w:val="00EE7D32"/>
    <w:rsid w:val="00EE7D85"/>
    <w:rsid w:val="00EE7E30"/>
    <w:rsid w:val="00EE7E8F"/>
    <w:rsid w:val="00EE7FC9"/>
    <w:rsid w:val="00EF0077"/>
    <w:rsid w:val="00EF00AA"/>
    <w:rsid w:val="00EF00AD"/>
    <w:rsid w:val="00EF00B4"/>
    <w:rsid w:val="00EF01A0"/>
    <w:rsid w:val="00EF01F4"/>
    <w:rsid w:val="00EF0208"/>
    <w:rsid w:val="00EF024B"/>
    <w:rsid w:val="00EF031B"/>
    <w:rsid w:val="00EF0356"/>
    <w:rsid w:val="00EF0379"/>
    <w:rsid w:val="00EF040E"/>
    <w:rsid w:val="00EF063F"/>
    <w:rsid w:val="00EF0641"/>
    <w:rsid w:val="00EF0716"/>
    <w:rsid w:val="00EF0722"/>
    <w:rsid w:val="00EF0725"/>
    <w:rsid w:val="00EF078F"/>
    <w:rsid w:val="00EF07E7"/>
    <w:rsid w:val="00EF080B"/>
    <w:rsid w:val="00EF09E8"/>
    <w:rsid w:val="00EF0B41"/>
    <w:rsid w:val="00EF0B6D"/>
    <w:rsid w:val="00EF0C08"/>
    <w:rsid w:val="00EF0D3D"/>
    <w:rsid w:val="00EF0EAC"/>
    <w:rsid w:val="00EF0EF4"/>
    <w:rsid w:val="00EF0F17"/>
    <w:rsid w:val="00EF10A8"/>
    <w:rsid w:val="00EF10F8"/>
    <w:rsid w:val="00EF1201"/>
    <w:rsid w:val="00EF12D1"/>
    <w:rsid w:val="00EF15E3"/>
    <w:rsid w:val="00EF16D4"/>
    <w:rsid w:val="00EF170C"/>
    <w:rsid w:val="00EF1739"/>
    <w:rsid w:val="00EF177D"/>
    <w:rsid w:val="00EF17FF"/>
    <w:rsid w:val="00EF1BE8"/>
    <w:rsid w:val="00EF1C3A"/>
    <w:rsid w:val="00EF1CD1"/>
    <w:rsid w:val="00EF1D75"/>
    <w:rsid w:val="00EF1E78"/>
    <w:rsid w:val="00EF1E99"/>
    <w:rsid w:val="00EF1FD0"/>
    <w:rsid w:val="00EF26EC"/>
    <w:rsid w:val="00EF26F9"/>
    <w:rsid w:val="00EF2712"/>
    <w:rsid w:val="00EF296B"/>
    <w:rsid w:val="00EF297A"/>
    <w:rsid w:val="00EF29AF"/>
    <w:rsid w:val="00EF2BC1"/>
    <w:rsid w:val="00EF2C25"/>
    <w:rsid w:val="00EF2CA2"/>
    <w:rsid w:val="00EF2CCF"/>
    <w:rsid w:val="00EF2DCA"/>
    <w:rsid w:val="00EF2DFC"/>
    <w:rsid w:val="00EF2E81"/>
    <w:rsid w:val="00EF2FD5"/>
    <w:rsid w:val="00EF3032"/>
    <w:rsid w:val="00EF3174"/>
    <w:rsid w:val="00EF3192"/>
    <w:rsid w:val="00EF31C1"/>
    <w:rsid w:val="00EF3206"/>
    <w:rsid w:val="00EF3243"/>
    <w:rsid w:val="00EF3316"/>
    <w:rsid w:val="00EF3423"/>
    <w:rsid w:val="00EF34FA"/>
    <w:rsid w:val="00EF3529"/>
    <w:rsid w:val="00EF3591"/>
    <w:rsid w:val="00EF362F"/>
    <w:rsid w:val="00EF365F"/>
    <w:rsid w:val="00EF372B"/>
    <w:rsid w:val="00EF37A0"/>
    <w:rsid w:val="00EF37FA"/>
    <w:rsid w:val="00EF395E"/>
    <w:rsid w:val="00EF3B03"/>
    <w:rsid w:val="00EF3B47"/>
    <w:rsid w:val="00EF3BA9"/>
    <w:rsid w:val="00EF3BBF"/>
    <w:rsid w:val="00EF3C1D"/>
    <w:rsid w:val="00EF3D82"/>
    <w:rsid w:val="00EF3F25"/>
    <w:rsid w:val="00EF3FEA"/>
    <w:rsid w:val="00EF3FF7"/>
    <w:rsid w:val="00EF403A"/>
    <w:rsid w:val="00EF408D"/>
    <w:rsid w:val="00EF4094"/>
    <w:rsid w:val="00EF40BE"/>
    <w:rsid w:val="00EF4144"/>
    <w:rsid w:val="00EF41DD"/>
    <w:rsid w:val="00EF42B9"/>
    <w:rsid w:val="00EF42F0"/>
    <w:rsid w:val="00EF42F4"/>
    <w:rsid w:val="00EF432E"/>
    <w:rsid w:val="00EF43B5"/>
    <w:rsid w:val="00EF470D"/>
    <w:rsid w:val="00EF48B3"/>
    <w:rsid w:val="00EF48BC"/>
    <w:rsid w:val="00EF4BDC"/>
    <w:rsid w:val="00EF4C57"/>
    <w:rsid w:val="00EF4E4B"/>
    <w:rsid w:val="00EF4E79"/>
    <w:rsid w:val="00EF4EA5"/>
    <w:rsid w:val="00EF4F51"/>
    <w:rsid w:val="00EF4F84"/>
    <w:rsid w:val="00EF508E"/>
    <w:rsid w:val="00EF50D8"/>
    <w:rsid w:val="00EF51DE"/>
    <w:rsid w:val="00EF5334"/>
    <w:rsid w:val="00EF5386"/>
    <w:rsid w:val="00EF5397"/>
    <w:rsid w:val="00EF5723"/>
    <w:rsid w:val="00EF5773"/>
    <w:rsid w:val="00EF5822"/>
    <w:rsid w:val="00EF590A"/>
    <w:rsid w:val="00EF5A23"/>
    <w:rsid w:val="00EF5A76"/>
    <w:rsid w:val="00EF5BD3"/>
    <w:rsid w:val="00EF5D88"/>
    <w:rsid w:val="00EF5E43"/>
    <w:rsid w:val="00EF5E5A"/>
    <w:rsid w:val="00EF5F59"/>
    <w:rsid w:val="00EF5FAB"/>
    <w:rsid w:val="00EF5FC5"/>
    <w:rsid w:val="00EF6025"/>
    <w:rsid w:val="00EF6072"/>
    <w:rsid w:val="00EF60B6"/>
    <w:rsid w:val="00EF616F"/>
    <w:rsid w:val="00EF6222"/>
    <w:rsid w:val="00EF62CF"/>
    <w:rsid w:val="00EF63C0"/>
    <w:rsid w:val="00EF6424"/>
    <w:rsid w:val="00EF642E"/>
    <w:rsid w:val="00EF6627"/>
    <w:rsid w:val="00EF6798"/>
    <w:rsid w:val="00EF682D"/>
    <w:rsid w:val="00EF6848"/>
    <w:rsid w:val="00EF6913"/>
    <w:rsid w:val="00EF6AED"/>
    <w:rsid w:val="00EF6BD6"/>
    <w:rsid w:val="00EF6C20"/>
    <w:rsid w:val="00EF6CA0"/>
    <w:rsid w:val="00EF6D97"/>
    <w:rsid w:val="00EF6EBA"/>
    <w:rsid w:val="00EF6ECF"/>
    <w:rsid w:val="00EF7023"/>
    <w:rsid w:val="00EF7184"/>
    <w:rsid w:val="00EF7250"/>
    <w:rsid w:val="00EF7266"/>
    <w:rsid w:val="00EF745D"/>
    <w:rsid w:val="00EF74D0"/>
    <w:rsid w:val="00EF7534"/>
    <w:rsid w:val="00EF7613"/>
    <w:rsid w:val="00EF7648"/>
    <w:rsid w:val="00EF7725"/>
    <w:rsid w:val="00EF77FD"/>
    <w:rsid w:val="00EF7854"/>
    <w:rsid w:val="00EF78AE"/>
    <w:rsid w:val="00EF78F3"/>
    <w:rsid w:val="00EF79E6"/>
    <w:rsid w:val="00EF7A9A"/>
    <w:rsid w:val="00EF7B64"/>
    <w:rsid w:val="00EF7B80"/>
    <w:rsid w:val="00EF7B9B"/>
    <w:rsid w:val="00EF7BA0"/>
    <w:rsid w:val="00EF7DF6"/>
    <w:rsid w:val="00EF7E02"/>
    <w:rsid w:val="00EF7E21"/>
    <w:rsid w:val="00EF7E47"/>
    <w:rsid w:val="00F00000"/>
    <w:rsid w:val="00F00083"/>
    <w:rsid w:val="00F001DA"/>
    <w:rsid w:val="00F001E9"/>
    <w:rsid w:val="00F00319"/>
    <w:rsid w:val="00F00535"/>
    <w:rsid w:val="00F0064A"/>
    <w:rsid w:val="00F00657"/>
    <w:rsid w:val="00F00837"/>
    <w:rsid w:val="00F00B3B"/>
    <w:rsid w:val="00F00B73"/>
    <w:rsid w:val="00F00D69"/>
    <w:rsid w:val="00F00F03"/>
    <w:rsid w:val="00F00F2D"/>
    <w:rsid w:val="00F00FF8"/>
    <w:rsid w:val="00F01036"/>
    <w:rsid w:val="00F0109D"/>
    <w:rsid w:val="00F0118F"/>
    <w:rsid w:val="00F011A0"/>
    <w:rsid w:val="00F011D6"/>
    <w:rsid w:val="00F01228"/>
    <w:rsid w:val="00F0131D"/>
    <w:rsid w:val="00F0137E"/>
    <w:rsid w:val="00F01428"/>
    <w:rsid w:val="00F015EE"/>
    <w:rsid w:val="00F015F8"/>
    <w:rsid w:val="00F0166C"/>
    <w:rsid w:val="00F0169D"/>
    <w:rsid w:val="00F016B2"/>
    <w:rsid w:val="00F0171C"/>
    <w:rsid w:val="00F017AF"/>
    <w:rsid w:val="00F017C0"/>
    <w:rsid w:val="00F017D4"/>
    <w:rsid w:val="00F01861"/>
    <w:rsid w:val="00F0187C"/>
    <w:rsid w:val="00F0189F"/>
    <w:rsid w:val="00F018C7"/>
    <w:rsid w:val="00F01C78"/>
    <w:rsid w:val="00F01DC4"/>
    <w:rsid w:val="00F01DC8"/>
    <w:rsid w:val="00F01E34"/>
    <w:rsid w:val="00F01E5E"/>
    <w:rsid w:val="00F01F96"/>
    <w:rsid w:val="00F02099"/>
    <w:rsid w:val="00F0209C"/>
    <w:rsid w:val="00F021B9"/>
    <w:rsid w:val="00F021FB"/>
    <w:rsid w:val="00F022B2"/>
    <w:rsid w:val="00F0245F"/>
    <w:rsid w:val="00F02477"/>
    <w:rsid w:val="00F024CC"/>
    <w:rsid w:val="00F02649"/>
    <w:rsid w:val="00F02687"/>
    <w:rsid w:val="00F02706"/>
    <w:rsid w:val="00F0275A"/>
    <w:rsid w:val="00F0287B"/>
    <w:rsid w:val="00F029A1"/>
    <w:rsid w:val="00F02A5D"/>
    <w:rsid w:val="00F02BA4"/>
    <w:rsid w:val="00F02C8E"/>
    <w:rsid w:val="00F02D35"/>
    <w:rsid w:val="00F02D84"/>
    <w:rsid w:val="00F02F40"/>
    <w:rsid w:val="00F02FAB"/>
    <w:rsid w:val="00F030BC"/>
    <w:rsid w:val="00F0310B"/>
    <w:rsid w:val="00F0321F"/>
    <w:rsid w:val="00F0326B"/>
    <w:rsid w:val="00F03270"/>
    <w:rsid w:val="00F0337D"/>
    <w:rsid w:val="00F03563"/>
    <w:rsid w:val="00F036F0"/>
    <w:rsid w:val="00F03713"/>
    <w:rsid w:val="00F037DC"/>
    <w:rsid w:val="00F037ED"/>
    <w:rsid w:val="00F0384E"/>
    <w:rsid w:val="00F038CF"/>
    <w:rsid w:val="00F03A88"/>
    <w:rsid w:val="00F03AD8"/>
    <w:rsid w:val="00F03B1E"/>
    <w:rsid w:val="00F03BCA"/>
    <w:rsid w:val="00F03C8F"/>
    <w:rsid w:val="00F03CFE"/>
    <w:rsid w:val="00F03EAB"/>
    <w:rsid w:val="00F03F4E"/>
    <w:rsid w:val="00F0403B"/>
    <w:rsid w:val="00F04074"/>
    <w:rsid w:val="00F040CF"/>
    <w:rsid w:val="00F0416E"/>
    <w:rsid w:val="00F04292"/>
    <w:rsid w:val="00F042AF"/>
    <w:rsid w:val="00F0434E"/>
    <w:rsid w:val="00F04421"/>
    <w:rsid w:val="00F04451"/>
    <w:rsid w:val="00F04539"/>
    <w:rsid w:val="00F045AB"/>
    <w:rsid w:val="00F045F3"/>
    <w:rsid w:val="00F0461E"/>
    <w:rsid w:val="00F04809"/>
    <w:rsid w:val="00F048E0"/>
    <w:rsid w:val="00F0495F"/>
    <w:rsid w:val="00F0496B"/>
    <w:rsid w:val="00F04B5F"/>
    <w:rsid w:val="00F04B6F"/>
    <w:rsid w:val="00F04B76"/>
    <w:rsid w:val="00F04C22"/>
    <w:rsid w:val="00F04C82"/>
    <w:rsid w:val="00F04D8E"/>
    <w:rsid w:val="00F04F87"/>
    <w:rsid w:val="00F04FB1"/>
    <w:rsid w:val="00F04FD7"/>
    <w:rsid w:val="00F05007"/>
    <w:rsid w:val="00F0501B"/>
    <w:rsid w:val="00F050BA"/>
    <w:rsid w:val="00F0511F"/>
    <w:rsid w:val="00F051C9"/>
    <w:rsid w:val="00F0523F"/>
    <w:rsid w:val="00F0535A"/>
    <w:rsid w:val="00F053A4"/>
    <w:rsid w:val="00F053DF"/>
    <w:rsid w:val="00F05414"/>
    <w:rsid w:val="00F05459"/>
    <w:rsid w:val="00F054F4"/>
    <w:rsid w:val="00F05616"/>
    <w:rsid w:val="00F0561F"/>
    <w:rsid w:val="00F0565E"/>
    <w:rsid w:val="00F05786"/>
    <w:rsid w:val="00F05868"/>
    <w:rsid w:val="00F05934"/>
    <w:rsid w:val="00F05997"/>
    <w:rsid w:val="00F05A33"/>
    <w:rsid w:val="00F05B1B"/>
    <w:rsid w:val="00F05B93"/>
    <w:rsid w:val="00F05B95"/>
    <w:rsid w:val="00F05CA6"/>
    <w:rsid w:val="00F05ED2"/>
    <w:rsid w:val="00F05FD4"/>
    <w:rsid w:val="00F06094"/>
    <w:rsid w:val="00F06162"/>
    <w:rsid w:val="00F06260"/>
    <w:rsid w:val="00F0627B"/>
    <w:rsid w:val="00F063D2"/>
    <w:rsid w:val="00F06435"/>
    <w:rsid w:val="00F0643F"/>
    <w:rsid w:val="00F06441"/>
    <w:rsid w:val="00F06445"/>
    <w:rsid w:val="00F06553"/>
    <w:rsid w:val="00F067E9"/>
    <w:rsid w:val="00F0685C"/>
    <w:rsid w:val="00F068B6"/>
    <w:rsid w:val="00F06971"/>
    <w:rsid w:val="00F069D0"/>
    <w:rsid w:val="00F06A12"/>
    <w:rsid w:val="00F06C2D"/>
    <w:rsid w:val="00F06C4B"/>
    <w:rsid w:val="00F06CB7"/>
    <w:rsid w:val="00F06CCE"/>
    <w:rsid w:val="00F06D17"/>
    <w:rsid w:val="00F06DD0"/>
    <w:rsid w:val="00F06DEC"/>
    <w:rsid w:val="00F06E24"/>
    <w:rsid w:val="00F06E3F"/>
    <w:rsid w:val="00F06EE0"/>
    <w:rsid w:val="00F06EFB"/>
    <w:rsid w:val="00F07018"/>
    <w:rsid w:val="00F07087"/>
    <w:rsid w:val="00F072F4"/>
    <w:rsid w:val="00F074C2"/>
    <w:rsid w:val="00F0763E"/>
    <w:rsid w:val="00F07796"/>
    <w:rsid w:val="00F077CD"/>
    <w:rsid w:val="00F077DF"/>
    <w:rsid w:val="00F0792D"/>
    <w:rsid w:val="00F0795F"/>
    <w:rsid w:val="00F07A23"/>
    <w:rsid w:val="00F07AB9"/>
    <w:rsid w:val="00F07C95"/>
    <w:rsid w:val="00F07C96"/>
    <w:rsid w:val="00F07CBC"/>
    <w:rsid w:val="00F07D51"/>
    <w:rsid w:val="00F07F1D"/>
    <w:rsid w:val="00F07FA6"/>
    <w:rsid w:val="00F07FD2"/>
    <w:rsid w:val="00F07FEC"/>
    <w:rsid w:val="00F1002B"/>
    <w:rsid w:val="00F10204"/>
    <w:rsid w:val="00F1036F"/>
    <w:rsid w:val="00F103B0"/>
    <w:rsid w:val="00F104C2"/>
    <w:rsid w:val="00F104F6"/>
    <w:rsid w:val="00F10597"/>
    <w:rsid w:val="00F10718"/>
    <w:rsid w:val="00F10831"/>
    <w:rsid w:val="00F1092C"/>
    <w:rsid w:val="00F10B13"/>
    <w:rsid w:val="00F10BE4"/>
    <w:rsid w:val="00F10CA5"/>
    <w:rsid w:val="00F10E43"/>
    <w:rsid w:val="00F10ED1"/>
    <w:rsid w:val="00F10EE9"/>
    <w:rsid w:val="00F10FCC"/>
    <w:rsid w:val="00F1107D"/>
    <w:rsid w:val="00F110BE"/>
    <w:rsid w:val="00F1122B"/>
    <w:rsid w:val="00F112F8"/>
    <w:rsid w:val="00F113B3"/>
    <w:rsid w:val="00F11448"/>
    <w:rsid w:val="00F114A8"/>
    <w:rsid w:val="00F1150E"/>
    <w:rsid w:val="00F11651"/>
    <w:rsid w:val="00F1166C"/>
    <w:rsid w:val="00F1169A"/>
    <w:rsid w:val="00F116BE"/>
    <w:rsid w:val="00F117CD"/>
    <w:rsid w:val="00F1186E"/>
    <w:rsid w:val="00F11907"/>
    <w:rsid w:val="00F11962"/>
    <w:rsid w:val="00F119D4"/>
    <w:rsid w:val="00F11A8A"/>
    <w:rsid w:val="00F11AA7"/>
    <w:rsid w:val="00F11AB4"/>
    <w:rsid w:val="00F11C6B"/>
    <w:rsid w:val="00F11CED"/>
    <w:rsid w:val="00F11E19"/>
    <w:rsid w:val="00F11E6A"/>
    <w:rsid w:val="00F11E71"/>
    <w:rsid w:val="00F11FDB"/>
    <w:rsid w:val="00F1204A"/>
    <w:rsid w:val="00F120E9"/>
    <w:rsid w:val="00F121BA"/>
    <w:rsid w:val="00F122D2"/>
    <w:rsid w:val="00F12316"/>
    <w:rsid w:val="00F123C6"/>
    <w:rsid w:val="00F1242E"/>
    <w:rsid w:val="00F125FC"/>
    <w:rsid w:val="00F12673"/>
    <w:rsid w:val="00F126B5"/>
    <w:rsid w:val="00F126FD"/>
    <w:rsid w:val="00F12783"/>
    <w:rsid w:val="00F12940"/>
    <w:rsid w:val="00F129BE"/>
    <w:rsid w:val="00F12A1B"/>
    <w:rsid w:val="00F12B89"/>
    <w:rsid w:val="00F12C40"/>
    <w:rsid w:val="00F12D03"/>
    <w:rsid w:val="00F12DB9"/>
    <w:rsid w:val="00F12DD3"/>
    <w:rsid w:val="00F12ECB"/>
    <w:rsid w:val="00F12FE9"/>
    <w:rsid w:val="00F13016"/>
    <w:rsid w:val="00F13029"/>
    <w:rsid w:val="00F131AB"/>
    <w:rsid w:val="00F136A9"/>
    <w:rsid w:val="00F13872"/>
    <w:rsid w:val="00F138DD"/>
    <w:rsid w:val="00F1393D"/>
    <w:rsid w:val="00F1395A"/>
    <w:rsid w:val="00F13C18"/>
    <w:rsid w:val="00F13C6A"/>
    <w:rsid w:val="00F13C76"/>
    <w:rsid w:val="00F13DDE"/>
    <w:rsid w:val="00F13E75"/>
    <w:rsid w:val="00F13EB2"/>
    <w:rsid w:val="00F14075"/>
    <w:rsid w:val="00F140DF"/>
    <w:rsid w:val="00F1412C"/>
    <w:rsid w:val="00F1414E"/>
    <w:rsid w:val="00F141C7"/>
    <w:rsid w:val="00F141E6"/>
    <w:rsid w:val="00F1426D"/>
    <w:rsid w:val="00F143FF"/>
    <w:rsid w:val="00F144A5"/>
    <w:rsid w:val="00F14583"/>
    <w:rsid w:val="00F145C3"/>
    <w:rsid w:val="00F14628"/>
    <w:rsid w:val="00F14654"/>
    <w:rsid w:val="00F146AD"/>
    <w:rsid w:val="00F146FF"/>
    <w:rsid w:val="00F14713"/>
    <w:rsid w:val="00F14767"/>
    <w:rsid w:val="00F1476D"/>
    <w:rsid w:val="00F14829"/>
    <w:rsid w:val="00F1490D"/>
    <w:rsid w:val="00F14A58"/>
    <w:rsid w:val="00F14AE7"/>
    <w:rsid w:val="00F14B1C"/>
    <w:rsid w:val="00F15034"/>
    <w:rsid w:val="00F151A3"/>
    <w:rsid w:val="00F151A8"/>
    <w:rsid w:val="00F152F9"/>
    <w:rsid w:val="00F152FC"/>
    <w:rsid w:val="00F1541C"/>
    <w:rsid w:val="00F15486"/>
    <w:rsid w:val="00F1548D"/>
    <w:rsid w:val="00F15492"/>
    <w:rsid w:val="00F154AA"/>
    <w:rsid w:val="00F154E0"/>
    <w:rsid w:val="00F1558A"/>
    <w:rsid w:val="00F15650"/>
    <w:rsid w:val="00F157CD"/>
    <w:rsid w:val="00F1585C"/>
    <w:rsid w:val="00F158E2"/>
    <w:rsid w:val="00F15974"/>
    <w:rsid w:val="00F15A6E"/>
    <w:rsid w:val="00F15A87"/>
    <w:rsid w:val="00F15D84"/>
    <w:rsid w:val="00F15DD2"/>
    <w:rsid w:val="00F15DE3"/>
    <w:rsid w:val="00F15F3E"/>
    <w:rsid w:val="00F15FA1"/>
    <w:rsid w:val="00F162BD"/>
    <w:rsid w:val="00F162C3"/>
    <w:rsid w:val="00F1631C"/>
    <w:rsid w:val="00F16343"/>
    <w:rsid w:val="00F1636F"/>
    <w:rsid w:val="00F163E0"/>
    <w:rsid w:val="00F16628"/>
    <w:rsid w:val="00F167D5"/>
    <w:rsid w:val="00F168A6"/>
    <w:rsid w:val="00F16A2A"/>
    <w:rsid w:val="00F16A91"/>
    <w:rsid w:val="00F16B02"/>
    <w:rsid w:val="00F16CC9"/>
    <w:rsid w:val="00F16D9E"/>
    <w:rsid w:val="00F16E5C"/>
    <w:rsid w:val="00F16E65"/>
    <w:rsid w:val="00F16EA2"/>
    <w:rsid w:val="00F16F1D"/>
    <w:rsid w:val="00F1707B"/>
    <w:rsid w:val="00F170A1"/>
    <w:rsid w:val="00F17260"/>
    <w:rsid w:val="00F1733C"/>
    <w:rsid w:val="00F1739A"/>
    <w:rsid w:val="00F173A6"/>
    <w:rsid w:val="00F17482"/>
    <w:rsid w:val="00F174DD"/>
    <w:rsid w:val="00F174E9"/>
    <w:rsid w:val="00F17518"/>
    <w:rsid w:val="00F17543"/>
    <w:rsid w:val="00F1786B"/>
    <w:rsid w:val="00F178CB"/>
    <w:rsid w:val="00F17999"/>
    <w:rsid w:val="00F17A66"/>
    <w:rsid w:val="00F17AFF"/>
    <w:rsid w:val="00F17C65"/>
    <w:rsid w:val="00F17E09"/>
    <w:rsid w:val="00F17EEB"/>
    <w:rsid w:val="00F17F12"/>
    <w:rsid w:val="00F17F9D"/>
    <w:rsid w:val="00F20111"/>
    <w:rsid w:val="00F2013E"/>
    <w:rsid w:val="00F201D5"/>
    <w:rsid w:val="00F204D4"/>
    <w:rsid w:val="00F204D7"/>
    <w:rsid w:val="00F2059D"/>
    <w:rsid w:val="00F206AC"/>
    <w:rsid w:val="00F2079C"/>
    <w:rsid w:val="00F207BF"/>
    <w:rsid w:val="00F208B5"/>
    <w:rsid w:val="00F2093B"/>
    <w:rsid w:val="00F20AC4"/>
    <w:rsid w:val="00F20DA3"/>
    <w:rsid w:val="00F20DBD"/>
    <w:rsid w:val="00F20E06"/>
    <w:rsid w:val="00F20E34"/>
    <w:rsid w:val="00F20FD9"/>
    <w:rsid w:val="00F20FFC"/>
    <w:rsid w:val="00F210FE"/>
    <w:rsid w:val="00F211B3"/>
    <w:rsid w:val="00F211CE"/>
    <w:rsid w:val="00F211DD"/>
    <w:rsid w:val="00F2121A"/>
    <w:rsid w:val="00F21243"/>
    <w:rsid w:val="00F2125D"/>
    <w:rsid w:val="00F21333"/>
    <w:rsid w:val="00F2133D"/>
    <w:rsid w:val="00F2135B"/>
    <w:rsid w:val="00F21435"/>
    <w:rsid w:val="00F2159F"/>
    <w:rsid w:val="00F216F5"/>
    <w:rsid w:val="00F2184E"/>
    <w:rsid w:val="00F218C1"/>
    <w:rsid w:val="00F219D7"/>
    <w:rsid w:val="00F21A68"/>
    <w:rsid w:val="00F21FBB"/>
    <w:rsid w:val="00F2202A"/>
    <w:rsid w:val="00F2202B"/>
    <w:rsid w:val="00F220A3"/>
    <w:rsid w:val="00F221B4"/>
    <w:rsid w:val="00F2229B"/>
    <w:rsid w:val="00F22489"/>
    <w:rsid w:val="00F224A0"/>
    <w:rsid w:val="00F224BC"/>
    <w:rsid w:val="00F22587"/>
    <w:rsid w:val="00F2258A"/>
    <w:rsid w:val="00F22623"/>
    <w:rsid w:val="00F22681"/>
    <w:rsid w:val="00F22683"/>
    <w:rsid w:val="00F2269F"/>
    <w:rsid w:val="00F226F6"/>
    <w:rsid w:val="00F2283C"/>
    <w:rsid w:val="00F22925"/>
    <w:rsid w:val="00F22B02"/>
    <w:rsid w:val="00F22BA7"/>
    <w:rsid w:val="00F22C5D"/>
    <w:rsid w:val="00F22C76"/>
    <w:rsid w:val="00F22E5B"/>
    <w:rsid w:val="00F23168"/>
    <w:rsid w:val="00F23176"/>
    <w:rsid w:val="00F23192"/>
    <w:rsid w:val="00F231F9"/>
    <w:rsid w:val="00F2332E"/>
    <w:rsid w:val="00F233FF"/>
    <w:rsid w:val="00F234A8"/>
    <w:rsid w:val="00F234E1"/>
    <w:rsid w:val="00F23540"/>
    <w:rsid w:val="00F23596"/>
    <w:rsid w:val="00F2360A"/>
    <w:rsid w:val="00F237A8"/>
    <w:rsid w:val="00F2390A"/>
    <w:rsid w:val="00F2396A"/>
    <w:rsid w:val="00F239BB"/>
    <w:rsid w:val="00F23A57"/>
    <w:rsid w:val="00F23A85"/>
    <w:rsid w:val="00F23B52"/>
    <w:rsid w:val="00F23B7D"/>
    <w:rsid w:val="00F23C30"/>
    <w:rsid w:val="00F23E83"/>
    <w:rsid w:val="00F23EFD"/>
    <w:rsid w:val="00F23F1B"/>
    <w:rsid w:val="00F24061"/>
    <w:rsid w:val="00F2427C"/>
    <w:rsid w:val="00F24297"/>
    <w:rsid w:val="00F245FF"/>
    <w:rsid w:val="00F24642"/>
    <w:rsid w:val="00F24678"/>
    <w:rsid w:val="00F246C5"/>
    <w:rsid w:val="00F24825"/>
    <w:rsid w:val="00F24840"/>
    <w:rsid w:val="00F24872"/>
    <w:rsid w:val="00F24A52"/>
    <w:rsid w:val="00F24A81"/>
    <w:rsid w:val="00F24B37"/>
    <w:rsid w:val="00F24C5A"/>
    <w:rsid w:val="00F24CAA"/>
    <w:rsid w:val="00F24EF3"/>
    <w:rsid w:val="00F250FF"/>
    <w:rsid w:val="00F2519D"/>
    <w:rsid w:val="00F251E3"/>
    <w:rsid w:val="00F25257"/>
    <w:rsid w:val="00F252ED"/>
    <w:rsid w:val="00F2530E"/>
    <w:rsid w:val="00F25482"/>
    <w:rsid w:val="00F25682"/>
    <w:rsid w:val="00F256CC"/>
    <w:rsid w:val="00F257D0"/>
    <w:rsid w:val="00F2581D"/>
    <w:rsid w:val="00F2583C"/>
    <w:rsid w:val="00F25AA4"/>
    <w:rsid w:val="00F25B7D"/>
    <w:rsid w:val="00F25D77"/>
    <w:rsid w:val="00F25ED0"/>
    <w:rsid w:val="00F26007"/>
    <w:rsid w:val="00F261A7"/>
    <w:rsid w:val="00F26286"/>
    <w:rsid w:val="00F26291"/>
    <w:rsid w:val="00F2641C"/>
    <w:rsid w:val="00F264AA"/>
    <w:rsid w:val="00F264FE"/>
    <w:rsid w:val="00F2654A"/>
    <w:rsid w:val="00F265B7"/>
    <w:rsid w:val="00F26659"/>
    <w:rsid w:val="00F266A9"/>
    <w:rsid w:val="00F266BC"/>
    <w:rsid w:val="00F267D8"/>
    <w:rsid w:val="00F2686D"/>
    <w:rsid w:val="00F2694B"/>
    <w:rsid w:val="00F269DB"/>
    <w:rsid w:val="00F26B35"/>
    <w:rsid w:val="00F26D26"/>
    <w:rsid w:val="00F26D34"/>
    <w:rsid w:val="00F26D3E"/>
    <w:rsid w:val="00F26E42"/>
    <w:rsid w:val="00F26F1E"/>
    <w:rsid w:val="00F270AB"/>
    <w:rsid w:val="00F271A4"/>
    <w:rsid w:val="00F27231"/>
    <w:rsid w:val="00F2731B"/>
    <w:rsid w:val="00F273A4"/>
    <w:rsid w:val="00F27687"/>
    <w:rsid w:val="00F27913"/>
    <w:rsid w:val="00F279DC"/>
    <w:rsid w:val="00F27A24"/>
    <w:rsid w:val="00F27A29"/>
    <w:rsid w:val="00F27A41"/>
    <w:rsid w:val="00F27A48"/>
    <w:rsid w:val="00F27A7C"/>
    <w:rsid w:val="00F27ABF"/>
    <w:rsid w:val="00F27BB6"/>
    <w:rsid w:val="00F27BD8"/>
    <w:rsid w:val="00F27C12"/>
    <w:rsid w:val="00F27C82"/>
    <w:rsid w:val="00F27E00"/>
    <w:rsid w:val="00F27E12"/>
    <w:rsid w:val="00F27F9F"/>
    <w:rsid w:val="00F30152"/>
    <w:rsid w:val="00F301AF"/>
    <w:rsid w:val="00F301B7"/>
    <w:rsid w:val="00F301E2"/>
    <w:rsid w:val="00F30276"/>
    <w:rsid w:val="00F3030B"/>
    <w:rsid w:val="00F3038E"/>
    <w:rsid w:val="00F30492"/>
    <w:rsid w:val="00F304F8"/>
    <w:rsid w:val="00F30514"/>
    <w:rsid w:val="00F30516"/>
    <w:rsid w:val="00F3058B"/>
    <w:rsid w:val="00F305E1"/>
    <w:rsid w:val="00F306D8"/>
    <w:rsid w:val="00F30731"/>
    <w:rsid w:val="00F3073D"/>
    <w:rsid w:val="00F30753"/>
    <w:rsid w:val="00F3081D"/>
    <w:rsid w:val="00F308DE"/>
    <w:rsid w:val="00F30904"/>
    <w:rsid w:val="00F3091F"/>
    <w:rsid w:val="00F3094D"/>
    <w:rsid w:val="00F309EF"/>
    <w:rsid w:val="00F30AB8"/>
    <w:rsid w:val="00F30AF2"/>
    <w:rsid w:val="00F30B39"/>
    <w:rsid w:val="00F30C48"/>
    <w:rsid w:val="00F30D03"/>
    <w:rsid w:val="00F30D05"/>
    <w:rsid w:val="00F30E24"/>
    <w:rsid w:val="00F30EDE"/>
    <w:rsid w:val="00F310C3"/>
    <w:rsid w:val="00F310FD"/>
    <w:rsid w:val="00F3117A"/>
    <w:rsid w:val="00F314D1"/>
    <w:rsid w:val="00F314E9"/>
    <w:rsid w:val="00F31686"/>
    <w:rsid w:val="00F31899"/>
    <w:rsid w:val="00F31D45"/>
    <w:rsid w:val="00F31EDF"/>
    <w:rsid w:val="00F31F19"/>
    <w:rsid w:val="00F31F37"/>
    <w:rsid w:val="00F31F8D"/>
    <w:rsid w:val="00F32038"/>
    <w:rsid w:val="00F32112"/>
    <w:rsid w:val="00F32225"/>
    <w:rsid w:val="00F3226A"/>
    <w:rsid w:val="00F32392"/>
    <w:rsid w:val="00F32480"/>
    <w:rsid w:val="00F32639"/>
    <w:rsid w:val="00F3264F"/>
    <w:rsid w:val="00F32762"/>
    <w:rsid w:val="00F327DE"/>
    <w:rsid w:val="00F328A7"/>
    <w:rsid w:val="00F329D6"/>
    <w:rsid w:val="00F32B18"/>
    <w:rsid w:val="00F32B60"/>
    <w:rsid w:val="00F32B72"/>
    <w:rsid w:val="00F32BED"/>
    <w:rsid w:val="00F32C76"/>
    <w:rsid w:val="00F32CE0"/>
    <w:rsid w:val="00F330D1"/>
    <w:rsid w:val="00F33250"/>
    <w:rsid w:val="00F334E6"/>
    <w:rsid w:val="00F335B5"/>
    <w:rsid w:val="00F336B6"/>
    <w:rsid w:val="00F3387A"/>
    <w:rsid w:val="00F338FF"/>
    <w:rsid w:val="00F33977"/>
    <w:rsid w:val="00F33C20"/>
    <w:rsid w:val="00F33DE6"/>
    <w:rsid w:val="00F33FAD"/>
    <w:rsid w:val="00F340D1"/>
    <w:rsid w:val="00F3426B"/>
    <w:rsid w:val="00F3427D"/>
    <w:rsid w:val="00F34339"/>
    <w:rsid w:val="00F34429"/>
    <w:rsid w:val="00F34460"/>
    <w:rsid w:val="00F3446B"/>
    <w:rsid w:val="00F34523"/>
    <w:rsid w:val="00F34695"/>
    <w:rsid w:val="00F34700"/>
    <w:rsid w:val="00F3474C"/>
    <w:rsid w:val="00F347DE"/>
    <w:rsid w:val="00F34A57"/>
    <w:rsid w:val="00F34ACB"/>
    <w:rsid w:val="00F34D5C"/>
    <w:rsid w:val="00F34D63"/>
    <w:rsid w:val="00F34E6F"/>
    <w:rsid w:val="00F34F3D"/>
    <w:rsid w:val="00F34F78"/>
    <w:rsid w:val="00F3505D"/>
    <w:rsid w:val="00F350AB"/>
    <w:rsid w:val="00F350B5"/>
    <w:rsid w:val="00F350DC"/>
    <w:rsid w:val="00F3518C"/>
    <w:rsid w:val="00F351EC"/>
    <w:rsid w:val="00F35289"/>
    <w:rsid w:val="00F35295"/>
    <w:rsid w:val="00F35337"/>
    <w:rsid w:val="00F354A2"/>
    <w:rsid w:val="00F35581"/>
    <w:rsid w:val="00F3559E"/>
    <w:rsid w:val="00F356CF"/>
    <w:rsid w:val="00F3578B"/>
    <w:rsid w:val="00F357C3"/>
    <w:rsid w:val="00F357DD"/>
    <w:rsid w:val="00F357F8"/>
    <w:rsid w:val="00F35816"/>
    <w:rsid w:val="00F358B3"/>
    <w:rsid w:val="00F358C6"/>
    <w:rsid w:val="00F35991"/>
    <w:rsid w:val="00F359F2"/>
    <w:rsid w:val="00F35ABB"/>
    <w:rsid w:val="00F35B79"/>
    <w:rsid w:val="00F35BD0"/>
    <w:rsid w:val="00F35D34"/>
    <w:rsid w:val="00F35D5E"/>
    <w:rsid w:val="00F35D7A"/>
    <w:rsid w:val="00F35E24"/>
    <w:rsid w:val="00F35EAC"/>
    <w:rsid w:val="00F35F87"/>
    <w:rsid w:val="00F360F3"/>
    <w:rsid w:val="00F36167"/>
    <w:rsid w:val="00F3620A"/>
    <w:rsid w:val="00F36410"/>
    <w:rsid w:val="00F3648D"/>
    <w:rsid w:val="00F36512"/>
    <w:rsid w:val="00F3651E"/>
    <w:rsid w:val="00F36548"/>
    <w:rsid w:val="00F36996"/>
    <w:rsid w:val="00F36DB4"/>
    <w:rsid w:val="00F36E9F"/>
    <w:rsid w:val="00F36F80"/>
    <w:rsid w:val="00F36F94"/>
    <w:rsid w:val="00F3701D"/>
    <w:rsid w:val="00F3711B"/>
    <w:rsid w:val="00F3714C"/>
    <w:rsid w:val="00F371A0"/>
    <w:rsid w:val="00F37249"/>
    <w:rsid w:val="00F37255"/>
    <w:rsid w:val="00F37410"/>
    <w:rsid w:val="00F37608"/>
    <w:rsid w:val="00F37926"/>
    <w:rsid w:val="00F37A47"/>
    <w:rsid w:val="00F37C0C"/>
    <w:rsid w:val="00F37CFA"/>
    <w:rsid w:val="00F37D1C"/>
    <w:rsid w:val="00F37E6E"/>
    <w:rsid w:val="00F37F51"/>
    <w:rsid w:val="00F40022"/>
    <w:rsid w:val="00F40326"/>
    <w:rsid w:val="00F403A3"/>
    <w:rsid w:val="00F403B0"/>
    <w:rsid w:val="00F404A4"/>
    <w:rsid w:val="00F40705"/>
    <w:rsid w:val="00F40846"/>
    <w:rsid w:val="00F408A3"/>
    <w:rsid w:val="00F408F5"/>
    <w:rsid w:val="00F40908"/>
    <w:rsid w:val="00F409D0"/>
    <w:rsid w:val="00F40A3C"/>
    <w:rsid w:val="00F40B03"/>
    <w:rsid w:val="00F40C88"/>
    <w:rsid w:val="00F40D57"/>
    <w:rsid w:val="00F40D8B"/>
    <w:rsid w:val="00F40FC1"/>
    <w:rsid w:val="00F41199"/>
    <w:rsid w:val="00F411D2"/>
    <w:rsid w:val="00F4132F"/>
    <w:rsid w:val="00F41330"/>
    <w:rsid w:val="00F4149E"/>
    <w:rsid w:val="00F41566"/>
    <w:rsid w:val="00F41574"/>
    <w:rsid w:val="00F415AD"/>
    <w:rsid w:val="00F415B6"/>
    <w:rsid w:val="00F415E3"/>
    <w:rsid w:val="00F4169C"/>
    <w:rsid w:val="00F41733"/>
    <w:rsid w:val="00F4173F"/>
    <w:rsid w:val="00F417D7"/>
    <w:rsid w:val="00F4184C"/>
    <w:rsid w:val="00F41959"/>
    <w:rsid w:val="00F41989"/>
    <w:rsid w:val="00F41AB9"/>
    <w:rsid w:val="00F41ADB"/>
    <w:rsid w:val="00F41B1B"/>
    <w:rsid w:val="00F41BA7"/>
    <w:rsid w:val="00F41C21"/>
    <w:rsid w:val="00F41E44"/>
    <w:rsid w:val="00F41F18"/>
    <w:rsid w:val="00F41FB4"/>
    <w:rsid w:val="00F42158"/>
    <w:rsid w:val="00F421C3"/>
    <w:rsid w:val="00F421C6"/>
    <w:rsid w:val="00F42219"/>
    <w:rsid w:val="00F42224"/>
    <w:rsid w:val="00F4229C"/>
    <w:rsid w:val="00F42423"/>
    <w:rsid w:val="00F42429"/>
    <w:rsid w:val="00F42480"/>
    <w:rsid w:val="00F4260B"/>
    <w:rsid w:val="00F42705"/>
    <w:rsid w:val="00F42803"/>
    <w:rsid w:val="00F4289B"/>
    <w:rsid w:val="00F42966"/>
    <w:rsid w:val="00F42988"/>
    <w:rsid w:val="00F429FA"/>
    <w:rsid w:val="00F42A16"/>
    <w:rsid w:val="00F42A4E"/>
    <w:rsid w:val="00F42A9C"/>
    <w:rsid w:val="00F42DA9"/>
    <w:rsid w:val="00F42DFE"/>
    <w:rsid w:val="00F42F65"/>
    <w:rsid w:val="00F42FA7"/>
    <w:rsid w:val="00F42FAB"/>
    <w:rsid w:val="00F430A2"/>
    <w:rsid w:val="00F4325F"/>
    <w:rsid w:val="00F4328C"/>
    <w:rsid w:val="00F433C9"/>
    <w:rsid w:val="00F43422"/>
    <w:rsid w:val="00F4342D"/>
    <w:rsid w:val="00F43447"/>
    <w:rsid w:val="00F434D1"/>
    <w:rsid w:val="00F434FD"/>
    <w:rsid w:val="00F43522"/>
    <w:rsid w:val="00F43597"/>
    <w:rsid w:val="00F43742"/>
    <w:rsid w:val="00F4387F"/>
    <w:rsid w:val="00F4389B"/>
    <w:rsid w:val="00F438C5"/>
    <w:rsid w:val="00F438E6"/>
    <w:rsid w:val="00F439AA"/>
    <w:rsid w:val="00F43AA5"/>
    <w:rsid w:val="00F43AEE"/>
    <w:rsid w:val="00F43E8C"/>
    <w:rsid w:val="00F440C4"/>
    <w:rsid w:val="00F441BD"/>
    <w:rsid w:val="00F44368"/>
    <w:rsid w:val="00F44461"/>
    <w:rsid w:val="00F444C1"/>
    <w:rsid w:val="00F4452E"/>
    <w:rsid w:val="00F4467E"/>
    <w:rsid w:val="00F44728"/>
    <w:rsid w:val="00F447C5"/>
    <w:rsid w:val="00F44879"/>
    <w:rsid w:val="00F44A37"/>
    <w:rsid w:val="00F44A84"/>
    <w:rsid w:val="00F44CE0"/>
    <w:rsid w:val="00F44D26"/>
    <w:rsid w:val="00F45087"/>
    <w:rsid w:val="00F450AA"/>
    <w:rsid w:val="00F450BD"/>
    <w:rsid w:val="00F450E1"/>
    <w:rsid w:val="00F450FF"/>
    <w:rsid w:val="00F45315"/>
    <w:rsid w:val="00F453D0"/>
    <w:rsid w:val="00F454E6"/>
    <w:rsid w:val="00F455D7"/>
    <w:rsid w:val="00F456A8"/>
    <w:rsid w:val="00F45810"/>
    <w:rsid w:val="00F45963"/>
    <w:rsid w:val="00F45995"/>
    <w:rsid w:val="00F459E8"/>
    <w:rsid w:val="00F45A53"/>
    <w:rsid w:val="00F45AFD"/>
    <w:rsid w:val="00F45DE1"/>
    <w:rsid w:val="00F45EBE"/>
    <w:rsid w:val="00F45F18"/>
    <w:rsid w:val="00F45F36"/>
    <w:rsid w:val="00F45FD8"/>
    <w:rsid w:val="00F4604E"/>
    <w:rsid w:val="00F460E7"/>
    <w:rsid w:val="00F46261"/>
    <w:rsid w:val="00F462A8"/>
    <w:rsid w:val="00F46354"/>
    <w:rsid w:val="00F46412"/>
    <w:rsid w:val="00F46418"/>
    <w:rsid w:val="00F46489"/>
    <w:rsid w:val="00F464A1"/>
    <w:rsid w:val="00F46596"/>
    <w:rsid w:val="00F465AA"/>
    <w:rsid w:val="00F465AD"/>
    <w:rsid w:val="00F46677"/>
    <w:rsid w:val="00F466D3"/>
    <w:rsid w:val="00F466D5"/>
    <w:rsid w:val="00F466E4"/>
    <w:rsid w:val="00F4681D"/>
    <w:rsid w:val="00F468EB"/>
    <w:rsid w:val="00F4699F"/>
    <w:rsid w:val="00F469E0"/>
    <w:rsid w:val="00F46A0D"/>
    <w:rsid w:val="00F46A20"/>
    <w:rsid w:val="00F46A4A"/>
    <w:rsid w:val="00F46B04"/>
    <w:rsid w:val="00F46B67"/>
    <w:rsid w:val="00F46B71"/>
    <w:rsid w:val="00F46CC5"/>
    <w:rsid w:val="00F46D2A"/>
    <w:rsid w:val="00F46E39"/>
    <w:rsid w:val="00F46F35"/>
    <w:rsid w:val="00F46FE0"/>
    <w:rsid w:val="00F470CE"/>
    <w:rsid w:val="00F47202"/>
    <w:rsid w:val="00F4724D"/>
    <w:rsid w:val="00F4745D"/>
    <w:rsid w:val="00F474E8"/>
    <w:rsid w:val="00F4754C"/>
    <w:rsid w:val="00F478D2"/>
    <w:rsid w:val="00F47951"/>
    <w:rsid w:val="00F479CB"/>
    <w:rsid w:val="00F47AA2"/>
    <w:rsid w:val="00F47B56"/>
    <w:rsid w:val="00F47CF8"/>
    <w:rsid w:val="00F47D91"/>
    <w:rsid w:val="00F47DCF"/>
    <w:rsid w:val="00F47EF5"/>
    <w:rsid w:val="00F47FC9"/>
    <w:rsid w:val="00F5006D"/>
    <w:rsid w:val="00F50088"/>
    <w:rsid w:val="00F500BE"/>
    <w:rsid w:val="00F50135"/>
    <w:rsid w:val="00F5016C"/>
    <w:rsid w:val="00F501A1"/>
    <w:rsid w:val="00F501BB"/>
    <w:rsid w:val="00F50333"/>
    <w:rsid w:val="00F5067F"/>
    <w:rsid w:val="00F5069D"/>
    <w:rsid w:val="00F5075E"/>
    <w:rsid w:val="00F5076A"/>
    <w:rsid w:val="00F50906"/>
    <w:rsid w:val="00F509D0"/>
    <w:rsid w:val="00F50B68"/>
    <w:rsid w:val="00F50F41"/>
    <w:rsid w:val="00F50F83"/>
    <w:rsid w:val="00F51100"/>
    <w:rsid w:val="00F51148"/>
    <w:rsid w:val="00F5119D"/>
    <w:rsid w:val="00F51203"/>
    <w:rsid w:val="00F5123B"/>
    <w:rsid w:val="00F512F8"/>
    <w:rsid w:val="00F5132B"/>
    <w:rsid w:val="00F5136A"/>
    <w:rsid w:val="00F51433"/>
    <w:rsid w:val="00F51577"/>
    <w:rsid w:val="00F51579"/>
    <w:rsid w:val="00F515D2"/>
    <w:rsid w:val="00F51782"/>
    <w:rsid w:val="00F517A2"/>
    <w:rsid w:val="00F517EB"/>
    <w:rsid w:val="00F519A6"/>
    <w:rsid w:val="00F51AA1"/>
    <w:rsid w:val="00F51B12"/>
    <w:rsid w:val="00F51B6E"/>
    <w:rsid w:val="00F51D96"/>
    <w:rsid w:val="00F51DCE"/>
    <w:rsid w:val="00F51F60"/>
    <w:rsid w:val="00F52097"/>
    <w:rsid w:val="00F522ED"/>
    <w:rsid w:val="00F5242E"/>
    <w:rsid w:val="00F52432"/>
    <w:rsid w:val="00F52449"/>
    <w:rsid w:val="00F52462"/>
    <w:rsid w:val="00F5257F"/>
    <w:rsid w:val="00F52596"/>
    <w:rsid w:val="00F52679"/>
    <w:rsid w:val="00F526C6"/>
    <w:rsid w:val="00F52741"/>
    <w:rsid w:val="00F52788"/>
    <w:rsid w:val="00F527AE"/>
    <w:rsid w:val="00F5286F"/>
    <w:rsid w:val="00F528F5"/>
    <w:rsid w:val="00F5296A"/>
    <w:rsid w:val="00F529CF"/>
    <w:rsid w:val="00F52CCF"/>
    <w:rsid w:val="00F52E22"/>
    <w:rsid w:val="00F52F5C"/>
    <w:rsid w:val="00F53030"/>
    <w:rsid w:val="00F53300"/>
    <w:rsid w:val="00F533AF"/>
    <w:rsid w:val="00F5344F"/>
    <w:rsid w:val="00F53500"/>
    <w:rsid w:val="00F5354D"/>
    <w:rsid w:val="00F53649"/>
    <w:rsid w:val="00F5379F"/>
    <w:rsid w:val="00F537F4"/>
    <w:rsid w:val="00F5384F"/>
    <w:rsid w:val="00F538D0"/>
    <w:rsid w:val="00F539DB"/>
    <w:rsid w:val="00F53A4B"/>
    <w:rsid w:val="00F53B64"/>
    <w:rsid w:val="00F53BA0"/>
    <w:rsid w:val="00F53C16"/>
    <w:rsid w:val="00F53C81"/>
    <w:rsid w:val="00F53D68"/>
    <w:rsid w:val="00F53DB5"/>
    <w:rsid w:val="00F53DCB"/>
    <w:rsid w:val="00F53EF5"/>
    <w:rsid w:val="00F53FB7"/>
    <w:rsid w:val="00F53FF7"/>
    <w:rsid w:val="00F54092"/>
    <w:rsid w:val="00F5416B"/>
    <w:rsid w:val="00F5426C"/>
    <w:rsid w:val="00F542DF"/>
    <w:rsid w:val="00F54356"/>
    <w:rsid w:val="00F5440C"/>
    <w:rsid w:val="00F5443F"/>
    <w:rsid w:val="00F54443"/>
    <w:rsid w:val="00F54481"/>
    <w:rsid w:val="00F544B4"/>
    <w:rsid w:val="00F544ED"/>
    <w:rsid w:val="00F54546"/>
    <w:rsid w:val="00F545A6"/>
    <w:rsid w:val="00F54662"/>
    <w:rsid w:val="00F546F1"/>
    <w:rsid w:val="00F546FC"/>
    <w:rsid w:val="00F54812"/>
    <w:rsid w:val="00F54859"/>
    <w:rsid w:val="00F54A41"/>
    <w:rsid w:val="00F54A50"/>
    <w:rsid w:val="00F54BE7"/>
    <w:rsid w:val="00F54CCC"/>
    <w:rsid w:val="00F54D61"/>
    <w:rsid w:val="00F54E8E"/>
    <w:rsid w:val="00F54F17"/>
    <w:rsid w:val="00F54F7D"/>
    <w:rsid w:val="00F55271"/>
    <w:rsid w:val="00F55272"/>
    <w:rsid w:val="00F553F7"/>
    <w:rsid w:val="00F554D3"/>
    <w:rsid w:val="00F554E7"/>
    <w:rsid w:val="00F55574"/>
    <w:rsid w:val="00F55588"/>
    <w:rsid w:val="00F55650"/>
    <w:rsid w:val="00F55871"/>
    <w:rsid w:val="00F55A82"/>
    <w:rsid w:val="00F55C86"/>
    <w:rsid w:val="00F55CEC"/>
    <w:rsid w:val="00F55E05"/>
    <w:rsid w:val="00F55E7B"/>
    <w:rsid w:val="00F55EB4"/>
    <w:rsid w:val="00F55EE3"/>
    <w:rsid w:val="00F55F3A"/>
    <w:rsid w:val="00F55F80"/>
    <w:rsid w:val="00F55FE9"/>
    <w:rsid w:val="00F5608F"/>
    <w:rsid w:val="00F56142"/>
    <w:rsid w:val="00F56206"/>
    <w:rsid w:val="00F562A9"/>
    <w:rsid w:val="00F562DC"/>
    <w:rsid w:val="00F56506"/>
    <w:rsid w:val="00F56614"/>
    <w:rsid w:val="00F566F8"/>
    <w:rsid w:val="00F56705"/>
    <w:rsid w:val="00F56714"/>
    <w:rsid w:val="00F567A4"/>
    <w:rsid w:val="00F567C7"/>
    <w:rsid w:val="00F56854"/>
    <w:rsid w:val="00F5691F"/>
    <w:rsid w:val="00F5695C"/>
    <w:rsid w:val="00F569A5"/>
    <w:rsid w:val="00F56A18"/>
    <w:rsid w:val="00F56AA0"/>
    <w:rsid w:val="00F56AB1"/>
    <w:rsid w:val="00F56AFB"/>
    <w:rsid w:val="00F56C27"/>
    <w:rsid w:val="00F56C57"/>
    <w:rsid w:val="00F56C6A"/>
    <w:rsid w:val="00F56C96"/>
    <w:rsid w:val="00F56CA6"/>
    <w:rsid w:val="00F56D1E"/>
    <w:rsid w:val="00F56D26"/>
    <w:rsid w:val="00F56D55"/>
    <w:rsid w:val="00F56E05"/>
    <w:rsid w:val="00F56FC5"/>
    <w:rsid w:val="00F57008"/>
    <w:rsid w:val="00F57105"/>
    <w:rsid w:val="00F57148"/>
    <w:rsid w:val="00F57157"/>
    <w:rsid w:val="00F571BA"/>
    <w:rsid w:val="00F572E2"/>
    <w:rsid w:val="00F573E4"/>
    <w:rsid w:val="00F5747C"/>
    <w:rsid w:val="00F574CB"/>
    <w:rsid w:val="00F57624"/>
    <w:rsid w:val="00F5765E"/>
    <w:rsid w:val="00F57683"/>
    <w:rsid w:val="00F57706"/>
    <w:rsid w:val="00F57940"/>
    <w:rsid w:val="00F579A2"/>
    <w:rsid w:val="00F57A6B"/>
    <w:rsid w:val="00F57A6D"/>
    <w:rsid w:val="00F57AC4"/>
    <w:rsid w:val="00F57B94"/>
    <w:rsid w:val="00F57D63"/>
    <w:rsid w:val="00F57D88"/>
    <w:rsid w:val="00F57DC5"/>
    <w:rsid w:val="00F57F25"/>
    <w:rsid w:val="00F57F43"/>
    <w:rsid w:val="00F57FE2"/>
    <w:rsid w:val="00F60055"/>
    <w:rsid w:val="00F600EC"/>
    <w:rsid w:val="00F60104"/>
    <w:rsid w:val="00F60119"/>
    <w:rsid w:val="00F60130"/>
    <w:rsid w:val="00F601E9"/>
    <w:rsid w:val="00F60238"/>
    <w:rsid w:val="00F60352"/>
    <w:rsid w:val="00F6036A"/>
    <w:rsid w:val="00F6048B"/>
    <w:rsid w:val="00F60511"/>
    <w:rsid w:val="00F60613"/>
    <w:rsid w:val="00F607C4"/>
    <w:rsid w:val="00F60824"/>
    <w:rsid w:val="00F60924"/>
    <w:rsid w:val="00F609A8"/>
    <w:rsid w:val="00F60A03"/>
    <w:rsid w:val="00F60A45"/>
    <w:rsid w:val="00F60B05"/>
    <w:rsid w:val="00F60B3E"/>
    <w:rsid w:val="00F60D06"/>
    <w:rsid w:val="00F60D13"/>
    <w:rsid w:val="00F60D38"/>
    <w:rsid w:val="00F60E3A"/>
    <w:rsid w:val="00F60E5D"/>
    <w:rsid w:val="00F60E8E"/>
    <w:rsid w:val="00F61038"/>
    <w:rsid w:val="00F611D6"/>
    <w:rsid w:val="00F61362"/>
    <w:rsid w:val="00F613E7"/>
    <w:rsid w:val="00F61489"/>
    <w:rsid w:val="00F614D0"/>
    <w:rsid w:val="00F61546"/>
    <w:rsid w:val="00F615EA"/>
    <w:rsid w:val="00F6164E"/>
    <w:rsid w:val="00F616B8"/>
    <w:rsid w:val="00F619F9"/>
    <w:rsid w:val="00F619FE"/>
    <w:rsid w:val="00F61AA7"/>
    <w:rsid w:val="00F61E6C"/>
    <w:rsid w:val="00F61EC5"/>
    <w:rsid w:val="00F61F4D"/>
    <w:rsid w:val="00F61FA0"/>
    <w:rsid w:val="00F62157"/>
    <w:rsid w:val="00F6224B"/>
    <w:rsid w:val="00F622E8"/>
    <w:rsid w:val="00F6237F"/>
    <w:rsid w:val="00F62521"/>
    <w:rsid w:val="00F62694"/>
    <w:rsid w:val="00F627A9"/>
    <w:rsid w:val="00F627ED"/>
    <w:rsid w:val="00F62849"/>
    <w:rsid w:val="00F62876"/>
    <w:rsid w:val="00F62A3A"/>
    <w:rsid w:val="00F62C58"/>
    <w:rsid w:val="00F62CB3"/>
    <w:rsid w:val="00F62D62"/>
    <w:rsid w:val="00F62DE5"/>
    <w:rsid w:val="00F62E77"/>
    <w:rsid w:val="00F62F7C"/>
    <w:rsid w:val="00F62F87"/>
    <w:rsid w:val="00F6318A"/>
    <w:rsid w:val="00F632F8"/>
    <w:rsid w:val="00F63308"/>
    <w:rsid w:val="00F63311"/>
    <w:rsid w:val="00F63375"/>
    <w:rsid w:val="00F633F9"/>
    <w:rsid w:val="00F6346F"/>
    <w:rsid w:val="00F6359B"/>
    <w:rsid w:val="00F63632"/>
    <w:rsid w:val="00F636DC"/>
    <w:rsid w:val="00F63783"/>
    <w:rsid w:val="00F6379B"/>
    <w:rsid w:val="00F63914"/>
    <w:rsid w:val="00F63950"/>
    <w:rsid w:val="00F63A04"/>
    <w:rsid w:val="00F63A4A"/>
    <w:rsid w:val="00F63A80"/>
    <w:rsid w:val="00F63B35"/>
    <w:rsid w:val="00F63C01"/>
    <w:rsid w:val="00F63CAE"/>
    <w:rsid w:val="00F63D18"/>
    <w:rsid w:val="00F63DD3"/>
    <w:rsid w:val="00F63E62"/>
    <w:rsid w:val="00F63E65"/>
    <w:rsid w:val="00F6403C"/>
    <w:rsid w:val="00F64198"/>
    <w:rsid w:val="00F641BE"/>
    <w:rsid w:val="00F6422F"/>
    <w:rsid w:val="00F64382"/>
    <w:rsid w:val="00F64463"/>
    <w:rsid w:val="00F6446C"/>
    <w:rsid w:val="00F6456C"/>
    <w:rsid w:val="00F6458E"/>
    <w:rsid w:val="00F64592"/>
    <w:rsid w:val="00F6459A"/>
    <w:rsid w:val="00F64672"/>
    <w:rsid w:val="00F646B3"/>
    <w:rsid w:val="00F6472F"/>
    <w:rsid w:val="00F64910"/>
    <w:rsid w:val="00F64A08"/>
    <w:rsid w:val="00F64B25"/>
    <w:rsid w:val="00F64B60"/>
    <w:rsid w:val="00F64BB5"/>
    <w:rsid w:val="00F64C9E"/>
    <w:rsid w:val="00F64F87"/>
    <w:rsid w:val="00F6517A"/>
    <w:rsid w:val="00F65226"/>
    <w:rsid w:val="00F65521"/>
    <w:rsid w:val="00F655AE"/>
    <w:rsid w:val="00F65698"/>
    <w:rsid w:val="00F65716"/>
    <w:rsid w:val="00F65999"/>
    <w:rsid w:val="00F659B8"/>
    <w:rsid w:val="00F65AB3"/>
    <w:rsid w:val="00F65B23"/>
    <w:rsid w:val="00F65B71"/>
    <w:rsid w:val="00F65B7B"/>
    <w:rsid w:val="00F65C11"/>
    <w:rsid w:val="00F65CCB"/>
    <w:rsid w:val="00F65CE7"/>
    <w:rsid w:val="00F65D0F"/>
    <w:rsid w:val="00F65DC1"/>
    <w:rsid w:val="00F65E12"/>
    <w:rsid w:val="00F65E9F"/>
    <w:rsid w:val="00F6600B"/>
    <w:rsid w:val="00F66119"/>
    <w:rsid w:val="00F66177"/>
    <w:rsid w:val="00F66254"/>
    <w:rsid w:val="00F6627C"/>
    <w:rsid w:val="00F662F0"/>
    <w:rsid w:val="00F6644D"/>
    <w:rsid w:val="00F664A4"/>
    <w:rsid w:val="00F66533"/>
    <w:rsid w:val="00F66668"/>
    <w:rsid w:val="00F666C5"/>
    <w:rsid w:val="00F666D3"/>
    <w:rsid w:val="00F6677B"/>
    <w:rsid w:val="00F66803"/>
    <w:rsid w:val="00F668AE"/>
    <w:rsid w:val="00F66973"/>
    <w:rsid w:val="00F669DD"/>
    <w:rsid w:val="00F66AAB"/>
    <w:rsid w:val="00F66C36"/>
    <w:rsid w:val="00F66C8B"/>
    <w:rsid w:val="00F66CB7"/>
    <w:rsid w:val="00F66D12"/>
    <w:rsid w:val="00F66DF3"/>
    <w:rsid w:val="00F66E5F"/>
    <w:rsid w:val="00F66E63"/>
    <w:rsid w:val="00F66FEA"/>
    <w:rsid w:val="00F6713B"/>
    <w:rsid w:val="00F67376"/>
    <w:rsid w:val="00F674C6"/>
    <w:rsid w:val="00F674D3"/>
    <w:rsid w:val="00F6750C"/>
    <w:rsid w:val="00F6768D"/>
    <w:rsid w:val="00F6772F"/>
    <w:rsid w:val="00F679C0"/>
    <w:rsid w:val="00F679FB"/>
    <w:rsid w:val="00F67C68"/>
    <w:rsid w:val="00F67E5A"/>
    <w:rsid w:val="00F67EF2"/>
    <w:rsid w:val="00F70105"/>
    <w:rsid w:val="00F70169"/>
    <w:rsid w:val="00F70170"/>
    <w:rsid w:val="00F70214"/>
    <w:rsid w:val="00F704EE"/>
    <w:rsid w:val="00F7050D"/>
    <w:rsid w:val="00F70558"/>
    <w:rsid w:val="00F70584"/>
    <w:rsid w:val="00F70600"/>
    <w:rsid w:val="00F7063A"/>
    <w:rsid w:val="00F70855"/>
    <w:rsid w:val="00F70865"/>
    <w:rsid w:val="00F7090F"/>
    <w:rsid w:val="00F70941"/>
    <w:rsid w:val="00F709D6"/>
    <w:rsid w:val="00F70A15"/>
    <w:rsid w:val="00F70A82"/>
    <w:rsid w:val="00F70B86"/>
    <w:rsid w:val="00F70C1D"/>
    <w:rsid w:val="00F70CC1"/>
    <w:rsid w:val="00F70D23"/>
    <w:rsid w:val="00F70E4A"/>
    <w:rsid w:val="00F71269"/>
    <w:rsid w:val="00F7132D"/>
    <w:rsid w:val="00F7137A"/>
    <w:rsid w:val="00F71450"/>
    <w:rsid w:val="00F714D4"/>
    <w:rsid w:val="00F715A5"/>
    <w:rsid w:val="00F7175E"/>
    <w:rsid w:val="00F71AED"/>
    <w:rsid w:val="00F71BB8"/>
    <w:rsid w:val="00F71C8E"/>
    <w:rsid w:val="00F71CD4"/>
    <w:rsid w:val="00F71CF0"/>
    <w:rsid w:val="00F71CF9"/>
    <w:rsid w:val="00F71D57"/>
    <w:rsid w:val="00F71D64"/>
    <w:rsid w:val="00F71DDF"/>
    <w:rsid w:val="00F71E64"/>
    <w:rsid w:val="00F72009"/>
    <w:rsid w:val="00F7212C"/>
    <w:rsid w:val="00F72312"/>
    <w:rsid w:val="00F7262E"/>
    <w:rsid w:val="00F72748"/>
    <w:rsid w:val="00F7281F"/>
    <w:rsid w:val="00F72A03"/>
    <w:rsid w:val="00F72A2C"/>
    <w:rsid w:val="00F72BC5"/>
    <w:rsid w:val="00F72BF4"/>
    <w:rsid w:val="00F72C7E"/>
    <w:rsid w:val="00F72C95"/>
    <w:rsid w:val="00F72D1F"/>
    <w:rsid w:val="00F72D29"/>
    <w:rsid w:val="00F72D40"/>
    <w:rsid w:val="00F72DA8"/>
    <w:rsid w:val="00F72F31"/>
    <w:rsid w:val="00F72F91"/>
    <w:rsid w:val="00F7301D"/>
    <w:rsid w:val="00F730D6"/>
    <w:rsid w:val="00F7325F"/>
    <w:rsid w:val="00F73330"/>
    <w:rsid w:val="00F7338A"/>
    <w:rsid w:val="00F733FB"/>
    <w:rsid w:val="00F7343B"/>
    <w:rsid w:val="00F7344E"/>
    <w:rsid w:val="00F7345D"/>
    <w:rsid w:val="00F735D4"/>
    <w:rsid w:val="00F73669"/>
    <w:rsid w:val="00F7379D"/>
    <w:rsid w:val="00F7391B"/>
    <w:rsid w:val="00F73B23"/>
    <w:rsid w:val="00F73B4F"/>
    <w:rsid w:val="00F73BAE"/>
    <w:rsid w:val="00F73C2E"/>
    <w:rsid w:val="00F73CD7"/>
    <w:rsid w:val="00F73D19"/>
    <w:rsid w:val="00F73E28"/>
    <w:rsid w:val="00F73E42"/>
    <w:rsid w:val="00F73EAD"/>
    <w:rsid w:val="00F73F43"/>
    <w:rsid w:val="00F73F94"/>
    <w:rsid w:val="00F74191"/>
    <w:rsid w:val="00F743DB"/>
    <w:rsid w:val="00F7442E"/>
    <w:rsid w:val="00F74439"/>
    <w:rsid w:val="00F74646"/>
    <w:rsid w:val="00F74660"/>
    <w:rsid w:val="00F7467C"/>
    <w:rsid w:val="00F7480D"/>
    <w:rsid w:val="00F7486B"/>
    <w:rsid w:val="00F748B9"/>
    <w:rsid w:val="00F748FE"/>
    <w:rsid w:val="00F74923"/>
    <w:rsid w:val="00F74A89"/>
    <w:rsid w:val="00F74B92"/>
    <w:rsid w:val="00F74C42"/>
    <w:rsid w:val="00F74CDD"/>
    <w:rsid w:val="00F74D30"/>
    <w:rsid w:val="00F74EA5"/>
    <w:rsid w:val="00F750AA"/>
    <w:rsid w:val="00F751E0"/>
    <w:rsid w:val="00F75273"/>
    <w:rsid w:val="00F752F6"/>
    <w:rsid w:val="00F754D5"/>
    <w:rsid w:val="00F75510"/>
    <w:rsid w:val="00F75625"/>
    <w:rsid w:val="00F7568F"/>
    <w:rsid w:val="00F75777"/>
    <w:rsid w:val="00F757C5"/>
    <w:rsid w:val="00F7586D"/>
    <w:rsid w:val="00F75887"/>
    <w:rsid w:val="00F758B4"/>
    <w:rsid w:val="00F75C74"/>
    <w:rsid w:val="00F75CDA"/>
    <w:rsid w:val="00F75D46"/>
    <w:rsid w:val="00F75D61"/>
    <w:rsid w:val="00F75D8E"/>
    <w:rsid w:val="00F75E30"/>
    <w:rsid w:val="00F75EA0"/>
    <w:rsid w:val="00F75F85"/>
    <w:rsid w:val="00F75FD5"/>
    <w:rsid w:val="00F76066"/>
    <w:rsid w:val="00F760F9"/>
    <w:rsid w:val="00F761EA"/>
    <w:rsid w:val="00F7623C"/>
    <w:rsid w:val="00F76275"/>
    <w:rsid w:val="00F76451"/>
    <w:rsid w:val="00F76476"/>
    <w:rsid w:val="00F76548"/>
    <w:rsid w:val="00F76586"/>
    <w:rsid w:val="00F7659D"/>
    <w:rsid w:val="00F765E5"/>
    <w:rsid w:val="00F7667B"/>
    <w:rsid w:val="00F76698"/>
    <w:rsid w:val="00F766AB"/>
    <w:rsid w:val="00F76714"/>
    <w:rsid w:val="00F76771"/>
    <w:rsid w:val="00F767DE"/>
    <w:rsid w:val="00F76853"/>
    <w:rsid w:val="00F76900"/>
    <w:rsid w:val="00F7698A"/>
    <w:rsid w:val="00F76AD8"/>
    <w:rsid w:val="00F76AF9"/>
    <w:rsid w:val="00F76B3D"/>
    <w:rsid w:val="00F76B61"/>
    <w:rsid w:val="00F76D57"/>
    <w:rsid w:val="00F76DC4"/>
    <w:rsid w:val="00F76EAB"/>
    <w:rsid w:val="00F76ECC"/>
    <w:rsid w:val="00F7701B"/>
    <w:rsid w:val="00F77173"/>
    <w:rsid w:val="00F771CF"/>
    <w:rsid w:val="00F7732C"/>
    <w:rsid w:val="00F77333"/>
    <w:rsid w:val="00F77481"/>
    <w:rsid w:val="00F776BD"/>
    <w:rsid w:val="00F7770C"/>
    <w:rsid w:val="00F7797D"/>
    <w:rsid w:val="00F77A2B"/>
    <w:rsid w:val="00F77BC1"/>
    <w:rsid w:val="00F77D45"/>
    <w:rsid w:val="00F77DA7"/>
    <w:rsid w:val="00F77DDD"/>
    <w:rsid w:val="00F77F72"/>
    <w:rsid w:val="00F77FA4"/>
    <w:rsid w:val="00F8004B"/>
    <w:rsid w:val="00F8005E"/>
    <w:rsid w:val="00F80097"/>
    <w:rsid w:val="00F8016E"/>
    <w:rsid w:val="00F801C9"/>
    <w:rsid w:val="00F80239"/>
    <w:rsid w:val="00F803B3"/>
    <w:rsid w:val="00F8056B"/>
    <w:rsid w:val="00F806C2"/>
    <w:rsid w:val="00F807A1"/>
    <w:rsid w:val="00F80826"/>
    <w:rsid w:val="00F80957"/>
    <w:rsid w:val="00F80A40"/>
    <w:rsid w:val="00F80C98"/>
    <w:rsid w:val="00F80D3D"/>
    <w:rsid w:val="00F80D6C"/>
    <w:rsid w:val="00F80E16"/>
    <w:rsid w:val="00F80F28"/>
    <w:rsid w:val="00F812F4"/>
    <w:rsid w:val="00F815F1"/>
    <w:rsid w:val="00F8163E"/>
    <w:rsid w:val="00F816F9"/>
    <w:rsid w:val="00F8181D"/>
    <w:rsid w:val="00F8184F"/>
    <w:rsid w:val="00F818DD"/>
    <w:rsid w:val="00F8194B"/>
    <w:rsid w:val="00F81AA8"/>
    <w:rsid w:val="00F81B7E"/>
    <w:rsid w:val="00F81CA5"/>
    <w:rsid w:val="00F81CA6"/>
    <w:rsid w:val="00F81CFF"/>
    <w:rsid w:val="00F81D32"/>
    <w:rsid w:val="00F81D96"/>
    <w:rsid w:val="00F81E22"/>
    <w:rsid w:val="00F8209B"/>
    <w:rsid w:val="00F82387"/>
    <w:rsid w:val="00F82396"/>
    <w:rsid w:val="00F825D2"/>
    <w:rsid w:val="00F82703"/>
    <w:rsid w:val="00F82735"/>
    <w:rsid w:val="00F827FD"/>
    <w:rsid w:val="00F82824"/>
    <w:rsid w:val="00F828CD"/>
    <w:rsid w:val="00F8296E"/>
    <w:rsid w:val="00F82A4F"/>
    <w:rsid w:val="00F82D5C"/>
    <w:rsid w:val="00F82D7D"/>
    <w:rsid w:val="00F82E2A"/>
    <w:rsid w:val="00F83052"/>
    <w:rsid w:val="00F830BF"/>
    <w:rsid w:val="00F830E7"/>
    <w:rsid w:val="00F8318D"/>
    <w:rsid w:val="00F8318F"/>
    <w:rsid w:val="00F831CB"/>
    <w:rsid w:val="00F83217"/>
    <w:rsid w:val="00F8326D"/>
    <w:rsid w:val="00F833AD"/>
    <w:rsid w:val="00F833FC"/>
    <w:rsid w:val="00F83491"/>
    <w:rsid w:val="00F8350D"/>
    <w:rsid w:val="00F83512"/>
    <w:rsid w:val="00F8362D"/>
    <w:rsid w:val="00F8363F"/>
    <w:rsid w:val="00F83667"/>
    <w:rsid w:val="00F836D3"/>
    <w:rsid w:val="00F83883"/>
    <w:rsid w:val="00F83986"/>
    <w:rsid w:val="00F8399A"/>
    <w:rsid w:val="00F83A94"/>
    <w:rsid w:val="00F83ABE"/>
    <w:rsid w:val="00F83AEA"/>
    <w:rsid w:val="00F83C0A"/>
    <w:rsid w:val="00F83C79"/>
    <w:rsid w:val="00F83CC3"/>
    <w:rsid w:val="00F83D2A"/>
    <w:rsid w:val="00F83D3E"/>
    <w:rsid w:val="00F84054"/>
    <w:rsid w:val="00F84122"/>
    <w:rsid w:val="00F8413E"/>
    <w:rsid w:val="00F8418A"/>
    <w:rsid w:val="00F841B6"/>
    <w:rsid w:val="00F841FE"/>
    <w:rsid w:val="00F84227"/>
    <w:rsid w:val="00F84274"/>
    <w:rsid w:val="00F843C4"/>
    <w:rsid w:val="00F84508"/>
    <w:rsid w:val="00F84514"/>
    <w:rsid w:val="00F846E4"/>
    <w:rsid w:val="00F84717"/>
    <w:rsid w:val="00F847CC"/>
    <w:rsid w:val="00F84867"/>
    <w:rsid w:val="00F848C8"/>
    <w:rsid w:val="00F84901"/>
    <w:rsid w:val="00F849D5"/>
    <w:rsid w:val="00F84A2B"/>
    <w:rsid w:val="00F84B60"/>
    <w:rsid w:val="00F84BB2"/>
    <w:rsid w:val="00F84D64"/>
    <w:rsid w:val="00F84D9E"/>
    <w:rsid w:val="00F84E26"/>
    <w:rsid w:val="00F84E80"/>
    <w:rsid w:val="00F84EC9"/>
    <w:rsid w:val="00F84EF2"/>
    <w:rsid w:val="00F84F4C"/>
    <w:rsid w:val="00F84F8A"/>
    <w:rsid w:val="00F84FB6"/>
    <w:rsid w:val="00F84FBB"/>
    <w:rsid w:val="00F85004"/>
    <w:rsid w:val="00F85016"/>
    <w:rsid w:val="00F851F1"/>
    <w:rsid w:val="00F85242"/>
    <w:rsid w:val="00F85257"/>
    <w:rsid w:val="00F852AB"/>
    <w:rsid w:val="00F85331"/>
    <w:rsid w:val="00F85335"/>
    <w:rsid w:val="00F85338"/>
    <w:rsid w:val="00F85348"/>
    <w:rsid w:val="00F853AF"/>
    <w:rsid w:val="00F85436"/>
    <w:rsid w:val="00F85477"/>
    <w:rsid w:val="00F8551C"/>
    <w:rsid w:val="00F85535"/>
    <w:rsid w:val="00F855EE"/>
    <w:rsid w:val="00F855EF"/>
    <w:rsid w:val="00F85633"/>
    <w:rsid w:val="00F856D8"/>
    <w:rsid w:val="00F8586B"/>
    <w:rsid w:val="00F85921"/>
    <w:rsid w:val="00F85974"/>
    <w:rsid w:val="00F85A39"/>
    <w:rsid w:val="00F85B51"/>
    <w:rsid w:val="00F85C31"/>
    <w:rsid w:val="00F85C4D"/>
    <w:rsid w:val="00F85DA3"/>
    <w:rsid w:val="00F85E0E"/>
    <w:rsid w:val="00F85F04"/>
    <w:rsid w:val="00F86071"/>
    <w:rsid w:val="00F86447"/>
    <w:rsid w:val="00F8649F"/>
    <w:rsid w:val="00F864D2"/>
    <w:rsid w:val="00F8650B"/>
    <w:rsid w:val="00F86647"/>
    <w:rsid w:val="00F86708"/>
    <w:rsid w:val="00F86710"/>
    <w:rsid w:val="00F867AB"/>
    <w:rsid w:val="00F86A3C"/>
    <w:rsid w:val="00F86AEA"/>
    <w:rsid w:val="00F86C72"/>
    <w:rsid w:val="00F86D0A"/>
    <w:rsid w:val="00F86E85"/>
    <w:rsid w:val="00F86F6D"/>
    <w:rsid w:val="00F86F7F"/>
    <w:rsid w:val="00F86F90"/>
    <w:rsid w:val="00F870ED"/>
    <w:rsid w:val="00F87260"/>
    <w:rsid w:val="00F873B0"/>
    <w:rsid w:val="00F873E7"/>
    <w:rsid w:val="00F873EB"/>
    <w:rsid w:val="00F87415"/>
    <w:rsid w:val="00F876A2"/>
    <w:rsid w:val="00F876B2"/>
    <w:rsid w:val="00F87AB8"/>
    <w:rsid w:val="00F87ABD"/>
    <w:rsid w:val="00F87BA4"/>
    <w:rsid w:val="00F87BC4"/>
    <w:rsid w:val="00F87C42"/>
    <w:rsid w:val="00F87C56"/>
    <w:rsid w:val="00F87D5C"/>
    <w:rsid w:val="00F87EA6"/>
    <w:rsid w:val="00F87F03"/>
    <w:rsid w:val="00F87F59"/>
    <w:rsid w:val="00F90036"/>
    <w:rsid w:val="00F90167"/>
    <w:rsid w:val="00F901FE"/>
    <w:rsid w:val="00F90221"/>
    <w:rsid w:val="00F9024E"/>
    <w:rsid w:val="00F904F7"/>
    <w:rsid w:val="00F905DC"/>
    <w:rsid w:val="00F906EC"/>
    <w:rsid w:val="00F907ED"/>
    <w:rsid w:val="00F90939"/>
    <w:rsid w:val="00F9097E"/>
    <w:rsid w:val="00F90B19"/>
    <w:rsid w:val="00F90B2A"/>
    <w:rsid w:val="00F90BA2"/>
    <w:rsid w:val="00F90E57"/>
    <w:rsid w:val="00F90F2F"/>
    <w:rsid w:val="00F9126F"/>
    <w:rsid w:val="00F91319"/>
    <w:rsid w:val="00F91648"/>
    <w:rsid w:val="00F91685"/>
    <w:rsid w:val="00F916CB"/>
    <w:rsid w:val="00F9187C"/>
    <w:rsid w:val="00F918EC"/>
    <w:rsid w:val="00F918EE"/>
    <w:rsid w:val="00F9194B"/>
    <w:rsid w:val="00F91956"/>
    <w:rsid w:val="00F9198D"/>
    <w:rsid w:val="00F91A24"/>
    <w:rsid w:val="00F91B77"/>
    <w:rsid w:val="00F91DB4"/>
    <w:rsid w:val="00F91F94"/>
    <w:rsid w:val="00F91FBB"/>
    <w:rsid w:val="00F91FCA"/>
    <w:rsid w:val="00F92195"/>
    <w:rsid w:val="00F921EF"/>
    <w:rsid w:val="00F92284"/>
    <w:rsid w:val="00F922DE"/>
    <w:rsid w:val="00F92448"/>
    <w:rsid w:val="00F9247A"/>
    <w:rsid w:val="00F92832"/>
    <w:rsid w:val="00F929A5"/>
    <w:rsid w:val="00F929DC"/>
    <w:rsid w:val="00F92A9F"/>
    <w:rsid w:val="00F92B0D"/>
    <w:rsid w:val="00F92B85"/>
    <w:rsid w:val="00F92B92"/>
    <w:rsid w:val="00F92B9B"/>
    <w:rsid w:val="00F92C00"/>
    <w:rsid w:val="00F92CAC"/>
    <w:rsid w:val="00F92D04"/>
    <w:rsid w:val="00F92DFA"/>
    <w:rsid w:val="00F92E89"/>
    <w:rsid w:val="00F92EAC"/>
    <w:rsid w:val="00F92F05"/>
    <w:rsid w:val="00F92F0D"/>
    <w:rsid w:val="00F92FB4"/>
    <w:rsid w:val="00F93202"/>
    <w:rsid w:val="00F9327F"/>
    <w:rsid w:val="00F9328C"/>
    <w:rsid w:val="00F934AA"/>
    <w:rsid w:val="00F935C6"/>
    <w:rsid w:val="00F93703"/>
    <w:rsid w:val="00F9388A"/>
    <w:rsid w:val="00F938CA"/>
    <w:rsid w:val="00F938DB"/>
    <w:rsid w:val="00F939D6"/>
    <w:rsid w:val="00F93A9F"/>
    <w:rsid w:val="00F93B3A"/>
    <w:rsid w:val="00F93BF7"/>
    <w:rsid w:val="00F93CA1"/>
    <w:rsid w:val="00F93CED"/>
    <w:rsid w:val="00F93DCF"/>
    <w:rsid w:val="00F93E35"/>
    <w:rsid w:val="00F93E95"/>
    <w:rsid w:val="00F93EC8"/>
    <w:rsid w:val="00F94004"/>
    <w:rsid w:val="00F940DC"/>
    <w:rsid w:val="00F941F6"/>
    <w:rsid w:val="00F944AC"/>
    <w:rsid w:val="00F94558"/>
    <w:rsid w:val="00F94578"/>
    <w:rsid w:val="00F94595"/>
    <w:rsid w:val="00F945A0"/>
    <w:rsid w:val="00F945B1"/>
    <w:rsid w:val="00F945CD"/>
    <w:rsid w:val="00F94689"/>
    <w:rsid w:val="00F9470E"/>
    <w:rsid w:val="00F94761"/>
    <w:rsid w:val="00F9478A"/>
    <w:rsid w:val="00F9488B"/>
    <w:rsid w:val="00F94894"/>
    <w:rsid w:val="00F948D7"/>
    <w:rsid w:val="00F948E6"/>
    <w:rsid w:val="00F94E7B"/>
    <w:rsid w:val="00F94E89"/>
    <w:rsid w:val="00F94EF4"/>
    <w:rsid w:val="00F94EF6"/>
    <w:rsid w:val="00F94F23"/>
    <w:rsid w:val="00F950E4"/>
    <w:rsid w:val="00F95271"/>
    <w:rsid w:val="00F95304"/>
    <w:rsid w:val="00F9535C"/>
    <w:rsid w:val="00F95377"/>
    <w:rsid w:val="00F95381"/>
    <w:rsid w:val="00F95403"/>
    <w:rsid w:val="00F9546A"/>
    <w:rsid w:val="00F95472"/>
    <w:rsid w:val="00F954AF"/>
    <w:rsid w:val="00F95511"/>
    <w:rsid w:val="00F95534"/>
    <w:rsid w:val="00F9570F"/>
    <w:rsid w:val="00F9586A"/>
    <w:rsid w:val="00F958DA"/>
    <w:rsid w:val="00F959D8"/>
    <w:rsid w:val="00F95A48"/>
    <w:rsid w:val="00F95B08"/>
    <w:rsid w:val="00F95B88"/>
    <w:rsid w:val="00F95BF5"/>
    <w:rsid w:val="00F95D5F"/>
    <w:rsid w:val="00F95DEB"/>
    <w:rsid w:val="00F95DEE"/>
    <w:rsid w:val="00F95FFE"/>
    <w:rsid w:val="00F9603C"/>
    <w:rsid w:val="00F9608B"/>
    <w:rsid w:val="00F961A0"/>
    <w:rsid w:val="00F961B0"/>
    <w:rsid w:val="00F96266"/>
    <w:rsid w:val="00F96317"/>
    <w:rsid w:val="00F96397"/>
    <w:rsid w:val="00F963A9"/>
    <w:rsid w:val="00F963EE"/>
    <w:rsid w:val="00F964E4"/>
    <w:rsid w:val="00F9657E"/>
    <w:rsid w:val="00F967C3"/>
    <w:rsid w:val="00F967F1"/>
    <w:rsid w:val="00F96826"/>
    <w:rsid w:val="00F968DD"/>
    <w:rsid w:val="00F968F8"/>
    <w:rsid w:val="00F96C3D"/>
    <w:rsid w:val="00F96C8E"/>
    <w:rsid w:val="00F96CC6"/>
    <w:rsid w:val="00F96D02"/>
    <w:rsid w:val="00F96D2D"/>
    <w:rsid w:val="00F96ECF"/>
    <w:rsid w:val="00F970A4"/>
    <w:rsid w:val="00F970C2"/>
    <w:rsid w:val="00F970E2"/>
    <w:rsid w:val="00F97142"/>
    <w:rsid w:val="00F972D0"/>
    <w:rsid w:val="00F9730B"/>
    <w:rsid w:val="00F97367"/>
    <w:rsid w:val="00F97395"/>
    <w:rsid w:val="00F97417"/>
    <w:rsid w:val="00F97482"/>
    <w:rsid w:val="00F975A0"/>
    <w:rsid w:val="00F975A8"/>
    <w:rsid w:val="00F977EF"/>
    <w:rsid w:val="00F97844"/>
    <w:rsid w:val="00F97A0A"/>
    <w:rsid w:val="00F97A63"/>
    <w:rsid w:val="00F97A65"/>
    <w:rsid w:val="00F97C5A"/>
    <w:rsid w:val="00F97CF6"/>
    <w:rsid w:val="00F97D4A"/>
    <w:rsid w:val="00F97DBC"/>
    <w:rsid w:val="00F97E54"/>
    <w:rsid w:val="00F97EEF"/>
    <w:rsid w:val="00F97F50"/>
    <w:rsid w:val="00F99086"/>
    <w:rsid w:val="00FA0039"/>
    <w:rsid w:val="00FA005A"/>
    <w:rsid w:val="00FA00E7"/>
    <w:rsid w:val="00FA00EB"/>
    <w:rsid w:val="00FA014C"/>
    <w:rsid w:val="00FA0186"/>
    <w:rsid w:val="00FA01E4"/>
    <w:rsid w:val="00FA0213"/>
    <w:rsid w:val="00FA0223"/>
    <w:rsid w:val="00FA025D"/>
    <w:rsid w:val="00FA026D"/>
    <w:rsid w:val="00FA02B2"/>
    <w:rsid w:val="00FA02B6"/>
    <w:rsid w:val="00FA02F9"/>
    <w:rsid w:val="00FA037F"/>
    <w:rsid w:val="00FA04CA"/>
    <w:rsid w:val="00FA0533"/>
    <w:rsid w:val="00FA064A"/>
    <w:rsid w:val="00FA073E"/>
    <w:rsid w:val="00FA07BA"/>
    <w:rsid w:val="00FA07C9"/>
    <w:rsid w:val="00FA07DD"/>
    <w:rsid w:val="00FA082A"/>
    <w:rsid w:val="00FA0864"/>
    <w:rsid w:val="00FA08F1"/>
    <w:rsid w:val="00FA0AA4"/>
    <w:rsid w:val="00FA0AEA"/>
    <w:rsid w:val="00FA0B99"/>
    <w:rsid w:val="00FA0CA4"/>
    <w:rsid w:val="00FA0CD7"/>
    <w:rsid w:val="00FA0DD5"/>
    <w:rsid w:val="00FA0E91"/>
    <w:rsid w:val="00FA0EBB"/>
    <w:rsid w:val="00FA0FA8"/>
    <w:rsid w:val="00FA101D"/>
    <w:rsid w:val="00FA1024"/>
    <w:rsid w:val="00FA102D"/>
    <w:rsid w:val="00FA10C2"/>
    <w:rsid w:val="00FA1121"/>
    <w:rsid w:val="00FA18BF"/>
    <w:rsid w:val="00FA18EF"/>
    <w:rsid w:val="00FA1927"/>
    <w:rsid w:val="00FA193B"/>
    <w:rsid w:val="00FA194B"/>
    <w:rsid w:val="00FA1976"/>
    <w:rsid w:val="00FA1A5F"/>
    <w:rsid w:val="00FA1AE7"/>
    <w:rsid w:val="00FA1BB3"/>
    <w:rsid w:val="00FA1BE7"/>
    <w:rsid w:val="00FA1CB9"/>
    <w:rsid w:val="00FA1CF8"/>
    <w:rsid w:val="00FA1E64"/>
    <w:rsid w:val="00FA20CF"/>
    <w:rsid w:val="00FA20D4"/>
    <w:rsid w:val="00FA21F9"/>
    <w:rsid w:val="00FA22A3"/>
    <w:rsid w:val="00FA2401"/>
    <w:rsid w:val="00FA2434"/>
    <w:rsid w:val="00FA2515"/>
    <w:rsid w:val="00FA252F"/>
    <w:rsid w:val="00FA25F9"/>
    <w:rsid w:val="00FA26B9"/>
    <w:rsid w:val="00FA26C0"/>
    <w:rsid w:val="00FA26EB"/>
    <w:rsid w:val="00FA26EF"/>
    <w:rsid w:val="00FA27AB"/>
    <w:rsid w:val="00FA2839"/>
    <w:rsid w:val="00FA2AC6"/>
    <w:rsid w:val="00FA2B3F"/>
    <w:rsid w:val="00FA2BA3"/>
    <w:rsid w:val="00FA2CC2"/>
    <w:rsid w:val="00FA2D99"/>
    <w:rsid w:val="00FA2DF9"/>
    <w:rsid w:val="00FA3054"/>
    <w:rsid w:val="00FA3150"/>
    <w:rsid w:val="00FA3167"/>
    <w:rsid w:val="00FA32AC"/>
    <w:rsid w:val="00FA32FB"/>
    <w:rsid w:val="00FA3358"/>
    <w:rsid w:val="00FA34DE"/>
    <w:rsid w:val="00FA360C"/>
    <w:rsid w:val="00FA3742"/>
    <w:rsid w:val="00FA3A0D"/>
    <w:rsid w:val="00FA3A36"/>
    <w:rsid w:val="00FA3ACA"/>
    <w:rsid w:val="00FA3D79"/>
    <w:rsid w:val="00FA3D97"/>
    <w:rsid w:val="00FA3F16"/>
    <w:rsid w:val="00FA3F63"/>
    <w:rsid w:val="00FA406D"/>
    <w:rsid w:val="00FA4194"/>
    <w:rsid w:val="00FA439B"/>
    <w:rsid w:val="00FA43F6"/>
    <w:rsid w:val="00FA448A"/>
    <w:rsid w:val="00FA45D4"/>
    <w:rsid w:val="00FA4651"/>
    <w:rsid w:val="00FA46C5"/>
    <w:rsid w:val="00FA4725"/>
    <w:rsid w:val="00FA490E"/>
    <w:rsid w:val="00FA49E1"/>
    <w:rsid w:val="00FA4B9A"/>
    <w:rsid w:val="00FA4BB0"/>
    <w:rsid w:val="00FA4CB9"/>
    <w:rsid w:val="00FA4CDE"/>
    <w:rsid w:val="00FA4D36"/>
    <w:rsid w:val="00FA4EE9"/>
    <w:rsid w:val="00FA4F73"/>
    <w:rsid w:val="00FA4FC2"/>
    <w:rsid w:val="00FA53BE"/>
    <w:rsid w:val="00FA54E8"/>
    <w:rsid w:val="00FA56C2"/>
    <w:rsid w:val="00FA576F"/>
    <w:rsid w:val="00FA58B9"/>
    <w:rsid w:val="00FA5B7D"/>
    <w:rsid w:val="00FA5C08"/>
    <w:rsid w:val="00FA5DDD"/>
    <w:rsid w:val="00FA5DEC"/>
    <w:rsid w:val="00FA5E47"/>
    <w:rsid w:val="00FA5E5B"/>
    <w:rsid w:val="00FA5EA4"/>
    <w:rsid w:val="00FA5EF1"/>
    <w:rsid w:val="00FA5F06"/>
    <w:rsid w:val="00FA6099"/>
    <w:rsid w:val="00FA60D6"/>
    <w:rsid w:val="00FA61B5"/>
    <w:rsid w:val="00FA61CB"/>
    <w:rsid w:val="00FA63B4"/>
    <w:rsid w:val="00FA63DA"/>
    <w:rsid w:val="00FA64BB"/>
    <w:rsid w:val="00FA6561"/>
    <w:rsid w:val="00FA6611"/>
    <w:rsid w:val="00FA669A"/>
    <w:rsid w:val="00FA66F5"/>
    <w:rsid w:val="00FA67DF"/>
    <w:rsid w:val="00FA6863"/>
    <w:rsid w:val="00FA6935"/>
    <w:rsid w:val="00FA69AA"/>
    <w:rsid w:val="00FA6A02"/>
    <w:rsid w:val="00FA6A1F"/>
    <w:rsid w:val="00FA6A2D"/>
    <w:rsid w:val="00FA6A32"/>
    <w:rsid w:val="00FA6A47"/>
    <w:rsid w:val="00FA6AA1"/>
    <w:rsid w:val="00FA6B38"/>
    <w:rsid w:val="00FA6BD2"/>
    <w:rsid w:val="00FA6CE3"/>
    <w:rsid w:val="00FA6D54"/>
    <w:rsid w:val="00FA6FAA"/>
    <w:rsid w:val="00FA6FEF"/>
    <w:rsid w:val="00FA70D6"/>
    <w:rsid w:val="00FA7150"/>
    <w:rsid w:val="00FA71A4"/>
    <w:rsid w:val="00FA720A"/>
    <w:rsid w:val="00FA7456"/>
    <w:rsid w:val="00FA7589"/>
    <w:rsid w:val="00FA7753"/>
    <w:rsid w:val="00FA787E"/>
    <w:rsid w:val="00FA787F"/>
    <w:rsid w:val="00FA78D9"/>
    <w:rsid w:val="00FA79A7"/>
    <w:rsid w:val="00FA7A3B"/>
    <w:rsid w:val="00FA7A9D"/>
    <w:rsid w:val="00FA7ABF"/>
    <w:rsid w:val="00FA7AD4"/>
    <w:rsid w:val="00FA7BDE"/>
    <w:rsid w:val="00FA7BF7"/>
    <w:rsid w:val="00FA7C14"/>
    <w:rsid w:val="00FA7E6E"/>
    <w:rsid w:val="00FA7F9F"/>
    <w:rsid w:val="00FA7FAC"/>
    <w:rsid w:val="00FB0136"/>
    <w:rsid w:val="00FB0247"/>
    <w:rsid w:val="00FB0254"/>
    <w:rsid w:val="00FB03CF"/>
    <w:rsid w:val="00FB04CD"/>
    <w:rsid w:val="00FB05B8"/>
    <w:rsid w:val="00FB0620"/>
    <w:rsid w:val="00FB0664"/>
    <w:rsid w:val="00FB06C1"/>
    <w:rsid w:val="00FB082E"/>
    <w:rsid w:val="00FB0890"/>
    <w:rsid w:val="00FB09BB"/>
    <w:rsid w:val="00FB0CA5"/>
    <w:rsid w:val="00FB0FCC"/>
    <w:rsid w:val="00FB1018"/>
    <w:rsid w:val="00FB109E"/>
    <w:rsid w:val="00FB140A"/>
    <w:rsid w:val="00FB147B"/>
    <w:rsid w:val="00FB151C"/>
    <w:rsid w:val="00FB1609"/>
    <w:rsid w:val="00FB16DE"/>
    <w:rsid w:val="00FB171F"/>
    <w:rsid w:val="00FB177D"/>
    <w:rsid w:val="00FB1791"/>
    <w:rsid w:val="00FB1805"/>
    <w:rsid w:val="00FB18DD"/>
    <w:rsid w:val="00FB1993"/>
    <w:rsid w:val="00FB1CB6"/>
    <w:rsid w:val="00FB1E54"/>
    <w:rsid w:val="00FB1E6B"/>
    <w:rsid w:val="00FB2053"/>
    <w:rsid w:val="00FB2137"/>
    <w:rsid w:val="00FB213F"/>
    <w:rsid w:val="00FB222A"/>
    <w:rsid w:val="00FB223F"/>
    <w:rsid w:val="00FB22D3"/>
    <w:rsid w:val="00FB236C"/>
    <w:rsid w:val="00FB242A"/>
    <w:rsid w:val="00FB2558"/>
    <w:rsid w:val="00FB25C4"/>
    <w:rsid w:val="00FB2758"/>
    <w:rsid w:val="00FB27F8"/>
    <w:rsid w:val="00FB2825"/>
    <w:rsid w:val="00FB2A6E"/>
    <w:rsid w:val="00FB2C7B"/>
    <w:rsid w:val="00FB2C8A"/>
    <w:rsid w:val="00FB2D24"/>
    <w:rsid w:val="00FB3039"/>
    <w:rsid w:val="00FB3136"/>
    <w:rsid w:val="00FB31AA"/>
    <w:rsid w:val="00FB31B7"/>
    <w:rsid w:val="00FB33B4"/>
    <w:rsid w:val="00FB35A9"/>
    <w:rsid w:val="00FB3676"/>
    <w:rsid w:val="00FB369E"/>
    <w:rsid w:val="00FB37AD"/>
    <w:rsid w:val="00FB3970"/>
    <w:rsid w:val="00FB3BDE"/>
    <w:rsid w:val="00FB3F12"/>
    <w:rsid w:val="00FB40BF"/>
    <w:rsid w:val="00FB40F6"/>
    <w:rsid w:val="00FB4199"/>
    <w:rsid w:val="00FB422B"/>
    <w:rsid w:val="00FB4293"/>
    <w:rsid w:val="00FB42DF"/>
    <w:rsid w:val="00FB42EB"/>
    <w:rsid w:val="00FB43E7"/>
    <w:rsid w:val="00FB4549"/>
    <w:rsid w:val="00FB46AE"/>
    <w:rsid w:val="00FB47B2"/>
    <w:rsid w:val="00FB48E4"/>
    <w:rsid w:val="00FB493A"/>
    <w:rsid w:val="00FB4ADF"/>
    <w:rsid w:val="00FB4AEA"/>
    <w:rsid w:val="00FB4B60"/>
    <w:rsid w:val="00FB4CE0"/>
    <w:rsid w:val="00FB4DF7"/>
    <w:rsid w:val="00FB4EEE"/>
    <w:rsid w:val="00FB5044"/>
    <w:rsid w:val="00FB5193"/>
    <w:rsid w:val="00FB521F"/>
    <w:rsid w:val="00FB5318"/>
    <w:rsid w:val="00FB5356"/>
    <w:rsid w:val="00FB53DC"/>
    <w:rsid w:val="00FB5405"/>
    <w:rsid w:val="00FB54DC"/>
    <w:rsid w:val="00FB5563"/>
    <w:rsid w:val="00FB5569"/>
    <w:rsid w:val="00FB5642"/>
    <w:rsid w:val="00FB5775"/>
    <w:rsid w:val="00FB577D"/>
    <w:rsid w:val="00FB57E6"/>
    <w:rsid w:val="00FB5B27"/>
    <w:rsid w:val="00FB5B75"/>
    <w:rsid w:val="00FB5D7D"/>
    <w:rsid w:val="00FB5ED9"/>
    <w:rsid w:val="00FB5EEF"/>
    <w:rsid w:val="00FB5F3D"/>
    <w:rsid w:val="00FB5F5A"/>
    <w:rsid w:val="00FB6144"/>
    <w:rsid w:val="00FB626F"/>
    <w:rsid w:val="00FB6346"/>
    <w:rsid w:val="00FB63B3"/>
    <w:rsid w:val="00FB64E2"/>
    <w:rsid w:val="00FB650D"/>
    <w:rsid w:val="00FB6628"/>
    <w:rsid w:val="00FB6650"/>
    <w:rsid w:val="00FB665C"/>
    <w:rsid w:val="00FB66A5"/>
    <w:rsid w:val="00FB679C"/>
    <w:rsid w:val="00FB6813"/>
    <w:rsid w:val="00FB684B"/>
    <w:rsid w:val="00FB689E"/>
    <w:rsid w:val="00FB68AF"/>
    <w:rsid w:val="00FB6A8C"/>
    <w:rsid w:val="00FB6A93"/>
    <w:rsid w:val="00FB6BDD"/>
    <w:rsid w:val="00FB6EEA"/>
    <w:rsid w:val="00FB6EFF"/>
    <w:rsid w:val="00FB6F59"/>
    <w:rsid w:val="00FB6FBD"/>
    <w:rsid w:val="00FB6FE0"/>
    <w:rsid w:val="00FB6FF9"/>
    <w:rsid w:val="00FB7131"/>
    <w:rsid w:val="00FB7275"/>
    <w:rsid w:val="00FB741C"/>
    <w:rsid w:val="00FB751C"/>
    <w:rsid w:val="00FB755C"/>
    <w:rsid w:val="00FB758F"/>
    <w:rsid w:val="00FB760C"/>
    <w:rsid w:val="00FB7722"/>
    <w:rsid w:val="00FB77EC"/>
    <w:rsid w:val="00FB7819"/>
    <w:rsid w:val="00FB781C"/>
    <w:rsid w:val="00FB7B43"/>
    <w:rsid w:val="00FB7B9A"/>
    <w:rsid w:val="00FB7C9E"/>
    <w:rsid w:val="00FB7D25"/>
    <w:rsid w:val="00FB7D29"/>
    <w:rsid w:val="00FB7D63"/>
    <w:rsid w:val="00FB7D73"/>
    <w:rsid w:val="00FB7D94"/>
    <w:rsid w:val="00FB7F05"/>
    <w:rsid w:val="00FB7F2C"/>
    <w:rsid w:val="00FB7F39"/>
    <w:rsid w:val="00FB7F66"/>
    <w:rsid w:val="00FB7F98"/>
    <w:rsid w:val="00FB7FE4"/>
    <w:rsid w:val="00FB7FFC"/>
    <w:rsid w:val="00FC0019"/>
    <w:rsid w:val="00FC00FE"/>
    <w:rsid w:val="00FC02C2"/>
    <w:rsid w:val="00FC02E8"/>
    <w:rsid w:val="00FC0305"/>
    <w:rsid w:val="00FC032E"/>
    <w:rsid w:val="00FC03D8"/>
    <w:rsid w:val="00FC05A8"/>
    <w:rsid w:val="00FC063F"/>
    <w:rsid w:val="00FC06F3"/>
    <w:rsid w:val="00FC0773"/>
    <w:rsid w:val="00FC07BA"/>
    <w:rsid w:val="00FC0967"/>
    <w:rsid w:val="00FC09CF"/>
    <w:rsid w:val="00FC0B7A"/>
    <w:rsid w:val="00FC0C97"/>
    <w:rsid w:val="00FC0D9E"/>
    <w:rsid w:val="00FC0DDC"/>
    <w:rsid w:val="00FC0E4A"/>
    <w:rsid w:val="00FC0E68"/>
    <w:rsid w:val="00FC0F91"/>
    <w:rsid w:val="00FC13F2"/>
    <w:rsid w:val="00FC13FC"/>
    <w:rsid w:val="00FC1471"/>
    <w:rsid w:val="00FC150B"/>
    <w:rsid w:val="00FC156E"/>
    <w:rsid w:val="00FC15D9"/>
    <w:rsid w:val="00FC161A"/>
    <w:rsid w:val="00FC16B2"/>
    <w:rsid w:val="00FC16CA"/>
    <w:rsid w:val="00FC16DF"/>
    <w:rsid w:val="00FC17BC"/>
    <w:rsid w:val="00FC1815"/>
    <w:rsid w:val="00FC18F2"/>
    <w:rsid w:val="00FC1AF4"/>
    <w:rsid w:val="00FC1B7F"/>
    <w:rsid w:val="00FC1BC3"/>
    <w:rsid w:val="00FC1C7A"/>
    <w:rsid w:val="00FC1C9F"/>
    <w:rsid w:val="00FC1CA0"/>
    <w:rsid w:val="00FC1DB7"/>
    <w:rsid w:val="00FC1DE9"/>
    <w:rsid w:val="00FC1FCB"/>
    <w:rsid w:val="00FC20D7"/>
    <w:rsid w:val="00FC215A"/>
    <w:rsid w:val="00FC2197"/>
    <w:rsid w:val="00FC2380"/>
    <w:rsid w:val="00FC23E7"/>
    <w:rsid w:val="00FC23FF"/>
    <w:rsid w:val="00FC245F"/>
    <w:rsid w:val="00FC2499"/>
    <w:rsid w:val="00FC2598"/>
    <w:rsid w:val="00FC25DB"/>
    <w:rsid w:val="00FC2626"/>
    <w:rsid w:val="00FC2742"/>
    <w:rsid w:val="00FC2795"/>
    <w:rsid w:val="00FC2854"/>
    <w:rsid w:val="00FC2909"/>
    <w:rsid w:val="00FC29BC"/>
    <w:rsid w:val="00FC2B80"/>
    <w:rsid w:val="00FC2C12"/>
    <w:rsid w:val="00FC2C4E"/>
    <w:rsid w:val="00FC2C7F"/>
    <w:rsid w:val="00FC2D0F"/>
    <w:rsid w:val="00FC2EB8"/>
    <w:rsid w:val="00FC3038"/>
    <w:rsid w:val="00FC3040"/>
    <w:rsid w:val="00FC312B"/>
    <w:rsid w:val="00FC31D0"/>
    <w:rsid w:val="00FC331C"/>
    <w:rsid w:val="00FC33A7"/>
    <w:rsid w:val="00FC33EA"/>
    <w:rsid w:val="00FC350B"/>
    <w:rsid w:val="00FC35DE"/>
    <w:rsid w:val="00FC3749"/>
    <w:rsid w:val="00FC3812"/>
    <w:rsid w:val="00FC3B37"/>
    <w:rsid w:val="00FC3C16"/>
    <w:rsid w:val="00FC3CAA"/>
    <w:rsid w:val="00FC3D56"/>
    <w:rsid w:val="00FC3F11"/>
    <w:rsid w:val="00FC3FC0"/>
    <w:rsid w:val="00FC410A"/>
    <w:rsid w:val="00FC41A3"/>
    <w:rsid w:val="00FC41B0"/>
    <w:rsid w:val="00FC41F8"/>
    <w:rsid w:val="00FC421B"/>
    <w:rsid w:val="00FC4320"/>
    <w:rsid w:val="00FC4369"/>
    <w:rsid w:val="00FC44A5"/>
    <w:rsid w:val="00FC4655"/>
    <w:rsid w:val="00FC46AC"/>
    <w:rsid w:val="00FC46AF"/>
    <w:rsid w:val="00FC4786"/>
    <w:rsid w:val="00FC4797"/>
    <w:rsid w:val="00FC492C"/>
    <w:rsid w:val="00FC49A4"/>
    <w:rsid w:val="00FC4A39"/>
    <w:rsid w:val="00FC4A68"/>
    <w:rsid w:val="00FC4E82"/>
    <w:rsid w:val="00FC4E9B"/>
    <w:rsid w:val="00FC4ECF"/>
    <w:rsid w:val="00FC4F11"/>
    <w:rsid w:val="00FC4F39"/>
    <w:rsid w:val="00FC512A"/>
    <w:rsid w:val="00FC51B5"/>
    <w:rsid w:val="00FC52B2"/>
    <w:rsid w:val="00FC541F"/>
    <w:rsid w:val="00FC549F"/>
    <w:rsid w:val="00FC54A1"/>
    <w:rsid w:val="00FC54FF"/>
    <w:rsid w:val="00FC55F6"/>
    <w:rsid w:val="00FC5658"/>
    <w:rsid w:val="00FC5666"/>
    <w:rsid w:val="00FC5751"/>
    <w:rsid w:val="00FC58CD"/>
    <w:rsid w:val="00FC5973"/>
    <w:rsid w:val="00FC597B"/>
    <w:rsid w:val="00FC5A04"/>
    <w:rsid w:val="00FC5A73"/>
    <w:rsid w:val="00FC5CBB"/>
    <w:rsid w:val="00FC5D39"/>
    <w:rsid w:val="00FC5FAA"/>
    <w:rsid w:val="00FC60B1"/>
    <w:rsid w:val="00FC60CE"/>
    <w:rsid w:val="00FC6139"/>
    <w:rsid w:val="00FC6144"/>
    <w:rsid w:val="00FC666D"/>
    <w:rsid w:val="00FC671B"/>
    <w:rsid w:val="00FC698D"/>
    <w:rsid w:val="00FC69C1"/>
    <w:rsid w:val="00FC6C39"/>
    <w:rsid w:val="00FC6EA5"/>
    <w:rsid w:val="00FC70FD"/>
    <w:rsid w:val="00FC7205"/>
    <w:rsid w:val="00FC7335"/>
    <w:rsid w:val="00FC73A4"/>
    <w:rsid w:val="00FC73ED"/>
    <w:rsid w:val="00FC7531"/>
    <w:rsid w:val="00FC754C"/>
    <w:rsid w:val="00FC75C9"/>
    <w:rsid w:val="00FC75F2"/>
    <w:rsid w:val="00FC787C"/>
    <w:rsid w:val="00FC788B"/>
    <w:rsid w:val="00FC78A9"/>
    <w:rsid w:val="00FC797D"/>
    <w:rsid w:val="00FC79D4"/>
    <w:rsid w:val="00FC7BC7"/>
    <w:rsid w:val="00FC7CA6"/>
    <w:rsid w:val="00FC7CD2"/>
    <w:rsid w:val="00FC7CD6"/>
    <w:rsid w:val="00FC7E04"/>
    <w:rsid w:val="00FC7F52"/>
    <w:rsid w:val="00FD01E8"/>
    <w:rsid w:val="00FD020C"/>
    <w:rsid w:val="00FD02B8"/>
    <w:rsid w:val="00FD02FA"/>
    <w:rsid w:val="00FD03E6"/>
    <w:rsid w:val="00FD04D5"/>
    <w:rsid w:val="00FD05FB"/>
    <w:rsid w:val="00FD0626"/>
    <w:rsid w:val="00FD0654"/>
    <w:rsid w:val="00FD071E"/>
    <w:rsid w:val="00FD07A8"/>
    <w:rsid w:val="00FD092D"/>
    <w:rsid w:val="00FD0997"/>
    <w:rsid w:val="00FD0A42"/>
    <w:rsid w:val="00FD0AED"/>
    <w:rsid w:val="00FD0B24"/>
    <w:rsid w:val="00FD0B6D"/>
    <w:rsid w:val="00FD0B93"/>
    <w:rsid w:val="00FD0C49"/>
    <w:rsid w:val="00FD0D29"/>
    <w:rsid w:val="00FD0DA3"/>
    <w:rsid w:val="00FD0EBB"/>
    <w:rsid w:val="00FD0EEF"/>
    <w:rsid w:val="00FD0FA1"/>
    <w:rsid w:val="00FD1028"/>
    <w:rsid w:val="00FD105F"/>
    <w:rsid w:val="00FD1096"/>
    <w:rsid w:val="00FD1115"/>
    <w:rsid w:val="00FD118F"/>
    <w:rsid w:val="00FD11C8"/>
    <w:rsid w:val="00FD1252"/>
    <w:rsid w:val="00FD12CD"/>
    <w:rsid w:val="00FD1321"/>
    <w:rsid w:val="00FD15CE"/>
    <w:rsid w:val="00FD1775"/>
    <w:rsid w:val="00FD182E"/>
    <w:rsid w:val="00FD18A4"/>
    <w:rsid w:val="00FD1991"/>
    <w:rsid w:val="00FD19D8"/>
    <w:rsid w:val="00FD1A58"/>
    <w:rsid w:val="00FD1A85"/>
    <w:rsid w:val="00FD1A96"/>
    <w:rsid w:val="00FD1AE5"/>
    <w:rsid w:val="00FD1B03"/>
    <w:rsid w:val="00FD1C95"/>
    <w:rsid w:val="00FD1CA4"/>
    <w:rsid w:val="00FD1DFD"/>
    <w:rsid w:val="00FD1F00"/>
    <w:rsid w:val="00FD213D"/>
    <w:rsid w:val="00FD21E4"/>
    <w:rsid w:val="00FD21FD"/>
    <w:rsid w:val="00FD2301"/>
    <w:rsid w:val="00FD230C"/>
    <w:rsid w:val="00FD2690"/>
    <w:rsid w:val="00FD2782"/>
    <w:rsid w:val="00FD2851"/>
    <w:rsid w:val="00FD28B0"/>
    <w:rsid w:val="00FD28B1"/>
    <w:rsid w:val="00FD28C1"/>
    <w:rsid w:val="00FD28E4"/>
    <w:rsid w:val="00FD2B16"/>
    <w:rsid w:val="00FD2BEF"/>
    <w:rsid w:val="00FD2CF6"/>
    <w:rsid w:val="00FD2D04"/>
    <w:rsid w:val="00FD2D72"/>
    <w:rsid w:val="00FD2D96"/>
    <w:rsid w:val="00FD2E7D"/>
    <w:rsid w:val="00FD2EC7"/>
    <w:rsid w:val="00FD2ED3"/>
    <w:rsid w:val="00FD2F99"/>
    <w:rsid w:val="00FD2F9E"/>
    <w:rsid w:val="00FD2F9F"/>
    <w:rsid w:val="00FD3050"/>
    <w:rsid w:val="00FD3189"/>
    <w:rsid w:val="00FD31AA"/>
    <w:rsid w:val="00FD31C2"/>
    <w:rsid w:val="00FD3235"/>
    <w:rsid w:val="00FD3253"/>
    <w:rsid w:val="00FD3303"/>
    <w:rsid w:val="00FD356A"/>
    <w:rsid w:val="00FD3635"/>
    <w:rsid w:val="00FD3705"/>
    <w:rsid w:val="00FD375A"/>
    <w:rsid w:val="00FD376D"/>
    <w:rsid w:val="00FD37A0"/>
    <w:rsid w:val="00FD37A7"/>
    <w:rsid w:val="00FD39CA"/>
    <w:rsid w:val="00FD3AF4"/>
    <w:rsid w:val="00FD3C32"/>
    <w:rsid w:val="00FD3D48"/>
    <w:rsid w:val="00FD3DA3"/>
    <w:rsid w:val="00FD40FE"/>
    <w:rsid w:val="00FD422E"/>
    <w:rsid w:val="00FD4321"/>
    <w:rsid w:val="00FD4334"/>
    <w:rsid w:val="00FD4390"/>
    <w:rsid w:val="00FD4396"/>
    <w:rsid w:val="00FD43DC"/>
    <w:rsid w:val="00FD45D9"/>
    <w:rsid w:val="00FD467D"/>
    <w:rsid w:val="00FD47D1"/>
    <w:rsid w:val="00FD4848"/>
    <w:rsid w:val="00FD48FD"/>
    <w:rsid w:val="00FD493D"/>
    <w:rsid w:val="00FD4987"/>
    <w:rsid w:val="00FD4B87"/>
    <w:rsid w:val="00FD4BD2"/>
    <w:rsid w:val="00FD4D0C"/>
    <w:rsid w:val="00FD4D13"/>
    <w:rsid w:val="00FD4FCD"/>
    <w:rsid w:val="00FD5052"/>
    <w:rsid w:val="00FD5073"/>
    <w:rsid w:val="00FD5302"/>
    <w:rsid w:val="00FD5374"/>
    <w:rsid w:val="00FD5394"/>
    <w:rsid w:val="00FD5395"/>
    <w:rsid w:val="00FD53AC"/>
    <w:rsid w:val="00FD53D5"/>
    <w:rsid w:val="00FD5428"/>
    <w:rsid w:val="00FD566A"/>
    <w:rsid w:val="00FD572A"/>
    <w:rsid w:val="00FD5754"/>
    <w:rsid w:val="00FD57C7"/>
    <w:rsid w:val="00FD58A2"/>
    <w:rsid w:val="00FD58E5"/>
    <w:rsid w:val="00FD593E"/>
    <w:rsid w:val="00FD5984"/>
    <w:rsid w:val="00FD5A4C"/>
    <w:rsid w:val="00FD5C6B"/>
    <w:rsid w:val="00FD5D45"/>
    <w:rsid w:val="00FD5D6E"/>
    <w:rsid w:val="00FD60BB"/>
    <w:rsid w:val="00FD6138"/>
    <w:rsid w:val="00FD635C"/>
    <w:rsid w:val="00FD63ED"/>
    <w:rsid w:val="00FD642E"/>
    <w:rsid w:val="00FD646C"/>
    <w:rsid w:val="00FD64F0"/>
    <w:rsid w:val="00FD6507"/>
    <w:rsid w:val="00FD664B"/>
    <w:rsid w:val="00FD6706"/>
    <w:rsid w:val="00FD6771"/>
    <w:rsid w:val="00FD6878"/>
    <w:rsid w:val="00FD68B8"/>
    <w:rsid w:val="00FD68BC"/>
    <w:rsid w:val="00FD690A"/>
    <w:rsid w:val="00FD6ACB"/>
    <w:rsid w:val="00FD6BC0"/>
    <w:rsid w:val="00FD6D2B"/>
    <w:rsid w:val="00FD6D72"/>
    <w:rsid w:val="00FD6EBA"/>
    <w:rsid w:val="00FD6ECD"/>
    <w:rsid w:val="00FD701D"/>
    <w:rsid w:val="00FD704F"/>
    <w:rsid w:val="00FD70E6"/>
    <w:rsid w:val="00FD71DD"/>
    <w:rsid w:val="00FD723A"/>
    <w:rsid w:val="00FD7269"/>
    <w:rsid w:val="00FD73A8"/>
    <w:rsid w:val="00FD7405"/>
    <w:rsid w:val="00FD7748"/>
    <w:rsid w:val="00FD7784"/>
    <w:rsid w:val="00FD77CE"/>
    <w:rsid w:val="00FD7804"/>
    <w:rsid w:val="00FD7813"/>
    <w:rsid w:val="00FD7831"/>
    <w:rsid w:val="00FD7840"/>
    <w:rsid w:val="00FD795D"/>
    <w:rsid w:val="00FD7982"/>
    <w:rsid w:val="00FD7ABC"/>
    <w:rsid w:val="00FD7B31"/>
    <w:rsid w:val="00FD7C11"/>
    <w:rsid w:val="00FD7F60"/>
    <w:rsid w:val="00FE007C"/>
    <w:rsid w:val="00FE0150"/>
    <w:rsid w:val="00FE01F5"/>
    <w:rsid w:val="00FE02D8"/>
    <w:rsid w:val="00FE03C5"/>
    <w:rsid w:val="00FE0490"/>
    <w:rsid w:val="00FE0548"/>
    <w:rsid w:val="00FE07E7"/>
    <w:rsid w:val="00FE0851"/>
    <w:rsid w:val="00FE095C"/>
    <w:rsid w:val="00FE0E16"/>
    <w:rsid w:val="00FE0E43"/>
    <w:rsid w:val="00FE0F39"/>
    <w:rsid w:val="00FE0F5A"/>
    <w:rsid w:val="00FE0FD7"/>
    <w:rsid w:val="00FE0FE0"/>
    <w:rsid w:val="00FE10A8"/>
    <w:rsid w:val="00FE10E4"/>
    <w:rsid w:val="00FE1174"/>
    <w:rsid w:val="00FE1187"/>
    <w:rsid w:val="00FE12F2"/>
    <w:rsid w:val="00FE13A3"/>
    <w:rsid w:val="00FE141E"/>
    <w:rsid w:val="00FE151A"/>
    <w:rsid w:val="00FE1636"/>
    <w:rsid w:val="00FE1756"/>
    <w:rsid w:val="00FE1784"/>
    <w:rsid w:val="00FE17FB"/>
    <w:rsid w:val="00FE1877"/>
    <w:rsid w:val="00FE198D"/>
    <w:rsid w:val="00FE1A65"/>
    <w:rsid w:val="00FE1BAD"/>
    <w:rsid w:val="00FE1BC5"/>
    <w:rsid w:val="00FE1BD2"/>
    <w:rsid w:val="00FE1C02"/>
    <w:rsid w:val="00FE1D1D"/>
    <w:rsid w:val="00FE1EE2"/>
    <w:rsid w:val="00FE1F23"/>
    <w:rsid w:val="00FE1FC4"/>
    <w:rsid w:val="00FE1FFD"/>
    <w:rsid w:val="00FE2036"/>
    <w:rsid w:val="00FE21F9"/>
    <w:rsid w:val="00FE244D"/>
    <w:rsid w:val="00FE2485"/>
    <w:rsid w:val="00FE24A9"/>
    <w:rsid w:val="00FE2564"/>
    <w:rsid w:val="00FE2660"/>
    <w:rsid w:val="00FE2775"/>
    <w:rsid w:val="00FE2794"/>
    <w:rsid w:val="00FE282E"/>
    <w:rsid w:val="00FE2850"/>
    <w:rsid w:val="00FE28F7"/>
    <w:rsid w:val="00FE29DB"/>
    <w:rsid w:val="00FE29E9"/>
    <w:rsid w:val="00FE2A60"/>
    <w:rsid w:val="00FE2B4A"/>
    <w:rsid w:val="00FE2C7D"/>
    <w:rsid w:val="00FE2C85"/>
    <w:rsid w:val="00FE2DBD"/>
    <w:rsid w:val="00FE2E04"/>
    <w:rsid w:val="00FE2F64"/>
    <w:rsid w:val="00FE3058"/>
    <w:rsid w:val="00FE3092"/>
    <w:rsid w:val="00FE30C8"/>
    <w:rsid w:val="00FE30FD"/>
    <w:rsid w:val="00FE3178"/>
    <w:rsid w:val="00FE3194"/>
    <w:rsid w:val="00FE31AF"/>
    <w:rsid w:val="00FE3200"/>
    <w:rsid w:val="00FE3480"/>
    <w:rsid w:val="00FE357B"/>
    <w:rsid w:val="00FE35A3"/>
    <w:rsid w:val="00FE35F9"/>
    <w:rsid w:val="00FE38F8"/>
    <w:rsid w:val="00FE3966"/>
    <w:rsid w:val="00FE3A8C"/>
    <w:rsid w:val="00FE3C2E"/>
    <w:rsid w:val="00FE3C73"/>
    <w:rsid w:val="00FE40BE"/>
    <w:rsid w:val="00FE41DA"/>
    <w:rsid w:val="00FE41E5"/>
    <w:rsid w:val="00FE437E"/>
    <w:rsid w:val="00FE440F"/>
    <w:rsid w:val="00FE442E"/>
    <w:rsid w:val="00FE44DC"/>
    <w:rsid w:val="00FE456C"/>
    <w:rsid w:val="00FE45AF"/>
    <w:rsid w:val="00FE45C3"/>
    <w:rsid w:val="00FE45EB"/>
    <w:rsid w:val="00FE460F"/>
    <w:rsid w:val="00FE4726"/>
    <w:rsid w:val="00FE4786"/>
    <w:rsid w:val="00FE47E0"/>
    <w:rsid w:val="00FE47F7"/>
    <w:rsid w:val="00FE4883"/>
    <w:rsid w:val="00FE4976"/>
    <w:rsid w:val="00FE49CF"/>
    <w:rsid w:val="00FE4AAA"/>
    <w:rsid w:val="00FE4C23"/>
    <w:rsid w:val="00FE4C98"/>
    <w:rsid w:val="00FE4F0A"/>
    <w:rsid w:val="00FE50BB"/>
    <w:rsid w:val="00FE50D4"/>
    <w:rsid w:val="00FE5268"/>
    <w:rsid w:val="00FE536A"/>
    <w:rsid w:val="00FE5435"/>
    <w:rsid w:val="00FE5547"/>
    <w:rsid w:val="00FE5573"/>
    <w:rsid w:val="00FE578E"/>
    <w:rsid w:val="00FE5814"/>
    <w:rsid w:val="00FE5909"/>
    <w:rsid w:val="00FE5A5B"/>
    <w:rsid w:val="00FE5B6E"/>
    <w:rsid w:val="00FE5C7F"/>
    <w:rsid w:val="00FE5D5D"/>
    <w:rsid w:val="00FE5D74"/>
    <w:rsid w:val="00FE5D8B"/>
    <w:rsid w:val="00FE5EC9"/>
    <w:rsid w:val="00FE5F6E"/>
    <w:rsid w:val="00FE5F81"/>
    <w:rsid w:val="00FE6164"/>
    <w:rsid w:val="00FE6167"/>
    <w:rsid w:val="00FE617F"/>
    <w:rsid w:val="00FE622C"/>
    <w:rsid w:val="00FE6349"/>
    <w:rsid w:val="00FE637D"/>
    <w:rsid w:val="00FE63A9"/>
    <w:rsid w:val="00FE6426"/>
    <w:rsid w:val="00FE6486"/>
    <w:rsid w:val="00FE656F"/>
    <w:rsid w:val="00FE6610"/>
    <w:rsid w:val="00FE6697"/>
    <w:rsid w:val="00FE68FB"/>
    <w:rsid w:val="00FE6971"/>
    <w:rsid w:val="00FE69B3"/>
    <w:rsid w:val="00FE6B0D"/>
    <w:rsid w:val="00FE6C0C"/>
    <w:rsid w:val="00FE6D07"/>
    <w:rsid w:val="00FE6D4C"/>
    <w:rsid w:val="00FE6F4E"/>
    <w:rsid w:val="00FE7162"/>
    <w:rsid w:val="00FE71E4"/>
    <w:rsid w:val="00FE71F2"/>
    <w:rsid w:val="00FE7220"/>
    <w:rsid w:val="00FE7387"/>
    <w:rsid w:val="00FE73FC"/>
    <w:rsid w:val="00FE74A1"/>
    <w:rsid w:val="00FE74AA"/>
    <w:rsid w:val="00FE7518"/>
    <w:rsid w:val="00FE752F"/>
    <w:rsid w:val="00FE7602"/>
    <w:rsid w:val="00FE7700"/>
    <w:rsid w:val="00FE781B"/>
    <w:rsid w:val="00FE786A"/>
    <w:rsid w:val="00FE78B8"/>
    <w:rsid w:val="00FE791A"/>
    <w:rsid w:val="00FE7938"/>
    <w:rsid w:val="00FE7A61"/>
    <w:rsid w:val="00FE7AD2"/>
    <w:rsid w:val="00FE7AEF"/>
    <w:rsid w:val="00FE7CA6"/>
    <w:rsid w:val="00FE7D19"/>
    <w:rsid w:val="00FE7D3D"/>
    <w:rsid w:val="00FE7F79"/>
    <w:rsid w:val="00FF0084"/>
    <w:rsid w:val="00FF0144"/>
    <w:rsid w:val="00FF025D"/>
    <w:rsid w:val="00FF0297"/>
    <w:rsid w:val="00FF0378"/>
    <w:rsid w:val="00FF03BA"/>
    <w:rsid w:val="00FF0496"/>
    <w:rsid w:val="00FF04DD"/>
    <w:rsid w:val="00FF054A"/>
    <w:rsid w:val="00FF061F"/>
    <w:rsid w:val="00FF0890"/>
    <w:rsid w:val="00FF08E4"/>
    <w:rsid w:val="00FF0944"/>
    <w:rsid w:val="00FF0A10"/>
    <w:rsid w:val="00FF0A1D"/>
    <w:rsid w:val="00FF0B9C"/>
    <w:rsid w:val="00FF0C48"/>
    <w:rsid w:val="00FF0C78"/>
    <w:rsid w:val="00FF0DAF"/>
    <w:rsid w:val="00FF0E7F"/>
    <w:rsid w:val="00FF0ED7"/>
    <w:rsid w:val="00FF0F14"/>
    <w:rsid w:val="00FF0F6B"/>
    <w:rsid w:val="00FF0F6D"/>
    <w:rsid w:val="00FF0FCC"/>
    <w:rsid w:val="00FF0FDC"/>
    <w:rsid w:val="00FF0FE2"/>
    <w:rsid w:val="00FF10B8"/>
    <w:rsid w:val="00FF10E8"/>
    <w:rsid w:val="00FF128A"/>
    <w:rsid w:val="00FF13A0"/>
    <w:rsid w:val="00FF15B4"/>
    <w:rsid w:val="00FF164F"/>
    <w:rsid w:val="00FF1793"/>
    <w:rsid w:val="00FF17EA"/>
    <w:rsid w:val="00FF1823"/>
    <w:rsid w:val="00FF19AD"/>
    <w:rsid w:val="00FF19E3"/>
    <w:rsid w:val="00FF1A43"/>
    <w:rsid w:val="00FF1B97"/>
    <w:rsid w:val="00FF1D34"/>
    <w:rsid w:val="00FF1DAC"/>
    <w:rsid w:val="00FF1E41"/>
    <w:rsid w:val="00FF1F2A"/>
    <w:rsid w:val="00FF1FEE"/>
    <w:rsid w:val="00FF20E8"/>
    <w:rsid w:val="00FF21B8"/>
    <w:rsid w:val="00FF225D"/>
    <w:rsid w:val="00FF2487"/>
    <w:rsid w:val="00FF24AF"/>
    <w:rsid w:val="00FF252A"/>
    <w:rsid w:val="00FF25DC"/>
    <w:rsid w:val="00FF267F"/>
    <w:rsid w:val="00FF272F"/>
    <w:rsid w:val="00FF2777"/>
    <w:rsid w:val="00FF27A3"/>
    <w:rsid w:val="00FF27C5"/>
    <w:rsid w:val="00FF29CB"/>
    <w:rsid w:val="00FF2C71"/>
    <w:rsid w:val="00FF2C8E"/>
    <w:rsid w:val="00FF2CC9"/>
    <w:rsid w:val="00FF2E59"/>
    <w:rsid w:val="00FF2EA4"/>
    <w:rsid w:val="00FF2F01"/>
    <w:rsid w:val="00FF2F33"/>
    <w:rsid w:val="00FF2FDB"/>
    <w:rsid w:val="00FF3094"/>
    <w:rsid w:val="00FF3171"/>
    <w:rsid w:val="00FF31F6"/>
    <w:rsid w:val="00FF320A"/>
    <w:rsid w:val="00FF3216"/>
    <w:rsid w:val="00FF338D"/>
    <w:rsid w:val="00FF339B"/>
    <w:rsid w:val="00FF3432"/>
    <w:rsid w:val="00FF3642"/>
    <w:rsid w:val="00FF3698"/>
    <w:rsid w:val="00FF3879"/>
    <w:rsid w:val="00FF390D"/>
    <w:rsid w:val="00FF3A99"/>
    <w:rsid w:val="00FF3AAA"/>
    <w:rsid w:val="00FF3B05"/>
    <w:rsid w:val="00FF3B67"/>
    <w:rsid w:val="00FF3C3E"/>
    <w:rsid w:val="00FF3CCE"/>
    <w:rsid w:val="00FF3DC8"/>
    <w:rsid w:val="00FF3E9C"/>
    <w:rsid w:val="00FF3FB6"/>
    <w:rsid w:val="00FF40AB"/>
    <w:rsid w:val="00FF4136"/>
    <w:rsid w:val="00FF41B1"/>
    <w:rsid w:val="00FF4280"/>
    <w:rsid w:val="00FF430D"/>
    <w:rsid w:val="00FF44CA"/>
    <w:rsid w:val="00FF44F5"/>
    <w:rsid w:val="00FF4752"/>
    <w:rsid w:val="00FF47AE"/>
    <w:rsid w:val="00FF47BA"/>
    <w:rsid w:val="00FF4BC2"/>
    <w:rsid w:val="00FF4C23"/>
    <w:rsid w:val="00FF4E2F"/>
    <w:rsid w:val="00FF4F04"/>
    <w:rsid w:val="00FF4F06"/>
    <w:rsid w:val="00FF4F68"/>
    <w:rsid w:val="00FF4FDC"/>
    <w:rsid w:val="00FF50A1"/>
    <w:rsid w:val="00FF50C9"/>
    <w:rsid w:val="00FF5133"/>
    <w:rsid w:val="00FF5394"/>
    <w:rsid w:val="00FF539E"/>
    <w:rsid w:val="00FF54CE"/>
    <w:rsid w:val="00FF5596"/>
    <w:rsid w:val="00FF55AB"/>
    <w:rsid w:val="00FF5655"/>
    <w:rsid w:val="00FF56F3"/>
    <w:rsid w:val="00FF586B"/>
    <w:rsid w:val="00FF5951"/>
    <w:rsid w:val="00FF5A30"/>
    <w:rsid w:val="00FF5A72"/>
    <w:rsid w:val="00FF5A74"/>
    <w:rsid w:val="00FF5B6B"/>
    <w:rsid w:val="00FF5C0D"/>
    <w:rsid w:val="00FF5C10"/>
    <w:rsid w:val="00FF5DBA"/>
    <w:rsid w:val="00FF6081"/>
    <w:rsid w:val="00FF60C4"/>
    <w:rsid w:val="00FF60E1"/>
    <w:rsid w:val="00FF6140"/>
    <w:rsid w:val="00FF6351"/>
    <w:rsid w:val="00FF6455"/>
    <w:rsid w:val="00FF65F1"/>
    <w:rsid w:val="00FF67DC"/>
    <w:rsid w:val="00FF6827"/>
    <w:rsid w:val="00FF682F"/>
    <w:rsid w:val="00FF6889"/>
    <w:rsid w:val="00FF68AF"/>
    <w:rsid w:val="00FF68E0"/>
    <w:rsid w:val="00FF694B"/>
    <w:rsid w:val="00FF6977"/>
    <w:rsid w:val="00FF6A24"/>
    <w:rsid w:val="00FF6B2B"/>
    <w:rsid w:val="00FF6DA2"/>
    <w:rsid w:val="00FF6DD7"/>
    <w:rsid w:val="00FF6EF1"/>
    <w:rsid w:val="00FF6FB5"/>
    <w:rsid w:val="00FF6FE8"/>
    <w:rsid w:val="00FF6FF2"/>
    <w:rsid w:val="00FF7068"/>
    <w:rsid w:val="00FF71CB"/>
    <w:rsid w:val="00FF7296"/>
    <w:rsid w:val="00FF7299"/>
    <w:rsid w:val="00FF72E4"/>
    <w:rsid w:val="00FF72E6"/>
    <w:rsid w:val="00FF72EE"/>
    <w:rsid w:val="00FF731C"/>
    <w:rsid w:val="00FF738A"/>
    <w:rsid w:val="00FF7398"/>
    <w:rsid w:val="00FF74F7"/>
    <w:rsid w:val="00FF763F"/>
    <w:rsid w:val="00FF76D0"/>
    <w:rsid w:val="00FF77CA"/>
    <w:rsid w:val="00FF78F0"/>
    <w:rsid w:val="00FF7AB5"/>
    <w:rsid w:val="00FF7ABE"/>
    <w:rsid w:val="00FF7ACD"/>
    <w:rsid w:val="00FF7ADC"/>
    <w:rsid w:val="00FF7BFE"/>
    <w:rsid w:val="00FF7D34"/>
    <w:rsid w:val="00FF7DF8"/>
    <w:rsid w:val="00FF7F56"/>
    <w:rsid w:val="01038412"/>
    <w:rsid w:val="010D537B"/>
    <w:rsid w:val="0111C2CA"/>
    <w:rsid w:val="01282EC0"/>
    <w:rsid w:val="0128FABB"/>
    <w:rsid w:val="0129346E"/>
    <w:rsid w:val="012FA88C"/>
    <w:rsid w:val="013831FA"/>
    <w:rsid w:val="0138BBD6"/>
    <w:rsid w:val="013AB3F4"/>
    <w:rsid w:val="0162DB8F"/>
    <w:rsid w:val="016DAB18"/>
    <w:rsid w:val="016DCDD6"/>
    <w:rsid w:val="01839D33"/>
    <w:rsid w:val="01899477"/>
    <w:rsid w:val="018A8A92"/>
    <w:rsid w:val="018CED67"/>
    <w:rsid w:val="018D6DA9"/>
    <w:rsid w:val="01902730"/>
    <w:rsid w:val="0195205B"/>
    <w:rsid w:val="01A1139C"/>
    <w:rsid w:val="01B077B4"/>
    <w:rsid w:val="01B5F7DA"/>
    <w:rsid w:val="01C77F2C"/>
    <w:rsid w:val="01D092EE"/>
    <w:rsid w:val="01EBC5FC"/>
    <w:rsid w:val="01F68491"/>
    <w:rsid w:val="01FD8EB6"/>
    <w:rsid w:val="01FE210B"/>
    <w:rsid w:val="020ECF81"/>
    <w:rsid w:val="021069FC"/>
    <w:rsid w:val="0216B7CB"/>
    <w:rsid w:val="0222F331"/>
    <w:rsid w:val="02346FEA"/>
    <w:rsid w:val="023E3E1A"/>
    <w:rsid w:val="02407784"/>
    <w:rsid w:val="0248F72B"/>
    <w:rsid w:val="024E456F"/>
    <w:rsid w:val="0251321D"/>
    <w:rsid w:val="02546C2B"/>
    <w:rsid w:val="0259756D"/>
    <w:rsid w:val="0262D501"/>
    <w:rsid w:val="02669B76"/>
    <w:rsid w:val="0267D90D"/>
    <w:rsid w:val="027488FF"/>
    <w:rsid w:val="02835A8D"/>
    <w:rsid w:val="028360FC"/>
    <w:rsid w:val="02871E03"/>
    <w:rsid w:val="02A95532"/>
    <w:rsid w:val="02B25C55"/>
    <w:rsid w:val="02BC4520"/>
    <w:rsid w:val="02C20DE9"/>
    <w:rsid w:val="02D130F0"/>
    <w:rsid w:val="02D436BE"/>
    <w:rsid w:val="02E7684D"/>
    <w:rsid w:val="0308B98A"/>
    <w:rsid w:val="030A7AE7"/>
    <w:rsid w:val="03194F95"/>
    <w:rsid w:val="031ABCBA"/>
    <w:rsid w:val="031DF9FA"/>
    <w:rsid w:val="03240F1B"/>
    <w:rsid w:val="03379875"/>
    <w:rsid w:val="03543877"/>
    <w:rsid w:val="035A20DD"/>
    <w:rsid w:val="035EB2E1"/>
    <w:rsid w:val="037A7ED6"/>
    <w:rsid w:val="03966DF6"/>
    <w:rsid w:val="039D2D33"/>
    <w:rsid w:val="03A85783"/>
    <w:rsid w:val="03B33A6C"/>
    <w:rsid w:val="03B40F8D"/>
    <w:rsid w:val="03C16C82"/>
    <w:rsid w:val="03D5E47D"/>
    <w:rsid w:val="03E89998"/>
    <w:rsid w:val="03ED2720"/>
    <w:rsid w:val="03F6A998"/>
    <w:rsid w:val="0412EC07"/>
    <w:rsid w:val="04153EED"/>
    <w:rsid w:val="041AB6EF"/>
    <w:rsid w:val="041D33AB"/>
    <w:rsid w:val="042869F0"/>
    <w:rsid w:val="04319761"/>
    <w:rsid w:val="043A9282"/>
    <w:rsid w:val="043B5183"/>
    <w:rsid w:val="04400C93"/>
    <w:rsid w:val="04456DD8"/>
    <w:rsid w:val="0445FC2A"/>
    <w:rsid w:val="044AFB8B"/>
    <w:rsid w:val="04511F5F"/>
    <w:rsid w:val="04540A4C"/>
    <w:rsid w:val="0462760D"/>
    <w:rsid w:val="047AA360"/>
    <w:rsid w:val="0484DF6C"/>
    <w:rsid w:val="0493EE68"/>
    <w:rsid w:val="04A069A6"/>
    <w:rsid w:val="04B2DE1C"/>
    <w:rsid w:val="04EEBD92"/>
    <w:rsid w:val="04FCD1F1"/>
    <w:rsid w:val="0518E2FF"/>
    <w:rsid w:val="053898E4"/>
    <w:rsid w:val="054D312F"/>
    <w:rsid w:val="0550D531"/>
    <w:rsid w:val="0554CF10"/>
    <w:rsid w:val="056A5ADE"/>
    <w:rsid w:val="0579DC72"/>
    <w:rsid w:val="05A172FB"/>
    <w:rsid w:val="05A2DC74"/>
    <w:rsid w:val="05C14D78"/>
    <w:rsid w:val="05DB287E"/>
    <w:rsid w:val="05E52013"/>
    <w:rsid w:val="05EA10C8"/>
    <w:rsid w:val="05F51896"/>
    <w:rsid w:val="05F6F88A"/>
    <w:rsid w:val="0602E710"/>
    <w:rsid w:val="0603AFAC"/>
    <w:rsid w:val="06047E1E"/>
    <w:rsid w:val="06071F3B"/>
    <w:rsid w:val="061151F6"/>
    <w:rsid w:val="06278CF4"/>
    <w:rsid w:val="0627F71E"/>
    <w:rsid w:val="062A0BFA"/>
    <w:rsid w:val="063448D8"/>
    <w:rsid w:val="063568FA"/>
    <w:rsid w:val="0638372D"/>
    <w:rsid w:val="0641328B"/>
    <w:rsid w:val="0644F953"/>
    <w:rsid w:val="0649BC4D"/>
    <w:rsid w:val="0653E9D2"/>
    <w:rsid w:val="06560C52"/>
    <w:rsid w:val="066D4C33"/>
    <w:rsid w:val="068C787A"/>
    <w:rsid w:val="068F962E"/>
    <w:rsid w:val="06933233"/>
    <w:rsid w:val="069C642A"/>
    <w:rsid w:val="06A26219"/>
    <w:rsid w:val="06B401BE"/>
    <w:rsid w:val="06C8BD3B"/>
    <w:rsid w:val="06DD85E8"/>
    <w:rsid w:val="06E20596"/>
    <w:rsid w:val="06F0A2B4"/>
    <w:rsid w:val="06F844EA"/>
    <w:rsid w:val="07025262"/>
    <w:rsid w:val="07198E79"/>
    <w:rsid w:val="072717DA"/>
    <w:rsid w:val="072A62B2"/>
    <w:rsid w:val="072DB4BD"/>
    <w:rsid w:val="072E53BB"/>
    <w:rsid w:val="073557E5"/>
    <w:rsid w:val="0738A1F0"/>
    <w:rsid w:val="0760459D"/>
    <w:rsid w:val="0760B100"/>
    <w:rsid w:val="0761E2FA"/>
    <w:rsid w:val="0766D720"/>
    <w:rsid w:val="07694514"/>
    <w:rsid w:val="07765B5B"/>
    <w:rsid w:val="0789F5F9"/>
    <w:rsid w:val="07ABDD6D"/>
    <w:rsid w:val="07ACE3E0"/>
    <w:rsid w:val="07B4EFBC"/>
    <w:rsid w:val="07B6D0F2"/>
    <w:rsid w:val="07BB870C"/>
    <w:rsid w:val="07C7EA15"/>
    <w:rsid w:val="07F0F678"/>
    <w:rsid w:val="07FD4E86"/>
    <w:rsid w:val="08417943"/>
    <w:rsid w:val="084B9726"/>
    <w:rsid w:val="084CBE51"/>
    <w:rsid w:val="0850E2AB"/>
    <w:rsid w:val="08699C62"/>
    <w:rsid w:val="086C5C93"/>
    <w:rsid w:val="086F8909"/>
    <w:rsid w:val="08775CE0"/>
    <w:rsid w:val="087834BE"/>
    <w:rsid w:val="0879EFB0"/>
    <w:rsid w:val="087C164F"/>
    <w:rsid w:val="088F31C7"/>
    <w:rsid w:val="0899D3F0"/>
    <w:rsid w:val="089C60BB"/>
    <w:rsid w:val="08A1D3D4"/>
    <w:rsid w:val="08B82514"/>
    <w:rsid w:val="08BD479F"/>
    <w:rsid w:val="08C43B8C"/>
    <w:rsid w:val="08CFC926"/>
    <w:rsid w:val="08D50B1C"/>
    <w:rsid w:val="08D5DFB5"/>
    <w:rsid w:val="08DE61B9"/>
    <w:rsid w:val="08E83CDA"/>
    <w:rsid w:val="08EA762D"/>
    <w:rsid w:val="08F6BE4E"/>
    <w:rsid w:val="08F820F1"/>
    <w:rsid w:val="0913B26E"/>
    <w:rsid w:val="093F0CF4"/>
    <w:rsid w:val="09579509"/>
    <w:rsid w:val="096A3E42"/>
    <w:rsid w:val="097033C0"/>
    <w:rsid w:val="09706094"/>
    <w:rsid w:val="09715109"/>
    <w:rsid w:val="09751E74"/>
    <w:rsid w:val="0989C384"/>
    <w:rsid w:val="0995779B"/>
    <w:rsid w:val="099ADDC3"/>
    <w:rsid w:val="09B29BE2"/>
    <w:rsid w:val="09BDEA99"/>
    <w:rsid w:val="09C1F13E"/>
    <w:rsid w:val="09C41020"/>
    <w:rsid w:val="09CDA888"/>
    <w:rsid w:val="09D1F288"/>
    <w:rsid w:val="09D82FB5"/>
    <w:rsid w:val="09F4D8D9"/>
    <w:rsid w:val="09F92462"/>
    <w:rsid w:val="09FEFC74"/>
    <w:rsid w:val="0A0072C3"/>
    <w:rsid w:val="0A00950E"/>
    <w:rsid w:val="0A0E877C"/>
    <w:rsid w:val="0A11B8E7"/>
    <w:rsid w:val="0A140107"/>
    <w:rsid w:val="0A308988"/>
    <w:rsid w:val="0A48BF61"/>
    <w:rsid w:val="0A4B01F6"/>
    <w:rsid w:val="0A4C07EF"/>
    <w:rsid w:val="0A7206D3"/>
    <w:rsid w:val="0A7AC5F0"/>
    <w:rsid w:val="0A7B9A31"/>
    <w:rsid w:val="0A819C4A"/>
    <w:rsid w:val="0A85CEDC"/>
    <w:rsid w:val="0A999ECE"/>
    <w:rsid w:val="0AA36D88"/>
    <w:rsid w:val="0AD00BAD"/>
    <w:rsid w:val="0AD81741"/>
    <w:rsid w:val="0ADB53F1"/>
    <w:rsid w:val="0AF43788"/>
    <w:rsid w:val="0B0961DF"/>
    <w:rsid w:val="0B101E0A"/>
    <w:rsid w:val="0B25CE9F"/>
    <w:rsid w:val="0B371338"/>
    <w:rsid w:val="0B37505A"/>
    <w:rsid w:val="0B531ED2"/>
    <w:rsid w:val="0B572651"/>
    <w:rsid w:val="0B5EF969"/>
    <w:rsid w:val="0B685B15"/>
    <w:rsid w:val="0B6ECC9A"/>
    <w:rsid w:val="0B6F546D"/>
    <w:rsid w:val="0B6FD937"/>
    <w:rsid w:val="0B8E243E"/>
    <w:rsid w:val="0B94F780"/>
    <w:rsid w:val="0B9C1CF6"/>
    <w:rsid w:val="0BA3A43E"/>
    <w:rsid w:val="0BA5464F"/>
    <w:rsid w:val="0BAB0D5C"/>
    <w:rsid w:val="0BB53D66"/>
    <w:rsid w:val="0BD0DA27"/>
    <w:rsid w:val="0BDFAC34"/>
    <w:rsid w:val="0BE85235"/>
    <w:rsid w:val="0C135520"/>
    <w:rsid w:val="0C1D9831"/>
    <w:rsid w:val="0C30B9F0"/>
    <w:rsid w:val="0C46F71A"/>
    <w:rsid w:val="0C5C3340"/>
    <w:rsid w:val="0C6B0990"/>
    <w:rsid w:val="0C6FBC04"/>
    <w:rsid w:val="0C73A7A4"/>
    <w:rsid w:val="0C854B66"/>
    <w:rsid w:val="0C877C58"/>
    <w:rsid w:val="0C88AF65"/>
    <w:rsid w:val="0C99FB29"/>
    <w:rsid w:val="0C9A38F3"/>
    <w:rsid w:val="0C9D478D"/>
    <w:rsid w:val="0C9DE5EA"/>
    <w:rsid w:val="0CBD670B"/>
    <w:rsid w:val="0CBE2724"/>
    <w:rsid w:val="0CBE6E4B"/>
    <w:rsid w:val="0CD91FC9"/>
    <w:rsid w:val="0CDC285F"/>
    <w:rsid w:val="0CDE7AF6"/>
    <w:rsid w:val="0CE4FC13"/>
    <w:rsid w:val="0CF078F3"/>
    <w:rsid w:val="0D04F39B"/>
    <w:rsid w:val="0D05266C"/>
    <w:rsid w:val="0D07F1D7"/>
    <w:rsid w:val="0D08BDC5"/>
    <w:rsid w:val="0D2C8A21"/>
    <w:rsid w:val="0D2EE08C"/>
    <w:rsid w:val="0D42612D"/>
    <w:rsid w:val="0D5BDB7C"/>
    <w:rsid w:val="0D86B695"/>
    <w:rsid w:val="0D872C25"/>
    <w:rsid w:val="0D8F2734"/>
    <w:rsid w:val="0DB891E9"/>
    <w:rsid w:val="0DD2F02F"/>
    <w:rsid w:val="0DE98F28"/>
    <w:rsid w:val="0DF6FBB9"/>
    <w:rsid w:val="0DFE823E"/>
    <w:rsid w:val="0E1A7B48"/>
    <w:rsid w:val="0E263751"/>
    <w:rsid w:val="0E3D82FF"/>
    <w:rsid w:val="0E449731"/>
    <w:rsid w:val="0E49A817"/>
    <w:rsid w:val="0E5724D5"/>
    <w:rsid w:val="0E9060D7"/>
    <w:rsid w:val="0EB52E66"/>
    <w:rsid w:val="0EC4833E"/>
    <w:rsid w:val="0ECC7970"/>
    <w:rsid w:val="0EF76B59"/>
    <w:rsid w:val="0EFFE432"/>
    <w:rsid w:val="0F02A054"/>
    <w:rsid w:val="0F0C36AD"/>
    <w:rsid w:val="0F285442"/>
    <w:rsid w:val="0F3CD173"/>
    <w:rsid w:val="0F6FA78B"/>
    <w:rsid w:val="0F7482C4"/>
    <w:rsid w:val="0F8778ED"/>
    <w:rsid w:val="0F9A6AA5"/>
    <w:rsid w:val="0FAD886D"/>
    <w:rsid w:val="0FBDD448"/>
    <w:rsid w:val="0FC700A2"/>
    <w:rsid w:val="0FE98B4E"/>
    <w:rsid w:val="0FEEAC84"/>
    <w:rsid w:val="0FF043C5"/>
    <w:rsid w:val="101347CE"/>
    <w:rsid w:val="10136124"/>
    <w:rsid w:val="1020C853"/>
    <w:rsid w:val="1036DE14"/>
    <w:rsid w:val="10373CFC"/>
    <w:rsid w:val="103E6C0C"/>
    <w:rsid w:val="106F677C"/>
    <w:rsid w:val="10732CA5"/>
    <w:rsid w:val="1091677E"/>
    <w:rsid w:val="10CD07A4"/>
    <w:rsid w:val="10D93BF3"/>
    <w:rsid w:val="10ECE2A0"/>
    <w:rsid w:val="10EDCD5F"/>
    <w:rsid w:val="10EF4337"/>
    <w:rsid w:val="10FDFEC5"/>
    <w:rsid w:val="111F7B5F"/>
    <w:rsid w:val="1124CDAA"/>
    <w:rsid w:val="11335F7F"/>
    <w:rsid w:val="113C923B"/>
    <w:rsid w:val="1142E4E4"/>
    <w:rsid w:val="11491998"/>
    <w:rsid w:val="114EFA61"/>
    <w:rsid w:val="11597914"/>
    <w:rsid w:val="115CE4B9"/>
    <w:rsid w:val="11605595"/>
    <w:rsid w:val="1176D37F"/>
    <w:rsid w:val="11798E41"/>
    <w:rsid w:val="1182D30A"/>
    <w:rsid w:val="1184BD93"/>
    <w:rsid w:val="1187185A"/>
    <w:rsid w:val="11872541"/>
    <w:rsid w:val="1188496C"/>
    <w:rsid w:val="1189A319"/>
    <w:rsid w:val="11959B8E"/>
    <w:rsid w:val="1197A595"/>
    <w:rsid w:val="11AE9719"/>
    <w:rsid w:val="11C40C89"/>
    <w:rsid w:val="11C88D0B"/>
    <w:rsid w:val="11DCAD04"/>
    <w:rsid w:val="11E5269C"/>
    <w:rsid w:val="11E7D48A"/>
    <w:rsid w:val="11EF1950"/>
    <w:rsid w:val="1217AFE0"/>
    <w:rsid w:val="121C1B02"/>
    <w:rsid w:val="121CB264"/>
    <w:rsid w:val="12257D67"/>
    <w:rsid w:val="123B1DFC"/>
    <w:rsid w:val="124430A9"/>
    <w:rsid w:val="124FB41B"/>
    <w:rsid w:val="125476D1"/>
    <w:rsid w:val="125607D3"/>
    <w:rsid w:val="12616ED7"/>
    <w:rsid w:val="12629C83"/>
    <w:rsid w:val="126555B6"/>
    <w:rsid w:val="12705464"/>
    <w:rsid w:val="1271A2F7"/>
    <w:rsid w:val="1271ECD1"/>
    <w:rsid w:val="127DEFF8"/>
    <w:rsid w:val="127F8516"/>
    <w:rsid w:val="1281CC2A"/>
    <w:rsid w:val="128DD908"/>
    <w:rsid w:val="128E0360"/>
    <w:rsid w:val="12ACF229"/>
    <w:rsid w:val="12B116C4"/>
    <w:rsid w:val="12C075BE"/>
    <w:rsid w:val="12C2B5DE"/>
    <w:rsid w:val="12CAC407"/>
    <w:rsid w:val="12D4BB63"/>
    <w:rsid w:val="12E3D1B8"/>
    <w:rsid w:val="13022CB7"/>
    <w:rsid w:val="1311C97C"/>
    <w:rsid w:val="131E68A9"/>
    <w:rsid w:val="13275C66"/>
    <w:rsid w:val="132CD2C3"/>
    <w:rsid w:val="13300B6C"/>
    <w:rsid w:val="133451DB"/>
    <w:rsid w:val="13535C92"/>
    <w:rsid w:val="13549CBB"/>
    <w:rsid w:val="135B6271"/>
    <w:rsid w:val="135E7254"/>
    <w:rsid w:val="136AA106"/>
    <w:rsid w:val="1383EB1C"/>
    <w:rsid w:val="138CAEE3"/>
    <w:rsid w:val="139117CD"/>
    <w:rsid w:val="139B2F33"/>
    <w:rsid w:val="139E5A75"/>
    <w:rsid w:val="13A1C349"/>
    <w:rsid w:val="13A53015"/>
    <w:rsid w:val="13A6F45C"/>
    <w:rsid w:val="13B18751"/>
    <w:rsid w:val="13BF7C6A"/>
    <w:rsid w:val="13C2CC13"/>
    <w:rsid w:val="13CC6E7A"/>
    <w:rsid w:val="13D7E701"/>
    <w:rsid w:val="13E6F0F7"/>
    <w:rsid w:val="13E73689"/>
    <w:rsid w:val="13F0BC22"/>
    <w:rsid w:val="13F1227C"/>
    <w:rsid w:val="13F997F0"/>
    <w:rsid w:val="1404B680"/>
    <w:rsid w:val="140808BB"/>
    <w:rsid w:val="14121642"/>
    <w:rsid w:val="14167F29"/>
    <w:rsid w:val="141837C9"/>
    <w:rsid w:val="1422C91B"/>
    <w:rsid w:val="142766F4"/>
    <w:rsid w:val="14468978"/>
    <w:rsid w:val="1448FAF6"/>
    <w:rsid w:val="145B6775"/>
    <w:rsid w:val="1464B0D1"/>
    <w:rsid w:val="14856B37"/>
    <w:rsid w:val="1486F4E6"/>
    <w:rsid w:val="148DE4BA"/>
    <w:rsid w:val="14BA7AE4"/>
    <w:rsid w:val="14BF6464"/>
    <w:rsid w:val="14D9AE70"/>
    <w:rsid w:val="14E85EA0"/>
    <w:rsid w:val="14EC5063"/>
    <w:rsid w:val="15012E75"/>
    <w:rsid w:val="1503B534"/>
    <w:rsid w:val="152D31A0"/>
    <w:rsid w:val="15439C8A"/>
    <w:rsid w:val="154C535D"/>
    <w:rsid w:val="15512559"/>
    <w:rsid w:val="15534775"/>
    <w:rsid w:val="15606F18"/>
    <w:rsid w:val="15802270"/>
    <w:rsid w:val="15839F74"/>
    <w:rsid w:val="158482AA"/>
    <w:rsid w:val="15915783"/>
    <w:rsid w:val="1596D0A6"/>
    <w:rsid w:val="15AA6FCB"/>
    <w:rsid w:val="15AED746"/>
    <w:rsid w:val="15CD1E55"/>
    <w:rsid w:val="15D5880A"/>
    <w:rsid w:val="15E17CC6"/>
    <w:rsid w:val="15E21118"/>
    <w:rsid w:val="15E74EC6"/>
    <w:rsid w:val="15F3B1EA"/>
    <w:rsid w:val="15F62F02"/>
    <w:rsid w:val="160AB2C5"/>
    <w:rsid w:val="160D5558"/>
    <w:rsid w:val="1610252F"/>
    <w:rsid w:val="162373B7"/>
    <w:rsid w:val="16383C4B"/>
    <w:rsid w:val="163BEFD9"/>
    <w:rsid w:val="1648E6CB"/>
    <w:rsid w:val="164A2804"/>
    <w:rsid w:val="164CC38F"/>
    <w:rsid w:val="164D335F"/>
    <w:rsid w:val="164D906E"/>
    <w:rsid w:val="165993B2"/>
    <w:rsid w:val="165F6D19"/>
    <w:rsid w:val="16658E48"/>
    <w:rsid w:val="16689955"/>
    <w:rsid w:val="16736F37"/>
    <w:rsid w:val="1674FCC6"/>
    <w:rsid w:val="168BB758"/>
    <w:rsid w:val="16A5FAE9"/>
    <w:rsid w:val="16BDCD29"/>
    <w:rsid w:val="16DB92F4"/>
    <w:rsid w:val="16DF385B"/>
    <w:rsid w:val="16EB604B"/>
    <w:rsid w:val="16F9DEEC"/>
    <w:rsid w:val="16FA533C"/>
    <w:rsid w:val="17008889"/>
    <w:rsid w:val="1700AD41"/>
    <w:rsid w:val="1706F47F"/>
    <w:rsid w:val="17108120"/>
    <w:rsid w:val="1716C3A4"/>
    <w:rsid w:val="1717E314"/>
    <w:rsid w:val="17195020"/>
    <w:rsid w:val="1719EEBB"/>
    <w:rsid w:val="171FB0D6"/>
    <w:rsid w:val="1724802B"/>
    <w:rsid w:val="1737B20A"/>
    <w:rsid w:val="173C6C7C"/>
    <w:rsid w:val="1742A112"/>
    <w:rsid w:val="17570A3C"/>
    <w:rsid w:val="175EE0A9"/>
    <w:rsid w:val="17642B55"/>
    <w:rsid w:val="17643519"/>
    <w:rsid w:val="176AAEEF"/>
    <w:rsid w:val="176BA768"/>
    <w:rsid w:val="176BBE74"/>
    <w:rsid w:val="176E6D51"/>
    <w:rsid w:val="177841D0"/>
    <w:rsid w:val="177B2820"/>
    <w:rsid w:val="17937510"/>
    <w:rsid w:val="17AC4815"/>
    <w:rsid w:val="17B35217"/>
    <w:rsid w:val="17B3D321"/>
    <w:rsid w:val="17BDF9E5"/>
    <w:rsid w:val="17C465FE"/>
    <w:rsid w:val="17C79C56"/>
    <w:rsid w:val="17F20203"/>
    <w:rsid w:val="18073E5E"/>
    <w:rsid w:val="1808AC4F"/>
    <w:rsid w:val="1821D46D"/>
    <w:rsid w:val="18286C35"/>
    <w:rsid w:val="18458EF9"/>
    <w:rsid w:val="185A33F6"/>
    <w:rsid w:val="18677A73"/>
    <w:rsid w:val="186879C2"/>
    <w:rsid w:val="18773E26"/>
    <w:rsid w:val="18801667"/>
    <w:rsid w:val="18835BF4"/>
    <w:rsid w:val="188ED8A6"/>
    <w:rsid w:val="189C3AC1"/>
    <w:rsid w:val="18A821C7"/>
    <w:rsid w:val="18AEA108"/>
    <w:rsid w:val="18B68802"/>
    <w:rsid w:val="18C1E60B"/>
    <w:rsid w:val="18D0EE6F"/>
    <w:rsid w:val="18EEA699"/>
    <w:rsid w:val="18F87864"/>
    <w:rsid w:val="18FC2D98"/>
    <w:rsid w:val="1901507A"/>
    <w:rsid w:val="1903A83C"/>
    <w:rsid w:val="1921F692"/>
    <w:rsid w:val="1922F010"/>
    <w:rsid w:val="193035F2"/>
    <w:rsid w:val="19452605"/>
    <w:rsid w:val="194826FF"/>
    <w:rsid w:val="194CD85C"/>
    <w:rsid w:val="197AC35B"/>
    <w:rsid w:val="198DB9C4"/>
    <w:rsid w:val="19955784"/>
    <w:rsid w:val="1998DD79"/>
    <w:rsid w:val="19B6CFAC"/>
    <w:rsid w:val="19CB969B"/>
    <w:rsid w:val="19EB4069"/>
    <w:rsid w:val="19FC8421"/>
    <w:rsid w:val="19FD4745"/>
    <w:rsid w:val="19FEB420"/>
    <w:rsid w:val="19FF9C0C"/>
    <w:rsid w:val="1A0DBAEC"/>
    <w:rsid w:val="1A25C066"/>
    <w:rsid w:val="1A38ECDD"/>
    <w:rsid w:val="1A48FE56"/>
    <w:rsid w:val="1A54B50D"/>
    <w:rsid w:val="1A5C478C"/>
    <w:rsid w:val="1A6FF777"/>
    <w:rsid w:val="1A84759F"/>
    <w:rsid w:val="1A8F1754"/>
    <w:rsid w:val="1A931377"/>
    <w:rsid w:val="1A9B84E7"/>
    <w:rsid w:val="1A9CA5BF"/>
    <w:rsid w:val="1A9EF2A0"/>
    <w:rsid w:val="1AA3B24D"/>
    <w:rsid w:val="1AA574AD"/>
    <w:rsid w:val="1AA8211E"/>
    <w:rsid w:val="1AAAA7B6"/>
    <w:rsid w:val="1AACE075"/>
    <w:rsid w:val="1AB5DA22"/>
    <w:rsid w:val="1ACFDE56"/>
    <w:rsid w:val="1ADF98AA"/>
    <w:rsid w:val="1AE8F62A"/>
    <w:rsid w:val="1AEED7D4"/>
    <w:rsid w:val="1AF437A5"/>
    <w:rsid w:val="1AF5B202"/>
    <w:rsid w:val="1B1EA80E"/>
    <w:rsid w:val="1B2B4E9D"/>
    <w:rsid w:val="1B2BADA3"/>
    <w:rsid w:val="1B2D8DD1"/>
    <w:rsid w:val="1B35E6C0"/>
    <w:rsid w:val="1B3CAC19"/>
    <w:rsid w:val="1B4F6915"/>
    <w:rsid w:val="1B5DC085"/>
    <w:rsid w:val="1B788D9B"/>
    <w:rsid w:val="1BDFE4D9"/>
    <w:rsid w:val="1BE741BA"/>
    <w:rsid w:val="1BEEA8A1"/>
    <w:rsid w:val="1BF88D53"/>
    <w:rsid w:val="1C02AA16"/>
    <w:rsid w:val="1C0A8502"/>
    <w:rsid w:val="1C1A297E"/>
    <w:rsid w:val="1C2E4D8D"/>
    <w:rsid w:val="1C308942"/>
    <w:rsid w:val="1C4E779D"/>
    <w:rsid w:val="1C595A2E"/>
    <w:rsid w:val="1C5DE32D"/>
    <w:rsid w:val="1C6051B5"/>
    <w:rsid w:val="1C6659FF"/>
    <w:rsid w:val="1C6CAAA7"/>
    <w:rsid w:val="1C75162A"/>
    <w:rsid w:val="1C7F7A96"/>
    <w:rsid w:val="1CAE9171"/>
    <w:rsid w:val="1CB3B162"/>
    <w:rsid w:val="1CCA4656"/>
    <w:rsid w:val="1CD1B661"/>
    <w:rsid w:val="1CE3B8B4"/>
    <w:rsid w:val="1CEB6FDC"/>
    <w:rsid w:val="1CEF0B7D"/>
    <w:rsid w:val="1CF91D87"/>
    <w:rsid w:val="1D0E5CF0"/>
    <w:rsid w:val="1D261D1F"/>
    <w:rsid w:val="1D5254F0"/>
    <w:rsid w:val="1D5A812B"/>
    <w:rsid w:val="1D66107D"/>
    <w:rsid w:val="1D85412B"/>
    <w:rsid w:val="1D9B06D1"/>
    <w:rsid w:val="1DA14CC9"/>
    <w:rsid w:val="1DA326C9"/>
    <w:rsid w:val="1DA54D24"/>
    <w:rsid w:val="1DB21889"/>
    <w:rsid w:val="1DCB291E"/>
    <w:rsid w:val="1DCF4859"/>
    <w:rsid w:val="1DD25BF9"/>
    <w:rsid w:val="1DE36F1F"/>
    <w:rsid w:val="1DEB0560"/>
    <w:rsid w:val="1DEC98A8"/>
    <w:rsid w:val="1DEFB7B2"/>
    <w:rsid w:val="1DF4E11D"/>
    <w:rsid w:val="1DFE744D"/>
    <w:rsid w:val="1E153AB6"/>
    <w:rsid w:val="1E163BD2"/>
    <w:rsid w:val="1E3629ED"/>
    <w:rsid w:val="1E47F7E7"/>
    <w:rsid w:val="1E4BCFCA"/>
    <w:rsid w:val="1E5944C6"/>
    <w:rsid w:val="1E7C5D9A"/>
    <w:rsid w:val="1E861B0F"/>
    <w:rsid w:val="1E94A7BA"/>
    <w:rsid w:val="1EAC891A"/>
    <w:rsid w:val="1EAF75BC"/>
    <w:rsid w:val="1EC17B2D"/>
    <w:rsid w:val="1EC3D1DE"/>
    <w:rsid w:val="1EDEC2F8"/>
    <w:rsid w:val="1EE85F12"/>
    <w:rsid w:val="1EEAE4DE"/>
    <w:rsid w:val="1EEF7C82"/>
    <w:rsid w:val="1EFFB107"/>
    <w:rsid w:val="1F07431E"/>
    <w:rsid w:val="1F13447A"/>
    <w:rsid w:val="1F14485C"/>
    <w:rsid w:val="1F150FD3"/>
    <w:rsid w:val="1F2C1DC9"/>
    <w:rsid w:val="1F2E933F"/>
    <w:rsid w:val="1F30D210"/>
    <w:rsid w:val="1F35ED47"/>
    <w:rsid w:val="1F3F79D0"/>
    <w:rsid w:val="1F4EBB1E"/>
    <w:rsid w:val="1F5B6168"/>
    <w:rsid w:val="1F665315"/>
    <w:rsid w:val="1F6BFCAA"/>
    <w:rsid w:val="1F6C129C"/>
    <w:rsid w:val="1F6CEB81"/>
    <w:rsid w:val="1F6F73B7"/>
    <w:rsid w:val="1F788CFB"/>
    <w:rsid w:val="1F80C89C"/>
    <w:rsid w:val="1F8C0059"/>
    <w:rsid w:val="1F94DDFB"/>
    <w:rsid w:val="1F97D785"/>
    <w:rsid w:val="1FB66C15"/>
    <w:rsid w:val="1FCF04AE"/>
    <w:rsid w:val="1FDB06B5"/>
    <w:rsid w:val="1FDBC5A2"/>
    <w:rsid w:val="1FE6A73D"/>
    <w:rsid w:val="2000C5EF"/>
    <w:rsid w:val="20023171"/>
    <w:rsid w:val="20096B30"/>
    <w:rsid w:val="200D1D03"/>
    <w:rsid w:val="201521DE"/>
    <w:rsid w:val="2020DC2C"/>
    <w:rsid w:val="20217FDE"/>
    <w:rsid w:val="202F2673"/>
    <w:rsid w:val="203773E0"/>
    <w:rsid w:val="203D41E6"/>
    <w:rsid w:val="20514AE3"/>
    <w:rsid w:val="2080B8F4"/>
    <w:rsid w:val="20893574"/>
    <w:rsid w:val="20B93634"/>
    <w:rsid w:val="20C59314"/>
    <w:rsid w:val="20CC22E5"/>
    <w:rsid w:val="20D235D8"/>
    <w:rsid w:val="2105F78E"/>
    <w:rsid w:val="210A4665"/>
    <w:rsid w:val="2123CBF2"/>
    <w:rsid w:val="2129EA9C"/>
    <w:rsid w:val="212B7002"/>
    <w:rsid w:val="212D6702"/>
    <w:rsid w:val="213152D2"/>
    <w:rsid w:val="2132E07A"/>
    <w:rsid w:val="213AB05F"/>
    <w:rsid w:val="214CAD7C"/>
    <w:rsid w:val="215F5E71"/>
    <w:rsid w:val="21697881"/>
    <w:rsid w:val="216E0E58"/>
    <w:rsid w:val="2178210A"/>
    <w:rsid w:val="218E14AA"/>
    <w:rsid w:val="21960CF8"/>
    <w:rsid w:val="21981E3D"/>
    <w:rsid w:val="219A93C6"/>
    <w:rsid w:val="21A5E085"/>
    <w:rsid w:val="21B2F24F"/>
    <w:rsid w:val="21B6EA83"/>
    <w:rsid w:val="21B87755"/>
    <w:rsid w:val="21B95492"/>
    <w:rsid w:val="21DDA360"/>
    <w:rsid w:val="21F146C7"/>
    <w:rsid w:val="21FBE872"/>
    <w:rsid w:val="22004E23"/>
    <w:rsid w:val="220F4D64"/>
    <w:rsid w:val="221401C9"/>
    <w:rsid w:val="2224A335"/>
    <w:rsid w:val="222BD577"/>
    <w:rsid w:val="2236B238"/>
    <w:rsid w:val="2237467E"/>
    <w:rsid w:val="223D9342"/>
    <w:rsid w:val="224C171C"/>
    <w:rsid w:val="22557D6F"/>
    <w:rsid w:val="225D596B"/>
    <w:rsid w:val="226E5B19"/>
    <w:rsid w:val="22876C32"/>
    <w:rsid w:val="2288BD51"/>
    <w:rsid w:val="2288F32D"/>
    <w:rsid w:val="22A05CCF"/>
    <w:rsid w:val="22A54EFB"/>
    <w:rsid w:val="22A5B3C8"/>
    <w:rsid w:val="22AB441C"/>
    <w:rsid w:val="22BBD05F"/>
    <w:rsid w:val="22C0E493"/>
    <w:rsid w:val="22D48EA1"/>
    <w:rsid w:val="22EE0BAA"/>
    <w:rsid w:val="23069229"/>
    <w:rsid w:val="230DC251"/>
    <w:rsid w:val="2311DB8E"/>
    <w:rsid w:val="231BFA74"/>
    <w:rsid w:val="23239936"/>
    <w:rsid w:val="232E5A18"/>
    <w:rsid w:val="2347375D"/>
    <w:rsid w:val="23475EBF"/>
    <w:rsid w:val="234E11C8"/>
    <w:rsid w:val="2351EE4D"/>
    <w:rsid w:val="2371FDA5"/>
    <w:rsid w:val="2378FE88"/>
    <w:rsid w:val="237B6354"/>
    <w:rsid w:val="23972AD0"/>
    <w:rsid w:val="23A517E4"/>
    <w:rsid w:val="23C2E0FE"/>
    <w:rsid w:val="23D5DCB0"/>
    <w:rsid w:val="23D8D8A9"/>
    <w:rsid w:val="23DBA1F1"/>
    <w:rsid w:val="23DE4D28"/>
    <w:rsid w:val="23DFA624"/>
    <w:rsid w:val="23E1BE87"/>
    <w:rsid w:val="23E9329F"/>
    <w:rsid w:val="2404186A"/>
    <w:rsid w:val="240997B5"/>
    <w:rsid w:val="240FC96B"/>
    <w:rsid w:val="2416C426"/>
    <w:rsid w:val="24191F6B"/>
    <w:rsid w:val="241AC822"/>
    <w:rsid w:val="241D89F0"/>
    <w:rsid w:val="241DDF27"/>
    <w:rsid w:val="242D068F"/>
    <w:rsid w:val="243B3EBB"/>
    <w:rsid w:val="2440A066"/>
    <w:rsid w:val="2452F0DF"/>
    <w:rsid w:val="246011B5"/>
    <w:rsid w:val="2466F63A"/>
    <w:rsid w:val="246D4DFF"/>
    <w:rsid w:val="24799D0F"/>
    <w:rsid w:val="247C94E4"/>
    <w:rsid w:val="249BB342"/>
    <w:rsid w:val="24A5C656"/>
    <w:rsid w:val="24CECC06"/>
    <w:rsid w:val="24E08A81"/>
    <w:rsid w:val="24E0D404"/>
    <w:rsid w:val="24E632DC"/>
    <w:rsid w:val="24F47103"/>
    <w:rsid w:val="250A61F8"/>
    <w:rsid w:val="2517CE19"/>
    <w:rsid w:val="25333977"/>
    <w:rsid w:val="2533E774"/>
    <w:rsid w:val="253B7312"/>
    <w:rsid w:val="254638B4"/>
    <w:rsid w:val="25512234"/>
    <w:rsid w:val="25551122"/>
    <w:rsid w:val="25566425"/>
    <w:rsid w:val="25794B60"/>
    <w:rsid w:val="257B5240"/>
    <w:rsid w:val="257F096F"/>
    <w:rsid w:val="25803D5A"/>
    <w:rsid w:val="25812D41"/>
    <w:rsid w:val="25866C1A"/>
    <w:rsid w:val="2586B635"/>
    <w:rsid w:val="25976F50"/>
    <w:rsid w:val="25A04C1B"/>
    <w:rsid w:val="25A2D860"/>
    <w:rsid w:val="25B2A24C"/>
    <w:rsid w:val="25B38F06"/>
    <w:rsid w:val="25B4AD0D"/>
    <w:rsid w:val="25BD6F45"/>
    <w:rsid w:val="25D535DD"/>
    <w:rsid w:val="25DFC959"/>
    <w:rsid w:val="25E76863"/>
    <w:rsid w:val="25E79ED3"/>
    <w:rsid w:val="25F244C1"/>
    <w:rsid w:val="25F26182"/>
    <w:rsid w:val="25F66200"/>
    <w:rsid w:val="2607316F"/>
    <w:rsid w:val="262167F4"/>
    <w:rsid w:val="26511BFD"/>
    <w:rsid w:val="265EFB86"/>
    <w:rsid w:val="26714213"/>
    <w:rsid w:val="268DFDE5"/>
    <w:rsid w:val="26903F84"/>
    <w:rsid w:val="2696C40A"/>
    <w:rsid w:val="26B56483"/>
    <w:rsid w:val="26BD6592"/>
    <w:rsid w:val="26BDCFE9"/>
    <w:rsid w:val="26C2DE46"/>
    <w:rsid w:val="26DBDADF"/>
    <w:rsid w:val="26DC2557"/>
    <w:rsid w:val="26E274E2"/>
    <w:rsid w:val="26EFCD6C"/>
    <w:rsid w:val="270DE07C"/>
    <w:rsid w:val="272EE9DC"/>
    <w:rsid w:val="27356E10"/>
    <w:rsid w:val="273C1321"/>
    <w:rsid w:val="27535746"/>
    <w:rsid w:val="275A35B7"/>
    <w:rsid w:val="27626B3E"/>
    <w:rsid w:val="2779E068"/>
    <w:rsid w:val="2788D0C1"/>
    <w:rsid w:val="278ECDE5"/>
    <w:rsid w:val="279D89EC"/>
    <w:rsid w:val="27A2C4FF"/>
    <w:rsid w:val="27A7BAAA"/>
    <w:rsid w:val="27AD041D"/>
    <w:rsid w:val="27C1E8D1"/>
    <w:rsid w:val="27C82352"/>
    <w:rsid w:val="27CDB152"/>
    <w:rsid w:val="27D0CE55"/>
    <w:rsid w:val="27D5634A"/>
    <w:rsid w:val="27F44CC1"/>
    <w:rsid w:val="280C9EA7"/>
    <w:rsid w:val="282A4B67"/>
    <w:rsid w:val="283888F7"/>
    <w:rsid w:val="2838C83A"/>
    <w:rsid w:val="2838F517"/>
    <w:rsid w:val="28465708"/>
    <w:rsid w:val="284D0195"/>
    <w:rsid w:val="28769A12"/>
    <w:rsid w:val="2887DB96"/>
    <w:rsid w:val="288E3A49"/>
    <w:rsid w:val="2890598E"/>
    <w:rsid w:val="2895658B"/>
    <w:rsid w:val="289C7B60"/>
    <w:rsid w:val="289CB9E7"/>
    <w:rsid w:val="28A9BBF2"/>
    <w:rsid w:val="28B49EDD"/>
    <w:rsid w:val="28B4BD0C"/>
    <w:rsid w:val="28B72C7A"/>
    <w:rsid w:val="28B74E53"/>
    <w:rsid w:val="28C1E48C"/>
    <w:rsid w:val="28C2589D"/>
    <w:rsid w:val="28E0DF9B"/>
    <w:rsid w:val="28E719E5"/>
    <w:rsid w:val="28EC9C21"/>
    <w:rsid w:val="28EF415F"/>
    <w:rsid w:val="28F1CA9F"/>
    <w:rsid w:val="290F20DE"/>
    <w:rsid w:val="29118B47"/>
    <w:rsid w:val="291E31DE"/>
    <w:rsid w:val="292067C7"/>
    <w:rsid w:val="292295E8"/>
    <w:rsid w:val="294C782B"/>
    <w:rsid w:val="294CBE43"/>
    <w:rsid w:val="295647A9"/>
    <w:rsid w:val="295C6E5B"/>
    <w:rsid w:val="29601AB4"/>
    <w:rsid w:val="297498DD"/>
    <w:rsid w:val="2974DBEB"/>
    <w:rsid w:val="2982817E"/>
    <w:rsid w:val="298EE958"/>
    <w:rsid w:val="2998A377"/>
    <w:rsid w:val="299F1B8F"/>
    <w:rsid w:val="29A06CB2"/>
    <w:rsid w:val="29A0EBB1"/>
    <w:rsid w:val="29A7090D"/>
    <w:rsid w:val="29B9EE48"/>
    <w:rsid w:val="29BF6604"/>
    <w:rsid w:val="29DF4927"/>
    <w:rsid w:val="29E08D8B"/>
    <w:rsid w:val="29F7ADF7"/>
    <w:rsid w:val="29F7D0FC"/>
    <w:rsid w:val="2A117FE8"/>
    <w:rsid w:val="2A13E6D0"/>
    <w:rsid w:val="2A14F0FD"/>
    <w:rsid w:val="2A396EC4"/>
    <w:rsid w:val="2A4CDF8A"/>
    <w:rsid w:val="2A65FB82"/>
    <w:rsid w:val="2A697C21"/>
    <w:rsid w:val="2A6A67ED"/>
    <w:rsid w:val="2A7BF8E2"/>
    <w:rsid w:val="2A7C5A54"/>
    <w:rsid w:val="2A860907"/>
    <w:rsid w:val="2A94F448"/>
    <w:rsid w:val="2A9F706A"/>
    <w:rsid w:val="2AAD318A"/>
    <w:rsid w:val="2AB4BD6F"/>
    <w:rsid w:val="2AE028C5"/>
    <w:rsid w:val="2AF8A84E"/>
    <w:rsid w:val="2B05D989"/>
    <w:rsid w:val="2B110D6A"/>
    <w:rsid w:val="2B23FBBE"/>
    <w:rsid w:val="2B24F5FD"/>
    <w:rsid w:val="2B322DE8"/>
    <w:rsid w:val="2B51079D"/>
    <w:rsid w:val="2B566E47"/>
    <w:rsid w:val="2B627A93"/>
    <w:rsid w:val="2B6DE57D"/>
    <w:rsid w:val="2B78861B"/>
    <w:rsid w:val="2B8F10F3"/>
    <w:rsid w:val="2B8F349D"/>
    <w:rsid w:val="2B9E5CB7"/>
    <w:rsid w:val="2BB6A7B7"/>
    <w:rsid w:val="2BB7DC1C"/>
    <w:rsid w:val="2BB91D19"/>
    <w:rsid w:val="2BBB5645"/>
    <w:rsid w:val="2BC3A831"/>
    <w:rsid w:val="2BD45A44"/>
    <w:rsid w:val="2BDCEA47"/>
    <w:rsid w:val="2BDCEFA1"/>
    <w:rsid w:val="2BDDDD64"/>
    <w:rsid w:val="2BDE8AAC"/>
    <w:rsid w:val="2BE0312A"/>
    <w:rsid w:val="2BEF1E8F"/>
    <w:rsid w:val="2BFC0A8E"/>
    <w:rsid w:val="2C03A3EC"/>
    <w:rsid w:val="2C184A38"/>
    <w:rsid w:val="2C4264DE"/>
    <w:rsid w:val="2C483851"/>
    <w:rsid w:val="2C4E19D7"/>
    <w:rsid w:val="2C512F87"/>
    <w:rsid w:val="2C527BAC"/>
    <w:rsid w:val="2C5515B1"/>
    <w:rsid w:val="2C87D086"/>
    <w:rsid w:val="2CB19B6F"/>
    <w:rsid w:val="2CB2CDC8"/>
    <w:rsid w:val="2CC45088"/>
    <w:rsid w:val="2CCE3F56"/>
    <w:rsid w:val="2CCFC9FD"/>
    <w:rsid w:val="2CD2258F"/>
    <w:rsid w:val="2CE38B43"/>
    <w:rsid w:val="2CEDEB1E"/>
    <w:rsid w:val="2CF04CE1"/>
    <w:rsid w:val="2D02A5F2"/>
    <w:rsid w:val="2D06556F"/>
    <w:rsid w:val="2D0A7A57"/>
    <w:rsid w:val="2D1E5B57"/>
    <w:rsid w:val="2D244E54"/>
    <w:rsid w:val="2D289D7B"/>
    <w:rsid w:val="2D29343B"/>
    <w:rsid w:val="2D346B0C"/>
    <w:rsid w:val="2D419F25"/>
    <w:rsid w:val="2D489825"/>
    <w:rsid w:val="2D4BE665"/>
    <w:rsid w:val="2D4E25A8"/>
    <w:rsid w:val="2D74BD29"/>
    <w:rsid w:val="2D795054"/>
    <w:rsid w:val="2D864D69"/>
    <w:rsid w:val="2D96A62F"/>
    <w:rsid w:val="2DA42439"/>
    <w:rsid w:val="2DCC6519"/>
    <w:rsid w:val="2DF7D7E0"/>
    <w:rsid w:val="2E19527C"/>
    <w:rsid w:val="2E1E7FA2"/>
    <w:rsid w:val="2E2BFB77"/>
    <w:rsid w:val="2E2C2E6E"/>
    <w:rsid w:val="2E2DA612"/>
    <w:rsid w:val="2E359822"/>
    <w:rsid w:val="2E36A5D7"/>
    <w:rsid w:val="2E3C5DA2"/>
    <w:rsid w:val="2E427D50"/>
    <w:rsid w:val="2E5442FD"/>
    <w:rsid w:val="2E7C9010"/>
    <w:rsid w:val="2E829DE0"/>
    <w:rsid w:val="2E82D25D"/>
    <w:rsid w:val="2E86BF2D"/>
    <w:rsid w:val="2E90D380"/>
    <w:rsid w:val="2E920BE7"/>
    <w:rsid w:val="2E9C4CC1"/>
    <w:rsid w:val="2EA498FF"/>
    <w:rsid w:val="2EC1BBBB"/>
    <w:rsid w:val="2EE0776C"/>
    <w:rsid w:val="2EEA3D63"/>
    <w:rsid w:val="2EF31CB9"/>
    <w:rsid w:val="2EF3F7C1"/>
    <w:rsid w:val="2F085AC3"/>
    <w:rsid w:val="2F0DA0B6"/>
    <w:rsid w:val="2F18DD5F"/>
    <w:rsid w:val="2F1C4DF2"/>
    <w:rsid w:val="2F253531"/>
    <w:rsid w:val="2F49D885"/>
    <w:rsid w:val="2F5C2D9E"/>
    <w:rsid w:val="2F74E6AA"/>
    <w:rsid w:val="2F7FF017"/>
    <w:rsid w:val="2F82AA92"/>
    <w:rsid w:val="2F90B7E9"/>
    <w:rsid w:val="2F99522E"/>
    <w:rsid w:val="2F9DD55F"/>
    <w:rsid w:val="2FA2B0FA"/>
    <w:rsid w:val="2FBDED5D"/>
    <w:rsid w:val="2FC63140"/>
    <w:rsid w:val="2FD9F0FF"/>
    <w:rsid w:val="2FEBBDD8"/>
    <w:rsid w:val="2FFE4956"/>
    <w:rsid w:val="3017E233"/>
    <w:rsid w:val="301CD72D"/>
    <w:rsid w:val="30299B88"/>
    <w:rsid w:val="302FAC6C"/>
    <w:rsid w:val="304D66AD"/>
    <w:rsid w:val="3059B11A"/>
    <w:rsid w:val="3059E7D0"/>
    <w:rsid w:val="30675620"/>
    <w:rsid w:val="306913FB"/>
    <w:rsid w:val="307345C5"/>
    <w:rsid w:val="3080BC13"/>
    <w:rsid w:val="309D2A8E"/>
    <w:rsid w:val="30A6AA91"/>
    <w:rsid w:val="30AC5594"/>
    <w:rsid w:val="30B40E3F"/>
    <w:rsid w:val="30B4B4EA"/>
    <w:rsid w:val="30CA3561"/>
    <w:rsid w:val="30D19147"/>
    <w:rsid w:val="30D8B08D"/>
    <w:rsid w:val="30DD638C"/>
    <w:rsid w:val="30E23366"/>
    <w:rsid w:val="30E2C6FF"/>
    <w:rsid w:val="3110A603"/>
    <w:rsid w:val="31210D5E"/>
    <w:rsid w:val="3145D67D"/>
    <w:rsid w:val="314C53E6"/>
    <w:rsid w:val="315D7D57"/>
    <w:rsid w:val="316318D7"/>
    <w:rsid w:val="31683D70"/>
    <w:rsid w:val="316DBEE4"/>
    <w:rsid w:val="317163B7"/>
    <w:rsid w:val="31864BB5"/>
    <w:rsid w:val="31877CEA"/>
    <w:rsid w:val="31A5A01C"/>
    <w:rsid w:val="31B3238D"/>
    <w:rsid w:val="31B5E3E1"/>
    <w:rsid w:val="31BC8E35"/>
    <w:rsid w:val="31BCA2D7"/>
    <w:rsid w:val="31D930DE"/>
    <w:rsid w:val="31D9C6AB"/>
    <w:rsid w:val="31E26B38"/>
    <w:rsid w:val="31EB0416"/>
    <w:rsid w:val="31F1E31C"/>
    <w:rsid w:val="31FE85CB"/>
    <w:rsid w:val="320F0632"/>
    <w:rsid w:val="322CE220"/>
    <w:rsid w:val="32575BDD"/>
    <w:rsid w:val="32627FED"/>
    <w:rsid w:val="32683B5E"/>
    <w:rsid w:val="3275D557"/>
    <w:rsid w:val="3277BBBC"/>
    <w:rsid w:val="3287E7DD"/>
    <w:rsid w:val="32883CAD"/>
    <w:rsid w:val="329532EB"/>
    <w:rsid w:val="32A09268"/>
    <w:rsid w:val="32B24F5D"/>
    <w:rsid w:val="32B3690C"/>
    <w:rsid w:val="32B8F928"/>
    <w:rsid w:val="32BF8825"/>
    <w:rsid w:val="32C08681"/>
    <w:rsid w:val="32C47DD8"/>
    <w:rsid w:val="32CF8A8F"/>
    <w:rsid w:val="32D402B8"/>
    <w:rsid w:val="32D7C380"/>
    <w:rsid w:val="32D96BF0"/>
    <w:rsid w:val="32DDF413"/>
    <w:rsid w:val="32E09D0C"/>
    <w:rsid w:val="33005525"/>
    <w:rsid w:val="33011F84"/>
    <w:rsid w:val="330C1294"/>
    <w:rsid w:val="3317032C"/>
    <w:rsid w:val="334EEF45"/>
    <w:rsid w:val="337BABCE"/>
    <w:rsid w:val="33837D14"/>
    <w:rsid w:val="33845678"/>
    <w:rsid w:val="339CDCE7"/>
    <w:rsid w:val="33A4554F"/>
    <w:rsid w:val="33B1CF6D"/>
    <w:rsid w:val="33B3C24E"/>
    <w:rsid w:val="33BA876D"/>
    <w:rsid w:val="33E2BA28"/>
    <w:rsid w:val="33E82232"/>
    <w:rsid w:val="33E8C491"/>
    <w:rsid w:val="3400BE9D"/>
    <w:rsid w:val="340B9B75"/>
    <w:rsid w:val="340F1FD4"/>
    <w:rsid w:val="342D7580"/>
    <w:rsid w:val="343986F8"/>
    <w:rsid w:val="3447717C"/>
    <w:rsid w:val="344EA500"/>
    <w:rsid w:val="3454C190"/>
    <w:rsid w:val="3471C6CA"/>
    <w:rsid w:val="34727B94"/>
    <w:rsid w:val="347CB42E"/>
    <w:rsid w:val="3486FD41"/>
    <w:rsid w:val="348F203A"/>
    <w:rsid w:val="34952BFC"/>
    <w:rsid w:val="34A7E9D9"/>
    <w:rsid w:val="34AEEEF0"/>
    <w:rsid w:val="34C3C37F"/>
    <w:rsid w:val="34CDE127"/>
    <w:rsid w:val="34D403AE"/>
    <w:rsid w:val="34E3F0D8"/>
    <w:rsid w:val="34E78C48"/>
    <w:rsid w:val="34E7E389"/>
    <w:rsid w:val="34FAAFC3"/>
    <w:rsid w:val="35095124"/>
    <w:rsid w:val="350C4187"/>
    <w:rsid w:val="3518B298"/>
    <w:rsid w:val="35465938"/>
    <w:rsid w:val="354AE124"/>
    <w:rsid w:val="35584290"/>
    <w:rsid w:val="35601B24"/>
    <w:rsid w:val="358830AD"/>
    <w:rsid w:val="359820B0"/>
    <w:rsid w:val="35B09DC8"/>
    <w:rsid w:val="35B86A9B"/>
    <w:rsid w:val="35BC2866"/>
    <w:rsid w:val="35BFA4C2"/>
    <w:rsid w:val="35C04A07"/>
    <w:rsid w:val="35C5EABD"/>
    <w:rsid w:val="35EBEFEB"/>
    <w:rsid w:val="35F84AD7"/>
    <w:rsid w:val="35FD57D3"/>
    <w:rsid w:val="3600093F"/>
    <w:rsid w:val="360262E0"/>
    <w:rsid w:val="3608C148"/>
    <w:rsid w:val="36124F8B"/>
    <w:rsid w:val="361899D5"/>
    <w:rsid w:val="363558F2"/>
    <w:rsid w:val="363C991E"/>
    <w:rsid w:val="3653FAAC"/>
    <w:rsid w:val="365CE431"/>
    <w:rsid w:val="365FB821"/>
    <w:rsid w:val="366508D1"/>
    <w:rsid w:val="36736DCB"/>
    <w:rsid w:val="3675A906"/>
    <w:rsid w:val="3675C57C"/>
    <w:rsid w:val="367BD42D"/>
    <w:rsid w:val="368C8246"/>
    <w:rsid w:val="3695A853"/>
    <w:rsid w:val="36A7ABDE"/>
    <w:rsid w:val="36AE2DA5"/>
    <w:rsid w:val="36D5DED0"/>
    <w:rsid w:val="36D8C772"/>
    <w:rsid w:val="36DB4CC9"/>
    <w:rsid w:val="36DCE6B0"/>
    <w:rsid w:val="36F2661C"/>
    <w:rsid w:val="36FEAC06"/>
    <w:rsid w:val="37138246"/>
    <w:rsid w:val="3735AFA2"/>
    <w:rsid w:val="373DEB1A"/>
    <w:rsid w:val="37506353"/>
    <w:rsid w:val="3765B76F"/>
    <w:rsid w:val="377573C2"/>
    <w:rsid w:val="37874ED1"/>
    <w:rsid w:val="3791982A"/>
    <w:rsid w:val="379CBD89"/>
    <w:rsid w:val="37A77A19"/>
    <w:rsid w:val="37AB008A"/>
    <w:rsid w:val="37C1C681"/>
    <w:rsid w:val="37C8FDF2"/>
    <w:rsid w:val="37D0C8CB"/>
    <w:rsid w:val="37DC8435"/>
    <w:rsid w:val="37FE46D6"/>
    <w:rsid w:val="38071C40"/>
    <w:rsid w:val="3811CF7F"/>
    <w:rsid w:val="3820BC00"/>
    <w:rsid w:val="3829E9F3"/>
    <w:rsid w:val="3839A732"/>
    <w:rsid w:val="3840ED90"/>
    <w:rsid w:val="384CF1FB"/>
    <w:rsid w:val="38505325"/>
    <w:rsid w:val="3863FA49"/>
    <w:rsid w:val="3865E2DC"/>
    <w:rsid w:val="3875B39F"/>
    <w:rsid w:val="388D1F17"/>
    <w:rsid w:val="388FE5AD"/>
    <w:rsid w:val="389C4A4E"/>
    <w:rsid w:val="38AA3532"/>
    <w:rsid w:val="38BF7705"/>
    <w:rsid w:val="38C47C02"/>
    <w:rsid w:val="38C59D59"/>
    <w:rsid w:val="38D7D61D"/>
    <w:rsid w:val="38DDAF64"/>
    <w:rsid w:val="38F3CEB2"/>
    <w:rsid w:val="38F6CEA2"/>
    <w:rsid w:val="38FB0D5B"/>
    <w:rsid w:val="3911505F"/>
    <w:rsid w:val="39482B24"/>
    <w:rsid w:val="395D0C4F"/>
    <w:rsid w:val="395FAFB6"/>
    <w:rsid w:val="3971CA7A"/>
    <w:rsid w:val="3973678D"/>
    <w:rsid w:val="398FDB16"/>
    <w:rsid w:val="39AABA12"/>
    <w:rsid w:val="39BA1AA2"/>
    <w:rsid w:val="39C32D67"/>
    <w:rsid w:val="39D41C21"/>
    <w:rsid w:val="39F411B7"/>
    <w:rsid w:val="39F8E8D3"/>
    <w:rsid w:val="39FC491B"/>
    <w:rsid w:val="39FC4CFA"/>
    <w:rsid w:val="3A03AB7B"/>
    <w:rsid w:val="3A108E3E"/>
    <w:rsid w:val="3A38B805"/>
    <w:rsid w:val="3A3FCB6E"/>
    <w:rsid w:val="3A4626C9"/>
    <w:rsid w:val="3A540F30"/>
    <w:rsid w:val="3A544EB0"/>
    <w:rsid w:val="3A562EA0"/>
    <w:rsid w:val="3A5E3A10"/>
    <w:rsid w:val="3A6181B2"/>
    <w:rsid w:val="3A762CA4"/>
    <w:rsid w:val="3AA257C2"/>
    <w:rsid w:val="3AA7F5E7"/>
    <w:rsid w:val="3AABBBCD"/>
    <w:rsid w:val="3AACF555"/>
    <w:rsid w:val="3AAEDA98"/>
    <w:rsid w:val="3AB8445B"/>
    <w:rsid w:val="3ABBD315"/>
    <w:rsid w:val="3AC0064C"/>
    <w:rsid w:val="3ACE6BE4"/>
    <w:rsid w:val="3AD0532B"/>
    <w:rsid w:val="3AD173FF"/>
    <w:rsid w:val="3AE0E847"/>
    <w:rsid w:val="3AF62D70"/>
    <w:rsid w:val="3AF751E4"/>
    <w:rsid w:val="3B056E67"/>
    <w:rsid w:val="3B1A8F65"/>
    <w:rsid w:val="3B491A29"/>
    <w:rsid w:val="3B4B40E9"/>
    <w:rsid w:val="3B79A725"/>
    <w:rsid w:val="3B7DA5D3"/>
    <w:rsid w:val="3B83C12E"/>
    <w:rsid w:val="3B900956"/>
    <w:rsid w:val="3BA649BA"/>
    <w:rsid w:val="3BC8DCE3"/>
    <w:rsid w:val="3BCBFC8A"/>
    <w:rsid w:val="3BD63F87"/>
    <w:rsid w:val="3BDDECB3"/>
    <w:rsid w:val="3BFAC693"/>
    <w:rsid w:val="3C00A21D"/>
    <w:rsid w:val="3C0B7349"/>
    <w:rsid w:val="3C0F5B29"/>
    <w:rsid w:val="3C15A94C"/>
    <w:rsid w:val="3C24B98D"/>
    <w:rsid w:val="3C2A57FF"/>
    <w:rsid w:val="3C2AD28A"/>
    <w:rsid w:val="3C31F78F"/>
    <w:rsid w:val="3C3C3F5C"/>
    <w:rsid w:val="3C3EA41E"/>
    <w:rsid w:val="3C52E5A3"/>
    <w:rsid w:val="3C64CE79"/>
    <w:rsid w:val="3C6F80C6"/>
    <w:rsid w:val="3C72511D"/>
    <w:rsid w:val="3C757143"/>
    <w:rsid w:val="3C80E31E"/>
    <w:rsid w:val="3C974151"/>
    <w:rsid w:val="3C9B2E27"/>
    <w:rsid w:val="3CA44B0A"/>
    <w:rsid w:val="3CA59A42"/>
    <w:rsid w:val="3CA8BDB6"/>
    <w:rsid w:val="3CABFA49"/>
    <w:rsid w:val="3CB56839"/>
    <w:rsid w:val="3CBEAB9E"/>
    <w:rsid w:val="3CC1C931"/>
    <w:rsid w:val="3CC541F4"/>
    <w:rsid w:val="3CC94DCD"/>
    <w:rsid w:val="3D0F38CC"/>
    <w:rsid w:val="3D1574DC"/>
    <w:rsid w:val="3D1F5B66"/>
    <w:rsid w:val="3D3F3580"/>
    <w:rsid w:val="3D41FC76"/>
    <w:rsid w:val="3D52DEDA"/>
    <w:rsid w:val="3D6EB9F2"/>
    <w:rsid w:val="3D72880E"/>
    <w:rsid w:val="3D7EB70D"/>
    <w:rsid w:val="3D85A491"/>
    <w:rsid w:val="3D9C5F04"/>
    <w:rsid w:val="3DC28AD4"/>
    <w:rsid w:val="3DC84F6F"/>
    <w:rsid w:val="3DD13128"/>
    <w:rsid w:val="3DDB2438"/>
    <w:rsid w:val="3DDB5832"/>
    <w:rsid w:val="3DE16BD9"/>
    <w:rsid w:val="3DFD1B2E"/>
    <w:rsid w:val="3E094496"/>
    <w:rsid w:val="3E0AC63D"/>
    <w:rsid w:val="3E26258B"/>
    <w:rsid w:val="3E44CB63"/>
    <w:rsid w:val="3E47E883"/>
    <w:rsid w:val="3E5684E2"/>
    <w:rsid w:val="3E60AE2E"/>
    <w:rsid w:val="3E62D8C4"/>
    <w:rsid w:val="3E69AA41"/>
    <w:rsid w:val="3E6BDE06"/>
    <w:rsid w:val="3E7C2F8A"/>
    <w:rsid w:val="3E963654"/>
    <w:rsid w:val="3EA3EBFD"/>
    <w:rsid w:val="3EAE0BEC"/>
    <w:rsid w:val="3EB0D5E4"/>
    <w:rsid w:val="3EB8B535"/>
    <w:rsid w:val="3EBBAD87"/>
    <w:rsid w:val="3EC6F1F2"/>
    <w:rsid w:val="3EC7FF66"/>
    <w:rsid w:val="3ED21595"/>
    <w:rsid w:val="3ED2738E"/>
    <w:rsid w:val="3EE0C916"/>
    <w:rsid w:val="3EE2B6BC"/>
    <w:rsid w:val="3EE5B85C"/>
    <w:rsid w:val="3EEE4DDC"/>
    <w:rsid w:val="3F02DF8C"/>
    <w:rsid w:val="3F27FC03"/>
    <w:rsid w:val="3F2B76E9"/>
    <w:rsid w:val="3F2D5C7D"/>
    <w:rsid w:val="3F348A73"/>
    <w:rsid w:val="3F3F6A64"/>
    <w:rsid w:val="3F4F4682"/>
    <w:rsid w:val="3F5BDA72"/>
    <w:rsid w:val="3F65677A"/>
    <w:rsid w:val="3F663E87"/>
    <w:rsid w:val="3F6C0BB7"/>
    <w:rsid w:val="3F8A1DE1"/>
    <w:rsid w:val="3F9C195B"/>
    <w:rsid w:val="3FA56A86"/>
    <w:rsid w:val="3FAF61A0"/>
    <w:rsid w:val="3FB675C2"/>
    <w:rsid w:val="3FB80A30"/>
    <w:rsid w:val="3FB9298C"/>
    <w:rsid w:val="3FB9B83B"/>
    <w:rsid w:val="3FC594E3"/>
    <w:rsid w:val="3FCC55D9"/>
    <w:rsid w:val="3FD34259"/>
    <w:rsid w:val="3FF82085"/>
    <w:rsid w:val="3FFB0F8B"/>
    <w:rsid w:val="400AE592"/>
    <w:rsid w:val="400D426B"/>
    <w:rsid w:val="4022837B"/>
    <w:rsid w:val="402C5397"/>
    <w:rsid w:val="40347D8D"/>
    <w:rsid w:val="4036561F"/>
    <w:rsid w:val="4043D440"/>
    <w:rsid w:val="405102AB"/>
    <w:rsid w:val="4052CA53"/>
    <w:rsid w:val="40555613"/>
    <w:rsid w:val="4079546A"/>
    <w:rsid w:val="408F6A52"/>
    <w:rsid w:val="40905023"/>
    <w:rsid w:val="409A6813"/>
    <w:rsid w:val="40A00FBD"/>
    <w:rsid w:val="40C087AA"/>
    <w:rsid w:val="40C62505"/>
    <w:rsid w:val="40C70584"/>
    <w:rsid w:val="40D74DC6"/>
    <w:rsid w:val="40D79ECE"/>
    <w:rsid w:val="40DE4BE7"/>
    <w:rsid w:val="40E57CCA"/>
    <w:rsid w:val="40EF2EF2"/>
    <w:rsid w:val="40FD3F37"/>
    <w:rsid w:val="410E506B"/>
    <w:rsid w:val="411E756B"/>
    <w:rsid w:val="41289406"/>
    <w:rsid w:val="412B768E"/>
    <w:rsid w:val="4142CEA3"/>
    <w:rsid w:val="4142F4CD"/>
    <w:rsid w:val="41572FF1"/>
    <w:rsid w:val="4170F319"/>
    <w:rsid w:val="41792F59"/>
    <w:rsid w:val="4191F204"/>
    <w:rsid w:val="419B2FF1"/>
    <w:rsid w:val="41AB69D8"/>
    <w:rsid w:val="41B30136"/>
    <w:rsid w:val="41BB03E1"/>
    <w:rsid w:val="41BE2CCF"/>
    <w:rsid w:val="41CF1E52"/>
    <w:rsid w:val="41DA693A"/>
    <w:rsid w:val="41E793EF"/>
    <w:rsid w:val="41ED0625"/>
    <w:rsid w:val="41F748DB"/>
    <w:rsid w:val="41F78B1C"/>
    <w:rsid w:val="41FF5FA3"/>
    <w:rsid w:val="420A751A"/>
    <w:rsid w:val="4217CB30"/>
    <w:rsid w:val="421A7652"/>
    <w:rsid w:val="4222D0E9"/>
    <w:rsid w:val="424A810D"/>
    <w:rsid w:val="425D1341"/>
    <w:rsid w:val="425D8805"/>
    <w:rsid w:val="4270488C"/>
    <w:rsid w:val="42795F99"/>
    <w:rsid w:val="427C1406"/>
    <w:rsid w:val="42837F8F"/>
    <w:rsid w:val="4287EEB7"/>
    <w:rsid w:val="428BF349"/>
    <w:rsid w:val="428E04CF"/>
    <w:rsid w:val="42B108C0"/>
    <w:rsid w:val="42B6CF15"/>
    <w:rsid w:val="42D5F4F4"/>
    <w:rsid w:val="42DBDEA9"/>
    <w:rsid w:val="42E0EE65"/>
    <w:rsid w:val="42F15FEE"/>
    <w:rsid w:val="43078EC3"/>
    <w:rsid w:val="4307AF21"/>
    <w:rsid w:val="43139E84"/>
    <w:rsid w:val="43393E44"/>
    <w:rsid w:val="434D08D1"/>
    <w:rsid w:val="434F35EC"/>
    <w:rsid w:val="43532E07"/>
    <w:rsid w:val="4355032E"/>
    <w:rsid w:val="4355B606"/>
    <w:rsid w:val="43644C7E"/>
    <w:rsid w:val="4364A54B"/>
    <w:rsid w:val="4365BE72"/>
    <w:rsid w:val="436E699E"/>
    <w:rsid w:val="43767A7E"/>
    <w:rsid w:val="439726B0"/>
    <w:rsid w:val="439F4A1B"/>
    <w:rsid w:val="43A46028"/>
    <w:rsid w:val="43A8AD79"/>
    <w:rsid w:val="43CA910D"/>
    <w:rsid w:val="43CC77DC"/>
    <w:rsid w:val="43CE7270"/>
    <w:rsid w:val="43F995A8"/>
    <w:rsid w:val="43FA5633"/>
    <w:rsid w:val="4406E06D"/>
    <w:rsid w:val="4411CF65"/>
    <w:rsid w:val="44299D56"/>
    <w:rsid w:val="442B30FC"/>
    <w:rsid w:val="442E2FA1"/>
    <w:rsid w:val="4440C8E0"/>
    <w:rsid w:val="44697BD7"/>
    <w:rsid w:val="4477C8B2"/>
    <w:rsid w:val="44815110"/>
    <w:rsid w:val="44846080"/>
    <w:rsid w:val="4487EDC2"/>
    <w:rsid w:val="448CD0FE"/>
    <w:rsid w:val="448EDA2E"/>
    <w:rsid w:val="4495020A"/>
    <w:rsid w:val="449902A9"/>
    <w:rsid w:val="44A8A247"/>
    <w:rsid w:val="44AD6EEB"/>
    <w:rsid w:val="44C2437F"/>
    <w:rsid w:val="44CA0D7F"/>
    <w:rsid w:val="44CD0162"/>
    <w:rsid w:val="44D6394B"/>
    <w:rsid w:val="44DFA2A6"/>
    <w:rsid w:val="44F7C80A"/>
    <w:rsid w:val="4501EB9F"/>
    <w:rsid w:val="4520CBDE"/>
    <w:rsid w:val="4529B433"/>
    <w:rsid w:val="452D87CB"/>
    <w:rsid w:val="452E59ED"/>
    <w:rsid w:val="452F4D8F"/>
    <w:rsid w:val="454B67FB"/>
    <w:rsid w:val="4550BCF7"/>
    <w:rsid w:val="456ED857"/>
    <w:rsid w:val="456FF28A"/>
    <w:rsid w:val="45721B7E"/>
    <w:rsid w:val="457ABF2E"/>
    <w:rsid w:val="4587CB1C"/>
    <w:rsid w:val="45A3265B"/>
    <w:rsid w:val="45A6848B"/>
    <w:rsid w:val="45AC8B0E"/>
    <w:rsid w:val="45ADB621"/>
    <w:rsid w:val="45D2B0E9"/>
    <w:rsid w:val="45D35799"/>
    <w:rsid w:val="45E7FBCC"/>
    <w:rsid w:val="45E9F832"/>
    <w:rsid w:val="45F8138F"/>
    <w:rsid w:val="45FF9580"/>
    <w:rsid w:val="460C7271"/>
    <w:rsid w:val="46358DC3"/>
    <w:rsid w:val="463BAB1F"/>
    <w:rsid w:val="463FAE16"/>
    <w:rsid w:val="465E99D0"/>
    <w:rsid w:val="46728CE1"/>
    <w:rsid w:val="4688CC5E"/>
    <w:rsid w:val="468A563C"/>
    <w:rsid w:val="468D884E"/>
    <w:rsid w:val="469DDA7C"/>
    <w:rsid w:val="46A8C216"/>
    <w:rsid w:val="46AB9027"/>
    <w:rsid w:val="46C05A89"/>
    <w:rsid w:val="46E86F4A"/>
    <w:rsid w:val="46FF6B3B"/>
    <w:rsid w:val="470361EA"/>
    <w:rsid w:val="471A083F"/>
    <w:rsid w:val="471B149F"/>
    <w:rsid w:val="471DD5D4"/>
    <w:rsid w:val="472C70B3"/>
    <w:rsid w:val="472F321F"/>
    <w:rsid w:val="4734D680"/>
    <w:rsid w:val="4745E325"/>
    <w:rsid w:val="4768DF1A"/>
    <w:rsid w:val="47706EDA"/>
    <w:rsid w:val="47744C63"/>
    <w:rsid w:val="47761526"/>
    <w:rsid w:val="47908D18"/>
    <w:rsid w:val="47919C97"/>
    <w:rsid w:val="47932579"/>
    <w:rsid w:val="4795C2C3"/>
    <w:rsid w:val="479A0B9B"/>
    <w:rsid w:val="47A65512"/>
    <w:rsid w:val="47B23E4F"/>
    <w:rsid w:val="47BBD288"/>
    <w:rsid w:val="47C8DF4B"/>
    <w:rsid w:val="47D9F7C1"/>
    <w:rsid w:val="47E1F482"/>
    <w:rsid w:val="47F8F343"/>
    <w:rsid w:val="4801CB3F"/>
    <w:rsid w:val="480A8458"/>
    <w:rsid w:val="48144BCF"/>
    <w:rsid w:val="482E085E"/>
    <w:rsid w:val="4834FB96"/>
    <w:rsid w:val="4842E022"/>
    <w:rsid w:val="484368AC"/>
    <w:rsid w:val="4846C18F"/>
    <w:rsid w:val="484B7C99"/>
    <w:rsid w:val="4863EB02"/>
    <w:rsid w:val="48640DDB"/>
    <w:rsid w:val="48670303"/>
    <w:rsid w:val="48677EC6"/>
    <w:rsid w:val="487AE532"/>
    <w:rsid w:val="489386B7"/>
    <w:rsid w:val="48A053A4"/>
    <w:rsid w:val="48A87DDE"/>
    <w:rsid w:val="48CD28AB"/>
    <w:rsid w:val="48D5ABE9"/>
    <w:rsid w:val="48D91D78"/>
    <w:rsid w:val="48E00591"/>
    <w:rsid w:val="48EFE1B9"/>
    <w:rsid w:val="49099F75"/>
    <w:rsid w:val="490FDEB8"/>
    <w:rsid w:val="49123596"/>
    <w:rsid w:val="4920F849"/>
    <w:rsid w:val="4927F37D"/>
    <w:rsid w:val="492AE7DA"/>
    <w:rsid w:val="4931CD7E"/>
    <w:rsid w:val="494C26E4"/>
    <w:rsid w:val="494CDF1C"/>
    <w:rsid w:val="495692A6"/>
    <w:rsid w:val="496A45E1"/>
    <w:rsid w:val="496AC9F5"/>
    <w:rsid w:val="49787FF8"/>
    <w:rsid w:val="499D03A6"/>
    <w:rsid w:val="49BEB4D4"/>
    <w:rsid w:val="49CA4482"/>
    <w:rsid w:val="49D462E0"/>
    <w:rsid w:val="49D722B5"/>
    <w:rsid w:val="49DF39F4"/>
    <w:rsid w:val="49E17904"/>
    <w:rsid w:val="49E35DCD"/>
    <w:rsid w:val="49FC7A67"/>
    <w:rsid w:val="4A0452B8"/>
    <w:rsid w:val="4A0CACD2"/>
    <w:rsid w:val="4A13B0DD"/>
    <w:rsid w:val="4A296DC1"/>
    <w:rsid w:val="4A34A3ED"/>
    <w:rsid w:val="4A36D510"/>
    <w:rsid w:val="4A404C39"/>
    <w:rsid w:val="4A5BDF53"/>
    <w:rsid w:val="4A611206"/>
    <w:rsid w:val="4A637C2C"/>
    <w:rsid w:val="4A7492BD"/>
    <w:rsid w:val="4A8AB20B"/>
    <w:rsid w:val="4A977A7A"/>
    <w:rsid w:val="4A97B9CC"/>
    <w:rsid w:val="4AB45869"/>
    <w:rsid w:val="4ABF4914"/>
    <w:rsid w:val="4ACC351E"/>
    <w:rsid w:val="4AD4FCE4"/>
    <w:rsid w:val="4AE2E6A7"/>
    <w:rsid w:val="4AEA70FF"/>
    <w:rsid w:val="4AEAA715"/>
    <w:rsid w:val="4AF5FFD8"/>
    <w:rsid w:val="4AF7AA8E"/>
    <w:rsid w:val="4AF892D2"/>
    <w:rsid w:val="4AFF8CBF"/>
    <w:rsid w:val="4AFFD95D"/>
    <w:rsid w:val="4B3583C7"/>
    <w:rsid w:val="4B3C9E01"/>
    <w:rsid w:val="4B4669A2"/>
    <w:rsid w:val="4B4D15BC"/>
    <w:rsid w:val="4B7AF80F"/>
    <w:rsid w:val="4B94374C"/>
    <w:rsid w:val="4B947450"/>
    <w:rsid w:val="4B9A0856"/>
    <w:rsid w:val="4BA6C673"/>
    <w:rsid w:val="4BA80D31"/>
    <w:rsid w:val="4BA977B1"/>
    <w:rsid w:val="4BAA5C00"/>
    <w:rsid w:val="4BAEC0C7"/>
    <w:rsid w:val="4BB2B1B0"/>
    <w:rsid w:val="4BC0F3AC"/>
    <w:rsid w:val="4BC38417"/>
    <w:rsid w:val="4BC609FB"/>
    <w:rsid w:val="4BC8FCA5"/>
    <w:rsid w:val="4BD1CA69"/>
    <w:rsid w:val="4BD2AEDC"/>
    <w:rsid w:val="4BD6441E"/>
    <w:rsid w:val="4BD6D551"/>
    <w:rsid w:val="4BE374ED"/>
    <w:rsid w:val="4BEA80BA"/>
    <w:rsid w:val="4BEE06C0"/>
    <w:rsid w:val="4BF3B589"/>
    <w:rsid w:val="4C0A8C2E"/>
    <w:rsid w:val="4C0FE6D5"/>
    <w:rsid w:val="4C186F7F"/>
    <w:rsid w:val="4C3661C7"/>
    <w:rsid w:val="4C36B46A"/>
    <w:rsid w:val="4C4321A9"/>
    <w:rsid w:val="4C535BAE"/>
    <w:rsid w:val="4C571A4D"/>
    <w:rsid w:val="4C67E4D7"/>
    <w:rsid w:val="4C7F0A9C"/>
    <w:rsid w:val="4C86D667"/>
    <w:rsid w:val="4C8767C0"/>
    <w:rsid w:val="4C87BFCD"/>
    <w:rsid w:val="4C95354E"/>
    <w:rsid w:val="4CA2A954"/>
    <w:rsid w:val="4CB709C4"/>
    <w:rsid w:val="4CC60ACB"/>
    <w:rsid w:val="4CD61ABD"/>
    <w:rsid w:val="4CE1FE80"/>
    <w:rsid w:val="4CEACCED"/>
    <w:rsid w:val="4CF83811"/>
    <w:rsid w:val="4D2059D0"/>
    <w:rsid w:val="4D3C545F"/>
    <w:rsid w:val="4D614EDA"/>
    <w:rsid w:val="4D62CCC7"/>
    <w:rsid w:val="4D660266"/>
    <w:rsid w:val="4D698637"/>
    <w:rsid w:val="4D74A50A"/>
    <w:rsid w:val="4D76CA77"/>
    <w:rsid w:val="4D87F6F7"/>
    <w:rsid w:val="4D895667"/>
    <w:rsid w:val="4D91E508"/>
    <w:rsid w:val="4D92758C"/>
    <w:rsid w:val="4DAF9CD9"/>
    <w:rsid w:val="4DB31034"/>
    <w:rsid w:val="4DB4BC67"/>
    <w:rsid w:val="4DCFDB92"/>
    <w:rsid w:val="4DD9625D"/>
    <w:rsid w:val="4DE36F02"/>
    <w:rsid w:val="4DF4DD33"/>
    <w:rsid w:val="4E0217D4"/>
    <w:rsid w:val="4E0A36FF"/>
    <w:rsid w:val="4E0C1674"/>
    <w:rsid w:val="4E12981A"/>
    <w:rsid w:val="4E286C74"/>
    <w:rsid w:val="4E3FC3D8"/>
    <w:rsid w:val="4E4B129C"/>
    <w:rsid w:val="4E531F09"/>
    <w:rsid w:val="4E5423F5"/>
    <w:rsid w:val="4E591C08"/>
    <w:rsid w:val="4E59C9E5"/>
    <w:rsid w:val="4E6082EF"/>
    <w:rsid w:val="4E68C478"/>
    <w:rsid w:val="4E6C4766"/>
    <w:rsid w:val="4E912BB8"/>
    <w:rsid w:val="4E9A9C5C"/>
    <w:rsid w:val="4EA16C95"/>
    <w:rsid w:val="4EAEE5E4"/>
    <w:rsid w:val="4EBAC42F"/>
    <w:rsid w:val="4EC033C4"/>
    <w:rsid w:val="4EC7A38C"/>
    <w:rsid w:val="4ECC0726"/>
    <w:rsid w:val="4ED338C5"/>
    <w:rsid w:val="4EE8C5E9"/>
    <w:rsid w:val="4EEC066E"/>
    <w:rsid w:val="4EF11722"/>
    <w:rsid w:val="4EF4523C"/>
    <w:rsid w:val="4EF557C3"/>
    <w:rsid w:val="4F1D475C"/>
    <w:rsid w:val="4F30011D"/>
    <w:rsid w:val="4F36C44A"/>
    <w:rsid w:val="4F3841CF"/>
    <w:rsid w:val="4F3BCF94"/>
    <w:rsid w:val="4F3EA7FE"/>
    <w:rsid w:val="4F453B09"/>
    <w:rsid w:val="4F4DB099"/>
    <w:rsid w:val="4F4E311A"/>
    <w:rsid w:val="4F5824EC"/>
    <w:rsid w:val="4F7A9399"/>
    <w:rsid w:val="4F7F4A28"/>
    <w:rsid w:val="4F8173BE"/>
    <w:rsid w:val="4F821DA5"/>
    <w:rsid w:val="4F92C218"/>
    <w:rsid w:val="4FBF2FBD"/>
    <w:rsid w:val="4FC2628E"/>
    <w:rsid w:val="4FD6C7C6"/>
    <w:rsid w:val="5015BBCC"/>
    <w:rsid w:val="50164B94"/>
    <w:rsid w:val="501E392A"/>
    <w:rsid w:val="5032420A"/>
    <w:rsid w:val="50380345"/>
    <w:rsid w:val="5042F3B3"/>
    <w:rsid w:val="505B225F"/>
    <w:rsid w:val="5075E360"/>
    <w:rsid w:val="5079680B"/>
    <w:rsid w:val="507F260C"/>
    <w:rsid w:val="507F4AA5"/>
    <w:rsid w:val="5086E50C"/>
    <w:rsid w:val="508E8CD5"/>
    <w:rsid w:val="5091F0CD"/>
    <w:rsid w:val="50932B06"/>
    <w:rsid w:val="509368CC"/>
    <w:rsid w:val="509889FE"/>
    <w:rsid w:val="50B242E0"/>
    <w:rsid w:val="50B2B17E"/>
    <w:rsid w:val="50BD30D4"/>
    <w:rsid w:val="50C2ACCF"/>
    <w:rsid w:val="50FC32C8"/>
    <w:rsid w:val="50FE9003"/>
    <w:rsid w:val="51014CC1"/>
    <w:rsid w:val="510736D0"/>
    <w:rsid w:val="5120A358"/>
    <w:rsid w:val="512B546A"/>
    <w:rsid w:val="512EFBA6"/>
    <w:rsid w:val="512F7A96"/>
    <w:rsid w:val="5133DCDD"/>
    <w:rsid w:val="51368983"/>
    <w:rsid w:val="514BE64A"/>
    <w:rsid w:val="5178F2EB"/>
    <w:rsid w:val="518304E0"/>
    <w:rsid w:val="51A54B33"/>
    <w:rsid w:val="51CA2196"/>
    <w:rsid w:val="51D26456"/>
    <w:rsid w:val="51F1F928"/>
    <w:rsid w:val="51F31735"/>
    <w:rsid w:val="51F3AD88"/>
    <w:rsid w:val="51F543E4"/>
    <w:rsid w:val="521572FB"/>
    <w:rsid w:val="5229D459"/>
    <w:rsid w:val="5229E702"/>
    <w:rsid w:val="522C755B"/>
    <w:rsid w:val="523AC9E9"/>
    <w:rsid w:val="523E87EA"/>
    <w:rsid w:val="523FEFB7"/>
    <w:rsid w:val="525EAAB4"/>
    <w:rsid w:val="525F9BF9"/>
    <w:rsid w:val="5267AFEE"/>
    <w:rsid w:val="52713D06"/>
    <w:rsid w:val="5273ED33"/>
    <w:rsid w:val="5274C328"/>
    <w:rsid w:val="527B02B5"/>
    <w:rsid w:val="5295721A"/>
    <w:rsid w:val="529AB2FD"/>
    <w:rsid w:val="52BDAABF"/>
    <w:rsid w:val="52E2AE37"/>
    <w:rsid w:val="52E86D5F"/>
    <w:rsid w:val="52FDD541"/>
    <w:rsid w:val="53136AF4"/>
    <w:rsid w:val="5319952C"/>
    <w:rsid w:val="5320BCD6"/>
    <w:rsid w:val="53247412"/>
    <w:rsid w:val="532F1436"/>
    <w:rsid w:val="533D8CDB"/>
    <w:rsid w:val="5348BDD9"/>
    <w:rsid w:val="535E9F81"/>
    <w:rsid w:val="53612CF8"/>
    <w:rsid w:val="536A631F"/>
    <w:rsid w:val="53780862"/>
    <w:rsid w:val="537D3369"/>
    <w:rsid w:val="53902D3E"/>
    <w:rsid w:val="53B1FACD"/>
    <w:rsid w:val="53BCDC4D"/>
    <w:rsid w:val="53BDA6E2"/>
    <w:rsid w:val="53D32260"/>
    <w:rsid w:val="53D9962D"/>
    <w:rsid w:val="53EBD68D"/>
    <w:rsid w:val="53EC2896"/>
    <w:rsid w:val="53F43726"/>
    <w:rsid w:val="543CF063"/>
    <w:rsid w:val="54415E99"/>
    <w:rsid w:val="5443F46A"/>
    <w:rsid w:val="547998C4"/>
    <w:rsid w:val="54E9A202"/>
    <w:rsid w:val="54F454FA"/>
    <w:rsid w:val="54FDD180"/>
    <w:rsid w:val="550BFC16"/>
    <w:rsid w:val="554961E3"/>
    <w:rsid w:val="55510BEA"/>
    <w:rsid w:val="555931D8"/>
    <w:rsid w:val="5572CF1B"/>
    <w:rsid w:val="55747182"/>
    <w:rsid w:val="55BE85B4"/>
    <w:rsid w:val="55C26CE1"/>
    <w:rsid w:val="55C4D367"/>
    <w:rsid w:val="55C76E8D"/>
    <w:rsid w:val="55C8E5D1"/>
    <w:rsid w:val="55CDE7BA"/>
    <w:rsid w:val="55D8C036"/>
    <w:rsid w:val="560ED3AF"/>
    <w:rsid w:val="56111168"/>
    <w:rsid w:val="5612F112"/>
    <w:rsid w:val="561FE28F"/>
    <w:rsid w:val="563F87CF"/>
    <w:rsid w:val="5652C3B5"/>
    <w:rsid w:val="5654A6A5"/>
    <w:rsid w:val="566EEB8F"/>
    <w:rsid w:val="5670EEC7"/>
    <w:rsid w:val="567777AF"/>
    <w:rsid w:val="56843236"/>
    <w:rsid w:val="568915D0"/>
    <w:rsid w:val="56895638"/>
    <w:rsid w:val="568C9276"/>
    <w:rsid w:val="568F4864"/>
    <w:rsid w:val="568FF99B"/>
    <w:rsid w:val="56AC6CF7"/>
    <w:rsid w:val="56B6DA5D"/>
    <w:rsid w:val="56C03A64"/>
    <w:rsid w:val="56C41E2E"/>
    <w:rsid w:val="56C4D91D"/>
    <w:rsid w:val="56D6E190"/>
    <w:rsid w:val="56E3CF0A"/>
    <w:rsid w:val="56E68A96"/>
    <w:rsid w:val="56E9FA0A"/>
    <w:rsid w:val="56EE47FB"/>
    <w:rsid w:val="56F55FCC"/>
    <w:rsid w:val="56F69814"/>
    <w:rsid w:val="570B6B46"/>
    <w:rsid w:val="57146C48"/>
    <w:rsid w:val="57205931"/>
    <w:rsid w:val="573138AA"/>
    <w:rsid w:val="57571DFE"/>
    <w:rsid w:val="5764497C"/>
    <w:rsid w:val="57858EBB"/>
    <w:rsid w:val="578B226A"/>
    <w:rsid w:val="578B585B"/>
    <w:rsid w:val="578F660F"/>
    <w:rsid w:val="578FD1B0"/>
    <w:rsid w:val="57916CDC"/>
    <w:rsid w:val="579176D9"/>
    <w:rsid w:val="5795757A"/>
    <w:rsid w:val="579B5446"/>
    <w:rsid w:val="57A256ED"/>
    <w:rsid w:val="57A5A52C"/>
    <w:rsid w:val="57AE8AB8"/>
    <w:rsid w:val="57B9C581"/>
    <w:rsid w:val="57D4E16D"/>
    <w:rsid w:val="57E57403"/>
    <w:rsid w:val="57E88E7D"/>
    <w:rsid w:val="57F02702"/>
    <w:rsid w:val="57F791CE"/>
    <w:rsid w:val="5818EA78"/>
    <w:rsid w:val="58242E38"/>
    <w:rsid w:val="582A8E94"/>
    <w:rsid w:val="583678DF"/>
    <w:rsid w:val="583CCFEE"/>
    <w:rsid w:val="5851D3A5"/>
    <w:rsid w:val="5855D593"/>
    <w:rsid w:val="585D1779"/>
    <w:rsid w:val="5862A8CA"/>
    <w:rsid w:val="586E55E5"/>
    <w:rsid w:val="586FD405"/>
    <w:rsid w:val="587C5157"/>
    <w:rsid w:val="587C8B9E"/>
    <w:rsid w:val="5883FAE3"/>
    <w:rsid w:val="58908AC7"/>
    <w:rsid w:val="58C8CFC7"/>
    <w:rsid w:val="58D96875"/>
    <w:rsid w:val="58D99F72"/>
    <w:rsid w:val="58DCA71D"/>
    <w:rsid w:val="58DCB6A8"/>
    <w:rsid w:val="58FBE69F"/>
    <w:rsid w:val="590456FE"/>
    <w:rsid w:val="590574A7"/>
    <w:rsid w:val="590C48D5"/>
    <w:rsid w:val="5913E31F"/>
    <w:rsid w:val="591AC24A"/>
    <w:rsid w:val="59350FE3"/>
    <w:rsid w:val="593C3336"/>
    <w:rsid w:val="593EE5D7"/>
    <w:rsid w:val="59416E63"/>
    <w:rsid w:val="59446436"/>
    <w:rsid w:val="5951F67D"/>
    <w:rsid w:val="59753C44"/>
    <w:rsid w:val="5980CF64"/>
    <w:rsid w:val="59900849"/>
    <w:rsid w:val="599DB50A"/>
    <w:rsid w:val="599E3586"/>
    <w:rsid w:val="599E6B85"/>
    <w:rsid w:val="59A10D84"/>
    <w:rsid w:val="59CF2C48"/>
    <w:rsid w:val="59E71254"/>
    <w:rsid w:val="59E7C752"/>
    <w:rsid w:val="59FCC340"/>
    <w:rsid w:val="5A130D07"/>
    <w:rsid w:val="5A176F37"/>
    <w:rsid w:val="5A29880D"/>
    <w:rsid w:val="5A39BBD2"/>
    <w:rsid w:val="5A51BF4F"/>
    <w:rsid w:val="5A551936"/>
    <w:rsid w:val="5A61EE3F"/>
    <w:rsid w:val="5A754F6C"/>
    <w:rsid w:val="5A76C1DE"/>
    <w:rsid w:val="5A85D9C3"/>
    <w:rsid w:val="5A8F4811"/>
    <w:rsid w:val="5A9B6DEC"/>
    <w:rsid w:val="5ABE1414"/>
    <w:rsid w:val="5ABE5C2E"/>
    <w:rsid w:val="5AC68A52"/>
    <w:rsid w:val="5AD8A82B"/>
    <w:rsid w:val="5AE6A523"/>
    <w:rsid w:val="5B026D3D"/>
    <w:rsid w:val="5B09319F"/>
    <w:rsid w:val="5B0FB730"/>
    <w:rsid w:val="5B138ACD"/>
    <w:rsid w:val="5B1969CC"/>
    <w:rsid w:val="5B22DB4B"/>
    <w:rsid w:val="5B3AD9BC"/>
    <w:rsid w:val="5B4A5167"/>
    <w:rsid w:val="5B52BB00"/>
    <w:rsid w:val="5B5A7796"/>
    <w:rsid w:val="5B5C73D5"/>
    <w:rsid w:val="5B669514"/>
    <w:rsid w:val="5B69994A"/>
    <w:rsid w:val="5B77C5C2"/>
    <w:rsid w:val="5B7ED506"/>
    <w:rsid w:val="5B7F433A"/>
    <w:rsid w:val="5BA42E4C"/>
    <w:rsid w:val="5BB2BD79"/>
    <w:rsid w:val="5BBB2ABC"/>
    <w:rsid w:val="5BCE8389"/>
    <w:rsid w:val="5BD2942F"/>
    <w:rsid w:val="5BE36216"/>
    <w:rsid w:val="5BEE4A5C"/>
    <w:rsid w:val="5BF0BF0A"/>
    <w:rsid w:val="5BF60104"/>
    <w:rsid w:val="5BFAC7A7"/>
    <w:rsid w:val="5BFD59EF"/>
    <w:rsid w:val="5C029E56"/>
    <w:rsid w:val="5C2BD02A"/>
    <w:rsid w:val="5C2C229F"/>
    <w:rsid w:val="5C33D501"/>
    <w:rsid w:val="5C3D1930"/>
    <w:rsid w:val="5C3E2A04"/>
    <w:rsid w:val="5C40E7CC"/>
    <w:rsid w:val="5C4166DD"/>
    <w:rsid w:val="5C57DBAA"/>
    <w:rsid w:val="5C657C3B"/>
    <w:rsid w:val="5C65F6D5"/>
    <w:rsid w:val="5C821558"/>
    <w:rsid w:val="5C862888"/>
    <w:rsid w:val="5C91E937"/>
    <w:rsid w:val="5C9BFFF6"/>
    <w:rsid w:val="5CA006BD"/>
    <w:rsid w:val="5CC4B1B5"/>
    <w:rsid w:val="5CC5FEC0"/>
    <w:rsid w:val="5CDB7543"/>
    <w:rsid w:val="5CDD6EB0"/>
    <w:rsid w:val="5CEA2AF6"/>
    <w:rsid w:val="5CEE658B"/>
    <w:rsid w:val="5CF4BBDC"/>
    <w:rsid w:val="5CF4C404"/>
    <w:rsid w:val="5D22EC24"/>
    <w:rsid w:val="5D29726B"/>
    <w:rsid w:val="5D2E8CAB"/>
    <w:rsid w:val="5D3295BB"/>
    <w:rsid w:val="5D38E99F"/>
    <w:rsid w:val="5D3DA320"/>
    <w:rsid w:val="5D41319F"/>
    <w:rsid w:val="5D470A61"/>
    <w:rsid w:val="5D4A3DED"/>
    <w:rsid w:val="5D5C620E"/>
    <w:rsid w:val="5D5D4CD7"/>
    <w:rsid w:val="5D6F5296"/>
    <w:rsid w:val="5D6FF4FB"/>
    <w:rsid w:val="5D7D1932"/>
    <w:rsid w:val="5D9672EA"/>
    <w:rsid w:val="5D9C9144"/>
    <w:rsid w:val="5DAE43F9"/>
    <w:rsid w:val="5DBD8C04"/>
    <w:rsid w:val="5DCA488D"/>
    <w:rsid w:val="5DE02FAA"/>
    <w:rsid w:val="5DE9B2D4"/>
    <w:rsid w:val="5DF65CA9"/>
    <w:rsid w:val="5DF78F00"/>
    <w:rsid w:val="5E1E4BF9"/>
    <w:rsid w:val="5E23BF7A"/>
    <w:rsid w:val="5E25F1A3"/>
    <w:rsid w:val="5E2B2D15"/>
    <w:rsid w:val="5E34C948"/>
    <w:rsid w:val="5E43E419"/>
    <w:rsid w:val="5E467A41"/>
    <w:rsid w:val="5E5BCDB3"/>
    <w:rsid w:val="5E5F54BC"/>
    <w:rsid w:val="5E6254ED"/>
    <w:rsid w:val="5E65326B"/>
    <w:rsid w:val="5E699ACF"/>
    <w:rsid w:val="5E6D0AEC"/>
    <w:rsid w:val="5E70EF8B"/>
    <w:rsid w:val="5E73A7FA"/>
    <w:rsid w:val="5EB77CBC"/>
    <w:rsid w:val="5ECD88FC"/>
    <w:rsid w:val="5ED51FCD"/>
    <w:rsid w:val="5EE2B18B"/>
    <w:rsid w:val="5EE57B43"/>
    <w:rsid w:val="5EE67CE7"/>
    <w:rsid w:val="5F053FCA"/>
    <w:rsid w:val="5F08779E"/>
    <w:rsid w:val="5F0BD994"/>
    <w:rsid w:val="5F0D0883"/>
    <w:rsid w:val="5F2C4475"/>
    <w:rsid w:val="5F36A12A"/>
    <w:rsid w:val="5F3955F1"/>
    <w:rsid w:val="5F4AF644"/>
    <w:rsid w:val="5F51F8DB"/>
    <w:rsid w:val="5F6F741D"/>
    <w:rsid w:val="5F7141B3"/>
    <w:rsid w:val="5F739808"/>
    <w:rsid w:val="5F863F79"/>
    <w:rsid w:val="5F8BCBA8"/>
    <w:rsid w:val="5F902CB6"/>
    <w:rsid w:val="5F93DC5A"/>
    <w:rsid w:val="5FA07790"/>
    <w:rsid w:val="5FA2F549"/>
    <w:rsid w:val="5FA96C53"/>
    <w:rsid w:val="5FAE69B6"/>
    <w:rsid w:val="5FCBA997"/>
    <w:rsid w:val="5FE12743"/>
    <w:rsid w:val="5FE16D35"/>
    <w:rsid w:val="5FFE42C5"/>
    <w:rsid w:val="60143D73"/>
    <w:rsid w:val="60148269"/>
    <w:rsid w:val="6014F7CE"/>
    <w:rsid w:val="602006D3"/>
    <w:rsid w:val="60325668"/>
    <w:rsid w:val="603ACE55"/>
    <w:rsid w:val="603AD428"/>
    <w:rsid w:val="6070F43A"/>
    <w:rsid w:val="6076EB5B"/>
    <w:rsid w:val="607DD5B4"/>
    <w:rsid w:val="6082946E"/>
    <w:rsid w:val="609207C0"/>
    <w:rsid w:val="6099285F"/>
    <w:rsid w:val="60A36C34"/>
    <w:rsid w:val="60A8F03F"/>
    <w:rsid w:val="60AF17EF"/>
    <w:rsid w:val="60BC8A1A"/>
    <w:rsid w:val="60CBDC45"/>
    <w:rsid w:val="60CF8A6E"/>
    <w:rsid w:val="60D07A0B"/>
    <w:rsid w:val="60DBF883"/>
    <w:rsid w:val="60FC6205"/>
    <w:rsid w:val="610D5D87"/>
    <w:rsid w:val="612006EF"/>
    <w:rsid w:val="6123BB81"/>
    <w:rsid w:val="614AA22E"/>
    <w:rsid w:val="615DE7AD"/>
    <w:rsid w:val="6163D74E"/>
    <w:rsid w:val="6171F388"/>
    <w:rsid w:val="6176111D"/>
    <w:rsid w:val="617F0239"/>
    <w:rsid w:val="6194890E"/>
    <w:rsid w:val="619BD299"/>
    <w:rsid w:val="619D7711"/>
    <w:rsid w:val="61A0AAC4"/>
    <w:rsid w:val="61BA6371"/>
    <w:rsid w:val="61BE47A5"/>
    <w:rsid w:val="61BFBD58"/>
    <w:rsid w:val="61C0B242"/>
    <w:rsid w:val="61C46BE9"/>
    <w:rsid w:val="61C631CD"/>
    <w:rsid w:val="61E4F261"/>
    <w:rsid w:val="61E641F4"/>
    <w:rsid w:val="623C8754"/>
    <w:rsid w:val="623E7273"/>
    <w:rsid w:val="62494E52"/>
    <w:rsid w:val="62574271"/>
    <w:rsid w:val="6257F771"/>
    <w:rsid w:val="62623259"/>
    <w:rsid w:val="627DEA01"/>
    <w:rsid w:val="6287F51D"/>
    <w:rsid w:val="62998AC5"/>
    <w:rsid w:val="629BC561"/>
    <w:rsid w:val="629C46DD"/>
    <w:rsid w:val="629CF816"/>
    <w:rsid w:val="62A9800A"/>
    <w:rsid w:val="62C4AA2B"/>
    <w:rsid w:val="62CF25AE"/>
    <w:rsid w:val="62D7BC39"/>
    <w:rsid w:val="62F5B814"/>
    <w:rsid w:val="62F96B6C"/>
    <w:rsid w:val="6300D806"/>
    <w:rsid w:val="6305E547"/>
    <w:rsid w:val="631C7670"/>
    <w:rsid w:val="631ED5CC"/>
    <w:rsid w:val="63229FB0"/>
    <w:rsid w:val="6337BA60"/>
    <w:rsid w:val="63421F1E"/>
    <w:rsid w:val="63451088"/>
    <w:rsid w:val="6348235C"/>
    <w:rsid w:val="634B9A0D"/>
    <w:rsid w:val="63514D6F"/>
    <w:rsid w:val="63532567"/>
    <w:rsid w:val="635FE1FC"/>
    <w:rsid w:val="6368F83A"/>
    <w:rsid w:val="6378CF28"/>
    <w:rsid w:val="637905A1"/>
    <w:rsid w:val="637CDA3D"/>
    <w:rsid w:val="637F8A8F"/>
    <w:rsid w:val="6386068D"/>
    <w:rsid w:val="639F17A8"/>
    <w:rsid w:val="63A6C031"/>
    <w:rsid w:val="63C24BB6"/>
    <w:rsid w:val="63CB693F"/>
    <w:rsid w:val="63CE08EB"/>
    <w:rsid w:val="63D03653"/>
    <w:rsid w:val="63DBF7CE"/>
    <w:rsid w:val="63DC6F9D"/>
    <w:rsid w:val="63E5A427"/>
    <w:rsid w:val="63ED60ED"/>
    <w:rsid w:val="642101EC"/>
    <w:rsid w:val="64214E47"/>
    <w:rsid w:val="642F06E3"/>
    <w:rsid w:val="6438AC93"/>
    <w:rsid w:val="6438F13F"/>
    <w:rsid w:val="643B1C0B"/>
    <w:rsid w:val="644D821F"/>
    <w:rsid w:val="644E5869"/>
    <w:rsid w:val="644F92C6"/>
    <w:rsid w:val="6452ECF3"/>
    <w:rsid w:val="647A415B"/>
    <w:rsid w:val="6485EF68"/>
    <w:rsid w:val="649944CF"/>
    <w:rsid w:val="6499D3FE"/>
    <w:rsid w:val="64ACB93F"/>
    <w:rsid w:val="64B3D8A6"/>
    <w:rsid w:val="64BF1DBA"/>
    <w:rsid w:val="64C1D655"/>
    <w:rsid w:val="64C55B3C"/>
    <w:rsid w:val="64C746A9"/>
    <w:rsid w:val="64D0A2C0"/>
    <w:rsid w:val="64ED9D4D"/>
    <w:rsid w:val="64F70D5E"/>
    <w:rsid w:val="6509757D"/>
    <w:rsid w:val="652F3DEF"/>
    <w:rsid w:val="6531954A"/>
    <w:rsid w:val="65334DB0"/>
    <w:rsid w:val="65393D52"/>
    <w:rsid w:val="65421791"/>
    <w:rsid w:val="654A6E4A"/>
    <w:rsid w:val="654AFD8B"/>
    <w:rsid w:val="65579502"/>
    <w:rsid w:val="6569D417"/>
    <w:rsid w:val="6577293F"/>
    <w:rsid w:val="65A1520D"/>
    <w:rsid w:val="65BB1C7A"/>
    <w:rsid w:val="65D2F312"/>
    <w:rsid w:val="65D655FD"/>
    <w:rsid w:val="65EA1348"/>
    <w:rsid w:val="660179B4"/>
    <w:rsid w:val="66072521"/>
    <w:rsid w:val="660AD222"/>
    <w:rsid w:val="66127878"/>
    <w:rsid w:val="6619C8F6"/>
    <w:rsid w:val="661D85A9"/>
    <w:rsid w:val="662F50F1"/>
    <w:rsid w:val="66349AEE"/>
    <w:rsid w:val="66554C53"/>
    <w:rsid w:val="665AADAF"/>
    <w:rsid w:val="66614022"/>
    <w:rsid w:val="666D0F0A"/>
    <w:rsid w:val="6678E09B"/>
    <w:rsid w:val="66893D58"/>
    <w:rsid w:val="669B388E"/>
    <w:rsid w:val="669F62B6"/>
    <w:rsid w:val="66A0A598"/>
    <w:rsid w:val="66AE0D16"/>
    <w:rsid w:val="66CB28EA"/>
    <w:rsid w:val="66F04D4F"/>
    <w:rsid w:val="66F42D24"/>
    <w:rsid w:val="66FCB9F3"/>
    <w:rsid w:val="67085416"/>
    <w:rsid w:val="670C6133"/>
    <w:rsid w:val="6720E1AA"/>
    <w:rsid w:val="672ED60B"/>
    <w:rsid w:val="673744B9"/>
    <w:rsid w:val="6741E731"/>
    <w:rsid w:val="67644597"/>
    <w:rsid w:val="67656A9B"/>
    <w:rsid w:val="67767956"/>
    <w:rsid w:val="67A5FFD9"/>
    <w:rsid w:val="67E6CDFC"/>
    <w:rsid w:val="67ED5D21"/>
    <w:rsid w:val="67F855DD"/>
    <w:rsid w:val="6801B5C9"/>
    <w:rsid w:val="68164EC8"/>
    <w:rsid w:val="6817DB0F"/>
    <w:rsid w:val="681E3E31"/>
    <w:rsid w:val="682519F3"/>
    <w:rsid w:val="68290979"/>
    <w:rsid w:val="683EC297"/>
    <w:rsid w:val="684984A9"/>
    <w:rsid w:val="6851B1B3"/>
    <w:rsid w:val="68582B1E"/>
    <w:rsid w:val="686197F3"/>
    <w:rsid w:val="6863366F"/>
    <w:rsid w:val="68668BF5"/>
    <w:rsid w:val="68741098"/>
    <w:rsid w:val="68916B1F"/>
    <w:rsid w:val="689D651C"/>
    <w:rsid w:val="68A7A02A"/>
    <w:rsid w:val="68AAF062"/>
    <w:rsid w:val="68B2650B"/>
    <w:rsid w:val="68C51FAD"/>
    <w:rsid w:val="68FD5617"/>
    <w:rsid w:val="69031012"/>
    <w:rsid w:val="6906ADAD"/>
    <w:rsid w:val="6918EE29"/>
    <w:rsid w:val="691AF751"/>
    <w:rsid w:val="691DBD48"/>
    <w:rsid w:val="6925F9B5"/>
    <w:rsid w:val="6928FB48"/>
    <w:rsid w:val="693594DA"/>
    <w:rsid w:val="694C0E33"/>
    <w:rsid w:val="694C4323"/>
    <w:rsid w:val="6957A69F"/>
    <w:rsid w:val="695A4F54"/>
    <w:rsid w:val="695BDF9B"/>
    <w:rsid w:val="697048FD"/>
    <w:rsid w:val="69781AC5"/>
    <w:rsid w:val="699EEC6C"/>
    <w:rsid w:val="69A123CD"/>
    <w:rsid w:val="69CC4A15"/>
    <w:rsid w:val="69D5F197"/>
    <w:rsid w:val="69D8C974"/>
    <w:rsid w:val="69E36212"/>
    <w:rsid w:val="6A0B65A6"/>
    <w:rsid w:val="6A16971D"/>
    <w:rsid w:val="6A319C97"/>
    <w:rsid w:val="6A357651"/>
    <w:rsid w:val="6A375D74"/>
    <w:rsid w:val="6A471333"/>
    <w:rsid w:val="6A58BE09"/>
    <w:rsid w:val="6A66A21B"/>
    <w:rsid w:val="6A759001"/>
    <w:rsid w:val="6ABDD0B4"/>
    <w:rsid w:val="6ACA2BC0"/>
    <w:rsid w:val="6ACAC6B3"/>
    <w:rsid w:val="6ACB6C91"/>
    <w:rsid w:val="6AD56253"/>
    <w:rsid w:val="6AD894FF"/>
    <w:rsid w:val="6AE28692"/>
    <w:rsid w:val="6AFD0130"/>
    <w:rsid w:val="6B00D333"/>
    <w:rsid w:val="6B02426C"/>
    <w:rsid w:val="6B1724BA"/>
    <w:rsid w:val="6B1773A7"/>
    <w:rsid w:val="6B224A48"/>
    <w:rsid w:val="6B2D7184"/>
    <w:rsid w:val="6B358497"/>
    <w:rsid w:val="6B36BA26"/>
    <w:rsid w:val="6B3AD172"/>
    <w:rsid w:val="6B445139"/>
    <w:rsid w:val="6B54B0BD"/>
    <w:rsid w:val="6B5D4D20"/>
    <w:rsid w:val="6B6209A2"/>
    <w:rsid w:val="6B676AF2"/>
    <w:rsid w:val="6B69B0F7"/>
    <w:rsid w:val="6B6A31D2"/>
    <w:rsid w:val="6BA01672"/>
    <w:rsid w:val="6BB96C26"/>
    <w:rsid w:val="6BD78029"/>
    <w:rsid w:val="6BD8A481"/>
    <w:rsid w:val="6BDF0B50"/>
    <w:rsid w:val="6BF25F70"/>
    <w:rsid w:val="6BF4BC8A"/>
    <w:rsid w:val="6BF8A5BE"/>
    <w:rsid w:val="6C03D7AB"/>
    <w:rsid w:val="6C05D623"/>
    <w:rsid w:val="6C0DC9A5"/>
    <w:rsid w:val="6C14B21C"/>
    <w:rsid w:val="6C2302DD"/>
    <w:rsid w:val="6C234B8A"/>
    <w:rsid w:val="6C32F82C"/>
    <w:rsid w:val="6C4A7762"/>
    <w:rsid w:val="6C5AAFEA"/>
    <w:rsid w:val="6C5C6245"/>
    <w:rsid w:val="6C5D8DE5"/>
    <w:rsid w:val="6C756B09"/>
    <w:rsid w:val="6C7AC024"/>
    <w:rsid w:val="6C7AD86F"/>
    <w:rsid w:val="6C896A2F"/>
    <w:rsid w:val="6C8F01CF"/>
    <w:rsid w:val="6C909FCD"/>
    <w:rsid w:val="6C9BBDE2"/>
    <w:rsid w:val="6CA5D911"/>
    <w:rsid w:val="6CB3C12C"/>
    <w:rsid w:val="6CB85A14"/>
    <w:rsid w:val="6CBE0239"/>
    <w:rsid w:val="6CC08072"/>
    <w:rsid w:val="6CDE445B"/>
    <w:rsid w:val="6CECC77F"/>
    <w:rsid w:val="6D2EC134"/>
    <w:rsid w:val="6D32DAE9"/>
    <w:rsid w:val="6D4BF6E6"/>
    <w:rsid w:val="6D5C2B2D"/>
    <w:rsid w:val="6D737014"/>
    <w:rsid w:val="6D8A6D62"/>
    <w:rsid w:val="6D95071A"/>
    <w:rsid w:val="6D991693"/>
    <w:rsid w:val="6DA3F20B"/>
    <w:rsid w:val="6DA66D76"/>
    <w:rsid w:val="6DAE9F1E"/>
    <w:rsid w:val="6DB15F82"/>
    <w:rsid w:val="6DC3794A"/>
    <w:rsid w:val="6DF54B29"/>
    <w:rsid w:val="6E094EDF"/>
    <w:rsid w:val="6E22509B"/>
    <w:rsid w:val="6E26EECC"/>
    <w:rsid w:val="6E390852"/>
    <w:rsid w:val="6E46B1DE"/>
    <w:rsid w:val="6E5B12CE"/>
    <w:rsid w:val="6E5B22AB"/>
    <w:rsid w:val="6E8DA700"/>
    <w:rsid w:val="6E920296"/>
    <w:rsid w:val="6E9A0CFA"/>
    <w:rsid w:val="6EA51FDA"/>
    <w:rsid w:val="6EA875A0"/>
    <w:rsid w:val="6EB16385"/>
    <w:rsid w:val="6EC820F6"/>
    <w:rsid w:val="6EE92C0F"/>
    <w:rsid w:val="6EF1412C"/>
    <w:rsid w:val="6EFB568A"/>
    <w:rsid w:val="6F0A136F"/>
    <w:rsid w:val="6F0C59DA"/>
    <w:rsid w:val="6F167166"/>
    <w:rsid w:val="6F41CE5D"/>
    <w:rsid w:val="6F50943F"/>
    <w:rsid w:val="6F5A8F9D"/>
    <w:rsid w:val="6F611C1D"/>
    <w:rsid w:val="6F62BCAD"/>
    <w:rsid w:val="6F753DA0"/>
    <w:rsid w:val="6F854E13"/>
    <w:rsid w:val="6F8BF8FC"/>
    <w:rsid w:val="6F94C91D"/>
    <w:rsid w:val="6F977AB3"/>
    <w:rsid w:val="6FB8C7F8"/>
    <w:rsid w:val="6FC66395"/>
    <w:rsid w:val="6FD3FEAA"/>
    <w:rsid w:val="6FFF74AF"/>
    <w:rsid w:val="700075B5"/>
    <w:rsid w:val="7001C148"/>
    <w:rsid w:val="70020F9C"/>
    <w:rsid w:val="701AE4F7"/>
    <w:rsid w:val="702F3EF4"/>
    <w:rsid w:val="703A3E89"/>
    <w:rsid w:val="704265FD"/>
    <w:rsid w:val="705CCAED"/>
    <w:rsid w:val="7061AB59"/>
    <w:rsid w:val="70673119"/>
    <w:rsid w:val="706F736C"/>
    <w:rsid w:val="707D975A"/>
    <w:rsid w:val="707EBF44"/>
    <w:rsid w:val="70826417"/>
    <w:rsid w:val="708555E9"/>
    <w:rsid w:val="708BC5AE"/>
    <w:rsid w:val="708EA8C5"/>
    <w:rsid w:val="70900416"/>
    <w:rsid w:val="709FB8BE"/>
    <w:rsid w:val="70A22135"/>
    <w:rsid w:val="70BBF6FA"/>
    <w:rsid w:val="70CECB47"/>
    <w:rsid w:val="70D587E4"/>
    <w:rsid w:val="70EDEFFD"/>
    <w:rsid w:val="70F3269A"/>
    <w:rsid w:val="70FC9ACD"/>
    <w:rsid w:val="70FD5125"/>
    <w:rsid w:val="7103F780"/>
    <w:rsid w:val="710ECD76"/>
    <w:rsid w:val="710FCF86"/>
    <w:rsid w:val="71133BEB"/>
    <w:rsid w:val="711570B4"/>
    <w:rsid w:val="711ECFA0"/>
    <w:rsid w:val="71393608"/>
    <w:rsid w:val="71534935"/>
    <w:rsid w:val="7159BDBF"/>
    <w:rsid w:val="715E2EAB"/>
    <w:rsid w:val="71642DB2"/>
    <w:rsid w:val="716A2ED9"/>
    <w:rsid w:val="716AF059"/>
    <w:rsid w:val="716BF983"/>
    <w:rsid w:val="71779E92"/>
    <w:rsid w:val="717EA943"/>
    <w:rsid w:val="71881560"/>
    <w:rsid w:val="7199F4A6"/>
    <w:rsid w:val="71B11B45"/>
    <w:rsid w:val="71C4E867"/>
    <w:rsid w:val="71CCC685"/>
    <w:rsid w:val="71D63CCA"/>
    <w:rsid w:val="71E0300C"/>
    <w:rsid w:val="71E29E86"/>
    <w:rsid w:val="71FE4A6C"/>
    <w:rsid w:val="7208E876"/>
    <w:rsid w:val="721F28AE"/>
    <w:rsid w:val="722716FB"/>
    <w:rsid w:val="7230AFEA"/>
    <w:rsid w:val="72478347"/>
    <w:rsid w:val="7262829A"/>
    <w:rsid w:val="726BCBA0"/>
    <w:rsid w:val="726F0FFD"/>
    <w:rsid w:val="727BB7AF"/>
    <w:rsid w:val="72903F4F"/>
    <w:rsid w:val="72A8890A"/>
    <w:rsid w:val="72AB6F13"/>
    <w:rsid w:val="72B17DA6"/>
    <w:rsid w:val="72B6BD25"/>
    <w:rsid w:val="72D0FB24"/>
    <w:rsid w:val="72DC36F7"/>
    <w:rsid w:val="72FD8B3E"/>
    <w:rsid w:val="73077F62"/>
    <w:rsid w:val="730D4E15"/>
    <w:rsid w:val="7321C6B1"/>
    <w:rsid w:val="732FF22F"/>
    <w:rsid w:val="7331F6C3"/>
    <w:rsid w:val="733600F3"/>
    <w:rsid w:val="733F489F"/>
    <w:rsid w:val="733FE88F"/>
    <w:rsid w:val="7344D054"/>
    <w:rsid w:val="73473205"/>
    <w:rsid w:val="735653E5"/>
    <w:rsid w:val="7358CC91"/>
    <w:rsid w:val="736268D5"/>
    <w:rsid w:val="737134F9"/>
    <w:rsid w:val="73730515"/>
    <w:rsid w:val="738A9712"/>
    <w:rsid w:val="738F6B44"/>
    <w:rsid w:val="739513D8"/>
    <w:rsid w:val="73967DBE"/>
    <w:rsid w:val="73970DC0"/>
    <w:rsid w:val="73A2923A"/>
    <w:rsid w:val="73A4A0F4"/>
    <w:rsid w:val="73A829F5"/>
    <w:rsid w:val="73AD4DBF"/>
    <w:rsid w:val="73E54358"/>
    <w:rsid w:val="73E993DD"/>
    <w:rsid w:val="73F1B46E"/>
    <w:rsid w:val="73F255FE"/>
    <w:rsid w:val="742D7914"/>
    <w:rsid w:val="74371183"/>
    <w:rsid w:val="744D28BD"/>
    <w:rsid w:val="7455C329"/>
    <w:rsid w:val="746C0DDC"/>
    <w:rsid w:val="747503EF"/>
    <w:rsid w:val="747A086F"/>
    <w:rsid w:val="747CB5F5"/>
    <w:rsid w:val="7487EE45"/>
    <w:rsid w:val="74A0AB43"/>
    <w:rsid w:val="74B432B6"/>
    <w:rsid w:val="74B4A403"/>
    <w:rsid w:val="74D4FEA2"/>
    <w:rsid w:val="74E795BC"/>
    <w:rsid w:val="74EC5CA7"/>
    <w:rsid w:val="74F545F1"/>
    <w:rsid w:val="74F7D4F8"/>
    <w:rsid w:val="750F653F"/>
    <w:rsid w:val="751CC44C"/>
    <w:rsid w:val="752284AD"/>
    <w:rsid w:val="7526E689"/>
    <w:rsid w:val="752DA637"/>
    <w:rsid w:val="75453A87"/>
    <w:rsid w:val="75505E36"/>
    <w:rsid w:val="75562A4A"/>
    <w:rsid w:val="755822B7"/>
    <w:rsid w:val="755BC824"/>
    <w:rsid w:val="75A65352"/>
    <w:rsid w:val="75A9909B"/>
    <w:rsid w:val="75B70FA4"/>
    <w:rsid w:val="75B87BAA"/>
    <w:rsid w:val="75C4C4E0"/>
    <w:rsid w:val="75C60EF7"/>
    <w:rsid w:val="75ECE96D"/>
    <w:rsid w:val="75EF3E69"/>
    <w:rsid w:val="75F5AC14"/>
    <w:rsid w:val="75FE23B6"/>
    <w:rsid w:val="76006624"/>
    <w:rsid w:val="76050E19"/>
    <w:rsid w:val="760B5A07"/>
    <w:rsid w:val="760DB773"/>
    <w:rsid w:val="7617576F"/>
    <w:rsid w:val="76252C70"/>
    <w:rsid w:val="762637B6"/>
    <w:rsid w:val="7626FD96"/>
    <w:rsid w:val="76283645"/>
    <w:rsid w:val="763E8601"/>
    <w:rsid w:val="764463C8"/>
    <w:rsid w:val="764784C5"/>
    <w:rsid w:val="764A9826"/>
    <w:rsid w:val="764ACD6E"/>
    <w:rsid w:val="76809DB2"/>
    <w:rsid w:val="7697BCE8"/>
    <w:rsid w:val="76B1374D"/>
    <w:rsid w:val="76B3A9D1"/>
    <w:rsid w:val="76B7B9AA"/>
    <w:rsid w:val="76BF7A65"/>
    <w:rsid w:val="76C1C9EB"/>
    <w:rsid w:val="76CDAE2D"/>
    <w:rsid w:val="76D312AC"/>
    <w:rsid w:val="76DDC014"/>
    <w:rsid w:val="76DF3F9D"/>
    <w:rsid w:val="76E067D0"/>
    <w:rsid w:val="76E06C9C"/>
    <w:rsid w:val="76E10A22"/>
    <w:rsid w:val="76F0D300"/>
    <w:rsid w:val="76FD3A3E"/>
    <w:rsid w:val="76FDA51E"/>
    <w:rsid w:val="76FEBBF0"/>
    <w:rsid w:val="7736C1C4"/>
    <w:rsid w:val="77443091"/>
    <w:rsid w:val="774E3F38"/>
    <w:rsid w:val="775EA33E"/>
    <w:rsid w:val="77658597"/>
    <w:rsid w:val="776C0BE4"/>
    <w:rsid w:val="776DEF62"/>
    <w:rsid w:val="7774FE2B"/>
    <w:rsid w:val="77AECD6C"/>
    <w:rsid w:val="77AFA72D"/>
    <w:rsid w:val="77BBB868"/>
    <w:rsid w:val="77C46399"/>
    <w:rsid w:val="77C6EDC8"/>
    <w:rsid w:val="77C71D9E"/>
    <w:rsid w:val="77D94ECF"/>
    <w:rsid w:val="77DB029E"/>
    <w:rsid w:val="77F9A555"/>
    <w:rsid w:val="77FE51DD"/>
    <w:rsid w:val="78170EE1"/>
    <w:rsid w:val="7821ECC3"/>
    <w:rsid w:val="782A1BB6"/>
    <w:rsid w:val="78399C13"/>
    <w:rsid w:val="7858F264"/>
    <w:rsid w:val="785A6BE7"/>
    <w:rsid w:val="785AEC9F"/>
    <w:rsid w:val="7867812C"/>
    <w:rsid w:val="7867922E"/>
    <w:rsid w:val="7874108D"/>
    <w:rsid w:val="787EFEC6"/>
    <w:rsid w:val="78999934"/>
    <w:rsid w:val="78E0C9D0"/>
    <w:rsid w:val="78E304F7"/>
    <w:rsid w:val="78EB753F"/>
    <w:rsid w:val="78EDEDB5"/>
    <w:rsid w:val="78FCF7AF"/>
    <w:rsid w:val="79013180"/>
    <w:rsid w:val="790EA72A"/>
    <w:rsid w:val="790F2E7F"/>
    <w:rsid w:val="79353FA3"/>
    <w:rsid w:val="793940AB"/>
    <w:rsid w:val="793AD8B2"/>
    <w:rsid w:val="794D255D"/>
    <w:rsid w:val="7954968B"/>
    <w:rsid w:val="796792A5"/>
    <w:rsid w:val="797D667C"/>
    <w:rsid w:val="798376A7"/>
    <w:rsid w:val="79ABEADF"/>
    <w:rsid w:val="79BF2589"/>
    <w:rsid w:val="79C20217"/>
    <w:rsid w:val="79D9C201"/>
    <w:rsid w:val="79E1FAD0"/>
    <w:rsid w:val="79EF1E52"/>
    <w:rsid w:val="7A001115"/>
    <w:rsid w:val="7A0AD4CA"/>
    <w:rsid w:val="7A163745"/>
    <w:rsid w:val="7A1C1F41"/>
    <w:rsid w:val="7A311592"/>
    <w:rsid w:val="7A3ABA17"/>
    <w:rsid w:val="7A400CD6"/>
    <w:rsid w:val="7A518A76"/>
    <w:rsid w:val="7A56BB57"/>
    <w:rsid w:val="7A573BFA"/>
    <w:rsid w:val="7A58A9EA"/>
    <w:rsid w:val="7A5C1BFA"/>
    <w:rsid w:val="7A5FE00F"/>
    <w:rsid w:val="7A648940"/>
    <w:rsid w:val="7A666A18"/>
    <w:rsid w:val="7A75702A"/>
    <w:rsid w:val="7A977416"/>
    <w:rsid w:val="7AA4E85F"/>
    <w:rsid w:val="7AA8DA39"/>
    <w:rsid w:val="7AAE3F14"/>
    <w:rsid w:val="7ABEF706"/>
    <w:rsid w:val="7AC8DB28"/>
    <w:rsid w:val="7ACB35DE"/>
    <w:rsid w:val="7ACFC488"/>
    <w:rsid w:val="7ADDE340"/>
    <w:rsid w:val="7AE037CF"/>
    <w:rsid w:val="7B02F4C7"/>
    <w:rsid w:val="7B2FE549"/>
    <w:rsid w:val="7B3995CD"/>
    <w:rsid w:val="7B3FACD0"/>
    <w:rsid w:val="7B48C84B"/>
    <w:rsid w:val="7B599AC2"/>
    <w:rsid w:val="7B5E2C7D"/>
    <w:rsid w:val="7B6F0E25"/>
    <w:rsid w:val="7B7FE5B2"/>
    <w:rsid w:val="7B833B00"/>
    <w:rsid w:val="7B873507"/>
    <w:rsid w:val="7B8A9998"/>
    <w:rsid w:val="7B8EEE2A"/>
    <w:rsid w:val="7B93BAE3"/>
    <w:rsid w:val="7BA1C174"/>
    <w:rsid w:val="7BB4AEB5"/>
    <w:rsid w:val="7BB774CF"/>
    <w:rsid w:val="7BC539F8"/>
    <w:rsid w:val="7BC5B568"/>
    <w:rsid w:val="7BC9D39E"/>
    <w:rsid w:val="7BCB486E"/>
    <w:rsid w:val="7BEBE399"/>
    <w:rsid w:val="7BF89558"/>
    <w:rsid w:val="7C23B293"/>
    <w:rsid w:val="7C38951B"/>
    <w:rsid w:val="7C594483"/>
    <w:rsid w:val="7C610E2D"/>
    <w:rsid w:val="7C7E8A4C"/>
    <w:rsid w:val="7CC4F1DB"/>
    <w:rsid w:val="7CC73C68"/>
    <w:rsid w:val="7CE4780F"/>
    <w:rsid w:val="7D050FCB"/>
    <w:rsid w:val="7D05A096"/>
    <w:rsid w:val="7D1426DF"/>
    <w:rsid w:val="7D14BD51"/>
    <w:rsid w:val="7D245CFE"/>
    <w:rsid w:val="7D4131AB"/>
    <w:rsid w:val="7D42A7F0"/>
    <w:rsid w:val="7D4820CA"/>
    <w:rsid w:val="7D589FD6"/>
    <w:rsid w:val="7D5D615F"/>
    <w:rsid w:val="7D7AAE5A"/>
    <w:rsid w:val="7D837E22"/>
    <w:rsid w:val="7D87B3FA"/>
    <w:rsid w:val="7D8C424E"/>
    <w:rsid w:val="7DA2F296"/>
    <w:rsid w:val="7DA3275D"/>
    <w:rsid w:val="7DA7687F"/>
    <w:rsid w:val="7DD20C68"/>
    <w:rsid w:val="7DF1C58E"/>
    <w:rsid w:val="7DF2526A"/>
    <w:rsid w:val="7E0AF8D6"/>
    <w:rsid w:val="7E0DB061"/>
    <w:rsid w:val="7E0F4999"/>
    <w:rsid w:val="7E250494"/>
    <w:rsid w:val="7E257E1F"/>
    <w:rsid w:val="7E2D6E25"/>
    <w:rsid w:val="7E330D58"/>
    <w:rsid w:val="7E3CC8A1"/>
    <w:rsid w:val="7E41F2C6"/>
    <w:rsid w:val="7E663041"/>
    <w:rsid w:val="7E79E6DE"/>
    <w:rsid w:val="7E7C5360"/>
    <w:rsid w:val="7E8BEE31"/>
    <w:rsid w:val="7E950164"/>
    <w:rsid w:val="7EA0765B"/>
    <w:rsid w:val="7EA34A92"/>
    <w:rsid w:val="7EB039A9"/>
    <w:rsid w:val="7EB76958"/>
    <w:rsid w:val="7ECC8864"/>
    <w:rsid w:val="7EEF0938"/>
    <w:rsid w:val="7EFC18C4"/>
    <w:rsid w:val="7EFD5C1F"/>
    <w:rsid w:val="7F047B0D"/>
    <w:rsid w:val="7F1EA7D1"/>
    <w:rsid w:val="7F1F1B53"/>
    <w:rsid w:val="7F2481FC"/>
    <w:rsid w:val="7F2FE62D"/>
    <w:rsid w:val="7F331253"/>
    <w:rsid w:val="7F3F5D9E"/>
    <w:rsid w:val="7F40F604"/>
    <w:rsid w:val="7F482D29"/>
    <w:rsid w:val="7F4B40E2"/>
    <w:rsid w:val="7F593A7E"/>
    <w:rsid w:val="7F5B0F36"/>
    <w:rsid w:val="7F5E6935"/>
    <w:rsid w:val="7F642460"/>
    <w:rsid w:val="7F7F9CAC"/>
    <w:rsid w:val="7F8A1C03"/>
    <w:rsid w:val="7FAC4328"/>
    <w:rsid w:val="7FC0A523"/>
    <w:rsid w:val="7FC265EE"/>
    <w:rsid w:val="7FCB1D1B"/>
    <w:rsid w:val="7FD97921"/>
    <w:rsid w:val="7FE266F4"/>
    <w:rsid w:val="7FE2D051"/>
    <w:rsid w:val="7FE48D8D"/>
    <w:rsid w:val="7FE4C687"/>
    <w:rsid w:val="7FF9398A"/>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547644"/>
  <w15:chartTrackingRefBased/>
  <w15:docId w15:val="{44B2B3B3-C78A-46C5-9A80-AF215723B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E9F"/>
    <w:pPr>
      <w:jc w:val="both"/>
    </w:pPr>
    <w:rPr>
      <w:rFonts w:ascii="Arial" w:hAnsi="Arial"/>
      <w:sz w:val="24"/>
      <w:lang w:val="es-ES_tradnl" w:eastAsia="es-ES"/>
    </w:rPr>
  </w:style>
  <w:style w:type="paragraph" w:styleId="Ttulo1">
    <w:name w:val="heading 1"/>
    <w:basedOn w:val="Normal"/>
    <w:next w:val="Normal"/>
    <w:link w:val="Ttulo1Car"/>
    <w:uiPriority w:val="9"/>
    <w:qFormat/>
    <w:pPr>
      <w:keepNext/>
      <w:tabs>
        <w:tab w:val="num" w:pos="2556"/>
      </w:tabs>
      <w:suppressAutoHyphens/>
      <w:spacing w:after="240"/>
      <w:ind w:left="2556" w:hanging="432"/>
      <w:outlineLvl w:val="0"/>
    </w:pPr>
    <w:rPr>
      <w:b/>
    </w:rPr>
  </w:style>
  <w:style w:type="paragraph" w:styleId="Ttulo2">
    <w:name w:val="heading 2"/>
    <w:basedOn w:val="Normal"/>
    <w:next w:val="Normal"/>
    <w:link w:val="Ttulo2Car"/>
    <w:qFormat/>
    <w:rsid w:val="00AC7105"/>
    <w:pPr>
      <w:keepNext/>
      <w:keepLines/>
      <w:numPr>
        <w:ilvl w:val="1"/>
        <w:numId w:val="6"/>
      </w:numPr>
      <w:spacing w:before="480" w:after="240" w:line="360" w:lineRule="auto"/>
      <w:outlineLvl w:val="1"/>
    </w:pPr>
    <w:rPr>
      <w:rFonts w:cs="Arial"/>
      <w:b/>
      <w:szCs w:val="24"/>
    </w:rPr>
  </w:style>
  <w:style w:type="paragraph" w:styleId="Ttulo3">
    <w:name w:val="heading 3"/>
    <w:basedOn w:val="Ttulo2"/>
    <w:next w:val="Normal"/>
    <w:link w:val="Ttulo3Car"/>
    <w:qFormat/>
    <w:rsid w:val="00664DD4"/>
    <w:pPr>
      <w:numPr>
        <w:ilvl w:val="2"/>
      </w:numPr>
      <w:outlineLvl w:val="2"/>
    </w:pPr>
  </w:style>
  <w:style w:type="paragraph" w:styleId="Ttulo4">
    <w:name w:val="heading 4"/>
    <w:basedOn w:val="Normal"/>
    <w:next w:val="Normal"/>
    <w:link w:val="Ttulo4Car"/>
    <w:uiPriority w:val="9"/>
    <w:qFormat/>
    <w:rsid w:val="004B5D81"/>
    <w:pPr>
      <w:keepNext/>
      <w:numPr>
        <w:ilvl w:val="3"/>
        <w:numId w:val="6"/>
      </w:numPr>
      <w:spacing w:after="240"/>
      <w:outlineLvl w:val="3"/>
    </w:pPr>
    <w:rPr>
      <w:b/>
    </w:rPr>
  </w:style>
  <w:style w:type="paragraph" w:styleId="Ttulo5">
    <w:name w:val="heading 5"/>
    <w:basedOn w:val="Normal"/>
    <w:next w:val="Normal"/>
    <w:qFormat/>
    <w:rsid w:val="00551587"/>
    <w:pPr>
      <w:keepNext/>
      <w:tabs>
        <w:tab w:val="num" w:pos="3132"/>
      </w:tabs>
      <w:spacing w:after="240" w:line="360" w:lineRule="auto"/>
      <w:outlineLvl w:val="4"/>
    </w:pPr>
    <w:rPr>
      <w:b/>
      <w:bCs/>
      <w:szCs w:val="24"/>
      <w:u w:val="single"/>
    </w:rPr>
  </w:style>
  <w:style w:type="paragraph" w:styleId="Ttulo6">
    <w:name w:val="heading 6"/>
    <w:basedOn w:val="Normal"/>
    <w:next w:val="Normal"/>
    <w:qFormat/>
    <w:pPr>
      <w:tabs>
        <w:tab w:val="num" w:pos="3276"/>
      </w:tabs>
      <w:spacing w:before="240" w:after="60"/>
      <w:ind w:left="3276" w:hanging="1152"/>
      <w:outlineLvl w:val="5"/>
    </w:pPr>
    <w:rPr>
      <w:rFonts w:ascii="Times New Roman" w:hAnsi="Times New Roman"/>
      <w:i/>
      <w:sz w:val="22"/>
    </w:rPr>
  </w:style>
  <w:style w:type="paragraph" w:styleId="Ttulo7">
    <w:name w:val="heading 7"/>
    <w:basedOn w:val="Normal"/>
    <w:next w:val="Normal"/>
    <w:qFormat/>
    <w:pPr>
      <w:tabs>
        <w:tab w:val="num" w:pos="3420"/>
      </w:tabs>
      <w:spacing w:before="240" w:after="60"/>
      <w:ind w:left="3420" w:hanging="1296"/>
      <w:outlineLvl w:val="6"/>
    </w:pPr>
    <w:rPr>
      <w:sz w:val="20"/>
    </w:rPr>
  </w:style>
  <w:style w:type="paragraph" w:styleId="Ttulo8">
    <w:name w:val="heading 8"/>
    <w:basedOn w:val="Normal"/>
    <w:next w:val="Normal"/>
    <w:qFormat/>
    <w:pPr>
      <w:tabs>
        <w:tab w:val="num" w:pos="3564"/>
      </w:tabs>
      <w:spacing w:before="240" w:after="60"/>
      <w:ind w:left="3564" w:hanging="1440"/>
      <w:outlineLvl w:val="7"/>
    </w:pPr>
    <w:rPr>
      <w:i/>
      <w:sz w:val="20"/>
    </w:rPr>
  </w:style>
  <w:style w:type="paragraph" w:styleId="Ttulo9">
    <w:name w:val="heading 9"/>
    <w:basedOn w:val="Normal"/>
    <w:next w:val="Normal"/>
    <w:qFormat/>
    <w:pPr>
      <w:tabs>
        <w:tab w:val="num" w:pos="3708"/>
      </w:tabs>
      <w:spacing w:before="240" w:after="60"/>
      <w:ind w:left="3708" w:hanging="1584"/>
      <w:outlineLvl w:val="8"/>
    </w:pPr>
    <w:rPr>
      <w:b/>
      <w:i/>
      <w:sz w:val="1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0">
    <w:name w:val="Título1"/>
    <w:basedOn w:val="Normal"/>
    <w:qFormat/>
    <w:pPr>
      <w:jc w:val="center"/>
    </w:pPr>
    <w:rPr>
      <w:b/>
    </w:rPr>
  </w:style>
  <w:style w:type="paragraph" w:styleId="TDC1">
    <w:name w:val="toc 1"/>
    <w:basedOn w:val="Normal"/>
    <w:next w:val="Normal"/>
    <w:autoRedefine/>
    <w:uiPriority w:val="39"/>
    <w:rsid w:val="00AD39A3"/>
    <w:pPr>
      <w:tabs>
        <w:tab w:val="left" w:pos="480"/>
        <w:tab w:val="right" w:leader="dot" w:pos="8828"/>
      </w:tabs>
      <w:spacing w:before="120"/>
    </w:pPr>
    <w:rPr>
      <w:noProof/>
      <w:szCs w:val="24"/>
      <w:lang w:val="es-ES"/>
    </w:rPr>
  </w:style>
  <w:style w:type="paragraph" w:styleId="TDC2">
    <w:name w:val="toc 2"/>
    <w:basedOn w:val="Normal"/>
    <w:next w:val="Normal"/>
    <w:autoRedefine/>
    <w:uiPriority w:val="39"/>
    <w:pPr>
      <w:tabs>
        <w:tab w:val="left" w:pos="960"/>
        <w:tab w:val="right" w:leader="dot" w:pos="8820"/>
      </w:tabs>
      <w:ind w:left="960" w:right="378" w:hanging="720"/>
      <w:jc w:val="left"/>
    </w:pPr>
    <w:rPr>
      <w:noProof/>
      <w:szCs w:val="24"/>
      <w:lang w:val="es-ES"/>
    </w:rPr>
  </w:style>
  <w:style w:type="paragraph" w:styleId="TDC3">
    <w:name w:val="toc 3"/>
    <w:basedOn w:val="Normal"/>
    <w:next w:val="Normal"/>
    <w:autoRedefine/>
    <w:uiPriority w:val="39"/>
    <w:pPr>
      <w:ind w:left="480"/>
    </w:pPr>
    <w:rPr>
      <w:szCs w:val="24"/>
      <w:lang w:val="es-ES"/>
    </w:rPr>
  </w:style>
  <w:style w:type="paragraph" w:customStyle="1" w:styleId="Citas">
    <w:name w:val="Citas"/>
    <w:basedOn w:val="Normal"/>
    <w:next w:val="Normal"/>
    <w:pPr>
      <w:ind w:left="708" w:right="476"/>
    </w:pPr>
    <w:rPr>
      <w:rFonts w:ascii="Times New Roman" w:hAnsi="Times New Roman"/>
      <w:i/>
      <w:iCs/>
    </w:rPr>
  </w:style>
  <w:style w:type="paragraph" w:styleId="Piedepgina">
    <w:name w:val="footer"/>
    <w:basedOn w:val="Normal"/>
    <w:link w:val="PiedepginaCar"/>
    <w:uiPriority w:val="99"/>
    <w:pPr>
      <w:tabs>
        <w:tab w:val="center" w:pos="4252"/>
        <w:tab w:val="right" w:pos="8504"/>
      </w:tabs>
    </w:pPr>
  </w:style>
  <w:style w:type="paragraph" w:styleId="Textonotapie">
    <w:name w:val="footnote text"/>
    <w:aliases w:val="Footnote Text Char Char Char Char Char,Footnote Text Char Char Char Char,Footnote reference,FA Fu,Footnote Text Cha,Footnote Text Char Char Char,FA Fußnotentext,FA Fuﬂnotentext,Footnote Text Char Char,texto de nota al p,FA Fu Car Car Car"/>
    <w:basedOn w:val="Normal"/>
    <w:link w:val="TextonotapieCar"/>
    <w:uiPriority w:val="99"/>
    <w:rPr>
      <w:sz w:val="20"/>
    </w:rPr>
  </w:style>
  <w:style w:type="paragraph" w:customStyle="1" w:styleId="Epgrafe">
    <w:name w:val="Epígrafe"/>
    <w:basedOn w:val="Normal"/>
    <w:next w:val="Normal"/>
    <w:uiPriority w:val="35"/>
    <w:qFormat/>
    <w:pPr>
      <w:spacing w:before="120" w:after="120"/>
    </w:pPr>
    <w:rPr>
      <w:b/>
    </w:rPr>
  </w:style>
  <w:style w:type="paragraph" w:styleId="Sangra2detindependiente">
    <w:name w:val="Body Text Indent 2"/>
    <w:basedOn w:val="Normal"/>
    <w:semiHidden/>
    <w:pPr>
      <w:ind w:left="567" w:hanging="567"/>
      <w:outlineLvl w:val="0"/>
    </w:pPr>
    <w:rPr>
      <w:b/>
      <w:sz w:val="20"/>
      <w:szCs w:val="24"/>
      <w:lang w:val="es-CO"/>
    </w:rPr>
  </w:style>
  <w:style w:type="paragraph" w:styleId="Textoindependiente">
    <w:name w:val="Body Text"/>
    <w:basedOn w:val="Normal"/>
    <w:semiHidden/>
    <w:pPr>
      <w:jc w:val="center"/>
    </w:pPr>
    <w:rPr>
      <w:b/>
      <w:sz w:val="48"/>
    </w:rPr>
  </w:style>
  <w:style w:type="paragraph" w:styleId="TDC4">
    <w:name w:val="toc 4"/>
    <w:basedOn w:val="Normal"/>
    <w:next w:val="Normal"/>
    <w:autoRedefine/>
    <w:uiPriority w:val="39"/>
    <w:pPr>
      <w:ind w:left="720"/>
    </w:pPr>
  </w:style>
  <w:style w:type="paragraph" w:styleId="TDC5">
    <w:name w:val="toc 5"/>
    <w:basedOn w:val="Normal"/>
    <w:next w:val="Normal"/>
    <w:autoRedefine/>
    <w:uiPriority w:val="39"/>
    <w:pPr>
      <w:ind w:left="960"/>
    </w:pPr>
  </w:style>
  <w:style w:type="paragraph" w:styleId="TDC6">
    <w:name w:val="toc 6"/>
    <w:basedOn w:val="Normal"/>
    <w:next w:val="Normal"/>
    <w:autoRedefine/>
    <w:uiPriority w:val="39"/>
    <w:pPr>
      <w:ind w:left="1200"/>
    </w:pPr>
  </w:style>
  <w:style w:type="paragraph" w:styleId="TDC7">
    <w:name w:val="toc 7"/>
    <w:basedOn w:val="Normal"/>
    <w:next w:val="Normal"/>
    <w:autoRedefine/>
    <w:uiPriority w:val="39"/>
    <w:pPr>
      <w:ind w:left="1440"/>
    </w:pPr>
  </w:style>
  <w:style w:type="paragraph" w:styleId="TDC8">
    <w:name w:val="toc 8"/>
    <w:basedOn w:val="Normal"/>
    <w:next w:val="Normal"/>
    <w:autoRedefine/>
    <w:uiPriority w:val="39"/>
    <w:pPr>
      <w:ind w:left="1680"/>
    </w:pPr>
  </w:style>
  <w:style w:type="paragraph" w:styleId="TDC9">
    <w:name w:val="toc 9"/>
    <w:basedOn w:val="Normal"/>
    <w:next w:val="Normal"/>
    <w:autoRedefine/>
    <w:uiPriority w:val="39"/>
    <w:pPr>
      <w:ind w:left="1920"/>
    </w:pPr>
  </w:style>
  <w:style w:type="character" w:styleId="Hipervnculo">
    <w:name w:val="Hyperlink"/>
    <w:uiPriority w:val="99"/>
    <w:rPr>
      <w:color w:val="0000FF"/>
      <w:u w:val="single"/>
    </w:rPr>
  </w:style>
  <w:style w:type="character" w:styleId="Nmerodepgina">
    <w:name w:val="page number"/>
    <w:basedOn w:val="Fuentedeprrafopredeter"/>
    <w:semiHidden/>
  </w:style>
  <w:style w:type="paragraph" w:styleId="Encabezado">
    <w:name w:val="header"/>
    <w:basedOn w:val="Normal"/>
    <w:link w:val="EncabezadoCar"/>
    <w:semiHidden/>
    <w:pPr>
      <w:tabs>
        <w:tab w:val="center" w:pos="4252"/>
        <w:tab w:val="right" w:pos="8504"/>
      </w:tabs>
    </w:pPr>
  </w:style>
  <w:style w:type="character" w:styleId="Refdenotaalpie">
    <w:name w:val="footnote reference"/>
    <w:aliases w:val="Ref. de nota al pie 2,Texto de nota al pie,Pie de Página,FC,Appel note de bas de page,Footnotes refss,Footnote number,referencia nota al pie,BVI fnr,f,4_G,16 Point,Superscript 6 Point,Texto nota al pie,Texto de nota al pi,Ref,fr,o"/>
    <w:uiPriority w:val="99"/>
    <w:rPr>
      <w:vertAlign w:val="superscript"/>
    </w:rPr>
  </w:style>
  <w:style w:type="paragraph" w:styleId="Textoindependiente2">
    <w:name w:val="Body Text 2"/>
    <w:basedOn w:val="Normal"/>
    <w:semiHidden/>
    <w:pPr>
      <w:tabs>
        <w:tab w:val="left" w:pos="-720"/>
        <w:tab w:val="left" w:pos="0"/>
      </w:tabs>
      <w:suppressAutoHyphens/>
    </w:pPr>
    <w:rPr>
      <w:color w:val="000000"/>
      <w:spacing w:val="-3"/>
    </w:rPr>
  </w:style>
  <w:style w:type="paragraph" w:styleId="Textoindependiente3">
    <w:name w:val="Body Text 3"/>
    <w:basedOn w:val="Normal"/>
    <w:semiHidden/>
    <w:pPr>
      <w:jc w:val="center"/>
    </w:pPr>
    <w:rPr>
      <w:b/>
      <w:bCs/>
      <w:sz w:val="22"/>
    </w:rPr>
  </w:style>
  <w:style w:type="paragraph" w:styleId="Textodebloque">
    <w:name w:val="Block Text"/>
    <w:basedOn w:val="Normal"/>
    <w:semiHidden/>
    <w:pPr>
      <w:ind w:left="709" w:right="901"/>
      <w:jc w:val="center"/>
    </w:pPr>
    <w:rPr>
      <w:rFonts w:ascii="Bookman Old Style" w:hAnsi="Bookman Old Style"/>
      <w:sz w:val="22"/>
      <w:szCs w:val="24"/>
    </w:rPr>
  </w:style>
  <w:style w:type="paragraph" w:styleId="Tabladeilustraciones">
    <w:name w:val="table of figures"/>
    <w:basedOn w:val="Normal"/>
    <w:next w:val="Normal"/>
    <w:uiPriority w:val="99"/>
    <w:rsid w:val="00874F87"/>
    <w:pPr>
      <w:tabs>
        <w:tab w:val="right" w:leader="dot" w:pos="8828"/>
      </w:tabs>
      <w:ind w:left="480" w:hanging="480"/>
    </w:pPr>
    <w:rPr>
      <w:noProof/>
    </w:rPr>
  </w:style>
  <w:style w:type="character" w:styleId="Refdecomentario">
    <w:name w:val="annotation reference"/>
    <w:basedOn w:val="Fuentedeprrafopredeter"/>
    <w:semiHidden/>
    <w:unhideWhenUsed/>
    <w:rsid w:val="00934433"/>
    <w:rPr>
      <w:sz w:val="16"/>
      <w:szCs w:val="16"/>
    </w:rPr>
  </w:style>
  <w:style w:type="paragraph" w:styleId="Textocomentario">
    <w:name w:val="annotation text"/>
    <w:basedOn w:val="Normal"/>
    <w:link w:val="TextocomentarioCar"/>
    <w:uiPriority w:val="99"/>
    <w:unhideWhenUsed/>
    <w:rsid w:val="00934433"/>
    <w:rPr>
      <w:sz w:val="20"/>
    </w:rPr>
  </w:style>
  <w:style w:type="paragraph" w:styleId="Mapadeldocumento">
    <w:name w:val="Document Map"/>
    <w:basedOn w:val="Normal"/>
    <w:semiHidden/>
    <w:pPr>
      <w:shd w:val="clear" w:color="auto" w:fill="000080"/>
    </w:pPr>
    <w:rPr>
      <w:rFonts w:ascii="Tahoma" w:hAnsi="Tahoma" w:cs="Tahoma"/>
    </w:rPr>
  </w:style>
  <w:style w:type="character" w:customStyle="1" w:styleId="eacep1">
    <w:name w:val="eacep1"/>
    <w:rPr>
      <w:color w:val="000000"/>
    </w:rPr>
  </w:style>
  <w:style w:type="character" w:customStyle="1" w:styleId="PiedepginaCar">
    <w:name w:val="Pie de página Car"/>
    <w:link w:val="Piedepgina"/>
    <w:uiPriority w:val="99"/>
    <w:rsid w:val="0077100C"/>
    <w:rPr>
      <w:rFonts w:ascii="Arial" w:hAnsi="Arial"/>
      <w:sz w:val="24"/>
      <w:lang w:val="es-ES_tradnl" w:eastAsia="es-ES"/>
    </w:rPr>
  </w:style>
  <w:style w:type="character" w:customStyle="1" w:styleId="TextocomentarioCar">
    <w:name w:val="Texto comentario Car"/>
    <w:basedOn w:val="Fuentedeprrafopredeter"/>
    <w:link w:val="Textocomentario"/>
    <w:uiPriority w:val="99"/>
    <w:rsid w:val="00934433"/>
    <w:rPr>
      <w:rFonts w:ascii="Arial" w:hAnsi="Arial"/>
      <w:lang w:val="es-ES_tradnl" w:eastAsia="es-ES"/>
    </w:rPr>
  </w:style>
  <w:style w:type="paragraph" w:styleId="Prrafodelista">
    <w:name w:val="List Paragraph"/>
    <w:aliases w:val="Bullet Points,Bullet Styles para,Dot pt,F5 List Paragraph,Indicator Text,List Paragraph (numbered (a)),List Paragraph Char Char Char,List Paragraph11,List Paragraph12,MAIN CONTENT,No Spacing1,Normal numbered,Numbered Para 1,OBC Bullet"/>
    <w:basedOn w:val="Normal"/>
    <w:link w:val="PrrafodelistaCar"/>
    <w:uiPriority w:val="34"/>
    <w:qFormat/>
    <w:rsid w:val="003C55ED"/>
    <w:pPr>
      <w:ind w:left="708"/>
    </w:pPr>
  </w:style>
  <w:style w:type="paragraph" w:styleId="NormalWeb">
    <w:name w:val="Normal (Web)"/>
    <w:basedOn w:val="Normal"/>
    <w:uiPriority w:val="99"/>
    <w:unhideWhenUsed/>
    <w:rsid w:val="00DB6372"/>
    <w:pPr>
      <w:spacing w:before="100" w:beforeAutospacing="1" w:after="100" w:afterAutospacing="1"/>
      <w:jc w:val="left"/>
    </w:pPr>
    <w:rPr>
      <w:rFonts w:ascii="Times New Roman" w:hAnsi="Times New Roman"/>
      <w:szCs w:val="24"/>
      <w:lang w:val="es-CO" w:eastAsia="es-CO"/>
    </w:rPr>
  </w:style>
  <w:style w:type="table" w:styleId="Tablaconcuadrcula">
    <w:name w:val="Table Grid"/>
    <w:aliases w:val="Table Grid CEPA"/>
    <w:basedOn w:val="Tablanormal"/>
    <w:uiPriority w:val="39"/>
    <w:rsid w:val="00DB5859"/>
    <w:rPr>
      <w:rFonts w:ascii="Calibri" w:hAnsi="Calibri"/>
      <w:sz w:val="24"/>
      <w:szCs w:val="24"/>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Points Car,Bullet Styles para Car,Dot pt Car,F5 List Paragraph Car,Indicator Text Car,List Paragraph (numbered (a)) Car,List Paragraph Char Char Char Car,List Paragraph11 Car,List Paragraph12 Car,MAIN CONTENT Car"/>
    <w:link w:val="Prrafodelista"/>
    <w:uiPriority w:val="34"/>
    <w:qFormat/>
    <w:rsid w:val="00DB5859"/>
    <w:rPr>
      <w:rFonts w:ascii="Arial" w:hAnsi="Arial"/>
      <w:sz w:val="24"/>
      <w:lang w:val="es-ES_tradnl" w:eastAsia="es-ES"/>
    </w:rPr>
  </w:style>
  <w:style w:type="paragraph" w:customStyle="1" w:styleId="TtuloTDC1">
    <w:name w:val="Título TDC1"/>
    <w:basedOn w:val="Ttulo1"/>
    <w:next w:val="Normal"/>
    <w:uiPriority w:val="39"/>
    <w:unhideWhenUsed/>
    <w:qFormat/>
    <w:rsid w:val="004C1A0B"/>
    <w:pPr>
      <w:keepLines/>
      <w:suppressAutoHyphens w:val="0"/>
      <w:spacing w:before="240" w:after="0" w:line="259" w:lineRule="auto"/>
      <w:ind w:left="0" w:firstLine="0"/>
      <w:jc w:val="left"/>
      <w:outlineLvl w:val="9"/>
    </w:pPr>
    <w:rPr>
      <w:rFonts w:ascii="Calibri Light" w:hAnsi="Calibri Light"/>
      <w:b w:val="0"/>
      <w:color w:val="2E74B5"/>
      <w:sz w:val="32"/>
      <w:szCs w:val="32"/>
      <w:lang w:val="es-CO" w:eastAsia="es-CO"/>
    </w:rPr>
  </w:style>
  <w:style w:type="numbering" w:customStyle="1" w:styleId="Estilo1">
    <w:name w:val="Estilo1"/>
    <w:uiPriority w:val="99"/>
    <w:rsid w:val="004C1A0B"/>
    <w:pPr>
      <w:numPr>
        <w:numId w:val="7"/>
      </w:numPr>
    </w:pPr>
  </w:style>
  <w:style w:type="character" w:styleId="Textodelmarcadordeposicin">
    <w:name w:val="Placeholder Text"/>
    <w:basedOn w:val="Fuentedeprrafopredeter"/>
    <w:uiPriority w:val="99"/>
    <w:semiHidden/>
    <w:rsid w:val="0025081D"/>
    <w:rPr>
      <w:color w:val="808080"/>
    </w:rPr>
  </w:style>
  <w:style w:type="paragraph" w:styleId="Textodeglobo">
    <w:name w:val="Balloon Text"/>
    <w:basedOn w:val="Normal"/>
    <w:link w:val="TextodegloboCar"/>
    <w:uiPriority w:val="99"/>
    <w:semiHidden/>
    <w:unhideWhenUsed/>
    <w:rsid w:val="004D496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D4966"/>
    <w:rPr>
      <w:rFonts w:ascii="Segoe UI" w:hAnsi="Segoe UI" w:cs="Segoe UI"/>
      <w:sz w:val="18"/>
      <w:szCs w:val="18"/>
      <w:lang w:val="es-ES_tradnl" w:eastAsia="es-ES"/>
    </w:rPr>
  </w:style>
  <w:style w:type="character" w:customStyle="1" w:styleId="TextonotapieCar">
    <w:name w:val="Texto nota pie Car"/>
    <w:aliases w:val="Footnote Text Char Char Char Char Char Car,Footnote Text Char Char Char Char Car,Footnote reference Car,FA Fu Car,Footnote Text Cha Car,Footnote Text Char Char Char Car,FA Fußnotentext Car,FA Fuﬂnotentext Car,texto de nota al p Car"/>
    <w:basedOn w:val="Fuentedeprrafopredeter"/>
    <w:link w:val="Textonotapie"/>
    <w:uiPriority w:val="99"/>
    <w:rsid w:val="0024026A"/>
    <w:rPr>
      <w:rFonts w:ascii="Arial" w:hAnsi="Arial"/>
      <w:lang w:val="es-ES_tradnl" w:eastAsia="es-ES"/>
    </w:rPr>
  </w:style>
  <w:style w:type="character" w:customStyle="1" w:styleId="Ttulo2Car">
    <w:name w:val="Título 2 Car"/>
    <w:basedOn w:val="Fuentedeprrafopredeter"/>
    <w:link w:val="Ttulo2"/>
    <w:rsid w:val="00080024"/>
    <w:rPr>
      <w:rFonts w:ascii="Arial" w:hAnsi="Arial" w:cs="Arial"/>
      <w:b/>
      <w:sz w:val="24"/>
      <w:szCs w:val="24"/>
      <w:lang w:val="es-ES_tradnl" w:eastAsia="es-ES"/>
    </w:rPr>
  </w:style>
  <w:style w:type="paragraph" w:styleId="TtuloTDC">
    <w:name w:val="TOC Heading"/>
    <w:basedOn w:val="Ttulo1"/>
    <w:next w:val="Normal"/>
    <w:uiPriority w:val="39"/>
    <w:unhideWhenUsed/>
    <w:qFormat/>
    <w:rsid w:val="00B866EE"/>
    <w:pPr>
      <w:keepLines/>
      <w:suppressAutoHyphens w:val="0"/>
      <w:spacing w:before="240" w:after="0" w:line="259" w:lineRule="auto"/>
      <w:ind w:left="0" w:firstLine="0"/>
      <w:jc w:val="left"/>
      <w:outlineLvl w:val="9"/>
    </w:pPr>
    <w:rPr>
      <w:rFonts w:asciiTheme="majorHAnsi" w:eastAsiaTheme="majorEastAsia" w:hAnsiTheme="majorHAnsi" w:cstheme="majorBidi"/>
      <w:b w:val="0"/>
      <w:color w:val="2E74B5" w:themeColor="accent1" w:themeShade="BF"/>
      <w:sz w:val="32"/>
      <w:szCs w:val="32"/>
      <w:lang w:val="es-CO" w:eastAsia="es-CO"/>
    </w:rPr>
  </w:style>
  <w:style w:type="paragraph" w:styleId="Sinespaciado">
    <w:name w:val="No Spacing"/>
    <w:uiPriority w:val="1"/>
    <w:qFormat/>
    <w:rsid w:val="00353F58"/>
    <w:pPr>
      <w:jc w:val="both"/>
    </w:pPr>
    <w:rPr>
      <w:rFonts w:ascii="Arial" w:hAnsi="Arial"/>
      <w:sz w:val="24"/>
      <w:lang w:val="es-ES_tradnl" w:eastAsia="es-ES"/>
    </w:rPr>
  </w:style>
  <w:style w:type="paragraph" w:styleId="Descripcin">
    <w:name w:val="caption"/>
    <w:basedOn w:val="Normal"/>
    <w:next w:val="Normal"/>
    <w:qFormat/>
    <w:rsid w:val="00AF02EA"/>
    <w:pPr>
      <w:spacing w:after="200"/>
    </w:pPr>
    <w:rPr>
      <w:b/>
      <w:iCs/>
      <w:szCs w:val="18"/>
    </w:rPr>
  </w:style>
  <w:style w:type="paragraph" w:styleId="Textonotaalfinal">
    <w:name w:val="endnote text"/>
    <w:basedOn w:val="Normal"/>
    <w:link w:val="TextonotaalfinalCar"/>
    <w:uiPriority w:val="99"/>
    <w:semiHidden/>
    <w:unhideWhenUsed/>
    <w:rsid w:val="00F55C86"/>
    <w:rPr>
      <w:sz w:val="20"/>
    </w:rPr>
  </w:style>
  <w:style w:type="character" w:customStyle="1" w:styleId="TextonotaalfinalCar">
    <w:name w:val="Texto nota al final Car"/>
    <w:basedOn w:val="Fuentedeprrafopredeter"/>
    <w:link w:val="Textonotaalfinal"/>
    <w:uiPriority w:val="99"/>
    <w:semiHidden/>
    <w:rsid w:val="00F55C86"/>
    <w:rPr>
      <w:rFonts w:ascii="Arial" w:hAnsi="Arial"/>
      <w:lang w:val="es-ES_tradnl" w:eastAsia="es-ES"/>
    </w:rPr>
  </w:style>
  <w:style w:type="character" w:styleId="Refdenotaalfinal">
    <w:name w:val="endnote reference"/>
    <w:basedOn w:val="Fuentedeprrafopredeter"/>
    <w:uiPriority w:val="99"/>
    <w:semiHidden/>
    <w:unhideWhenUsed/>
    <w:rsid w:val="00F55C86"/>
    <w:rPr>
      <w:vertAlign w:val="superscript"/>
    </w:rPr>
  </w:style>
  <w:style w:type="paragraph" w:customStyle="1" w:styleId="Respuestas">
    <w:name w:val="Respuestas"/>
    <w:basedOn w:val="Normal"/>
    <w:link w:val="RespuestasCar"/>
    <w:qFormat/>
    <w:rsid w:val="009F3CEC"/>
    <w:pPr>
      <w:numPr>
        <w:numId w:val="2"/>
      </w:numPr>
      <w:spacing w:before="240" w:after="240"/>
    </w:pPr>
    <w:rPr>
      <w:sz w:val="22"/>
      <w:szCs w:val="22"/>
      <w:lang w:val="es-ES"/>
    </w:rPr>
  </w:style>
  <w:style w:type="character" w:customStyle="1" w:styleId="RespuestasCar">
    <w:name w:val="Respuestas Car"/>
    <w:link w:val="Respuestas"/>
    <w:rsid w:val="00637527"/>
    <w:rPr>
      <w:rFonts w:ascii="Arial" w:hAnsi="Arial"/>
      <w:sz w:val="22"/>
      <w:szCs w:val="22"/>
      <w:lang w:val="es-ES" w:eastAsia="es-ES"/>
    </w:rPr>
  </w:style>
  <w:style w:type="character" w:customStyle="1" w:styleId="Ttulo3Car">
    <w:name w:val="Título 3 Car"/>
    <w:basedOn w:val="Fuentedeprrafopredeter"/>
    <w:link w:val="Ttulo3"/>
    <w:rsid w:val="00941372"/>
    <w:rPr>
      <w:rFonts w:ascii="Arial" w:hAnsi="Arial" w:cs="Arial"/>
      <w:b/>
      <w:sz w:val="24"/>
      <w:szCs w:val="24"/>
      <w:lang w:val="es-ES_tradnl" w:eastAsia="es-ES"/>
    </w:rPr>
  </w:style>
  <w:style w:type="character" w:customStyle="1" w:styleId="UnresolvedMention1">
    <w:name w:val="Unresolved Mention1"/>
    <w:basedOn w:val="Fuentedeprrafopredeter"/>
    <w:uiPriority w:val="99"/>
    <w:semiHidden/>
    <w:unhideWhenUsed/>
    <w:rsid w:val="00485E1C"/>
    <w:rPr>
      <w:color w:val="605E5C"/>
      <w:shd w:val="clear" w:color="auto" w:fill="E1DFDD"/>
    </w:rPr>
  </w:style>
  <w:style w:type="character" w:customStyle="1" w:styleId="Ttulo4Car">
    <w:name w:val="Título 4 Car"/>
    <w:basedOn w:val="Fuentedeprrafopredeter"/>
    <w:link w:val="Ttulo4"/>
    <w:uiPriority w:val="9"/>
    <w:rsid w:val="0081509F"/>
    <w:rPr>
      <w:rFonts w:ascii="Arial" w:hAnsi="Arial"/>
      <w:b/>
      <w:sz w:val="24"/>
      <w:lang w:val="es-ES_tradnl" w:eastAsia="es-ES"/>
    </w:rPr>
  </w:style>
  <w:style w:type="paragraph" w:styleId="Revisin">
    <w:name w:val="Revision"/>
    <w:hidden/>
    <w:uiPriority w:val="99"/>
    <w:semiHidden/>
    <w:rsid w:val="00EA3146"/>
    <w:rPr>
      <w:rFonts w:ascii="Arial" w:hAnsi="Arial"/>
      <w:sz w:val="24"/>
      <w:lang w:val="es-ES_tradnl" w:eastAsia="es-ES"/>
    </w:rPr>
  </w:style>
  <w:style w:type="character" w:customStyle="1" w:styleId="Ttulo1Car">
    <w:name w:val="Título 1 Car"/>
    <w:basedOn w:val="Fuentedeprrafopredeter"/>
    <w:link w:val="Ttulo1"/>
    <w:uiPriority w:val="9"/>
    <w:rsid w:val="005C229E"/>
    <w:rPr>
      <w:rFonts w:ascii="Arial" w:hAnsi="Arial"/>
      <w:b/>
      <w:sz w:val="24"/>
      <w:lang w:val="es-ES_tradnl" w:eastAsia="es-ES"/>
    </w:rPr>
  </w:style>
  <w:style w:type="table" w:styleId="Tablaconcuadrcula6concolores-nfasis5">
    <w:name w:val="Grid Table 6 Colorful Accent 5"/>
    <w:basedOn w:val="Tablanormal"/>
    <w:uiPriority w:val="51"/>
    <w:rsid w:val="00681B81"/>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7concolores-nfasis1">
    <w:name w:val="Grid Table 7 Colorful Accent 1"/>
    <w:basedOn w:val="Tablanormal"/>
    <w:uiPriority w:val="52"/>
    <w:rsid w:val="00343F8F"/>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laconcuadrcula4-nfasis5">
    <w:name w:val="Grid Table 4 Accent 5"/>
    <w:basedOn w:val="Tablanormal"/>
    <w:uiPriority w:val="49"/>
    <w:rsid w:val="00343F8F"/>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5oscura-nfasis1">
    <w:name w:val="Grid Table 5 Dark Accent 1"/>
    <w:basedOn w:val="Tablanormal"/>
    <w:uiPriority w:val="50"/>
    <w:rsid w:val="00343F8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aconcuadrcula5oscura-nfasis5">
    <w:name w:val="Grid Table 5 Dark Accent 5"/>
    <w:basedOn w:val="Tablanormal"/>
    <w:uiPriority w:val="50"/>
    <w:rsid w:val="00343F8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adelista7concolores-nfasis5">
    <w:name w:val="List Table 7 Colorful Accent 5"/>
    <w:basedOn w:val="Tablanormal"/>
    <w:uiPriority w:val="52"/>
    <w:rsid w:val="00343F8F"/>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Referenciasutil">
    <w:name w:val="Subtle Reference"/>
    <w:basedOn w:val="Fuentedeprrafopredeter"/>
    <w:uiPriority w:val="31"/>
    <w:qFormat/>
    <w:rsid w:val="00AF02EA"/>
    <w:rPr>
      <w:smallCaps/>
      <w:color w:val="5A5A5A" w:themeColor="text1" w:themeTint="A5"/>
    </w:rPr>
  </w:style>
  <w:style w:type="character" w:styleId="Fuerte">
    <w:name w:val="Strong"/>
    <w:basedOn w:val="Fuentedeprrafopredeter"/>
    <w:uiPriority w:val="22"/>
    <w:qFormat/>
    <w:rsid w:val="0055349C"/>
    <w:rPr>
      <w:b/>
      <w:bCs/>
    </w:rPr>
  </w:style>
  <w:style w:type="character" w:customStyle="1" w:styleId="CommentReference1">
    <w:name w:val="Comment Reference1"/>
    <w:semiHidden/>
    <w:rsid w:val="00C94A6A"/>
    <w:rPr>
      <w:sz w:val="16"/>
      <w:szCs w:val="16"/>
    </w:rPr>
  </w:style>
  <w:style w:type="paragraph" w:customStyle="1" w:styleId="CommentText1">
    <w:name w:val="Comment Text1"/>
    <w:basedOn w:val="Normal"/>
    <w:link w:val="CommentTextChar1"/>
    <w:uiPriority w:val="99"/>
    <w:unhideWhenUsed/>
    <w:rPr>
      <w:sz w:val="20"/>
    </w:rPr>
  </w:style>
  <w:style w:type="character" w:customStyle="1" w:styleId="CommentReference2">
    <w:name w:val="Comment Reference2"/>
    <w:basedOn w:val="Fuentedeprrafopredeter"/>
    <w:semiHidden/>
    <w:unhideWhenUsed/>
    <w:rsid w:val="003E1AE4"/>
    <w:rPr>
      <w:sz w:val="16"/>
      <w:szCs w:val="16"/>
    </w:rPr>
  </w:style>
  <w:style w:type="character" w:styleId="Mencinsinresolver">
    <w:name w:val="Unresolved Mention"/>
    <w:basedOn w:val="Fuentedeprrafopredeter"/>
    <w:uiPriority w:val="99"/>
    <w:semiHidden/>
    <w:unhideWhenUsed/>
    <w:rsid w:val="00405B93"/>
    <w:rPr>
      <w:color w:val="605E5C"/>
      <w:shd w:val="clear" w:color="auto" w:fill="E1DFDD"/>
    </w:rPr>
  </w:style>
  <w:style w:type="character" w:customStyle="1" w:styleId="CommentTextChar1">
    <w:name w:val="Comment Text Char1"/>
    <w:link w:val="CommentText1"/>
    <w:uiPriority w:val="99"/>
    <w:rsid w:val="008670F2"/>
    <w:rPr>
      <w:rFonts w:ascii="Arial" w:hAnsi="Arial"/>
      <w:lang w:val="es-ES_tradnl" w:eastAsia="es-ES"/>
    </w:rPr>
  </w:style>
  <w:style w:type="character" w:customStyle="1" w:styleId="CommentReference3">
    <w:name w:val="Comment Reference3"/>
    <w:basedOn w:val="Fuentedeprrafopredeter"/>
    <w:semiHidden/>
    <w:unhideWhenUsed/>
    <w:rsid w:val="00FD572A"/>
    <w:rPr>
      <w:sz w:val="16"/>
      <w:szCs w:val="16"/>
    </w:rPr>
  </w:style>
  <w:style w:type="paragraph" w:customStyle="1" w:styleId="msonormal0">
    <w:name w:val="msonormal"/>
    <w:basedOn w:val="Normal"/>
    <w:rsid w:val="00CD29C8"/>
    <w:pPr>
      <w:spacing w:before="100" w:beforeAutospacing="1" w:after="100" w:afterAutospacing="1"/>
      <w:jc w:val="left"/>
    </w:pPr>
    <w:rPr>
      <w:rFonts w:ascii="Times New Roman" w:hAnsi="Times New Roman"/>
      <w:szCs w:val="24"/>
      <w:lang w:val="es-CO" w:eastAsia="es-CO"/>
    </w:rPr>
  </w:style>
  <w:style w:type="paragraph" w:customStyle="1" w:styleId="paragraph">
    <w:name w:val="paragraph"/>
    <w:basedOn w:val="Normal"/>
    <w:rsid w:val="00CD29C8"/>
    <w:pPr>
      <w:spacing w:before="100" w:beforeAutospacing="1" w:after="100" w:afterAutospacing="1"/>
      <w:jc w:val="left"/>
    </w:pPr>
    <w:rPr>
      <w:rFonts w:ascii="Times New Roman" w:hAnsi="Times New Roman"/>
      <w:szCs w:val="24"/>
      <w:lang w:val="es-CO" w:eastAsia="es-CO"/>
    </w:rPr>
  </w:style>
  <w:style w:type="character" w:customStyle="1" w:styleId="textrun">
    <w:name w:val="textrun"/>
    <w:basedOn w:val="Fuentedeprrafopredeter"/>
    <w:rsid w:val="00CD29C8"/>
  </w:style>
  <w:style w:type="character" w:customStyle="1" w:styleId="normaltextrun">
    <w:name w:val="normaltextrun"/>
    <w:basedOn w:val="Fuentedeprrafopredeter"/>
    <w:rsid w:val="00CD29C8"/>
  </w:style>
  <w:style w:type="character" w:customStyle="1" w:styleId="eop">
    <w:name w:val="eop"/>
    <w:basedOn w:val="Fuentedeprrafopredeter"/>
    <w:rsid w:val="00CD29C8"/>
  </w:style>
  <w:style w:type="paragraph" w:customStyle="1" w:styleId="outlineelement">
    <w:name w:val="outlineelement"/>
    <w:basedOn w:val="Normal"/>
    <w:rsid w:val="00CD29C8"/>
    <w:pPr>
      <w:spacing w:before="100" w:beforeAutospacing="1" w:after="100" w:afterAutospacing="1"/>
      <w:jc w:val="left"/>
    </w:pPr>
    <w:rPr>
      <w:rFonts w:ascii="Times New Roman" w:hAnsi="Times New Roman"/>
      <w:szCs w:val="24"/>
      <w:lang w:val="es-CO" w:eastAsia="es-CO"/>
    </w:rPr>
  </w:style>
  <w:style w:type="character" w:customStyle="1" w:styleId="trackchangetextinsertion">
    <w:name w:val="trackchangetextinsertion"/>
    <w:basedOn w:val="Fuentedeprrafopredeter"/>
    <w:rsid w:val="00CD29C8"/>
  </w:style>
  <w:style w:type="character" w:customStyle="1" w:styleId="trackchangetextdeletionmarker">
    <w:name w:val="trackchangetextdeletionmarker"/>
    <w:basedOn w:val="Fuentedeprrafopredeter"/>
    <w:rsid w:val="00CD29C8"/>
  </w:style>
  <w:style w:type="character" w:customStyle="1" w:styleId="whitespace-normal">
    <w:name w:val="whitespace-normal"/>
    <w:basedOn w:val="Fuentedeprrafopredeter"/>
    <w:rsid w:val="00CD29C8"/>
  </w:style>
  <w:style w:type="character" w:customStyle="1" w:styleId="EncabezadoCar">
    <w:name w:val="Encabezado Car"/>
    <w:basedOn w:val="Fuentedeprrafopredeter"/>
    <w:link w:val="Encabezado"/>
    <w:semiHidden/>
    <w:rsid w:val="004530DC"/>
    <w:rPr>
      <w:rFonts w:ascii="Arial" w:hAnsi="Arial"/>
      <w:sz w:val="24"/>
      <w:lang w:val="es-ES_tradnl" w:eastAsia="es-ES"/>
    </w:rPr>
  </w:style>
  <w:style w:type="paragraph" w:styleId="Asuntodelcomentario">
    <w:name w:val="annotation subject"/>
    <w:basedOn w:val="Textocomentario"/>
    <w:next w:val="Textocomentario"/>
    <w:link w:val="AsuntodelcomentarioCar"/>
    <w:uiPriority w:val="99"/>
    <w:semiHidden/>
    <w:unhideWhenUsed/>
    <w:rsid w:val="00934433"/>
    <w:rPr>
      <w:b/>
      <w:bCs/>
    </w:rPr>
  </w:style>
  <w:style w:type="character" w:customStyle="1" w:styleId="AsuntodelcomentarioCar">
    <w:name w:val="Asunto del comentario Car"/>
    <w:basedOn w:val="TextocomentarioCar"/>
    <w:link w:val="Asuntodelcomentario"/>
    <w:uiPriority w:val="99"/>
    <w:semiHidden/>
    <w:rsid w:val="00934433"/>
    <w:rPr>
      <w:rFonts w:ascii="Arial" w:hAnsi="Arial"/>
      <w:b/>
      <w:bCs/>
      <w:lang w:val="es-ES_tradnl" w:eastAsia="es-ES"/>
    </w:rPr>
  </w:style>
  <w:style w:type="character" w:styleId="Mencionar">
    <w:name w:val="Mention"/>
    <w:basedOn w:val="Fuentedeprrafopredeter"/>
    <w:uiPriority w:val="99"/>
    <w:unhideWhenUsed/>
    <w:rsid w:val="00D33610"/>
    <w:rPr>
      <w:color w:val="2B579A"/>
      <w:shd w:val="clear" w:color="auto" w:fill="E1DFDD"/>
    </w:rPr>
  </w:style>
  <w:style w:type="character" w:styleId="Hipervnculovisitado">
    <w:name w:val="FollowedHyperlink"/>
    <w:basedOn w:val="Fuentedeprrafopredeter"/>
    <w:uiPriority w:val="99"/>
    <w:semiHidden/>
    <w:unhideWhenUsed/>
    <w:rsid w:val="00616349"/>
    <w:rPr>
      <w:color w:val="954F72" w:themeColor="followedHyperlink"/>
      <w:u w:val="single"/>
    </w:rPr>
  </w:style>
  <w:style w:type="character" w:customStyle="1" w:styleId="superscript">
    <w:name w:val="superscript"/>
    <w:basedOn w:val="Fuentedeprrafopredeter"/>
    <w:rsid w:val="00863EFB"/>
  </w:style>
  <w:style w:type="table" w:styleId="Tablanormal5">
    <w:name w:val="Plain Table 5"/>
    <w:basedOn w:val="Tablanormal"/>
    <w:uiPriority w:val="45"/>
    <w:rsid w:val="001D450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mmentReference4">
    <w:name w:val="Comment Reference4"/>
    <w:basedOn w:val="Fuentedeprrafopredeter"/>
    <w:semiHidden/>
    <w:unhideWhenUsed/>
    <w:rsid w:val="00D504D6"/>
    <w:rPr>
      <w:sz w:val="16"/>
      <w:szCs w:val="16"/>
    </w:rPr>
  </w:style>
  <w:style w:type="paragraph" w:customStyle="1" w:styleId="CommentText2">
    <w:name w:val="Comment Text2"/>
    <w:basedOn w:val="Normal"/>
    <w:uiPriority w:val="99"/>
    <w:unhideWhenUsed/>
    <w:rsid w:val="00D504D6"/>
    <w:rPr>
      <w:sz w:val="20"/>
    </w:rPr>
  </w:style>
  <w:style w:type="table" w:styleId="Tablanormal4">
    <w:name w:val="Plain Table 4"/>
    <w:basedOn w:val="Tablanormal"/>
    <w:uiPriority w:val="44"/>
    <w:rsid w:val="00D504D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ommentReference5">
    <w:name w:val="Comment Reference5"/>
    <w:basedOn w:val="Fuentedeprrafopredeter"/>
    <w:semiHidden/>
    <w:unhideWhenUsed/>
    <w:rsid w:val="00D504D6"/>
    <w:rPr>
      <w:sz w:val="16"/>
      <w:szCs w:val="16"/>
    </w:rPr>
  </w:style>
  <w:style w:type="paragraph" w:customStyle="1" w:styleId="CommentText3">
    <w:name w:val="Comment Text3"/>
    <w:basedOn w:val="Normal"/>
    <w:uiPriority w:val="99"/>
    <w:semiHidden/>
    <w:unhideWhenUsed/>
    <w:rsid w:val="00D504D6"/>
    <w:rPr>
      <w:sz w:val="20"/>
    </w:rPr>
  </w:style>
  <w:style w:type="table" w:styleId="Tablaconcuadrcula3-nfasis1">
    <w:name w:val="Grid Table 3 Accent 1"/>
    <w:basedOn w:val="Tablanormal"/>
    <w:uiPriority w:val="48"/>
    <w:rsid w:val="00546CD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laconcuadrcula4-nfasis1">
    <w:name w:val="Grid Table 4 Accent 1"/>
    <w:basedOn w:val="Tablanormal"/>
    <w:uiPriority w:val="49"/>
    <w:rsid w:val="00546CD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Listaconvietas">
    <w:name w:val="List Bullet"/>
    <w:basedOn w:val="Normal"/>
    <w:uiPriority w:val="99"/>
    <w:unhideWhenUsed/>
    <w:rsid w:val="00546CD9"/>
    <w:pPr>
      <w:numPr>
        <w:numId w:val="3"/>
      </w:numPr>
      <w:contextualSpacing/>
    </w:pPr>
  </w:style>
  <w:style w:type="paragraph" w:customStyle="1" w:styleId="isselectedend">
    <w:name w:val="isselectedend"/>
    <w:basedOn w:val="Normal"/>
    <w:rsid w:val="00F56D55"/>
    <w:pPr>
      <w:spacing w:before="100" w:beforeAutospacing="1" w:after="100" w:afterAutospacing="1"/>
      <w:jc w:val="left"/>
    </w:pPr>
    <w:rPr>
      <w:rFonts w:ascii="Times New Roman" w:hAnsi="Times New Roman"/>
      <w:szCs w:val="24"/>
      <w:lang w:val="es-CO" w:eastAsia="es-CO"/>
    </w:rPr>
  </w:style>
  <w:style w:type="table" w:styleId="Tablaconcuadrcula6concolores">
    <w:name w:val="Grid Table 6 Colorful"/>
    <w:basedOn w:val="Tablanormal"/>
    <w:uiPriority w:val="51"/>
    <w:rsid w:val="00736AE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dq2pgselectionanchorcontainer">
    <w:name w:val="pdq2pg_selectionanchorcontainer"/>
    <w:basedOn w:val="Normal"/>
    <w:rsid w:val="00517B66"/>
    <w:pPr>
      <w:spacing w:before="100" w:beforeAutospacing="1" w:after="100" w:afterAutospacing="1"/>
      <w:jc w:val="left"/>
    </w:pPr>
    <w:rPr>
      <w:rFonts w:ascii="Times New Roman" w:hAnsi="Times New Roman"/>
      <w:szCs w:val="24"/>
      <w:lang w:val="es-CO" w:eastAsia="es-CO"/>
    </w:rPr>
  </w:style>
  <w:style w:type="table" w:styleId="Tablaconcuadrcula6concolores-nfasis3">
    <w:name w:val="Grid Table 6 Colorful Accent 3"/>
    <w:basedOn w:val="Tablanormal"/>
    <w:uiPriority w:val="51"/>
    <w:rsid w:val="00F20DA3"/>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7concolores-nfasis3">
    <w:name w:val="List Table 7 Colorful Accent 3"/>
    <w:basedOn w:val="Tablanormal"/>
    <w:uiPriority w:val="52"/>
    <w:rsid w:val="00F20DA3"/>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clara">
    <w:name w:val="Grid Table Light"/>
    <w:basedOn w:val="Tablanormal"/>
    <w:uiPriority w:val="40"/>
    <w:rsid w:val="009532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95327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f01">
    <w:name w:val="cf01"/>
    <w:basedOn w:val="Fuentedeprrafopredeter"/>
    <w:rsid w:val="00786CD5"/>
    <w:rPr>
      <w:rFonts w:ascii="Segoe UI" w:hAnsi="Segoe UI" w:cs="Segoe UI" w:hint="default"/>
      <w:sz w:val="18"/>
      <w:szCs w:val="18"/>
    </w:rPr>
  </w:style>
  <w:style w:type="paragraph" w:styleId="Bibliografa">
    <w:name w:val="Bibliography"/>
    <w:basedOn w:val="Normal"/>
    <w:next w:val="Normal"/>
    <w:uiPriority w:val="37"/>
    <w:unhideWhenUsed/>
    <w:rsid w:val="006764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9760">
      <w:bodyDiv w:val="1"/>
      <w:marLeft w:val="0"/>
      <w:marRight w:val="0"/>
      <w:marTop w:val="0"/>
      <w:marBottom w:val="0"/>
      <w:divBdr>
        <w:top w:val="none" w:sz="0" w:space="0" w:color="auto"/>
        <w:left w:val="none" w:sz="0" w:space="0" w:color="auto"/>
        <w:bottom w:val="none" w:sz="0" w:space="0" w:color="auto"/>
        <w:right w:val="none" w:sz="0" w:space="0" w:color="auto"/>
      </w:divBdr>
    </w:div>
    <w:div w:id="15929977">
      <w:bodyDiv w:val="1"/>
      <w:marLeft w:val="0"/>
      <w:marRight w:val="0"/>
      <w:marTop w:val="0"/>
      <w:marBottom w:val="0"/>
      <w:divBdr>
        <w:top w:val="none" w:sz="0" w:space="0" w:color="auto"/>
        <w:left w:val="none" w:sz="0" w:space="0" w:color="auto"/>
        <w:bottom w:val="none" w:sz="0" w:space="0" w:color="auto"/>
        <w:right w:val="none" w:sz="0" w:space="0" w:color="auto"/>
      </w:divBdr>
      <w:divsChild>
        <w:div w:id="81032177">
          <w:marLeft w:val="446"/>
          <w:marRight w:val="0"/>
          <w:marTop w:val="0"/>
          <w:marBottom w:val="0"/>
          <w:divBdr>
            <w:top w:val="none" w:sz="0" w:space="0" w:color="auto"/>
            <w:left w:val="none" w:sz="0" w:space="0" w:color="auto"/>
            <w:bottom w:val="none" w:sz="0" w:space="0" w:color="auto"/>
            <w:right w:val="none" w:sz="0" w:space="0" w:color="auto"/>
          </w:divBdr>
        </w:div>
        <w:div w:id="281349140">
          <w:marLeft w:val="446"/>
          <w:marRight w:val="0"/>
          <w:marTop w:val="0"/>
          <w:marBottom w:val="0"/>
          <w:divBdr>
            <w:top w:val="none" w:sz="0" w:space="0" w:color="auto"/>
            <w:left w:val="none" w:sz="0" w:space="0" w:color="auto"/>
            <w:bottom w:val="none" w:sz="0" w:space="0" w:color="auto"/>
            <w:right w:val="none" w:sz="0" w:space="0" w:color="auto"/>
          </w:divBdr>
        </w:div>
        <w:div w:id="670254085">
          <w:marLeft w:val="446"/>
          <w:marRight w:val="0"/>
          <w:marTop w:val="0"/>
          <w:marBottom w:val="0"/>
          <w:divBdr>
            <w:top w:val="none" w:sz="0" w:space="0" w:color="auto"/>
            <w:left w:val="none" w:sz="0" w:space="0" w:color="auto"/>
            <w:bottom w:val="none" w:sz="0" w:space="0" w:color="auto"/>
            <w:right w:val="none" w:sz="0" w:space="0" w:color="auto"/>
          </w:divBdr>
        </w:div>
        <w:div w:id="699431711">
          <w:marLeft w:val="446"/>
          <w:marRight w:val="0"/>
          <w:marTop w:val="0"/>
          <w:marBottom w:val="0"/>
          <w:divBdr>
            <w:top w:val="none" w:sz="0" w:space="0" w:color="auto"/>
            <w:left w:val="none" w:sz="0" w:space="0" w:color="auto"/>
            <w:bottom w:val="none" w:sz="0" w:space="0" w:color="auto"/>
            <w:right w:val="none" w:sz="0" w:space="0" w:color="auto"/>
          </w:divBdr>
        </w:div>
        <w:div w:id="699934694">
          <w:marLeft w:val="446"/>
          <w:marRight w:val="0"/>
          <w:marTop w:val="0"/>
          <w:marBottom w:val="0"/>
          <w:divBdr>
            <w:top w:val="none" w:sz="0" w:space="0" w:color="auto"/>
            <w:left w:val="none" w:sz="0" w:space="0" w:color="auto"/>
            <w:bottom w:val="none" w:sz="0" w:space="0" w:color="auto"/>
            <w:right w:val="none" w:sz="0" w:space="0" w:color="auto"/>
          </w:divBdr>
        </w:div>
        <w:div w:id="1461848609">
          <w:marLeft w:val="446"/>
          <w:marRight w:val="0"/>
          <w:marTop w:val="0"/>
          <w:marBottom w:val="0"/>
          <w:divBdr>
            <w:top w:val="none" w:sz="0" w:space="0" w:color="auto"/>
            <w:left w:val="none" w:sz="0" w:space="0" w:color="auto"/>
            <w:bottom w:val="none" w:sz="0" w:space="0" w:color="auto"/>
            <w:right w:val="none" w:sz="0" w:space="0" w:color="auto"/>
          </w:divBdr>
        </w:div>
        <w:div w:id="1700231913">
          <w:marLeft w:val="446"/>
          <w:marRight w:val="0"/>
          <w:marTop w:val="0"/>
          <w:marBottom w:val="0"/>
          <w:divBdr>
            <w:top w:val="none" w:sz="0" w:space="0" w:color="auto"/>
            <w:left w:val="none" w:sz="0" w:space="0" w:color="auto"/>
            <w:bottom w:val="none" w:sz="0" w:space="0" w:color="auto"/>
            <w:right w:val="none" w:sz="0" w:space="0" w:color="auto"/>
          </w:divBdr>
        </w:div>
        <w:div w:id="1739746837">
          <w:marLeft w:val="446"/>
          <w:marRight w:val="0"/>
          <w:marTop w:val="0"/>
          <w:marBottom w:val="0"/>
          <w:divBdr>
            <w:top w:val="none" w:sz="0" w:space="0" w:color="auto"/>
            <w:left w:val="none" w:sz="0" w:space="0" w:color="auto"/>
            <w:bottom w:val="none" w:sz="0" w:space="0" w:color="auto"/>
            <w:right w:val="none" w:sz="0" w:space="0" w:color="auto"/>
          </w:divBdr>
        </w:div>
        <w:div w:id="1769152574">
          <w:marLeft w:val="446"/>
          <w:marRight w:val="0"/>
          <w:marTop w:val="0"/>
          <w:marBottom w:val="0"/>
          <w:divBdr>
            <w:top w:val="none" w:sz="0" w:space="0" w:color="auto"/>
            <w:left w:val="none" w:sz="0" w:space="0" w:color="auto"/>
            <w:bottom w:val="none" w:sz="0" w:space="0" w:color="auto"/>
            <w:right w:val="none" w:sz="0" w:space="0" w:color="auto"/>
          </w:divBdr>
        </w:div>
        <w:div w:id="1965114972">
          <w:marLeft w:val="446"/>
          <w:marRight w:val="0"/>
          <w:marTop w:val="0"/>
          <w:marBottom w:val="0"/>
          <w:divBdr>
            <w:top w:val="none" w:sz="0" w:space="0" w:color="auto"/>
            <w:left w:val="none" w:sz="0" w:space="0" w:color="auto"/>
            <w:bottom w:val="none" w:sz="0" w:space="0" w:color="auto"/>
            <w:right w:val="none" w:sz="0" w:space="0" w:color="auto"/>
          </w:divBdr>
        </w:div>
      </w:divsChild>
    </w:div>
    <w:div w:id="20207521">
      <w:bodyDiv w:val="1"/>
      <w:marLeft w:val="0"/>
      <w:marRight w:val="0"/>
      <w:marTop w:val="0"/>
      <w:marBottom w:val="0"/>
      <w:divBdr>
        <w:top w:val="none" w:sz="0" w:space="0" w:color="auto"/>
        <w:left w:val="none" w:sz="0" w:space="0" w:color="auto"/>
        <w:bottom w:val="none" w:sz="0" w:space="0" w:color="auto"/>
        <w:right w:val="none" w:sz="0" w:space="0" w:color="auto"/>
      </w:divBdr>
    </w:div>
    <w:div w:id="54010188">
      <w:bodyDiv w:val="1"/>
      <w:marLeft w:val="0"/>
      <w:marRight w:val="0"/>
      <w:marTop w:val="0"/>
      <w:marBottom w:val="0"/>
      <w:divBdr>
        <w:top w:val="none" w:sz="0" w:space="0" w:color="auto"/>
        <w:left w:val="none" w:sz="0" w:space="0" w:color="auto"/>
        <w:bottom w:val="none" w:sz="0" w:space="0" w:color="auto"/>
        <w:right w:val="none" w:sz="0" w:space="0" w:color="auto"/>
      </w:divBdr>
    </w:div>
    <w:div w:id="61173583">
      <w:bodyDiv w:val="1"/>
      <w:marLeft w:val="0"/>
      <w:marRight w:val="0"/>
      <w:marTop w:val="0"/>
      <w:marBottom w:val="0"/>
      <w:divBdr>
        <w:top w:val="none" w:sz="0" w:space="0" w:color="auto"/>
        <w:left w:val="none" w:sz="0" w:space="0" w:color="auto"/>
        <w:bottom w:val="none" w:sz="0" w:space="0" w:color="auto"/>
        <w:right w:val="none" w:sz="0" w:space="0" w:color="auto"/>
      </w:divBdr>
    </w:div>
    <w:div w:id="68893807">
      <w:bodyDiv w:val="1"/>
      <w:marLeft w:val="0"/>
      <w:marRight w:val="0"/>
      <w:marTop w:val="0"/>
      <w:marBottom w:val="0"/>
      <w:divBdr>
        <w:top w:val="none" w:sz="0" w:space="0" w:color="auto"/>
        <w:left w:val="none" w:sz="0" w:space="0" w:color="auto"/>
        <w:bottom w:val="none" w:sz="0" w:space="0" w:color="auto"/>
        <w:right w:val="none" w:sz="0" w:space="0" w:color="auto"/>
      </w:divBdr>
    </w:div>
    <w:div w:id="82269194">
      <w:bodyDiv w:val="1"/>
      <w:marLeft w:val="0"/>
      <w:marRight w:val="0"/>
      <w:marTop w:val="0"/>
      <w:marBottom w:val="0"/>
      <w:divBdr>
        <w:top w:val="none" w:sz="0" w:space="0" w:color="auto"/>
        <w:left w:val="none" w:sz="0" w:space="0" w:color="auto"/>
        <w:bottom w:val="none" w:sz="0" w:space="0" w:color="auto"/>
        <w:right w:val="none" w:sz="0" w:space="0" w:color="auto"/>
      </w:divBdr>
    </w:div>
    <w:div w:id="129322932">
      <w:bodyDiv w:val="1"/>
      <w:marLeft w:val="0"/>
      <w:marRight w:val="0"/>
      <w:marTop w:val="0"/>
      <w:marBottom w:val="0"/>
      <w:divBdr>
        <w:top w:val="none" w:sz="0" w:space="0" w:color="auto"/>
        <w:left w:val="none" w:sz="0" w:space="0" w:color="auto"/>
        <w:bottom w:val="none" w:sz="0" w:space="0" w:color="auto"/>
        <w:right w:val="none" w:sz="0" w:space="0" w:color="auto"/>
      </w:divBdr>
      <w:divsChild>
        <w:div w:id="343746289">
          <w:marLeft w:val="547"/>
          <w:marRight w:val="0"/>
          <w:marTop w:val="0"/>
          <w:marBottom w:val="0"/>
          <w:divBdr>
            <w:top w:val="none" w:sz="0" w:space="0" w:color="auto"/>
            <w:left w:val="none" w:sz="0" w:space="0" w:color="auto"/>
            <w:bottom w:val="none" w:sz="0" w:space="0" w:color="auto"/>
            <w:right w:val="none" w:sz="0" w:space="0" w:color="auto"/>
          </w:divBdr>
        </w:div>
        <w:div w:id="1859464635">
          <w:marLeft w:val="547"/>
          <w:marRight w:val="0"/>
          <w:marTop w:val="0"/>
          <w:marBottom w:val="0"/>
          <w:divBdr>
            <w:top w:val="none" w:sz="0" w:space="0" w:color="auto"/>
            <w:left w:val="none" w:sz="0" w:space="0" w:color="auto"/>
            <w:bottom w:val="none" w:sz="0" w:space="0" w:color="auto"/>
            <w:right w:val="none" w:sz="0" w:space="0" w:color="auto"/>
          </w:divBdr>
        </w:div>
      </w:divsChild>
    </w:div>
    <w:div w:id="137460289">
      <w:bodyDiv w:val="1"/>
      <w:marLeft w:val="0"/>
      <w:marRight w:val="0"/>
      <w:marTop w:val="0"/>
      <w:marBottom w:val="0"/>
      <w:divBdr>
        <w:top w:val="none" w:sz="0" w:space="0" w:color="auto"/>
        <w:left w:val="none" w:sz="0" w:space="0" w:color="auto"/>
        <w:bottom w:val="none" w:sz="0" w:space="0" w:color="auto"/>
        <w:right w:val="none" w:sz="0" w:space="0" w:color="auto"/>
      </w:divBdr>
    </w:div>
    <w:div w:id="145903125">
      <w:bodyDiv w:val="1"/>
      <w:marLeft w:val="0"/>
      <w:marRight w:val="0"/>
      <w:marTop w:val="0"/>
      <w:marBottom w:val="0"/>
      <w:divBdr>
        <w:top w:val="none" w:sz="0" w:space="0" w:color="auto"/>
        <w:left w:val="none" w:sz="0" w:space="0" w:color="auto"/>
        <w:bottom w:val="none" w:sz="0" w:space="0" w:color="auto"/>
        <w:right w:val="none" w:sz="0" w:space="0" w:color="auto"/>
      </w:divBdr>
    </w:div>
    <w:div w:id="180052054">
      <w:bodyDiv w:val="1"/>
      <w:marLeft w:val="0"/>
      <w:marRight w:val="0"/>
      <w:marTop w:val="0"/>
      <w:marBottom w:val="0"/>
      <w:divBdr>
        <w:top w:val="none" w:sz="0" w:space="0" w:color="auto"/>
        <w:left w:val="none" w:sz="0" w:space="0" w:color="auto"/>
        <w:bottom w:val="none" w:sz="0" w:space="0" w:color="auto"/>
        <w:right w:val="none" w:sz="0" w:space="0" w:color="auto"/>
      </w:divBdr>
    </w:div>
    <w:div w:id="189144576">
      <w:bodyDiv w:val="1"/>
      <w:marLeft w:val="0"/>
      <w:marRight w:val="0"/>
      <w:marTop w:val="0"/>
      <w:marBottom w:val="0"/>
      <w:divBdr>
        <w:top w:val="none" w:sz="0" w:space="0" w:color="auto"/>
        <w:left w:val="none" w:sz="0" w:space="0" w:color="auto"/>
        <w:bottom w:val="none" w:sz="0" w:space="0" w:color="auto"/>
        <w:right w:val="none" w:sz="0" w:space="0" w:color="auto"/>
      </w:divBdr>
    </w:div>
    <w:div w:id="202183100">
      <w:bodyDiv w:val="1"/>
      <w:marLeft w:val="0"/>
      <w:marRight w:val="0"/>
      <w:marTop w:val="0"/>
      <w:marBottom w:val="0"/>
      <w:divBdr>
        <w:top w:val="none" w:sz="0" w:space="0" w:color="auto"/>
        <w:left w:val="none" w:sz="0" w:space="0" w:color="auto"/>
        <w:bottom w:val="none" w:sz="0" w:space="0" w:color="auto"/>
        <w:right w:val="none" w:sz="0" w:space="0" w:color="auto"/>
      </w:divBdr>
    </w:div>
    <w:div w:id="209002698">
      <w:bodyDiv w:val="1"/>
      <w:marLeft w:val="0"/>
      <w:marRight w:val="0"/>
      <w:marTop w:val="0"/>
      <w:marBottom w:val="0"/>
      <w:divBdr>
        <w:top w:val="none" w:sz="0" w:space="0" w:color="auto"/>
        <w:left w:val="none" w:sz="0" w:space="0" w:color="auto"/>
        <w:bottom w:val="none" w:sz="0" w:space="0" w:color="auto"/>
        <w:right w:val="none" w:sz="0" w:space="0" w:color="auto"/>
      </w:divBdr>
    </w:div>
    <w:div w:id="223837780">
      <w:bodyDiv w:val="1"/>
      <w:marLeft w:val="0"/>
      <w:marRight w:val="0"/>
      <w:marTop w:val="0"/>
      <w:marBottom w:val="0"/>
      <w:divBdr>
        <w:top w:val="none" w:sz="0" w:space="0" w:color="auto"/>
        <w:left w:val="none" w:sz="0" w:space="0" w:color="auto"/>
        <w:bottom w:val="none" w:sz="0" w:space="0" w:color="auto"/>
        <w:right w:val="none" w:sz="0" w:space="0" w:color="auto"/>
      </w:divBdr>
      <w:divsChild>
        <w:div w:id="728844827">
          <w:marLeft w:val="547"/>
          <w:marRight w:val="0"/>
          <w:marTop w:val="0"/>
          <w:marBottom w:val="0"/>
          <w:divBdr>
            <w:top w:val="none" w:sz="0" w:space="0" w:color="auto"/>
            <w:left w:val="none" w:sz="0" w:space="0" w:color="auto"/>
            <w:bottom w:val="none" w:sz="0" w:space="0" w:color="auto"/>
            <w:right w:val="none" w:sz="0" w:space="0" w:color="auto"/>
          </w:divBdr>
        </w:div>
      </w:divsChild>
    </w:div>
    <w:div w:id="247692763">
      <w:bodyDiv w:val="1"/>
      <w:marLeft w:val="0"/>
      <w:marRight w:val="0"/>
      <w:marTop w:val="0"/>
      <w:marBottom w:val="0"/>
      <w:divBdr>
        <w:top w:val="none" w:sz="0" w:space="0" w:color="auto"/>
        <w:left w:val="none" w:sz="0" w:space="0" w:color="auto"/>
        <w:bottom w:val="none" w:sz="0" w:space="0" w:color="auto"/>
        <w:right w:val="none" w:sz="0" w:space="0" w:color="auto"/>
      </w:divBdr>
    </w:div>
    <w:div w:id="278610412">
      <w:bodyDiv w:val="1"/>
      <w:marLeft w:val="0"/>
      <w:marRight w:val="0"/>
      <w:marTop w:val="0"/>
      <w:marBottom w:val="0"/>
      <w:divBdr>
        <w:top w:val="none" w:sz="0" w:space="0" w:color="auto"/>
        <w:left w:val="none" w:sz="0" w:space="0" w:color="auto"/>
        <w:bottom w:val="none" w:sz="0" w:space="0" w:color="auto"/>
        <w:right w:val="none" w:sz="0" w:space="0" w:color="auto"/>
      </w:divBdr>
      <w:divsChild>
        <w:div w:id="576746865">
          <w:marLeft w:val="547"/>
          <w:marRight w:val="0"/>
          <w:marTop w:val="0"/>
          <w:marBottom w:val="0"/>
          <w:divBdr>
            <w:top w:val="none" w:sz="0" w:space="0" w:color="auto"/>
            <w:left w:val="none" w:sz="0" w:space="0" w:color="auto"/>
            <w:bottom w:val="none" w:sz="0" w:space="0" w:color="auto"/>
            <w:right w:val="none" w:sz="0" w:space="0" w:color="auto"/>
          </w:divBdr>
        </w:div>
      </w:divsChild>
    </w:div>
    <w:div w:id="286552648">
      <w:bodyDiv w:val="1"/>
      <w:marLeft w:val="0"/>
      <w:marRight w:val="0"/>
      <w:marTop w:val="0"/>
      <w:marBottom w:val="0"/>
      <w:divBdr>
        <w:top w:val="none" w:sz="0" w:space="0" w:color="auto"/>
        <w:left w:val="none" w:sz="0" w:space="0" w:color="auto"/>
        <w:bottom w:val="none" w:sz="0" w:space="0" w:color="auto"/>
        <w:right w:val="none" w:sz="0" w:space="0" w:color="auto"/>
      </w:divBdr>
    </w:div>
    <w:div w:id="288049398">
      <w:bodyDiv w:val="1"/>
      <w:marLeft w:val="0"/>
      <w:marRight w:val="0"/>
      <w:marTop w:val="0"/>
      <w:marBottom w:val="0"/>
      <w:divBdr>
        <w:top w:val="none" w:sz="0" w:space="0" w:color="auto"/>
        <w:left w:val="none" w:sz="0" w:space="0" w:color="auto"/>
        <w:bottom w:val="none" w:sz="0" w:space="0" w:color="auto"/>
        <w:right w:val="none" w:sz="0" w:space="0" w:color="auto"/>
      </w:divBdr>
    </w:div>
    <w:div w:id="298265672">
      <w:bodyDiv w:val="1"/>
      <w:marLeft w:val="0"/>
      <w:marRight w:val="0"/>
      <w:marTop w:val="0"/>
      <w:marBottom w:val="0"/>
      <w:divBdr>
        <w:top w:val="none" w:sz="0" w:space="0" w:color="auto"/>
        <w:left w:val="none" w:sz="0" w:space="0" w:color="auto"/>
        <w:bottom w:val="none" w:sz="0" w:space="0" w:color="auto"/>
        <w:right w:val="none" w:sz="0" w:space="0" w:color="auto"/>
      </w:divBdr>
    </w:div>
    <w:div w:id="324012161">
      <w:bodyDiv w:val="1"/>
      <w:marLeft w:val="0"/>
      <w:marRight w:val="0"/>
      <w:marTop w:val="0"/>
      <w:marBottom w:val="0"/>
      <w:divBdr>
        <w:top w:val="none" w:sz="0" w:space="0" w:color="auto"/>
        <w:left w:val="none" w:sz="0" w:space="0" w:color="auto"/>
        <w:bottom w:val="none" w:sz="0" w:space="0" w:color="auto"/>
        <w:right w:val="none" w:sz="0" w:space="0" w:color="auto"/>
      </w:divBdr>
    </w:div>
    <w:div w:id="325793397">
      <w:bodyDiv w:val="1"/>
      <w:marLeft w:val="0"/>
      <w:marRight w:val="0"/>
      <w:marTop w:val="0"/>
      <w:marBottom w:val="0"/>
      <w:divBdr>
        <w:top w:val="none" w:sz="0" w:space="0" w:color="auto"/>
        <w:left w:val="none" w:sz="0" w:space="0" w:color="auto"/>
        <w:bottom w:val="none" w:sz="0" w:space="0" w:color="auto"/>
        <w:right w:val="none" w:sz="0" w:space="0" w:color="auto"/>
      </w:divBdr>
    </w:div>
    <w:div w:id="333146430">
      <w:bodyDiv w:val="1"/>
      <w:marLeft w:val="0"/>
      <w:marRight w:val="0"/>
      <w:marTop w:val="0"/>
      <w:marBottom w:val="0"/>
      <w:divBdr>
        <w:top w:val="none" w:sz="0" w:space="0" w:color="auto"/>
        <w:left w:val="none" w:sz="0" w:space="0" w:color="auto"/>
        <w:bottom w:val="none" w:sz="0" w:space="0" w:color="auto"/>
        <w:right w:val="none" w:sz="0" w:space="0" w:color="auto"/>
      </w:divBdr>
    </w:div>
    <w:div w:id="363869786">
      <w:bodyDiv w:val="1"/>
      <w:marLeft w:val="0"/>
      <w:marRight w:val="0"/>
      <w:marTop w:val="0"/>
      <w:marBottom w:val="0"/>
      <w:divBdr>
        <w:top w:val="none" w:sz="0" w:space="0" w:color="auto"/>
        <w:left w:val="none" w:sz="0" w:space="0" w:color="auto"/>
        <w:bottom w:val="none" w:sz="0" w:space="0" w:color="auto"/>
        <w:right w:val="none" w:sz="0" w:space="0" w:color="auto"/>
      </w:divBdr>
    </w:div>
    <w:div w:id="384380247">
      <w:bodyDiv w:val="1"/>
      <w:marLeft w:val="0"/>
      <w:marRight w:val="0"/>
      <w:marTop w:val="0"/>
      <w:marBottom w:val="0"/>
      <w:divBdr>
        <w:top w:val="none" w:sz="0" w:space="0" w:color="auto"/>
        <w:left w:val="none" w:sz="0" w:space="0" w:color="auto"/>
        <w:bottom w:val="none" w:sz="0" w:space="0" w:color="auto"/>
        <w:right w:val="none" w:sz="0" w:space="0" w:color="auto"/>
      </w:divBdr>
    </w:div>
    <w:div w:id="404575264">
      <w:bodyDiv w:val="1"/>
      <w:marLeft w:val="0"/>
      <w:marRight w:val="0"/>
      <w:marTop w:val="0"/>
      <w:marBottom w:val="0"/>
      <w:divBdr>
        <w:top w:val="none" w:sz="0" w:space="0" w:color="auto"/>
        <w:left w:val="none" w:sz="0" w:space="0" w:color="auto"/>
        <w:bottom w:val="none" w:sz="0" w:space="0" w:color="auto"/>
        <w:right w:val="none" w:sz="0" w:space="0" w:color="auto"/>
      </w:divBdr>
    </w:div>
    <w:div w:id="419644072">
      <w:bodyDiv w:val="1"/>
      <w:marLeft w:val="0"/>
      <w:marRight w:val="0"/>
      <w:marTop w:val="0"/>
      <w:marBottom w:val="0"/>
      <w:divBdr>
        <w:top w:val="none" w:sz="0" w:space="0" w:color="auto"/>
        <w:left w:val="none" w:sz="0" w:space="0" w:color="auto"/>
        <w:bottom w:val="none" w:sz="0" w:space="0" w:color="auto"/>
        <w:right w:val="none" w:sz="0" w:space="0" w:color="auto"/>
      </w:divBdr>
      <w:divsChild>
        <w:div w:id="1211920970">
          <w:marLeft w:val="547"/>
          <w:marRight w:val="0"/>
          <w:marTop w:val="0"/>
          <w:marBottom w:val="0"/>
          <w:divBdr>
            <w:top w:val="none" w:sz="0" w:space="0" w:color="auto"/>
            <w:left w:val="none" w:sz="0" w:space="0" w:color="auto"/>
            <w:bottom w:val="none" w:sz="0" w:space="0" w:color="auto"/>
            <w:right w:val="none" w:sz="0" w:space="0" w:color="auto"/>
          </w:divBdr>
        </w:div>
      </w:divsChild>
    </w:div>
    <w:div w:id="442068683">
      <w:bodyDiv w:val="1"/>
      <w:marLeft w:val="0"/>
      <w:marRight w:val="0"/>
      <w:marTop w:val="0"/>
      <w:marBottom w:val="0"/>
      <w:divBdr>
        <w:top w:val="none" w:sz="0" w:space="0" w:color="auto"/>
        <w:left w:val="none" w:sz="0" w:space="0" w:color="auto"/>
        <w:bottom w:val="none" w:sz="0" w:space="0" w:color="auto"/>
        <w:right w:val="none" w:sz="0" w:space="0" w:color="auto"/>
      </w:divBdr>
    </w:div>
    <w:div w:id="445469220">
      <w:bodyDiv w:val="1"/>
      <w:marLeft w:val="0"/>
      <w:marRight w:val="0"/>
      <w:marTop w:val="0"/>
      <w:marBottom w:val="0"/>
      <w:divBdr>
        <w:top w:val="none" w:sz="0" w:space="0" w:color="auto"/>
        <w:left w:val="none" w:sz="0" w:space="0" w:color="auto"/>
        <w:bottom w:val="none" w:sz="0" w:space="0" w:color="auto"/>
        <w:right w:val="none" w:sz="0" w:space="0" w:color="auto"/>
      </w:divBdr>
    </w:div>
    <w:div w:id="469516522">
      <w:bodyDiv w:val="1"/>
      <w:marLeft w:val="0"/>
      <w:marRight w:val="0"/>
      <w:marTop w:val="0"/>
      <w:marBottom w:val="0"/>
      <w:divBdr>
        <w:top w:val="none" w:sz="0" w:space="0" w:color="auto"/>
        <w:left w:val="none" w:sz="0" w:space="0" w:color="auto"/>
        <w:bottom w:val="none" w:sz="0" w:space="0" w:color="auto"/>
        <w:right w:val="none" w:sz="0" w:space="0" w:color="auto"/>
      </w:divBdr>
    </w:div>
    <w:div w:id="488130569">
      <w:bodyDiv w:val="1"/>
      <w:marLeft w:val="0"/>
      <w:marRight w:val="0"/>
      <w:marTop w:val="0"/>
      <w:marBottom w:val="0"/>
      <w:divBdr>
        <w:top w:val="none" w:sz="0" w:space="0" w:color="auto"/>
        <w:left w:val="none" w:sz="0" w:space="0" w:color="auto"/>
        <w:bottom w:val="none" w:sz="0" w:space="0" w:color="auto"/>
        <w:right w:val="none" w:sz="0" w:space="0" w:color="auto"/>
      </w:divBdr>
    </w:div>
    <w:div w:id="509492357">
      <w:bodyDiv w:val="1"/>
      <w:marLeft w:val="0"/>
      <w:marRight w:val="0"/>
      <w:marTop w:val="0"/>
      <w:marBottom w:val="0"/>
      <w:divBdr>
        <w:top w:val="none" w:sz="0" w:space="0" w:color="auto"/>
        <w:left w:val="none" w:sz="0" w:space="0" w:color="auto"/>
        <w:bottom w:val="none" w:sz="0" w:space="0" w:color="auto"/>
        <w:right w:val="none" w:sz="0" w:space="0" w:color="auto"/>
      </w:divBdr>
    </w:div>
    <w:div w:id="513302763">
      <w:bodyDiv w:val="1"/>
      <w:marLeft w:val="0"/>
      <w:marRight w:val="0"/>
      <w:marTop w:val="0"/>
      <w:marBottom w:val="0"/>
      <w:divBdr>
        <w:top w:val="none" w:sz="0" w:space="0" w:color="auto"/>
        <w:left w:val="none" w:sz="0" w:space="0" w:color="auto"/>
        <w:bottom w:val="none" w:sz="0" w:space="0" w:color="auto"/>
        <w:right w:val="none" w:sz="0" w:space="0" w:color="auto"/>
      </w:divBdr>
    </w:div>
    <w:div w:id="520511138">
      <w:bodyDiv w:val="1"/>
      <w:marLeft w:val="0"/>
      <w:marRight w:val="0"/>
      <w:marTop w:val="0"/>
      <w:marBottom w:val="0"/>
      <w:divBdr>
        <w:top w:val="none" w:sz="0" w:space="0" w:color="auto"/>
        <w:left w:val="none" w:sz="0" w:space="0" w:color="auto"/>
        <w:bottom w:val="none" w:sz="0" w:space="0" w:color="auto"/>
        <w:right w:val="none" w:sz="0" w:space="0" w:color="auto"/>
      </w:divBdr>
    </w:div>
    <w:div w:id="520705924">
      <w:bodyDiv w:val="1"/>
      <w:marLeft w:val="0"/>
      <w:marRight w:val="0"/>
      <w:marTop w:val="0"/>
      <w:marBottom w:val="0"/>
      <w:divBdr>
        <w:top w:val="none" w:sz="0" w:space="0" w:color="auto"/>
        <w:left w:val="none" w:sz="0" w:space="0" w:color="auto"/>
        <w:bottom w:val="none" w:sz="0" w:space="0" w:color="auto"/>
        <w:right w:val="none" w:sz="0" w:space="0" w:color="auto"/>
      </w:divBdr>
      <w:divsChild>
        <w:div w:id="1755126143">
          <w:marLeft w:val="547"/>
          <w:marRight w:val="0"/>
          <w:marTop w:val="0"/>
          <w:marBottom w:val="0"/>
          <w:divBdr>
            <w:top w:val="none" w:sz="0" w:space="0" w:color="auto"/>
            <w:left w:val="none" w:sz="0" w:space="0" w:color="auto"/>
            <w:bottom w:val="none" w:sz="0" w:space="0" w:color="auto"/>
            <w:right w:val="none" w:sz="0" w:space="0" w:color="auto"/>
          </w:divBdr>
        </w:div>
      </w:divsChild>
    </w:div>
    <w:div w:id="528953184">
      <w:bodyDiv w:val="1"/>
      <w:marLeft w:val="0"/>
      <w:marRight w:val="0"/>
      <w:marTop w:val="0"/>
      <w:marBottom w:val="0"/>
      <w:divBdr>
        <w:top w:val="none" w:sz="0" w:space="0" w:color="auto"/>
        <w:left w:val="none" w:sz="0" w:space="0" w:color="auto"/>
        <w:bottom w:val="none" w:sz="0" w:space="0" w:color="auto"/>
        <w:right w:val="none" w:sz="0" w:space="0" w:color="auto"/>
      </w:divBdr>
    </w:div>
    <w:div w:id="543368087">
      <w:bodyDiv w:val="1"/>
      <w:marLeft w:val="0"/>
      <w:marRight w:val="0"/>
      <w:marTop w:val="0"/>
      <w:marBottom w:val="0"/>
      <w:divBdr>
        <w:top w:val="none" w:sz="0" w:space="0" w:color="auto"/>
        <w:left w:val="none" w:sz="0" w:space="0" w:color="auto"/>
        <w:bottom w:val="none" w:sz="0" w:space="0" w:color="auto"/>
        <w:right w:val="none" w:sz="0" w:space="0" w:color="auto"/>
      </w:divBdr>
    </w:div>
    <w:div w:id="558055472">
      <w:bodyDiv w:val="1"/>
      <w:marLeft w:val="0"/>
      <w:marRight w:val="0"/>
      <w:marTop w:val="0"/>
      <w:marBottom w:val="0"/>
      <w:divBdr>
        <w:top w:val="none" w:sz="0" w:space="0" w:color="auto"/>
        <w:left w:val="none" w:sz="0" w:space="0" w:color="auto"/>
        <w:bottom w:val="none" w:sz="0" w:space="0" w:color="auto"/>
        <w:right w:val="none" w:sz="0" w:space="0" w:color="auto"/>
      </w:divBdr>
    </w:div>
    <w:div w:id="563414827">
      <w:bodyDiv w:val="1"/>
      <w:marLeft w:val="0"/>
      <w:marRight w:val="0"/>
      <w:marTop w:val="0"/>
      <w:marBottom w:val="0"/>
      <w:divBdr>
        <w:top w:val="none" w:sz="0" w:space="0" w:color="auto"/>
        <w:left w:val="none" w:sz="0" w:space="0" w:color="auto"/>
        <w:bottom w:val="none" w:sz="0" w:space="0" w:color="auto"/>
        <w:right w:val="none" w:sz="0" w:space="0" w:color="auto"/>
      </w:divBdr>
    </w:div>
    <w:div w:id="566309662">
      <w:bodyDiv w:val="1"/>
      <w:marLeft w:val="0"/>
      <w:marRight w:val="0"/>
      <w:marTop w:val="0"/>
      <w:marBottom w:val="0"/>
      <w:divBdr>
        <w:top w:val="none" w:sz="0" w:space="0" w:color="auto"/>
        <w:left w:val="none" w:sz="0" w:space="0" w:color="auto"/>
        <w:bottom w:val="none" w:sz="0" w:space="0" w:color="auto"/>
        <w:right w:val="none" w:sz="0" w:space="0" w:color="auto"/>
      </w:divBdr>
    </w:div>
    <w:div w:id="589631052">
      <w:bodyDiv w:val="1"/>
      <w:marLeft w:val="0"/>
      <w:marRight w:val="0"/>
      <w:marTop w:val="0"/>
      <w:marBottom w:val="0"/>
      <w:divBdr>
        <w:top w:val="none" w:sz="0" w:space="0" w:color="auto"/>
        <w:left w:val="none" w:sz="0" w:space="0" w:color="auto"/>
        <w:bottom w:val="none" w:sz="0" w:space="0" w:color="auto"/>
        <w:right w:val="none" w:sz="0" w:space="0" w:color="auto"/>
      </w:divBdr>
      <w:divsChild>
        <w:div w:id="34235580">
          <w:marLeft w:val="1166"/>
          <w:marRight w:val="0"/>
          <w:marTop w:val="0"/>
          <w:marBottom w:val="0"/>
          <w:divBdr>
            <w:top w:val="none" w:sz="0" w:space="0" w:color="auto"/>
            <w:left w:val="none" w:sz="0" w:space="0" w:color="auto"/>
            <w:bottom w:val="none" w:sz="0" w:space="0" w:color="auto"/>
            <w:right w:val="none" w:sz="0" w:space="0" w:color="auto"/>
          </w:divBdr>
        </w:div>
        <w:div w:id="78869143">
          <w:marLeft w:val="1166"/>
          <w:marRight w:val="0"/>
          <w:marTop w:val="0"/>
          <w:marBottom w:val="0"/>
          <w:divBdr>
            <w:top w:val="none" w:sz="0" w:space="0" w:color="auto"/>
            <w:left w:val="none" w:sz="0" w:space="0" w:color="auto"/>
            <w:bottom w:val="none" w:sz="0" w:space="0" w:color="auto"/>
            <w:right w:val="none" w:sz="0" w:space="0" w:color="auto"/>
          </w:divBdr>
        </w:div>
        <w:div w:id="86465877">
          <w:marLeft w:val="1166"/>
          <w:marRight w:val="0"/>
          <w:marTop w:val="0"/>
          <w:marBottom w:val="0"/>
          <w:divBdr>
            <w:top w:val="none" w:sz="0" w:space="0" w:color="auto"/>
            <w:left w:val="none" w:sz="0" w:space="0" w:color="auto"/>
            <w:bottom w:val="none" w:sz="0" w:space="0" w:color="auto"/>
            <w:right w:val="none" w:sz="0" w:space="0" w:color="auto"/>
          </w:divBdr>
        </w:div>
        <w:div w:id="160507882">
          <w:marLeft w:val="547"/>
          <w:marRight w:val="0"/>
          <w:marTop w:val="0"/>
          <w:marBottom w:val="0"/>
          <w:divBdr>
            <w:top w:val="none" w:sz="0" w:space="0" w:color="auto"/>
            <w:left w:val="none" w:sz="0" w:space="0" w:color="auto"/>
            <w:bottom w:val="none" w:sz="0" w:space="0" w:color="auto"/>
            <w:right w:val="none" w:sz="0" w:space="0" w:color="auto"/>
          </w:divBdr>
        </w:div>
        <w:div w:id="377632607">
          <w:marLeft w:val="547"/>
          <w:marRight w:val="0"/>
          <w:marTop w:val="0"/>
          <w:marBottom w:val="0"/>
          <w:divBdr>
            <w:top w:val="none" w:sz="0" w:space="0" w:color="auto"/>
            <w:left w:val="none" w:sz="0" w:space="0" w:color="auto"/>
            <w:bottom w:val="none" w:sz="0" w:space="0" w:color="auto"/>
            <w:right w:val="none" w:sz="0" w:space="0" w:color="auto"/>
          </w:divBdr>
        </w:div>
        <w:div w:id="559247419">
          <w:marLeft w:val="1166"/>
          <w:marRight w:val="0"/>
          <w:marTop w:val="0"/>
          <w:marBottom w:val="0"/>
          <w:divBdr>
            <w:top w:val="none" w:sz="0" w:space="0" w:color="auto"/>
            <w:left w:val="none" w:sz="0" w:space="0" w:color="auto"/>
            <w:bottom w:val="none" w:sz="0" w:space="0" w:color="auto"/>
            <w:right w:val="none" w:sz="0" w:space="0" w:color="auto"/>
          </w:divBdr>
        </w:div>
        <w:div w:id="580598654">
          <w:marLeft w:val="547"/>
          <w:marRight w:val="0"/>
          <w:marTop w:val="0"/>
          <w:marBottom w:val="0"/>
          <w:divBdr>
            <w:top w:val="none" w:sz="0" w:space="0" w:color="auto"/>
            <w:left w:val="none" w:sz="0" w:space="0" w:color="auto"/>
            <w:bottom w:val="none" w:sz="0" w:space="0" w:color="auto"/>
            <w:right w:val="none" w:sz="0" w:space="0" w:color="auto"/>
          </w:divBdr>
        </w:div>
        <w:div w:id="849949700">
          <w:marLeft w:val="547"/>
          <w:marRight w:val="0"/>
          <w:marTop w:val="0"/>
          <w:marBottom w:val="0"/>
          <w:divBdr>
            <w:top w:val="none" w:sz="0" w:space="0" w:color="auto"/>
            <w:left w:val="none" w:sz="0" w:space="0" w:color="auto"/>
            <w:bottom w:val="none" w:sz="0" w:space="0" w:color="auto"/>
            <w:right w:val="none" w:sz="0" w:space="0" w:color="auto"/>
          </w:divBdr>
        </w:div>
        <w:div w:id="1452165962">
          <w:marLeft w:val="1166"/>
          <w:marRight w:val="0"/>
          <w:marTop w:val="0"/>
          <w:marBottom w:val="0"/>
          <w:divBdr>
            <w:top w:val="none" w:sz="0" w:space="0" w:color="auto"/>
            <w:left w:val="none" w:sz="0" w:space="0" w:color="auto"/>
            <w:bottom w:val="none" w:sz="0" w:space="0" w:color="auto"/>
            <w:right w:val="none" w:sz="0" w:space="0" w:color="auto"/>
          </w:divBdr>
        </w:div>
        <w:div w:id="1842549969">
          <w:marLeft w:val="1166"/>
          <w:marRight w:val="0"/>
          <w:marTop w:val="0"/>
          <w:marBottom w:val="0"/>
          <w:divBdr>
            <w:top w:val="none" w:sz="0" w:space="0" w:color="auto"/>
            <w:left w:val="none" w:sz="0" w:space="0" w:color="auto"/>
            <w:bottom w:val="none" w:sz="0" w:space="0" w:color="auto"/>
            <w:right w:val="none" w:sz="0" w:space="0" w:color="auto"/>
          </w:divBdr>
        </w:div>
        <w:div w:id="1925139135">
          <w:marLeft w:val="1166"/>
          <w:marRight w:val="0"/>
          <w:marTop w:val="0"/>
          <w:marBottom w:val="0"/>
          <w:divBdr>
            <w:top w:val="none" w:sz="0" w:space="0" w:color="auto"/>
            <w:left w:val="none" w:sz="0" w:space="0" w:color="auto"/>
            <w:bottom w:val="none" w:sz="0" w:space="0" w:color="auto"/>
            <w:right w:val="none" w:sz="0" w:space="0" w:color="auto"/>
          </w:divBdr>
        </w:div>
      </w:divsChild>
    </w:div>
    <w:div w:id="590354070">
      <w:bodyDiv w:val="1"/>
      <w:marLeft w:val="0"/>
      <w:marRight w:val="0"/>
      <w:marTop w:val="0"/>
      <w:marBottom w:val="0"/>
      <w:divBdr>
        <w:top w:val="none" w:sz="0" w:space="0" w:color="auto"/>
        <w:left w:val="none" w:sz="0" w:space="0" w:color="auto"/>
        <w:bottom w:val="none" w:sz="0" w:space="0" w:color="auto"/>
        <w:right w:val="none" w:sz="0" w:space="0" w:color="auto"/>
      </w:divBdr>
      <w:divsChild>
        <w:div w:id="65538892">
          <w:marLeft w:val="547"/>
          <w:marRight w:val="0"/>
          <w:marTop w:val="0"/>
          <w:marBottom w:val="0"/>
          <w:divBdr>
            <w:top w:val="none" w:sz="0" w:space="0" w:color="auto"/>
            <w:left w:val="none" w:sz="0" w:space="0" w:color="auto"/>
            <w:bottom w:val="none" w:sz="0" w:space="0" w:color="auto"/>
            <w:right w:val="none" w:sz="0" w:space="0" w:color="auto"/>
          </w:divBdr>
        </w:div>
        <w:div w:id="297801868">
          <w:marLeft w:val="547"/>
          <w:marRight w:val="0"/>
          <w:marTop w:val="0"/>
          <w:marBottom w:val="0"/>
          <w:divBdr>
            <w:top w:val="none" w:sz="0" w:space="0" w:color="auto"/>
            <w:left w:val="none" w:sz="0" w:space="0" w:color="auto"/>
            <w:bottom w:val="none" w:sz="0" w:space="0" w:color="auto"/>
            <w:right w:val="none" w:sz="0" w:space="0" w:color="auto"/>
          </w:divBdr>
        </w:div>
        <w:div w:id="470171266">
          <w:marLeft w:val="1166"/>
          <w:marRight w:val="0"/>
          <w:marTop w:val="0"/>
          <w:marBottom w:val="0"/>
          <w:divBdr>
            <w:top w:val="none" w:sz="0" w:space="0" w:color="auto"/>
            <w:left w:val="none" w:sz="0" w:space="0" w:color="auto"/>
            <w:bottom w:val="none" w:sz="0" w:space="0" w:color="auto"/>
            <w:right w:val="none" w:sz="0" w:space="0" w:color="auto"/>
          </w:divBdr>
        </w:div>
        <w:div w:id="742026209">
          <w:marLeft w:val="1166"/>
          <w:marRight w:val="0"/>
          <w:marTop w:val="0"/>
          <w:marBottom w:val="0"/>
          <w:divBdr>
            <w:top w:val="none" w:sz="0" w:space="0" w:color="auto"/>
            <w:left w:val="none" w:sz="0" w:space="0" w:color="auto"/>
            <w:bottom w:val="none" w:sz="0" w:space="0" w:color="auto"/>
            <w:right w:val="none" w:sz="0" w:space="0" w:color="auto"/>
          </w:divBdr>
        </w:div>
        <w:div w:id="746348408">
          <w:marLeft w:val="547"/>
          <w:marRight w:val="0"/>
          <w:marTop w:val="0"/>
          <w:marBottom w:val="0"/>
          <w:divBdr>
            <w:top w:val="none" w:sz="0" w:space="0" w:color="auto"/>
            <w:left w:val="none" w:sz="0" w:space="0" w:color="auto"/>
            <w:bottom w:val="none" w:sz="0" w:space="0" w:color="auto"/>
            <w:right w:val="none" w:sz="0" w:space="0" w:color="auto"/>
          </w:divBdr>
        </w:div>
        <w:div w:id="1519273805">
          <w:marLeft w:val="1166"/>
          <w:marRight w:val="0"/>
          <w:marTop w:val="0"/>
          <w:marBottom w:val="0"/>
          <w:divBdr>
            <w:top w:val="none" w:sz="0" w:space="0" w:color="auto"/>
            <w:left w:val="none" w:sz="0" w:space="0" w:color="auto"/>
            <w:bottom w:val="none" w:sz="0" w:space="0" w:color="auto"/>
            <w:right w:val="none" w:sz="0" w:space="0" w:color="auto"/>
          </w:divBdr>
        </w:div>
        <w:div w:id="1578590898">
          <w:marLeft w:val="1166"/>
          <w:marRight w:val="0"/>
          <w:marTop w:val="0"/>
          <w:marBottom w:val="0"/>
          <w:divBdr>
            <w:top w:val="none" w:sz="0" w:space="0" w:color="auto"/>
            <w:left w:val="none" w:sz="0" w:space="0" w:color="auto"/>
            <w:bottom w:val="none" w:sz="0" w:space="0" w:color="auto"/>
            <w:right w:val="none" w:sz="0" w:space="0" w:color="auto"/>
          </w:divBdr>
        </w:div>
        <w:div w:id="1737429989">
          <w:marLeft w:val="1166"/>
          <w:marRight w:val="0"/>
          <w:marTop w:val="0"/>
          <w:marBottom w:val="0"/>
          <w:divBdr>
            <w:top w:val="none" w:sz="0" w:space="0" w:color="auto"/>
            <w:left w:val="none" w:sz="0" w:space="0" w:color="auto"/>
            <w:bottom w:val="none" w:sz="0" w:space="0" w:color="auto"/>
            <w:right w:val="none" w:sz="0" w:space="0" w:color="auto"/>
          </w:divBdr>
        </w:div>
        <w:div w:id="1985692513">
          <w:marLeft w:val="547"/>
          <w:marRight w:val="0"/>
          <w:marTop w:val="0"/>
          <w:marBottom w:val="0"/>
          <w:divBdr>
            <w:top w:val="none" w:sz="0" w:space="0" w:color="auto"/>
            <w:left w:val="none" w:sz="0" w:space="0" w:color="auto"/>
            <w:bottom w:val="none" w:sz="0" w:space="0" w:color="auto"/>
            <w:right w:val="none" w:sz="0" w:space="0" w:color="auto"/>
          </w:divBdr>
        </w:div>
        <w:div w:id="2087457057">
          <w:marLeft w:val="1166"/>
          <w:marRight w:val="0"/>
          <w:marTop w:val="0"/>
          <w:marBottom w:val="0"/>
          <w:divBdr>
            <w:top w:val="none" w:sz="0" w:space="0" w:color="auto"/>
            <w:left w:val="none" w:sz="0" w:space="0" w:color="auto"/>
            <w:bottom w:val="none" w:sz="0" w:space="0" w:color="auto"/>
            <w:right w:val="none" w:sz="0" w:space="0" w:color="auto"/>
          </w:divBdr>
        </w:div>
      </w:divsChild>
    </w:div>
    <w:div w:id="591469352">
      <w:bodyDiv w:val="1"/>
      <w:marLeft w:val="0"/>
      <w:marRight w:val="0"/>
      <w:marTop w:val="0"/>
      <w:marBottom w:val="0"/>
      <w:divBdr>
        <w:top w:val="none" w:sz="0" w:space="0" w:color="auto"/>
        <w:left w:val="none" w:sz="0" w:space="0" w:color="auto"/>
        <w:bottom w:val="none" w:sz="0" w:space="0" w:color="auto"/>
        <w:right w:val="none" w:sz="0" w:space="0" w:color="auto"/>
      </w:divBdr>
    </w:div>
    <w:div w:id="596251181">
      <w:bodyDiv w:val="1"/>
      <w:marLeft w:val="0"/>
      <w:marRight w:val="0"/>
      <w:marTop w:val="0"/>
      <w:marBottom w:val="0"/>
      <w:divBdr>
        <w:top w:val="none" w:sz="0" w:space="0" w:color="auto"/>
        <w:left w:val="none" w:sz="0" w:space="0" w:color="auto"/>
        <w:bottom w:val="none" w:sz="0" w:space="0" w:color="auto"/>
        <w:right w:val="none" w:sz="0" w:space="0" w:color="auto"/>
      </w:divBdr>
    </w:div>
    <w:div w:id="611012929">
      <w:bodyDiv w:val="1"/>
      <w:marLeft w:val="0"/>
      <w:marRight w:val="0"/>
      <w:marTop w:val="0"/>
      <w:marBottom w:val="0"/>
      <w:divBdr>
        <w:top w:val="none" w:sz="0" w:space="0" w:color="auto"/>
        <w:left w:val="none" w:sz="0" w:space="0" w:color="auto"/>
        <w:bottom w:val="none" w:sz="0" w:space="0" w:color="auto"/>
        <w:right w:val="none" w:sz="0" w:space="0" w:color="auto"/>
      </w:divBdr>
    </w:div>
    <w:div w:id="624628983">
      <w:bodyDiv w:val="1"/>
      <w:marLeft w:val="0"/>
      <w:marRight w:val="0"/>
      <w:marTop w:val="0"/>
      <w:marBottom w:val="0"/>
      <w:divBdr>
        <w:top w:val="none" w:sz="0" w:space="0" w:color="auto"/>
        <w:left w:val="none" w:sz="0" w:space="0" w:color="auto"/>
        <w:bottom w:val="none" w:sz="0" w:space="0" w:color="auto"/>
        <w:right w:val="none" w:sz="0" w:space="0" w:color="auto"/>
      </w:divBdr>
    </w:div>
    <w:div w:id="625089262">
      <w:bodyDiv w:val="1"/>
      <w:marLeft w:val="0"/>
      <w:marRight w:val="0"/>
      <w:marTop w:val="0"/>
      <w:marBottom w:val="0"/>
      <w:divBdr>
        <w:top w:val="none" w:sz="0" w:space="0" w:color="auto"/>
        <w:left w:val="none" w:sz="0" w:space="0" w:color="auto"/>
        <w:bottom w:val="none" w:sz="0" w:space="0" w:color="auto"/>
        <w:right w:val="none" w:sz="0" w:space="0" w:color="auto"/>
      </w:divBdr>
    </w:div>
    <w:div w:id="636840528">
      <w:bodyDiv w:val="1"/>
      <w:marLeft w:val="0"/>
      <w:marRight w:val="0"/>
      <w:marTop w:val="0"/>
      <w:marBottom w:val="0"/>
      <w:divBdr>
        <w:top w:val="none" w:sz="0" w:space="0" w:color="auto"/>
        <w:left w:val="none" w:sz="0" w:space="0" w:color="auto"/>
        <w:bottom w:val="none" w:sz="0" w:space="0" w:color="auto"/>
        <w:right w:val="none" w:sz="0" w:space="0" w:color="auto"/>
      </w:divBdr>
    </w:div>
    <w:div w:id="644435955">
      <w:bodyDiv w:val="1"/>
      <w:marLeft w:val="0"/>
      <w:marRight w:val="0"/>
      <w:marTop w:val="0"/>
      <w:marBottom w:val="0"/>
      <w:divBdr>
        <w:top w:val="none" w:sz="0" w:space="0" w:color="auto"/>
        <w:left w:val="none" w:sz="0" w:space="0" w:color="auto"/>
        <w:bottom w:val="none" w:sz="0" w:space="0" w:color="auto"/>
        <w:right w:val="none" w:sz="0" w:space="0" w:color="auto"/>
      </w:divBdr>
    </w:div>
    <w:div w:id="649139019">
      <w:bodyDiv w:val="1"/>
      <w:marLeft w:val="0"/>
      <w:marRight w:val="0"/>
      <w:marTop w:val="0"/>
      <w:marBottom w:val="0"/>
      <w:divBdr>
        <w:top w:val="none" w:sz="0" w:space="0" w:color="auto"/>
        <w:left w:val="none" w:sz="0" w:space="0" w:color="auto"/>
        <w:bottom w:val="none" w:sz="0" w:space="0" w:color="auto"/>
        <w:right w:val="none" w:sz="0" w:space="0" w:color="auto"/>
      </w:divBdr>
    </w:div>
    <w:div w:id="649595584">
      <w:bodyDiv w:val="1"/>
      <w:marLeft w:val="0"/>
      <w:marRight w:val="0"/>
      <w:marTop w:val="0"/>
      <w:marBottom w:val="0"/>
      <w:divBdr>
        <w:top w:val="none" w:sz="0" w:space="0" w:color="auto"/>
        <w:left w:val="none" w:sz="0" w:space="0" w:color="auto"/>
        <w:bottom w:val="none" w:sz="0" w:space="0" w:color="auto"/>
        <w:right w:val="none" w:sz="0" w:space="0" w:color="auto"/>
      </w:divBdr>
    </w:div>
    <w:div w:id="682316208">
      <w:bodyDiv w:val="1"/>
      <w:marLeft w:val="0"/>
      <w:marRight w:val="0"/>
      <w:marTop w:val="0"/>
      <w:marBottom w:val="0"/>
      <w:divBdr>
        <w:top w:val="none" w:sz="0" w:space="0" w:color="auto"/>
        <w:left w:val="none" w:sz="0" w:space="0" w:color="auto"/>
        <w:bottom w:val="none" w:sz="0" w:space="0" w:color="auto"/>
        <w:right w:val="none" w:sz="0" w:space="0" w:color="auto"/>
      </w:divBdr>
      <w:divsChild>
        <w:div w:id="928392826">
          <w:marLeft w:val="547"/>
          <w:marRight w:val="0"/>
          <w:marTop w:val="0"/>
          <w:marBottom w:val="0"/>
          <w:divBdr>
            <w:top w:val="none" w:sz="0" w:space="0" w:color="auto"/>
            <w:left w:val="none" w:sz="0" w:space="0" w:color="auto"/>
            <w:bottom w:val="none" w:sz="0" w:space="0" w:color="auto"/>
            <w:right w:val="none" w:sz="0" w:space="0" w:color="auto"/>
          </w:divBdr>
        </w:div>
        <w:div w:id="1640259472">
          <w:marLeft w:val="547"/>
          <w:marRight w:val="0"/>
          <w:marTop w:val="0"/>
          <w:marBottom w:val="0"/>
          <w:divBdr>
            <w:top w:val="none" w:sz="0" w:space="0" w:color="auto"/>
            <w:left w:val="none" w:sz="0" w:space="0" w:color="auto"/>
            <w:bottom w:val="none" w:sz="0" w:space="0" w:color="auto"/>
            <w:right w:val="none" w:sz="0" w:space="0" w:color="auto"/>
          </w:divBdr>
        </w:div>
        <w:div w:id="1698891950">
          <w:marLeft w:val="547"/>
          <w:marRight w:val="0"/>
          <w:marTop w:val="0"/>
          <w:marBottom w:val="0"/>
          <w:divBdr>
            <w:top w:val="none" w:sz="0" w:space="0" w:color="auto"/>
            <w:left w:val="none" w:sz="0" w:space="0" w:color="auto"/>
            <w:bottom w:val="none" w:sz="0" w:space="0" w:color="auto"/>
            <w:right w:val="none" w:sz="0" w:space="0" w:color="auto"/>
          </w:divBdr>
        </w:div>
      </w:divsChild>
    </w:div>
    <w:div w:id="682439527">
      <w:bodyDiv w:val="1"/>
      <w:marLeft w:val="0"/>
      <w:marRight w:val="0"/>
      <w:marTop w:val="0"/>
      <w:marBottom w:val="0"/>
      <w:divBdr>
        <w:top w:val="none" w:sz="0" w:space="0" w:color="auto"/>
        <w:left w:val="none" w:sz="0" w:space="0" w:color="auto"/>
        <w:bottom w:val="none" w:sz="0" w:space="0" w:color="auto"/>
        <w:right w:val="none" w:sz="0" w:space="0" w:color="auto"/>
      </w:divBdr>
    </w:div>
    <w:div w:id="684551280">
      <w:bodyDiv w:val="1"/>
      <w:marLeft w:val="0"/>
      <w:marRight w:val="0"/>
      <w:marTop w:val="0"/>
      <w:marBottom w:val="0"/>
      <w:divBdr>
        <w:top w:val="none" w:sz="0" w:space="0" w:color="auto"/>
        <w:left w:val="none" w:sz="0" w:space="0" w:color="auto"/>
        <w:bottom w:val="none" w:sz="0" w:space="0" w:color="auto"/>
        <w:right w:val="none" w:sz="0" w:space="0" w:color="auto"/>
      </w:divBdr>
      <w:divsChild>
        <w:div w:id="1372800019">
          <w:marLeft w:val="547"/>
          <w:marRight w:val="0"/>
          <w:marTop w:val="0"/>
          <w:marBottom w:val="0"/>
          <w:divBdr>
            <w:top w:val="none" w:sz="0" w:space="0" w:color="auto"/>
            <w:left w:val="none" w:sz="0" w:space="0" w:color="auto"/>
            <w:bottom w:val="none" w:sz="0" w:space="0" w:color="auto"/>
            <w:right w:val="none" w:sz="0" w:space="0" w:color="auto"/>
          </w:divBdr>
        </w:div>
      </w:divsChild>
    </w:div>
    <w:div w:id="695077052">
      <w:bodyDiv w:val="1"/>
      <w:marLeft w:val="0"/>
      <w:marRight w:val="0"/>
      <w:marTop w:val="0"/>
      <w:marBottom w:val="0"/>
      <w:divBdr>
        <w:top w:val="none" w:sz="0" w:space="0" w:color="auto"/>
        <w:left w:val="none" w:sz="0" w:space="0" w:color="auto"/>
        <w:bottom w:val="none" w:sz="0" w:space="0" w:color="auto"/>
        <w:right w:val="none" w:sz="0" w:space="0" w:color="auto"/>
      </w:divBdr>
    </w:div>
    <w:div w:id="734469586">
      <w:bodyDiv w:val="1"/>
      <w:marLeft w:val="0"/>
      <w:marRight w:val="0"/>
      <w:marTop w:val="0"/>
      <w:marBottom w:val="0"/>
      <w:divBdr>
        <w:top w:val="none" w:sz="0" w:space="0" w:color="auto"/>
        <w:left w:val="none" w:sz="0" w:space="0" w:color="auto"/>
        <w:bottom w:val="none" w:sz="0" w:space="0" w:color="auto"/>
        <w:right w:val="none" w:sz="0" w:space="0" w:color="auto"/>
      </w:divBdr>
    </w:div>
    <w:div w:id="746727707">
      <w:bodyDiv w:val="1"/>
      <w:marLeft w:val="0"/>
      <w:marRight w:val="0"/>
      <w:marTop w:val="0"/>
      <w:marBottom w:val="0"/>
      <w:divBdr>
        <w:top w:val="none" w:sz="0" w:space="0" w:color="auto"/>
        <w:left w:val="none" w:sz="0" w:space="0" w:color="auto"/>
        <w:bottom w:val="none" w:sz="0" w:space="0" w:color="auto"/>
        <w:right w:val="none" w:sz="0" w:space="0" w:color="auto"/>
      </w:divBdr>
      <w:divsChild>
        <w:div w:id="244269886">
          <w:marLeft w:val="547"/>
          <w:marRight w:val="0"/>
          <w:marTop w:val="0"/>
          <w:marBottom w:val="0"/>
          <w:divBdr>
            <w:top w:val="none" w:sz="0" w:space="0" w:color="auto"/>
            <w:left w:val="none" w:sz="0" w:space="0" w:color="auto"/>
            <w:bottom w:val="none" w:sz="0" w:space="0" w:color="auto"/>
            <w:right w:val="none" w:sz="0" w:space="0" w:color="auto"/>
          </w:divBdr>
        </w:div>
        <w:div w:id="1418211206">
          <w:marLeft w:val="547"/>
          <w:marRight w:val="0"/>
          <w:marTop w:val="0"/>
          <w:marBottom w:val="0"/>
          <w:divBdr>
            <w:top w:val="none" w:sz="0" w:space="0" w:color="auto"/>
            <w:left w:val="none" w:sz="0" w:space="0" w:color="auto"/>
            <w:bottom w:val="none" w:sz="0" w:space="0" w:color="auto"/>
            <w:right w:val="none" w:sz="0" w:space="0" w:color="auto"/>
          </w:divBdr>
        </w:div>
      </w:divsChild>
    </w:div>
    <w:div w:id="748818335">
      <w:bodyDiv w:val="1"/>
      <w:marLeft w:val="0"/>
      <w:marRight w:val="0"/>
      <w:marTop w:val="0"/>
      <w:marBottom w:val="0"/>
      <w:divBdr>
        <w:top w:val="none" w:sz="0" w:space="0" w:color="auto"/>
        <w:left w:val="none" w:sz="0" w:space="0" w:color="auto"/>
        <w:bottom w:val="none" w:sz="0" w:space="0" w:color="auto"/>
        <w:right w:val="none" w:sz="0" w:space="0" w:color="auto"/>
      </w:divBdr>
    </w:div>
    <w:div w:id="749233624">
      <w:bodyDiv w:val="1"/>
      <w:marLeft w:val="0"/>
      <w:marRight w:val="0"/>
      <w:marTop w:val="0"/>
      <w:marBottom w:val="0"/>
      <w:divBdr>
        <w:top w:val="none" w:sz="0" w:space="0" w:color="auto"/>
        <w:left w:val="none" w:sz="0" w:space="0" w:color="auto"/>
        <w:bottom w:val="none" w:sz="0" w:space="0" w:color="auto"/>
        <w:right w:val="none" w:sz="0" w:space="0" w:color="auto"/>
      </w:divBdr>
    </w:div>
    <w:div w:id="756941872">
      <w:bodyDiv w:val="1"/>
      <w:marLeft w:val="0"/>
      <w:marRight w:val="0"/>
      <w:marTop w:val="0"/>
      <w:marBottom w:val="0"/>
      <w:divBdr>
        <w:top w:val="none" w:sz="0" w:space="0" w:color="auto"/>
        <w:left w:val="none" w:sz="0" w:space="0" w:color="auto"/>
        <w:bottom w:val="none" w:sz="0" w:space="0" w:color="auto"/>
        <w:right w:val="none" w:sz="0" w:space="0" w:color="auto"/>
      </w:divBdr>
    </w:div>
    <w:div w:id="771898576">
      <w:bodyDiv w:val="1"/>
      <w:marLeft w:val="0"/>
      <w:marRight w:val="0"/>
      <w:marTop w:val="0"/>
      <w:marBottom w:val="0"/>
      <w:divBdr>
        <w:top w:val="none" w:sz="0" w:space="0" w:color="auto"/>
        <w:left w:val="none" w:sz="0" w:space="0" w:color="auto"/>
        <w:bottom w:val="none" w:sz="0" w:space="0" w:color="auto"/>
        <w:right w:val="none" w:sz="0" w:space="0" w:color="auto"/>
      </w:divBdr>
    </w:div>
    <w:div w:id="776098649">
      <w:bodyDiv w:val="1"/>
      <w:marLeft w:val="0"/>
      <w:marRight w:val="0"/>
      <w:marTop w:val="0"/>
      <w:marBottom w:val="0"/>
      <w:divBdr>
        <w:top w:val="none" w:sz="0" w:space="0" w:color="auto"/>
        <w:left w:val="none" w:sz="0" w:space="0" w:color="auto"/>
        <w:bottom w:val="none" w:sz="0" w:space="0" w:color="auto"/>
        <w:right w:val="none" w:sz="0" w:space="0" w:color="auto"/>
      </w:divBdr>
    </w:div>
    <w:div w:id="786699339">
      <w:bodyDiv w:val="1"/>
      <w:marLeft w:val="0"/>
      <w:marRight w:val="0"/>
      <w:marTop w:val="0"/>
      <w:marBottom w:val="0"/>
      <w:divBdr>
        <w:top w:val="none" w:sz="0" w:space="0" w:color="auto"/>
        <w:left w:val="none" w:sz="0" w:space="0" w:color="auto"/>
        <w:bottom w:val="none" w:sz="0" w:space="0" w:color="auto"/>
        <w:right w:val="none" w:sz="0" w:space="0" w:color="auto"/>
      </w:divBdr>
    </w:div>
    <w:div w:id="786854477">
      <w:bodyDiv w:val="1"/>
      <w:marLeft w:val="0"/>
      <w:marRight w:val="0"/>
      <w:marTop w:val="0"/>
      <w:marBottom w:val="0"/>
      <w:divBdr>
        <w:top w:val="none" w:sz="0" w:space="0" w:color="auto"/>
        <w:left w:val="none" w:sz="0" w:space="0" w:color="auto"/>
        <w:bottom w:val="none" w:sz="0" w:space="0" w:color="auto"/>
        <w:right w:val="none" w:sz="0" w:space="0" w:color="auto"/>
      </w:divBdr>
    </w:div>
    <w:div w:id="806431677">
      <w:bodyDiv w:val="1"/>
      <w:marLeft w:val="0"/>
      <w:marRight w:val="0"/>
      <w:marTop w:val="0"/>
      <w:marBottom w:val="0"/>
      <w:divBdr>
        <w:top w:val="none" w:sz="0" w:space="0" w:color="auto"/>
        <w:left w:val="none" w:sz="0" w:space="0" w:color="auto"/>
        <w:bottom w:val="none" w:sz="0" w:space="0" w:color="auto"/>
        <w:right w:val="none" w:sz="0" w:space="0" w:color="auto"/>
      </w:divBdr>
    </w:div>
    <w:div w:id="806818376">
      <w:bodyDiv w:val="1"/>
      <w:marLeft w:val="0"/>
      <w:marRight w:val="0"/>
      <w:marTop w:val="0"/>
      <w:marBottom w:val="0"/>
      <w:divBdr>
        <w:top w:val="none" w:sz="0" w:space="0" w:color="auto"/>
        <w:left w:val="none" w:sz="0" w:space="0" w:color="auto"/>
        <w:bottom w:val="none" w:sz="0" w:space="0" w:color="auto"/>
        <w:right w:val="none" w:sz="0" w:space="0" w:color="auto"/>
      </w:divBdr>
      <w:divsChild>
        <w:div w:id="912818136">
          <w:marLeft w:val="547"/>
          <w:marRight w:val="0"/>
          <w:marTop w:val="0"/>
          <w:marBottom w:val="0"/>
          <w:divBdr>
            <w:top w:val="none" w:sz="0" w:space="0" w:color="auto"/>
            <w:left w:val="none" w:sz="0" w:space="0" w:color="auto"/>
            <w:bottom w:val="none" w:sz="0" w:space="0" w:color="auto"/>
            <w:right w:val="none" w:sz="0" w:space="0" w:color="auto"/>
          </w:divBdr>
        </w:div>
      </w:divsChild>
    </w:div>
    <w:div w:id="813185723">
      <w:bodyDiv w:val="1"/>
      <w:marLeft w:val="0"/>
      <w:marRight w:val="0"/>
      <w:marTop w:val="0"/>
      <w:marBottom w:val="0"/>
      <w:divBdr>
        <w:top w:val="none" w:sz="0" w:space="0" w:color="auto"/>
        <w:left w:val="none" w:sz="0" w:space="0" w:color="auto"/>
        <w:bottom w:val="none" w:sz="0" w:space="0" w:color="auto"/>
        <w:right w:val="none" w:sz="0" w:space="0" w:color="auto"/>
      </w:divBdr>
      <w:divsChild>
        <w:div w:id="26175249">
          <w:marLeft w:val="418"/>
          <w:marRight w:val="0"/>
          <w:marTop w:val="120"/>
          <w:marBottom w:val="0"/>
          <w:divBdr>
            <w:top w:val="none" w:sz="0" w:space="0" w:color="auto"/>
            <w:left w:val="none" w:sz="0" w:space="0" w:color="auto"/>
            <w:bottom w:val="none" w:sz="0" w:space="0" w:color="auto"/>
            <w:right w:val="none" w:sz="0" w:space="0" w:color="auto"/>
          </w:divBdr>
        </w:div>
        <w:div w:id="148720105">
          <w:marLeft w:val="418"/>
          <w:marRight w:val="0"/>
          <w:marTop w:val="120"/>
          <w:marBottom w:val="0"/>
          <w:divBdr>
            <w:top w:val="none" w:sz="0" w:space="0" w:color="auto"/>
            <w:left w:val="none" w:sz="0" w:space="0" w:color="auto"/>
            <w:bottom w:val="none" w:sz="0" w:space="0" w:color="auto"/>
            <w:right w:val="none" w:sz="0" w:space="0" w:color="auto"/>
          </w:divBdr>
        </w:div>
        <w:div w:id="318121873">
          <w:marLeft w:val="418"/>
          <w:marRight w:val="0"/>
          <w:marTop w:val="120"/>
          <w:marBottom w:val="0"/>
          <w:divBdr>
            <w:top w:val="none" w:sz="0" w:space="0" w:color="auto"/>
            <w:left w:val="none" w:sz="0" w:space="0" w:color="auto"/>
            <w:bottom w:val="none" w:sz="0" w:space="0" w:color="auto"/>
            <w:right w:val="none" w:sz="0" w:space="0" w:color="auto"/>
          </w:divBdr>
        </w:div>
        <w:div w:id="360319738">
          <w:marLeft w:val="418"/>
          <w:marRight w:val="0"/>
          <w:marTop w:val="120"/>
          <w:marBottom w:val="0"/>
          <w:divBdr>
            <w:top w:val="none" w:sz="0" w:space="0" w:color="auto"/>
            <w:left w:val="none" w:sz="0" w:space="0" w:color="auto"/>
            <w:bottom w:val="none" w:sz="0" w:space="0" w:color="auto"/>
            <w:right w:val="none" w:sz="0" w:space="0" w:color="auto"/>
          </w:divBdr>
        </w:div>
        <w:div w:id="1213033743">
          <w:marLeft w:val="418"/>
          <w:marRight w:val="0"/>
          <w:marTop w:val="120"/>
          <w:marBottom w:val="0"/>
          <w:divBdr>
            <w:top w:val="none" w:sz="0" w:space="0" w:color="auto"/>
            <w:left w:val="none" w:sz="0" w:space="0" w:color="auto"/>
            <w:bottom w:val="none" w:sz="0" w:space="0" w:color="auto"/>
            <w:right w:val="none" w:sz="0" w:space="0" w:color="auto"/>
          </w:divBdr>
        </w:div>
        <w:div w:id="1448113902">
          <w:marLeft w:val="418"/>
          <w:marRight w:val="0"/>
          <w:marTop w:val="120"/>
          <w:marBottom w:val="0"/>
          <w:divBdr>
            <w:top w:val="none" w:sz="0" w:space="0" w:color="auto"/>
            <w:left w:val="none" w:sz="0" w:space="0" w:color="auto"/>
            <w:bottom w:val="none" w:sz="0" w:space="0" w:color="auto"/>
            <w:right w:val="none" w:sz="0" w:space="0" w:color="auto"/>
          </w:divBdr>
        </w:div>
        <w:div w:id="1465006293">
          <w:marLeft w:val="418"/>
          <w:marRight w:val="0"/>
          <w:marTop w:val="120"/>
          <w:marBottom w:val="0"/>
          <w:divBdr>
            <w:top w:val="none" w:sz="0" w:space="0" w:color="auto"/>
            <w:left w:val="none" w:sz="0" w:space="0" w:color="auto"/>
            <w:bottom w:val="none" w:sz="0" w:space="0" w:color="auto"/>
            <w:right w:val="none" w:sz="0" w:space="0" w:color="auto"/>
          </w:divBdr>
        </w:div>
      </w:divsChild>
    </w:div>
    <w:div w:id="852689842">
      <w:bodyDiv w:val="1"/>
      <w:marLeft w:val="0"/>
      <w:marRight w:val="0"/>
      <w:marTop w:val="0"/>
      <w:marBottom w:val="0"/>
      <w:divBdr>
        <w:top w:val="none" w:sz="0" w:space="0" w:color="auto"/>
        <w:left w:val="none" w:sz="0" w:space="0" w:color="auto"/>
        <w:bottom w:val="none" w:sz="0" w:space="0" w:color="auto"/>
        <w:right w:val="none" w:sz="0" w:space="0" w:color="auto"/>
      </w:divBdr>
      <w:divsChild>
        <w:div w:id="681664860">
          <w:marLeft w:val="547"/>
          <w:marRight w:val="0"/>
          <w:marTop w:val="0"/>
          <w:marBottom w:val="0"/>
          <w:divBdr>
            <w:top w:val="none" w:sz="0" w:space="0" w:color="auto"/>
            <w:left w:val="none" w:sz="0" w:space="0" w:color="auto"/>
            <w:bottom w:val="none" w:sz="0" w:space="0" w:color="auto"/>
            <w:right w:val="none" w:sz="0" w:space="0" w:color="auto"/>
          </w:divBdr>
        </w:div>
      </w:divsChild>
    </w:div>
    <w:div w:id="853542019">
      <w:bodyDiv w:val="1"/>
      <w:marLeft w:val="0"/>
      <w:marRight w:val="0"/>
      <w:marTop w:val="0"/>
      <w:marBottom w:val="0"/>
      <w:divBdr>
        <w:top w:val="none" w:sz="0" w:space="0" w:color="auto"/>
        <w:left w:val="none" w:sz="0" w:space="0" w:color="auto"/>
        <w:bottom w:val="none" w:sz="0" w:space="0" w:color="auto"/>
        <w:right w:val="none" w:sz="0" w:space="0" w:color="auto"/>
      </w:divBdr>
    </w:div>
    <w:div w:id="862716612">
      <w:bodyDiv w:val="1"/>
      <w:marLeft w:val="0"/>
      <w:marRight w:val="0"/>
      <w:marTop w:val="0"/>
      <w:marBottom w:val="0"/>
      <w:divBdr>
        <w:top w:val="none" w:sz="0" w:space="0" w:color="auto"/>
        <w:left w:val="none" w:sz="0" w:space="0" w:color="auto"/>
        <w:bottom w:val="none" w:sz="0" w:space="0" w:color="auto"/>
        <w:right w:val="none" w:sz="0" w:space="0" w:color="auto"/>
      </w:divBdr>
    </w:div>
    <w:div w:id="882402919">
      <w:bodyDiv w:val="1"/>
      <w:marLeft w:val="0"/>
      <w:marRight w:val="0"/>
      <w:marTop w:val="0"/>
      <w:marBottom w:val="0"/>
      <w:divBdr>
        <w:top w:val="none" w:sz="0" w:space="0" w:color="auto"/>
        <w:left w:val="none" w:sz="0" w:space="0" w:color="auto"/>
        <w:bottom w:val="none" w:sz="0" w:space="0" w:color="auto"/>
        <w:right w:val="none" w:sz="0" w:space="0" w:color="auto"/>
      </w:divBdr>
    </w:div>
    <w:div w:id="885916916">
      <w:bodyDiv w:val="1"/>
      <w:marLeft w:val="0"/>
      <w:marRight w:val="0"/>
      <w:marTop w:val="0"/>
      <w:marBottom w:val="0"/>
      <w:divBdr>
        <w:top w:val="none" w:sz="0" w:space="0" w:color="auto"/>
        <w:left w:val="none" w:sz="0" w:space="0" w:color="auto"/>
        <w:bottom w:val="none" w:sz="0" w:space="0" w:color="auto"/>
        <w:right w:val="none" w:sz="0" w:space="0" w:color="auto"/>
      </w:divBdr>
      <w:divsChild>
        <w:div w:id="573398995">
          <w:marLeft w:val="547"/>
          <w:marRight w:val="0"/>
          <w:marTop w:val="0"/>
          <w:marBottom w:val="0"/>
          <w:divBdr>
            <w:top w:val="none" w:sz="0" w:space="0" w:color="auto"/>
            <w:left w:val="none" w:sz="0" w:space="0" w:color="auto"/>
            <w:bottom w:val="none" w:sz="0" w:space="0" w:color="auto"/>
            <w:right w:val="none" w:sz="0" w:space="0" w:color="auto"/>
          </w:divBdr>
        </w:div>
      </w:divsChild>
    </w:div>
    <w:div w:id="898786189">
      <w:bodyDiv w:val="1"/>
      <w:marLeft w:val="0"/>
      <w:marRight w:val="0"/>
      <w:marTop w:val="0"/>
      <w:marBottom w:val="0"/>
      <w:divBdr>
        <w:top w:val="none" w:sz="0" w:space="0" w:color="auto"/>
        <w:left w:val="none" w:sz="0" w:space="0" w:color="auto"/>
        <w:bottom w:val="none" w:sz="0" w:space="0" w:color="auto"/>
        <w:right w:val="none" w:sz="0" w:space="0" w:color="auto"/>
      </w:divBdr>
    </w:div>
    <w:div w:id="903763537">
      <w:bodyDiv w:val="1"/>
      <w:marLeft w:val="0"/>
      <w:marRight w:val="0"/>
      <w:marTop w:val="0"/>
      <w:marBottom w:val="0"/>
      <w:divBdr>
        <w:top w:val="none" w:sz="0" w:space="0" w:color="auto"/>
        <w:left w:val="none" w:sz="0" w:space="0" w:color="auto"/>
        <w:bottom w:val="none" w:sz="0" w:space="0" w:color="auto"/>
        <w:right w:val="none" w:sz="0" w:space="0" w:color="auto"/>
      </w:divBdr>
    </w:div>
    <w:div w:id="950936327">
      <w:bodyDiv w:val="1"/>
      <w:marLeft w:val="0"/>
      <w:marRight w:val="0"/>
      <w:marTop w:val="0"/>
      <w:marBottom w:val="0"/>
      <w:divBdr>
        <w:top w:val="none" w:sz="0" w:space="0" w:color="auto"/>
        <w:left w:val="none" w:sz="0" w:space="0" w:color="auto"/>
        <w:bottom w:val="none" w:sz="0" w:space="0" w:color="auto"/>
        <w:right w:val="none" w:sz="0" w:space="0" w:color="auto"/>
      </w:divBdr>
    </w:div>
    <w:div w:id="958878885">
      <w:bodyDiv w:val="1"/>
      <w:marLeft w:val="0"/>
      <w:marRight w:val="0"/>
      <w:marTop w:val="0"/>
      <w:marBottom w:val="0"/>
      <w:divBdr>
        <w:top w:val="none" w:sz="0" w:space="0" w:color="auto"/>
        <w:left w:val="none" w:sz="0" w:space="0" w:color="auto"/>
        <w:bottom w:val="none" w:sz="0" w:space="0" w:color="auto"/>
        <w:right w:val="none" w:sz="0" w:space="0" w:color="auto"/>
      </w:divBdr>
    </w:div>
    <w:div w:id="962268398">
      <w:bodyDiv w:val="1"/>
      <w:marLeft w:val="0"/>
      <w:marRight w:val="0"/>
      <w:marTop w:val="0"/>
      <w:marBottom w:val="0"/>
      <w:divBdr>
        <w:top w:val="none" w:sz="0" w:space="0" w:color="auto"/>
        <w:left w:val="none" w:sz="0" w:space="0" w:color="auto"/>
        <w:bottom w:val="none" w:sz="0" w:space="0" w:color="auto"/>
        <w:right w:val="none" w:sz="0" w:space="0" w:color="auto"/>
      </w:divBdr>
    </w:div>
    <w:div w:id="964964873">
      <w:bodyDiv w:val="1"/>
      <w:marLeft w:val="0"/>
      <w:marRight w:val="0"/>
      <w:marTop w:val="0"/>
      <w:marBottom w:val="0"/>
      <w:divBdr>
        <w:top w:val="none" w:sz="0" w:space="0" w:color="auto"/>
        <w:left w:val="none" w:sz="0" w:space="0" w:color="auto"/>
        <w:bottom w:val="none" w:sz="0" w:space="0" w:color="auto"/>
        <w:right w:val="none" w:sz="0" w:space="0" w:color="auto"/>
      </w:divBdr>
      <w:divsChild>
        <w:div w:id="34477270">
          <w:marLeft w:val="547"/>
          <w:marRight w:val="0"/>
          <w:marTop w:val="0"/>
          <w:marBottom w:val="0"/>
          <w:divBdr>
            <w:top w:val="none" w:sz="0" w:space="0" w:color="auto"/>
            <w:left w:val="none" w:sz="0" w:space="0" w:color="auto"/>
            <w:bottom w:val="none" w:sz="0" w:space="0" w:color="auto"/>
            <w:right w:val="none" w:sz="0" w:space="0" w:color="auto"/>
          </w:divBdr>
        </w:div>
        <w:div w:id="1186822044">
          <w:marLeft w:val="547"/>
          <w:marRight w:val="0"/>
          <w:marTop w:val="0"/>
          <w:marBottom w:val="0"/>
          <w:divBdr>
            <w:top w:val="none" w:sz="0" w:space="0" w:color="auto"/>
            <w:left w:val="none" w:sz="0" w:space="0" w:color="auto"/>
            <w:bottom w:val="none" w:sz="0" w:space="0" w:color="auto"/>
            <w:right w:val="none" w:sz="0" w:space="0" w:color="auto"/>
          </w:divBdr>
        </w:div>
        <w:div w:id="1823622364">
          <w:marLeft w:val="547"/>
          <w:marRight w:val="0"/>
          <w:marTop w:val="0"/>
          <w:marBottom w:val="0"/>
          <w:divBdr>
            <w:top w:val="none" w:sz="0" w:space="0" w:color="auto"/>
            <w:left w:val="none" w:sz="0" w:space="0" w:color="auto"/>
            <w:bottom w:val="none" w:sz="0" w:space="0" w:color="auto"/>
            <w:right w:val="none" w:sz="0" w:space="0" w:color="auto"/>
          </w:divBdr>
        </w:div>
      </w:divsChild>
    </w:div>
    <w:div w:id="966858220">
      <w:bodyDiv w:val="1"/>
      <w:marLeft w:val="0"/>
      <w:marRight w:val="0"/>
      <w:marTop w:val="0"/>
      <w:marBottom w:val="0"/>
      <w:divBdr>
        <w:top w:val="none" w:sz="0" w:space="0" w:color="auto"/>
        <w:left w:val="none" w:sz="0" w:space="0" w:color="auto"/>
        <w:bottom w:val="none" w:sz="0" w:space="0" w:color="auto"/>
        <w:right w:val="none" w:sz="0" w:space="0" w:color="auto"/>
      </w:divBdr>
    </w:div>
    <w:div w:id="978732292">
      <w:bodyDiv w:val="1"/>
      <w:marLeft w:val="0"/>
      <w:marRight w:val="0"/>
      <w:marTop w:val="0"/>
      <w:marBottom w:val="0"/>
      <w:divBdr>
        <w:top w:val="none" w:sz="0" w:space="0" w:color="auto"/>
        <w:left w:val="none" w:sz="0" w:space="0" w:color="auto"/>
        <w:bottom w:val="none" w:sz="0" w:space="0" w:color="auto"/>
        <w:right w:val="none" w:sz="0" w:space="0" w:color="auto"/>
      </w:divBdr>
    </w:div>
    <w:div w:id="1063220091">
      <w:bodyDiv w:val="1"/>
      <w:marLeft w:val="0"/>
      <w:marRight w:val="0"/>
      <w:marTop w:val="0"/>
      <w:marBottom w:val="0"/>
      <w:divBdr>
        <w:top w:val="none" w:sz="0" w:space="0" w:color="auto"/>
        <w:left w:val="none" w:sz="0" w:space="0" w:color="auto"/>
        <w:bottom w:val="none" w:sz="0" w:space="0" w:color="auto"/>
        <w:right w:val="none" w:sz="0" w:space="0" w:color="auto"/>
      </w:divBdr>
    </w:div>
    <w:div w:id="1066953525">
      <w:bodyDiv w:val="1"/>
      <w:marLeft w:val="0"/>
      <w:marRight w:val="0"/>
      <w:marTop w:val="0"/>
      <w:marBottom w:val="0"/>
      <w:divBdr>
        <w:top w:val="none" w:sz="0" w:space="0" w:color="auto"/>
        <w:left w:val="none" w:sz="0" w:space="0" w:color="auto"/>
        <w:bottom w:val="none" w:sz="0" w:space="0" w:color="auto"/>
        <w:right w:val="none" w:sz="0" w:space="0" w:color="auto"/>
      </w:divBdr>
    </w:div>
    <w:div w:id="1081022372">
      <w:bodyDiv w:val="1"/>
      <w:marLeft w:val="0"/>
      <w:marRight w:val="0"/>
      <w:marTop w:val="0"/>
      <w:marBottom w:val="0"/>
      <w:divBdr>
        <w:top w:val="none" w:sz="0" w:space="0" w:color="auto"/>
        <w:left w:val="none" w:sz="0" w:space="0" w:color="auto"/>
        <w:bottom w:val="none" w:sz="0" w:space="0" w:color="auto"/>
        <w:right w:val="none" w:sz="0" w:space="0" w:color="auto"/>
      </w:divBdr>
    </w:div>
    <w:div w:id="1083643746">
      <w:bodyDiv w:val="1"/>
      <w:marLeft w:val="0"/>
      <w:marRight w:val="0"/>
      <w:marTop w:val="0"/>
      <w:marBottom w:val="0"/>
      <w:divBdr>
        <w:top w:val="none" w:sz="0" w:space="0" w:color="auto"/>
        <w:left w:val="none" w:sz="0" w:space="0" w:color="auto"/>
        <w:bottom w:val="none" w:sz="0" w:space="0" w:color="auto"/>
        <w:right w:val="none" w:sz="0" w:space="0" w:color="auto"/>
      </w:divBdr>
    </w:div>
    <w:div w:id="1088620895">
      <w:bodyDiv w:val="1"/>
      <w:marLeft w:val="0"/>
      <w:marRight w:val="0"/>
      <w:marTop w:val="0"/>
      <w:marBottom w:val="0"/>
      <w:divBdr>
        <w:top w:val="none" w:sz="0" w:space="0" w:color="auto"/>
        <w:left w:val="none" w:sz="0" w:space="0" w:color="auto"/>
        <w:bottom w:val="none" w:sz="0" w:space="0" w:color="auto"/>
        <w:right w:val="none" w:sz="0" w:space="0" w:color="auto"/>
      </w:divBdr>
      <w:divsChild>
        <w:div w:id="225343161">
          <w:marLeft w:val="547"/>
          <w:marRight w:val="0"/>
          <w:marTop w:val="0"/>
          <w:marBottom w:val="0"/>
          <w:divBdr>
            <w:top w:val="none" w:sz="0" w:space="0" w:color="auto"/>
            <w:left w:val="none" w:sz="0" w:space="0" w:color="auto"/>
            <w:bottom w:val="none" w:sz="0" w:space="0" w:color="auto"/>
            <w:right w:val="none" w:sz="0" w:space="0" w:color="auto"/>
          </w:divBdr>
        </w:div>
        <w:div w:id="227225527">
          <w:marLeft w:val="547"/>
          <w:marRight w:val="0"/>
          <w:marTop w:val="0"/>
          <w:marBottom w:val="0"/>
          <w:divBdr>
            <w:top w:val="none" w:sz="0" w:space="0" w:color="auto"/>
            <w:left w:val="none" w:sz="0" w:space="0" w:color="auto"/>
            <w:bottom w:val="none" w:sz="0" w:space="0" w:color="auto"/>
            <w:right w:val="none" w:sz="0" w:space="0" w:color="auto"/>
          </w:divBdr>
        </w:div>
        <w:div w:id="1886209065">
          <w:marLeft w:val="547"/>
          <w:marRight w:val="0"/>
          <w:marTop w:val="0"/>
          <w:marBottom w:val="0"/>
          <w:divBdr>
            <w:top w:val="none" w:sz="0" w:space="0" w:color="auto"/>
            <w:left w:val="none" w:sz="0" w:space="0" w:color="auto"/>
            <w:bottom w:val="none" w:sz="0" w:space="0" w:color="auto"/>
            <w:right w:val="none" w:sz="0" w:space="0" w:color="auto"/>
          </w:divBdr>
        </w:div>
      </w:divsChild>
    </w:div>
    <w:div w:id="1090588842">
      <w:bodyDiv w:val="1"/>
      <w:marLeft w:val="0"/>
      <w:marRight w:val="0"/>
      <w:marTop w:val="0"/>
      <w:marBottom w:val="0"/>
      <w:divBdr>
        <w:top w:val="none" w:sz="0" w:space="0" w:color="auto"/>
        <w:left w:val="none" w:sz="0" w:space="0" w:color="auto"/>
        <w:bottom w:val="none" w:sz="0" w:space="0" w:color="auto"/>
        <w:right w:val="none" w:sz="0" w:space="0" w:color="auto"/>
      </w:divBdr>
    </w:div>
    <w:div w:id="1093160575">
      <w:bodyDiv w:val="1"/>
      <w:marLeft w:val="0"/>
      <w:marRight w:val="0"/>
      <w:marTop w:val="0"/>
      <w:marBottom w:val="0"/>
      <w:divBdr>
        <w:top w:val="none" w:sz="0" w:space="0" w:color="auto"/>
        <w:left w:val="none" w:sz="0" w:space="0" w:color="auto"/>
        <w:bottom w:val="none" w:sz="0" w:space="0" w:color="auto"/>
        <w:right w:val="none" w:sz="0" w:space="0" w:color="auto"/>
      </w:divBdr>
    </w:div>
    <w:div w:id="1103068812">
      <w:bodyDiv w:val="1"/>
      <w:marLeft w:val="0"/>
      <w:marRight w:val="0"/>
      <w:marTop w:val="0"/>
      <w:marBottom w:val="0"/>
      <w:divBdr>
        <w:top w:val="none" w:sz="0" w:space="0" w:color="auto"/>
        <w:left w:val="none" w:sz="0" w:space="0" w:color="auto"/>
        <w:bottom w:val="none" w:sz="0" w:space="0" w:color="auto"/>
        <w:right w:val="none" w:sz="0" w:space="0" w:color="auto"/>
      </w:divBdr>
      <w:divsChild>
        <w:div w:id="172689951">
          <w:marLeft w:val="720"/>
          <w:marRight w:val="0"/>
          <w:marTop w:val="0"/>
          <w:marBottom w:val="120"/>
          <w:divBdr>
            <w:top w:val="none" w:sz="0" w:space="0" w:color="auto"/>
            <w:left w:val="none" w:sz="0" w:space="0" w:color="auto"/>
            <w:bottom w:val="none" w:sz="0" w:space="0" w:color="auto"/>
            <w:right w:val="none" w:sz="0" w:space="0" w:color="auto"/>
          </w:divBdr>
        </w:div>
        <w:div w:id="1192450318">
          <w:marLeft w:val="720"/>
          <w:marRight w:val="0"/>
          <w:marTop w:val="0"/>
          <w:marBottom w:val="120"/>
          <w:divBdr>
            <w:top w:val="none" w:sz="0" w:space="0" w:color="auto"/>
            <w:left w:val="none" w:sz="0" w:space="0" w:color="auto"/>
            <w:bottom w:val="none" w:sz="0" w:space="0" w:color="auto"/>
            <w:right w:val="none" w:sz="0" w:space="0" w:color="auto"/>
          </w:divBdr>
        </w:div>
        <w:div w:id="2094738567">
          <w:marLeft w:val="720"/>
          <w:marRight w:val="0"/>
          <w:marTop w:val="0"/>
          <w:marBottom w:val="120"/>
          <w:divBdr>
            <w:top w:val="none" w:sz="0" w:space="0" w:color="auto"/>
            <w:left w:val="none" w:sz="0" w:space="0" w:color="auto"/>
            <w:bottom w:val="none" w:sz="0" w:space="0" w:color="auto"/>
            <w:right w:val="none" w:sz="0" w:space="0" w:color="auto"/>
          </w:divBdr>
        </w:div>
        <w:div w:id="2144695761">
          <w:marLeft w:val="720"/>
          <w:marRight w:val="0"/>
          <w:marTop w:val="0"/>
          <w:marBottom w:val="120"/>
          <w:divBdr>
            <w:top w:val="none" w:sz="0" w:space="0" w:color="auto"/>
            <w:left w:val="none" w:sz="0" w:space="0" w:color="auto"/>
            <w:bottom w:val="none" w:sz="0" w:space="0" w:color="auto"/>
            <w:right w:val="none" w:sz="0" w:space="0" w:color="auto"/>
          </w:divBdr>
        </w:div>
      </w:divsChild>
    </w:div>
    <w:div w:id="1112743075">
      <w:bodyDiv w:val="1"/>
      <w:marLeft w:val="0"/>
      <w:marRight w:val="0"/>
      <w:marTop w:val="0"/>
      <w:marBottom w:val="0"/>
      <w:divBdr>
        <w:top w:val="none" w:sz="0" w:space="0" w:color="auto"/>
        <w:left w:val="none" w:sz="0" w:space="0" w:color="auto"/>
        <w:bottom w:val="none" w:sz="0" w:space="0" w:color="auto"/>
        <w:right w:val="none" w:sz="0" w:space="0" w:color="auto"/>
      </w:divBdr>
    </w:div>
    <w:div w:id="1113129518">
      <w:bodyDiv w:val="1"/>
      <w:marLeft w:val="0"/>
      <w:marRight w:val="0"/>
      <w:marTop w:val="0"/>
      <w:marBottom w:val="0"/>
      <w:divBdr>
        <w:top w:val="none" w:sz="0" w:space="0" w:color="auto"/>
        <w:left w:val="none" w:sz="0" w:space="0" w:color="auto"/>
        <w:bottom w:val="none" w:sz="0" w:space="0" w:color="auto"/>
        <w:right w:val="none" w:sz="0" w:space="0" w:color="auto"/>
      </w:divBdr>
    </w:div>
    <w:div w:id="1115442582">
      <w:bodyDiv w:val="1"/>
      <w:marLeft w:val="0"/>
      <w:marRight w:val="0"/>
      <w:marTop w:val="0"/>
      <w:marBottom w:val="0"/>
      <w:divBdr>
        <w:top w:val="none" w:sz="0" w:space="0" w:color="auto"/>
        <w:left w:val="none" w:sz="0" w:space="0" w:color="auto"/>
        <w:bottom w:val="none" w:sz="0" w:space="0" w:color="auto"/>
        <w:right w:val="none" w:sz="0" w:space="0" w:color="auto"/>
      </w:divBdr>
    </w:div>
    <w:div w:id="1116407533">
      <w:bodyDiv w:val="1"/>
      <w:marLeft w:val="0"/>
      <w:marRight w:val="0"/>
      <w:marTop w:val="0"/>
      <w:marBottom w:val="0"/>
      <w:divBdr>
        <w:top w:val="none" w:sz="0" w:space="0" w:color="auto"/>
        <w:left w:val="none" w:sz="0" w:space="0" w:color="auto"/>
        <w:bottom w:val="none" w:sz="0" w:space="0" w:color="auto"/>
        <w:right w:val="none" w:sz="0" w:space="0" w:color="auto"/>
      </w:divBdr>
      <w:divsChild>
        <w:div w:id="1434059558">
          <w:marLeft w:val="547"/>
          <w:marRight w:val="0"/>
          <w:marTop w:val="0"/>
          <w:marBottom w:val="0"/>
          <w:divBdr>
            <w:top w:val="none" w:sz="0" w:space="0" w:color="auto"/>
            <w:left w:val="none" w:sz="0" w:space="0" w:color="auto"/>
            <w:bottom w:val="none" w:sz="0" w:space="0" w:color="auto"/>
            <w:right w:val="none" w:sz="0" w:space="0" w:color="auto"/>
          </w:divBdr>
        </w:div>
      </w:divsChild>
    </w:div>
    <w:div w:id="1156460817">
      <w:bodyDiv w:val="1"/>
      <w:marLeft w:val="0"/>
      <w:marRight w:val="0"/>
      <w:marTop w:val="0"/>
      <w:marBottom w:val="0"/>
      <w:divBdr>
        <w:top w:val="none" w:sz="0" w:space="0" w:color="auto"/>
        <w:left w:val="none" w:sz="0" w:space="0" w:color="auto"/>
        <w:bottom w:val="none" w:sz="0" w:space="0" w:color="auto"/>
        <w:right w:val="none" w:sz="0" w:space="0" w:color="auto"/>
      </w:divBdr>
    </w:div>
    <w:div w:id="1178037262">
      <w:bodyDiv w:val="1"/>
      <w:marLeft w:val="0"/>
      <w:marRight w:val="0"/>
      <w:marTop w:val="0"/>
      <w:marBottom w:val="0"/>
      <w:divBdr>
        <w:top w:val="none" w:sz="0" w:space="0" w:color="auto"/>
        <w:left w:val="none" w:sz="0" w:space="0" w:color="auto"/>
        <w:bottom w:val="none" w:sz="0" w:space="0" w:color="auto"/>
        <w:right w:val="none" w:sz="0" w:space="0" w:color="auto"/>
      </w:divBdr>
    </w:div>
    <w:div w:id="1192956645">
      <w:bodyDiv w:val="1"/>
      <w:marLeft w:val="0"/>
      <w:marRight w:val="0"/>
      <w:marTop w:val="0"/>
      <w:marBottom w:val="0"/>
      <w:divBdr>
        <w:top w:val="none" w:sz="0" w:space="0" w:color="auto"/>
        <w:left w:val="none" w:sz="0" w:space="0" w:color="auto"/>
        <w:bottom w:val="none" w:sz="0" w:space="0" w:color="auto"/>
        <w:right w:val="none" w:sz="0" w:space="0" w:color="auto"/>
      </w:divBdr>
      <w:divsChild>
        <w:div w:id="1123428266">
          <w:marLeft w:val="446"/>
          <w:marRight w:val="0"/>
          <w:marTop w:val="0"/>
          <w:marBottom w:val="0"/>
          <w:divBdr>
            <w:top w:val="none" w:sz="0" w:space="0" w:color="auto"/>
            <w:left w:val="none" w:sz="0" w:space="0" w:color="auto"/>
            <w:bottom w:val="none" w:sz="0" w:space="0" w:color="auto"/>
            <w:right w:val="none" w:sz="0" w:space="0" w:color="auto"/>
          </w:divBdr>
        </w:div>
        <w:div w:id="1240675259">
          <w:marLeft w:val="446"/>
          <w:marRight w:val="0"/>
          <w:marTop w:val="0"/>
          <w:marBottom w:val="0"/>
          <w:divBdr>
            <w:top w:val="none" w:sz="0" w:space="0" w:color="auto"/>
            <w:left w:val="none" w:sz="0" w:space="0" w:color="auto"/>
            <w:bottom w:val="none" w:sz="0" w:space="0" w:color="auto"/>
            <w:right w:val="none" w:sz="0" w:space="0" w:color="auto"/>
          </w:divBdr>
        </w:div>
        <w:div w:id="1468934272">
          <w:marLeft w:val="446"/>
          <w:marRight w:val="0"/>
          <w:marTop w:val="0"/>
          <w:marBottom w:val="0"/>
          <w:divBdr>
            <w:top w:val="none" w:sz="0" w:space="0" w:color="auto"/>
            <w:left w:val="none" w:sz="0" w:space="0" w:color="auto"/>
            <w:bottom w:val="none" w:sz="0" w:space="0" w:color="auto"/>
            <w:right w:val="none" w:sz="0" w:space="0" w:color="auto"/>
          </w:divBdr>
        </w:div>
      </w:divsChild>
    </w:div>
    <w:div w:id="1219317566">
      <w:bodyDiv w:val="1"/>
      <w:marLeft w:val="0"/>
      <w:marRight w:val="0"/>
      <w:marTop w:val="0"/>
      <w:marBottom w:val="0"/>
      <w:divBdr>
        <w:top w:val="none" w:sz="0" w:space="0" w:color="auto"/>
        <w:left w:val="none" w:sz="0" w:space="0" w:color="auto"/>
        <w:bottom w:val="none" w:sz="0" w:space="0" w:color="auto"/>
        <w:right w:val="none" w:sz="0" w:space="0" w:color="auto"/>
      </w:divBdr>
      <w:divsChild>
        <w:div w:id="1223326193">
          <w:marLeft w:val="547"/>
          <w:marRight w:val="0"/>
          <w:marTop w:val="0"/>
          <w:marBottom w:val="0"/>
          <w:divBdr>
            <w:top w:val="none" w:sz="0" w:space="0" w:color="auto"/>
            <w:left w:val="none" w:sz="0" w:space="0" w:color="auto"/>
            <w:bottom w:val="none" w:sz="0" w:space="0" w:color="auto"/>
            <w:right w:val="none" w:sz="0" w:space="0" w:color="auto"/>
          </w:divBdr>
        </w:div>
      </w:divsChild>
    </w:div>
    <w:div w:id="1233782684">
      <w:bodyDiv w:val="1"/>
      <w:marLeft w:val="0"/>
      <w:marRight w:val="0"/>
      <w:marTop w:val="0"/>
      <w:marBottom w:val="0"/>
      <w:divBdr>
        <w:top w:val="none" w:sz="0" w:space="0" w:color="auto"/>
        <w:left w:val="none" w:sz="0" w:space="0" w:color="auto"/>
        <w:bottom w:val="none" w:sz="0" w:space="0" w:color="auto"/>
        <w:right w:val="none" w:sz="0" w:space="0" w:color="auto"/>
      </w:divBdr>
    </w:div>
    <w:div w:id="1253198403">
      <w:bodyDiv w:val="1"/>
      <w:marLeft w:val="0"/>
      <w:marRight w:val="0"/>
      <w:marTop w:val="0"/>
      <w:marBottom w:val="0"/>
      <w:divBdr>
        <w:top w:val="none" w:sz="0" w:space="0" w:color="auto"/>
        <w:left w:val="none" w:sz="0" w:space="0" w:color="auto"/>
        <w:bottom w:val="none" w:sz="0" w:space="0" w:color="auto"/>
        <w:right w:val="none" w:sz="0" w:space="0" w:color="auto"/>
      </w:divBdr>
    </w:div>
    <w:div w:id="1253515646">
      <w:bodyDiv w:val="1"/>
      <w:marLeft w:val="0"/>
      <w:marRight w:val="0"/>
      <w:marTop w:val="0"/>
      <w:marBottom w:val="0"/>
      <w:divBdr>
        <w:top w:val="none" w:sz="0" w:space="0" w:color="auto"/>
        <w:left w:val="none" w:sz="0" w:space="0" w:color="auto"/>
        <w:bottom w:val="none" w:sz="0" w:space="0" w:color="auto"/>
        <w:right w:val="none" w:sz="0" w:space="0" w:color="auto"/>
      </w:divBdr>
    </w:div>
    <w:div w:id="1273778695">
      <w:bodyDiv w:val="1"/>
      <w:marLeft w:val="0"/>
      <w:marRight w:val="0"/>
      <w:marTop w:val="0"/>
      <w:marBottom w:val="0"/>
      <w:divBdr>
        <w:top w:val="none" w:sz="0" w:space="0" w:color="auto"/>
        <w:left w:val="none" w:sz="0" w:space="0" w:color="auto"/>
        <w:bottom w:val="none" w:sz="0" w:space="0" w:color="auto"/>
        <w:right w:val="none" w:sz="0" w:space="0" w:color="auto"/>
      </w:divBdr>
    </w:div>
    <w:div w:id="1308630194">
      <w:bodyDiv w:val="1"/>
      <w:marLeft w:val="0"/>
      <w:marRight w:val="0"/>
      <w:marTop w:val="0"/>
      <w:marBottom w:val="0"/>
      <w:divBdr>
        <w:top w:val="none" w:sz="0" w:space="0" w:color="auto"/>
        <w:left w:val="none" w:sz="0" w:space="0" w:color="auto"/>
        <w:bottom w:val="none" w:sz="0" w:space="0" w:color="auto"/>
        <w:right w:val="none" w:sz="0" w:space="0" w:color="auto"/>
      </w:divBdr>
    </w:div>
    <w:div w:id="1311325160">
      <w:bodyDiv w:val="1"/>
      <w:marLeft w:val="0"/>
      <w:marRight w:val="0"/>
      <w:marTop w:val="0"/>
      <w:marBottom w:val="0"/>
      <w:divBdr>
        <w:top w:val="none" w:sz="0" w:space="0" w:color="auto"/>
        <w:left w:val="none" w:sz="0" w:space="0" w:color="auto"/>
        <w:bottom w:val="none" w:sz="0" w:space="0" w:color="auto"/>
        <w:right w:val="none" w:sz="0" w:space="0" w:color="auto"/>
      </w:divBdr>
    </w:div>
    <w:div w:id="1316496659">
      <w:bodyDiv w:val="1"/>
      <w:marLeft w:val="0"/>
      <w:marRight w:val="0"/>
      <w:marTop w:val="0"/>
      <w:marBottom w:val="0"/>
      <w:divBdr>
        <w:top w:val="none" w:sz="0" w:space="0" w:color="auto"/>
        <w:left w:val="none" w:sz="0" w:space="0" w:color="auto"/>
        <w:bottom w:val="none" w:sz="0" w:space="0" w:color="auto"/>
        <w:right w:val="none" w:sz="0" w:space="0" w:color="auto"/>
      </w:divBdr>
    </w:div>
    <w:div w:id="1317995982">
      <w:bodyDiv w:val="1"/>
      <w:marLeft w:val="0"/>
      <w:marRight w:val="0"/>
      <w:marTop w:val="0"/>
      <w:marBottom w:val="0"/>
      <w:divBdr>
        <w:top w:val="none" w:sz="0" w:space="0" w:color="auto"/>
        <w:left w:val="none" w:sz="0" w:space="0" w:color="auto"/>
        <w:bottom w:val="none" w:sz="0" w:space="0" w:color="auto"/>
        <w:right w:val="none" w:sz="0" w:space="0" w:color="auto"/>
      </w:divBdr>
    </w:div>
    <w:div w:id="1318151023">
      <w:bodyDiv w:val="1"/>
      <w:marLeft w:val="0"/>
      <w:marRight w:val="0"/>
      <w:marTop w:val="0"/>
      <w:marBottom w:val="0"/>
      <w:divBdr>
        <w:top w:val="none" w:sz="0" w:space="0" w:color="auto"/>
        <w:left w:val="none" w:sz="0" w:space="0" w:color="auto"/>
        <w:bottom w:val="none" w:sz="0" w:space="0" w:color="auto"/>
        <w:right w:val="none" w:sz="0" w:space="0" w:color="auto"/>
      </w:divBdr>
    </w:div>
    <w:div w:id="1332560178">
      <w:bodyDiv w:val="1"/>
      <w:marLeft w:val="0"/>
      <w:marRight w:val="0"/>
      <w:marTop w:val="0"/>
      <w:marBottom w:val="0"/>
      <w:divBdr>
        <w:top w:val="none" w:sz="0" w:space="0" w:color="auto"/>
        <w:left w:val="none" w:sz="0" w:space="0" w:color="auto"/>
        <w:bottom w:val="none" w:sz="0" w:space="0" w:color="auto"/>
        <w:right w:val="none" w:sz="0" w:space="0" w:color="auto"/>
      </w:divBdr>
    </w:div>
    <w:div w:id="1336542117">
      <w:bodyDiv w:val="1"/>
      <w:marLeft w:val="0"/>
      <w:marRight w:val="0"/>
      <w:marTop w:val="0"/>
      <w:marBottom w:val="0"/>
      <w:divBdr>
        <w:top w:val="none" w:sz="0" w:space="0" w:color="auto"/>
        <w:left w:val="none" w:sz="0" w:space="0" w:color="auto"/>
        <w:bottom w:val="none" w:sz="0" w:space="0" w:color="auto"/>
        <w:right w:val="none" w:sz="0" w:space="0" w:color="auto"/>
      </w:divBdr>
    </w:div>
    <w:div w:id="1337466219">
      <w:bodyDiv w:val="1"/>
      <w:marLeft w:val="0"/>
      <w:marRight w:val="0"/>
      <w:marTop w:val="0"/>
      <w:marBottom w:val="0"/>
      <w:divBdr>
        <w:top w:val="none" w:sz="0" w:space="0" w:color="auto"/>
        <w:left w:val="none" w:sz="0" w:space="0" w:color="auto"/>
        <w:bottom w:val="none" w:sz="0" w:space="0" w:color="auto"/>
        <w:right w:val="none" w:sz="0" w:space="0" w:color="auto"/>
      </w:divBdr>
    </w:div>
    <w:div w:id="1346207162">
      <w:bodyDiv w:val="1"/>
      <w:marLeft w:val="0"/>
      <w:marRight w:val="0"/>
      <w:marTop w:val="0"/>
      <w:marBottom w:val="0"/>
      <w:divBdr>
        <w:top w:val="none" w:sz="0" w:space="0" w:color="auto"/>
        <w:left w:val="none" w:sz="0" w:space="0" w:color="auto"/>
        <w:bottom w:val="none" w:sz="0" w:space="0" w:color="auto"/>
        <w:right w:val="none" w:sz="0" w:space="0" w:color="auto"/>
      </w:divBdr>
      <w:divsChild>
        <w:div w:id="554778514">
          <w:marLeft w:val="360"/>
          <w:marRight w:val="0"/>
          <w:marTop w:val="200"/>
          <w:marBottom w:val="0"/>
          <w:divBdr>
            <w:top w:val="none" w:sz="0" w:space="0" w:color="auto"/>
            <w:left w:val="none" w:sz="0" w:space="0" w:color="auto"/>
            <w:bottom w:val="none" w:sz="0" w:space="0" w:color="auto"/>
            <w:right w:val="none" w:sz="0" w:space="0" w:color="auto"/>
          </w:divBdr>
        </w:div>
        <w:div w:id="888034332">
          <w:marLeft w:val="360"/>
          <w:marRight w:val="0"/>
          <w:marTop w:val="200"/>
          <w:marBottom w:val="0"/>
          <w:divBdr>
            <w:top w:val="none" w:sz="0" w:space="0" w:color="auto"/>
            <w:left w:val="none" w:sz="0" w:space="0" w:color="auto"/>
            <w:bottom w:val="none" w:sz="0" w:space="0" w:color="auto"/>
            <w:right w:val="none" w:sz="0" w:space="0" w:color="auto"/>
          </w:divBdr>
        </w:div>
        <w:div w:id="978073209">
          <w:marLeft w:val="360"/>
          <w:marRight w:val="0"/>
          <w:marTop w:val="200"/>
          <w:marBottom w:val="0"/>
          <w:divBdr>
            <w:top w:val="none" w:sz="0" w:space="0" w:color="auto"/>
            <w:left w:val="none" w:sz="0" w:space="0" w:color="auto"/>
            <w:bottom w:val="none" w:sz="0" w:space="0" w:color="auto"/>
            <w:right w:val="none" w:sz="0" w:space="0" w:color="auto"/>
          </w:divBdr>
        </w:div>
        <w:div w:id="1347094909">
          <w:marLeft w:val="360"/>
          <w:marRight w:val="0"/>
          <w:marTop w:val="200"/>
          <w:marBottom w:val="0"/>
          <w:divBdr>
            <w:top w:val="none" w:sz="0" w:space="0" w:color="auto"/>
            <w:left w:val="none" w:sz="0" w:space="0" w:color="auto"/>
            <w:bottom w:val="none" w:sz="0" w:space="0" w:color="auto"/>
            <w:right w:val="none" w:sz="0" w:space="0" w:color="auto"/>
          </w:divBdr>
        </w:div>
      </w:divsChild>
    </w:div>
    <w:div w:id="1353188048">
      <w:bodyDiv w:val="1"/>
      <w:marLeft w:val="0"/>
      <w:marRight w:val="0"/>
      <w:marTop w:val="0"/>
      <w:marBottom w:val="0"/>
      <w:divBdr>
        <w:top w:val="none" w:sz="0" w:space="0" w:color="auto"/>
        <w:left w:val="none" w:sz="0" w:space="0" w:color="auto"/>
        <w:bottom w:val="none" w:sz="0" w:space="0" w:color="auto"/>
        <w:right w:val="none" w:sz="0" w:space="0" w:color="auto"/>
      </w:divBdr>
      <w:divsChild>
        <w:div w:id="769930950">
          <w:marLeft w:val="576"/>
          <w:marRight w:val="0"/>
          <w:marTop w:val="0"/>
          <w:marBottom w:val="0"/>
          <w:divBdr>
            <w:top w:val="none" w:sz="0" w:space="0" w:color="auto"/>
            <w:left w:val="none" w:sz="0" w:space="0" w:color="auto"/>
            <w:bottom w:val="none" w:sz="0" w:space="0" w:color="auto"/>
            <w:right w:val="none" w:sz="0" w:space="0" w:color="auto"/>
          </w:divBdr>
        </w:div>
        <w:div w:id="1818720970">
          <w:marLeft w:val="576"/>
          <w:marRight w:val="0"/>
          <w:marTop w:val="0"/>
          <w:marBottom w:val="0"/>
          <w:divBdr>
            <w:top w:val="none" w:sz="0" w:space="0" w:color="auto"/>
            <w:left w:val="none" w:sz="0" w:space="0" w:color="auto"/>
            <w:bottom w:val="none" w:sz="0" w:space="0" w:color="auto"/>
            <w:right w:val="none" w:sz="0" w:space="0" w:color="auto"/>
          </w:divBdr>
        </w:div>
        <w:div w:id="1918904512">
          <w:marLeft w:val="576"/>
          <w:marRight w:val="0"/>
          <w:marTop w:val="0"/>
          <w:marBottom w:val="0"/>
          <w:divBdr>
            <w:top w:val="none" w:sz="0" w:space="0" w:color="auto"/>
            <w:left w:val="none" w:sz="0" w:space="0" w:color="auto"/>
            <w:bottom w:val="none" w:sz="0" w:space="0" w:color="auto"/>
            <w:right w:val="none" w:sz="0" w:space="0" w:color="auto"/>
          </w:divBdr>
        </w:div>
      </w:divsChild>
    </w:div>
    <w:div w:id="1366710778">
      <w:bodyDiv w:val="1"/>
      <w:marLeft w:val="0"/>
      <w:marRight w:val="0"/>
      <w:marTop w:val="0"/>
      <w:marBottom w:val="0"/>
      <w:divBdr>
        <w:top w:val="none" w:sz="0" w:space="0" w:color="auto"/>
        <w:left w:val="none" w:sz="0" w:space="0" w:color="auto"/>
        <w:bottom w:val="none" w:sz="0" w:space="0" w:color="auto"/>
        <w:right w:val="none" w:sz="0" w:space="0" w:color="auto"/>
      </w:divBdr>
    </w:div>
    <w:div w:id="1388842193">
      <w:bodyDiv w:val="1"/>
      <w:marLeft w:val="0"/>
      <w:marRight w:val="0"/>
      <w:marTop w:val="0"/>
      <w:marBottom w:val="0"/>
      <w:divBdr>
        <w:top w:val="none" w:sz="0" w:space="0" w:color="auto"/>
        <w:left w:val="none" w:sz="0" w:space="0" w:color="auto"/>
        <w:bottom w:val="none" w:sz="0" w:space="0" w:color="auto"/>
        <w:right w:val="none" w:sz="0" w:space="0" w:color="auto"/>
      </w:divBdr>
      <w:divsChild>
        <w:div w:id="17051734">
          <w:marLeft w:val="0"/>
          <w:marRight w:val="0"/>
          <w:marTop w:val="0"/>
          <w:marBottom w:val="0"/>
          <w:divBdr>
            <w:top w:val="none" w:sz="0" w:space="0" w:color="auto"/>
            <w:left w:val="none" w:sz="0" w:space="0" w:color="auto"/>
            <w:bottom w:val="none" w:sz="0" w:space="0" w:color="auto"/>
            <w:right w:val="none" w:sz="0" w:space="0" w:color="auto"/>
          </w:divBdr>
        </w:div>
        <w:div w:id="19089503">
          <w:marLeft w:val="0"/>
          <w:marRight w:val="0"/>
          <w:marTop w:val="0"/>
          <w:marBottom w:val="0"/>
          <w:divBdr>
            <w:top w:val="none" w:sz="0" w:space="0" w:color="auto"/>
            <w:left w:val="none" w:sz="0" w:space="0" w:color="auto"/>
            <w:bottom w:val="none" w:sz="0" w:space="0" w:color="auto"/>
            <w:right w:val="none" w:sz="0" w:space="0" w:color="auto"/>
          </w:divBdr>
        </w:div>
        <w:div w:id="27266748">
          <w:marLeft w:val="0"/>
          <w:marRight w:val="0"/>
          <w:marTop w:val="0"/>
          <w:marBottom w:val="0"/>
          <w:divBdr>
            <w:top w:val="none" w:sz="0" w:space="0" w:color="auto"/>
            <w:left w:val="none" w:sz="0" w:space="0" w:color="auto"/>
            <w:bottom w:val="none" w:sz="0" w:space="0" w:color="auto"/>
            <w:right w:val="none" w:sz="0" w:space="0" w:color="auto"/>
          </w:divBdr>
        </w:div>
        <w:div w:id="37778813">
          <w:marLeft w:val="0"/>
          <w:marRight w:val="0"/>
          <w:marTop w:val="0"/>
          <w:marBottom w:val="0"/>
          <w:divBdr>
            <w:top w:val="none" w:sz="0" w:space="0" w:color="auto"/>
            <w:left w:val="none" w:sz="0" w:space="0" w:color="auto"/>
            <w:bottom w:val="none" w:sz="0" w:space="0" w:color="auto"/>
            <w:right w:val="none" w:sz="0" w:space="0" w:color="auto"/>
          </w:divBdr>
        </w:div>
        <w:div w:id="52119324">
          <w:marLeft w:val="0"/>
          <w:marRight w:val="0"/>
          <w:marTop w:val="0"/>
          <w:marBottom w:val="0"/>
          <w:divBdr>
            <w:top w:val="none" w:sz="0" w:space="0" w:color="auto"/>
            <w:left w:val="none" w:sz="0" w:space="0" w:color="auto"/>
            <w:bottom w:val="none" w:sz="0" w:space="0" w:color="auto"/>
            <w:right w:val="none" w:sz="0" w:space="0" w:color="auto"/>
          </w:divBdr>
        </w:div>
        <w:div w:id="59447176">
          <w:marLeft w:val="0"/>
          <w:marRight w:val="0"/>
          <w:marTop w:val="0"/>
          <w:marBottom w:val="0"/>
          <w:divBdr>
            <w:top w:val="none" w:sz="0" w:space="0" w:color="auto"/>
            <w:left w:val="none" w:sz="0" w:space="0" w:color="auto"/>
            <w:bottom w:val="none" w:sz="0" w:space="0" w:color="auto"/>
            <w:right w:val="none" w:sz="0" w:space="0" w:color="auto"/>
          </w:divBdr>
        </w:div>
        <w:div w:id="61224680">
          <w:marLeft w:val="0"/>
          <w:marRight w:val="0"/>
          <w:marTop w:val="0"/>
          <w:marBottom w:val="0"/>
          <w:divBdr>
            <w:top w:val="none" w:sz="0" w:space="0" w:color="auto"/>
            <w:left w:val="none" w:sz="0" w:space="0" w:color="auto"/>
            <w:bottom w:val="none" w:sz="0" w:space="0" w:color="auto"/>
            <w:right w:val="none" w:sz="0" w:space="0" w:color="auto"/>
          </w:divBdr>
        </w:div>
        <w:div w:id="69737058">
          <w:marLeft w:val="0"/>
          <w:marRight w:val="0"/>
          <w:marTop w:val="0"/>
          <w:marBottom w:val="0"/>
          <w:divBdr>
            <w:top w:val="none" w:sz="0" w:space="0" w:color="auto"/>
            <w:left w:val="none" w:sz="0" w:space="0" w:color="auto"/>
            <w:bottom w:val="none" w:sz="0" w:space="0" w:color="auto"/>
            <w:right w:val="none" w:sz="0" w:space="0" w:color="auto"/>
          </w:divBdr>
        </w:div>
        <w:div w:id="81536500">
          <w:marLeft w:val="0"/>
          <w:marRight w:val="0"/>
          <w:marTop w:val="0"/>
          <w:marBottom w:val="0"/>
          <w:divBdr>
            <w:top w:val="none" w:sz="0" w:space="0" w:color="auto"/>
            <w:left w:val="none" w:sz="0" w:space="0" w:color="auto"/>
            <w:bottom w:val="none" w:sz="0" w:space="0" w:color="auto"/>
            <w:right w:val="none" w:sz="0" w:space="0" w:color="auto"/>
          </w:divBdr>
        </w:div>
        <w:div w:id="81687896">
          <w:marLeft w:val="0"/>
          <w:marRight w:val="0"/>
          <w:marTop w:val="0"/>
          <w:marBottom w:val="0"/>
          <w:divBdr>
            <w:top w:val="none" w:sz="0" w:space="0" w:color="auto"/>
            <w:left w:val="none" w:sz="0" w:space="0" w:color="auto"/>
            <w:bottom w:val="none" w:sz="0" w:space="0" w:color="auto"/>
            <w:right w:val="none" w:sz="0" w:space="0" w:color="auto"/>
          </w:divBdr>
        </w:div>
        <w:div w:id="89010089">
          <w:marLeft w:val="0"/>
          <w:marRight w:val="0"/>
          <w:marTop w:val="0"/>
          <w:marBottom w:val="0"/>
          <w:divBdr>
            <w:top w:val="none" w:sz="0" w:space="0" w:color="auto"/>
            <w:left w:val="none" w:sz="0" w:space="0" w:color="auto"/>
            <w:bottom w:val="none" w:sz="0" w:space="0" w:color="auto"/>
            <w:right w:val="none" w:sz="0" w:space="0" w:color="auto"/>
          </w:divBdr>
        </w:div>
        <w:div w:id="94718272">
          <w:marLeft w:val="0"/>
          <w:marRight w:val="0"/>
          <w:marTop w:val="0"/>
          <w:marBottom w:val="0"/>
          <w:divBdr>
            <w:top w:val="none" w:sz="0" w:space="0" w:color="auto"/>
            <w:left w:val="none" w:sz="0" w:space="0" w:color="auto"/>
            <w:bottom w:val="none" w:sz="0" w:space="0" w:color="auto"/>
            <w:right w:val="none" w:sz="0" w:space="0" w:color="auto"/>
          </w:divBdr>
        </w:div>
        <w:div w:id="102841713">
          <w:marLeft w:val="0"/>
          <w:marRight w:val="0"/>
          <w:marTop w:val="0"/>
          <w:marBottom w:val="0"/>
          <w:divBdr>
            <w:top w:val="none" w:sz="0" w:space="0" w:color="auto"/>
            <w:left w:val="none" w:sz="0" w:space="0" w:color="auto"/>
            <w:bottom w:val="none" w:sz="0" w:space="0" w:color="auto"/>
            <w:right w:val="none" w:sz="0" w:space="0" w:color="auto"/>
          </w:divBdr>
        </w:div>
        <w:div w:id="117796199">
          <w:marLeft w:val="0"/>
          <w:marRight w:val="0"/>
          <w:marTop w:val="0"/>
          <w:marBottom w:val="0"/>
          <w:divBdr>
            <w:top w:val="none" w:sz="0" w:space="0" w:color="auto"/>
            <w:left w:val="none" w:sz="0" w:space="0" w:color="auto"/>
            <w:bottom w:val="none" w:sz="0" w:space="0" w:color="auto"/>
            <w:right w:val="none" w:sz="0" w:space="0" w:color="auto"/>
          </w:divBdr>
        </w:div>
        <w:div w:id="139466373">
          <w:marLeft w:val="0"/>
          <w:marRight w:val="0"/>
          <w:marTop w:val="0"/>
          <w:marBottom w:val="0"/>
          <w:divBdr>
            <w:top w:val="none" w:sz="0" w:space="0" w:color="auto"/>
            <w:left w:val="none" w:sz="0" w:space="0" w:color="auto"/>
            <w:bottom w:val="none" w:sz="0" w:space="0" w:color="auto"/>
            <w:right w:val="none" w:sz="0" w:space="0" w:color="auto"/>
          </w:divBdr>
        </w:div>
        <w:div w:id="160202687">
          <w:marLeft w:val="0"/>
          <w:marRight w:val="0"/>
          <w:marTop w:val="0"/>
          <w:marBottom w:val="0"/>
          <w:divBdr>
            <w:top w:val="none" w:sz="0" w:space="0" w:color="auto"/>
            <w:left w:val="none" w:sz="0" w:space="0" w:color="auto"/>
            <w:bottom w:val="none" w:sz="0" w:space="0" w:color="auto"/>
            <w:right w:val="none" w:sz="0" w:space="0" w:color="auto"/>
          </w:divBdr>
        </w:div>
        <w:div w:id="173963457">
          <w:marLeft w:val="0"/>
          <w:marRight w:val="0"/>
          <w:marTop w:val="0"/>
          <w:marBottom w:val="0"/>
          <w:divBdr>
            <w:top w:val="none" w:sz="0" w:space="0" w:color="auto"/>
            <w:left w:val="none" w:sz="0" w:space="0" w:color="auto"/>
            <w:bottom w:val="none" w:sz="0" w:space="0" w:color="auto"/>
            <w:right w:val="none" w:sz="0" w:space="0" w:color="auto"/>
          </w:divBdr>
        </w:div>
        <w:div w:id="189492071">
          <w:marLeft w:val="0"/>
          <w:marRight w:val="0"/>
          <w:marTop w:val="0"/>
          <w:marBottom w:val="0"/>
          <w:divBdr>
            <w:top w:val="none" w:sz="0" w:space="0" w:color="auto"/>
            <w:left w:val="none" w:sz="0" w:space="0" w:color="auto"/>
            <w:bottom w:val="none" w:sz="0" w:space="0" w:color="auto"/>
            <w:right w:val="none" w:sz="0" w:space="0" w:color="auto"/>
          </w:divBdr>
        </w:div>
        <w:div w:id="217865913">
          <w:marLeft w:val="0"/>
          <w:marRight w:val="0"/>
          <w:marTop w:val="0"/>
          <w:marBottom w:val="0"/>
          <w:divBdr>
            <w:top w:val="none" w:sz="0" w:space="0" w:color="auto"/>
            <w:left w:val="none" w:sz="0" w:space="0" w:color="auto"/>
            <w:bottom w:val="none" w:sz="0" w:space="0" w:color="auto"/>
            <w:right w:val="none" w:sz="0" w:space="0" w:color="auto"/>
          </w:divBdr>
        </w:div>
        <w:div w:id="241647211">
          <w:marLeft w:val="0"/>
          <w:marRight w:val="0"/>
          <w:marTop w:val="0"/>
          <w:marBottom w:val="0"/>
          <w:divBdr>
            <w:top w:val="none" w:sz="0" w:space="0" w:color="auto"/>
            <w:left w:val="none" w:sz="0" w:space="0" w:color="auto"/>
            <w:bottom w:val="none" w:sz="0" w:space="0" w:color="auto"/>
            <w:right w:val="none" w:sz="0" w:space="0" w:color="auto"/>
          </w:divBdr>
        </w:div>
        <w:div w:id="252008076">
          <w:marLeft w:val="0"/>
          <w:marRight w:val="0"/>
          <w:marTop w:val="0"/>
          <w:marBottom w:val="0"/>
          <w:divBdr>
            <w:top w:val="none" w:sz="0" w:space="0" w:color="auto"/>
            <w:left w:val="none" w:sz="0" w:space="0" w:color="auto"/>
            <w:bottom w:val="none" w:sz="0" w:space="0" w:color="auto"/>
            <w:right w:val="none" w:sz="0" w:space="0" w:color="auto"/>
          </w:divBdr>
        </w:div>
        <w:div w:id="256056999">
          <w:marLeft w:val="0"/>
          <w:marRight w:val="0"/>
          <w:marTop w:val="0"/>
          <w:marBottom w:val="0"/>
          <w:divBdr>
            <w:top w:val="none" w:sz="0" w:space="0" w:color="auto"/>
            <w:left w:val="none" w:sz="0" w:space="0" w:color="auto"/>
            <w:bottom w:val="none" w:sz="0" w:space="0" w:color="auto"/>
            <w:right w:val="none" w:sz="0" w:space="0" w:color="auto"/>
          </w:divBdr>
        </w:div>
        <w:div w:id="266356165">
          <w:marLeft w:val="0"/>
          <w:marRight w:val="0"/>
          <w:marTop w:val="0"/>
          <w:marBottom w:val="0"/>
          <w:divBdr>
            <w:top w:val="none" w:sz="0" w:space="0" w:color="auto"/>
            <w:left w:val="none" w:sz="0" w:space="0" w:color="auto"/>
            <w:bottom w:val="none" w:sz="0" w:space="0" w:color="auto"/>
            <w:right w:val="none" w:sz="0" w:space="0" w:color="auto"/>
          </w:divBdr>
        </w:div>
        <w:div w:id="267351102">
          <w:marLeft w:val="0"/>
          <w:marRight w:val="0"/>
          <w:marTop w:val="0"/>
          <w:marBottom w:val="0"/>
          <w:divBdr>
            <w:top w:val="none" w:sz="0" w:space="0" w:color="auto"/>
            <w:left w:val="none" w:sz="0" w:space="0" w:color="auto"/>
            <w:bottom w:val="none" w:sz="0" w:space="0" w:color="auto"/>
            <w:right w:val="none" w:sz="0" w:space="0" w:color="auto"/>
          </w:divBdr>
        </w:div>
        <w:div w:id="269433633">
          <w:marLeft w:val="0"/>
          <w:marRight w:val="0"/>
          <w:marTop w:val="0"/>
          <w:marBottom w:val="0"/>
          <w:divBdr>
            <w:top w:val="none" w:sz="0" w:space="0" w:color="auto"/>
            <w:left w:val="none" w:sz="0" w:space="0" w:color="auto"/>
            <w:bottom w:val="none" w:sz="0" w:space="0" w:color="auto"/>
            <w:right w:val="none" w:sz="0" w:space="0" w:color="auto"/>
          </w:divBdr>
        </w:div>
        <w:div w:id="269706693">
          <w:marLeft w:val="0"/>
          <w:marRight w:val="0"/>
          <w:marTop w:val="0"/>
          <w:marBottom w:val="0"/>
          <w:divBdr>
            <w:top w:val="none" w:sz="0" w:space="0" w:color="auto"/>
            <w:left w:val="none" w:sz="0" w:space="0" w:color="auto"/>
            <w:bottom w:val="none" w:sz="0" w:space="0" w:color="auto"/>
            <w:right w:val="none" w:sz="0" w:space="0" w:color="auto"/>
          </w:divBdr>
        </w:div>
        <w:div w:id="284653442">
          <w:marLeft w:val="0"/>
          <w:marRight w:val="0"/>
          <w:marTop w:val="0"/>
          <w:marBottom w:val="0"/>
          <w:divBdr>
            <w:top w:val="none" w:sz="0" w:space="0" w:color="auto"/>
            <w:left w:val="none" w:sz="0" w:space="0" w:color="auto"/>
            <w:bottom w:val="none" w:sz="0" w:space="0" w:color="auto"/>
            <w:right w:val="none" w:sz="0" w:space="0" w:color="auto"/>
          </w:divBdr>
        </w:div>
        <w:div w:id="294797961">
          <w:marLeft w:val="0"/>
          <w:marRight w:val="0"/>
          <w:marTop w:val="0"/>
          <w:marBottom w:val="0"/>
          <w:divBdr>
            <w:top w:val="none" w:sz="0" w:space="0" w:color="auto"/>
            <w:left w:val="none" w:sz="0" w:space="0" w:color="auto"/>
            <w:bottom w:val="none" w:sz="0" w:space="0" w:color="auto"/>
            <w:right w:val="none" w:sz="0" w:space="0" w:color="auto"/>
          </w:divBdr>
        </w:div>
        <w:div w:id="305671769">
          <w:marLeft w:val="0"/>
          <w:marRight w:val="0"/>
          <w:marTop w:val="0"/>
          <w:marBottom w:val="0"/>
          <w:divBdr>
            <w:top w:val="none" w:sz="0" w:space="0" w:color="auto"/>
            <w:left w:val="none" w:sz="0" w:space="0" w:color="auto"/>
            <w:bottom w:val="none" w:sz="0" w:space="0" w:color="auto"/>
            <w:right w:val="none" w:sz="0" w:space="0" w:color="auto"/>
          </w:divBdr>
        </w:div>
        <w:div w:id="310402514">
          <w:marLeft w:val="0"/>
          <w:marRight w:val="0"/>
          <w:marTop w:val="0"/>
          <w:marBottom w:val="0"/>
          <w:divBdr>
            <w:top w:val="none" w:sz="0" w:space="0" w:color="auto"/>
            <w:left w:val="none" w:sz="0" w:space="0" w:color="auto"/>
            <w:bottom w:val="none" w:sz="0" w:space="0" w:color="auto"/>
            <w:right w:val="none" w:sz="0" w:space="0" w:color="auto"/>
          </w:divBdr>
        </w:div>
        <w:div w:id="314383906">
          <w:marLeft w:val="0"/>
          <w:marRight w:val="0"/>
          <w:marTop w:val="0"/>
          <w:marBottom w:val="0"/>
          <w:divBdr>
            <w:top w:val="none" w:sz="0" w:space="0" w:color="auto"/>
            <w:left w:val="none" w:sz="0" w:space="0" w:color="auto"/>
            <w:bottom w:val="none" w:sz="0" w:space="0" w:color="auto"/>
            <w:right w:val="none" w:sz="0" w:space="0" w:color="auto"/>
          </w:divBdr>
        </w:div>
        <w:div w:id="339819613">
          <w:marLeft w:val="0"/>
          <w:marRight w:val="0"/>
          <w:marTop w:val="0"/>
          <w:marBottom w:val="0"/>
          <w:divBdr>
            <w:top w:val="none" w:sz="0" w:space="0" w:color="auto"/>
            <w:left w:val="none" w:sz="0" w:space="0" w:color="auto"/>
            <w:bottom w:val="none" w:sz="0" w:space="0" w:color="auto"/>
            <w:right w:val="none" w:sz="0" w:space="0" w:color="auto"/>
          </w:divBdr>
        </w:div>
        <w:div w:id="340207438">
          <w:marLeft w:val="0"/>
          <w:marRight w:val="0"/>
          <w:marTop w:val="0"/>
          <w:marBottom w:val="0"/>
          <w:divBdr>
            <w:top w:val="none" w:sz="0" w:space="0" w:color="auto"/>
            <w:left w:val="none" w:sz="0" w:space="0" w:color="auto"/>
            <w:bottom w:val="none" w:sz="0" w:space="0" w:color="auto"/>
            <w:right w:val="none" w:sz="0" w:space="0" w:color="auto"/>
          </w:divBdr>
        </w:div>
        <w:div w:id="346297209">
          <w:marLeft w:val="0"/>
          <w:marRight w:val="0"/>
          <w:marTop w:val="0"/>
          <w:marBottom w:val="0"/>
          <w:divBdr>
            <w:top w:val="none" w:sz="0" w:space="0" w:color="auto"/>
            <w:left w:val="none" w:sz="0" w:space="0" w:color="auto"/>
            <w:bottom w:val="none" w:sz="0" w:space="0" w:color="auto"/>
            <w:right w:val="none" w:sz="0" w:space="0" w:color="auto"/>
          </w:divBdr>
        </w:div>
        <w:div w:id="357462834">
          <w:marLeft w:val="0"/>
          <w:marRight w:val="0"/>
          <w:marTop w:val="0"/>
          <w:marBottom w:val="0"/>
          <w:divBdr>
            <w:top w:val="none" w:sz="0" w:space="0" w:color="auto"/>
            <w:left w:val="none" w:sz="0" w:space="0" w:color="auto"/>
            <w:bottom w:val="none" w:sz="0" w:space="0" w:color="auto"/>
            <w:right w:val="none" w:sz="0" w:space="0" w:color="auto"/>
          </w:divBdr>
        </w:div>
        <w:div w:id="357515123">
          <w:marLeft w:val="0"/>
          <w:marRight w:val="0"/>
          <w:marTop w:val="0"/>
          <w:marBottom w:val="0"/>
          <w:divBdr>
            <w:top w:val="none" w:sz="0" w:space="0" w:color="auto"/>
            <w:left w:val="none" w:sz="0" w:space="0" w:color="auto"/>
            <w:bottom w:val="none" w:sz="0" w:space="0" w:color="auto"/>
            <w:right w:val="none" w:sz="0" w:space="0" w:color="auto"/>
          </w:divBdr>
        </w:div>
        <w:div w:id="363096073">
          <w:marLeft w:val="0"/>
          <w:marRight w:val="0"/>
          <w:marTop w:val="0"/>
          <w:marBottom w:val="0"/>
          <w:divBdr>
            <w:top w:val="none" w:sz="0" w:space="0" w:color="auto"/>
            <w:left w:val="none" w:sz="0" w:space="0" w:color="auto"/>
            <w:bottom w:val="none" w:sz="0" w:space="0" w:color="auto"/>
            <w:right w:val="none" w:sz="0" w:space="0" w:color="auto"/>
          </w:divBdr>
        </w:div>
        <w:div w:id="365982046">
          <w:marLeft w:val="0"/>
          <w:marRight w:val="0"/>
          <w:marTop w:val="0"/>
          <w:marBottom w:val="0"/>
          <w:divBdr>
            <w:top w:val="none" w:sz="0" w:space="0" w:color="auto"/>
            <w:left w:val="none" w:sz="0" w:space="0" w:color="auto"/>
            <w:bottom w:val="none" w:sz="0" w:space="0" w:color="auto"/>
            <w:right w:val="none" w:sz="0" w:space="0" w:color="auto"/>
          </w:divBdr>
        </w:div>
        <w:div w:id="368994533">
          <w:marLeft w:val="0"/>
          <w:marRight w:val="0"/>
          <w:marTop w:val="0"/>
          <w:marBottom w:val="0"/>
          <w:divBdr>
            <w:top w:val="none" w:sz="0" w:space="0" w:color="auto"/>
            <w:left w:val="none" w:sz="0" w:space="0" w:color="auto"/>
            <w:bottom w:val="none" w:sz="0" w:space="0" w:color="auto"/>
            <w:right w:val="none" w:sz="0" w:space="0" w:color="auto"/>
          </w:divBdr>
        </w:div>
        <w:div w:id="385758885">
          <w:marLeft w:val="0"/>
          <w:marRight w:val="0"/>
          <w:marTop w:val="0"/>
          <w:marBottom w:val="0"/>
          <w:divBdr>
            <w:top w:val="none" w:sz="0" w:space="0" w:color="auto"/>
            <w:left w:val="none" w:sz="0" w:space="0" w:color="auto"/>
            <w:bottom w:val="none" w:sz="0" w:space="0" w:color="auto"/>
            <w:right w:val="none" w:sz="0" w:space="0" w:color="auto"/>
          </w:divBdr>
        </w:div>
        <w:div w:id="389962740">
          <w:marLeft w:val="0"/>
          <w:marRight w:val="0"/>
          <w:marTop w:val="0"/>
          <w:marBottom w:val="0"/>
          <w:divBdr>
            <w:top w:val="none" w:sz="0" w:space="0" w:color="auto"/>
            <w:left w:val="none" w:sz="0" w:space="0" w:color="auto"/>
            <w:bottom w:val="none" w:sz="0" w:space="0" w:color="auto"/>
            <w:right w:val="none" w:sz="0" w:space="0" w:color="auto"/>
          </w:divBdr>
        </w:div>
        <w:div w:id="394858194">
          <w:marLeft w:val="0"/>
          <w:marRight w:val="0"/>
          <w:marTop w:val="0"/>
          <w:marBottom w:val="0"/>
          <w:divBdr>
            <w:top w:val="none" w:sz="0" w:space="0" w:color="auto"/>
            <w:left w:val="none" w:sz="0" w:space="0" w:color="auto"/>
            <w:bottom w:val="none" w:sz="0" w:space="0" w:color="auto"/>
            <w:right w:val="none" w:sz="0" w:space="0" w:color="auto"/>
          </w:divBdr>
        </w:div>
        <w:div w:id="395511562">
          <w:marLeft w:val="0"/>
          <w:marRight w:val="0"/>
          <w:marTop w:val="0"/>
          <w:marBottom w:val="0"/>
          <w:divBdr>
            <w:top w:val="none" w:sz="0" w:space="0" w:color="auto"/>
            <w:left w:val="none" w:sz="0" w:space="0" w:color="auto"/>
            <w:bottom w:val="none" w:sz="0" w:space="0" w:color="auto"/>
            <w:right w:val="none" w:sz="0" w:space="0" w:color="auto"/>
          </w:divBdr>
        </w:div>
        <w:div w:id="452601783">
          <w:marLeft w:val="0"/>
          <w:marRight w:val="0"/>
          <w:marTop w:val="0"/>
          <w:marBottom w:val="0"/>
          <w:divBdr>
            <w:top w:val="none" w:sz="0" w:space="0" w:color="auto"/>
            <w:left w:val="none" w:sz="0" w:space="0" w:color="auto"/>
            <w:bottom w:val="none" w:sz="0" w:space="0" w:color="auto"/>
            <w:right w:val="none" w:sz="0" w:space="0" w:color="auto"/>
          </w:divBdr>
        </w:div>
        <w:div w:id="466431219">
          <w:marLeft w:val="0"/>
          <w:marRight w:val="0"/>
          <w:marTop w:val="0"/>
          <w:marBottom w:val="0"/>
          <w:divBdr>
            <w:top w:val="none" w:sz="0" w:space="0" w:color="auto"/>
            <w:left w:val="none" w:sz="0" w:space="0" w:color="auto"/>
            <w:bottom w:val="none" w:sz="0" w:space="0" w:color="auto"/>
            <w:right w:val="none" w:sz="0" w:space="0" w:color="auto"/>
          </w:divBdr>
        </w:div>
        <w:div w:id="466775637">
          <w:marLeft w:val="0"/>
          <w:marRight w:val="0"/>
          <w:marTop w:val="0"/>
          <w:marBottom w:val="0"/>
          <w:divBdr>
            <w:top w:val="none" w:sz="0" w:space="0" w:color="auto"/>
            <w:left w:val="none" w:sz="0" w:space="0" w:color="auto"/>
            <w:bottom w:val="none" w:sz="0" w:space="0" w:color="auto"/>
            <w:right w:val="none" w:sz="0" w:space="0" w:color="auto"/>
          </w:divBdr>
        </w:div>
        <w:div w:id="492450749">
          <w:marLeft w:val="0"/>
          <w:marRight w:val="0"/>
          <w:marTop w:val="0"/>
          <w:marBottom w:val="0"/>
          <w:divBdr>
            <w:top w:val="none" w:sz="0" w:space="0" w:color="auto"/>
            <w:left w:val="none" w:sz="0" w:space="0" w:color="auto"/>
            <w:bottom w:val="none" w:sz="0" w:space="0" w:color="auto"/>
            <w:right w:val="none" w:sz="0" w:space="0" w:color="auto"/>
          </w:divBdr>
        </w:div>
        <w:div w:id="499320305">
          <w:marLeft w:val="0"/>
          <w:marRight w:val="0"/>
          <w:marTop w:val="0"/>
          <w:marBottom w:val="0"/>
          <w:divBdr>
            <w:top w:val="none" w:sz="0" w:space="0" w:color="auto"/>
            <w:left w:val="none" w:sz="0" w:space="0" w:color="auto"/>
            <w:bottom w:val="none" w:sz="0" w:space="0" w:color="auto"/>
            <w:right w:val="none" w:sz="0" w:space="0" w:color="auto"/>
          </w:divBdr>
        </w:div>
        <w:div w:id="503741761">
          <w:marLeft w:val="0"/>
          <w:marRight w:val="0"/>
          <w:marTop w:val="0"/>
          <w:marBottom w:val="0"/>
          <w:divBdr>
            <w:top w:val="none" w:sz="0" w:space="0" w:color="auto"/>
            <w:left w:val="none" w:sz="0" w:space="0" w:color="auto"/>
            <w:bottom w:val="none" w:sz="0" w:space="0" w:color="auto"/>
            <w:right w:val="none" w:sz="0" w:space="0" w:color="auto"/>
          </w:divBdr>
        </w:div>
        <w:div w:id="510994664">
          <w:marLeft w:val="0"/>
          <w:marRight w:val="0"/>
          <w:marTop w:val="0"/>
          <w:marBottom w:val="0"/>
          <w:divBdr>
            <w:top w:val="none" w:sz="0" w:space="0" w:color="auto"/>
            <w:left w:val="none" w:sz="0" w:space="0" w:color="auto"/>
            <w:bottom w:val="none" w:sz="0" w:space="0" w:color="auto"/>
            <w:right w:val="none" w:sz="0" w:space="0" w:color="auto"/>
          </w:divBdr>
        </w:div>
        <w:div w:id="520319090">
          <w:marLeft w:val="0"/>
          <w:marRight w:val="0"/>
          <w:marTop w:val="0"/>
          <w:marBottom w:val="0"/>
          <w:divBdr>
            <w:top w:val="none" w:sz="0" w:space="0" w:color="auto"/>
            <w:left w:val="none" w:sz="0" w:space="0" w:color="auto"/>
            <w:bottom w:val="none" w:sz="0" w:space="0" w:color="auto"/>
            <w:right w:val="none" w:sz="0" w:space="0" w:color="auto"/>
          </w:divBdr>
        </w:div>
        <w:div w:id="532891006">
          <w:marLeft w:val="0"/>
          <w:marRight w:val="0"/>
          <w:marTop w:val="0"/>
          <w:marBottom w:val="0"/>
          <w:divBdr>
            <w:top w:val="none" w:sz="0" w:space="0" w:color="auto"/>
            <w:left w:val="none" w:sz="0" w:space="0" w:color="auto"/>
            <w:bottom w:val="none" w:sz="0" w:space="0" w:color="auto"/>
            <w:right w:val="none" w:sz="0" w:space="0" w:color="auto"/>
          </w:divBdr>
        </w:div>
        <w:div w:id="554509352">
          <w:marLeft w:val="0"/>
          <w:marRight w:val="0"/>
          <w:marTop w:val="0"/>
          <w:marBottom w:val="0"/>
          <w:divBdr>
            <w:top w:val="none" w:sz="0" w:space="0" w:color="auto"/>
            <w:left w:val="none" w:sz="0" w:space="0" w:color="auto"/>
            <w:bottom w:val="none" w:sz="0" w:space="0" w:color="auto"/>
            <w:right w:val="none" w:sz="0" w:space="0" w:color="auto"/>
          </w:divBdr>
        </w:div>
        <w:div w:id="574708763">
          <w:marLeft w:val="0"/>
          <w:marRight w:val="0"/>
          <w:marTop w:val="0"/>
          <w:marBottom w:val="0"/>
          <w:divBdr>
            <w:top w:val="none" w:sz="0" w:space="0" w:color="auto"/>
            <w:left w:val="none" w:sz="0" w:space="0" w:color="auto"/>
            <w:bottom w:val="none" w:sz="0" w:space="0" w:color="auto"/>
            <w:right w:val="none" w:sz="0" w:space="0" w:color="auto"/>
          </w:divBdr>
        </w:div>
        <w:div w:id="600799168">
          <w:marLeft w:val="0"/>
          <w:marRight w:val="0"/>
          <w:marTop w:val="0"/>
          <w:marBottom w:val="0"/>
          <w:divBdr>
            <w:top w:val="none" w:sz="0" w:space="0" w:color="auto"/>
            <w:left w:val="none" w:sz="0" w:space="0" w:color="auto"/>
            <w:bottom w:val="none" w:sz="0" w:space="0" w:color="auto"/>
            <w:right w:val="none" w:sz="0" w:space="0" w:color="auto"/>
          </w:divBdr>
        </w:div>
        <w:div w:id="612592648">
          <w:marLeft w:val="0"/>
          <w:marRight w:val="0"/>
          <w:marTop w:val="0"/>
          <w:marBottom w:val="0"/>
          <w:divBdr>
            <w:top w:val="none" w:sz="0" w:space="0" w:color="auto"/>
            <w:left w:val="none" w:sz="0" w:space="0" w:color="auto"/>
            <w:bottom w:val="none" w:sz="0" w:space="0" w:color="auto"/>
            <w:right w:val="none" w:sz="0" w:space="0" w:color="auto"/>
          </w:divBdr>
        </w:div>
        <w:div w:id="613950084">
          <w:marLeft w:val="0"/>
          <w:marRight w:val="0"/>
          <w:marTop w:val="0"/>
          <w:marBottom w:val="0"/>
          <w:divBdr>
            <w:top w:val="none" w:sz="0" w:space="0" w:color="auto"/>
            <w:left w:val="none" w:sz="0" w:space="0" w:color="auto"/>
            <w:bottom w:val="none" w:sz="0" w:space="0" w:color="auto"/>
            <w:right w:val="none" w:sz="0" w:space="0" w:color="auto"/>
          </w:divBdr>
        </w:div>
        <w:div w:id="638150950">
          <w:marLeft w:val="0"/>
          <w:marRight w:val="0"/>
          <w:marTop w:val="0"/>
          <w:marBottom w:val="0"/>
          <w:divBdr>
            <w:top w:val="none" w:sz="0" w:space="0" w:color="auto"/>
            <w:left w:val="none" w:sz="0" w:space="0" w:color="auto"/>
            <w:bottom w:val="none" w:sz="0" w:space="0" w:color="auto"/>
            <w:right w:val="none" w:sz="0" w:space="0" w:color="auto"/>
          </w:divBdr>
        </w:div>
        <w:div w:id="665401001">
          <w:marLeft w:val="0"/>
          <w:marRight w:val="0"/>
          <w:marTop w:val="0"/>
          <w:marBottom w:val="0"/>
          <w:divBdr>
            <w:top w:val="none" w:sz="0" w:space="0" w:color="auto"/>
            <w:left w:val="none" w:sz="0" w:space="0" w:color="auto"/>
            <w:bottom w:val="none" w:sz="0" w:space="0" w:color="auto"/>
            <w:right w:val="none" w:sz="0" w:space="0" w:color="auto"/>
          </w:divBdr>
        </w:div>
        <w:div w:id="667171060">
          <w:marLeft w:val="0"/>
          <w:marRight w:val="0"/>
          <w:marTop w:val="0"/>
          <w:marBottom w:val="0"/>
          <w:divBdr>
            <w:top w:val="none" w:sz="0" w:space="0" w:color="auto"/>
            <w:left w:val="none" w:sz="0" w:space="0" w:color="auto"/>
            <w:bottom w:val="none" w:sz="0" w:space="0" w:color="auto"/>
            <w:right w:val="none" w:sz="0" w:space="0" w:color="auto"/>
          </w:divBdr>
        </w:div>
        <w:div w:id="674649521">
          <w:marLeft w:val="0"/>
          <w:marRight w:val="0"/>
          <w:marTop w:val="0"/>
          <w:marBottom w:val="0"/>
          <w:divBdr>
            <w:top w:val="none" w:sz="0" w:space="0" w:color="auto"/>
            <w:left w:val="none" w:sz="0" w:space="0" w:color="auto"/>
            <w:bottom w:val="none" w:sz="0" w:space="0" w:color="auto"/>
            <w:right w:val="none" w:sz="0" w:space="0" w:color="auto"/>
          </w:divBdr>
        </w:div>
        <w:div w:id="680014436">
          <w:marLeft w:val="0"/>
          <w:marRight w:val="0"/>
          <w:marTop w:val="0"/>
          <w:marBottom w:val="0"/>
          <w:divBdr>
            <w:top w:val="none" w:sz="0" w:space="0" w:color="auto"/>
            <w:left w:val="none" w:sz="0" w:space="0" w:color="auto"/>
            <w:bottom w:val="none" w:sz="0" w:space="0" w:color="auto"/>
            <w:right w:val="none" w:sz="0" w:space="0" w:color="auto"/>
          </w:divBdr>
        </w:div>
        <w:div w:id="681977127">
          <w:marLeft w:val="0"/>
          <w:marRight w:val="0"/>
          <w:marTop w:val="0"/>
          <w:marBottom w:val="0"/>
          <w:divBdr>
            <w:top w:val="none" w:sz="0" w:space="0" w:color="auto"/>
            <w:left w:val="none" w:sz="0" w:space="0" w:color="auto"/>
            <w:bottom w:val="none" w:sz="0" w:space="0" w:color="auto"/>
            <w:right w:val="none" w:sz="0" w:space="0" w:color="auto"/>
          </w:divBdr>
        </w:div>
        <w:div w:id="684212369">
          <w:marLeft w:val="0"/>
          <w:marRight w:val="0"/>
          <w:marTop w:val="0"/>
          <w:marBottom w:val="0"/>
          <w:divBdr>
            <w:top w:val="none" w:sz="0" w:space="0" w:color="auto"/>
            <w:left w:val="none" w:sz="0" w:space="0" w:color="auto"/>
            <w:bottom w:val="none" w:sz="0" w:space="0" w:color="auto"/>
            <w:right w:val="none" w:sz="0" w:space="0" w:color="auto"/>
          </w:divBdr>
        </w:div>
        <w:div w:id="688526782">
          <w:marLeft w:val="0"/>
          <w:marRight w:val="0"/>
          <w:marTop w:val="0"/>
          <w:marBottom w:val="0"/>
          <w:divBdr>
            <w:top w:val="none" w:sz="0" w:space="0" w:color="auto"/>
            <w:left w:val="none" w:sz="0" w:space="0" w:color="auto"/>
            <w:bottom w:val="none" w:sz="0" w:space="0" w:color="auto"/>
            <w:right w:val="none" w:sz="0" w:space="0" w:color="auto"/>
          </w:divBdr>
        </w:div>
        <w:div w:id="697581550">
          <w:marLeft w:val="0"/>
          <w:marRight w:val="0"/>
          <w:marTop w:val="0"/>
          <w:marBottom w:val="0"/>
          <w:divBdr>
            <w:top w:val="none" w:sz="0" w:space="0" w:color="auto"/>
            <w:left w:val="none" w:sz="0" w:space="0" w:color="auto"/>
            <w:bottom w:val="none" w:sz="0" w:space="0" w:color="auto"/>
            <w:right w:val="none" w:sz="0" w:space="0" w:color="auto"/>
          </w:divBdr>
        </w:div>
        <w:div w:id="702291880">
          <w:marLeft w:val="0"/>
          <w:marRight w:val="0"/>
          <w:marTop w:val="0"/>
          <w:marBottom w:val="0"/>
          <w:divBdr>
            <w:top w:val="none" w:sz="0" w:space="0" w:color="auto"/>
            <w:left w:val="none" w:sz="0" w:space="0" w:color="auto"/>
            <w:bottom w:val="none" w:sz="0" w:space="0" w:color="auto"/>
            <w:right w:val="none" w:sz="0" w:space="0" w:color="auto"/>
          </w:divBdr>
        </w:div>
        <w:div w:id="707921490">
          <w:marLeft w:val="0"/>
          <w:marRight w:val="0"/>
          <w:marTop w:val="0"/>
          <w:marBottom w:val="0"/>
          <w:divBdr>
            <w:top w:val="none" w:sz="0" w:space="0" w:color="auto"/>
            <w:left w:val="none" w:sz="0" w:space="0" w:color="auto"/>
            <w:bottom w:val="none" w:sz="0" w:space="0" w:color="auto"/>
            <w:right w:val="none" w:sz="0" w:space="0" w:color="auto"/>
          </w:divBdr>
        </w:div>
        <w:div w:id="711197127">
          <w:marLeft w:val="0"/>
          <w:marRight w:val="0"/>
          <w:marTop w:val="0"/>
          <w:marBottom w:val="0"/>
          <w:divBdr>
            <w:top w:val="none" w:sz="0" w:space="0" w:color="auto"/>
            <w:left w:val="none" w:sz="0" w:space="0" w:color="auto"/>
            <w:bottom w:val="none" w:sz="0" w:space="0" w:color="auto"/>
            <w:right w:val="none" w:sz="0" w:space="0" w:color="auto"/>
          </w:divBdr>
        </w:div>
        <w:div w:id="711880791">
          <w:marLeft w:val="0"/>
          <w:marRight w:val="0"/>
          <w:marTop w:val="0"/>
          <w:marBottom w:val="0"/>
          <w:divBdr>
            <w:top w:val="none" w:sz="0" w:space="0" w:color="auto"/>
            <w:left w:val="none" w:sz="0" w:space="0" w:color="auto"/>
            <w:bottom w:val="none" w:sz="0" w:space="0" w:color="auto"/>
            <w:right w:val="none" w:sz="0" w:space="0" w:color="auto"/>
          </w:divBdr>
        </w:div>
        <w:div w:id="713697810">
          <w:marLeft w:val="0"/>
          <w:marRight w:val="0"/>
          <w:marTop w:val="0"/>
          <w:marBottom w:val="0"/>
          <w:divBdr>
            <w:top w:val="none" w:sz="0" w:space="0" w:color="auto"/>
            <w:left w:val="none" w:sz="0" w:space="0" w:color="auto"/>
            <w:bottom w:val="none" w:sz="0" w:space="0" w:color="auto"/>
            <w:right w:val="none" w:sz="0" w:space="0" w:color="auto"/>
          </w:divBdr>
        </w:div>
        <w:div w:id="714430756">
          <w:marLeft w:val="0"/>
          <w:marRight w:val="0"/>
          <w:marTop w:val="0"/>
          <w:marBottom w:val="0"/>
          <w:divBdr>
            <w:top w:val="none" w:sz="0" w:space="0" w:color="auto"/>
            <w:left w:val="none" w:sz="0" w:space="0" w:color="auto"/>
            <w:bottom w:val="none" w:sz="0" w:space="0" w:color="auto"/>
            <w:right w:val="none" w:sz="0" w:space="0" w:color="auto"/>
          </w:divBdr>
        </w:div>
        <w:div w:id="716007275">
          <w:marLeft w:val="0"/>
          <w:marRight w:val="0"/>
          <w:marTop w:val="0"/>
          <w:marBottom w:val="0"/>
          <w:divBdr>
            <w:top w:val="none" w:sz="0" w:space="0" w:color="auto"/>
            <w:left w:val="none" w:sz="0" w:space="0" w:color="auto"/>
            <w:bottom w:val="none" w:sz="0" w:space="0" w:color="auto"/>
            <w:right w:val="none" w:sz="0" w:space="0" w:color="auto"/>
          </w:divBdr>
        </w:div>
        <w:div w:id="716666504">
          <w:marLeft w:val="0"/>
          <w:marRight w:val="0"/>
          <w:marTop w:val="0"/>
          <w:marBottom w:val="0"/>
          <w:divBdr>
            <w:top w:val="none" w:sz="0" w:space="0" w:color="auto"/>
            <w:left w:val="none" w:sz="0" w:space="0" w:color="auto"/>
            <w:bottom w:val="none" w:sz="0" w:space="0" w:color="auto"/>
            <w:right w:val="none" w:sz="0" w:space="0" w:color="auto"/>
          </w:divBdr>
        </w:div>
        <w:div w:id="717752215">
          <w:marLeft w:val="0"/>
          <w:marRight w:val="0"/>
          <w:marTop w:val="0"/>
          <w:marBottom w:val="0"/>
          <w:divBdr>
            <w:top w:val="none" w:sz="0" w:space="0" w:color="auto"/>
            <w:left w:val="none" w:sz="0" w:space="0" w:color="auto"/>
            <w:bottom w:val="none" w:sz="0" w:space="0" w:color="auto"/>
            <w:right w:val="none" w:sz="0" w:space="0" w:color="auto"/>
          </w:divBdr>
        </w:div>
        <w:div w:id="718166659">
          <w:marLeft w:val="0"/>
          <w:marRight w:val="0"/>
          <w:marTop w:val="0"/>
          <w:marBottom w:val="0"/>
          <w:divBdr>
            <w:top w:val="none" w:sz="0" w:space="0" w:color="auto"/>
            <w:left w:val="none" w:sz="0" w:space="0" w:color="auto"/>
            <w:bottom w:val="none" w:sz="0" w:space="0" w:color="auto"/>
            <w:right w:val="none" w:sz="0" w:space="0" w:color="auto"/>
          </w:divBdr>
        </w:div>
        <w:div w:id="746074605">
          <w:marLeft w:val="0"/>
          <w:marRight w:val="0"/>
          <w:marTop w:val="0"/>
          <w:marBottom w:val="0"/>
          <w:divBdr>
            <w:top w:val="none" w:sz="0" w:space="0" w:color="auto"/>
            <w:left w:val="none" w:sz="0" w:space="0" w:color="auto"/>
            <w:bottom w:val="none" w:sz="0" w:space="0" w:color="auto"/>
            <w:right w:val="none" w:sz="0" w:space="0" w:color="auto"/>
          </w:divBdr>
        </w:div>
        <w:div w:id="783885931">
          <w:marLeft w:val="0"/>
          <w:marRight w:val="0"/>
          <w:marTop w:val="0"/>
          <w:marBottom w:val="0"/>
          <w:divBdr>
            <w:top w:val="none" w:sz="0" w:space="0" w:color="auto"/>
            <w:left w:val="none" w:sz="0" w:space="0" w:color="auto"/>
            <w:bottom w:val="none" w:sz="0" w:space="0" w:color="auto"/>
            <w:right w:val="none" w:sz="0" w:space="0" w:color="auto"/>
          </w:divBdr>
        </w:div>
        <w:div w:id="788739499">
          <w:marLeft w:val="0"/>
          <w:marRight w:val="0"/>
          <w:marTop w:val="0"/>
          <w:marBottom w:val="0"/>
          <w:divBdr>
            <w:top w:val="none" w:sz="0" w:space="0" w:color="auto"/>
            <w:left w:val="none" w:sz="0" w:space="0" w:color="auto"/>
            <w:bottom w:val="none" w:sz="0" w:space="0" w:color="auto"/>
            <w:right w:val="none" w:sz="0" w:space="0" w:color="auto"/>
          </w:divBdr>
        </w:div>
        <w:div w:id="810513659">
          <w:marLeft w:val="0"/>
          <w:marRight w:val="0"/>
          <w:marTop w:val="0"/>
          <w:marBottom w:val="0"/>
          <w:divBdr>
            <w:top w:val="none" w:sz="0" w:space="0" w:color="auto"/>
            <w:left w:val="none" w:sz="0" w:space="0" w:color="auto"/>
            <w:bottom w:val="none" w:sz="0" w:space="0" w:color="auto"/>
            <w:right w:val="none" w:sz="0" w:space="0" w:color="auto"/>
          </w:divBdr>
        </w:div>
        <w:div w:id="827088636">
          <w:marLeft w:val="0"/>
          <w:marRight w:val="0"/>
          <w:marTop w:val="0"/>
          <w:marBottom w:val="0"/>
          <w:divBdr>
            <w:top w:val="none" w:sz="0" w:space="0" w:color="auto"/>
            <w:left w:val="none" w:sz="0" w:space="0" w:color="auto"/>
            <w:bottom w:val="none" w:sz="0" w:space="0" w:color="auto"/>
            <w:right w:val="none" w:sz="0" w:space="0" w:color="auto"/>
          </w:divBdr>
        </w:div>
        <w:div w:id="828903264">
          <w:marLeft w:val="0"/>
          <w:marRight w:val="0"/>
          <w:marTop w:val="0"/>
          <w:marBottom w:val="0"/>
          <w:divBdr>
            <w:top w:val="none" w:sz="0" w:space="0" w:color="auto"/>
            <w:left w:val="none" w:sz="0" w:space="0" w:color="auto"/>
            <w:bottom w:val="none" w:sz="0" w:space="0" w:color="auto"/>
            <w:right w:val="none" w:sz="0" w:space="0" w:color="auto"/>
          </w:divBdr>
        </w:div>
        <w:div w:id="830367255">
          <w:marLeft w:val="0"/>
          <w:marRight w:val="0"/>
          <w:marTop w:val="0"/>
          <w:marBottom w:val="0"/>
          <w:divBdr>
            <w:top w:val="none" w:sz="0" w:space="0" w:color="auto"/>
            <w:left w:val="none" w:sz="0" w:space="0" w:color="auto"/>
            <w:bottom w:val="none" w:sz="0" w:space="0" w:color="auto"/>
            <w:right w:val="none" w:sz="0" w:space="0" w:color="auto"/>
          </w:divBdr>
        </w:div>
        <w:div w:id="834496619">
          <w:marLeft w:val="0"/>
          <w:marRight w:val="0"/>
          <w:marTop w:val="0"/>
          <w:marBottom w:val="0"/>
          <w:divBdr>
            <w:top w:val="none" w:sz="0" w:space="0" w:color="auto"/>
            <w:left w:val="none" w:sz="0" w:space="0" w:color="auto"/>
            <w:bottom w:val="none" w:sz="0" w:space="0" w:color="auto"/>
            <w:right w:val="none" w:sz="0" w:space="0" w:color="auto"/>
          </w:divBdr>
        </w:div>
        <w:div w:id="843589066">
          <w:marLeft w:val="0"/>
          <w:marRight w:val="0"/>
          <w:marTop w:val="0"/>
          <w:marBottom w:val="0"/>
          <w:divBdr>
            <w:top w:val="none" w:sz="0" w:space="0" w:color="auto"/>
            <w:left w:val="none" w:sz="0" w:space="0" w:color="auto"/>
            <w:bottom w:val="none" w:sz="0" w:space="0" w:color="auto"/>
            <w:right w:val="none" w:sz="0" w:space="0" w:color="auto"/>
          </w:divBdr>
        </w:div>
        <w:div w:id="855847388">
          <w:marLeft w:val="0"/>
          <w:marRight w:val="0"/>
          <w:marTop w:val="0"/>
          <w:marBottom w:val="0"/>
          <w:divBdr>
            <w:top w:val="none" w:sz="0" w:space="0" w:color="auto"/>
            <w:left w:val="none" w:sz="0" w:space="0" w:color="auto"/>
            <w:bottom w:val="none" w:sz="0" w:space="0" w:color="auto"/>
            <w:right w:val="none" w:sz="0" w:space="0" w:color="auto"/>
          </w:divBdr>
        </w:div>
        <w:div w:id="918488899">
          <w:marLeft w:val="0"/>
          <w:marRight w:val="0"/>
          <w:marTop w:val="0"/>
          <w:marBottom w:val="0"/>
          <w:divBdr>
            <w:top w:val="none" w:sz="0" w:space="0" w:color="auto"/>
            <w:left w:val="none" w:sz="0" w:space="0" w:color="auto"/>
            <w:bottom w:val="none" w:sz="0" w:space="0" w:color="auto"/>
            <w:right w:val="none" w:sz="0" w:space="0" w:color="auto"/>
          </w:divBdr>
          <w:divsChild>
            <w:div w:id="565458526">
              <w:marLeft w:val="0"/>
              <w:marRight w:val="0"/>
              <w:marTop w:val="0"/>
              <w:marBottom w:val="0"/>
              <w:divBdr>
                <w:top w:val="none" w:sz="0" w:space="0" w:color="auto"/>
                <w:left w:val="none" w:sz="0" w:space="0" w:color="auto"/>
                <w:bottom w:val="none" w:sz="0" w:space="0" w:color="auto"/>
                <w:right w:val="none" w:sz="0" w:space="0" w:color="auto"/>
              </w:divBdr>
            </w:div>
            <w:div w:id="581646817">
              <w:marLeft w:val="0"/>
              <w:marRight w:val="0"/>
              <w:marTop w:val="0"/>
              <w:marBottom w:val="0"/>
              <w:divBdr>
                <w:top w:val="none" w:sz="0" w:space="0" w:color="auto"/>
                <w:left w:val="none" w:sz="0" w:space="0" w:color="auto"/>
                <w:bottom w:val="none" w:sz="0" w:space="0" w:color="auto"/>
                <w:right w:val="none" w:sz="0" w:space="0" w:color="auto"/>
              </w:divBdr>
            </w:div>
            <w:div w:id="817038043">
              <w:marLeft w:val="0"/>
              <w:marRight w:val="0"/>
              <w:marTop w:val="0"/>
              <w:marBottom w:val="0"/>
              <w:divBdr>
                <w:top w:val="none" w:sz="0" w:space="0" w:color="auto"/>
                <w:left w:val="none" w:sz="0" w:space="0" w:color="auto"/>
                <w:bottom w:val="none" w:sz="0" w:space="0" w:color="auto"/>
                <w:right w:val="none" w:sz="0" w:space="0" w:color="auto"/>
              </w:divBdr>
            </w:div>
            <w:div w:id="1231967061">
              <w:marLeft w:val="0"/>
              <w:marRight w:val="0"/>
              <w:marTop w:val="0"/>
              <w:marBottom w:val="0"/>
              <w:divBdr>
                <w:top w:val="none" w:sz="0" w:space="0" w:color="auto"/>
                <w:left w:val="none" w:sz="0" w:space="0" w:color="auto"/>
                <w:bottom w:val="none" w:sz="0" w:space="0" w:color="auto"/>
                <w:right w:val="none" w:sz="0" w:space="0" w:color="auto"/>
              </w:divBdr>
            </w:div>
            <w:div w:id="1271740545">
              <w:marLeft w:val="0"/>
              <w:marRight w:val="0"/>
              <w:marTop w:val="0"/>
              <w:marBottom w:val="0"/>
              <w:divBdr>
                <w:top w:val="none" w:sz="0" w:space="0" w:color="auto"/>
                <w:left w:val="none" w:sz="0" w:space="0" w:color="auto"/>
                <w:bottom w:val="none" w:sz="0" w:space="0" w:color="auto"/>
                <w:right w:val="none" w:sz="0" w:space="0" w:color="auto"/>
              </w:divBdr>
            </w:div>
            <w:div w:id="1522820295">
              <w:marLeft w:val="0"/>
              <w:marRight w:val="0"/>
              <w:marTop w:val="0"/>
              <w:marBottom w:val="0"/>
              <w:divBdr>
                <w:top w:val="none" w:sz="0" w:space="0" w:color="auto"/>
                <w:left w:val="none" w:sz="0" w:space="0" w:color="auto"/>
                <w:bottom w:val="none" w:sz="0" w:space="0" w:color="auto"/>
                <w:right w:val="none" w:sz="0" w:space="0" w:color="auto"/>
              </w:divBdr>
            </w:div>
            <w:div w:id="1608584776">
              <w:marLeft w:val="0"/>
              <w:marRight w:val="0"/>
              <w:marTop w:val="0"/>
              <w:marBottom w:val="0"/>
              <w:divBdr>
                <w:top w:val="none" w:sz="0" w:space="0" w:color="auto"/>
                <w:left w:val="none" w:sz="0" w:space="0" w:color="auto"/>
                <w:bottom w:val="none" w:sz="0" w:space="0" w:color="auto"/>
                <w:right w:val="none" w:sz="0" w:space="0" w:color="auto"/>
              </w:divBdr>
            </w:div>
            <w:div w:id="2008946584">
              <w:marLeft w:val="0"/>
              <w:marRight w:val="0"/>
              <w:marTop w:val="0"/>
              <w:marBottom w:val="0"/>
              <w:divBdr>
                <w:top w:val="none" w:sz="0" w:space="0" w:color="auto"/>
                <w:left w:val="none" w:sz="0" w:space="0" w:color="auto"/>
                <w:bottom w:val="none" w:sz="0" w:space="0" w:color="auto"/>
                <w:right w:val="none" w:sz="0" w:space="0" w:color="auto"/>
              </w:divBdr>
            </w:div>
            <w:div w:id="2136020131">
              <w:marLeft w:val="0"/>
              <w:marRight w:val="0"/>
              <w:marTop w:val="0"/>
              <w:marBottom w:val="0"/>
              <w:divBdr>
                <w:top w:val="none" w:sz="0" w:space="0" w:color="auto"/>
                <w:left w:val="none" w:sz="0" w:space="0" w:color="auto"/>
                <w:bottom w:val="none" w:sz="0" w:space="0" w:color="auto"/>
                <w:right w:val="none" w:sz="0" w:space="0" w:color="auto"/>
              </w:divBdr>
            </w:div>
          </w:divsChild>
        </w:div>
        <w:div w:id="920069168">
          <w:marLeft w:val="0"/>
          <w:marRight w:val="0"/>
          <w:marTop w:val="0"/>
          <w:marBottom w:val="0"/>
          <w:divBdr>
            <w:top w:val="none" w:sz="0" w:space="0" w:color="auto"/>
            <w:left w:val="none" w:sz="0" w:space="0" w:color="auto"/>
            <w:bottom w:val="none" w:sz="0" w:space="0" w:color="auto"/>
            <w:right w:val="none" w:sz="0" w:space="0" w:color="auto"/>
          </w:divBdr>
        </w:div>
        <w:div w:id="994532561">
          <w:marLeft w:val="0"/>
          <w:marRight w:val="0"/>
          <w:marTop w:val="0"/>
          <w:marBottom w:val="0"/>
          <w:divBdr>
            <w:top w:val="none" w:sz="0" w:space="0" w:color="auto"/>
            <w:left w:val="none" w:sz="0" w:space="0" w:color="auto"/>
            <w:bottom w:val="none" w:sz="0" w:space="0" w:color="auto"/>
            <w:right w:val="none" w:sz="0" w:space="0" w:color="auto"/>
          </w:divBdr>
        </w:div>
        <w:div w:id="1005397115">
          <w:marLeft w:val="0"/>
          <w:marRight w:val="0"/>
          <w:marTop w:val="0"/>
          <w:marBottom w:val="0"/>
          <w:divBdr>
            <w:top w:val="none" w:sz="0" w:space="0" w:color="auto"/>
            <w:left w:val="none" w:sz="0" w:space="0" w:color="auto"/>
            <w:bottom w:val="none" w:sz="0" w:space="0" w:color="auto"/>
            <w:right w:val="none" w:sz="0" w:space="0" w:color="auto"/>
          </w:divBdr>
        </w:div>
        <w:div w:id="1006588593">
          <w:marLeft w:val="0"/>
          <w:marRight w:val="0"/>
          <w:marTop w:val="0"/>
          <w:marBottom w:val="0"/>
          <w:divBdr>
            <w:top w:val="none" w:sz="0" w:space="0" w:color="auto"/>
            <w:left w:val="none" w:sz="0" w:space="0" w:color="auto"/>
            <w:bottom w:val="none" w:sz="0" w:space="0" w:color="auto"/>
            <w:right w:val="none" w:sz="0" w:space="0" w:color="auto"/>
          </w:divBdr>
        </w:div>
        <w:div w:id="1052579208">
          <w:marLeft w:val="0"/>
          <w:marRight w:val="0"/>
          <w:marTop w:val="0"/>
          <w:marBottom w:val="0"/>
          <w:divBdr>
            <w:top w:val="none" w:sz="0" w:space="0" w:color="auto"/>
            <w:left w:val="none" w:sz="0" w:space="0" w:color="auto"/>
            <w:bottom w:val="none" w:sz="0" w:space="0" w:color="auto"/>
            <w:right w:val="none" w:sz="0" w:space="0" w:color="auto"/>
          </w:divBdr>
        </w:div>
        <w:div w:id="1084836170">
          <w:marLeft w:val="0"/>
          <w:marRight w:val="0"/>
          <w:marTop w:val="0"/>
          <w:marBottom w:val="0"/>
          <w:divBdr>
            <w:top w:val="none" w:sz="0" w:space="0" w:color="auto"/>
            <w:left w:val="none" w:sz="0" w:space="0" w:color="auto"/>
            <w:bottom w:val="none" w:sz="0" w:space="0" w:color="auto"/>
            <w:right w:val="none" w:sz="0" w:space="0" w:color="auto"/>
          </w:divBdr>
        </w:div>
        <w:div w:id="1090353375">
          <w:marLeft w:val="0"/>
          <w:marRight w:val="0"/>
          <w:marTop w:val="0"/>
          <w:marBottom w:val="0"/>
          <w:divBdr>
            <w:top w:val="none" w:sz="0" w:space="0" w:color="auto"/>
            <w:left w:val="none" w:sz="0" w:space="0" w:color="auto"/>
            <w:bottom w:val="none" w:sz="0" w:space="0" w:color="auto"/>
            <w:right w:val="none" w:sz="0" w:space="0" w:color="auto"/>
          </w:divBdr>
          <w:divsChild>
            <w:div w:id="91126374">
              <w:marLeft w:val="0"/>
              <w:marRight w:val="0"/>
              <w:marTop w:val="0"/>
              <w:marBottom w:val="0"/>
              <w:divBdr>
                <w:top w:val="none" w:sz="0" w:space="0" w:color="auto"/>
                <w:left w:val="none" w:sz="0" w:space="0" w:color="auto"/>
                <w:bottom w:val="none" w:sz="0" w:space="0" w:color="auto"/>
                <w:right w:val="none" w:sz="0" w:space="0" w:color="auto"/>
              </w:divBdr>
            </w:div>
            <w:div w:id="181551215">
              <w:marLeft w:val="0"/>
              <w:marRight w:val="0"/>
              <w:marTop w:val="0"/>
              <w:marBottom w:val="0"/>
              <w:divBdr>
                <w:top w:val="none" w:sz="0" w:space="0" w:color="auto"/>
                <w:left w:val="none" w:sz="0" w:space="0" w:color="auto"/>
                <w:bottom w:val="none" w:sz="0" w:space="0" w:color="auto"/>
                <w:right w:val="none" w:sz="0" w:space="0" w:color="auto"/>
              </w:divBdr>
            </w:div>
            <w:div w:id="237443835">
              <w:marLeft w:val="0"/>
              <w:marRight w:val="0"/>
              <w:marTop w:val="0"/>
              <w:marBottom w:val="0"/>
              <w:divBdr>
                <w:top w:val="none" w:sz="0" w:space="0" w:color="auto"/>
                <w:left w:val="none" w:sz="0" w:space="0" w:color="auto"/>
                <w:bottom w:val="none" w:sz="0" w:space="0" w:color="auto"/>
                <w:right w:val="none" w:sz="0" w:space="0" w:color="auto"/>
              </w:divBdr>
            </w:div>
            <w:div w:id="280116900">
              <w:marLeft w:val="0"/>
              <w:marRight w:val="0"/>
              <w:marTop w:val="0"/>
              <w:marBottom w:val="0"/>
              <w:divBdr>
                <w:top w:val="none" w:sz="0" w:space="0" w:color="auto"/>
                <w:left w:val="none" w:sz="0" w:space="0" w:color="auto"/>
                <w:bottom w:val="none" w:sz="0" w:space="0" w:color="auto"/>
                <w:right w:val="none" w:sz="0" w:space="0" w:color="auto"/>
              </w:divBdr>
            </w:div>
            <w:div w:id="283508842">
              <w:marLeft w:val="0"/>
              <w:marRight w:val="0"/>
              <w:marTop w:val="0"/>
              <w:marBottom w:val="0"/>
              <w:divBdr>
                <w:top w:val="none" w:sz="0" w:space="0" w:color="auto"/>
                <w:left w:val="none" w:sz="0" w:space="0" w:color="auto"/>
                <w:bottom w:val="none" w:sz="0" w:space="0" w:color="auto"/>
                <w:right w:val="none" w:sz="0" w:space="0" w:color="auto"/>
              </w:divBdr>
            </w:div>
            <w:div w:id="308443536">
              <w:marLeft w:val="0"/>
              <w:marRight w:val="0"/>
              <w:marTop w:val="0"/>
              <w:marBottom w:val="0"/>
              <w:divBdr>
                <w:top w:val="none" w:sz="0" w:space="0" w:color="auto"/>
                <w:left w:val="none" w:sz="0" w:space="0" w:color="auto"/>
                <w:bottom w:val="none" w:sz="0" w:space="0" w:color="auto"/>
                <w:right w:val="none" w:sz="0" w:space="0" w:color="auto"/>
              </w:divBdr>
            </w:div>
            <w:div w:id="455221185">
              <w:marLeft w:val="0"/>
              <w:marRight w:val="0"/>
              <w:marTop w:val="0"/>
              <w:marBottom w:val="0"/>
              <w:divBdr>
                <w:top w:val="none" w:sz="0" w:space="0" w:color="auto"/>
                <w:left w:val="none" w:sz="0" w:space="0" w:color="auto"/>
                <w:bottom w:val="none" w:sz="0" w:space="0" w:color="auto"/>
                <w:right w:val="none" w:sz="0" w:space="0" w:color="auto"/>
              </w:divBdr>
            </w:div>
            <w:div w:id="483861378">
              <w:marLeft w:val="0"/>
              <w:marRight w:val="0"/>
              <w:marTop w:val="0"/>
              <w:marBottom w:val="0"/>
              <w:divBdr>
                <w:top w:val="none" w:sz="0" w:space="0" w:color="auto"/>
                <w:left w:val="none" w:sz="0" w:space="0" w:color="auto"/>
                <w:bottom w:val="none" w:sz="0" w:space="0" w:color="auto"/>
                <w:right w:val="none" w:sz="0" w:space="0" w:color="auto"/>
              </w:divBdr>
            </w:div>
            <w:div w:id="759254218">
              <w:marLeft w:val="0"/>
              <w:marRight w:val="0"/>
              <w:marTop w:val="0"/>
              <w:marBottom w:val="0"/>
              <w:divBdr>
                <w:top w:val="none" w:sz="0" w:space="0" w:color="auto"/>
                <w:left w:val="none" w:sz="0" w:space="0" w:color="auto"/>
                <w:bottom w:val="none" w:sz="0" w:space="0" w:color="auto"/>
                <w:right w:val="none" w:sz="0" w:space="0" w:color="auto"/>
              </w:divBdr>
            </w:div>
            <w:div w:id="786194290">
              <w:marLeft w:val="0"/>
              <w:marRight w:val="0"/>
              <w:marTop w:val="0"/>
              <w:marBottom w:val="0"/>
              <w:divBdr>
                <w:top w:val="none" w:sz="0" w:space="0" w:color="auto"/>
                <w:left w:val="none" w:sz="0" w:space="0" w:color="auto"/>
                <w:bottom w:val="none" w:sz="0" w:space="0" w:color="auto"/>
                <w:right w:val="none" w:sz="0" w:space="0" w:color="auto"/>
              </w:divBdr>
            </w:div>
            <w:div w:id="801770711">
              <w:marLeft w:val="0"/>
              <w:marRight w:val="0"/>
              <w:marTop w:val="0"/>
              <w:marBottom w:val="0"/>
              <w:divBdr>
                <w:top w:val="none" w:sz="0" w:space="0" w:color="auto"/>
                <w:left w:val="none" w:sz="0" w:space="0" w:color="auto"/>
                <w:bottom w:val="none" w:sz="0" w:space="0" w:color="auto"/>
                <w:right w:val="none" w:sz="0" w:space="0" w:color="auto"/>
              </w:divBdr>
            </w:div>
            <w:div w:id="805514520">
              <w:marLeft w:val="0"/>
              <w:marRight w:val="0"/>
              <w:marTop w:val="0"/>
              <w:marBottom w:val="0"/>
              <w:divBdr>
                <w:top w:val="none" w:sz="0" w:space="0" w:color="auto"/>
                <w:left w:val="none" w:sz="0" w:space="0" w:color="auto"/>
                <w:bottom w:val="none" w:sz="0" w:space="0" w:color="auto"/>
                <w:right w:val="none" w:sz="0" w:space="0" w:color="auto"/>
              </w:divBdr>
            </w:div>
            <w:div w:id="860969949">
              <w:marLeft w:val="0"/>
              <w:marRight w:val="0"/>
              <w:marTop w:val="0"/>
              <w:marBottom w:val="0"/>
              <w:divBdr>
                <w:top w:val="none" w:sz="0" w:space="0" w:color="auto"/>
                <w:left w:val="none" w:sz="0" w:space="0" w:color="auto"/>
                <w:bottom w:val="none" w:sz="0" w:space="0" w:color="auto"/>
                <w:right w:val="none" w:sz="0" w:space="0" w:color="auto"/>
              </w:divBdr>
            </w:div>
            <w:div w:id="1040469649">
              <w:marLeft w:val="0"/>
              <w:marRight w:val="0"/>
              <w:marTop w:val="0"/>
              <w:marBottom w:val="0"/>
              <w:divBdr>
                <w:top w:val="none" w:sz="0" w:space="0" w:color="auto"/>
                <w:left w:val="none" w:sz="0" w:space="0" w:color="auto"/>
                <w:bottom w:val="none" w:sz="0" w:space="0" w:color="auto"/>
                <w:right w:val="none" w:sz="0" w:space="0" w:color="auto"/>
              </w:divBdr>
            </w:div>
            <w:div w:id="1200901674">
              <w:marLeft w:val="0"/>
              <w:marRight w:val="0"/>
              <w:marTop w:val="0"/>
              <w:marBottom w:val="0"/>
              <w:divBdr>
                <w:top w:val="none" w:sz="0" w:space="0" w:color="auto"/>
                <w:left w:val="none" w:sz="0" w:space="0" w:color="auto"/>
                <w:bottom w:val="none" w:sz="0" w:space="0" w:color="auto"/>
                <w:right w:val="none" w:sz="0" w:space="0" w:color="auto"/>
              </w:divBdr>
            </w:div>
            <w:div w:id="1240560157">
              <w:marLeft w:val="0"/>
              <w:marRight w:val="0"/>
              <w:marTop w:val="0"/>
              <w:marBottom w:val="0"/>
              <w:divBdr>
                <w:top w:val="none" w:sz="0" w:space="0" w:color="auto"/>
                <w:left w:val="none" w:sz="0" w:space="0" w:color="auto"/>
                <w:bottom w:val="none" w:sz="0" w:space="0" w:color="auto"/>
                <w:right w:val="none" w:sz="0" w:space="0" w:color="auto"/>
              </w:divBdr>
            </w:div>
            <w:div w:id="1265382697">
              <w:marLeft w:val="0"/>
              <w:marRight w:val="0"/>
              <w:marTop w:val="0"/>
              <w:marBottom w:val="0"/>
              <w:divBdr>
                <w:top w:val="none" w:sz="0" w:space="0" w:color="auto"/>
                <w:left w:val="none" w:sz="0" w:space="0" w:color="auto"/>
                <w:bottom w:val="none" w:sz="0" w:space="0" w:color="auto"/>
                <w:right w:val="none" w:sz="0" w:space="0" w:color="auto"/>
              </w:divBdr>
            </w:div>
            <w:div w:id="1377778562">
              <w:marLeft w:val="0"/>
              <w:marRight w:val="0"/>
              <w:marTop w:val="0"/>
              <w:marBottom w:val="0"/>
              <w:divBdr>
                <w:top w:val="none" w:sz="0" w:space="0" w:color="auto"/>
                <w:left w:val="none" w:sz="0" w:space="0" w:color="auto"/>
                <w:bottom w:val="none" w:sz="0" w:space="0" w:color="auto"/>
                <w:right w:val="none" w:sz="0" w:space="0" w:color="auto"/>
              </w:divBdr>
            </w:div>
            <w:div w:id="1646399550">
              <w:marLeft w:val="0"/>
              <w:marRight w:val="0"/>
              <w:marTop w:val="0"/>
              <w:marBottom w:val="0"/>
              <w:divBdr>
                <w:top w:val="none" w:sz="0" w:space="0" w:color="auto"/>
                <w:left w:val="none" w:sz="0" w:space="0" w:color="auto"/>
                <w:bottom w:val="none" w:sz="0" w:space="0" w:color="auto"/>
                <w:right w:val="none" w:sz="0" w:space="0" w:color="auto"/>
              </w:divBdr>
            </w:div>
            <w:div w:id="1673607863">
              <w:marLeft w:val="0"/>
              <w:marRight w:val="0"/>
              <w:marTop w:val="0"/>
              <w:marBottom w:val="0"/>
              <w:divBdr>
                <w:top w:val="none" w:sz="0" w:space="0" w:color="auto"/>
                <w:left w:val="none" w:sz="0" w:space="0" w:color="auto"/>
                <w:bottom w:val="none" w:sz="0" w:space="0" w:color="auto"/>
                <w:right w:val="none" w:sz="0" w:space="0" w:color="auto"/>
              </w:divBdr>
            </w:div>
            <w:div w:id="1976793031">
              <w:marLeft w:val="0"/>
              <w:marRight w:val="0"/>
              <w:marTop w:val="0"/>
              <w:marBottom w:val="0"/>
              <w:divBdr>
                <w:top w:val="none" w:sz="0" w:space="0" w:color="auto"/>
                <w:left w:val="none" w:sz="0" w:space="0" w:color="auto"/>
                <w:bottom w:val="none" w:sz="0" w:space="0" w:color="auto"/>
                <w:right w:val="none" w:sz="0" w:space="0" w:color="auto"/>
              </w:divBdr>
            </w:div>
            <w:div w:id="2053572952">
              <w:marLeft w:val="0"/>
              <w:marRight w:val="0"/>
              <w:marTop w:val="0"/>
              <w:marBottom w:val="0"/>
              <w:divBdr>
                <w:top w:val="none" w:sz="0" w:space="0" w:color="auto"/>
                <w:left w:val="none" w:sz="0" w:space="0" w:color="auto"/>
                <w:bottom w:val="none" w:sz="0" w:space="0" w:color="auto"/>
                <w:right w:val="none" w:sz="0" w:space="0" w:color="auto"/>
              </w:divBdr>
            </w:div>
          </w:divsChild>
        </w:div>
        <w:div w:id="1099136881">
          <w:marLeft w:val="0"/>
          <w:marRight w:val="0"/>
          <w:marTop w:val="0"/>
          <w:marBottom w:val="0"/>
          <w:divBdr>
            <w:top w:val="none" w:sz="0" w:space="0" w:color="auto"/>
            <w:left w:val="none" w:sz="0" w:space="0" w:color="auto"/>
            <w:bottom w:val="none" w:sz="0" w:space="0" w:color="auto"/>
            <w:right w:val="none" w:sz="0" w:space="0" w:color="auto"/>
          </w:divBdr>
        </w:div>
        <w:div w:id="1118111918">
          <w:marLeft w:val="0"/>
          <w:marRight w:val="0"/>
          <w:marTop w:val="0"/>
          <w:marBottom w:val="0"/>
          <w:divBdr>
            <w:top w:val="none" w:sz="0" w:space="0" w:color="auto"/>
            <w:left w:val="none" w:sz="0" w:space="0" w:color="auto"/>
            <w:bottom w:val="none" w:sz="0" w:space="0" w:color="auto"/>
            <w:right w:val="none" w:sz="0" w:space="0" w:color="auto"/>
          </w:divBdr>
        </w:div>
        <w:div w:id="1119683903">
          <w:marLeft w:val="0"/>
          <w:marRight w:val="0"/>
          <w:marTop w:val="0"/>
          <w:marBottom w:val="0"/>
          <w:divBdr>
            <w:top w:val="none" w:sz="0" w:space="0" w:color="auto"/>
            <w:left w:val="none" w:sz="0" w:space="0" w:color="auto"/>
            <w:bottom w:val="none" w:sz="0" w:space="0" w:color="auto"/>
            <w:right w:val="none" w:sz="0" w:space="0" w:color="auto"/>
          </w:divBdr>
        </w:div>
        <w:div w:id="1123229472">
          <w:marLeft w:val="0"/>
          <w:marRight w:val="0"/>
          <w:marTop w:val="0"/>
          <w:marBottom w:val="0"/>
          <w:divBdr>
            <w:top w:val="none" w:sz="0" w:space="0" w:color="auto"/>
            <w:left w:val="none" w:sz="0" w:space="0" w:color="auto"/>
            <w:bottom w:val="none" w:sz="0" w:space="0" w:color="auto"/>
            <w:right w:val="none" w:sz="0" w:space="0" w:color="auto"/>
          </w:divBdr>
        </w:div>
        <w:div w:id="1134643908">
          <w:marLeft w:val="0"/>
          <w:marRight w:val="0"/>
          <w:marTop w:val="0"/>
          <w:marBottom w:val="0"/>
          <w:divBdr>
            <w:top w:val="none" w:sz="0" w:space="0" w:color="auto"/>
            <w:left w:val="none" w:sz="0" w:space="0" w:color="auto"/>
            <w:bottom w:val="none" w:sz="0" w:space="0" w:color="auto"/>
            <w:right w:val="none" w:sz="0" w:space="0" w:color="auto"/>
          </w:divBdr>
        </w:div>
        <w:div w:id="1135683263">
          <w:marLeft w:val="0"/>
          <w:marRight w:val="0"/>
          <w:marTop w:val="0"/>
          <w:marBottom w:val="0"/>
          <w:divBdr>
            <w:top w:val="none" w:sz="0" w:space="0" w:color="auto"/>
            <w:left w:val="none" w:sz="0" w:space="0" w:color="auto"/>
            <w:bottom w:val="none" w:sz="0" w:space="0" w:color="auto"/>
            <w:right w:val="none" w:sz="0" w:space="0" w:color="auto"/>
          </w:divBdr>
        </w:div>
        <w:div w:id="1155030207">
          <w:marLeft w:val="0"/>
          <w:marRight w:val="0"/>
          <w:marTop w:val="0"/>
          <w:marBottom w:val="0"/>
          <w:divBdr>
            <w:top w:val="none" w:sz="0" w:space="0" w:color="auto"/>
            <w:left w:val="none" w:sz="0" w:space="0" w:color="auto"/>
            <w:bottom w:val="none" w:sz="0" w:space="0" w:color="auto"/>
            <w:right w:val="none" w:sz="0" w:space="0" w:color="auto"/>
          </w:divBdr>
        </w:div>
        <w:div w:id="1189100245">
          <w:marLeft w:val="0"/>
          <w:marRight w:val="0"/>
          <w:marTop w:val="0"/>
          <w:marBottom w:val="0"/>
          <w:divBdr>
            <w:top w:val="none" w:sz="0" w:space="0" w:color="auto"/>
            <w:left w:val="none" w:sz="0" w:space="0" w:color="auto"/>
            <w:bottom w:val="none" w:sz="0" w:space="0" w:color="auto"/>
            <w:right w:val="none" w:sz="0" w:space="0" w:color="auto"/>
          </w:divBdr>
        </w:div>
        <w:div w:id="1192376157">
          <w:marLeft w:val="0"/>
          <w:marRight w:val="0"/>
          <w:marTop w:val="0"/>
          <w:marBottom w:val="0"/>
          <w:divBdr>
            <w:top w:val="none" w:sz="0" w:space="0" w:color="auto"/>
            <w:left w:val="none" w:sz="0" w:space="0" w:color="auto"/>
            <w:bottom w:val="none" w:sz="0" w:space="0" w:color="auto"/>
            <w:right w:val="none" w:sz="0" w:space="0" w:color="auto"/>
          </w:divBdr>
        </w:div>
        <w:div w:id="1203322965">
          <w:marLeft w:val="0"/>
          <w:marRight w:val="0"/>
          <w:marTop w:val="0"/>
          <w:marBottom w:val="0"/>
          <w:divBdr>
            <w:top w:val="none" w:sz="0" w:space="0" w:color="auto"/>
            <w:left w:val="none" w:sz="0" w:space="0" w:color="auto"/>
            <w:bottom w:val="none" w:sz="0" w:space="0" w:color="auto"/>
            <w:right w:val="none" w:sz="0" w:space="0" w:color="auto"/>
          </w:divBdr>
        </w:div>
        <w:div w:id="1233082468">
          <w:marLeft w:val="0"/>
          <w:marRight w:val="0"/>
          <w:marTop w:val="0"/>
          <w:marBottom w:val="0"/>
          <w:divBdr>
            <w:top w:val="none" w:sz="0" w:space="0" w:color="auto"/>
            <w:left w:val="none" w:sz="0" w:space="0" w:color="auto"/>
            <w:bottom w:val="none" w:sz="0" w:space="0" w:color="auto"/>
            <w:right w:val="none" w:sz="0" w:space="0" w:color="auto"/>
          </w:divBdr>
        </w:div>
        <w:div w:id="1251813691">
          <w:marLeft w:val="0"/>
          <w:marRight w:val="0"/>
          <w:marTop w:val="0"/>
          <w:marBottom w:val="0"/>
          <w:divBdr>
            <w:top w:val="none" w:sz="0" w:space="0" w:color="auto"/>
            <w:left w:val="none" w:sz="0" w:space="0" w:color="auto"/>
            <w:bottom w:val="none" w:sz="0" w:space="0" w:color="auto"/>
            <w:right w:val="none" w:sz="0" w:space="0" w:color="auto"/>
          </w:divBdr>
        </w:div>
        <w:div w:id="1263027049">
          <w:marLeft w:val="0"/>
          <w:marRight w:val="0"/>
          <w:marTop w:val="0"/>
          <w:marBottom w:val="0"/>
          <w:divBdr>
            <w:top w:val="none" w:sz="0" w:space="0" w:color="auto"/>
            <w:left w:val="none" w:sz="0" w:space="0" w:color="auto"/>
            <w:bottom w:val="none" w:sz="0" w:space="0" w:color="auto"/>
            <w:right w:val="none" w:sz="0" w:space="0" w:color="auto"/>
          </w:divBdr>
        </w:div>
        <w:div w:id="1268466361">
          <w:marLeft w:val="0"/>
          <w:marRight w:val="0"/>
          <w:marTop w:val="0"/>
          <w:marBottom w:val="0"/>
          <w:divBdr>
            <w:top w:val="none" w:sz="0" w:space="0" w:color="auto"/>
            <w:left w:val="none" w:sz="0" w:space="0" w:color="auto"/>
            <w:bottom w:val="none" w:sz="0" w:space="0" w:color="auto"/>
            <w:right w:val="none" w:sz="0" w:space="0" w:color="auto"/>
          </w:divBdr>
        </w:div>
        <w:div w:id="1270432938">
          <w:marLeft w:val="0"/>
          <w:marRight w:val="0"/>
          <w:marTop w:val="0"/>
          <w:marBottom w:val="0"/>
          <w:divBdr>
            <w:top w:val="none" w:sz="0" w:space="0" w:color="auto"/>
            <w:left w:val="none" w:sz="0" w:space="0" w:color="auto"/>
            <w:bottom w:val="none" w:sz="0" w:space="0" w:color="auto"/>
            <w:right w:val="none" w:sz="0" w:space="0" w:color="auto"/>
          </w:divBdr>
        </w:div>
        <w:div w:id="1280722299">
          <w:marLeft w:val="0"/>
          <w:marRight w:val="0"/>
          <w:marTop w:val="0"/>
          <w:marBottom w:val="0"/>
          <w:divBdr>
            <w:top w:val="none" w:sz="0" w:space="0" w:color="auto"/>
            <w:left w:val="none" w:sz="0" w:space="0" w:color="auto"/>
            <w:bottom w:val="none" w:sz="0" w:space="0" w:color="auto"/>
            <w:right w:val="none" w:sz="0" w:space="0" w:color="auto"/>
          </w:divBdr>
        </w:div>
        <w:div w:id="1284964877">
          <w:marLeft w:val="0"/>
          <w:marRight w:val="0"/>
          <w:marTop w:val="0"/>
          <w:marBottom w:val="0"/>
          <w:divBdr>
            <w:top w:val="none" w:sz="0" w:space="0" w:color="auto"/>
            <w:left w:val="none" w:sz="0" w:space="0" w:color="auto"/>
            <w:bottom w:val="none" w:sz="0" w:space="0" w:color="auto"/>
            <w:right w:val="none" w:sz="0" w:space="0" w:color="auto"/>
          </w:divBdr>
        </w:div>
        <w:div w:id="1297178628">
          <w:marLeft w:val="0"/>
          <w:marRight w:val="0"/>
          <w:marTop w:val="0"/>
          <w:marBottom w:val="0"/>
          <w:divBdr>
            <w:top w:val="none" w:sz="0" w:space="0" w:color="auto"/>
            <w:left w:val="none" w:sz="0" w:space="0" w:color="auto"/>
            <w:bottom w:val="none" w:sz="0" w:space="0" w:color="auto"/>
            <w:right w:val="none" w:sz="0" w:space="0" w:color="auto"/>
          </w:divBdr>
        </w:div>
        <w:div w:id="1318001670">
          <w:marLeft w:val="0"/>
          <w:marRight w:val="0"/>
          <w:marTop w:val="0"/>
          <w:marBottom w:val="0"/>
          <w:divBdr>
            <w:top w:val="none" w:sz="0" w:space="0" w:color="auto"/>
            <w:left w:val="none" w:sz="0" w:space="0" w:color="auto"/>
            <w:bottom w:val="none" w:sz="0" w:space="0" w:color="auto"/>
            <w:right w:val="none" w:sz="0" w:space="0" w:color="auto"/>
          </w:divBdr>
        </w:div>
        <w:div w:id="1328705012">
          <w:marLeft w:val="0"/>
          <w:marRight w:val="0"/>
          <w:marTop w:val="0"/>
          <w:marBottom w:val="0"/>
          <w:divBdr>
            <w:top w:val="none" w:sz="0" w:space="0" w:color="auto"/>
            <w:left w:val="none" w:sz="0" w:space="0" w:color="auto"/>
            <w:bottom w:val="none" w:sz="0" w:space="0" w:color="auto"/>
            <w:right w:val="none" w:sz="0" w:space="0" w:color="auto"/>
          </w:divBdr>
        </w:div>
        <w:div w:id="1347751823">
          <w:marLeft w:val="0"/>
          <w:marRight w:val="0"/>
          <w:marTop w:val="0"/>
          <w:marBottom w:val="0"/>
          <w:divBdr>
            <w:top w:val="none" w:sz="0" w:space="0" w:color="auto"/>
            <w:left w:val="none" w:sz="0" w:space="0" w:color="auto"/>
            <w:bottom w:val="none" w:sz="0" w:space="0" w:color="auto"/>
            <w:right w:val="none" w:sz="0" w:space="0" w:color="auto"/>
          </w:divBdr>
        </w:div>
        <w:div w:id="1366979776">
          <w:marLeft w:val="0"/>
          <w:marRight w:val="0"/>
          <w:marTop w:val="0"/>
          <w:marBottom w:val="0"/>
          <w:divBdr>
            <w:top w:val="none" w:sz="0" w:space="0" w:color="auto"/>
            <w:left w:val="none" w:sz="0" w:space="0" w:color="auto"/>
            <w:bottom w:val="none" w:sz="0" w:space="0" w:color="auto"/>
            <w:right w:val="none" w:sz="0" w:space="0" w:color="auto"/>
          </w:divBdr>
        </w:div>
        <w:div w:id="1372728222">
          <w:marLeft w:val="0"/>
          <w:marRight w:val="0"/>
          <w:marTop w:val="0"/>
          <w:marBottom w:val="0"/>
          <w:divBdr>
            <w:top w:val="none" w:sz="0" w:space="0" w:color="auto"/>
            <w:left w:val="none" w:sz="0" w:space="0" w:color="auto"/>
            <w:bottom w:val="none" w:sz="0" w:space="0" w:color="auto"/>
            <w:right w:val="none" w:sz="0" w:space="0" w:color="auto"/>
          </w:divBdr>
        </w:div>
        <w:div w:id="1376857168">
          <w:marLeft w:val="0"/>
          <w:marRight w:val="0"/>
          <w:marTop w:val="0"/>
          <w:marBottom w:val="0"/>
          <w:divBdr>
            <w:top w:val="none" w:sz="0" w:space="0" w:color="auto"/>
            <w:left w:val="none" w:sz="0" w:space="0" w:color="auto"/>
            <w:bottom w:val="none" w:sz="0" w:space="0" w:color="auto"/>
            <w:right w:val="none" w:sz="0" w:space="0" w:color="auto"/>
          </w:divBdr>
        </w:div>
        <w:div w:id="1386098795">
          <w:marLeft w:val="0"/>
          <w:marRight w:val="0"/>
          <w:marTop w:val="0"/>
          <w:marBottom w:val="0"/>
          <w:divBdr>
            <w:top w:val="none" w:sz="0" w:space="0" w:color="auto"/>
            <w:left w:val="none" w:sz="0" w:space="0" w:color="auto"/>
            <w:bottom w:val="none" w:sz="0" w:space="0" w:color="auto"/>
            <w:right w:val="none" w:sz="0" w:space="0" w:color="auto"/>
          </w:divBdr>
        </w:div>
        <w:div w:id="1391534698">
          <w:marLeft w:val="0"/>
          <w:marRight w:val="0"/>
          <w:marTop w:val="0"/>
          <w:marBottom w:val="0"/>
          <w:divBdr>
            <w:top w:val="none" w:sz="0" w:space="0" w:color="auto"/>
            <w:left w:val="none" w:sz="0" w:space="0" w:color="auto"/>
            <w:bottom w:val="none" w:sz="0" w:space="0" w:color="auto"/>
            <w:right w:val="none" w:sz="0" w:space="0" w:color="auto"/>
          </w:divBdr>
        </w:div>
        <w:div w:id="1404180003">
          <w:marLeft w:val="0"/>
          <w:marRight w:val="0"/>
          <w:marTop w:val="0"/>
          <w:marBottom w:val="0"/>
          <w:divBdr>
            <w:top w:val="none" w:sz="0" w:space="0" w:color="auto"/>
            <w:left w:val="none" w:sz="0" w:space="0" w:color="auto"/>
            <w:bottom w:val="none" w:sz="0" w:space="0" w:color="auto"/>
            <w:right w:val="none" w:sz="0" w:space="0" w:color="auto"/>
          </w:divBdr>
        </w:div>
        <w:div w:id="1435443921">
          <w:marLeft w:val="0"/>
          <w:marRight w:val="0"/>
          <w:marTop w:val="0"/>
          <w:marBottom w:val="0"/>
          <w:divBdr>
            <w:top w:val="none" w:sz="0" w:space="0" w:color="auto"/>
            <w:left w:val="none" w:sz="0" w:space="0" w:color="auto"/>
            <w:bottom w:val="none" w:sz="0" w:space="0" w:color="auto"/>
            <w:right w:val="none" w:sz="0" w:space="0" w:color="auto"/>
          </w:divBdr>
        </w:div>
        <w:div w:id="1440295142">
          <w:marLeft w:val="0"/>
          <w:marRight w:val="0"/>
          <w:marTop w:val="0"/>
          <w:marBottom w:val="0"/>
          <w:divBdr>
            <w:top w:val="none" w:sz="0" w:space="0" w:color="auto"/>
            <w:left w:val="none" w:sz="0" w:space="0" w:color="auto"/>
            <w:bottom w:val="none" w:sz="0" w:space="0" w:color="auto"/>
            <w:right w:val="none" w:sz="0" w:space="0" w:color="auto"/>
          </w:divBdr>
        </w:div>
        <w:div w:id="1443964244">
          <w:marLeft w:val="0"/>
          <w:marRight w:val="0"/>
          <w:marTop w:val="0"/>
          <w:marBottom w:val="0"/>
          <w:divBdr>
            <w:top w:val="none" w:sz="0" w:space="0" w:color="auto"/>
            <w:left w:val="none" w:sz="0" w:space="0" w:color="auto"/>
            <w:bottom w:val="none" w:sz="0" w:space="0" w:color="auto"/>
            <w:right w:val="none" w:sz="0" w:space="0" w:color="auto"/>
          </w:divBdr>
        </w:div>
        <w:div w:id="1448815972">
          <w:marLeft w:val="0"/>
          <w:marRight w:val="0"/>
          <w:marTop w:val="0"/>
          <w:marBottom w:val="0"/>
          <w:divBdr>
            <w:top w:val="none" w:sz="0" w:space="0" w:color="auto"/>
            <w:left w:val="none" w:sz="0" w:space="0" w:color="auto"/>
            <w:bottom w:val="none" w:sz="0" w:space="0" w:color="auto"/>
            <w:right w:val="none" w:sz="0" w:space="0" w:color="auto"/>
          </w:divBdr>
        </w:div>
        <w:div w:id="1467356789">
          <w:marLeft w:val="0"/>
          <w:marRight w:val="0"/>
          <w:marTop w:val="0"/>
          <w:marBottom w:val="0"/>
          <w:divBdr>
            <w:top w:val="none" w:sz="0" w:space="0" w:color="auto"/>
            <w:left w:val="none" w:sz="0" w:space="0" w:color="auto"/>
            <w:bottom w:val="none" w:sz="0" w:space="0" w:color="auto"/>
            <w:right w:val="none" w:sz="0" w:space="0" w:color="auto"/>
          </w:divBdr>
        </w:div>
        <w:div w:id="1474445434">
          <w:marLeft w:val="0"/>
          <w:marRight w:val="0"/>
          <w:marTop w:val="0"/>
          <w:marBottom w:val="0"/>
          <w:divBdr>
            <w:top w:val="none" w:sz="0" w:space="0" w:color="auto"/>
            <w:left w:val="none" w:sz="0" w:space="0" w:color="auto"/>
            <w:bottom w:val="none" w:sz="0" w:space="0" w:color="auto"/>
            <w:right w:val="none" w:sz="0" w:space="0" w:color="auto"/>
          </w:divBdr>
        </w:div>
        <w:div w:id="1496336583">
          <w:marLeft w:val="0"/>
          <w:marRight w:val="0"/>
          <w:marTop w:val="0"/>
          <w:marBottom w:val="0"/>
          <w:divBdr>
            <w:top w:val="none" w:sz="0" w:space="0" w:color="auto"/>
            <w:left w:val="none" w:sz="0" w:space="0" w:color="auto"/>
            <w:bottom w:val="none" w:sz="0" w:space="0" w:color="auto"/>
            <w:right w:val="none" w:sz="0" w:space="0" w:color="auto"/>
          </w:divBdr>
        </w:div>
        <w:div w:id="1524054981">
          <w:marLeft w:val="0"/>
          <w:marRight w:val="0"/>
          <w:marTop w:val="0"/>
          <w:marBottom w:val="0"/>
          <w:divBdr>
            <w:top w:val="none" w:sz="0" w:space="0" w:color="auto"/>
            <w:left w:val="none" w:sz="0" w:space="0" w:color="auto"/>
            <w:bottom w:val="none" w:sz="0" w:space="0" w:color="auto"/>
            <w:right w:val="none" w:sz="0" w:space="0" w:color="auto"/>
          </w:divBdr>
        </w:div>
        <w:div w:id="1529100541">
          <w:marLeft w:val="0"/>
          <w:marRight w:val="0"/>
          <w:marTop w:val="0"/>
          <w:marBottom w:val="0"/>
          <w:divBdr>
            <w:top w:val="none" w:sz="0" w:space="0" w:color="auto"/>
            <w:left w:val="none" w:sz="0" w:space="0" w:color="auto"/>
            <w:bottom w:val="none" w:sz="0" w:space="0" w:color="auto"/>
            <w:right w:val="none" w:sz="0" w:space="0" w:color="auto"/>
          </w:divBdr>
        </w:div>
        <w:div w:id="1529561508">
          <w:marLeft w:val="0"/>
          <w:marRight w:val="0"/>
          <w:marTop w:val="0"/>
          <w:marBottom w:val="0"/>
          <w:divBdr>
            <w:top w:val="none" w:sz="0" w:space="0" w:color="auto"/>
            <w:left w:val="none" w:sz="0" w:space="0" w:color="auto"/>
            <w:bottom w:val="none" w:sz="0" w:space="0" w:color="auto"/>
            <w:right w:val="none" w:sz="0" w:space="0" w:color="auto"/>
          </w:divBdr>
        </w:div>
        <w:div w:id="1530070616">
          <w:marLeft w:val="0"/>
          <w:marRight w:val="0"/>
          <w:marTop w:val="0"/>
          <w:marBottom w:val="0"/>
          <w:divBdr>
            <w:top w:val="none" w:sz="0" w:space="0" w:color="auto"/>
            <w:left w:val="none" w:sz="0" w:space="0" w:color="auto"/>
            <w:bottom w:val="none" w:sz="0" w:space="0" w:color="auto"/>
            <w:right w:val="none" w:sz="0" w:space="0" w:color="auto"/>
          </w:divBdr>
        </w:div>
        <w:div w:id="1534806637">
          <w:marLeft w:val="0"/>
          <w:marRight w:val="0"/>
          <w:marTop w:val="0"/>
          <w:marBottom w:val="0"/>
          <w:divBdr>
            <w:top w:val="none" w:sz="0" w:space="0" w:color="auto"/>
            <w:left w:val="none" w:sz="0" w:space="0" w:color="auto"/>
            <w:bottom w:val="none" w:sz="0" w:space="0" w:color="auto"/>
            <w:right w:val="none" w:sz="0" w:space="0" w:color="auto"/>
          </w:divBdr>
        </w:div>
        <w:div w:id="1534882627">
          <w:marLeft w:val="0"/>
          <w:marRight w:val="0"/>
          <w:marTop w:val="0"/>
          <w:marBottom w:val="0"/>
          <w:divBdr>
            <w:top w:val="none" w:sz="0" w:space="0" w:color="auto"/>
            <w:left w:val="none" w:sz="0" w:space="0" w:color="auto"/>
            <w:bottom w:val="none" w:sz="0" w:space="0" w:color="auto"/>
            <w:right w:val="none" w:sz="0" w:space="0" w:color="auto"/>
          </w:divBdr>
        </w:div>
        <w:div w:id="1539971695">
          <w:marLeft w:val="0"/>
          <w:marRight w:val="0"/>
          <w:marTop w:val="0"/>
          <w:marBottom w:val="0"/>
          <w:divBdr>
            <w:top w:val="none" w:sz="0" w:space="0" w:color="auto"/>
            <w:left w:val="none" w:sz="0" w:space="0" w:color="auto"/>
            <w:bottom w:val="none" w:sz="0" w:space="0" w:color="auto"/>
            <w:right w:val="none" w:sz="0" w:space="0" w:color="auto"/>
          </w:divBdr>
        </w:div>
        <w:div w:id="1540046105">
          <w:marLeft w:val="0"/>
          <w:marRight w:val="0"/>
          <w:marTop w:val="0"/>
          <w:marBottom w:val="0"/>
          <w:divBdr>
            <w:top w:val="none" w:sz="0" w:space="0" w:color="auto"/>
            <w:left w:val="none" w:sz="0" w:space="0" w:color="auto"/>
            <w:bottom w:val="none" w:sz="0" w:space="0" w:color="auto"/>
            <w:right w:val="none" w:sz="0" w:space="0" w:color="auto"/>
          </w:divBdr>
        </w:div>
        <w:div w:id="1564368713">
          <w:marLeft w:val="0"/>
          <w:marRight w:val="0"/>
          <w:marTop w:val="0"/>
          <w:marBottom w:val="0"/>
          <w:divBdr>
            <w:top w:val="none" w:sz="0" w:space="0" w:color="auto"/>
            <w:left w:val="none" w:sz="0" w:space="0" w:color="auto"/>
            <w:bottom w:val="none" w:sz="0" w:space="0" w:color="auto"/>
            <w:right w:val="none" w:sz="0" w:space="0" w:color="auto"/>
          </w:divBdr>
        </w:div>
        <w:div w:id="1565409986">
          <w:marLeft w:val="0"/>
          <w:marRight w:val="0"/>
          <w:marTop w:val="0"/>
          <w:marBottom w:val="0"/>
          <w:divBdr>
            <w:top w:val="none" w:sz="0" w:space="0" w:color="auto"/>
            <w:left w:val="none" w:sz="0" w:space="0" w:color="auto"/>
            <w:bottom w:val="none" w:sz="0" w:space="0" w:color="auto"/>
            <w:right w:val="none" w:sz="0" w:space="0" w:color="auto"/>
          </w:divBdr>
        </w:div>
        <w:div w:id="1572499143">
          <w:marLeft w:val="0"/>
          <w:marRight w:val="0"/>
          <w:marTop w:val="0"/>
          <w:marBottom w:val="0"/>
          <w:divBdr>
            <w:top w:val="none" w:sz="0" w:space="0" w:color="auto"/>
            <w:left w:val="none" w:sz="0" w:space="0" w:color="auto"/>
            <w:bottom w:val="none" w:sz="0" w:space="0" w:color="auto"/>
            <w:right w:val="none" w:sz="0" w:space="0" w:color="auto"/>
          </w:divBdr>
        </w:div>
        <w:div w:id="1588149300">
          <w:marLeft w:val="0"/>
          <w:marRight w:val="0"/>
          <w:marTop w:val="0"/>
          <w:marBottom w:val="0"/>
          <w:divBdr>
            <w:top w:val="none" w:sz="0" w:space="0" w:color="auto"/>
            <w:left w:val="none" w:sz="0" w:space="0" w:color="auto"/>
            <w:bottom w:val="none" w:sz="0" w:space="0" w:color="auto"/>
            <w:right w:val="none" w:sz="0" w:space="0" w:color="auto"/>
          </w:divBdr>
        </w:div>
        <w:div w:id="1600986880">
          <w:marLeft w:val="0"/>
          <w:marRight w:val="0"/>
          <w:marTop w:val="0"/>
          <w:marBottom w:val="0"/>
          <w:divBdr>
            <w:top w:val="none" w:sz="0" w:space="0" w:color="auto"/>
            <w:left w:val="none" w:sz="0" w:space="0" w:color="auto"/>
            <w:bottom w:val="none" w:sz="0" w:space="0" w:color="auto"/>
            <w:right w:val="none" w:sz="0" w:space="0" w:color="auto"/>
          </w:divBdr>
        </w:div>
        <w:div w:id="1607618846">
          <w:marLeft w:val="0"/>
          <w:marRight w:val="0"/>
          <w:marTop w:val="0"/>
          <w:marBottom w:val="0"/>
          <w:divBdr>
            <w:top w:val="none" w:sz="0" w:space="0" w:color="auto"/>
            <w:left w:val="none" w:sz="0" w:space="0" w:color="auto"/>
            <w:bottom w:val="none" w:sz="0" w:space="0" w:color="auto"/>
            <w:right w:val="none" w:sz="0" w:space="0" w:color="auto"/>
          </w:divBdr>
        </w:div>
        <w:div w:id="1610578838">
          <w:marLeft w:val="0"/>
          <w:marRight w:val="0"/>
          <w:marTop w:val="0"/>
          <w:marBottom w:val="0"/>
          <w:divBdr>
            <w:top w:val="none" w:sz="0" w:space="0" w:color="auto"/>
            <w:left w:val="none" w:sz="0" w:space="0" w:color="auto"/>
            <w:bottom w:val="none" w:sz="0" w:space="0" w:color="auto"/>
            <w:right w:val="none" w:sz="0" w:space="0" w:color="auto"/>
          </w:divBdr>
        </w:div>
        <w:div w:id="1630358839">
          <w:marLeft w:val="0"/>
          <w:marRight w:val="0"/>
          <w:marTop w:val="0"/>
          <w:marBottom w:val="0"/>
          <w:divBdr>
            <w:top w:val="none" w:sz="0" w:space="0" w:color="auto"/>
            <w:left w:val="none" w:sz="0" w:space="0" w:color="auto"/>
            <w:bottom w:val="none" w:sz="0" w:space="0" w:color="auto"/>
            <w:right w:val="none" w:sz="0" w:space="0" w:color="auto"/>
          </w:divBdr>
        </w:div>
        <w:div w:id="1652784254">
          <w:marLeft w:val="0"/>
          <w:marRight w:val="0"/>
          <w:marTop w:val="0"/>
          <w:marBottom w:val="0"/>
          <w:divBdr>
            <w:top w:val="none" w:sz="0" w:space="0" w:color="auto"/>
            <w:left w:val="none" w:sz="0" w:space="0" w:color="auto"/>
            <w:bottom w:val="none" w:sz="0" w:space="0" w:color="auto"/>
            <w:right w:val="none" w:sz="0" w:space="0" w:color="auto"/>
          </w:divBdr>
        </w:div>
        <w:div w:id="1653439442">
          <w:marLeft w:val="0"/>
          <w:marRight w:val="0"/>
          <w:marTop w:val="0"/>
          <w:marBottom w:val="0"/>
          <w:divBdr>
            <w:top w:val="none" w:sz="0" w:space="0" w:color="auto"/>
            <w:left w:val="none" w:sz="0" w:space="0" w:color="auto"/>
            <w:bottom w:val="none" w:sz="0" w:space="0" w:color="auto"/>
            <w:right w:val="none" w:sz="0" w:space="0" w:color="auto"/>
          </w:divBdr>
          <w:divsChild>
            <w:div w:id="97452380">
              <w:marLeft w:val="0"/>
              <w:marRight w:val="0"/>
              <w:marTop w:val="0"/>
              <w:marBottom w:val="0"/>
              <w:divBdr>
                <w:top w:val="none" w:sz="0" w:space="0" w:color="auto"/>
                <w:left w:val="none" w:sz="0" w:space="0" w:color="auto"/>
                <w:bottom w:val="none" w:sz="0" w:space="0" w:color="auto"/>
                <w:right w:val="none" w:sz="0" w:space="0" w:color="auto"/>
              </w:divBdr>
            </w:div>
            <w:div w:id="151219250">
              <w:marLeft w:val="0"/>
              <w:marRight w:val="0"/>
              <w:marTop w:val="0"/>
              <w:marBottom w:val="0"/>
              <w:divBdr>
                <w:top w:val="none" w:sz="0" w:space="0" w:color="auto"/>
                <w:left w:val="none" w:sz="0" w:space="0" w:color="auto"/>
                <w:bottom w:val="none" w:sz="0" w:space="0" w:color="auto"/>
                <w:right w:val="none" w:sz="0" w:space="0" w:color="auto"/>
              </w:divBdr>
            </w:div>
            <w:div w:id="290676949">
              <w:marLeft w:val="0"/>
              <w:marRight w:val="0"/>
              <w:marTop w:val="0"/>
              <w:marBottom w:val="0"/>
              <w:divBdr>
                <w:top w:val="none" w:sz="0" w:space="0" w:color="auto"/>
                <w:left w:val="none" w:sz="0" w:space="0" w:color="auto"/>
                <w:bottom w:val="none" w:sz="0" w:space="0" w:color="auto"/>
                <w:right w:val="none" w:sz="0" w:space="0" w:color="auto"/>
              </w:divBdr>
            </w:div>
            <w:div w:id="353506171">
              <w:marLeft w:val="0"/>
              <w:marRight w:val="0"/>
              <w:marTop w:val="0"/>
              <w:marBottom w:val="0"/>
              <w:divBdr>
                <w:top w:val="none" w:sz="0" w:space="0" w:color="auto"/>
                <w:left w:val="none" w:sz="0" w:space="0" w:color="auto"/>
                <w:bottom w:val="none" w:sz="0" w:space="0" w:color="auto"/>
                <w:right w:val="none" w:sz="0" w:space="0" w:color="auto"/>
              </w:divBdr>
            </w:div>
            <w:div w:id="483860726">
              <w:marLeft w:val="0"/>
              <w:marRight w:val="0"/>
              <w:marTop w:val="0"/>
              <w:marBottom w:val="0"/>
              <w:divBdr>
                <w:top w:val="none" w:sz="0" w:space="0" w:color="auto"/>
                <w:left w:val="none" w:sz="0" w:space="0" w:color="auto"/>
                <w:bottom w:val="none" w:sz="0" w:space="0" w:color="auto"/>
                <w:right w:val="none" w:sz="0" w:space="0" w:color="auto"/>
              </w:divBdr>
            </w:div>
            <w:div w:id="555091398">
              <w:marLeft w:val="0"/>
              <w:marRight w:val="0"/>
              <w:marTop w:val="0"/>
              <w:marBottom w:val="0"/>
              <w:divBdr>
                <w:top w:val="none" w:sz="0" w:space="0" w:color="auto"/>
                <w:left w:val="none" w:sz="0" w:space="0" w:color="auto"/>
                <w:bottom w:val="none" w:sz="0" w:space="0" w:color="auto"/>
                <w:right w:val="none" w:sz="0" w:space="0" w:color="auto"/>
              </w:divBdr>
            </w:div>
            <w:div w:id="642538224">
              <w:marLeft w:val="0"/>
              <w:marRight w:val="0"/>
              <w:marTop w:val="0"/>
              <w:marBottom w:val="0"/>
              <w:divBdr>
                <w:top w:val="none" w:sz="0" w:space="0" w:color="auto"/>
                <w:left w:val="none" w:sz="0" w:space="0" w:color="auto"/>
                <w:bottom w:val="none" w:sz="0" w:space="0" w:color="auto"/>
                <w:right w:val="none" w:sz="0" w:space="0" w:color="auto"/>
              </w:divBdr>
            </w:div>
            <w:div w:id="714044261">
              <w:marLeft w:val="0"/>
              <w:marRight w:val="0"/>
              <w:marTop w:val="0"/>
              <w:marBottom w:val="0"/>
              <w:divBdr>
                <w:top w:val="none" w:sz="0" w:space="0" w:color="auto"/>
                <w:left w:val="none" w:sz="0" w:space="0" w:color="auto"/>
                <w:bottom w:val="none" w:sz="0" w:space="0" w:color="auto"/>
                <w:right w:val="none" w:sz="0" w:space="0" w:color="auto"/>
              </w:divBdr>
            </w:div>
            <w:div w:id="839538481">
              <w:marLeft w:val="0"/>
              <w:marRight w:val="0"/>
              <w:marTop w:val="0"/>
              <w:marBottom w:val="0"/>
              <w:divBdr>
                <w:top w:val="none" w:sz="0" w:space="0" w:color="auto"/>
                <w:left w:val="none" w:sz="0" w:space="0" w:color="auto"/>
                <w:bottom w:val="none" w:sz="0" w:space="0" w:color="auto"/>
                <w:right w:val="none" w:sz="0" w:space="0" w:color="auto"/>
              </w:divBdr>
            </w:div>
            <w:div w:id="1027297290">
              <w:marLeft w:val="0"/>
              <w:marRight w:val="0"/>
              <w:marTop w:val="0"/>
              <w:marBottom w:val="0"/>
              <w:divBdr>
                <w:top w:val="none" w:sz="0" w:space="0" w:color="auto"/>
                <w:left w:val="none" w:sz="0" w:space="0" w:color="auto"/>
                <w:bottom w:val="none" w:sz="0" w:space="0" w:color="auto"/>
                <w:right w:val="none" w:sz="0" w:space="0" w:color="auto"/>
              </w:divBdr>
            </w:div>
            <w:div w:id="1035619973">
              <w:marLeft w:val="0"/>
              <w:marRight w:val="0"/>
              <w:marTop w:val="0"/>
              <w:marBottom w:val="0"/>
              <w:divBdr>
                <w:top w:val="none" w:sz="0" w:space="0" w:color="auto"/>
                <w:left w:val="none" w:sz="0" w:space="0" w:color="auto"/>
                <w:bottom w:val="none" w:sz="0" w:space="0" w:color="auto"/>
                <w:right w:val="none" w:sz="0" w:space="0" w:color="auto"/>
              </w:divBdr>
            </w:div>
            <w:div w:id="1187057108">
              <w:marLeft w:val="0"/>
              <w:marRight w:val="0"/>
              <w:marTop w:val="0"/>
              <w:marBottom w:val="0"/>
              <w:divBdr>
                <w:top w:val="none" w:sz="0" w:space="0" w:color="auto"/>
                <w:left w:val="none" w:sz="0" w:space="0" w:color="auto"/>
                <w:bottom w:val="none" w:sz="0" w:space="0" w:color="auto"/>
                <w:right w:val="none" w:sz="0" w:space="0" w:color="auto"/>
              </w:divBdr>
            </w:div>
            <w:div w:id="1314605503">
              <w:marLeft w:val="0"/>
              <w:marRight w:val="0"/>
              <w:marTop w:val="0"/>
              <w:marBottom w:val="0"/>
              <w:divBdr>
                <w:top w:val="none" w:sz="0" w:space="0" w:color="auto"/>
                <w:left w:val="none" w:sz="0" w:space="0" w:color="auto"/>
                <w:bottom w:val="none" w:sz="0" w:space="0" w:color="auto"/>
                <w:right w:val="none" w:sz="0" w:space="0" w:color="auto"/>
              </w:divBdr>
            </w:div>
            <w:div w:id="1352881300">
              <w:marLeft w:val="0"/>
              <w:marRight w:val="0"/>
              <w:marTop w:val="0"/>
              <w:marBottom w:val="0"/>
              <w:divBdr>
                <w:top w:val="none" w:sz="0" w:space="0" w:color="auto"/>
                <w:left w:val="none" w:sz="0" w:space="0" w:color="auto"/>
                <w:bottom w:val="none" w:sz="0" w:space="0" w:color="auto"/>
                <w:right w:val="none" w:sz="0" w:space="0" w:color="auto"/>
              </w:divBdr>
            </w:div>
            <w:div w:id="1429152374">
              <w:marLeft w:val="0"/>
              <w:marRight w:val="0"/>
              <w:marTop w:val="0"/>
              <w:marBottom w:val="0"/>
              <w:divBdr>
                <w:top w:val="none" w:sz="0" w:space="0" w:color="auto"/>
                <w:left w:val="none" w:sz="0" w:space="0" w:color="auto"/>
                <w:bottom w:val="none" w:sz="0" w:space="0" w:color="auto"/>
                <w:right w:val="none" w:sz="0" w:space="0" w:color="auto"/>
              </w:divBdr>
            </w:div>
            <w:div w:id="1572151964">
              <w:marLeft w:val="0"/>
              <w:marRight w:val="0"/>
              <w:marTop w:val="0"/>
              <w:marBottom w:val="0"/>
              <w:divBdr>
                <w:top w:val="none" w:sz="0" w:space="0" w:color="auto"/>
                <w:left w:val="none" w:sz="0" w:space="0" w:color="auto"/>
                <w:bottom w:val="none" w:sz="0" w:space="0" w:color="auto"/>
                <w:right w:val="none" w:sz="0" w:space="0" w:color="auto"/>
              </w:divBdr>
            </w:div>
            <w:div w:id="1718041254">
              <w:marLeft w:val="0"/>
              <w:marRight w:val="0"/>
              <w:marTop w:val="0"/>
              <w:marBottom w:val="0"/>
              <w:divBdr>
                <w:top w:val="none" w:sz="0" w:space="0" w:color="auto"/>
                <w:left w:val="none" w:sz="0" w:space="0" w:color="auto"/>
                <w:bottom w:val="none" w:sz="0" w:space="0" w:color="auto"/>
                <w:right w:val="none" w:sz="0" w:space="0" w:color="auto"/>
              </w:divBdr>
            </w:div>
            <w:div w:id="1742095816">
              <w:marLeft w:val="0"/>
              <w:marRight w:val="0"/>
              <w:marTop w:val="0"/>
              <w:marBottom w:val="0"/>
              <w:divBdr>
                <w:top w:val="none" w:sz="0" w:space="0" w:color="auto"/>
                <w:left w:val="none" w:sz="0" w:space="0" w:color="auto"/>
                <w:bottom w:val="none" w:sz="0" w:space="0" w:color="auto"/>
                <w:right w:val="none" w:sz="0" w:space="0" w:color="auto"/>
              </w:divBdr>
            </w:div>
            <w:div w:id="1742831598">
              <w:marLeft w:val="0"/>
              <w:marRight w:val="0"/>
              <w:marTop w:val="0"/>
              <w:marBottom w:val="0"/>
              <w:divBdr>
                <w:top w:val="none" w:sz="0" w:space="0" w:color="auto"/>
                <w:left w:val="none" w:sz="0" w:space="0" w:color="auto"/>
                <w:bottom w:val="none" w:sz="0" w:space="0" w:color="auto"/>
                <w:right w:val="none" w:sz="0" w:space="0" w:color="auto"/>
              </w:divBdr>
            </w:div>
            <w:div w:id="1815483204">
              <w:marLeft w:val="0"/>
              <w:marRight w:val="0"/>
              <w:marTop w:val="0"/>
              <w:marBottom w:val="0"/>
              <w:divBdr>
                <w:top w:val="none" w:sz="0" w:space="0" w:color="auto"/>
                <w:left w:val="none" w:sz="0" w:space="0" w:color="auto"/>
                <w:bottom w:val="none" w:sz="0" w:space="0" w:color="auto"/>
                <w:right w:val="none" w:sz="0" w:space="0" w:color="auto"/>
              </w:divBdr>
            </w:div>
          </w:divsChild>
        </w:div>
        <w:div w:id="1660499144">
          <w:marLeft w:val="0"/>
          <w:marRight w:val="0"/>
          <w:marTop w:val="0"/>
          <w:marBottom w:val="0"/>
          <w:divBdr>
            <w:top w:val="none" w:sz="0" w:space="0" w:color="auto"/>
            <w:left w:val="none" w:sz="0" w:space="0" w:color="auto"/>
            <w:bottom w:val="none" w:sz="0" w:space="0" w:color="auto"/>
            <w:right w:val="none" w:sz="0" w:space="0" w:color="auto"/>
          </w:divBdr>
        </w:div>
        <w:div w:id="1692532826">
          <w:marLeft w:val="0"/>
          <w:marRight w:val="0"/>
          <w:marTop w:val="0"/>
          <w:marBottom w:val="0"/>
          <w:divBdr>
            <w:top w:val="none" w:sz="0" w:space="0" w:color="auto"/>
            <w:left w:val="none" w:sz="0" w:space="0" w:color="auto"/>
            <w:bottom w:val="none" w:sz="0" w:space="0" w:color="auto"/>
            <w:right w:val="none" w:sz="0" w:space="0" w:color="auto"/>
          </w:divBdr>
        </w:div>
        <w:div w:id="1699499586">
          <w:marLeft w:val="0"/>
          <w:marRight w:val="0"/>
          <w:marTop w:val="0"/>
          <w:marBottom w:val="0"/>
          <w:divBdr>
            <w:top w:val="none" w:sz="0" w:space="0" w:color="auto"/>
            <w:left w:val="none" w:sz="0" w:space="0" w:color="auto"/>
            <w:bottom w:val="none" w:sz="0" w:space="0" w:color="auto"/>
            <w:right w:val="none" w:sz="0" w:space="0" w:color="auto"/>
          </w:divBdr>
        </w:div>
        <w:div w:id="1718236585">
          <w:marLeft w:val="0"/>
          <w:marRight w:val="0"/>
          <w:marTop w:val="0"/>
          <w:marBottom w:val="0"/>
          <w:divBdr>
            <w:top w:val="none" w:sz="0" w:space="0" w:color="auto"/>
            <w:left w:val="none" w:sz="0" w:space="0" w:color="auto"/>
            <w:bottom w:val="none" w:sz="0" w:space="0" w:color="auto"/>
            <w:right w:val="none" w:sz="0" w:space="0" w:color="auto"/>
          </w:divBdr>
        </w:div>
        <w:div w:id="1758793295">
          <w:marLeft w:val="0"/>
          <w:marRight w:val="0"/>
          <w:marTop w:val="0"/>
          <w:marBottom w:val="0"/>
          <w:divBdr>
            <w:top w:val="none" w:sz="0" w:space="0" w:color="auto"/>
            <w:left w:val="none" w:sz="0" w:space="0" w:color="auto"/>
            <w:bottom w:val="none" w:sz="0" w:space="0" w:color="auto"/>
            <w:right w:val="none" w:sz="0" w:space="0" w:color="auto"/>
          </w:divBdr>
        </w:div>
        <w:div w:id="1762605757">
          <w:marLeft w:val="0"/>
          <w:marRight w:val="0"/>
          <w:marTop w:val="0"/>
          <w:marBottom w:val="0"/>
          <w:divBdr>
            <w:top w:val="none" w:sz="0" w:space="0" w:color="auto"/>
            <w:left w:val="none" w:sz="0" w:space="0" w:color="auto"/>
            <w:bottom w:val="none" w:sz="0" w:space="0" w:color="auto"/>
            <w:right w:val="none" w:sz="0" w:space="0" w:color="auto"/>
          </w:divBdr>
        </w:div>
        <w:div w:id="1773167652">
          <w:marLeft w:val="0"/>
          <w:marRight w:val="0"/>
          <w:marTop w:val="0"/>
          <w:marBottom w:val="0"/>
          <w:divBdr>
            <w:top w:val="none" w:sz="0" w:space="0" w:color="auto"/>
            <w:left w:val="none" w:sz="0" w:space="0" w:color="auto"/>
            <w:bottom w:val="none" w:sz="0" w:space="0" w:color="auto"/>
            <w:right w:val="none" w:sz="0" w:space="0" w:color="auto"/>
          </w:divBdr>
        </w:div>
        <w:div w:id="1774931572">
          <w:marLeft w:val="0"/>
          <w:marRight w:val="0"/>
          <w:marTop w:val="0"/>
          <w:marBottom w:val="0"/>
          <w:divBdr>
            <w:top w:val="none" w:sz="0" w:space="0" w:color="auto"/>
            <w:left w:val="none" w:sz="0" w:space="0" w:color="auto"/>
            <w:bottom w:val="none" w:sz="0" w:space="0" w:color="auto"/>
            <w:right w:val="none" w:sz="0" w:space="0" w:color="auto"/>
          </w:divBdr>
        </w:div>
        <w:div w:id="1779636459">
          <w:marLeft w:val="0"/>
          <w:marRight w:val="0"/>
          <w:marTop w:val="0"/>
          <w:marBottom w:val="0"/>
          <w:divBdr>
            <w:top w:val="none" w:sz="0" w:space="0" w:color="auto"/>
            <w:left w:val="none" w:sz="0" w:space="0" w:color="auto"/>
            <w:bottom w:val="none" w:sz="0" w:space="0" w:color="auto"/>
            <w:right w:val="none" w:sz="0" w:space="0" w:color="auto"/>
          </w:divBdr>
        </w:div>
        <w:div w:id="1792238312">
          <w:marLeft w:val="0"/>
          <w:marRight w:val="0"/>
          <w:marTop w:val="0"/>
          <w:marBottom w:val="0"/>
          <w:divBdr>
            <w:top w:val="none" w:sz="0" w:space="0" w:color="auto"/>
            <w:left w:val="none" w:sz="0" w:space="0" w:color="auto"/>
            <w:bottom w:val="none" w:sz="0" w:space="0" w:color="auto"/>
            <w:right w:val="none" w:sz="0" w:space="0" w:color="auto"/>
          </w:divBdr>
        </w:div>
        <w:div w:id="1797290651">
          <w:marLeft w:val="0"/>
          <w:marRight w:val="0"/>
          <w:marTop w:val="0"/>
          <w:marBottom w:val="0"/>
          <w:divBdr>
            <w:top w:val="none" w:sz="0" w:space="0" w:color="auto"/>
            <w:left w:val="none" w:sz="0" w:space="0" w:color="auto"/>
            <w:bottom w:val="none" w:sz="0" w:space="0" w:color="auto"/>
            <w:right w:val="none" w:sz="0" w:space="0" w:color="auto"/>
          </w:divBdr>
        </w:div>
        <w:div w:id="1801797894">
          <w:marLeft w:val="0"/>
          <w:marRight w:val="0"/>
          <w:marTop w:val="0"/>
          <w:marBottom w:val="0"/>
          <w:divBdr>
            <w:top w:val="none" w:sz="0" w:space="0" w:color="auto"/>
            <w:left w:val="none" w:sz="0" w:space="0" w:color="auto"/>
            <w:bottom w:val="none" w:sz="0" w:space="0" w:color="auto"/>
            <w:right w:val="none" w:sz="0" w:space="0" w:color="auto"/>
          </w:divBdr>
        </w:div>
        <w:div w:id="1802918623">
          <w:marLeft w:val="0"/>
          <w:marRight w:val="0"/>
          <w:marTop w:val="0"/>
          <w:marBottom w:val="0"/>
          <w:divBdr>
            <w:top w:val="none" w:sz="0" w:space="0" w:color="auto"/>
            <w:left w:val="none" w:sz="0" w:space="0" w:color="auto"/>
            <w:bottom w:val="none" w:sz="0" w:space="0" w:color="auto"/>
            <w:right w:val="none" w:sz="0" w:space="0" w:color="auto"/>
          </w:divBdr>
        </w:div>
        <w:div w:id="1804929638">
          <w:marLeft w:val="0"/>
          <w:marRight w:val="0"/>
          <w:marTop w:val="0"/>
          <w:marBottom w:val="0"/>
          <w:divBdr>
            <w:top w:val="none" w:sz="0" w:space="0" w:color="auto"/>
            <w:left w:val="none" w:sz="0" w:space="0" w:color="auto"/>
            <w:bottom w:val="none" w:sz="0" w:space="0" w:color="auto"/>
            <w:right w:val="none" w:sz="0" w:space="0" w:color="auto"/>
          </w:divBdr>
        </w:div>
        <w:div w:id="1805465573">
          <w:marLeft w:val="0"/>
          <w:marRight w:val="0"/>
          <w:marTop w:val="0"/>
          <w:marBottom w:val="0"/>
          <w:divBdr>
            <w:top w:val="none" w:sz="0" w:space="0" w:color="auto"/>
            <w:left w:val="none" w:sz="0" w:space="0" w:color="auto"/>
            <w:bottom w:val="none" w:sz="0" w:space="0" w:color="auto"/>
            <w:right w:val="none" w:sz="0" w:space="0" w:color="auto"/>
          </w:divBdr>
        </w:div>
        <w:div w:id="1819109691">
          <w:marLeft w:val="0"/>
          <w:marRight w:val="0"/>
          <w:marTop w:val="0"/>
          <w:marBottom w:val="0"/>
          <w:divBdr>
            <w:top w:val="none" w:sz="0" w:space="0" w:color="auto"/>
            <w:left w:val="none" w:sz="0" w:space="0" w:color="auto"/>
            <w:bottom w:val="none" w:sz="0" w:space="0" w:color="auto"/>
            <w:right w:val="none" w:sz="0" w:space="0" w:color="auto"/>
          </w:divBdr>
        </w:div>
        <w:div w:id="1822841861">
          <w:marLeft w:val="0"/>
          <w:marRight w:val="0"/>
          <w:marTop w:val="0"/>
          <w:marBottom w:val="0"/>
          <w:divBdr>
            <w:top w:val="none" w:sz="0" w:space="0" w:color="auto"/>
            <w:left w:val="none" w:sz="0" w:space="0" w:color="auto"/>
            <w:bottom w:val="none" w:sz="0" w:space="0" w:color="auto"/>
            <w:right w:val="none" w:sz="0" w:space="0" w:color="auto"/>
          </w:divBdr>
        </w:div>
        <w:div w:id="1850097091">
          <w:marLeft w:val="0"/>
          <w:marRight w:val="0"/>
          <w:marTop w:val="0"/>
          <w:marBottom w:val="0"/>
          <w:divBdr>
            <w:top w:val="none" w:sz="0" w:space="0" w:color="auto"/>
            <w:left w:val="none" w:sz="0" w:space="0" w:color="auto"/>
            <w:bottom w:val="none" w:sz="0" w:space="0" w:color="auto"/>
            <w:right w:val="none" w:sz="0" w:space="0" w:color="auto"/>
          </w:divBdr>
        </w:div>
        <w:div w:id="1857694615">
          <w:marLeft w:val="0"/>
          <w:marRight w:val="0"/>
          <w:marTop w:val="0"/>
          <w:marBottom w:val="0"/>
          <w:divBdr>
            <w:top w:val="none" w:sz="0" w:space="0" w:color="auto"/>
            <w:left w:val="none" w:sz="0" w:space="0" w:color="auto"/>
            <w:bottom w:val="none" w:sz="0" w:space="0" w:color="auto"/>
            <w:right w:val="none" w:sz="0" w:space="0" w:color="auto"/>
          </w:divBdr>
        </w:div>
        <w:div w:id="1865900081">
          <w:marLeft w:val="0"/>
          <w:marRight w:val="0"/>
          <w:marTop w:val="0"/>
          <w:marBottom w:val="0"/>
          <w:divBdr>
            <w:top w:val="none" w:sz="0" w:space="0" w:color="auto"/>
            <w:left w:val="none" w:sz="0" w:space="0" w:color="auto"/>
            <w:bottom w:val="none" w:sz="0" w:space="0" w:color="auto"/>
            <w:right w:val="none" w:sz="0" w:space="0" w:color="auto"/>
          </w:divBdr>
        </w:div>
        <w:div w:id="1870142990">
          <w:marLeft w:val="0"/>
          <w:marRight w:val="0"/>
          <w:marTop w:val="0"/>
          <w:marBottom w:val="0"/>
          <w:divBdr>
            <w:top w:val="none" w:sz="0" w:space="0" w:color="auto"/>
            <w:left w:val="none" w:sz="0" w:space="0" w:color="auto"/>
            <w:bottom w:val="none" w:sz="0" w:space="0" w:color="auto"/>
            <w:right w:val="none" w:sz="0" w:space="0" w:color="auto"/>
          </w:divBdr>
        </w:div>
        <w:div w:id="1886214250">
          <w:marLeft w:val="0"/>
          <w:marRight w:val="0"/>
          <w:marTop w:val="0"/>
          <w:marBottom w:val="0"/>
          <w:divBdr>
            <w:top w:val="none" w:sz="0" w:space="0" w:color="auto"/>
            <w:left w:val="none" w:sz="0" w:space="0" w:color="auto"/>
            <w:bottom w:val="none" w:sz="0" w:space="0" w:color="auto"/>
            <w:right w:val="none" w:sz="0" w:space="0" w:color="auto"/>
          </w:divBdr>
        </w:div>
        <w:div w:id="1892114751">
          <w:marLeft w:val="0"/>
          <w:marRight w:val="0"/>
          <w:marTop w:val="0"/>
          <w:marBottom w:val="0"/>
          <w:divBdr>
            <w:top w:val="none" w:sz="0" w:space="0" w:color="auto"/>
            <w:left w:val="none" w:sz="0" w:space="0" w:color="auto"/>
            <w:bottom w:val="none" w:sz="0" w:space="0" w:color="auto"/>
            <w:right w:val="none" w:sz="0" w:space="0" w:color="auto"/>
          </w:divBdr>
        </w:div>
        <w:div w:id="1907446371">
          <w:marLeft w:val="0"/>
          <w:marRight w:val="0"/>
          <w:marTop w:val="0"/>
          <w:marBottom w:val="0"/>
          <w:divBdr>
            <w:top w:val="none" w:sz="0" w:space="0" w:color="auto"/>
            <w:left w:val="none" w:sz="0" w:space="0" w:color="auto"/>
            <w:bottom w:val="none" w:sz="0" w:space="0" w:color="auto"/>
            <w:right w:val="none" w:sz="0" w:space="0" w:color="auto"/>
          </w:divBdr>
        </w:div>
        <w:div w:id="1915892382">
          <w:marLeft w:val="0"/>
          <w:marRight w:val="0"/>
          <w:marTop w:val="0"/>
          <w:marBottom w:val="0"/>
          <w:divBdr>
            <w:top w:val="none" w:sz="0" w:space="0" w:color="auto"/>
            <w:left w:val="none" w:sz="0" w:space="0" w:color="auto"/>
            <w:bottom w:val="none" w:sz="0" w:space="0" w:color="auto"/>
            <w:right w:val="none" w:sz="0" w:space="0" w:color="auto"/>
          </w:divBdr>
        </w:div>
        <w:div w:id="1920555773">
          <w:marLeft w:val="0"/>
          <w:marRight w:val="0"/>
          <w:marTop w:val="0"/>
          <w:marBottom w:val="0"/>
          <w:divBdr>
            <w:top w:val="none" w:sz="0" w:space="0" w:color="auto"/>
            <w:left w:val="none" w:sz="0" w:space="0" w:color="auto"/>
            <w:bottom w:val="none" w:sz="0" w:space="0" w:color="auto"/>
            <w:right w:val="none" w:sz="0" w:space="0" w:color="auto"/>
          </w:divBdr>
        </w:div>
        <w:div w:id="1924531199">
          <w:marLeft w:val="0"/>
          <w:marRight w:val="0"/>
          <w:marTop w:val="0"/>
          <w:marBottom w:val="0"/>
          <w:divBdr>
            <w:top w:val="none" w:sz="0" w:space="0" w:color="auto"/>
            <w:left w:val="none" w:sz="0" w:space="0" w:color="auto"/>
            <w:bottom w:val="none" w:sz="0" w:space="0" w:color="auto"/>
            <w:right w:val="none" w:sz="0" w:space="0" w:color="auto"/>
          </w:divBdr>
        </w:div>
        <w:div w:id="1931545084">
          <w:marLeft w:val="0"/>
          <w:marRight w:val="0"/>
          <w:marTop w:val="0"/>
          <w:marBottom w:val="0"/>
          <w:divBdr>
            <w:top w:val="none" w:sz="0" w:space="0" w:color="auto"/>
            <w:left w:val="none" w:sz="0" w:space="0" w:color="auto"/>
            <w:bottom w:val="none" w:sz="0" w:space="0" w:color="auto"/>
            <w:right w:val="none" w:sz="0" w:space="0" w:color="auto"/>
          </w:divBdr>
        </w:div>
        <w:div w:id="1944264527">
          <w:marLeft w:val="0"/>
          <w:marRight w:val="0"/>
          <w:marTop w:val="0"/>
          <w:marBottom w:val="0"/>
          <w:divBdr>
            <w:top w:val="none" w:sz="0" w:space="0" w:color="auto"/>
            <w:left w:val="none" w:sz="0" w:space="0" w:color="auto"/>
            <w:bottom w:val="none" w:sz="0" w:space="0" w:color="auto"/>
            <w:right w:val="none" w:sz="0" w:space="0" w:color="auto"/>
          </w:divBdr>
        </w:div>
        <w:div w:id="1945456773">
          <w:marLeft w:val="0"/>
          <w:marRight w:val="0"/>
          <w:marTop w:val="0"/>
          <w:marBottom w:val="0"/>
          <w:divBdr>
            <w:top w:val="none" w:sz="0" w:space="0" w:color="auto"/>
            <w:left w:val="none" w:sz="0" w:space="0" w:color="auto"/>
            <w:bottom w:val="none" w:sz="0" w:space="0" w:color="auto"/>
            <w:right w:val="none" w:sz="0" w:space="0" w:color="auto"/>
          </w:divBdr>
        </w:div>
        <w:div w:id="1980525276">
          <w:marLeft w:val="0"/>
          <w:marRight w:val="0"/>
          <w:marTop w:val="0"/>
          <w:marBottom w:val="0"/>
          <w:divBdr>
            <w:top w:val="none" w:sz="0" w:space="0" w:color="auto"/>
            <w:left w:val="none" w:sz="0" w:space="0" w:color="auto"/>
            <w:bottom w:val="none" w:sz="0" w:space="0" w:color="auto"/>
            <w:right w:val="none" w:sz="0" w:space="0" w:color="auto"/>
          </w:divBdr>
        </w:div>
        <w:div w:id="1983189406">
          <w:marLeft w:val="0"/>
          <w:marRight w:val="0"/>
          <w:marTop w:val="0"/>
          <w:marBottom w:val="0"/>
          <w:divBdr>
            <w:top w:val="none" w:sz="0" w:space="0" w:color="auto"/>
            <w:left w:val="none" w:sz="0" w:space="0" w:color="auto"/>
            <w:bottom w:val="none" w:sz="0" w:space="0" w:color="auto"/>
            <w:right w:val="none" w:sz="0" w:space="0" w:color="auto"/>
          </w:divBdr>
        </w:div>
        <w:div w:id="2001813364">
          <w:marLeft w:val="0"/>
          <w:marRight w:val="0"/>
          <w:marTop w:val="0"/>
          <w:marBottom w:val="0"/>
          <w:divBdr>
            <w:top w:val="none" w:sz="0" w:space="0" w:color="auto"/>
            <w:left w:val="none" w:sz="0" w:space="0" w:color="auto"/>
            <w:bottom w:val="none" w:sz="0" w:space="0" w:color="auto"/>
            <w:right w:val="none" w:sz="0" w:space="0" w:color="auto"/>
          </w:divBdr>
        </w:div>
        <w:div w:id="2003849508">
          <w:marLeft w:val="0"/>
          <w:marRight w:val="0"/>
          <w:marTop w:val="0"/>
          <w:marBottom w:val="0"/>
          <w:divBdr>
            <w:top w:val="none" w:sz="0" w:space="0" w:color="auto"/>
            <w:left w:val="none" w:sz="0" w:space="0" w:color="auto"/>
            <w:bottom w:val="none" w:sz="0" w:space="0" w:color="auto"/>
            <w:right w:val="none" w:sz="0" w:space="0" w:color="auto"/>
          </w:divBdr>
        </w:div>
        <w:div w:id="2044165219">
          <w:marLeft w:val="0"/>
          <w:marRight w:val="0"/>
          <w:marTop w:val="0"/>
          <w:marBottom w:val="0"/>
          <w:divBdr>
            <w:top w:val="none" w:sz="0" w:space="0" w:color="auto"/>
            <w:left w:val="none" w:sz="0" w:space="0" w:color="auto"/>
            <w:bottom w:val="none" w:sz="0" w:space="0" w:color="auto"/>
            <w:right w:val="none" w:sz="0" w:space="0" w:color="auto"/>
          </w:divBdr>
        </w:div>
        <w:div w:id="2047948339">
          <w:marLeft w:val="0"/>
          <w:marRight w:val="0"/>
          <w:marTop w:val="0"/>
          <w:marBottom w:val="0"/>
          <w:divBdr>
            <w:top w:val="none" w:sz="0" w:space="0" w:color="auto"/>
            <w:left w:val="none" w:sz="0" w:space="0" w:color="auto"/>
            <w:bottom w:val="none" w:sz="0" w:space="0" w:color="auto"/>
            <w:right w:val="none" w:sz="0" w:space="0" w:color="auto"/>
          </w:divBdr>
        </w:div>
        <w:div w:id="2048531109">
          <w:marLeft w:val="0"/>
          <w:marRight w:val="0"/>
          <w:marTop w:val="0"/>
          <w:marBottom w:val="0"/>
          <w:divBdr>
            <w:top w:val="none" w:sz="0" w:space="0" w:color="auto"/>
            <w:left w:val="none" w:sz="0" w:space="0" w:color="auto"/>
            <w:bottom w:val="none" w:sz="0" w:space="0" w:color="auto"/>
            <w:right w:val="none" w:sz="0" w:space="0" w:color="auto"/>
          </w:divBdr>
        </w:div>
        <w:div w:id="2058814465">
          <w:marLeft w:val="0"/>
          <w:marRight w:val="0"/>
          <w:marTop w:val="0"/>
          <w:marBottom w:val="0"/>
          <w:divBdr>
            <w:top w:val="none" w:sz="0" w:space="0" w:color="auto"/>
            <w:left w:val="none" w:sz="0" w:space="0" w:color="auto"/>
            <w:bottom w:val="none" w:sz="0" w:space="0" w:color="auto"/>
            <w:right w:val="none" w:sz="0" w:space="0" w:color="auto"/>
          </w:divBdr>
        </w:div>
        <w:div w:id="2071877175">
          <w:marLeft w:val="0"/>
          <w:marRight w:val="0"/>
          <w:marTop w:val="0"/>
          <w:marBottom w:val="0"/>
          <w:divBdr>
            <w:top w:val="none" w:sz="0" w:space="0" w:color="auto"/>
            <w:left w:val="none" w:sz="0" w:space="0" w:color="auto"/>
            <w:bottom w:val="none" w:sz="0" w:space="0" w:color="auto"/>
            <w:right w:val="none" w:sz="0" w:space="0" w:color="auto"/>
          </w:divBdr>
        </w:div>
        <w:div w:id="2083402675">
          <w:marLeft w:val="0"/>
          <w:marRight w:val="0"/>
          <w:marTop w:val="0"/>
          <w:marBottom w:val="0"/>
          <w:divBdr>
            <w:top w:val="none" w:sz="0" w:space="0" w:color="auto"/>
            <w:left w:val="none" w:sz="0" w:space="0" w:color="auto"/>
            <w:bottom w:val="none" w:sz="0" w:space="0" w:color="auto"/>
            <w:right w:val="none" w:sz="0" w:space="0" w:color="auto"/>
          </w:divBdr>
        </w:div>
        <w:div w:id="2093355011">
          <w:marLeft w:val="0"/>
          <w:marRight w:val="0"/>
          <w:marTop w:val="0"/>
          <w:marBottom w:val="0"/>
          <w:divBdr>
            <w:top w:val="none" w:sz="0" w:space="0" w:color="auto"/>
            <w:left w:val="none" w:sz="0" w:space="0" w:color="auto"/>
            <w:bottom w:val="none" w:sz="0" w:space="0" w:color="auto"/>
            <w:right w:val="none" w:sz="0" w:space="0" w:color="auto"/>
          </w:divBdr>
        </w:div>
        <w:div w:id="2116094625">
          <w:marLeft w:val="0"/>
          <w:marRight w:val="0"/>
          <w:marTop w:val="0"/>
          <w:marBottom w:val="0"/>
          <w:divBdr>
            <w:top w:val="none" w:sz="0" w:space="0" w:color="auto"/>
            <w:left w:val="none" w:sz="0" w:space="0" w:color="auto"/>
            <w:bottom w:val="none" w:sz="0" w:space="0" w:color="auto"/>
            <w:right w:val="none" w:sz="0" w:space="0" w:color="auto"/>
          </w:divBdr>
        </w:div>
        <w:div w:id="2126921868">
          <w:marLeft w:val="0"/>
          <w:marRight w:val="0"/>
          <w:marTop w:val="0"/>
          <w:marBottom w:val="0"/>
          <w:divBdr>
            <w:top w:val="none" w:sz="0" w:space="0" w:color="auto"/>
            <w:left w:val="none" w:sz="0" w:space="0" w:color="auto"/>
            <w:bottom w:val="none" w:sz="0" w:space="0" w:color="auto"/>
            <w:right w:val="none" w:sz="0" w:space="0" w:color="auto"/>
          </w:divBdr>
        </w:div>
        <w:div w:id="2128234897">
          <w:marLeft w:val="0"/>
          <w:marRight w:val="0"/>
          <w:marTop w:val="0"/>
          <w:marBottom w:val="0"/>
          <w:divBdr>
            <w:top w:val="none" w:sz="0" w:space="0" w:color="auto"/>
            <w:left w:val="none" w:sz="0" w:space="0" w:color="auto"/>
            <w:bottom w:val="none" w:sz="0" w:space="0" w:color="auto"/>
            <w:right w:val="none" w:sz="0" w:space="0" w:color="auto"/>
          </w:divBdr>
        </w:div>
        <w:div w:id="2134904273">
          <w:marLeft w:val="0"/>
          <w:marRight w:val="0"/>
          <w:marTop w:val="0"/>
          <w:marBottom w:val="0"/>
          <w:divBdr>
            <w:top w:val="none" w:sz="0" w:space="0" w:color="auto"/>
            <w:left w:val="none" w:sz="0" w:space="0" w:color="auto"/>
            <w:bottom w:val="none" w:sz="0" w:space="0" w:color="auto"/>
            <w:right w:val="none" w:sz="0" w:space="0" w:color="auto"/>
          </w:divBdr>
        </w:div>
      </w:divsChild>
    </w:div>
    <w:div w:id="1409957956">
      <w:bodyDiv w:val="1"/>
      <w:marLeft w:val="0"/>
      <w:marRight w:val="0"/>
      <w:marTop w:val="0"/>
      <w:marBottom w:val="0"/>
      <w:divBdr>
        <w:top w:val="none" w:sz="0" w:space="0" w:color="auto"/>
        <w:left w:val="none" w:sz="0" w:space="0" w:color="auto"/>
        <w:bottom w:val="none" w:sz="0" w:space="0" w:color="auto"/>
        <w:right w:val="none" w:sz="0" w:space="0" w:color="auto"/>
      </w:divBdr>
    </w:div>
    <w:div w:id="1418090499">
      <w:bodyDiv w:val="1"/>
      <w:marLeft w:val="0"/>
      <w:marRight w:val="0"/>
      <w:marTop w:val="0"/>
      <w:marBottom w:val="0"/>
      <w:divBdr>
        <w:top w:val="none" w:sz="0" w:space="0" w:color="auto"/>
        <w:left w:val="none" w:sz="0" w:space="0" w:color="auto"/>
        <w:bottom w:val="none" w:sz="0" w:space="0" w:color="auto"/>
        <w:right w:val="none" w:sz="0" w:space="0" w:color="auto"/>
      </w:divBdr>
    </w:div>
    <w:div w:id="1428191879">
      <w:bodyDiv w:val="1"/>
      <w:marLeft w:val="0"/>
      <w:marRight w:val="0"/>
      <w:marTop w:val="0"/>
      <w:marBottom w:val="0"/>
      <w:divBdr>
        <w:top w:val="none" w:sz="0" w:space="0" w:color="auto"/>
        <w:left w:val="none" w:sz="0" w:space="0" w:color="auto"/>
        <w:bottom w:val="none" w:sz="0" w:space="0" w:color="auto"/>
        <w:right w:val="none" w:sz="0" w:space="0" w:color="auto"/>
      </w:divBdr>
    </w:div>
    <w:div w:id="1439522659">
      <w:bodyDiv w:val="1"/>
      <w:marLeft w:val="0"/>
      <w:marRight w:val="0"/>
      <w:marTop w:val="0"/>
      <w:marBottom w:val="0"/>
      <w:divBdr>
        <w:top w:val="none" w:sz="0" w:space="0" w:color="auto"/>
        <w:left w:val="none" w:sz="0" w:space="0" w:color="auto"/>
        <w:bottom w:val="none" w:sz="0" w:space="0" w:color="auto"/>
        <w:right w:val="none" w:sz="0" w:space="0" w:color="auto"/>
      </w:divBdr>
    </w:div>
    <w:div w:id="1441103666">
      <w:bodyDiv w:val="1"/>
      <w:marLeft w:val="0"/>
      <w:marRight w:val="0"/>
      <w:marTop w:val="0"/>
      <w:marBottom w:val="0"/>
      <w:divBdr>
        <w:top w:val="none" w:sz="0" w:space="0" w:color="auto"/>
        <w:left w:val="none" w:sz="0" w:space="0" w:color="auto"/>
        <w:bottom w:val="none" w:sz="0" w:space="0" w:color="auto"/>
        <w:right w:val="none" w:sz="0" w:space="0" w:color="auto"/>
      </w:divBdr>
    </w:div>
    <w:div w:id="1444573802">
      <w:bodyDiv w:val="1"/>
      <w:marLeft w:val="0"/>
      <w:marRight w:val="0"/>
      <w:marTop w:val="0"/>
      <w:marBottom w:val="0"/>
      <w:divBdr>
        <w:top w:val="none" w:sz="0" w:space="0" w:color="auto"/>
        <w:left w:val="none" w:sz="0" w:space="0" w:color="auto"/>
        <w:bottom w:val="none" w:sz="0" w:space="0" w:color="auto"/>
        <w:right w:val="none" w:sz="0" w:space="0" w:color="auto"/>
      </w:divBdr>
    </w:div>
    <w:div w:id="1452090419">
      <w:bodyDiv w:val="1"/>
      <w:marLeft w:val="0"/>
      <w:marRight w:val="0"/>
      <w:marTop w:val="0"/>
      <w:marBottom w:val="0"/>
      <w:divBdr>
        <w:top w:val="none" w:sz="0" w:space="0" w:color="auto"/>
        <w:left w:val="none" w:sz="0" w:space="0" w:color="auto"/>
        <w:bottom w:val="none" w:sz="0" w:space="0" w:color="auto"/>
        <w:right w:val="none" w:sz="0" w:space="0" w:color="auto"/>
      </w:divBdr>
    </w:div>
    <w:div w:id="1465544861">
      <w:bodyDiv w:val="1"/>
      <w:marLeft w:val="0"/>
      <w:marRight w:val="0"/>
      <w:marTop w:val="0"/>
      <w:marBottom w:val="0"/>
      <w:divBdr>
        <w:top w:val="none" w:sz="0" w:space="0" w:color="auto"/>
        <w:left w:val="none" w:sz="0" w:space="0" w:color="auto"/>
        <w:bottom w:val="none" w:sz="0" w:space="0" w:color="auto"/>
        <w:right w:val="none" w:sz="0" w:space="0" w:color="auto"/>
      </w:divBdr>
    </w:div>
    <w:div w:id="1470901343">
      <w:bodyDiv w:val="1"/>
      <w:marLeft w:val="0"/>
      <w:marRight w:val="0"/>
      <w:marTop w:val="0"/>
      <w:marBottom w:val="0"/>
      <w:divBdr>
        <w:top w:val="none" w:sz="0" w:space="0" w:color="auto"/>
        <w:left w:val="none" w:sz="0" w:space="0" w:color="auto"/>
        <w:bottom w:val="none" w:sz="0" w:space="0" w:color="auto"/>
        <w:right w:val="none" w:sz="0" w:space="0" w:color="auto"/>
      </w:divBdr>
    </w:div>
    <w:div w:id="1503163521">
      <w:bodyDiv w:val="1"/>
      <w:marLeft w:val="0"/>
      <w:marRight w:val="0"/>
      <w:marTop w:val="0"/>
      <w:marBottom w:val="0"/>
      <w:divBdr>
        <w:top w:val="none" w:sz="0" w:space="0" w:color="auto"/>
        <w:left w:val="none" w:sz="0" w:space="0" w:color="auto"/>
        <w:bottom w:val="none" w:sz="0" w:space="0" w:color="auto"/>
        <w:right w:val="none" w:sz="0" w:space="0" w:color="auto"/>
      </w:divBdr>
    </w:div>
    <w:div w:id="1509448141">
      <w:bodyDiv w:val="1"/>
      <w:marLeft w:val="0"/>
      <w:marRight w:val="0"/>
      <w:marTop w:val="0"/>
      <w:marBottom w:val="0"/>
      <w:divBdr>
        <w:top w:val="none" w:sz="0" w:space="0" w:color="auto"/>
        <w:left w:val="none" w:sz="0" w:space="0" w:color="auto"/>
        <w:bottom w:val="none" w:sz="0" w:space="0" w:color="auto"/>
        <w:right w:val="none" w:sz="0" w:space="0" w:color="auto"/>
      </w:divBdr>
    </w:div>
    <w:div w:id="1509783520">
      <w:bodyDiv w:val="1"/>
      <w:marLeft w:val="0"/>
      <w:marRight w:val="0"/>
      <w:marTop w:val="0"/>
      <w:marBottom w:val="0"/>
      <w:divBdr>
        <w:top w:val="none" w:sz="0" w:space="0" w:color="auto"/>
        <w:left w:val="none" w:sz="0" w:space="0" w:color="auto"/>
        <w:bottom w:val="none" w:sz="0" w:space="0" w:color="auto"/>
        <w:right w:val="none" w:sz="0" w:space="0" w:color="auto"/>
      </w:divBdr>
    </w:div>
    <w:div w:id="1515655277">
      <w:bodyDiv w:val="1"/>
      <w:marLeft w:val="0"/>
      <w:marRight w:val="0"/>
      <w:marTop w:val="0"/>
      <w:marBottom w:val="0"/>
      <w:divBdr>
        <w:top w:val="none" w:sz="0" w:space="0" w:color="auto"/>
        <w:left w:val="none" w:sz="0" w:space="0" w:color="auto"/>
        <w:bottom w:val="none" w:sz="0" w:space="0" w:color="auto"/>
        <w:right w:val="none" w:sz="0" w:space="0" w:color="auto"/>
      </w:divBdr>
    </w:div>
    <w:div w:id="1537548276">
      <w:bodyDiv w:val="1"/>
      <w:marLeft w:val="0"/>
      <w:marRight w:val="0"/>
      <w:marTop w:val="0"/>
      <w:marBottom w:val="0"/>
      <w:divBdr>
        <w:top w:val="none" w:sz="0" w:space="0" w:color="auto"/>
        <w:left w:val="none" w:sz="0" w:space="0" w:color="auto"/>
        <w:bottom w:val="none" w:sz="0" w:space="0" w:color="auto"/>
        <w:right w:val="none" w:sz="0" w:space="0" w:color="auto"/>
      </w:divBdr>
    </w:div>
    <w:div w:id="1555891080">
      <w:bodyDiv w:val="1"/>
      <w:marLeft w:val="0"/>
      <w:marRight w:val="0"/>
      <w:marTop w:val="0"/>
      <w:marBottom w:val="0"/>
      <w:divBdr>
        <w:top w:val="none" w:sz="0" w:space="0" w:color="auto"/>
        <w:left w:val="none" w:sz="0" w:space="0" w:color="auto"/>
        <w:bottom w:val="none" w:sz="0" w:space="0" w:color="auto"/>
        <w:right w:val="none" w:sz="0" w:space="0" w:color="auto"/>
      </w:divBdr>
    </w:div>
    <w:div w:id="1559121588">
      <w:bodyDiv w:val="1"/>
      <w:marLeft w:val="0"/>
      <w:marRight w:val="0"/>
      <w:marTop w:val="0"/>
      <w:marBottom w:val="0"/>
      <w:divBdr>
        <w:top w:val="none" w:sz="0" w:space="0" w:color="auto"/>
        <w:left w:val="none" w:sz="0" w:space="0" w:color="auto"/>
        <w:bottom w:val="none" w:sz="0" w:space="0" w:color="auto"/>
        <w:right w:val="none" w:sz="0" w:space="0" w:color="auto"/>
      </w:divBdr>
    </w:div>
    <w:div w:id="1595750527">
      <w:bodyDiv w:val="1"/>
      <w:marLeft w:val="0"/>
      <w:marRight w:val="0"/>
      <w:marTop w:val="0"/>
      <w:marBottom w:val="0"/>
      <w:divBdr>
        <w:top w:val="none" w:sz="0" w:space="0" w:color="auto"/>
        <w:left w:val="none" w:sz="0" w:space="0" w:color="auto"/>
        <w:bottom w:val="none" w:sz="0" w:space="0" w:color="auto"/>
        <w:right w:val="none" w:sz="0" w:space="0" w:color="auto"/>
      </w:divBdr>
    </w:div>
    <w:div w:id="1629772627">
      <w:bodyDiv w:val="1"/>
      <w:marLeft w:val="0"/>
      <w:marRight w:val="0"/>
      <w:marTop w:val="0"/>
      <w:marBottom w:val="0"/>
      <w:divBdr>
        <w:top w:val="none" w:sz="0" w:space="0" w:color="auto"/>
        <w:left w:val="none" w:sz="0" w:space="0" w:color="auto"/>
        <w:bottom w:val="none" w:sz="0" w:space="0" w:color="auto"/>
        <w:right w:val="none" w:sz="0" w:space="0" w:color="auto"/>
      </w:divBdr>
    </w:div>
    <w:div w:id="1644191839">
      <w:bodyDiv w:val="1"/>
      <w:marLeft w:val="0"/>
      <w:marRight w:val="0"/>
      <w:marTop w:val="0"/>
      <w:marBottom w:val="0"/>
      <w:divBdr>
        <w:top w:val="none" w:sz="0" w:space="0" w:color="auto"/>
        <w:left w:val="none" w:sz="0" w:space="0" w:color="auto"/>
        <w:bottom w:val="none" w:sz="0" w:space="0" w:color="auto"/>
        <w:right w:val="none" w:sz="0" w:space="0" w:color="auto"/>
      </w:divBdr>
    </w:div>
    <w:div w:id="1662125522">
      <w:bodyDiv w:val="1"/>
      <w:marLeft w:val="0"/>
      <w:marRight w:val="0"/>
      <w:marTop w:val="0"/>
      <w:marBottom w:val="0"/>
      <w:divBdr>
        <w:top w:val="none" w:sz="0" w:space="0" w:color="auto"/>
        <w:left w:val="none" w:sz="0" w:space="0" w:color="auto"/>
        <w:bottom w:val="none" w:sz="0" w:space="0" w:color="auto"/>
        <w:right w:val="none" w:sz="0" w:space="0" w:color="auto"/>
      </w:divBdr>
      <w:divsChild>
        <w:div w:id="198008711">
          <w:marLeft w:val="547"/>
          <w:marRight w:val="0"/>
          <w:marTop w:val="0"/>
          <w:marBottom w:val="0"/>
          <w:divBdr>
            <w:top w:val="none" w:sz="0" w:space="0" w:color="auto"/>
            <w:left w:val="none" w:sz="0" w:space="0" w:color="auto"/>
            <w:bottom w:val="none" w:sz="0" w:space="0" w:color="auto"/>
            <w:right w:val="none" w:sz="0" w:space="0" w:color="auto"/>
          </w:divBdr>
        </w:div>
      </w:divsChild>
    </w:div>
    <w:div w:id="1675648992">
      <w:bodyDiv w:val="1"/>
      <w:marLeft w:val="0"/>
      <w:marRight w:val="0"/>
      <w:marTop w:val="0"/>
      <w:marBottom w:val="0"/>
      <w:divBdr>
        <w:top w:val="none" w:sz="0" w:space="0" w:color="auto"/>
        <w:left w:val="none" w:sz="0" w:space="0" w:color="auto"/>
        <w:bottom w:val="none" w:sz="0" w:space="0" w:color="auto"/>
        <w:right w:val="none" w:sz="0" w:space="0" w:color="auto"/>
      </w:divBdr>
    </w:div>
    <w:div w:id="1679195068">
      <w:bodyDiv w:val="1"/>
      <w:marLeft w:val="0"/>
      <w:marRight w:val="0"/>
      <w:marTop w:val="0"/>
      <w:marBottom w:val="0"/>
      <w:divBdr>
        <w:top w:val="none" w:sz="0" w:space="0" w:color="auto"/>
        <w:left w:val="none" w:sz="0" w:space="0" w:color="auto"/>
        <w:bottom w:val="none" w:sz="0" w:space="0" w:color="auto"/>
        <w:right w:val="none" w:sz="0" w:space="0" w:color="auto"/>
      </w:divBdr>
      <w:divsChild>
        <w:div w:id="607393547">
          <w:marLeft w:val="1800"/>
          <w:marRight w:val="0"/>
          <w:marTop w:val="0"/>
          <w:marBottom w:val="0"/>
          <w:divBdr>
            <w:top w:val="none" w:sz="0" w:space="0" w:color="auto"/>
            <w:left w:val="none" w:sz="0" w:space="0" w:color="auto"/>
            <w:bottom w:val="none" w:sz="0" w:space="0" w:color="auto"/>
            <w:right w:val="none" w:sz="0" w:space="0" w:color="auto"/>
          </w:divBdr>
        </w:div>
        <w:div w:id="624969542">
          <w:marLeft w:val="1166"/>
          <w:marRight w:val="0"/>
          <w:marTop w:val="0"/>
          <w:marBottom w:val="0"/>
          <w:divBdr>
            <w:top w:val="none" w:sz="0" w:space="0" w:color="auto"/>
            <w:left w:val="none" w:sz="0" w:space="0" w:color="auto"/>
            <w:bottom w:val="none" w:sz="0" w:space="0" w:color="auto"/>
            <w:right w:val="none" w:sz="0" w:space="0" w:color="auto"/>
          </w:divBdr>
        </w:div>
        <w:div w:id="786658117">
          <w:marLeft w:val="1166"/>
          <w:marRight w:val="0"/>
          <w:marTop w:val="0"/>
          <w:marBottom w:val="0"/>
          <w:divBdr>
            <w:top w:val="none" w:sz="0" w:space="0" w:color="auto"/>
            <w:left w:val="none" w:sz="0" w:space="0" w:color="auto"/>
            <w:bottom w:val="none" w:sz="0" w:space="0" w:color="auto"/>
            <w:right w:val="none" w:sz="0" w:space="0" w:color="auto"/>
          </w:divBdr>
        </w:div>
        <w:div w:id="840854445">
          <w:marLeft w:val="1800"/>
          <w:marRight w:val="0"/>
          <w:marTop w:val="0"/>
          <w:marBottom w:val="0"/>
          <w:divBdr>
            <w:top w:val="none" w:sz="0" w:space="0" w:color="auto"/>
            <w:left w:val="none" w:sz="0" w:space="0" w:color="auto"/>
            <w:bottom w:val="none" w:sz="0" w:space="0" w:color="auto"/>
            <w:right w:val="none" w:sz="0" w:space="0" w:color="auto"/>
          </w:divBdr>
        </w:div>
        <w:div w:id="949241727">
          <w:marLeft w:val="547"/>
          <w:marRight w:val="0"/>
          <w:marTop w:val="0"/>
          <w:marBottom w:val="0"/>
          <w:divBdr>
            <w:top w:val="none" w:sz="0" w:space="0" w:color="auto"/>
            <w:left w:val="none" w:sz="0" w:space="0" w:color="auto"/>
            <w:bottom w:val="none" w:sz="0" w:space="0" w:color="auto"/>
            <w:right w:val="none" w:sz="0" w:space="0" w:color="auto"/>
          </w:divBdr>
        </w:div>
        <w:div w:id="1377389184">
          <w:marLeft w:val="1166"/>
          <w:marRight w:val="0"/>
          <w:marTop w:val="0"/>
          <w:marBottom w:val="0"/>
          <w:divBdr>
            <w:top w:val="none" w:sz="0" w:space="0" w:color="auto"/>
            <w:left w:val="none" w:sz="0" w:space="0" w:color="auto"/>
            <w:bottom w:val="none" w:sz="0" w:space="0" w:color="auto"/>
            <w:right w:val="none" w:sz="0" w:space="0" w:color="auto"/>
          </w:divBdr>
        </w:div>
        <w:div w:id="1736900690">
          <w:marLeft w:val="1800"/>
          <w:marRight w:val="0"/>
          <w:marTop w:val="0"/>
          <w:marBottom w:val="0"/>
          <w:divBdr>
            <w:top w:val="none" w:sz="0" w:space="0" w:color="auto"/>
            <w:left w:val="none" w:sz="0" w:space="0" w:color="auto"/>
            <w:bottom w:val="none" w:sz="0" w:space="0" w:color="auto"/>
            <w:right w:val="none" w:sz="0" w:space="0" w:color="auto"/>
          </w:divBdr>
        </w:div>
        <w:div w:id="1763649267">
          <w:marLeft w:val="1166"/>
          <w:marRight w:val="0"/>
          <w:marTop w:val="0"/>
          <w:marBottom w:val="0"/>
          <w:divBdr>
            <w:top w:val="none" w:sz="0" w:space="0" w:color="auto"/>
            <w:left w:val="none" w:sz="0" w:space="0" w:color="auto"/>
            <w:bottom w:val="none" w:sz="0" w:space="0" w:color="auto"/>
            <w:right w:val="none" w:sz="0" w:space="0" w:color="auto"/>
          </w:divBdr>
        </w:div>
        <w:div w:id="2022510666">
          <w:marLeft w:val="1800"/>
          <w:marRight w:val="0"/>
          <w:marTop w:val="0"/>
          <w:marBottom w:val="0"/>
          <w:divBdr>
            <w:top w:val="none" w:sz="0" w:space="0" w:color="auto"/>
            <w:left w:val="none" w:sz="0" w:space="0" w:color="auto"/>
            <w:bottom w:val="none" w:sz="0" w:space="0" w:color="auto"/>
            <w:right w:val="none" w:sz="0" w:space="0" w:color="auto"/>
          </w:divBdr>
        </w:div>
      </w:divsChild>
    </w:div>
    <w:div w:id="1691906904">
      <w:bodyDiv w:val="1"/>
      <w:marLeft w:val="0"/>
      <w:marRight w:val="0"/>
      <w:marTop w:val="0"/>
      <w:marBottom w:val="0"/>
      <w:divBdr>
        <w:top w:val="none" w:sz="0" w:space="0" w:color="auto"/>
        <w:left w:val="none" w:sz="0" w:space="0" w:color="auto"/>
        <w:bottom w:val="none" w:sz="0" w:space="0" w:color="auto"/>
        <w:right w:val="none" w:sz="0" w:space="0" w:color="auto"/>
      </w:divBdr>
    </w:div>
    <w:div w:id="1707752397">
      <w:bodyDiv w:val="1"/>
      <w:marLeft w:val="0"/>
      <w:marRight w:val="0"/>
      <w:marTop w:val="0"/>
      <w:marBottom w:val="0"/>
      <w:divBdr>
        <w:top w:val="none" w:sz="0" w:space="0" w:color="auto"/>
        <w:left w:val="none" w:sz="0" w:space="0" w:color="auto"/>
        <w:bottom w:val="none" w:sz="0" w:space="0" w:color="auto"/>
        <w:right w:val="none" w:sz="0" w:space="0" w:color="auto"/>
      </w:divBdr>
      <w:divsChild>
        <w:div w:id="1804885675">
          <w:marLeft w:val="547"/>
          <w:marRight w:val="0"/>
          <w:marTop w:val="0"/>
          <w:marBottom w:val="0"/>
          <w:divBdr>
            <w:top w:val="none" w:sz="0" w:space="0" w:color="auto"/>
            <w:left w:val="none" w:sz="0" w:space="0" w:color="auto"/>
            <w:bottom w:val="none" w:sz="0" w:space="0" w:color="auto"/>
            <w:right w:val="none" w:sz="0" w:space="0" w:color="auto"/>
          </w:divBdr>
        </w:div>
      </w:divsChild>
    </w:div>
    <w:div w:id="1727071791">
      <w:bodyDiv w:val="1"/>
      <w:marLeft w:val="0"/>
      <w:marRight w:val="0"/>
      <w:marTop w:val="0"/>
      <w:marBottom w:val="0"/>
      <w:divBdr>
        <w:top w:val="none" w:sz="0" w:space="0" w:color="auto"/>
        <w:left w:val="none" w:sz="0" w:space="0" w:color="auto"/>
        <w:bottom w:val="none" w:sz="0" w:space="0" w:color="auto"/>
        <w:right w:val="none" w:sz="0" w:space="0" w:color="auto"/>
      </w:divBdr>
    </w:div>
    <w:div w:id="1732079363">
      <w:bodyDiv w:val="1"/>
      <w:marLeft w:val="0"/>
      <w:marRight w:val="0"/>
      <w:marTop w:val="0"/>
      <w:marBottom w:val="0"/>
      <w:divBdr>
        <w:top w:val="none" w:sz="0" w:space="0" w:color="auto"/>
        <w:left w:val="none" w:sz="0" w:space="0" w:color="auto"/>
        <w:bottom w:val="none" w:sz="0" w:space="0" w:color="auto"/>
        <w:right w:val="none" w:sz="0" w:space="0" w:color="auto"/>
      </w:divBdr>
    </w:div>
    <w:div w:id="1738016460">
      <w:bodyDiv w:val="1"/>
      <w:marLeft w:val="0"/>
      <w:marRight w:val="0"/>
      <w:marTop w:val="0"/>
      <w:marBottom w:val="0"/>
      <w:divBdr>
        <w:top w:val="none" w:sz="0" w:space="0" w:color="auto"/>
        <w:left w:val="none" w:sz="0" w:space="0" w:color="auto"/>
        <w:bottom w:val="none" w:sz="0" w:space="0" w:color="auto"/>
        <w:right w:val="none" w:sz="0" w:space="0" w:color="auto"/>
      </w:divBdr>
    </w:div>
    <w:div w:id="1760515559">
      <w:bodyDiv w:val="1"/>
      <w:marLeft w:val="0"/>
      <w:marRight w:val="0"/>
      <w:marTop w:val="0"/>
      <w:marBottom w:val="0"/>
      <w:divBdr>
        <w:top w:val="none" w:sz="0" w:space="0" w:color="auto"/>
        <w:left w:val="none" w:sz="0" w:space="0" w:color="auto"/>
        <w:bottom w:val="none" w:sz="0" w:space="0" w:color="auto"/>
        <w:right w:val="none" w:sz="0" w:space="0" w:color="auto"/>
      </w:divBdr>
    </w:div>
    <w:div w:id="1775243221">
      <w:bodyDiv w:val="1"/>
      <w:marLeft w:val="0"/>
      <w:marRight w:val="0"/>
      <w:marTop w:val="0"/>
      <w:marBottom w:val="0"/>
      <w:divBdr>
        <w:top w:val="none" w:sz="0" w:space="0" w:color="auto"/>
        <w:left w:val="none" w:sz="0" w:space="0" w:color="auto"/>
        <w:bottom w:val="none" w:sz="0" w:space="0" w:color="auto"/>
        <w:right w:val="none" w:sz="0" w:space="0" w:color="auto"/>
      </w:divBdr>
    </w:div>
    <w:div w:id="1801459247">
      <w:bodyDiv w:val="1"/>
      <w:marLeft w:val="0"/>
      <w:marRight w:val="0"/>
      <w:marTop w:val="0"/>
      <w:marBottom w:val="0"/>
      <w:divBdr>
        <w:top w:val="none" w:sz="0" w:space="0" w:color="auto"/>
        <w:left w:val="none" w:sz="0" w:space="0" w:color="auto"/>
        <w:bottom w:val="none" w:sz="0" w:space="0" w:color="auto"/>
        <w:right w:val="none" w:sz="0" w:space="0" w:color="auto"/>
      </w:divBdr>
      <w:divsChild>
        <w:div w:id="298149084">
          <w:marLeft w:val="547"/>
          <w:marRight w:val="0"/>
          <w:marTop w:val="0"/>
          <w:marBottom w:val="0"/>
          <w:divBdr>
            <w:top w:val="none" w:sz="0" w:space="0" w:color="auto"/>
            <w:left w:val="none" w:sz="0" w:space="0" w:color="auto"/>
            <w:bottom w:val="none" w:sz="0" w:space="0" w:color="auto"/>
            <w:right w:val="none" w:sz="0" w:space="0" w:color="auto"/>
          </w:divBdr>
        </w:div>
      </w:divsChild>
    </w:div>
    <w:div w:id="1820422290">
      <w:bodyDiv w:val="1"/>
      <w:marLeft w:val="0"/>
      <w:marRight w:val="0"/>
      <w:marTop w:val="0"/>
      <w:marBottom w:val="0"/>
      <w:divBdr>
        <w:top w:val="none" w:sz="0" w:space="0" w:color="auto"/>
        <w:left w:val="none" w:sz="0" w:space="0" w:color="auto"/>
        <w:bottom w:val="none" w:sz="0" w:space="0" w:color="auto"/>
        <w:right w:val="none" w:sz="0" w:space="0" w:color="auto"/>
      </w:divBdr>
    </w:div>
    <w:div w:id="1846701967">
      <w:bodyDiv w:val="1"/>
      <w:marLeft w:val="0"/>
      <w:marRight w:val="0"/>
      <w:marTop w:val="0"/>
      <w:marBottom w:val="0"/>
      <w:divBdr>
        <w:top w:val="none" w:sz="0" w:space="0" w:color="auto"/>
        <w:left w:val="none" w:sz="0" w:space="0" w:color="auto"/>
        <w:bottom w:val="none" w:sz="0" w:space="0" w:color="auto"/>
        <w:right w:val="none" w:sz="0" w:space="0" w:color="auto"/>
      </w:divBdr>
    </w:div>
    <w:div w:id="1853911266">
      <w:bodyDiv w:val="1"/>
      <w:marLeft w:val="0"/>
      <w:marRight w:val="0"/>
      <w:marTop w:val="0"/>
      <w:marBottom w:val="0"/>
      <w:divBdr>
        <w:top w:val="none" w:sz="0" w:space="0" w:color="auto"/>
        <w:left w:val="none" w:sz="0" w:space="0" w:color="auto"/>
        <w:bottom w:val="none" w:sz="0" w:space="0" w:color="auto"/>
        <w:right w:val="none" w:sz="0" w:space="0" w:color="auto"/>
      </w:divBdr>
    </w:div>
    <w:div w:id="1857305672">
      <w:bodyDiv w:val="1"/>
      <w:marLeft w:val="0"/>
      <w:marRight w:val="0"/>
      <w:marTop w:val="0"/>
      <w:marBottom w:val="0"/>
      <w:divBdr>
        <w:top w:val="none" w:sz="0" w:space="0" w:color="auto"/>
        <w:left w:val="none" w:sz="0" w:space="0" w:color="auto"/>
        <w:bottom w:val="none" w:sz="0" w:space="0" w:color="auto"/>
        <w:right w:val="none" w:sz="0" w:space="0" w:color="auto"/>
      </w:divBdr>
      <w:divsChild>
        <w:div w:id="227225983">
          <w:marLeft w:val="547"/>
          <w:marRight w:val="0"/>
          <w:marTop w:val="0"/>
          <w:marBottom w:val="0"/>
          <w:divBdr>
            <w:top w:val="none" w:sz="0" w:space="0" w:color="auto"/>
            <w:left w:val="none" w:sz="0" w:space="0" w:color="auto"/>
            <w:bottom w:val="none" w:sz="0" w:space="0" w:color="auto"/>
            <w:right w:val="none" w:sz="0" w:space="0" w:color="auto"/>
          </w:divBdr>
        </w:div>
      </w:divsChild>
    </w:div>
    <w:div w:id="1872960950">
      <w:bodyDiv w:val="1"/>
      <w:marLeft w:val="0"/>
      <w:marRight w:val="0"/>
      <w:marTop w:val="0"/>
      <w:marBottom w:val="0"/>
      <w:divBdr>
        <w:top w:val="none" w:sz="0" w:space="0" w:color="auto"/>
        <w:left w:val="none" w:sz="0" w:space="0" w:color="auto"/>
        <w:bottom w:val="none" w:sz="0" w:space="0" w:color="auto"/>
        <w:right w:val="none" w:sz="0" w:space="0" w:color="auto"/>
      </w:divBdr>
    </w:div>
    <w:div w:id="1875069728">
      <w:bodyDiv w:val="1"/>
      <w:marLeft w:val="0"/>
      <w:marRight w:val="0"/>
      <w:marTop w:val="0"/>
      <w:marBottom w:val="0"/>
      <w:divBdr>
        <w:top w:val="none" w:sz="0" w:space="0" w:color="auto"/>
        <w:left w:val="none" w:sz="0" w:space="0" w:color="auto"/>
        <w:bottom w:val="none" w:sz="0" w:space="0" w:color="auto"/>
        <w:right w:val="none" w:sz="0" w:space="0" w:color="auto"/>
      </w:divBdr>
      <w:divsChild>
        <w:div w:id="1638878386">
          <w:marLeft w:val="547"/>
          <w:marRight w:val="0"/>
          <w:marTop w:val="0"/>
          <w:marBottom w:val="0"/>
          <w:divBdr>
            <w:top w:val="none" w:sz="0" w:space="0" w:color="auto"/>
            <w:left w:val="none" w:sz="0" w:space="0" w:color="auto"/>
            <w:bottom w:val="none" w:sz="0" w:space="0" w:color="auto"/>
            <w:right w:val="none" w:sz="0" w:space="0" w:color="auto"/>
          </w:divBdr>
        </w:div>
      </w:divsChild>
    </w:div>
    <w:div w:id="1941329707">
      <w:bodyDiv w:val="1"/>
      <w:marLeft w:val="0"/>
      <w:marRight w:val="0"/>
      <w:marTop w:val="0"/>
      <w:marBottom w:val="0"/>
      <w:divBdr>
        <w:top w:val="none" w:sz="0" w:space="0" w:color="auto"/>
        <w:left w:val="none" w:sz="0" w:space="0" w:color="auto"/>
        <w:bottom w:val="none" w:sz="0" w:space="0" w:color="auto"/>
        <w:right w:val="none" w:sz="0" w:space="0" w:color="auto"/>
      </w:divBdr>
    </w:div>
    <w:div w:id="1946422658">
      <w:bodyDiv w:val="1"/>
      <w:marLeft w:val="0"/>
      <w:marRight w:val="0"/>
      <w:marTop w:val="0"/>
      <w:marBottom w:val="0"/>
      <w:divBdr>
        <w:top w:val="none" w:sz="0" w:space="0" w:color="auto"/>
        <w:left w:val="none" w:sz="0" w:space="0" w:color="auto"/>
        <w:bottom w:val="none" w:sz="0" w:space="0" w:color="auto"/>
        <w:right w:val="none" w:sz="0" w:space="0" w:color="auto"/>
      </w:divBdr>
    </w:div>
    <w:div w:id="1964114996">
      <w:bodyDiv w:val="1"/>
      <w:marLeft w:val="0"/>
      <w:marRight w:val="0"/>
      <w:marTop w:val="0"/>
      <w:marBottom w:val="0"/>
      <w:divBdr>
        <w:top w:val="none" w:sz="0" w:space="0" w:color="auto"/>
        <w:left w:val="none" w:sz="0" w:space="0" w:color="auto"/>
        <w:bottom w:val="none" w:sz="0" w:space="0" w:color="auto"/>
        <w:right w:val="none" w:sz="0" w:space="0" w:color="auto"/>
      </w:divBdr>
      <w:divsChild>
        <w:div w:id="439032360">
          <w:marLeft w:val="0"/>
          <w:marRight w:val="0"/>
          <w:marTop w:val="0"/>
          <w:marBottom w:val="0"/>
          <w:divBdr>
            <w:top w:val="none" w:sz="0" w:space="0" w:color="auto"/>
            <w:left w:val="none" w:sz="0" w:space="0" w:color="auto"/>
            <w:bottom w:val="none" w:sz="0" w:space="0" w:color="auto"/>
            <w:right w:val="none" w:sz="0" w:space="0" w:color="auto"/>
          </w:divBdr>
        </w:div>
      </w:divsChild>
    </w:div>
    <w:div w:id="1980721272">
      <w:bodyDiv w:val="1"/>
      <w:marLeft w:val="0"/>
      <w:marRight w:val="0"/>
      <w:marTop w:val="0"/>
      <w:marBottom w:val="0"/>
      <w:divBdr>
        <w:top w:val="none" w:sz="0" w:space="0" w:color="auto"/>
        <w:left w:val="none" w:sz="0" w:space="0" w:color="auto"/>
        <w:bottom w:val="none" w:sz="0" w:space="0" w:color="auto"/>
        <w:right w:val="none" w:sz="0" w:space="0" w:color="auto"/>
      </w:divBdr>
    </w:div>
    <w:div w:id="1983925219">
      <w:bodyDiv w:val="1"/>
      <w:marLeft w:val="0"/>
      <w:marRight w:val="0"/>
      <w:marTop w:val="0"/>
      <w:marBottom w:val="0"/>
      <w:divBdr>
        <w:top w:val="none" w:sz="0" w:space="0" w:color="auto"/>
        <w:left w:val="none" w:sz="0" w:space="0" w:color="auto"/>
        <w:bottom w:val="none" w:sz="0" w:space="0" w:color="auto"/>
        <w:right w:val="none" w:sz="0" w:space="0" w:color="auto"/>
      </w:divBdr>
    </w:div>
    <w:div w:id="1984843457">
      <w:bodyDiv w:val="1"/>
      <w:marLeft w:val="0"/>
      <w:marRight w:val="0"/>
      <w:marTop w:val="0"/>
      <w:marBottom w:val="0"/>
      <w:divBdr>
        <w:top w:val="none" w:sz="0" w:space="0" w:color="auto"/>
        <w:left w:val="none" w:sz="0" w:space="0" w:color="auto"/>
        <w:bottom w:val="none" w:sz="0" w:space="0" w:color="auto"/>
        <w:right w:val="none" w:sz="0" w:space="0" w:color="auto"/>
      </w:divBdr>
      <w:divsChild>
        <w:div w:id="68430951">
          <w:marLeft w:val="547"/>
          <w:marRight w:val="0"/>
          <w:marTop w:val="0"/>
          <w:marBottom w:val="0"/>
          <w:divBdr>
            <w:top w:val="none" w:sz="0" w:space="0" w:color="auto"/>
            <w:left w:val="none" w:sz="0" w:space="0" w:color="auto"/>
            <w:bottom w:val="none" w:sz="0" w:space="0" w:color="auto"/>
            <w:right w:val="none" w:sz="0" w:space="0" w:color="auto"/>
          </w:divBdr>
        </w:div>
        <w:div w:id="382756645">
          <w:marLeft w:val="547"/>
          <w:marRight w:val="0"/>
          <w:marTop w:val="0"/>
          <w:marBottom w:val="0"/>
          <w:divBdr>
            <w:top w:val="none" w:sz="0" w:space="0" w:color="auto"/>
            <w:left w:val="none" w:sz="0" w:space="0" w:color="auto"/>
            <w:bottom w:val="none" w:sz="0" w:space="0" w:color="auto"/>
            <w:right w:val="none" w:sz="0" w:space="0" w:color="auto"/>
          </w:divBdr>
        </w:div>
        <w:div w:id="1385761664">
          <w:marLeft w:val="547"/>
          <w:marRight w:val="0"/>
          <w:marTop w:val="0"/>
          <w:marBottom w:val="0"/>
          <w:divBdr>
            <w:top w:val="none" w:sz="0" w:space="0" w:color="auto"/>
            <w:left w:val="none" w:sz="0" w:space="0" w:color="auto"/>
            <w:bottom w:val="none" w:sz="0" w:space="0" w:color="auto"/>
            <w:right w:val="none" w:sz="0" w:space="0" w:color="auto"/>
          </w:divBdr>
        </w:div>
      </w:divsChild>
    </w:div>
    <w:div w:id="1985503071">
      <w:bodyDiv w:val="1"/>
      <w:marLeft w:val="0"/>
      <w:marRight w:val="0"/>
      <w:marTop w:val="0"/>
      <w:marBottom w:val="0"/>
      <w:divBdr>
        <w:top w:val="none" w:sz="0" w:space="0" w:color="auto"/>
        <w:left w:val="none" w:sz="0" w:space="0" w:color="auto"/>
        <w:bottom w:val="none" w:sz="0" w:space="0" w:color="auto"/>
        <w:right w:val="none" w:sz="0" w:space="0" w:color="auto"/>
      </w:divBdr>
      <w:divsChild>
        <w:div w:id="1098139419">
          <w:marLeft w:val="360"/>
          <w:marRight w:val="0"/>
          <w:marTop w:val="200"/>
          <w:marBottom w:val="0"/>
          <w:divBdr>
            <w:top w:val="none" w:sz="0" w:space="0" w:color="auto"/>
            <w:left w:val="none" w:sz="0" w:space="0" w:color="auto"/>
            <w:bottom w:val="none" w:sz="0" w:space="0" w:color="auto"/>
            <w:right w:val="none" w:sz="0" w:space="0" w:color="auto"/>
          </w:divBdr>
        </w:div>
      </w:divsChild>
    </w:div>
    <w:div w:id="1997299213">
      <w:bodyDiv w:val="1"/>
      <w:marLeft w:val="0"/>
      <w:marRight w:val="0"/>
      <w:marTop w:val="0"/>
      <w:marBottom w:val="0"/>
      <w:divBdr>
        <w:top w:val="none" w:sz="0" w:space="0" w:color="auto"/>
        <w:left w:val="none" w:sz="0" w:space="0" w:color="auto"/>
        <w:bottom w:val="none" w:sz="0" w:space="0" w:color="auto"/>
        <w:right w:val="none" w:sz="0" w:space="0" w:color="auto"/>
      </w:divBdr>
      <w:divsChild>
        <w:div w:id="1861384117">
          <w:marLeft w:val="547"/>
          <w:marRight w:val="0"/>
          <w:marTop w:val="0"/>
          <w:marBottom w:val="0"/>
          <w:divBdr>
            <w:top w:val="none" w:sz="0" w:space="0" w:color="auto"/>
            <w:left w:val="none" w:sz="0" w:space="0" w:color="auto"/>
            <w:bottom w:val="none" w:sz="0" w:space="0" w:color="auto"/>
            <w:right w:val="none" w:sz="0" w:space="0" w:color="auto"/>
          </w:divBdr>
        </w:div>
      </w:divsChild>
    </w:div>
    <w:div w:id="2010785837">
      <w:bodyDiv w:val="1"/>
      <w:marLeft w:val="0"/>
      <w:marRight w:val="0"/>
      <w:marTop w:val="0"/>
      <w:marBottom w:val="0"/>
      <w:divBdr>
        <w:top w:val="none" w:sz="0" w:space="0" w:color="auto"/>
        <w:left w:val="none" w:sz="0" w:space="0" w:color="auto"/>
        <w:bottom w:val="none" w:sz="0" w:space="0" w:color="auto"/>
        <w:right w:val="none" w:sz="0" w:space="0" w:color="auto"/>
      </w:divBdr>
    </w:div>
    <w:div w:id="2045134746">
      <w:bodyDiv w:val="1"/>
      <w:marLeft w:val="0"/>
      <w:marRight w:val="0"/>
      <w:marTop w:val="0"/>
      <w:marBottom w:val="0"/>
      <w:divBdr>
        <w:top w:val="none" w:sz="0" w:space="0" w:color="auto"/>
        <w:left w:val="none" w:sz="0" w:space="0" w:color="auto"/>
        <w:bottom w:val="none" w:sz="0" w:space="0" w:color="auto"/>
        <w:right w:val="none" w:sz="0" w:space="0" w:color="auto"/>
      </w:divBdr>
    </w:div>
    <w:div w:id="2048212575">
      <w:bodyDiv w:val="1"/>
      <w:marLeft w:val="0"/>
      <w:marRight w:val="0"/>
      <w:marTop w:val="0"/>
      <w:marBottom w:val="0"/>
      <w:divBdr>
        <w:top w:val="none" w:sz="0" w:space="0" w:color="auto"/>
        <w:left w:val="none" w:sz="0" w:space="0" w:color="auto"/>
        <w:bottom w:val="none" w:sz="0" w:space="0" w:color="auto"/>
        <w:right w:val="none" w:sz="0" w:space="0" w:color="auto"/>
      </w:divBdr>
      <w:divsChild>
        <w:div w:id="2135633583">
          <w:marLeft w:val="547"/>
          <w:marRight w:val="0"/>
          <w:marTop w:val="0"/>
          <w:marBottom w:val="0"/>
          <w:divBdr>
            <w:top w:val="none" w:sz="0" w:space="0" w:color="auto"/>
            <w:left w:val="none" w:sz="0" w:space="0" w:color="auto"/>
            <w:bottom w:val="none" w:sz="0" w:space="0" w:color="auto"/>
            <w:right w:val="none" w:sz="0" w:space="0" w:color="auto"/>
          </w:divBdr>
        </w:div>
      </w:divsChild>
    </w:div>
    <w:div w:id="2081751960">
      <w:bodyDiv w:val="1"/>
      <w:marLeft w:val="0"/>
      <w:marRight w:val="0"/>
      <w:marTop w:val="0"/>
      <w:marBottom w:val="0"/>
      <w:divBdr>
        <w:top w:val="none" w:sz="0" w:space="0" w:color="auto"/>
        <w:left w:val="none" w:sz="0" w:space="0" w:color="auto"/>
        <w:bottom w:val="none" w:sz="0" w:space="0" w:color="auto"/>
        <w:right w:val="none" w:sz="0" w:space="0" w:color="auto"/>
      </w:divBdr>
      <w:divsChild>
        <w:div w:id="452407749">
          <w:marLeft w:val="547"/>
          <w:marRight w:val="0"/>
          <w:marTop w:val="0"/>
          <w:marBottom w:val="0"/>
          <w:divBdr>
            <w:top w:val="none" w:sz="0" w:space="0" w:color="auto"/>
            <w:left w:val="none" w:sz="0" w:space="0" w:color="auto"/>
            <w:bottom w:val="none" w:sz="0" w:space="0" w:color="auto"/>
            <w:right w:val="none" w:sz="0" w:space="0" w:color="auto"/>
          </w:divBdr>
        </w:div>
      </w:divsChild>
    </w:div>
    <w:div w:id="2090230481">
      <w:bodyDiv w:val="1"/>
      <w:marLeft w:val="0"/>
      <w:marRight w:val="0"/>
      <w:marTop w:val="0"/>
      <w:marBottom w:val="0"/>
      <w:divBdr>
        <w:top w:val="none" w:sz="0" w:space="0" w:color="auto"/>
        <w:left w:val="none" w:sz="0" w:space="0" w:color="auto"/>
        <w:bottom w:val="none" w:sz="0" w:space="0" w:color="auto"/>
        <w:right w:val="none" w:sz="0" w:space="0" w:color="auto"/>
      </w:divBdr>
    </w:div>
    <w:div w:id="2128622089">
      <w:bodyDiv w:val="1"/>
      <w:marLeft w:val="0"/>
      <w:marRight w:val="0"/>
      <w:marTop w:val="0"/>
      <w:marBottom w:val="0"/>
      <w:divBdr>
        <w:top w:val="none" w:sz="0" w:space="0" w:color="auto"/>
        <w:left w:val="none" w:sz="0" w:space="0" w:color="auto"/>
        <w:bottom w:val="none" w:sz="0" w:space="0" w:color="auto"/>
        <w:right w:val="none" w:sz="0" w:space="0" w:color="auto"/>
      </w:divBdr>
    </w:div>
    <w:div w:id="2129545269">
      <w:bodyDiv w:val="1"/>
      <w:marLeft w:val="0"/>
      <w:marRight w:val="0"/>
      <w:marTop w:val="0"/>
      <w:marBottom w:val="0"/>
      <w:divBdr>
        <w:top w:val="none" w:sz="0" w:space="0" w:color="auto"/>
        <w:left w:val="none" w:sz="0" w:space="0" w:color="auto"/>
        <w:bottom w:val="none" w:sz="0" w:space="0" w:color="auto"/>
        <w:right w:val="none" w:sz="0" w:space="0" w:color="auto"/>
      </w:divBdr>
    </w:div>
    <w:div w:id="2129929528">
      <w:bodyDiv w:val="1"/>
      <w:marLeft w:val="0"/>
      <w:marRight w:val="0"/>
      <w:marTop w:val="0"/>
      <w:marBottom w:val="0"/>
      <w:divBdr>
        <w:top w:val="none" w:sz="0" w:space="0" w:color="auto"/>
        <w:left w:val="none" w:sz="0" w:space="0" w:color="auto"/>
        <w:bottom w:val="none" w:sz="0" w:space="0" w:color="auto"/>
        <w:right w:val="none" w:sz="0" w:space="0" w:color="auto"/>
      </w:divBdr>
      <w:divsChild>
        <w:div w:id="500045699">
          <w:marLeft w:val="547"/>
          <w:marRight w:val="0"/>
          <w:marTop w:val="0"/>
          <w:marBottom w:val="0"/>
          <w:divBdr>
            <w:top w:val="none" w:sz="0" w:space="0" w:color="auto"/>
            <w:left w:val="none" w:sz="0" w:space="0" w:color="auto"/>
            <w:bottom w:val="none" w:sz="0" w:space="0" w:color="auto"/>
            <w:right w:val="none" w:sz="0" w:space="0" w:color="auto"/>
          </w:divBdr>
        </w:div>
      </w:divsChild>
    </w:div>
    <w:div w:id="213313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wmf"/><Relationship Id="rId21" Type="http://schemas.openxmlformats.org/officeDocument/2006/relationships/diagramData" Target="diagrams/data2.xml"/><Relationship Id="rId42" Type="http://schemas.openxmlformats.org/officeDocument/2006/relationships/image" Target="media/image13.png"/><Relationship Id="rId47" Type="http://schemas.openxmlformats.org/officeDocument/2006/relationships/image" Target="media/image16.wmf"/><Relationship Id="rId63" Type="http://schemas.openxmlformats.org/officeDocument/2006/relationships/image" Target="media/image24.png"/><Relationship Id="rId68" Type="http://schemas.openxmlformats.org/officeDocument/2006/relationships/image" Target="media/image29.png"/><Relationship Id="rId84" Type="http://schemas.openxmlformats.org/officeDocument/2006/relationships/fontTable" Target="fontTable.xml"/><Relationship Id="rId16" Type="http://schemas.openxmlformats.org/officeDocument/2006/relationships/diagramLayout" Target="diagrams/layout1.xml"/><Relationship Id="rId11" Type="http://schemas.openxmlformats.org/officeDocument/2006/relationships/image" Target="media/image1.png"/><Relationship Id="rId32" Type="http://schemas.openxmlformats.org/officeDocument/2006/relationships/image" Target="media/image10.png"/><Relationship Id="rId37" Type="http://schemas.openxmlformats.org/officeDocument/2006/relationships/hyperlink" Target="https://gestornormativo.creg.gov.co/gestor/entorno/docs/resolucion_creg_0002_2009.htm" TargetMode="External"/><Relationship Id="rId53" Type="http://schemas.openxmlformats.org/officeDocument/2006/relationships/image" Target="media/image19.wmf"/><Relationship Id="rId74" Type="http://schemas.openxmlformats.org/officeDocument/2006/relationships/image" Target="media/image35.svg"/><Relationship Id="rId79" Type="http://schemas.openxmlformats.org/officeDocument/2006/relationships/image" Target="media/image40.png"/><Relationship Id="rId5" Type="http://schemas.openxmlformats.org/officeDocument/2006/relationships/numbering" Target="numbering.xml"/><Relationship Id="rId61" Type="http://schemas.openxmlformats.org/officeDocument/2006/relationships/image" Target="media/image22.png"/><Relationship Id="rId82" Type="http://schemas.openxmlformats.org/officeDocument/2006/relationships/header" Target="header2.xml"/><Relationship Id="rId19" Type="http://schemas.microsoft.com/office/2007/relationships/diagramDrawing" Target="diagrams/drawing1.xml"/><Relationship Id="rId14" Type="http://schemas.openxmlformats.org/officeDocument/2006/relationships/image" Target="media/image4.png"/><Relationship Id="rId22" Type="http://schemas.openxmlformats.org/officeDocument/2006/relationships/diagramLayout" Target="diagrams/layout2.xml"/><Relationship Id="rId27" Type="http://schemas.openxmlformats.org/officeDocument/2006/relationships/image" Target="media/image7.png"/><Relationship Id="rId30" Type="http://schemas.openxmlformats.org/officeDocument/2006/relationships/image" Target="media/image9.png"/><Relationship Id="rId35" Type="http://schemas.openxmlformats.org/officeDocument/2006/relationships/hyperlink" Target="https://gestornormativo.creg.gov.co/gestor/entorno/docs/resolucion_creg_0002_2009.htm" TargetMode="External"/><Relationship Id="rId43" Type="http://schemas.openxmlformats.org/officeDocument/2006/relationships/image" Target="media/image14.wmf"/><Relationship Id="rId48" Type="http://schemas.openxmlformats.org/officeDocument/2006/relationships/oleObject" Target="embeddings/oleObject3.bin"/><Relationship Id="rId56" Type="http://schemas.openxmlformats.org/officeDocument/2006/relationships/image" Target="media/image21.png"/><Relationship Id="rId64" Type="http://schemas.openxmlformats.org/officeDocument/2006/relationships/image" Target="media/image25.png"/><Relationship Id="rId69" Type="http://schemas.openxmlformats.org/officeDocument/2006/relationships/image" Target="media/image30.png"/><Relationship Id="rId77" Type="http://schemas.openxmlformats.org/officeDocument/2006/relationships/image" Target="media/image38.png"/><Relationship Id="rId8" Type="http://schemas.openxmlformats.org/officeDocument/2006/relationships/webSettings" Target="webSettings.xml"/><Relationship Id="rId51" Type="http://schemas.openxmlformats.org/officeDocument/2006/relationships/image" Target="media/image18.wmf"/><Relationship Id="rId72" Type="http://schemas.openxmlformats.org/officeDocument/2006/relationships/image" Target="media/image33.jpeg"/><Relationship Id="rId80" Type="http://schemas.openxmlformats.org/officeDocument/2006/relationships/header" Target="header1.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diagramQuickStyle" Target="diagrams/quickStyle1.xml"/><Relationship Id="rId25" Type="http://schemas.microsoft.com/office/2007/relationships/diagramDrawing" Target="diagrams/drawing2.xml"/><Relationship Id="rId33" Type="http://schemas.openxmlformats.org/officeDocument/2006/relationships/hyperlink" Target="https://gestornormativo.creg.gov.co/gestor/entorno/docs/circular_creg_0105_2015.htm" TargetMode="External"/><Relationship Id="rId38" Type="http://schemas.openxmlformats.org/officeDocument/2006/relationships/hyperlink" Target="https://gestornormativo.creg.gov.co/gestor/entorno/docs/resolucion_creg_0002_2009.htm" TargetMode="External"/><Relationship Id="rId46" Type="http://schemas.openxmlformats.org/officeDocument/2006/relationships/oleObject" Target="embeddings/oleObject2.bin"/><Relationship Id="rId59" Type="http://schemas.openxmlformats.org/officeDocument/2006/relationships/image" Target="media/image200.emf"/><Relationship Id="rId67" Type="http://schemas.openxmlformats.org/officeDocument/2006/relationships/image" Target="media/image28.png"/><Relationship Id="rId20" Type="http://schemas.openxmlformats.org/officeDocument/2006/relationships/image" Target="media/image5.emf"/><Relationship Id="rId41" Type="http://schemas.openxmlformats.org/officeDocument/2006/relationships/image" Target="media/image12.png"/><Relationship Id="rId54" Type="http://schemas.openxmlformats.org/officeDocument/2006/relationships/oleObject" Target="embeddings/oleObject6.bin"/><Relationship Id="rId62" Type="http://schemas.openxmlformats.org/officeDocument/2006/relationships/image" Target="media/image23.png"/><Relationship Id="rId70" Type="http://schemas.openxmlformats.org/officeDocument/2006/relationships/image" Target="media/image31.png"/><Relationship Id="rId75" Type="http://schemas.openxmlformats.org/officeDocument/2006/relationships/image" Target="media/image36.png"/><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Data" Target="diagrams/data1.xml"/><Relationship Id="rId23" Type="http://schemas.openxmlformats.org/officeDocument/2006/relationships/diagramQuickStyle" Target="diagrams/quickStyle2.xml"/><Relationship Id="rId28" Type="http://schemas.openxmlformats.org/officeDocument/2006/relationships/image" Target="media/image8.png"/><Relationship Id="rId36" Type="http://schemas.openxmlformats.org/officeDocument/2006/relationships/hyperlink" Target="https://gestornormativo.creg.gov.co/gestor/entorno/docs/resolucion_creg_0202_2013.htm" TargetMode="External"/><Relationship Id="rId49" Type="http://schemas.openxmlformats.org/officeDocument/2006/relationships/image" Target="media/image17.wmf"/><Relationship Id="rId10" Type="http://schemas.openxmlformats.org/officeDocument/2006/relationships/endnotes" Target="endnotes.xml"/><Relationship Id="rId31" Type="http://schemas.openxmlformats.org/officeDocument/2006/relationships/hyperlink" Target="https://www.cenit-transporte.com/glp-3/" TargetMode="External"/><Relationship Id="rId44" Type="http://schemas.openxmlformats.org/officeDocument/2006/relationships/oleObject" Target="embeddings/oleObject1.bin"/><Relationship Id="rId52" Type="http://schemas.openxmlformats.org/officeDocument/2006/relationships/oleObject" Target="embeddings/oleObject5.bin"/><Relationship Id="rId60" Type="http://schemas.openxmlformats.org/officeDocument/2006/relationships/image" Target="media/image210.png"/><Relationship Id="rId65" Type="http://schemas.openxmlformats.org/officeDocument/2006/relationships/image" Target="media/image26.png"/><Relationship Id="rId73" Type="http://schemas.openxmlformats.org/officeDocument/2006/relationships/image" Target="media/image34.png"/><Relationship Id="rId78" Type="http://schemas.openxmlformats.org/officeDocument/2006/relationships/image" Target="media/image39.png"/><Relationship Id="rId81" Type="http://schemas.openxmlformats.org/officeDocument/2006/relationships/footer" Target="footer1.xml"/><Relationship Id="rId86"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diagramColors" Target="diagrams/colors1.xml"/><Relationship Id="rId39" Type="http://schemas.openxmlformats.org/officeDocument/2006/relationships/hyperlink" Target="https://gestornormativo.creg.gov.co/gestor/entorno/docs/resolucion_creg_0011_2003.htm" TargetMode="External"/><Relationship Id="rId34" Type="http://schemas.openxmlformats.org/officeDocument/2006/relationships/hyperlink" Target="https://gestornormativo.creg.gov.co/gestor/entorno/docs/resolucion_creg_0202_2013.htm" TargetMode="External"/><Relationship Id="rId50" Type="http://schemas.openxmlformats.org/officeDocument/2006/relationships/oleObject" Target="embeddings/oleObject4.bin"/><Relationship Id="rId55" Type="http://schemas.openxmlformats.org/officeDocument/2006/relationships/image" Target="media/image20.emf"/><Relationship Id="rId76" Type="http://schemas.openxmlformats.org/officeDocument/2006/relationships/image" Target="media/image37.png"/><Relationship Id="rId7" Type="http://schemas.openxmlformats.org/officeDocument/2006/relationships/settings" Target="settings.xml"/><Relationship Id="rId71" Type="http://schemas.openxmlformats.org/officeDocument/2006/relationships/image" Target="media/image32.jpeg"/><Relationship Id="rId2" Type="http://schemas.openxmlformats.org/officeDocument/2006/relationships/customXml" Target="../customXml/item2.xml"/><Relationship Id="rId29" Type="http://schemas.openxmlformats.org/officeDocument/2006/relationships/hyperlink" Target="https://www.cenit-transporte.com/poliductos/" TargetMode="External"/><Relationship Id="rId24" Type="http://schemas.openxmlformats.org/officeDocument/2006/relationships/diagramColors" Target="diagrams/colors2.xml"/><Relationship Id="rId40" Type="http://schemas.openxmlformats.org/officeDocument/2006/relationships/image" Target="media/image11.png"/><Relationship Id="rId45" Type="http://schemas.openxmlformats.org/officeDocument/2006/relationships/image" Target="media/image15.wmf"/><Relationship Id="rId66" Type="http://schemas.openxmlformats.org/officeDocument/2006/relationships/image" Target="media/image27.png"/></Relationships>
</file>

<file path=word/_rels/footnotes.xml.rels><?xml version="1.0" encoding="UTF-8" standalone="yes"?>
<Relationships xmlns="http://schemas.openxmlformats.org/package/2006/relationships"><Relationship Id="rId1" Type="http://schemas.openxmlformats.org/officeDocument/2006/relationships/hyperlink" Target="https://www.cenit-transporte.com/glp-3/" TargetMode="Externa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A0D9698-B695-4E8A-AA70-9844FBA120E6}" type="doc">
      <dgm:prSet loTypeId="urn:microsoft.com/office/officeart/2005/8/layout/target2" loCatId="relationship" qsTypeId="urn:microsoft.com/office/officeart/2005/8/quickstyle/simple5" qsCatId="simple" csTypeId="urn:microsoft.com/office/officeart/2005/8/colors/accent1_1" csCatId="accent1" phldr="1"/>
      <dgm:spPr/>
      <dgm:t>
        <a:bodyPr/>
        <a:lstStyle/>
        <a:p>
          <a:endParaRPr lang="es-CO"/>
        </a:p>
      </dgm:t>
    </dgm:pt>
    <dgm:pt modelId="{FD0FB85D-0F2D-470B-B81D-1605757DD0C1}">
      <dgm:prSet phldrT="[Texto]" custT="1"/>
      <dgm:spPr/>
      <dgm:t>
        <a:bodyPr/>
        <a:lstStyle/>
        <a:p>
          <a:r>
            <a:rPr lang="es-CO" sz="1050"/>
            <a:t>Libertad vigilada con tratamiento diferencial para Ecopetrol</a:t>
          </a:r>
        </a:p>
      </dgm:t>
    </dgm:pt>
    <dgm:pt modelId="{8F3E3AD1-1FDE-44CB-AC6C-0584AFEC6D29}" type="parTrans" cxnId="{72B5EE09-391C-463E-ADC3-C2C3A404C9F7}">
      <dgm:prSet/>
      <dgm:spPr/>
      <dgm:t>
        <a:bodyPr/>
        <a:lstStyle/>
        <a:p>
          <a:endParaRPr lang="es-CO"/>
        </a:p>
      </dgm:t>
    </dgm:pt>
    <dgm:pt modelId="{8E3072CF-570C-4880-996B-1E3A7C7B4DEB}" type="sibTrans" cxnId="{72B5EE09-391C-463E-ADC3-C2C3A404C9F7}">
      <dgm:prSet/>
      <dgm:spPr/>
      <dgm:t>
        <a:bodyPr/>
        <a:lstStyle/>
        <a:p>
          <a:endParaRPr lang="es-CO"/>
        </a:p>
      </dgm:t>
    </dgm:pt>
    <dgm:pt modelId="{DEDB0810-B470-497F-B6B0-EE95FB6F54BD}">
      <dgm:prSet phldrT="[Texto]" custT="1"/>
      <dgm:spPr/>
      <dgm:t>
        <a:bodyPr/>
        <a:lstStyle/>
        <a:p>
          <a:r>
            <a:rPr lang="es-CO" sz="2000" b="1"/>
            <a:t>Metodología precio máximo regulado</a:t>
          </a:r>
        </a:p>
      </dgm:t>
    </dgm:pt>
    <dgm:pt modelId="{6AD0BADC-05AE-4C9D-BB58-2085C1AFF79C}" type="parTrans" cxnId="{538EA716-F12D-4D3B-8DE2-332EE08C171A}">
      <dgm:prSet/>
      <dgm:spPr/>
      <dgm:t>
        <a:bodyPr/>
        <a:lstStyle/>
        <a:p>
          <a:endParaRPr lang="es-CO"/>
        </a:p>
      </dgm:t>
    </dgm:pt>
    <dgm:pt modelId="{49F8EA90-96B8-4899-B562-DE03F6EF5797}" type="sibTrans" cxnId="{538EA716-F12D-4D3B-8DE2-332EE08C171A}">
      <dgm:prSet/>
      <dgm:spPr/>
      <dgm:t>
        <a:bodyPr/>
        <a:lstStyle/>
        <a:p>
          <a:endParaRPr lang="es-CO"/>
        </a:p>
      </dgm:t>
    </dgm:pt>
    <dgm:pt modelId="{EDC8DF65-EB7A-4F3D-A4DB-A744BC3E85E2}">
      <dgm:prSet phldrT="[Texto]" custT="1"/>
      <dgm:spPr/>
      <dgm:t>
        <a:bodyPr/>
        <a:lstStyle/>
        <a:p>
          <a:r>
            <a:rPr lang="es-CO" sz="900"/>
            <a:t>Costo de oportunidad</a:t>
          </a:r>
          <a:br>
            <a:rPr lang="es-CO" sz="900"/>
          </a:br>
          <a:br>
            <a:rPr lang="es-CO" sz="900"/>
          </a:br>
          <a:r>
            <a:rPr lang="es-CO" sz="900"/>
            <a:t>PPE*</a:t>
          </a:r>
        </a:p>
      </dgm:t>
    </dgm:pt>
    <dgm:pt modelId="{E50CC3CB-8B48-4AE7-AC0C-27BFFCD61DBD}" type="parTrans" cxnId="{3C13C263-542B-4124-A9AF-FF95ED9D7E49}">
      <dgm:prSet/>
      <dgm:spPr/>
      <dgm:t>
        <a:bodyPr/>
        <a:lstStyle/>
        <a:p>
          <a:endParaRPr lang="es-CO"/>
        </a:p>
      </dgm:t>
    </dgm:pt>
    <dgm:pt modelId="{20F622D7-17FD-49AE-AF64-5E3306265DA2}" type="sibTrans" cxnId="{3C13C263-542B-4124-A9AF-FF95ED9D7E49}">
      <dgm:prSet/>
      <dgm:spPr/>
      <dgm:t>
        <a:bodyPr/>
        <a:lstStyle/>
        <a:p>
          <a:endParaRPr lang="es-CO"/>
        </a:p>
      </dgm:t>
    </dgm:pt>
    <dgm:pt modelId="{10C943EB-D418-4DA4-8698-66E6F49343DC}">
      <dgm:prSet phldrT="[Texto]" custT="1"/>
      <dgm:spPr/>
      <dgm:t>
        <a:bodyPr/>
        <a:lstStyle/>
        <a:p>
          <a:r>
            <a:rPr lang="es-CO" sz="1800" b="1"/>
            <a:t>Aplicación de precio</a:t>
          </a:r>
        </a:p>
      </dgm:t>
    </dgm:pt>
    <dgm:pt modelId="{55298182-9796-45B8-BF9A-D7A486C8C3EF}" type="parTrans" cxnId="{1C5E3557-0A5C-4F39-909F-BF66EEF70A52}">
      <dgm:prSet/>
      <dgm:spPr/>
      <dgm:t>
        <a:bodyPr/>
        <a:lstStyle/>
        <a:p>
          <a:endParaRPr lang="es-CO"/>
        </a:p>
      </dgm:t>
    </dgm:pt>
    <dgm:pt modelId="{D4F3D4FE-73DE-4962-9835-AADD1DA6BC17}" type="sibTrans" cxnId="{1C5E3557-0A5C-4F39-909F-BF66EEF70A52}">
      <dgm:prSet/>
      <dgm:spPr/>
      <dgm:t>
        <a:bodyPr/>
        <a:lstStyle/>
        <a:p>
          <a:endParaRPr lang="es-CO"/>
        </a:p>
      </dgm:t>
    </dgm:pt>
    <dgm:pt modelId="{347050B0-18E3-4301-8F89-F1B24A0A8572}">
      <dgm:prSet phldrT="[Texto]"/>
      <dgm:spPr/>
      <dgm:t>
        <a:bodyPr anchor="ctr" anchorCtr="0"/>
        <a:lstStyle/>
        <a:p>
          <a:pPr algn="l"/>
          <a:r>
            <a:rPr lang="es-CO"/>
            <a:t>- GLP Nacional: PPE* Reficar y PPE* para demanda interna.</a:t>
          </a:r>
          <a:br>
            <a:rPr lang="es-CO"/>
          </a:br>
          <a:r>
            <a:rPr lang="es-CO"/>
            <a:t>- GLP Importado: Costo de importación + 8%. </a:t>
          </a:r>
          <a:br>
            <a:rPr lang="es-CO"/>
          </a:br>
          <a:r>
            <a:rPr lang="es-CO"/>
            <a:t>- Precio definido por fuente.</a:t>
          </a:r>
          <a:br>
            <a:rPr lang="es-CO"/>
          </a:br>
          <a:r>
            <a:rPr lang="es-CO"/>
            <a:t>- Se reconoce máx 45% precio C4 y lo demás a precio C3.</a:t>
          </a:r>
          <a:br>
            <a:rPr lang="es-CO"/>
          </a:br>
          <a:r>
            <a:rPr lang="es-CO"/>
            <a:t>- Señal de precio limpia / instalaciones de entrega.</a:t>
          </a:r>
          <a:br>
            <a:rPr lang="es-CO"/>
          </a:br>
          <a:r>
            <a:rPr lang="es-CO"/>
            <a:t>- Precio corresponde a un contrato firme.</a:t>
          </a:r>
        </a:p>
      </dgm:t>
    </dgm:pt>
    <dgm:pt modelId="{18EFA93F-4973-48B0-8E2B-3AE9053ECDB8}" type="parTrans" cxnId="{83AC93B2-812E-42E4-A29E-D2441753E173}">
      <dgm:prSet/>
      <dgm:spPr/>
      <dgm:t>
        <a:bodyPr/>
        <a:lstStyle/>
        <a:p>
          <a:endParaRPr lang="es-CO"/>
        </a:p>
      </dgm:t>
    </dgm:pt>
    <dgm:pt modelId="{88979868-FF21-478A-B6BC-B3C68F65663C}" type="sibTrans" cxnId="{83AC93B2-812E-42E4-A29E-D2441753E173}">
      <dgm:prSet/>
      <dgm:spPr/>
      <dgm:t>
        <a:bodyPr/>
        <a:lstStyle/>
        <a:p>
          <a:endParaRPr lang="es-CO"/>
        </a:p>
      </dgm:t>
    </dgm:pt>
    <dgm:pt modelId="{A9C1213A-66F2-4750-AA3D-DDD84A4DEF56}">
      <dgm:prSet phldrT="[Texto]" custT="1"/>
      <dgm:spPr/>
      <dgm:t>
        <a:bodyPr/>
        <a:lstStyle/>
        <a:p>
          <a:r>
            <a:rPr lang="es-CO" sz="2400" b="1">
              <a:latin typeface="Arial" panose="020B0604020202020204" pitchFamily="34" charset="0"/>
              <a:cs typeface="Arial" panose="020B0604020202020204" pitchFamily="34" charset="0"/>
            </a:rPr>
            <a:t>Régimen tarifario</a:t>
          </a:r>
        </a:p>
      </dgm:t>
    </dgm:pt>
    <dgm:pt modelId="{C05CA74E-8E28-4C24-826B-B8E0663D2742}" type="sibTrans" cxnId="{46C80024-81B7-4AA1-8C38-7CFB32880FB1}">
      <dgm:prSet/>
      <dgm:spPr/>
      <dgm:t>
        <a:bodyPr/>
        <a:lstStyle/>
        <a:p>
          <a:endParaRPr lang="es-CO"/>
        </a:p>
      </dgm:t>
    </dgm:pt>
    <dgm:pt modelId="{BECFDFD3-F5C2-4DE4-A7DF-D478E4F54C2C}" type="parTrans" cxnId="{46C80024-81B7-4AA1-8C38-7CFB32880FB1}">
      <dgm:prSet/>
      <dgm:spPr/>
      <dgm:t>
        <a:bodyPr/>
        <a:lstStyle/>
        <a:p>
          <a:endParaRPr lang="es-CO"/>
        </a:p>
      </dgm:t>
    </dgm:pt>
    <dgm:pt modelId="{0CB75F3F-E8FF-4A67-A6B3-A51D717A62C8}" type="pres">
      <dgm:prSet presAssocID="{1A0D9698-B695-4E8A-AA70-9844FBA120E6}" presName="Name0" presStyleCnt="0">
        <dgm:presLayoutVars>
          <dgm:chMax val="3"/>
          <dgm:chPref val="1"/>
          <dgm:dir/>
          <dgm:animLvl val="lvl"/>
          <dgm:resizeHandles/>
        </dgm:presLayoutVars>
      </dgm:prSet>
      <dgm:spPr/>
    </dgm:pt>
    <dgm:pt modelId="{FEB74B35-0CA6-4A6E-BEBF-C92E7BF4B002}" type="pres">
      <dgm:prSet presAssocID="{1A0D9698-B695-4E8A-AA70-9844FBA120E6}" presName="outerBox" presStyleCnt="0"/>
      <dgm:spPr/>
    </dgm:pt>
    <dgm:pt modelId="{DAA62E8A-FEFE-46D4-907A-20D7C0CC4808}" type="pres">
      <dgm:prSet presAssocID="{1A0D9698-B695-4E8A-AA70-9844FBA120E6}" presName="outerBoxParent" presStyleLbl="node1" presStyleIdx="0" presStyleCnt="3" custLinFactNeighborX="16"/>
      <dgm:spPr/>
    </dgm:pt>
    <dgm:pt modelId="{839CA569-F7DA-415A-9D7F-5BEECAB15115}" type="pres">
      <dgm:prSet presAssocID="{1A0D9698-B695-4E8A-AA70-9844FBA120E6}" presName="outerBoxChildren" presStyleCnt="0"/>
      <dgm:spPr/>
    </dgm:pt>
    <dgm:pt modelId="{A5651AF8-A0C9-41F0-8827-517BF15B3859}" type="pres">
      <dgm:prSet presAssocID="{FD0FB85D-0F2D-470B-B81D-1605757DD0C1}" presName="oChild" presStyleLbl="fgAcc1" presStyleIdx="0" presStyleCnt="3" custScaleY="110139">
        <dgm:presLayoutVars>
          <dgm:bulletEnabled val="1"/>
        </dgm:presLayoutVars>
      </dgm:prSet>
      <dgm:spPr/>
    </dgm:pt>
    <dgm:pt modelId="{D97BEC17-7247-451E-86EC-6ADA210C306F}" type="pres">
      <dgm:prSet presAssocID="{1A0D9698-B695-4E8A-AA70-9844FBA120E6}" presName="middleBox" presStyleCnt="0"/>
      <dgm:spPr/>
    </dgm:pt>
    <dgm:pt modelId="{2D1774C9-2292-44AD-9631-6C6195F17DC0}" type="pres">
      <dgm:prSet presAssocID="{1A0D9698-B695-4E8A-AA70-9844FBA120E6}" presName="middleBoxParent" presStyleLbl="node1" presStyleIdx="1" presStyleCnt="3" custLinFactNeighborX="415" custLinFactNeighborY="219"/>
      <dgm:spPr/>
    </dgm:pt>
    <dgm:pt modelId="{CCB1014E-7FC5-469E-8563-B766011B1BBD}" type="pres">
      <dgm:prSet presAssocID="{1A0D9698-B695-4E8A-AA70-9844FBA120E6}" presName="middleBoxChildren" presStyleCnt="0"/>
      <dgm:spPr/>
    </dgm:pt>
    <dgm:pt modelId="{2293536A-3EA3-4E52-86E9-075A770C789D}" type="pres">
      <dgm:prSet presAssocID="{EDC8DF65-EB7A-4F3D-A4DB-A744BC3E85E2}" presName="mChild" presStyleLbl="fgAcc1" presStyleIdx="1" presStyleCnt="3" custScaleY="153308">
        <dgm:presLayoutVars>
          <dgm:bulletEnabled val="1"/>
        </dgm:presLayoutVars>
      </dgm:prSet>
      <dgm:spPr/>
    </dgm:pt>
    <dgm:pt modelId="{823737F1-480F-46D7-BD2E-5D587D8F1E1E}" type="pres">
      <dgm:prSet presAssocID="{1A0D9698-B695-4E8A-AA70-9844FBA120E6}" presName="centerBox" presStyleCnt="0"/>
      <dgm:spPr/>
    </dgm:pt>
    <dgm:pt modelId="{A0A7F265-CF29-40BC-A707-B99AFD7AD015}" type="pres">
      <dgm:prSet presAssocID="{1A0D9698-B695-4E8A-AA70-9844FBA120E6}" presName="centerBoxParent" presStyleLbl="node1" presStyleIdx="2" presStyleCnt="3"/>
      <dgm:spPr/>
    </dgm:pt>
    <dgm:pt modelId="{7939B36D-CB3C-41B0-9AF1-91B2EE94BAD6}" type="pres">
      <dgm:prSet presAssocID="{1A0D9698-B695-4E8A-AA70-9844FBA120E6}" presName="centerBoxChildren" presStyleCnt="0"/>
      <dgm:spPr/>
    </dgm:pt>
    <dgm:pt modelId="{E5A49227-28FB-4DA5-933C-8E01797343FF}" type="pres">
      <dgm:prSet presAssocID="{347050B0-18E3-4301-8F89-F1B24A0A8572}" presName="cChild" presStyleLbl="fgAcc1" presStyleIdx="2" presStyleCnt="3" custScaleY="141013" custLinFactNeighborY="-4491">
        <dgm:presLayoutVars>
          <dgm:bulletEnabled val="1"/>
        </dgm:presLayoutVars>
      </dgm:prSet>
      <dgm:spPr/>
    </dgm:pt>
  </dgm:ptLst>
  <dgm:cxnLst>
    <dgm:cxn modelId="{64E38509-6928-4CF3-B413-BBE25E495E53}" type="presOf" srcId="{10C943EB-D418-4DA4-8698-66E6F49343DC}" destId="{A0A7F265-CF29-40BC-A707-B99AFD7AD015}" srcOrd="0" destOrd="0" presId="urn:microsoft.com/office/officeart/2005/8/layout/target2"/>
    <dgm:cxn modelId="{72B5EE09-391C-463E-ADC3-C2C3A404C9F7}" srcId="{A9C1213A-66F2-4750-AA3D-DDD84A4DEF56}" destId="{FD0FB85D-0F2D-470B-B81D-1605757DD0C1}" srcOrd="0" destOrd="0" parTransId="{8F3E3AD1-1FDE-44CB-AC6C-0584AFEC6D29}" sibTransId="{8E3072CF-570C-4880-996B-1E3A7C7B4DEB}"/>
    <dgm:cxn modelId="{538EA716-F12D-4D3B-8DE2-332EE08C171A}" srcId="{1A0D9698-B695-4E8A-AA70-9844FBA120E6}" destId="{DEDB0810-B470-497F-B6B0-EE95FB6F54BD}" srcOrd="1" destOrd="0" parTransId="{6AD0BADC-05AE-4C9D-BB58-2085C1AFF79C}" sibTransId="{49F8EA90-96B8-4899-B562-DE03F6EF5797}"/>
    <dgm:cxn modelId="{46C80024-81B7-4AA1-8C38-7CFB32880FB1}" srcId="{1A0D9698-B695-4E8A-AA70-9844FBA120E6}" destId="{A9C1213A-66F2-4750-AA3D-DDD84A4DEF56}" srcOrd="0" destOrd="0" parTransId="{BECFDFD3-F5C2-4DE4-A7DF-D478E4F54C2C}" sibTransId="{C05CA74E-8E28-4C24-826B-B8E0663D2742}"/>
    <dgm:cxn modelId="{EC389B3A-D1A4-48F4-9F6C-350C3E5D8405}" type="presOf" srcId="{1A0D9698-B695-4E8A-AA70-9844FBA120E6}" destId="{0CB75F3F-E8FF-4A67-A6B3-A51D717A62C8}" srcOrd="0" destOrd="0" presId="urn:microsoft.com/office/officeart/2005/8/layout/target2"/>
    <dgm:cxn modelId="{3C13C263-542B-4124-A9AF-FF95ED9D7E49}" srcId="{DEDB0810-B470-497F-B6B0-EE95FB6F54BD}" destId="{EDC8DF65-EB7A-4F3D-A4DB-A744BC3E85E2}" srcOrd="0" destOrd="0" parTransId="{E50CC3CB-8B48-4AE7-AC0C-27BFFCD61DBD}" sibTransId="{20F622D7-17FD-49AE-AF64-5E3306265DA2}"/>
    <dgm:cxn modelId="{1C5E3557-0A5C-4F39-909F-BF66EEF70A52}" srcId="{1A0D9698-B695-4E8A-AA70-9844FBA120E6}" destId="{10C943EB-D418-4DA4-8698-66E6F49343DC}" srcOrd="2" destOrd="0" parTransId="{55298182-9796-45B8-BF9A-D7A486C8C3EF}" sibTransId="{D4F3D4FE-73DE-4962-9835-AADD1DA6BC17}"/>
    <dgm:cxn modelId="{ADBB6158-B91E-4E91-BCD3-3217F13DEC27}" type="presOf" srcId="{EDC8DF65-EB7A-4F3D-A4DB-A744BC3E85E2}" destId="{2293536A-3EA3-4E52-86E9-075A770C789D}" srcOrd="0" destOrd="0" presId="urn:microsoft.com/office/officeart/2005/8/layout/target2"/>
    <dgm:cxn modelId="{6B6C3A7B-A570-462B-8AE3-0FB138249EDC}" type="presOf" srcId="{347050B0-18E3-4301-8F89-F1B24A0A8572}" destId="{E5A49227-28FB-4DA5-933C-8E01797343FF}" srcOrd="0" destOrd="0" presId="urn:microsoft.com/office/officeart/2005/8/layout/target2"/>
    <dgm:cxn modelId="{109EDF94-7BD1-4B42-B020-1D7A1F7B34DF}" type="presOf" srcId="{FD0FB85D-0F2D-470B-B81D-1605757DD0C1}" destId="{A5651AF8-A0C9-41F0-8827-517BF15B3859}" srcOrd="0" destOrd="0" presId="urn:microsoft.com/office/officeart/2005/8/layout/target2"/>
    <dgm:cxn modelId="{09D25C9E-30B4-4E0E-8685-231FC7DC2D60}" type="presOf" srcId="{A9C1213A-66F2-4750-AA3D-DDD84A4DEF56}" destId="{DAA62E8A-FEFE-46D4-907A-20D7C0CC4808}" srcOrd="0" destOrd="0" presId="urn:microsoft.com/office/officeart/2005/8/layout/target2"/>
    <dgm:cxn modelId="{83AC93B2-812E-42E4-A29E-D2441753E173}" srcId="{10C943EB-D418-4DA4-8698-66E6F49343DC}" destId="{347050B0-18E3-4301-8F89-F1B24A0A8572}" srcOrd="0" destOrd="0" parTransId="{18EFA93F-4973-48B0-8E2B-3AE9053ECDB8}" sibTransId="{88979868-FF21-478A-B6BC-B3C68F65663C}"/>
    <dgm:cxn modelId="{C48525D9-976B-4CC1-85E9-D5E8E5F2D6CC}" type="presOf" srcId="{DEDB0810-B470-497F-B6B0-EE95FB6F54BD}" destId="{2D1774C9-2292-44AD-9631-6C6195F17DC0}" srcOrd="0" destOrd="0" presId="urn:microsoft.com/office/officeart/2005/8/layout/target2"/>
    <dgm:cxn modelId="{C3C73E2C-C74E-46B9-945C-3E2D4C606FA9}" type="presParOf" srcId="{0CB75F3F-E8FF-4A67-A6B3-A51D717A62C8}" destId="{FEB74B35-0CA6-4A6E-BEBF-C92E7BF4B002}" srcOrd="0" destOrd="0" presId="urn:microsoft.com/office/officeart/2005/8/layout/target2"/>
    <dgm:cxn modelId="{BE9C275A-F82F-41F8-A04F-E772BFF601E3}" type="presParOf" srcId="{FEB74B35-0CA6-4A6E-BEBF-C92E7BF4B002}" destId="{DAA62E8A-FEFE-46D4-907A-20D7C0CC4808}" srcOrd="0" destOrd="0" presId="urn:microsoft.com/office/officeart/2005/8/layout/target2"/>
    <dgm:cxn modelId="{7443C49B-9A52-4EAB-8EFE-A8EE531F02C8}" type="presParOf" srcId="{FEB74B35-0CA6-4A6E-BEBF-C92E7BF4B002}" destId="{839CA569-F7DA-415A-9D7F-5BEECAB15115}" srcOrd="1" destOrd="0" presId="urn:microsoft.com/office/officeart/2005/8/layout/target2"/>
    <dgm:cxn modelId="{E5D21D76-ED2C-4E18-BA34-329F90637B83}" type="presParOf" srcId="{839CA569-F7DA-415A-9D7F-5BEECAB15115}" destId="{A5651AF8-A0C9-41F0-8827-517BF15B3859}" srcOrd="0" destOrd="0" presId="urn:microsoft.com/office/officeart/2005/8/layout/target2"/>
    <dgm:cxn modelId="{E0B9E7A3-65F2-4882-B86D-46B7D71D8573}" type="presParOf" srcId="{0CB75F3F-E8FF-4A67-A6B3-A51D717A62C8}" destId="{D97BEC17-7247-451E-86EC-6ADA210C306F}" srcOrd="1" destOrd="0" presId="urn:microsoft.com/office/officeart/2005/8/layout/target2"/>
    <dgm:cxn modelId="{3C7DCFC9-CE31-4C6E-811B-8F191628D998}" type="presParOf" srcId="{D97BEC17-7247-451E-86EC-6ADA210C306F}" destId="{2D1774C9-2292-44AD-9631-6C6195F17DC0}" srcOrd="0" destOrd="0" presId="urn:microsoft.com/office/officeart/2005/8/layout/target2"/>
    <dgm:cxn modelId="{D2D3625A-A5AC-4ACC-A619-98DAFC3E1FB8}" type="presParOf" srcId="{D97BEC17-7247-451E-86EC-6ADA210C306F}" destId="{CCB1014E-7FC5-469E-8563-B766011B1BBD}" srcOrd="1" destOrd="0" presId="urn:microsoft.com/office/officeart/2005/8/layout/target2"/>
    <dgm:cxn modelId="{CE4F0175-1BB8-4F52-B78D-D809BE542EFC}" type="presParOf" srcId="{CCB1014E-7FC5-469E-8563-B766011B1BBD}" destId="{2293536A-3EA3-4E52-86E9-075A770C789D}" srcOrd="0" destOrd="0" presId="urn:microsoft.com/office/officeart/2005/8/layout/target2"/>
    <dgm:cxn modelId="{54C3785C-E811-4AD1-944D-1B5669ABF4E0}" type="presParOf" srcId="{0CB75F3F-E8FF-4A67-A6B3-A51D717A62C8}" destId="{823737F1-480F-46D7-BD2E-5D587D8F1E1E}" srcOrd="2" destOrd="0" presId="urn:microsoft.com/office/officeart/2005/8/layout/target2"/>
    <dgm:cxn modelId="{C28AF817-48F4-4790-BA13-325D35C88D04}" type="presParOf" srcId="{823737F1-480F-46D7-BD2E-5D587D8F1E1E}" destId="{A0A7F265-CF29-40BC-A707-B99AFD7AD015}" srcOrd="0" destOrd="0" presId="urn:microsoft.com/office/officeart/2005/8/layout/target2"/>
    <dgm:cxn modelId="{199AC041-DFF1-4AC5-BD3A-D6A93B17765D}" type="presParOf" srcId="{823737F1-480F-46D7-BD2E-5D587D8F1E1E}" destId="{7939B36D-CB3C-41B0-9AF1-91B2EE94BAD6}" srcOrd="1" destOrd="0" presId="urn:microsoft.com/office/officeart/2005/8/layout/target2"/>
    <dgm:cxn modelId="{D24ED6FC-F978-4645-B8D2-0A06751D1314}" type="presParOf" srcId="{7939B36D-CB3C-41B0-9AF1-91B2EE94BAD6}" destId="{E5A49227-28FB-4DA5-933C-8E01797343FF}" srcOrd="0" destOrd="0" presId="urn:microsoft.com/office/officeart/2005/8/layout/target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7EA49B5-5A97-4622-AD16-1EAA7396F619}" type="doc">
      <dgm:prSet loTypeId="urn:microsoft.com/office/officeart/2005/8/layout/hList3" loCatId="list" qsTypeId="urn:microsoft.com/office/officeart/2005/8/quickstyle/simple3" qsCatId="simple" csTypeId="urn:microsoft.com/office/officeart/2005/8/colors/accent1_1" csCatId="accent1" phldr="1"/>
      <dgm:spPr/>
      <dgm:t>
        <a:bodyPr/>
        <a:lstStyle/>
        <a:p>
          <a:endParaRPr lang="es-CO"/>
        </a:p>
      </dgm:t>
    </dgm:pt>
    <dgm:pt modelId="{B2D54E54-A2B5-47C1-AF40-55978023A76A}">
      <dgm:prSet phldrT="[Texto]" custT="1"/>
      <dgm:spPr/>
      <dgm:t>
        <a:bodyPr/>
        <a:lstStyle/>
        <a:p>
          <a:r>
            <a:rPr lang="es-CO" sz="1100" b="1">
              <a:latin typeface="Arial" panose="020B0604020202020204" pitchFamily="34" charset="0"/>
              <a:cs typeface="Arial" panose="020B0604020202020204" pitchFamily="34" charset="0"/>
            </a:rPr>
            <a:t>Fórmula tarifaria precio máximo regulado de suministro</a:t>
          </a:r>
        </a:p>
      </dgm:t>
    </dgm:pt>
    <dgm:pt modelId="{522FFE5D-7D2B-49C4-8390-9235691FFF59}" type="parTrans" cxnId="{EED859FA-7FBD-4B54-A1B7-AF7F4460240A}">
      <dgm:prSet/>
      <dgm:spPr/>
      <dgm:t>
        <a:bodyPr/>
        <a:lstStyle/>
        <a:p>
          <a:endParaRPr lang="es-CO" sz="1100" b="1"/>
        </a:p>
      </dgm:t>
    </dgm:pt>
    <dgm:pt modelId="{6D6516CC-971C-4962-853B-BB666BFA72E8}" type="sibTrans" cxnId="{EED859FA-7FBD-4B54-A1B7-AF7F4460240A}">
      <dgm:prSet/>
      <dgm:spPr/>
      <dgm:t>
        <a:bodyPr/>
        <a:lstStyle/>
        <a:p>
          <a:endParaRPr lang="es-CO" sz="1100" b="1"/>
        </a:p>
      </dgm:t>
    </dgm:pt>
    <dgm:pt modelId="{43995174-61D1-448B-B6B9-BB74B946F098}">
      <dgm:prSet phldrT="[Texto]" custT="1"/>
      <dgm:spPr/>
      <dgm:t>
        <a:bodyPr/>
        <a:lstStyle/>
        <a:p>
          <a:r>
            <a:rPr lang="es-CO" sz="1100" b="1"/>
            <a:t> </a:t>
          </a:r>
        </a:p>
      </dgm:t>
    </dgm:pt>
    <dgm:pt modelId="{B9A9673E-A7AC-4FB1-938B-A0EA472D1B16}" type="parTrans" cxnId="{0C1FE3B3-D3F6-45B0-BDA8-EC613AA1A133}">
      <dgm:prSet/>
      <dgm:spPr/>
      <dgm:t>
        <a:bodyPr/>
        <a:lstStyle/>
        <a:p>
          <a:endParaRPr lang="es-CO" sz="1100" b="1"/>
        </a:p>
      </dgm:t>
    </dgm:pt>
    <dgm:pt modelId="{8125AC96-9442-4D5F-8573-289988901139}" type="sibTrans" cxnId="{0C1FE3B3-D3F6-45B0-BDA8-EC613AA1A133}">
      <dgm:prSet/>
      <dgm:spPr/>
      <dgm:t>
        <a:bodyPr/>
        <a:lstStyle/>
        <a:p>
          <a:endParaRPr lang="es-CO" sz="1100" b="1"/>
        </a:p>
      </dgm:t>
    </dgm:pt>
    <dgm:pt modelId="{6EF38FAB-7CB0-4090-BDE9-DEF247E4848A}">
      <dgm:prSet phldrT="[Texto]" custT="1"/>
      <dgm:spPr/>
      <dgm:t>
        <a:bodyPr anchor="t" anchorCtr="0"/>
        <a:lstStyle/>
        <a:p>
          <a:r>
            <a:rPr lang="es-CO" sz="1100" b="1"/>
            <a:t> Remuneración de la mezcla</a:t>
          </a:r>
        </a:p>
      </dgm:t>
    </dgm:pt>
    <dgm:pt modelId="{D53F5058-A6D7-4984-B114-73339ACB6BCF}" type="parTrans" cxnId="{343CC41D-2BDE-4B7F-9AC3-DE6E2BA07A26}">
      <dgm:prSet/>
      <dgm:spPr/>
      <dgm:t>
        <a:bodyPr/>
        <a:lstStyle/>
        <a:p>
          <a:endParaRPr lang="es-CO" sz="1100" b="1"/>
        </a:p>
      </dgm:t>
    </dgm:pt>
    <dgm:pt modelId="{6C934ADF-5591-4C5A-8DE8-291303D36450}" type="sibTrans" cxnId="{343CC41D-2BDE-4B7F-9AC3-DE6E2BA07A26}">
      <dgm:prSet/>
      <dgm:spPr/>
      <dgm:t>
        <a:bodyPr/>
        <a:lstStyle/>
        <a:p>
          <a:endParaRPr lang="es-CO" sz="1100" b="1"/>
        </a:p>
      </dgm:t>
    </dgm:pt>
    <dgm:pt modelId="{FB1BE998-B041-4AB2-BD0B-FD422C6FF97B}">
      <dgm:prSet phldrT="[Texto]" custT="1"/>
      <dgm:spPr/>
      <dgm:t>
        <a:bodyPr anchor="t" anchorCtr="0"/>
        <a:lstStyle/>
        <a:p>
          <a:r>
            <a:rPr lang="es-CO" sz="1100" b="1"/>
            <a:t>Señal económica</a:t>
          </a:r>
        </a:p>
      </dgm:t>
    </dgm:pt>
    <dgm:pt modelId="{28E0136A-093D-42BC-93F2-4A4A4419F695}" type="parTrans" cxnId="{FB32B788-70A4-40AC-8B80-42E549E2C117}">
      <dgm:prSet/>
      <dgm:spPr/>
      <dgm:t>
        <a:bodyPr/>
        <a:lstStyle/>
        <a:p>
          <a:endParaRPr lang="es-CO" sz="1100"/>
        </a:p>
      </dgm:t>
    </dgm:pt>
    <dgm:pt modelId="{07293072-35F4-4D58-82A0-09D3B325E194}" type="sibTrans" cxnId="{FB32B788-70A4-40AC-8B80-42E549E2C117}">
      <dgm:prSet/>
      <dgm:spPr/>
      <dgm:t>
        <a:bodyPr/>
        <a:lstStyle/>
        <a:p>
          <a:endParaRPr lang="es-CO" sz="1100"/>
        </a:p>
      </dgm:t>
    </dgm:pt>
    <dgm:pt modelId="{0FD8B02C-BD94-4550-9AB2-FE835FCEE777}" type="pres">
      <dgm:prSet presAssocID="{07EA49B5-5A97-4622-AD16-1EAA7396F619}" presName="composite" presStyleCnt="0">
        <dgm:presLayoutVars>
          <dgm:chMax val="1"/>
          <dgm:dir/>
          <dgm:resizeHandles val="exact"/>
        </dgm:presLayoutVars>
      </dgm:prSet>
      <dgm:spPr/>
    </dgm:pt>
    <dgm:pt modelId="{8DFA1C7C-B20B-4F7E-A9CD-DB5CE5E9C6DF}" type="pres">
      <dgm:prSet presAssocID="{B2D54E54-A2B5-47C1-AF40-55978023A76A}" presName="roof" presStyleLbl="dkBgShp" presStyleIdx="0" presStyleCnt="2" custScaleY="119855"/>
      <dgm:spPr/>
    </dgm:pt>
    <dgm:pt modelId="{D20DD4E6-B6B0-451F-83AB-138827C3E937}" type="pres">
      <dgm:prSet presAssocID="{B2D54E54-A2B5-47C1-AF40-55978023A76A}" presName="pillars" presStyleCnt="0"/>
      <dgm:spPr/>
    </dgm:pt>
    <dgm:pt modelId="{79A01495-F451-45DA-8168-ED10A32CE6AA}" type="pres">
      <dgm:prSet presAssocID="{B2D54E54-A2B5-47C1-AF40-55978023A76A}" presName="pillar1" presStyleLbl="node1" presStyleIdx="0" presStyleCnt="3" custFlipHor="1" custScaleX="7585">
        <dgm:presLayoutVars>
          <dgm:bulletEnabled val="1"/>
        </dgm:presLayoutVars>
      </dgm:prSet>
      <dgm:spPr/>
    </dgm:pt>
    <dgm:pt modelId="{FF0D97E0-89CF-4144-9FF9-E3557D04E37B}" type="pres">
      <dgm:prSet presAssocID="{6EF38FAB-7CB0-4090-BDE9-DEF247E4848A}" presName="pillarX" presStyleLbl="node1" presStyleIdx="1" presStyleCnt="3" custFlipHor="1" custScaleX="74476">
        <dgm:presLayoutVars>
          <dgm:bulletEnabled val="1"/>
        </dgm:presLayoutVars>
      </dgm:prSet>
      <dgm:spPr/>
    </dgm:pt>
    <dgm:pt modelId="{3064DCAE-F9BF-4BDD-9CBB-C63AD50A00CF}" type="pres">
      <dgm:prSet presAssocID="{FB1BE998-B041-4AB2-BD0B-FD422C6FF97B}" presName="pillarX" presStyleLbl="node1" presStyleIdx="2" presStyleCnt="3" custScaleX="17206">
        <dgm:presLayoutVars>
          <dgm:bulletEnabled val="1"/>
        </dgm:presLayoutVars>
      </dgm:prSet>
      <dgm:spPr/>
    </dgm:pt>
    <dgm:pt modelId="{DA389DED-519E-4920-A532-A10B1948A378}" type="pres">
      <dgm:prSet presAssocID="{B2D54E54-A2B5-47C1-AF40-55978023A76A}" presName="base" presStyleLbl="dkBgShp" presStyleIdx="1" presStyleCnt="2"/>
      <dgm:spPr/>
    </dgm:pt>
  </dgm:ptLst>
  <dgm:cxnLst>
    <dgm:cxn modelId="{343CC41D-2BDE-4B7F-9AC3-DE6E2BA07A26}" srcId="{B2D54E54-A2B5-47C1-AF40-55978023A76A}" destId="{6EF38FAB-7CB0-4090-BDE9-DEF247E4848A}" srcOrd="1" destOrd="0" parTransId="{D53F5058-A6D7-4984-B114-73339ACB6BCF}" sibTransId="{6C934ADF-5591-4C5A-8DE8-291303D36450}"/>
    <dgm:cxn modelId="{E47B7D22-A29F-40C2-8228-33ECFD47F946}" type="presOf" srcId="{B2D54E54-A2B5-47C1-AF40-55978023A76A}" destId="{8DFA1C7C-B20B-4F7E-A9CD-DB5CE5E9C6DF}" srcOrd="0" destOrd="0" presId="urn:microsoft.com/office/officeart/2005/8/layout/hList3"/>
    <dgm:cxn modelId="{37848933-DFC8-4731-A82E-F5BDB32621F5}" type="presOf" srcId="{6EF38FAB-7CB0-4090-BDE9-DEF247E4848A}" destId="{FF0D97E0-89CF-4144-9FF9-E3557D04E37B}" srcOrd="0" destOrd="0" presId="urn:microsoft.com/office/officeart/2005/8/layout/hList3"/>
    <dgm:cxn modelId="{DD7C9836-760F-4CBA-BFA9-30BFE2135681}" type="presOf" srcId="{FB1BE998-B041-4AB2-BD0B-FD422C6FF97B}" destId="{3064DCAE-F9BF-4BDD-9CBB-C63AD50A00CF}" srcOrd="0" destOrd="0" presId="urn:microsoft.com/office/officeart/2005/8/layout/hList3"/>
    <dgm:cxn modelId="{335C767D-6A44-4CD7-8FB6-B6CCA79BDC28}" type="presOf" srcId="{43995174-61D1-448B-B6B9-BB74B946F098}" destId="{79A01495-F451-45DA-8168-ED10A32CE6AA}" srcOrd="0" destOrd="0" presId="urn:microsoft.com/office/officeart/2005/8/layout/hList3"/>
    <dgm:cxn modelId="{FB32B788-70A4-40AC-8B80-42E549E2C117}" srcId="{B2D54E54-A2B5-47C1-AF40-55978023A76A}" destId="{FB1BE998-B041-4AB2-BD0B-FD422C6FF97B}" srcOrd="2" destOrd="0" parTransId="{28E0136A-093D-42BC-93F2-4A4A4419F695}" sibTransId="{07293072-35F4-4D58-82A0-09D3B325E194}"/>
    <dgm:cxn modelId="{CF849DB1-8C33-447D-94D8-3253EE3486A4}" type="presOf" srcId="{07EA49B5-5A97-4622-AD16-1EAA7396F619}" destId="{0FD8B02C-BD94-4550-9AB2-FE835FCEE777}" srcOrd="0" destOrd="0" presId="urn:microsoft.com/office/officeart/2005/8/layout/hList3"/>
    <dgm:cxn modelId="{0C1FE3B3-D3F6-45B0-BDA8-EC613AA1A133}" srcId="{B2D54E54-A2B5-47C1-AF40-55978023A76A}" destId="{43995174-61D1-448B-B6B9-BB74B946F098}" srcOrd="0" destOrd="0" parTransId="{B9A9673E-A7AC-4FB1-938B-A0EA472D1B16}" sibTransId="{8125AC96-9442-4D5F-8573-289988901139}"/>
    <dgm:cxn modelId="{EED859FA-7FBD-4B54-A1B7-AF7F4460240A}" srcId="{07EA49B5-5A97-4622-AD16-1EAA7396F619}" destId="{B2D54E54-A2B5-47C1-AF40-55978023A76A}" srcOrd="0" destOrd="0" parTransId="{522FFE5D-7D2B-49C4-8390-9235691FFF59}" sibTransId="{6D6516CC-971C-4962-853B-BB666BFA72E8}"/>
    <dgm:cxn modelId="{141C3EAD-F422-4DA9-B4CD-9AB6D83D8225}" type="presParOf" srcId="{0FD8B02C-BD94-4550-9AB2-FE835FCEE777}" destId="{8DFA1C7C-B20B-4F7E-A9CD-DB5CE5E9C6DF}" srcOrd="0" destOrd="0" presId="urn:microsoft.com/office/officeart/2005/8/layout/hList3"/>
    <dgm:cxn modelId="{A289A4EC-4625-4520-A78D-52C0884ED9BF}" type="presParOf" srcId="{0FD8B02C-BD94-4550-9AB2-FE835FCEE777}" destId="{D20DD4E6-B6B0-451F-83AB-138827C3E937}" srcOrd="1" destOrd="0" presId="urn:microsoft.com/office/officeart/2005/8/layout/hList3"/>
    <dgm:cxn modelId="{1B6547C8-006A-406F-A8CD-C5752743D41F}" type="presParOf" srcId="{D20DD4E6-B6B0-451F-83AB-138827C3E937}" destId="{79A01495-F451-45DA-8168-ED10A32CE6AA}" srcOrd="0" destOrd="0" presId="urn:microsoft.com/office/officeart/2005/8/layout/hList3"/>
    <dgm:cxn modelId="{B58F5C53-32D4-432A-A93E-549B2A09676C}" type="presParOf" srcId="{D20DD4E6-B6B0-451F-83AB-138827C3E937}" destId="{FF0D97E0-89CF-4144-9FF9-E3557D04E37B}" srcOrd="1" destOrd="0" presId="urn:microsoft.com/office/officeart/2005/8/layout/hList3"/>
    <dgm:cxn modelId="{0E358D96-DBFD-4EC8-8D5A-2F673D47EAF5}" type="presParOf" srcId="{D20DD4E6-B6B0-451F-83AB-138827C3E937}" destId="{3064DCAE-F9BF-4BDD-9CBB-C63AD50A00CF}" srcOrd="2" destOrd="0" presId="urn:microsoft.com/office/officeart/2005/8/layout/hList3"/>
    <dgm:cxn modelId="{851FA5BE-02CD-4598-94E4-CAC8787AF45A}" type="presParOf" srcId="{0FD8B02C-BD94-4550-9AB2-FE835FCEE777}" destId="{DA389DED-519E-4920-A532-A10B1948A378}" srcOrd="2" destOrd="0" presId="urn:microsoft.com/office/officeart/2005/8/layout/hList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A62E8A-FEFE-46D4-907A-20D7C0CC4808}">
      <dsp:nvSpPr>
        <dsp:cNvPr id="0" name=""/>
        <dsp:cNvSpPr/>
      </dsp:nvSpPr>
      <dsp:spPr>
        <a:xfrm>
          <a:off x="0" y="0"/>
          <a:ext cx="5927724" cy="3635315"/>
        </a:xfrm>
        <a:prstGeom prst="roundRect">
          <a:avLst>
            <a:gd name="adj" fmla="val 85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91440" tIns="91440" rIns="91440" bIns="2821408" numCol="1" spcCol="1270" anchor="t" anchorCtr="0">
          <a:noAutofit/>
        </a:bodyPr>
        <a:lstStyle/>
        <a:p>
          <a:pPr marL="0" lvl="0" indent="0" algn="l" defTabSz="1066800">
            <a:lnSpc>
              <a:spcPct val="90000"/>
            </a:lnSpc>
            <a:spcBef>
              <a:spcPct val="0"/>
            </a:spcBef>
            <a:spcAft>
              <a:spcPct val="35000"/>
            </a:spcAft>
            <a:buNone/>
          </a:pPr>
          <a:r>
            <a:rPr lang="es-CO" sz="2400" b="1" kern="1200">
              <a:latin typeface="Arial" panose="020B0604020202020204" pitchFamily="34" charset="0"/>
              <a:cs typeface="Arial" panose="020B0604020202020204" pitchFamily="34" charset="0"/>
            </a:rPr>
            <a:t>Régimen tarifario</a:t>
          </a:r>
        </a:p>
      </dsp:txBody>
      <dsp:txXfrm>
        <a:off x="90504" y="90504"/>
        <a:ext cx="5746716" cy="3454307"/>
      </dsp:txXfrm>
    </dsp:sp>
    <dsp:sp modelId="{A5651AF8-A0C9-41F0-8827-517BF15B3859}">
      <dsp:nvSpPr>
        <dsp:cNvPr id="0" name=""/>
        <dsp:cNvSpPr/>
      </dsp:nvSpPr>
      <dsp:spPr>
        <a:xfrm>
          <a:off x="148193" y="908828"/>
          <a:ext cx="889158" cy="2542710"/>
        </a:xfrm>
        <a:prstGeom prst="roundRect">
          <a:avLst>
            <a:gd name="adj" fmla="val 10500"/>
          </a:avLst>
        </a:prstGeom>
        <a:solidFill>
          <a:schemeClr val="accent1">
            <a:alpha val="90000"/>
            <a:tint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s-CO" sz="1050" kern="1200"/>
            <a:t>Libertad vigilada con tratamiento diferencial para Ecopetrol</a:t>
          </a:r>
        </a:p>
      </dsp:txBody>
      <dsp:txXfrm>
        <a:off x="175538" y="936173"/>
        <a:ext cx="834468" cy="2488020"/>
      </dsp:txXfrm>
    </dsp:sp>
    <dsp:sp modelId="{2D1774C9-2292-44AD-9631-6C6195F17DC0}">
      <dsp:nvSpPr>
        <dsp:cNvPr id="0" name=""/>
        <dsp:cNvSpPr/>
      </dsp:nvSpPr>
      <dsp:spPr>
        <a:xfrm>
          <a:off x="1204610" y="914401"/>
          <a:ext cx="4593986" cy="2544720"/>
        </a:xfrm>
        <a:prstGeom prst="roundRect">
          <a:avLst>
            <a:gd name="adj" fmla="val 105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0" tIns="76200" rIns="76200" bIns="1615898" numCol="1" spcCol="1270" anchor="t" anchorCtr="0">
          <a:noAutofit/>
        </a:bodyPr>
        <a:lstStyle/>
        <a:p>
          <a:pPr marL="0" lvl="0" indent="0" algn="l" defTabSz="889000">
            <a:lnSpc>
              <a:spcPct val="90000"/>
            </a:lnSpc>
            <a:spcBef>
              <a:spcPct val="0"/>
            </a:spcBef>
            <a:spcAft>
              <a:spcPct val="35000"/>
            </a:spcAft>
            <a:buNone/>
          </a:pPr>
          <a:r>
            <a:rPr lang="es-CO" sz="2000" b="1" kern="1200"/>
            <a:t>Metodología precio máximo regulado</a:t>
          </a:r>
        </a:p>
      </dsp:txBody>
      <dsp:txXfrm>
        <a:off x="1282869" y="992660"/>
        <a:ext cx="4437468" cy="2388202"/>
      </dsp:txXfrm>
    </dsp:sp>
    <dsp:sp modelId="{2293536A-3EA3-4E52-86E9-075A770C789D}">
      <dsp:nvSpPr>
        <dsp:cNvPr id="0" name=""/>
        <dsp:cNvSpPr/>
      </dsp:nvSpPr>
      <dsp:spPr>
        <a:xfrm>
          <a:off x="1300394" y="1799480"/>
          <a:ext cx="918797" cy="1461162"/>
        </a:xfrm>
        <a:prstGeom prst="roundRect">
          <a:avLst>
            <a:gd name="adj" fmla="val 10500"/>
          </a:avLst>
        </a:prstGeom>
        <a:solidFill>
          <a:schemeClr val="accent1">
            <a:alpha val="90000"/>
            <a:tint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kern="1200"/>
            <a:t>Costo de oportunidad</a:t>
          </a:r>
          <a:br>
            <a:rPr lang="es-CO" sz="900" kern="1200"/>
          </a:br>
          <a:br>
            <a:rPr lang="es-CO" sz="900" kern="1200"/>
          </a:br>
          <a:r>
            <a:rPr lang="es-CO" sz="900" kern="1200"/>
            <a:t>PPE*</a:t>
          </a:r>
        </a:p>
      </dsp:txBody>
      <dsp:txXfrm>
        <a:off x="1328650" y="1827736"/>
        <a:ext cx="862285" cy="1404650"/>
      </dsp:txXfrm>
    </dsp:sp>
    <dsp:sp modelId="{A0A7F265-CF29-40BC-A707-B99AFD7AD015}">
      <dsp:nvSpPr>
        <dsp:cNvPr id="0" name=""/>
        <dsp:cNvSpPr/>
      </dsp:nvSpPr>
      <dsp:spPr>
        <a:xfrm>
          <a:off x="2341451" y="1817657"/>
          <a:ext cx="3289887" cy="1454126"/>
        </a:xfrm>
        <a:prstGeom prst="roundRect">
          <a:avLst>
            <a:gd name="adj" fmla="val 105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8580" tIns="68580" rIns="68580" bIns="820773" numCol="1" spcCol="1270" anchor="t" anchorCtr="0">
          <a:noAutofit/>
        </a:bodyPr>
        <a:lstStyle/>
        <a:p>
          <a:pPr marL="0" lvl="0" indent="0" algn="l" defTabSz="800100">
            <a:lnSpc>
              <a:spcPct val="90000"/>
            </a:lnSpc>
            <a:spcBef>
              <a:spcPct val="0"/>
            </a:spcBef>
            <a:spcAft>
              <a:spcPct val="35000"/>
            </a:spcAft>
            <a:buNone/>
          </a:pPr>
          <a:r>
            <a:rPr lang="es-CO" sz="1800" b="1" kern="1200"/>
            <a:t>Aplicación de precio</a:t>
          </a:r>
        </a:p>
      </dsp:txBody>
      <dsp:txXfrm>
        <a:off x="2386170" y="1862376"/>
        <a:ext cx="3200449" cy="1364688"/>
      </dsp:txXfrm>
    </dsp:sp>
    <dsp:sp modelId="{E5A49227-28FB-4DA5-933C-8E01797343FF}">
      <dsp:nvSpPr>
        <dsp:cNvPr id="0" name=""/>
        <dsp:cNvSpPr/>
      </dsp:nvSpPr>
      <dsp:spPr>
        <a:xfrm>
          <a:off x="2423698" y="2308441"/>
          <a:ext cx="3125393" cy="922728"/>
        </a:xfrm>
        <a:prstGeom prst="roundRect">
          <a:avLst>
            <a:gd name="adj" fmla="val 10500"/>
          </a:avLst>
        </a:prstGeom>
        <a:solidFill>
          <a:schemeClr val="accent1">
            <a:alpha val="90000"/>
            <a:tint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es-CO" sz="900" kern="1200"/>
            <a:t>- GLP Nacional: PPE* Reficar y PPE* para demanda interna.</a:t>
          </a:r>
          <a:br>
            <a:rPr lang="es-CO" sz="900" kern="1200"/>
          </a:br>
          <a:r>
            <a:rPr lang="es-CO" sz="900" kern="1200"/>
            <a:t>- GLP Importado: Costo de importación + 8%. </a:t>
          </a:r>
          <a:br>
            <a:rPr lang="es-CO" sz="900" kern="1200"/>
          </a:br>
          <a:r>
            <a:rPr lang="es-CO" sz="900" kern="1200"/>
            <a:t>- Precio definido por fuente.</a:t>
          </a:r>
          <a:br>
            <a:rPr lang="es-CO" sz="900" kern="1200"/>
          </a:br>
          <a:r>
            <a:rPr lang="es-CO" sz="900" kern="1200"/>
            <a:t>- Se reconoce máx 45% precio C4 y lo demás a precio C3.</a:t>
          </a:r>
          <a:br>
            <a:rPr lang="es-CO" sz="900" kern="1200"/>
          </a:br>
          <a:r>
            <a:rPr lang="es-CO" sz="900" kern="1200"/>
            <a:t>- Señal de precio limpia / instalaciones de entrega.</a:t>
          </a:r>
          <a:br>
            <a:rPr lang="es-CO" sz="900" kern="1200"/>
          </a:br>
          <a:r>
            <a:rPr lang="es-CO" sz="900" kern="1200"/>
            <a:t>- Precio corresponde a un contrato firme.</a:t>
          </a:r>
        </a:p>
      </dsp:txBody>
      <dsp:txXfrm>
        <a:off x="2452075" y="2336818"/>
        <a:ext cx="3068639" cy="86597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FA1C7C-B20B-4F7E-A9CD-DB5CE5E9C6DF}">
      <dsp:nvSpPr>
        <dsp:cNvPr id="0" name=""/>
        <dsp:cNvSpPr/>
      </dsp:nvSpPr>
      <dsp:spPr>
        <a:xfrm>
          <a:off x="0" y="-16646"/>
          <a:ext cx="5934710" cy="401936"/>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O" sz="1100" b="1" kern="1200">
              <a:latin typeface="Arial" panose="020B0604020202020204" pitchFamily="34" charset="0"/>
              <a:cs typeface="Arial" panose="020B0604020202020204" pitchFamily="34" charset="0"/>
            </a:rPr>
            <a:t>Fórmula tarifaria precio máximo regulado de suministro</a:t>
          </a:r>
        </a:p>
      </dsp:txBody>
      <dsp:txXfrm>
        <a:off x="0" y="-16646"/>
        <a:ext cx="5934710" cy="401936"/>
      </dsp:txXfrm>
    </dsp:sp>
    <dsp:sp modelId="{79A01495-F451-45DA-8168-ED10A32CE6AA}">
      <dsp:nvSpPr>
        <dsp:cNvPr id="0" name=""/>
        <dsp:cNvSpPr/>
      </dsp:nvSpPr>
      <dsp:spPr>
        <a:xfrm flipH="1">
          <a:off x="21750" y="351998"/>
          <a:ext cx="450147" cy="704239"/>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O" sz="1100" b="1" kern="1200"/>
            <a:t> </a:t>
          </a:r>
        </a:p>
      </dsp:txBody>
      <dsp:txXfrm>
        <a:off x="21750" y="351998"/>
        <a:ext cx="450147" cy="704239"/>
      </dsp:txXfrm>
    </dsp:sp>
    <dsp:sp modelId="{FF0D97E0-89CF-4144-9FF9-E3557D04E37B}">
      <dsp:nvSpPr>
        <dsp:cNvPr id="0" name=""/>
        <dsp:cNvSpPr/>
      </dsp:nvSpPr>
      <dsp:spPr>
        <a:xfrm flipH="1">
          <a:off x="471898" y="351998"/>
          <a:ext cx="4419934" cy="704239"/>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t" anchorCtr="0">
          <a:noAutofit/>
        </a:bodyPr>
        <a:lstStyle/>
        <a:p>
          <a:pPr marL="0" lvl="0" indent="0" algn="ctr" defTabSz="488950">
            <a:lnSpc>
              <a:spcPct val="90000"/>
            </a:lnSpc>
            <a:spcBef>
              <a:spcPct val="0"/>
            </a:spcBef>
            <a:spcAft>
              <a:spcPct val="35000"/>
            </a:spcAft>
            <a:buNone/>
          </a:pPr>
          <a:r>
            <a:rPr lang="es-CO" sz="1100" b="1" kern="1200"/>
            <a:t> Remuneración de la mezcla</a:t>
          </a:r>
        </a:p>
      </dsp:txBody>
      <dsp:txXfrm>
        <a:off x="471898" y="351998"/>
        <a:ext cx="4419934" cy="704239"/>
      </dsp:txXfrm>
    </dsp:sp>
    <dsp:sp modelId="{3064DCAE-F9BF-4BDD-9CBB-C63AD50A00CF}">
      <dsp:nvSpPr>
        <dsp:cNvPr id="0" name=""/>
        <dsp:cNvSpPr/>
      </dsp:nvSpPr>
      <dsp:spPr>
        <a:xfrm>
          <a:off x="4891833" y="351998"/>
          <a:ext cx="1021126" cy="704239"/>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t" anchorCtr="0">
          <a:noAutofit/>
        </a:bodyPr>
        <a:lstStyle/>
        <a:p>
          <a:pPr marL="0" lvl="0" indent="0" algn="ctr" defTabSz="488950">
            <a:lnSpc>
              <a:spcPct val="90000"/>
            </a:lnSpc>
            <a:spcBef>
              <a:spcPct val="0"/>
            </a:spcBef>
            <a:spcAft>
              <a:spcPct val="35000"/>
            </a:spcAft>
            <a:buNone/>
          </a:pPr>
          <a:r>
            <a:rPr lang="es-CO" sz="1100" b="1" kern="1200"/>
            <a:t>Señal económica</a:t>
          </a:r>
        </a:p>
      </dsp:txBody>
      <dsp:txXfrm>
        <a:off x="4891833" y="351998"/>
        <a:ext cx="1021126" cy="704239"/>
      </dsp:txXfrm>
    </dsp:sp>
    <dsp:sp modelId="{DA389DED-519E-4920-A532-A10B1948A378}">
      <dsp:nvSpPr>
        <dsp:cNvPr id="0" name=""/>
        <dsp:cNvSpPr/>
      </dsp:nvSpPr>
      <dsp:spPr>
        <a:xfrm>
          <a:off x="0" y="1056237"/>
          <a:ext cx="5934710" cy="78248"/>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target2">
  <dgm:title val=""/>
  <dgm:desc val=""/>
  <dgm:catLst>
    <dgm:cat type="relationship"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chMax val="3"/>
      <dgm:chPref val="1"/>
      <dgm:dir/>
      <dgm:animLvl val="lvl"/>
      <dgm:resizeHandles/>
    </dgm:varLst>
    <dgm:alg type="composite">
      <dgm:param type="horzAlign" val="none"/>
      <dgm:param type="vertAlign" val="none"/>
    </dgm:alg>
    <dgm:shape xmlns:r="http://schemas.openxmlformats.org/officeDocument/2006/relationships" r:blip="">
      <dgm:adjLst/>
    </dgm:shape>
    <dgm:presOf/>
    <dgm:choose name="Name1">
      <dgm:if name="Name2" func="var" arg="dir" op="equ" val="norm">
        <dgm:choose name="Name3">
          <dgm:if name="Name4" axis="ch ch" ptType="node node" st="1 1" cnt="1 0" func="cnt" op="gt" val="0">
            <dgm:choose name="Name5">
              <dgm:if name="Name6" axis="ch ch" ptType="node node" st="2 1" cnt="1 0" func="cnt" op="gt" val="0">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2"/>
                  <dgm:constr type="t" for="ch" forName="middleBox" refType="h" fact="0.25"/>
                  <dgm:constr type="w" for="ch" forName="middleBox" refType="w" fact="0.775"/>
                  <dgm:constr type="h" for="ch" forName="middleBox" refType="h" fact="0.7"/>
                  <dgm:constr type="l" for="ch" forName="centerBox" refType="w" fact="0.395"/>
                  <dgm:constr type="t" for="ch" forName="centerBox" refType="h" fact="0.5"/>
                  <dgm:constr type="w" for="ch" forName="centerBox" refType="w" fact="0.555"/>
                  <dgm:constr type="h" for="ch" forName="centerBox" refType="h" fact="0.4"/>
                  <dgm:constr type="userA" for="des" forName="outerSibTrans" refType="w"/>
                  <dgm:constr type="userA" for="des" forName="middleSibTrans" refType="w"/>
                  <dgm:constr type="userA" for="des" forName="centerSibTrans" refType="w"/>
                </dgm:constrLst>
              </dgm:if>
              <dgm:else name="Name7">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2"/>
                  <dgm:constr type="t" for="ch" forName="middleBox" refType="h" fact="0.25"/>
                  <dgm:constr type="w" for="ch" forName="middleBox" refType="w" fact="0.775"/>
                  <dgm:constr type="h" for="ch" forName="middleBox" refType="h" fact="0.7"/>
                  <dgm:constr type="l" for="ch" forName="centerBox" refType="w" fact="0.225"/>
                  <dgm:constr type="t" for="ch" forName="centerBox" refType="h" fact="0.5"/>
                  <dgm:constr type="w" for="ch" forName="centerBox" refType="w" fact="0.725"/>
                  <dgm:constr type="h" for="ch" forName="centerBox" refType="h" fact="0.4"/>
                  <dgm:constr type="userA" for="des" forName="outerSibTrans" refType="w"/>
                  <dgm:constr type="userA" for="des" forName="middleSibTrans" refType="w"/>
                  <dgm:constr type="userA" for="des" forName="centerSibTrans" refType="w"/>
                </dgm:constrLst>
              </dgm:else>
            </dgm:choose>
          </dgm:if>
          <dgm:else name="Name8">
            <dgm:choose name="Name9">
              <dgm:if name="Name10" axis="ch ch" ptType="node node" st="2 1" cnt="1 0" func="cnt" op="gt" val="0">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95"/>
                  <dgm:constr type="h" for="ch" forName="middleBox" refType="h" fact="0.7"/>
                  <dgm:constr type="l" for="ch" forName="centerBox" refType="w" fact="0.26"/>
                  <dgm:constr type="t" for="ch" forName="centerBox" refType="h" fact="0.5"/>
                  <dgm:constr type="w" for="ch" forName="centerBox" refType="w" fact="0.69"/>
                  <dgm:constr type="h" for="ch" forName="centerBox" refType="h" fact="0.4"/>
                  <dgm:constr type="userA" for="des" forName="outerSibTrans" refType="w"/>
                  <dgm:constr type="userA" for="des" forName="middleSibTrans" refType="w"/>
                  <dgm:constr type="userA" for="des" forName="centerSibTrans" refType="w"/>
                </dgm:constrLst>
              </dgm:if>
              <dgm:else name="Name11">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95"/>
                  <dgm:constr type="h" for="ch" forName="middleBox" refType="h" fact="0.7"/>
                  <dgm:constr type="l" for="ch" forName="centerBox" refType="w" fact="0.05"/>
                  <dgm:constr type="t" for="ch" forName="centerBox" refType="h" fact="0.5"/>
                  <dgm:constr type="w" for="ch" forName="centerBox" refType="w" fact="0.9"/>
                  <dgm:constr type="h" for="ch" forName="centerBox" refType="h" fact="0.4"/>
                  <dgm:constr type="userA" for="des" forName="outerSibTrans" refType="w"/>
                  <dgm:constr type="userA" for="des" forName="middleSibTrans" refType="w"/>
                  <dgm:constr type="userA" for="des" forName="centerSibTrans" refType="w"/>
                </dgm:constrLst>
              </dgm:else>
            </dgm:choose>
          </dgm:else>
        </dgm:choose>
      </dgm:if>
      <dgm:else name="Name12">
        <dgm:choose name="Name13">
          <dgm:if name="Name14" axis="ch ch" ptType="node node" st="1 1" cnt="1 0" func="cnt" op="gt" val="0">
            <dgm:choose name="Name15">
              <dgm:if name="Name16" axis="ch ch" ptType="node node" st="2 1" cnt="1 0" func="cnt" op="gt" val="0">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775"/>
                  <dgm:constr type="h" for="ch" forName="middleBox" refType="h" fact="0.7"/>
                  <dgm:constr type="l" for="ch" forName="centerBox" refType="w" fact="0.05"/>
                  <dgm:constr type="t" for="ch" forName="centerBox" refType="h" fact="0.5"/>
                  <dgm:constr type="w" for="ch" forName="centerBox" refType="w" fact="0.55"/>
                  <dgm:constr type="h" for="ch" forName="centerBox" refType="h" fact="0.4"/>
                  <dgm:constr type="userA" for="des" forName="outerSibTrans" refType="w"/>
                  <dgm:constr type="userA" for="des" forName="middleSibTrans" refType="w"/>
                  <dgm:constr type="userA" for="des" forName="centerSibTrans" refType="w"/>
                </dgm:constrLst>
              </dgm:if>
              <dgm:else name="Name17">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775"/>
                  <dgm:constr type="h" for="ch" forName="middleBox" refType="h" fact="0.7"/>
                  <dgm:constr type="l" for="ch" forName="centerBox" refType="w" fact="0.05"/>
                  <dgm:constr type="t" for="ch" forName="centerBox" refType="h" fact="0.5"/>
                  <dgm:constr type="w" for="ch" forName="centerBox" refType="w" fact="0.725"/>
                  <dgm:constr type="h" for="ch" forName="centerBox" refType="h" fact="0.4"/>
                  <dgm:constr type="userA" for="des" forName="outerSibTrans" refType="w"/>
                  <dgm:constr type="userA" for="des" forName="middleSibTrans" refType="w"/>
                  <dgm:constr type="userA" for="des" forName="centerSibTrans" refType="w"/>
                </dgm:constrLst>
              </dgm:else>
            </dgm:choose>
          </dgm:if>
          <dgm:else name="Name18">
            <dgm:choose name="Name19">
              <dgm:if name="Name20" axis="ch ch" ptType="node node" st="2 1" cnt="1 0" func="cnt" op="gt" val="0">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95"/>
                  <dgm:constr type="h" for="ch" forName="middleBox" refType="h" fact="0.7"/>
                  <dgm:constr type="l" for="ch" forName="centerBox" refType="w" fact="0.05"/>
                  <dgm:constr type="t" for="ch" forName="centerBox" refType="h" fact="0.5"/>
                  <dgm:constr type="w" for="ch" forName="centerBox" refType="w" fact="0.69"/>
                  <dgm:constr type="h" for="ch" forName="centerBox" refType="h" fact="0.4"/>
                  <dgm:constr type="userA" for="des" forName="outerSibTrans" refType="w"/>
                  <dgm:constr type="userA" for="des" forName="middleSibTrans" refType="w"/>
                  <dgm:constr type="userA" for="des" forName="centerSibTrans" refType="w"/>
                </dgm:constrLst>
              </dgm:if>
              <dgm:else name="Name21">
                <dgm:constrLst>
                  <dgm:constr type="primFontSz" for="des" forName="middleBoxParent" val="65"/>
                  <dgm:constr type="primFontSz" for="des" forName="mChild" val="65"/>
                  <dgm:constr type="primFontSz" for="des" forName="outerBoxParent" refType="primFontSz" refFor="des" refForName="middleBoxParent" op="equ"/>
                  <dgm:constr type="primFontSz" for="des" forName="centerBoxParent" refType="primFontSz" refFor="des" refForName="middleBoxParent" op="equ"/>
                  <dgm:constr type="primFontSz" for="des" forName="oChild" refType="primFontSz" refFor="des" refForName="mChild" op="equ"/>
                  <dgm:constr type="primFontSz" for="des" forName="cChild" refType="primFontSz" refFor="des" refForName="mChild" op="equ"/>
                  <dgm:constr type="l" for="ch" forName="outerBox"/>
                  <dgm:constr type="t" for="ch" forName="outerBox"/>
                  <dgm:constr type="w" for="ch" forName="outerBox" refType="w"/>
                  <dgm:constr type="h" for="ch" forName="outerBox" refType="h"/>
                  <dgm:constr type="l" for="ch" forName="middleBox" refType="w" fact="0.025"/>
                  <dgm:constr type="t" for="ch" forName="middleBox" refType="h" fact="0.25"/>
                  <dgm:constr type="w" for="ch" forName="middleBox" refType="w" fact="0.95"/>
                  <dgm:constr type="h" for="ch" forName="middleBox" refType="h" fact="0.7"/>
                  <dgm:constr type="l" for="ch" forName="centerBox" refType="w" fact="0.05"/>
                  <dgm:constr type="t" for="ch" forName="centerBox" refType="h" fact="0.5"/>
                  <dgm:constr type="w" for="ch" forName="centerBox" refType="w" fact="0.9"/>
                  <dgm:constr type="h" for="ch" forName="centerBox" refType="h" fact="0.4"/>
                  <dgm:constr type="userA" for="des" forName="outerSibTrans" refType="w"/>
                  <dgm:constr type="userA" for="des" forName="middleSibTrans" refType="w"/>
                  <dgm:constr type="userA" for="des" forName="centerSibTrans" refType="w"/>
                </dgm:constrLst>
              </dgm:else>
            </dgm:choose>
          </dgm:else>
        </dgm:choose>
      </dgm:else>
    </dgm:choose>
    <dgm:ruleLst/>
    <dgm:choose name="Name22">
      <dgm:if name="Name23" axis="root ch" ptType="all node" st="1 1" cnt="0 0" func="cnt" op="gte" val="1">
        <dgm:layoutNode name="outerBox" styleLbl="node1">
          <dgm:alg type="composite">
            <dgm:param type="horzAlign" val="none"/>
            <dgm:param type="vertAlign" val="none"/>
          </dgm:alg>
          <dgm:shape xmlns:r="http://schemas.openxmlformats.org/officeDocument/2006/relationships" r:blip="">
            <dgm:adjLst/>
          </dgm:shape>
          <dgm:presOf/>
          <dgm:choose name="Name24">
            <dgm:if name="Name25" axis="root ch" ptType="all node" st="1 1" cnt="0 0" func="cnt" op="gt" val="1">
              <dgm:choose name="Name26">
                <dgm:if name="Name27" func="var" arg="dir" op="equ" val="norm">
                  <dgm:constrLst>
                    <dgm:constr type="l" for="ch" forName="outerBoxParent"/>
                    <dgm:constr type="t" for="ch" forName="outerBoxParent"/>
                    <dgm:constr type="w" for="ch" forName="outerBoxParent" refType="w"/>
                    <dgm:constr type="h" for="ch" forName="outerBoxParent" refType="h"/>
                    <dgm:constr type="bMarg" for="ch" forName="outerBoxParent" refType="h" fact="2.2"/>
                    <dgm:constr type="l" for="ch" forName="outerBoxChildren" refType="w" fact="0.025"/>
                    <dgm:constr type="t" for="ch" forName="outerBoxChildren" refType="h" fact="0.25"/>
                    <dgm:constr type="w" for="ch" forName="outerBoxChildren" refType="w" fact="0.15"/>
                    <dgm:constr type="h" for="ch" forName="outerBoxChildren" refType="h" fact="0.7"/>
                  </dgm:constrLst>
                </dgm:if>
                <dgm:else name="Name28">
                  <dgm:constrLst>
                    <dgm:constr type="l" for="ch" forName="outerBoxParent"/>
                    <dgm:constr type="t" for="ch" forName="outerBoxParent"/>
                    <dgm:constr type="w" for="ch" forName="outerBoxParent" refType="w"/>
                    <dgm:constr type="h" for="ch" forName="outerBoxParent" refType="h"/>
                    <dgm:constr type="bMarg" for="ch" forName="outerBoxParent" refType="h" fact="2.2"/>
                    <dgm:constr type="l" for="ch" forName="outerBoxChildren" refType="w" fact="0.825"/>
                    <dgm:constr type="t" for="ch" forName="outerBoxChildren" refType="h" fact="0.25"/>
                    <dgm:constr type="w" for="ch" forName="outerBoxChildren" refType="w" fact="0.15"/>
                    <dgm:constr type="h" for="ch" forName="outerBoxChildren" refType="h" fact="0.7"/>
                  </dgm:constrLst>
                </dgm:else>
              </dgm:choose>
            </dgm:if>
            <dgm:else name="Name29">
              <dgm:constrLst>
                <dgm:constr type="l" for="ch" forName="outerBoxParent"/>
                <dgm:constr type="t" for="ch" forName="outerBoxParent"/>
                <dgm:constr type="w" for="ch" forName="outerBoxParent" refType="w"/>
                <dgm:constr type="h" for="ch" forName="outerBoxParent" refType="h"/>
                <dgm:constr type="bMarg" for="ch" forName="outerBoxParent" refType="h" fact="1.75"/>
                <dgm:constr type="l" for="ch" forName="outerBoxChildren" refType="w" fact="0.025"/>
                <dgm:constr type="t" for="ch" forName="outerBoxChildren" refType="h" fact="0.45"/>
                <dgm:constr type="w" for="ch" forName="outerBoxChildren" refType="w" fact="0.95"/>
                <dgm:constr type="h" for="ch" forName="outerBoxChildren" refType="h" fact="0.45"/>
              </dgm:constrLst>
            </dgm:else>
          </dgm:choose>
          <dgm:ruleLst/>
          <dgm:layoutNode name="outerBoxParent" styleLbl="node1">
            <dgm:alg type="tx">
              <dgm:param type="txAnchorVert" val="t"/>
              <dgm:param type="parTxLTRAlign" val="l"/>
              <dgm:param type="parTxRTLAlign" val="r"/>
            </dgm:alg>
            <dgm:shape xmlns:r="http://schemas.openxmlformats.org/officeDocument/2006/relationships" type="roundRect" r:blip="">
              <dgm:adjLst>
                <dgm:adj idx="1" val="0.085"/>
              </dgm:adjLst>
            </dgm:shape>
            <dgm:presOf axis="ch" ptType="node" cnt="1"/>
            <dgm:constrLst>
              <dgm:constr type="tMarg" refType="primFontSz" fact="0.3"/>
              <dgm:constr type="lMarg" refType="primFontSz" fact="0.3"/>
              <dgm:constr type="rMarg" refType="primFontSz" fact="0.3"/>
            </dgm:constrLst>
            <dgm:ruleLst>
              <dgm:rule type="primFontSz" val="5" fact="NaN" max="NaN"/>
            </dgm:ruleLst>
          </dgm:layoutNode>
          <dgm:layoutNode name="outerBoxChildren">
            <dgm:choose name="Name30">
              <dgm:if name="Name31" axis="root ch" ptType="all node" st="1 1" cnt="0 0" func="cnt" op="gt" val="1">
                <dgm:alg type="lin">
                  <dgm:param type="linDir" val="fromT"/>
                  <dgm:param type="vertAlign" val="t"/>
                </dgm:alg>
              </dgm:if>
              <dgm:else name="Name32">
                <dgm:choose name="Name33">
                  <dgm:if name="Name34" func="var" arg="dir" op="equ" val="norm">
                    <dgm:alg type="lin">
                      <dgm:param type="horzAlign" val="l"/>
                    </dgm:alg>
                  </dgm:if>
                  <dgm:else name="Name35">
                    <dgm:alg type="lin">
                      <dgm:param type="linDir" val="fromR"/>
                      <dgm:param type="horzAlign" val="r"/>
                    </dgm:alg>
                  </dgm:else>
                </dgm:choose>
              </dgm:else>
            </dgm:choose>
            <dgm:shape xmlns:r="http://schemas.openxmlformats.org/officeDocument/2006/relationships" r:blip="">
              <dgm:adjLst/>
            </dgm:shape>
            <dgm:presOf/>
            <dgm:constrLst>
              <dgm:constr type="w" for="ch" forName="oChild" refType="w"/>
              <dgm:constr type="h" for="ch" forName="oChild" refType="h"/>
            </dgm:constrLst>
            <dgm:ruleLst/>
            <dgm:forEach name="Name36" axis="ch ch" ptType="node node" st="1 1" cnt="1 0">
              <dgm:layoutNode name="oChild" styleLbl="fgAcc1">
                <dgm:varLst>
                  <dgm:bulletEnabled val="1"/>
                </dgm:varLst>
                <dgm:alg type="tx"/>
                <dgm:shape xmlns:r="http://schemas.openxmlformats.org/officeDocument/2006/relationships" type="roundRect" r:blip="">
                  <dgm:adjLst>
                    <dgm:adj idx="1" val="0.105"/>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Name37" axis="followSib" ptType="sibTrans" cnt="1">
                <dgm:layoutNode name="outerSibTrans">
                  <dgm:alg type="sp"/>
                  <dgm:shape xmlns:r="http://schemas.openxmlformats.org/officeDocument/2006/relationships" r:blip="">
                    <dgm:adjLst/>
                  </dgm:shape>
                  <dgm:presOf/>
                  <dgm:constrLst>
                    <dgm:constr type="userA"/>
                    <dgm:constr type="w" refType="userA" fact="0.015"/>
                    <dgm:constr type="h" refType="userA" fact="0.015"/>
                  </dgm:constrLst>
                  <dgm:ruleLst/>
                </dgm:layoutNode>
              </dgm:forEach>
            </dgm:forEach>
          </dgm:layoutNode>
        </dgm:layoutNode>
      </dgm:if>
      <dgm:else name="Name38"/>
    </dgm:choose>
    <dgm:choose name="Name39">
      <dgm:if name="Name40" axis="root ch" ptType="all node" st="1 1" cnt="0 0" func="cnt" op="gte" val="2">
        <dgm:layoutNode name="middleBox">
          <dgm:alg type="composite">
            <dgm:param type="horzAlign" val="none"/>
            <dgm:param type="vertAlign" val="none"/>
          </dgm:alg>
          <dgm:shape xmlns:r="http://schemas.openxmlformats.org/officeDocument/2006/relationships" r:blip="">
            <dgm:adjLst/>
          </dgm:shape>
          <dgm:presOf/>
          <dgm:choose name="Name41">
            <dgm:if name="Name42" axis="root ch" ptType="all node" st="1 1" cnt="0 0" func="cnt" op="gt" val="2">
              <dgm:choose name="Name43">
                <dgm:if name="Name44" func="var" arg="dir" op="equ" val="norm">
                  <dgm:constrLst>
                    <dgm:constr type="l" for="ch" forName="middleBoxParent"/>
                    <dgm:constr type="t" for="ch" forName="middleBoxParent"/>
                    <dgm:constr type="w" for="ch" forName="middleBoxParent" refType="w"/>
                    <dgm:constr type="h" for="ch" forName="middleBoxParent" refType="h"/>
                    <dgm:constr type="bMarg" for="ch" forName="middleBoxParent" refType="h" fact="1.8"/>
                    <dgm:constr type="l" for="ch" forName="middleBoxChildren" refType="w" fact="0.025"/>
                    <dgm:constr type="t" for="ch" forName="middleBoxChildren" refType="h" fact="0.35"/>
                    <dgm:constr type="w" for="ch" forName="middleBoxChildren" refType="w" fact="0.2"/>
                    <dgm:constr type="h" for="ch" forName="middleBoxChildren" refType="h" fact="0.575"/>
                  </dgm:constrLst>
                </dgm:if>
                <dgm:else name="Name45">
                  <dgm:constrLst>
                    <dgm:constr type="l" for="ch" forName="middleBoxParent"/>
                    <dgm:constr type="t" for="ch" forName="middleBoxParent"/>
                    <dgm:constr type="w" for="ch" forName="middleBoxParent" refType="w"/>
                    <dgm:constr type="h" for="ch" forName="middleBoxParent" refType="h"/>
                    <dgm:constr type="bMarg" for="ch" forName="middleBoxParent" refType="h" fact="1.8"/>
                    <dgm:constr type="l" for="ch" forName="middleBoxChildren" refType="w" fact="0.775"/>
                    <dgm:constr type="t" for="ch" forName="middleBoxChildren" refType="h" fact="0.35"/>
                    <dgm:constr type="w" for="ch" forName="middleBoxChildren" refType="w" fact="0.2"/>
                    <dgm:constr type="h" for="ch" forName="middleBoxChildren" refType="h" fact="0.575"/>
                  </dgm:constrLst>
                </dgm:else>
              </dgm:choose>
            </dgm:if>
            <dgm:else name="Name46">
              <dgm:constrLst>
                <dgm:constr type="l" for="ch" forName="middleBoxParent"/>
                <dgm:constr type="t" for="ch" forName="middleBoxParent"/>
                <dgm:constr type="w" for="ch" forName="middleBoxParent" refType="w"/>
                <dgm:constr type="h" for="ch" forName="middleBoxParent" refType="h"/>
                <dgm:constr type="bMarg" for="ch" forName="middleBoxParent" refType="h" fact="1.8"/>
                <dgm:constr type="l" for="ch" forName="middleBoxChildren" refType="w" fact="0.025"/>
                <dgm:constr type="t" for="ch" forName="middleBoxChildren" refType="h" fact="0.45"/>
                <dgm:constr type="w" for="ch" forName="middleBoxChildren" refType="w" fact="0.95"/>
                <dgm:constr type="h" for="ch" forName="middleBoxChildren" refType="h" fact="0.45"/>
              </dgm:constrLst>
            </dgm:else>
          </dgm:choose>
          <dgm:ruleLst/>
          <dgm:layoutNode name="middleBoxParent" styleLbl="node1">
            <dgm:alg type="tx">
              <dgm:param type="txAnchorVert" val="t"/>
              <dgm:param type="parTxLTRAlign" val="l"/>
              <dgm:param type="parTxRTLAlign" val="r"/>
            </dgm:alg>
            <dgm:shape xmlns:r="http://schemas.openxmlformats.org/officeDocument/2006/relationships" type="roundRect" r:blip="">
              <dgm:adjLst>
                <dgm:adj idx="1" val="0.105"/>
              </dgm:adjLst>
            </dgm:shape>
            <dgm:presOf axis="ch" ptType="node" st="2" cnt="1"/>
            <dgm:constrLst>
              <dgm:constr type="tMarg" refType="primFontSz" fact="0.3"/>
              <dgm:constr type="lMarg" refType="primFontSz" fact="0.3"/>
              <dgm:constr type="rMarg" refType="primFontSz" fact="0.3"/>
            </dgm:constrLst>
            <dgm:ruleLst>
              <dgm:rule type="primFontSz" val="5" fact="NaN" max="NaN"/>
            </dgm:ruleLst>
          </dgm:layoutNode>
          <dgm:layoutNode name="middleBoxChildren">
            <dgm:choose name="Name47">
              <dgm:if name="Name48" axis="root ch" ptType="all node" st="1 1" cnt="0 0" func="cnt" op="gt" val="2">
                <dgm:alg type="lin">
                  <dgm:param type="linDir" val="fromT"/>
                  <dgm:param type="vertAlign" val="t"/>
                </dgm:alg>
              </dgm:if>
              <dgm:else name="Name49">
                <dgm:choose name="Name50">
                  <dgm:if name="Name51" func="var" arg="dir" op="equ" val="norm">
                    <dgm:alg type="lin">
                      <dgm:param type="horzAlign" val="l"/>
                    </dgm:alg>
                  </dgm:if>
                  <dgm:else name="Name52">
                    <dgm:alg type="lin">
                      <dgm:param type="linDir" val="fromR"/>
                      <dgm:param type="horzAlign" val="r"/>
                    </dgm:alg>
                  </dgm:else>
                </dgm:choose>
              </dgm:else>
            </dgm:choose>
            <dgm:shape xmlns:r="http://schemas.openxmlformats.org/officeDocument/2006/relationships" r:blip="">
              <dgm:adjLst/>
            </dgm:shape>
            <dgm:presOf/>
            <dgm:constrLst>
              <dgm:constr type="w" for="ch" forName="mChild" refType="w"/>
              <dgm:constr type="h" for="ch" forName="mChild" refType="h"/>
            </dgm:constrLst>
            <dgm:ruleLst/>
            <dgm:forEach name="Name53" axis="ch ch" ptType="node node" st="2 1" cnt="1 0">
              <dgm:layoutNode name="mChild" styleLbl="fgAcc1">
                <dgm:varLst>
                  <dgm:bulletEnabled val="1"/>
                </dgm:varLst>
                <dgm:alg type="tx"/>
                <dgm:shape xmlns:r="http://schemas.openxmlformats.org/officeDocument/2006/relationships" type="roundRect" r:blip="">
                  <dgm:adjLst>
                    <dgm:adj idx="1" val="0.105"/>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Name54" axis="followSib" ptType="sibTrans" cnt="1">
                <dgm:layoutNode name="middleSibTrans">
                  <dgm:alg type="sp"/>
                  <dgm:shape xmlns:r="http://schemas.openxmlformats.org/officeDocument/2006/relationships" r:blip="">
                    <dgm:adjLst/>
                  </dgm:shape>
                  <dgm:presOf/>
                  <dgm:constrLst>
                    <dgm:constr type="userA"/>
                    <dgm:constr type="w" refType="userA" fact="0.015"/>
                    <dgm:constr type="h" refType="userA" fact="0.015"/>
                  </dgm:constrLst>
                  <dgm:ruleLst/>
                </dgm:layoutNode>
              </dgm:forEach>
            </dgm:forEach>
          </dgm:layoutNode>
        </dgm:layoutNode>
      </dgm:if>
      <dgm:else name="Name55"/>
    </dgm:choose>
    <dgm:choose name="Name56">
      <dgm:if name="Name57" axis="root ch" ptType="all node" st="1 1" cnt="0 0" func="cnt" op="gte" val="3">
        <dgm:layoutNode name="centerBox">
          <dgm:alg type="composite">
            <dgm:param type="horzAlign" val="none"/>
            <dgm:param type="vertAlign" val="none"/>
          </dgm:alg>
          <dgm:shape xmlns:r="http://schemas.openxmlformats.org/officeDocument/2006/relationships" r:blip="">
            <dgm:adjLst/>
          </dgm:shape>
          <dgm:presOf/>
          <dgm:choose name="Name58">
            <dgm:if name="Name59" axis="ch ch" ptType="node node" st="3 1" cnt="1 0" func="cnt" op="gt" val="0">
              <dgm:constrLst>
                <dgm:constr type="l" for="ch" forName="centerBoxParent"/>
                <dgm:constr type="t" for="ch" forName="centerBoxParent"/>
                <dgm:constr type="w" for="ch" forName="centerBoxParent" refType="w"/>
                <dgm:constr type="h" for="ch" forName="centerBoxParent" refType="h"/>
                <dgm:constr type="bMarg" for="ch" forName="centerBoxParent" refType="h" fact="1.6"/>
                <dgm:constr type="l" for="ch" forName="centerBoxChildren" refType="w" fact="0.025"/>
                <dgm:constr type="t" for="ch" forName="centerBoxChildren" refType="h" fact="0.45"/>
                <dgm:constr type="w" for="ch" forName="centerBoxChildren" refType="w" fact="0.95"/>
                <dgm:constr type="h" for="ch" forName="centerBoxChildren" refType="h" fact="0.45"/>
              </dgm:constrLst>
            </dgm:if>
            <dgm:else name="Name60">
              <dgm:constrLst>
                <dgm:constr type="l" for="ch" forName="centerBoxParent"/>
                <dgm:constr type="t" for="ch" forName="centerBoxParent"/>
                <dgm:constr type="w" for="ch" forName="centerBoxParent" refType="w"/>
                <dgm:constr type="h" for="ch" forName="centerBoxParent" refType="h"/>
              </dgm:constrLst>
            </dgm:else>
          </dgm:choose>
          <dgm:ruleLst/>
          <dgm:layoutNode name="centerBoxParent" styleLbl="node1">
            <dgm:alg type="tx">
              <dgm:param type="txAnchorVert" val="t"/>
              <dgm:param type="parTxLTRAlign" val="l"/>
              <dgm:param type="parTxRTLAlign" val="r"/>
            </dgm:alg>
            <dgm:shape xmlns:r="http://schemas.openxmlformats.org/officeDocument/2006/relationships" type="roundRect" r:blip="">
              <dgm:adjLst>
                <dgm:adj idx="1" val="0.105"/>
              </dgm:adjLst>
            </dgm:shape>
            <dgm:presOf axis="ch" ptType="node" st="3" cnt="1"/>
            <dgm:constrLst>
              <dgm:constr type="tMarg" refType="primFontSz" fact="0.3"/>
              <dgm:constr type="lMarg" refType="primFontSz" fact="0.3"/>
              <dgm:constr type="rMarg" refType="primFontSz" fact="0.3"/>
            </dgm:constrLst>
            <dgm:ruleLst>
              <dgm:rule type="primFontSz" val="5" fact="NaN" max="NaN"/>
            </dgm:ruleLst>
          </dgm:layoutNode>
          <dgm:choose name="Name61">
            <dgm:if name="Name62" axis="ch ch" ptType="node node" st="3 1" cnt="1 0" func="cnt" op="gt" val="0">
              <dgm:layoutNode name="centerBoxChildren">
                <dgm:choose name="Name63">
                  <dgm:if name="Name64" func="var" arg="dir" op="equ" val="norm">
                    <dgm:alg type="lin">
                      <dgm:param type="horzAlign" val="l"/>
                    </dgm:alg>
                  </dgm:if>
                  <dgm:else name="Name65">
                    <dgm:alg type="lin">
                      <dgm:param type="linDir" val="fromR"/>
                      <dgm:param type="horzAlign" val="r"/>
                    </dgm:alg>
                  </dgm:else>
                </dgm:choose>
                <dgm:shape xmlns:r="http://schemas.openxmlformats.org/officeDocument/2006/relationships" r:blip="">
                  <dgm:adjLst/>
                </dgm:shape>
                <dgm:presOf/>
                <dgm:constrLst>
                  <dgm:constr type="w" for="ch" forName="cChild" refType="w"/>
                  <dgm:constr type="h" for="ch" forName="cChild" refType="h"/>
                </dgm:constrLst>
                <dgm:ruleLst/>
                <dgm:forEach name="Name66" axis="ch ch" ptType="node node" st="3 1" cnt="1 0">
                  <dgm:layoutNode name="cChild" styleLbl="fgAcc1">
                    <dgm:varLst>
                      <dgm:bulletEnabled val="1"/>
                    </dgm:varLst>
                    <dgm:alg type="tx"/>
                    <dgm:shape xmlns:r="http://schemas.openxmlformats.org/officeDocument/2006/relationships" type="roundRect" r:blip="">
                      <dgm:adjLst>
                        <dgm:adj idx="1" val="0.105"/>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Name67" axis="followSib" ptType="sibTrans" cnt="1">
                    <dgm:layoutNode name="centerSibTrans">
                      <dgm:alg type="sp"/>
                      <dgm:shape xmlns:r="http://schemas.openxmlformats.org/officeDocument/2006/relationships" r:blip="">
                        <dgm:adjLst/>
                      </dgm:shape>
                      <dgm:presOf/>
                      <dgm:constrLst>
                        <dgm:constr type="userA"/>
                        <dgm:constr type="w" refType="userA" fact="0.015"/>
                        <dgm:constr type="h" refType="userA" fact="0.015"/>
                      </dgm:constrLst>
                      <dgm:ruleLst/>
                    </dgm:layoutNode>
                  </dgm:forEach>
                </dgm:forEach>
              </dgm:layoutNode>
            </dgm:if>
            <dgm:else name="Name68"/>
          </dgm:choose>
        </dgm:layoutNode>
      </dgm:if>
      <dgm:else name="Name69"/>
    </dgm:choose>
  </dgm:layoutNode>
</dgm:layoutDef>
</file>

<file path=word/diagrams/layout2.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5e352c5-a0a5-4aff-9101-fc8c076df9f7" xsi:nil="true"/>
    <lcf76f155ced4ddcb4097134ff3c332f xmlns="52f50d89-700a-49c3-acb1-cc45863f80d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CDD0B26ABEDD0459BD4267A57D8442E" ma:contentTypeVersion="18" ma:contentTypeDescription="Crear nuevo documento." ma:contentTypeScope="" ma:versionID="572bf8a28dfa8b7c1e728b3c3e56dd64">
  <xsd:schema xmlns:xsd="http://www.w3.org/2001/XMLSchema" xmlns:xs="http://www.w3.org/2001/XMLSchema" xmlns:p="http://schemas.microsoft.com/office/2006/metadata/properties" xmlns:ns2="52f50d89-700a-49c3-acb1-cc45863f80d1" xmlns:ns3="c5e352c5-a0a5-4aff-9101-fc8c076df9f7" targetNamespace="http://schemas.microsoft.com/office/2006/metadata/properties" ma:root="true" ma:fieldsID="343ee4e6477d56caa8a4ca8b3f27f166" ns2:_="" ns3:_="">
    <xsd:import namespace="52f50d89-700a-49c3-acb1-cc45863f80d1"/>
    <xsd:import namespace="c5e352c5-a0a5-4aff-9101-fc8c076df9f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f50d89-700a-49c3-acb1-cc45863f80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2cdfcee-ca2d-46b2-8159-5b17d2d80cf8" ma:termSetId="09814cd3-568e-fe90-9814-8d621ff8fb84" ma:anchorId="fba54fb3-c3e1-fe81-a776-ca4b69148c4d" ma:open="true" ma:isKeyword="false">
      <xsd:complexType>
        <xsd:sequence>
          <xsd:element ref="pc:Terms" minOccurs="0" maxOccurs="1"/>
        </xsd:sequence>
      </xsd:complex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e352c5-a0a5-4aff-9101-fc8c076df9f7"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da11bec3-26df-47a9-92ee-f2870e4266c1}" ma:internalName="TaxCatchAll" ma:showField="CatchAllData" ma:web="c5e352c5-a0a5-4aff-9101-fc8c076df9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Com13</b:Tag>
    <b:SourceType>Book</b:SourceType>
    <b:Guid>{0EACCD9C-E1E7-469A-A73C-49133BC2F3E8}</b:Guid>
    <b:Author>
      <b:Author>
        <b:NameList>
          <b:Person>
            <b:Last>(CREG)</b:Last>
            <b:First>Comisión</b:First>
            <b:Middle>de Regulación de Energía y Gas</b:Middle>
          </b:Person>
        </b:NameList>
      </b:Author>
    </b:Author>
    <b:Title>Resolución CREG 202 de 2013. Por la cual se establece la metodología para la remuneración de la actividad de distribución de gas combustible por redes de tubería.</b:Title>
    <b:Year>2013</b:Year>
    <b:City>Bogotá D.C.</b:City>
    <b:Publisher>Comisión de Regulación de Energía y Gas (CREG)</b:Publisher>
    <b:RefOrder>1</b:RefOrder>
  </b:Source>
  <b:Source>
    <b:Tag>Com09</b:Tag>
    <b:SourceType>DocumentFromInternetSite</b:SourceType>
    <b:Guid>{7CAB8CAA-F1CC-4B72-9287-F94E338039EC}</b:Guid>
    <b:Title>Resolución CREG 180 de 2009. Por la cual se aprueba la fórmula tarifaria general que permite a los distribuidores y comercializadores minoristas establecer los costos de prestación del servicio de Gas Licuado de Petróleo (GLP) a usuarios regulados.</b:Title>
    <b:Year>2009</b:Year>
    <b:Author>
      <b:Author>
        <b:Corporate>Comisión de Regulación de Energía y Gas (CREG)</b:Corporate>
      </b:Author>
    </b:Author>
    <b:URL>https://gestornormativo.creg.gov.co/gestor/entorno/docs/resolucion_creg_0180_2009.htm</b:URL>
    <b:InternetSiteTitle>Gestor Normativo Alejandría 2.0</b:InternetSiteTitle>
    <b:RefOrder>2</b:RefOrder>
  </b:Source>
  <b:Source>
    <b:Tag>Com07</b:Tag>
    <b:SourceType>DocumentFromInternetSite</b:SourceType>
    <b:Guid>{FF9329C1-6E2D-4E1B-934D-44B1CEF4AAC0}</b:Guid>
    <b:Author>
      <b:Author>
        <b:Corporate>Comisión de Regulación de Energía y Gas</b:Corporate>
      </b:Author>
    </b:Author>
    <b:Title>Resolución CREG 066 de 2007. Por la cual se establece la regulación de precios de suministro de GLP de comercializadores mayoristas a distribuidores</b:Title>
    <b:InternetSiteTitle>Gestor Normativo Alejandría 2.0</b:InternetSiteTitle>
    <b:Year>2007</b:Year>
    <b:URL>https://gestornormativo.creg.gov.co/gestor/entorno/docs/resolucion_creg_0066_2007.htm</b:URL>
    <b:RefOrder>3</b:RefOrder>
  </b:Source>
  <b:Source>
    <b:Tag>Com131</b:Tag>
    <b:SourceType>DocumentFromInternetSite</b:SourceType>
    <b:Guid>{609CB37B-FF06-4F8B-BF5A-7FE0D884BA8F}</b:Guid>
    <b:Author>
      <b:Author>
        <b:Corporate>Comisión de Regulación de Energía y Gas</b:Corporate>
      </b:Author>
    </b:Author>
    <b:Title>Resolución CREG 202 de 2013. Por la cual se establecen los criterios generales para remunerar la actividad de distribución de gas combustible por redes de tubería y se dictan otras disposiciones</b:Title>
    <b:InternetSiteTitle>Gestor Normativo Alejandría 2.0.</b:InternetSiteTitle>
    <b:Year>2013</b:Year>
    <b:URL>https://gestornormativo.creg.gov.co/gestor/entorno/docs/resolucion_creg_0202_2013.htm</b:URL>
    <b:RefOrder>4</b:RefOrder>
  </b:Source>
  <b:Source>
    <b:Tag>Con91</b:Tag>
    <b:SourceType>DocumentFromInternetSite</b:SourceType>
    <b:Guid>{72DB8968-9822-490D-BC62-20F7960EE45C}</b:Guid>
    <b:Author>
      <b:Author>
        <b:Corporate>Congreso de la República de Colombia</b:Corporate>
      </b:Author>
    </b:Author>
    <b:Title>Constitución Política de Colombia</b:Title>
    <b:InternetSiteTitle>SUIN-Juriscol</b:InternetSiteTitle>
    <b:Year>1991</b:Year>
    <b:RefOrder>5</b:RefOrder>
  </b:Source>
  <b:Source>
    <b:Tag>Con94</b:Tag>
    <b:SourceType>DocumentFromInternetSite</b:SourceType>
    <b:Guid>{0C12A535-CDDA-42D1-98E6-EC216F138BDE}</b:Guid>
    <b:Author>
      <b:Author>
        <b:Corporate>Congreso de la República de Colombia</b:Corporate>
      </b:Author>
    </b:Author>
    <b:Title>Ley 142 de 1994. Por la cual se establece el régimen de los servicios públicos domiciliarios y se dictan otras disposiciones</b:Title>
    <b:InternetSiteTitle>SUIN-Juriscol</b:InternetSiteTitle>
    <b:Year>1994</b:Year>
    <b:URL>https://www.suin-juriscol.gov.co</b:URL>
    <b:RefOrder>6</b:RefOrder>
  </b:Source>
  <b:Source>
    <b:Tag>Con</b:Tag>
    <b:SourceType>DocumentFromInternetSite</b:SourceType>
    <b:Guid>{6DB73F0E-BEAA-40E0-BA35-946F7321EB12}</b:Guid>
    <b:Author>
      <b:Author>
        <b:Corporate>Congreso de la República de Colombia</b:Corporate>
      </b:Author>
    </b:Author>
    <b:Title>Ley 143 de 1994. Por la cual se establece el régimen para la generación, interconexión, transmisión, distribución y comercialización de electricidad en el territorio nacional</b:Title>
    <b:InternetSiteTitle>SUIN-Juriscol</b:InternetSiteTitle>
    <b:URL>https://www.suin-juriscol.gov.co</b:URL>
    <b:RefOrder>7</b:RefOrder>
  </b:Source>
  <b:Source>
    <b:Tag>Con01</b:Tag>
    <b:SourceType>DocumentFromInternetSite</b:SourceType>
    <b:Guid>{1C3E87C9-BC28-4B8F-A99F-A0B10C847B7D}</b:Guid>
    <b:Author>
      <b:Author>
        <b:Corporate>Congreso de la República de Colombia</b:Corporate>
      </b:Author>
    </b:Author>
    <b:Title>Ley 689 de 2001. Por la cual se modifica parcialmente la Ley 142 de 1994</b:Title>
    <b:InternetSiteTitle>SUIN-Juriscol</b:InternetSiteTitle>
    <b:Year>2001</b:Year>
    <b:RefOrder>8</b:RefOrder>
  </b:Source>
  <b:Source>
    <b:Tag>Con09</b:Tag>
    <b:SourceType>DocumentFromInternetSite</b:SourceType>
    <b:Guid>{A5DC01C1-E32B-4A63-B74D-C2FD71446906}</b:Guid>
    <b:Author>
      <b:Author>
        <b:Corporate>Congreso de la República de Colombia</b:Corporate>
      </b:Author>
    </b:Author>
    <b:Title>Ley 1340 de 2009. Por medio de la cual se dictan normas en materia de protección de la competencia</b:Title>
    <b:InternetSiteTitle>SUIN-Juriscol</b:InternetSiteTitle>
    <b:Year>2009</b:Year>
    <b:RefOrder>9</b:RefOrder>
  </b:Source>
  <b:Source>
    <b:Tag>Con21</b:Tag>
    <b:SourceType>DocumentFromInternetSite</b:SourceType>
    <b:Guid>{47BE30DB-5302-4111-BADB-186D3F264FAB}</b:Guid>
    <b:Author>
      <b:Author>
        <b:Corporate>Congreso de la República de Colombia</b:Corporate>
      </b:Author>
    </b:Author>
    <b:Title>Ley 2099 de 2021. Por medio de la cual se dictan disposiciones para la transición energética</b:Title>
    <b:InternetSiteTitle>SUIN-Juriscol</b:InternetSiteTitle>
    <b:Year>2021</b:Year>
    <b:RefOrder>10</b:RefOrder>
  </b:Source>
  <b:Source>
    <b:Tag>CQM23</b:Tag>
    <b:SourceType>Report</b:SourceType>
    <b:Guid>{04826CAB-DE3B-4F63-960F-AD5BE1E935A9}</b:Guid>
    <b:Title>Caracterización de la cadena de prestación del servicio público domiciliario de GLP, definición de mercados relevantes e identificación de fallas de mercado</b:Title>
    <b:Year>2023</b:Year>
    <b:Author>
      <b:Author>
        <b:NameList>
          <b:Person>
            <b:Last>S.A.S</b:Last>
            <b:First>CQM</b:First>
            <b:Middle>Consultoría</b:Middle>
          </b:Person>
        </b:NameList>
      </b:Author>
    </b:Author>
    <b:City>Estudio elaborado para la Comisión de Regulación de Energía y Gas</b:City>
    <b:RefOrder>11</b:RefOrder>
  </b:Source>
  <b:Source>
    <b:Tag>Dep12</b:Tag>
    <b:SourceType>Report</b:SourceType>
    <b:Guid>{07C4A34F-080B-408F-BE66-72589F4ADB8E}</b:Guid>
    <b:Author>
      <b:Author>
        <b:NameList>
          <b:Person>
            <b:Last>República</b:Last>
            <b:First>Departamento</b:First>
            <b:Middle>Administrativo de la Presidencia de la</b:Middle>
          </b:Person>
        </b:NameList>
      </b:Author>
    </b:Author>
    <b:Title>Decreto 381 de 2012. Por el cual se modifica la estructura del Ministerio de Minas y Energía</b:Title>
    <b:Year>2012</b:Year>
    <b:RefOrder>12</b:RefOrder>
  </b:Source>
  <b:Source>
    <b:Tag>Dep13</b:Tag>
    <b:SourceType>Report</b:SourceType>
    <b:Guid>{50AC2652-FEFD-4DF0-AC65-2700D703F662}</b:Guid>
    <b:Author>
      <b:Author>
        <b:NameList>
          <b:Person>
            <b:Last>República</b:Last>
            <b:First>Departamento</b:First>
            <b:Middle>Administrativo de la Presidencia de la</b:Middle>
          </b:Person>
        </b:NameList>
      </b:Author>
    </b:Author>
    <b:Title>Decreto 1260 de 2013. Por el cual se modifica la estructura de la Comisión de Regulación de Energía y Gas</b:Title>
    <b:Year>2013</b:Year>
    <b:RefOrder>13</b:RefOrder>
  </b:Source>
  <b:Source>
    <b:Tag>Dep15</b:Tag>
    <b:SourceType>Report</b:SourceType>
    <b:Guid>{D107D816-17B9-487E-964B-247EC1DD95E5}</b:Guid>
    <b:Author>
      <b:Author>
        <b:NameList>
          <b:Person>
            <b:Last>República</b:Last>
            <b:First>Departamento</b:First>
            <b:Middle>Administrativo de la Presidencia de la</b:Middle>
          </b:Person>
        </b:NameList>
      </b:Author>
    </b:Author>
    <b:Title>Decreto 1073 de 2015. Decreto Único Reglamentario del Sector Administrativo de Minas y Energía</b:Title>
    <b:Year>2015</b:Year>
    <b:RefOrder>14</b:RefOrder>
  </b:Source>
  <b:Source>
    <b:Tag>Dep20</b:Tag>
    <b:SourceType>Report</b:SourceType>
    <b:Guid>{E8B8F4A3-47DE-40A2-9813-5D8A7C4D412D}</b:Guid>
    <b:Author>
      <b:Author>
        <b:NameList>
          <b:Person>
            <b:Last>República</b:Last>
            <b:First>Departamento</b:First>
            <b:Middle>Administrativo de la Presidencia de la</b:Middle>
          </b:Person>
        </b:NameList>
      </b:Author>
    </b:Author>
    <b:Title>Decreto 1369 de 2020. Por el cual se modifica la estructura de la Superintendencia de Servicios Públicos Domiciliarios</b:Title>
    <b:Year>2020</b:Year>
    <b:RefOrder>15</b:RefOrder>
  </b:Source>
  <b:Source>
    <b:Tag>Dep24</b:Tag>
    <b:SourceType>Report</b:SourceType>
    <b:Guid>{EB0C18AC-6CA1-4E1A-9CAB-E4872012B1DE}</b:Guid>
    <b:Author>
      <b:Author>
        <b:NameList>
          <b:Person>
            <b:Last>República</b:Last>
            <b:First>Departamento</b:First>
            <b:Middle>Administrativo de la Presidencia de la</b:Middle>
          </b:Person>
        </b:NameList>
      </b:Author>
    </b:Author>
    <b:Title>Decreto 1310 de 2024. Por el cual se adoptan disposiciones relacionadas con el almacenamiento estratégico de Gas Licuado del Petróleo (GLP)</b:Title>
    <b:Year>2024</b:Year>
    <b:RefOrder>16</b:RefOrder>
  </b:Source>
  <b:Source>
    <b:Tag>Dep23</b:Tag>
    <b:SourceType>Report</b:SourceType>
    <b:Guid>{EDE49D2A-AD99-4A9C-965B-56BE788BD97C}</b:Guid>
    <b:Author>
      <b:Author>
        <b:NameList>
          <b:Person>
            <b:Last>Planeación</b:Last>
            <b:First>Departamento</b:First>
            <b:Middle>Nacional de</b:Middle>
          </b:Person>
        </b:NameList>
      </b:Author>
    </b:Author>
    <b:Title>Plan Nacional de Desarrollo 2022–2026: Colombia potencia mundial de la vida</b:Title>
    <b:Year>2023</b:Year>
    <b:RefOrder>17</b:RefOrder>
  </b:Source>
  <b:Source>
    <b:Tag>Min16</b:Tag>
    <b:SourceType>Report</b:SourceType>
    <b:Guid>{2776EFD4-56E5-4EF8-B7A1-A667705A031B}</b:Guid>
    <b:Author>
      <b:Author>
        <b:NameList>
          <b:Person>
            <b:Last>Energía</b:Last>
            <b:First>Ministerio</b:First>
            <b:Middle>de Minas y</b:Middle>
          </b:Person>
        </b:NameList>
      </b:Author>
    </b:Author>
    <b:Title>Resoluciones 40246, 40247 y 40248 de 2016</b:Title>
    <b:Year>2016</b:Year>
    <b:RefOrder>18</b:RefOrder>
  </b:Source>
  <b:Source>
    <b:Tag>Min161</b:Tag>
    <b:SourceType>Report</b:SourceType>
    <b:Guid>{4FBE30A6-A047-4A0F-8F76-969F06740D1E}</b:Guid>
    <b:Author>
      <b:Author>
        <b:NameList>
          <b:Person>
            <b:Last>Energía</b:Last>
            <b:First>Ministerio</b:First>
            <b:Middle>de Minas y</b:Middle>
          </b:Person>
        </b:NameList>
      </b:Author>
    </b:Author>
    <b:Title>Resoluciones 40867, 40868 y 40869 de 2016</b:Title>
    <b:Year>2016</b:Year>
    <b:RefOrder>19</b:RefOrder>
  </b:Source>
  <b:Source>
    <b:Tag>Min18</b:Tag>
    <b:SourceType>Report</b:SourceType>
    <b:Guid>{3BC81F24-FE79-4518-8DEC-5E846029BA51}</b:Guid>
    <b:Author>
      <b:Author>
        <b:NameList>
          <b:Person>
            <b:Last>Energía</b:Last>
            <b:First>Ministerio</b:First>
            <b:Middle>de Minas y</b:Middle>
          </b:Person>
        </b:NameList>
      </b:Author>
    </b:Author>
    <b:Title>Resolución 40304 de 2018</b:Title>
    <b:Year>2018</b:Year>
    <b:RefOrder>20</b:RefOrder>
  </b:Source>
  <b:Source>
    <b:Tag>Sup</b:Tag>
    <b:SourceType>Report</b:SourceType>
    <b:Guid>{9FADD892-CEB7-4AAA-AD98-8C421119256B}</b:Guid>
    <b:Author>
      <b:Author>
        <b:NameList>
          <b:Person>
            <b:Last>Domiciliarios</b:Last>
            <b:First>Superintendencia</b:First>
            <b:Middle>de Servicios Públicos</b:Middle>
          </b:Person>
        </b:NameList>
      </b:Author>
    </b:Author>
    <b:Title>(s. f.). Sistema Único de Información (SUI)</b:Title>
    <b:RefOrder>21</b:RefOrder>
  </b:Source>
  <b:Source>
    <b:Tag>Uni25</b:Tag>
    <b:SourceType>Report</b:SourceType>
    <b:Guid>{50C185DF-740D-4C75-8FC8-3B4D1CCBBBF1}</b:Guid>
    <b:Author>
      <b:Author>
        <b:NameList>
          <b:Person>
            <b:Last>Energética</b:Last>
            <b:First>Unidad</b:First>
            <b:Middle>de Planeación Minero</b:Middle>
          </b:Person>
        </b:NameList>
      </b:Author>
    </b:Author>
    <b:Title>Plan Indicativo de Abastecimiento de Gas Licuado del Petróleo (PIAGLP) 2025–2034</b:Title>
    <b:Year>2025</b:Year>
    <b:RefOrder>22</b:RefOrder>
  </b:Source>
  <b:Source>
    <b:Tag>Kar21</b:Tag>
    <b:SourceType>Book</b:SourceType>
    <b:Guid>{CA301144-DFC8-4D44-A385-6FF2777762B4}</b:Guid>
    <b:Title>Mejo5ra Regulatoria : Analisis de Impacto Normativo</b:Title>
    <b:Year>2021</b:Year>
    <b:Publisher>Universidad del Externado de Colombia</b:Publisher>
    <b:City>Bogotá</b:City>
    <b:Author>
      <b:Author>
        <b:NameList>
          <b:Person>
            <b:Last>Karina Montes</b:Last>
            <b:First>Luis</b:First>
            <b:Middle>Ferney Moreno</b:Middle>
          </b:Person>
        </b:NameList>
      </b:Author>
    </b:Author>
    <b:RefOrder>23</b:RefOrder>
  </b:Source>
</b:Sources>
</file>

<file path=customXml/itemProps1.xml><?xml version="1.0" encoding="utf-8"?>
<ds:datastoreItem xmlns:ds="http://schemas.openxmlformats.org/officeDocument/2006/customXml" ds:itemID="{C69AE537-9601-41FD-811A-2A64074E677B}">
  <ds:schemaRefs>
    <ds:schemaRef ds:uri="http://schemas.microsoft.com/sharepoint/v3/contenttype/forms"/>
  </ds:schemaRefs>
</ds:datastoreItem>
</file>

<file path=customXml/itemProps2.xml><?xml version="1.0" encoding="utf-8"?>
<ds:datastoreItem xmlns:ds="http://schemas.openxmlformats.org/officeDocument/2006/customXml" ds:itemID="{9A9A6424-41C2-4C48-9DED-8CD508C45B5E}">
  <ds:schemaRefs>
    <ds:schemaRef ds:uri="http://schemas.microsoft.com/office/2006/metadata/properties"/>
    <ds:schemaRef ds:uri="http://schemas.microsoft.com/office/infopath/2007/PartnerControls"/>
    <ds:schemaRef ds:uri="c5e352c5-a0a5-4aff-9101-fc8c076df9f7"/>
    <ds:schemaRef ds:uri="52f50d89-700a-49c3-acb1-cc45863f80d1"/>
  </ds:schemaRefs>
</ds:datastoreItem>
</file>

<file path=customXml/itemProps3.xml><?xml version="1.0" encoding="utf-8"?>
<ds:datastoreItem xmlns:ds="http://schemas.openxmlformats.org/officeDocument/2006/customXml" ds:itemID="{4C8935E1-58C1-43A2-8E92-362F57423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f50d89-700a-49c3-acb1-cc45863f80d1"/>
    <ds:schemaRef ds:uri="c5e352c5-a0a5-4aff-9101-fc8c076df9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C12FD4-60F8-456B-8C65-350F5EE16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3165</TotalTime>
  <Pages>298</Pages>
  <Words>87378</Words>
  <Characters>480580</Characters>
  <Application>Microsoft Office Word</Application>
  <DocSecurity>0</DocSecurity>
  <Lines>4004</Lines>
  <Paragraphs>1133</Paragraphs>
  <ScaleCrop>false</ScaleCrop>
  <Company>CREG</Company>
  <LinksUpToDate>false</LinksUpToDate>
  <CharactersWithSpaces>566825</CharactersWithSpaces>
  <SharedDoc>false</SharedDoc>
  <HLinks>
    <vt:vector size="1404" baseType="variant">
      <vt:variant>
        <vt:i4>4784185</vt:i4>
      </vt:variant>
      <vt:variant>
        <vt:i4>1428</vt:i4>
      </vt:variant>
      <vt:variant>
        <vt:i4>0</vt:i4>
      </vt:variant>
      <vt:variant>
        <vt:i4>5</vt:i4>
      </vt:variant>
      <vt:variant>
        <vt:lpwstr>https://gestornormativo.creg.gov.co/gestor/entorno/docs/resolucion_creg_0011_2003.htm</vt:lpwstr>
      </vt:variant>
      <vt:variant>
        <vt:lpwstr>INICIO</vt:lpwstr>
      </vt:variant>
      <vt:variant>
        <vt:i4>1769578</vt:i4>
      </vt:variant>
      <vt:variant>
        <vt:i4>1425</vt:i4>
      </vt:variant>
      <vt:variant>
        <vt:i4>0</vt:i4>
      </vt:variant>
      <vt:variant>
        <vt:i4>5</vt:i4>
      </vt:variant>
      <vt:variant>
        <vt:lpwstr>https://gestornormativo.creg.gov.co/gestor/entorno/docs/resolucion_creg_0002_2009.htm</vt:lpwstr>
      </vt:variant>
      <vt:variant>
        <vt:lpwstr>13</vt:lpwstr>
      </vt:variant>
      <vt:variant>
        <vt:i4>1704042</vt:i4>
      </vt:variant>
      <vt:variant>
        <vt:i4>1422</vt:i4>
      </vt:variant>
      <vt:variant>
        <vt:i4>0</vt:i4>
      </vt:variant>
      <vt:variant>
        <vt:i4>5</vt:i4>
      </vt:variant>
      <vt:variant>
        <vt:lpwstr>https://gestornormativo.creg.gov.co/gestor/entorno/docs/resolucion_creg_0002_2009.htm</vt:lpwstr>
      </vt:variant>
      <vt:variant>
        <vt:lpwstr>12</vt:lpwstr>
      </vt:variant>
      <vt:variant>
        <vt:i4>2818152</vt:i4>
      </vt:variant>
      <vt:variant>
        <vt:i4>1419</vt:i4>
      </vt:variant>
      <vt:variant>
        <vt:i4>0</vt:i4>
      </vt:variant>
      <vt:variant>
        <vt:i4>5</vt:i4>
      </vt:variant>
      <vt:variant>
        <vt:lpwstr>https://gestornormativo.creg.gov.co/gestor/entorno/docs/resolucion_creg_0202_2013.htm</vt:lpwstr>
      </vt:variant>
      <vt:variant>
        <vt:lpwstr>9</vt:lpwstr>
      </vt:variant>
      <vt:variant>
        <vt:i4>2621549</vt:i4>
      </vt:variant>
      <vt:variant>
        <vt:i4>1416</vt:i4>
      </vt:variant>
      <vt:variant>
        <vt:i4>0</vt:i4>
      </vt:variant>
      <vt:variant>
        <vt:i4>5</vt:i4>
      </vt:variant>
      <vt:variant>
        <vt:lpwstr>https://gestornormativo.creg.gov.co/gestor/entorno/docs/resolucion_creg_0002_2009.htm</vt:lpwstr>
      </vt:variant>
      <vt:variant>
        <vt:lpwstr>6</vt:lpwstr>
      </vt:variant>
      <vt:variant>
        <vt:i4>4784184</vt:i4>
      </vt:variant>
      <vt:variant>
        <vt:i4>1413</vt:i4>
      </vt:variant>
      <vt:variant>
        <vt:i4>0</vt:i4>
      </vt:variant>
      <vt:variant>
        <vt:i4>5</vt:i4>
      </vt:variant>
      <vt:variant>
        <vt:lpwstr>https://gestornormativo.creg.gov.co/gestor/entorno/docs/resolucion_creg_0202_2013.htm</vt:lpwstr>
      </vt:variant>
      <vt:variant>
        <vt:lpwstr>INICIO</vt:lpwstr>
      </vt:variant>
      <vt:variant>
        <vt:i4>2162778</vt:i4>
      </vt:variant>
      <vt:variant>
        <vt:i4>1410</vt:i4>
      </vt:variant>
      <vt:variant>
        <vt:i4>0</vt:i4>
      </vt:variant>
      <vt:variant>
        <vt:i4>5</vt:i4>
      </vt:variant>
      <vt:variant>
        <vt:lpwstr>https://gestornormativo.creg.gov.co/gestor/entorno/docs/circular_creg_0105_2015.htm</vt:lpwstr>
      </vt:variant>
      <vt:variant>
        <vt:lpwstr>INICIO</vt:lpwstr>
      </vt:variant>
      <vt:variant>
        <vt:i4>3670123</vt:i4>
      </vt:variant>
      <vt:variant>
        <vt:i4>1401</vt:i4>
      </vt:variant>
      <vt:variant>
        <vt:i4>0</vt:i4>
      </vt:variant>
      <vt:variant>
        <vt:i4>5</vt:i4>
      </vt:variant>
      <vt:variant>
        <vt:lpwstr>https://www.cenit-transporte.com/glp-3/</vt:lpwstr>
      </vt:variant>
      <vt:variant>
        <vt:lpwstr/>
      </vt:variant>
      <vt:variant>
        <vt:i4>4653150</vt:i4>
      </vt:variant>
      <vt:variant>
        <vt:i4>1395</vt:i4>
      </vt:variant>
      <vt:variant>
        <vt:i4>0</vt:i4>
      </vt:variant>
      <vt:variant>
        <vt:i4>5</vt:i4>
      </vt:variant>
      <vt:variant>
        <vt:lpwstr>https://www.cenit-transporte.com/poliductos/</vt:lpwstr>
      </vt:variant>
      <vt:variant>
        <vt:lpwstr/>
      </vt:variant>
      <vt:variant>
        <vt:i4>1376310</vt:i4>
      </vt:variant>
      <vt:variant>
        <vt:i4>1346</vt:i4>
      </vt:variant>
      <vt:variant>
        <vt:i4>0</vt:i4>
      </vt:variant>
      <vt:variant>
        <vt:i4>5</vt:i4>
      </vt:variant>
      <vt:variant>
        <vt:lpwstr/>
      </vt:variant>
      <vt:variant>
        <vt:lpwstr>_Toc235023328</vt:lpwstr>
      </vt:variant>
      <vt:variant>
        <vt:i4>1376310</vt:i4>
      </vt:variant>
      <vt:variant>
        <vt:i4>1340</vt:i4>
      </vt:variant>
      <vt:variant>
        <vt:i4>0</vt:i4>
      </vt:variant>
      <vt:variant>
        <vt:i4>5</vt:i4>
      </vt:variant>
      <vt:variant>
        <vt:lpwstr/>
      </vt:variant>
      <vt:variant>
        <vt:lpwstr>_Toc235023327</vt:lpwstr>
      </vt:variant>
      <vt:variant>
        <vt:i4>1376310</vt:i4>
      </vt:variant>
      <vt:variant>
        <vt:i4>1334</vt:i4>
      </vt:variant>
      <vt:variant>
        <vt:i4>0</vt:i4>
      </vt:variant>
      <vt:variant>
        <vt:i4>5</vt:i4>
      </vt:variant>
      <vt:variant>
        <vt:lpwstr/>
      </vt:variant>
      <vt:variant>
        <vt:lpwstr>_Toc235023326</vt:lpwstr>
      </vt:variant>
      <vt:variant>
        <vt:i4>1376310</vt:i4>
      </vt:variant>
      <vt:variant>
        <vt:i4>1328</vt:i4>
      </vt:variant>
      <vt:variant>
        <vt:i4>0</vt:i4>
      </vt:variant>
      <vt:variant>
        <vt:i4>5</vt:i4>
      </vt:variant>
      <vt:variant>
        <vt:lpwstr/>
      </vt:variant>
      <vt:variant>
        <vt:lpwstr>_Toc235023325</vt:lpwstr>
      </vt:variant>
      <vt:variant>
        <vt:i4>1376310</vt:i4>
      </vt:variant>
      <vt:variant>
        <vt:i4>1322</vt:i4>
      </vt:variant>
      <vt:variant>
        <vt:i4>0</vt:i4>
      </vt:variant>
      <vt:variant>
        <vt:i4>5</vt:i4>
      </vt:variant>
      <vt:variant>
        <vt:lpwstr/>
      </vt:variant>
      <vt:variant>
        <vt:lpwstr>_Toc235023324</vt:lpwstr>
      </vt:variant>
      <vt:variant>
        <vt:i4>1376310</vt:i4>
      </vt:variant>
      <vt:variant>
        <vt:i4>1316</vt:i4>
      </vt:variant>
      <vt:variant>
        <vt:i4>0</vt:i4>
      </vt:variant>
      <vt:variant>
        <vt:i4>5</vt:i4>
      </vt:variant>
      <vt:variant>
        <vt:lpwstr/>
      </vt:variant>
      <vt:variant>
        <vt:lpwstr>_Toc235023323</vt:lpwstr>
      </vt:variant>
      <vt:variant>
        <vt:i4>1376310</vt:i4>
      </vt:variant>
      <vt:variant>
        <vt:i4>1310</vt:i4>
      </vt:variant>
      <vt:variant>
        <vt:i4>0</vt:i4>
      </vt:variant>
      <vt:variant>
        <vt:i4>5</vt:i4>
      </vt:variant>
      <vt:variant>
        <vt:lpwstr/>
      </vt:variant>
      <vt:variant>
        <vt:lpwstr>_Toc235023322</vt:lpwstr>
      </vt:variant>
      <vt:variant>
        <vt:i4>1376310</vt:i4>
      </vt:variant>
      <vt:variant>
        <vt:i4>1304</vt:i4>
      </vt:variant>
      <vt:variant>
        <vt:i4>0</vt:i4>
      </vt:variant>
      <vt:variant>
        <vt:i4>5</vt:i4>
      </vt:variant>
      <vt:variant>
        <vt:lpwstr/>
      </vt:variant>
      <vt:variant>
        <vt:lpwstr>_Toc235023321</vt:lpwstr>
      </vt:variant>
      <vt:variant>
        <vt:i4>1376310</vt:i4>
      </vt:variant>
      <vt:variant>
        <vt:i4>1298</vt:i4>
      </vt:variant>
      <vt:variant>
        <vt:i4>0</vt:i4>
      </vt:variant>
      <vt:variant>
        <vt:i4>5</vt:i4>
      </vt:variant>
      <vt:variant>
        <vt:lpwstr/>
      </vt:variant>
      <vt:variant>
        <vt:lpwstr>_Toc235023320</vt:lpwstr>
      </vt:variant>
      <vt:variant>
        <vt:i4>1441847</vt:i4>
      </vt:variant>
      <vt:variant>
        <vt:i4>1289</vt:i4>
      </vt:variant>
      <vt:variant>
        <vt:i4>0</vt:i4>
      </vt:variant>
      <vt:variant>
        <vt:i4>5</vt:i4>
      </vt:variant>
      <vt:variant>
        <vt:lpwstr/>
      </vt:variant>
      <vt:variant>
        <vt:lpwstr>_Toc235024268</vt:lpwstr>
      </vt:variant>
      <vt:variant>
        <vt:i4>1441847</vt:i4>
      </vt:variant>
      <vt:variant>
        <vt:i4>1283</vt:i4>
      </vt:variant>
      <vt:variant>
        <vt:i4>0</vt:i4>
      </vt:variant>
      <vt:variant>
        <vt:i4>5</vt:i4>
      </vt:variant>
      <vt:variant>
        <vt:lpwstr/>
      </vt:variant>
      <vt:variant>
        <vt:lpwstr>_Toc235024267</vt:lpwstr>
      </vt:variant>
      <vt:variant>
        <vt:i4>1441847</vt:i4>
      </vt:variant>
      <vt:variant>
        <vt:i4>1277</vt:i4>
      </vt:variant>
      <vt:variant>
        <vt:i4>0</vt:i4>
      </vt:variant>
      <vt:variant>
        <vt:i4>5</vt:i4>
      </vt:variant>
      <vt:variant>
        <vt:lpwstr/>
      </vt:variant>
      <vt:variant>
        <vt:lpwstr>_Toc235024266</vt:lpwstr>
      </vt:variant>
      <vt:variant>
        <vt:i4>1441847</vt:i4>
      </vt:variant>
      <vt:variant>
        <vt:i4>1271</vt:i4>
      </vt:variant>
      <vt:variant>
        <vt:i4>0</vt:i4>
      </vt:variant>
      <vt:variant>
        <vt:i4>5</vt:i4>
      </vt:variant>
      <vt:variant>
        <vt:lpwstr/>
      </vt:variant>
      <vt:variant>
        <vt:lpwstr>_Toc235024265</vt:lpwstr>
      </vt:variant>
      <vt:variant>
        <vt:i4>1441847</vt:i4>
      </vt:variant>
      <vt:variant>
        <vt:i4>1265</vt:i4>
      </vt:variant>
      <vt:variant>
        <vt:i4>0</vt:i4>
      </vt:variant>
      <vt:variant>
        <vt:i4>5</vt:i4>
      </vt:variant>
      <vt:variant>
        <vt:lpwstr/>
      </vt:variant>
      <vt:variant>
        <vt:lpwstr>_Toc235024264</vt:lpwstr>
      </vt:variant>
      <vt:variant>
        <vt:i4>1441847</vt:i4>
      </vt:variant>
      <vt:variant>
        <vt:i4>1259</vt:i4>
      </vt:variant>
      <vt:variant>
        <vt:i4>0</vt:i4>
      </vt:variant>
      <vt:variant>
        <vt:i4>5</vt:i4>
      </vt:variant>
      <vt:variant>
        <vt:lpwstr/>
      </vt:variant>
      <vt:variant>
        <vt:lpwstr>_Toc235024263</vt:lpwstr>
      </vt:variant>
      <vt:variant>
        <vt:i4>1441847</vt:i4>
      </vt:variant>
      <vt:variant>
        <vt:i4>1253</vt:i4>
      </vt:variant>
      <vt:variant>
        <vt:i4>0</vt:i4>
      </vt:variant>
      <vt:variant>
        <vt:i4>5</vt:i4>
      </vt:variant>
      <vt:variant>
        <vt:lpwstr/>
      </vt:variant>
      <vt:variant>
        <vt:lpwstr>_Toc235024262</vt:lpwstr>
      </vt:variant>
      <vt:variant>
        <vt:i4>1441847</vt:i4>
      </vt:variant>
      <vt:variant>
        <vt:i4>1247</vt:i4>
      </vt:variant>
      <vt:variant>
        <vt:i4>0</vt:i4>
      </vt:variant>
      <vt:variant>
        <vt:i4>5</vt:i4>
      </vt:variant>
      <vt:variant>
        <vt:lpwstr/>
      </vt:variant>
      <vt:variant>
        <vt:lpwstr>_Toc235024261</vt:lpwstr>
      </vt:variant>
      <vt:variant>
        <vt:i4>1441847</vt:i4>
      </vt:variant>
      <vt:variant>
        <vt:i4>1241</vt:i4>
      </vt:variant>
      <vt:variant>
        <vt:i4>0</vt:i4>
      </vt:variant>
      <vt:variant>
        <vt:i4>5</vt:i4>
      </vt:variant>
      <vt:variant>
        <vt:lpwstr/>
      </vt:variant>
      <vt:variant>
        <vt:lpwstr>_Toc235024260</vt:lpwstr>
      </vt:variant>
      <vt:variant>
        <vt:i4>1376311</vt:i4>
      </vt:variant>
      <vt:variant>
        <vt:i4>1235</vt:i4>
      </vt:variant>
      <vt:variant>
        <vt:i4>0</vt:i4>
      </vt:variant>
      <vt:variant>
        <vt:i4>5</vt:i4>
      </vt:variant>
      <vt:variant>
        <vt:lpwstr/>
      </vt:variant>
      <vt:variant>
        <vt:lpwstr>_Toc235024259</vt:lpwstr>
      </vt:variant>
      <vt:variant>
        <vt:i4>1376311</vt:i4>
      </vt:variant>
      <vt:variant>
        <vt:i4>1229</vt:i4>
      </vt:variant>
      <vt:variant>
        <vt:i4>0</vt:i4>
      </vt:variant>
      <vt:variant>
        <vt:i4>5</vt:i4>
      </vt:variant>
      <vt:variant>
        <vt:lpwstr/>
      </vt:variant>
      <vt:variant>
        <vt:lpwstr>_Toc235024258</vt:lpwstr>
      </vt:variant>
      <vt:variant>
        <vt:i4>1376311</vt:i4>
      </vt:variant>
      <vt:variant>
        <vt:i4>1223</vt:i4>
      </vt:variant>
      <vt:variant>
        <vt:i4>0</vt:i4>
      </vt:variant>
      <vt:variant>
        <vt:i4>5</vt:i4>
      </vt:variant>
      <vt:variant>
        <vt:lpwstr/>
      </vt:variant>
      <vt:variant>
        <vt:lpwstr>_Toc235024257</vt:lpwstr>
      </vt:variant>
      <vt:variant>
        <vt:i4>1376311</vt:i4>
      </vt:variant>
      <vt:variant>
        <vt:i4>1217</vt:i4>
      </vt:variant>
      <vt:variant>
        <vt:i4>0</vt:i4>
      </vt:variant>
      <vt:variant>
        <vt:i4>5</vt:i4>
      </vt:variant>
      <vt:variant>
        <vt:lpwstr/>
      </vt:variant>
      <vt:variant>
        <vt:lpwstr>_Toc235024256</vt:lpwstr>
      </vt:variant>
      <vt:variant>
        <vt:i4>1376311</vt:i4>
      </vt:variant>
      <vt:variant>
        <vt:i4>1211</vt:i4>
      </vt:variant>
      <vt:variant>
        <vt:i4>0</vt:i4>
      </vt:variant>
      <vt:variant>
        <vt:i4>5</vt:i4>
      </vt:variant>
      <vt:variant>
        <vt:lpwstr/>
      </vt:variant>
      <vt:variant>
        <vt:lpwstr>_Toc235024255</vt:lpwstr>
      </vt:variant>
      <vt:variant>
        <vt:i4>1376311</vt:i4>
      </vt:variant>
      <vt:variant>
        <vt:i4>1205</vt:i4>
      </vt:variant>
      <vt:variant>
        <vt:i4>0</vt:i4>
      </vt:variant>
      <vt:variant>
        <vt:i4>5</vt:i4>
      </vt:variant>
      <vt:variant>
        <vt:lpwstr/>
      </vt:variant>
      <vt:variant>
        <vt:lpwstr>_Toc235024254</vt:lpwstr>
      </vt:variant>
      <vt:variant>
        <vt:i4>1376311</vt:i4>
      </vt:variant>
      <vt:variant>
        <vt:i4>1199</vt:i4>
      </vt:variant>
      <vt:variant>
        <vt:i4>0</vt:i4>
      </vt:variant>
      <vt:variant>
        <vt:i4>5</vt:i4>
      </vt:variant>
      <vt:variant>
        <vt:lpwstr/>
      </vt:variant>
      <vt:variant>
        <vt:lpwstr>_Toc235024253</vt:lpwstr>
      </vt:variant>
      <vt:variant>
        <vt:i4>1376311</vt:i4>
      </vt:variant>
      <vt:variant>
        <vt:i4>1193</vt:i4>
      </vt:variant>
      <vt:variant>
        <vt:i4>0</vt:i4>
      </vt:variant>
      <vt:variant>
        <vt:i4>5</vt:i4>
      </vt:variant>
      <vt:variant>
        <vt:lpwstr/>
      </vt:variant>
      <vt:variant>
        <vt:lpwstr>_Toc235024252</vt:lpwstr>
      </vt:variant>
      <vt:variant>
        <vt:i4>1376311</vt:i4>
      </vt:variant>
      <vt:variant>
        <vt:i4>1187</vt:i4>
      </vt:variant>
      <vt:variant>
        <vt:i4>0</vt:i4>
      </vt:variant>
      <vt:variant>
        <vt:i4>5</vt:i4>
      </vt:variant>
      <vt:variant>
        <vt:lpwstr/>
      </vt:variant>
      <vt:variant>
        <vt:lpwstr>_Toc235024251</vt:lpwstr>
      </vt:variant>
      <vt:variant>
        <vt:i4>1376311</vt:i4>
      </vt:variant>
      <vt:variant>
        <vt:i4>1181</vt:i4>
      </vt:variant>
      <vt:variant>
        <vt:i4>0</vt:i4>
      </vt:variant>
      <vt:variant>
        <vt:i4>5</vt:i4>
      </vt:variant>
      <vt:variant>
        <vt:lpwstr/>
      </vt:variant>
      <vt:variant>
        <vt:lpwstr>_Toc235024250</vt:lpwstr>
      </vt:variant>
      <vt:variant>
        <vt:i4>1310775</vt:i4>
      </vt:variant>
      <vt:variant>
        <vt:i4>1175</vt:i4>
      </vt:variant>
      <vt:variant>
        <vt:i4>0</vt:i4>
      </vt:variant>
      <vt:variant>
        <vt:i4>5</vt:i4>
      </vt:variant>
      <vt:variant>
        <vt:lpwstr/>
      </vt:variant>
      <vt:variant>
        <vt:lpwstr>_Toc235024249</vt:lpwstr>
      </vt:variant>
      <vt:variant>
        <vt:i4>1310775</vt:i4>
      </vt:variant>
      <vt:variant>
        <vt:i4>1169</vt:i4>
      </vt:variant>
      <vt:variant>
        <vt:i4>0</vt:i4>
      </vt:variant>
      <vt:variant>
        <vt:i4>5</vt:i4>
      </vt:variant>
      <vt:variant>
        <vt:lpwstr/>
      </vt:variant>
      <vt:variant>
        <vt:lpwstr>_Toc235024248</vt:lpwstr>
      </vt:variant>
      <vt:variant>
        <vt:i4>1310775</vt:i4>
      </vt:variant>
      <vt:variant>
        <vt:i4>1163</vt:i4>
      </vt:variant>
      <vt:variant>
        <vt:i4>0</vt:i4>
      </vt:variant>
      <vt:variant>
        <vt:i4>5</vt:i4>
      </vt:variant>
      <vt:variant>
        <vt:lpwstr/>
      </vt:variant>
      <vt:variant>
        <vt:lpwstr>_Toc235024247</vt:lpwstr>
      </vt:variant>
      <vt:variant>
        <vt:i4>1310775</vt:i4>
      </vt:variant>
      <vt:variant>
        <vt:i4>1157</vt:i4>
      </vt:variant>
      <vt:variant>
        <vt:i4>0</vt:i4>
      </vt:variant>
      <vt:variant>
        <vt:i4>5</vt:i4>
      </vt:variant>
      <vt:variant>
        <vt:lpwstr/>
      </vt:variant>
      <vt:variant>
        <vt:lpwstr>_Toc235024246</vt:lpwstr>
      </vt:variant>
      <vt:variant>
        <vt:i4>1310775</vt:i4>
      </vt:variant>
      <vt:variant>
        <vt:i4>1151</vt:i4>
      </vt:variant>
      <vt:variant>
        <vt:i4>0</vt:i4>
      </vt:variant>
      <vt:variant>
        <vt:i4>5</vt:i4>
      </vt:variant>
      <vt:variant>
        <vt:lpwstr/>
      </vt:variant>
      <vt:variant>
        <vt:lpwstr>_Toc235024245</vt:lpwstr>
      </vt:variant>
      <vt:variant>
        <vt:i4>1310775</vt:i4>
      </vt:variant>
      <vt:variant>
        <vt:i4>1145</vt:i4>
      </vt:variant>
      <vt:variant>
        <vt:i4>0</vt:i4>
      </vt:variant>
      <vt:variant>
        <vt:i4>5</vt:i4>
      </vt:variant>
      <vt:variant>
        <vt:lpwstr/>
      </vt:variant>
      <vt:variant>
        <vt:lpwstr>_Toc235024244</vt:lpwstr>
      </vt:variant>
      <vt:variant>
        <vt:i4>1310775</vt:i4>
      </vt:variant>
      <vt:variant>
        <vt:i4>1139</vt:i4>
      </vt:variant>
      <vt:variant>
        <vt:i4>0</vt:i4>
      </vt:variant>
      <vt:variant>
        <vt:i4>5</vt:i4>
      </vt:variant>
      <vt:variant>
        <vt:lpwstr/>
      </vt:variant>
      <vt:variant>
        <vt:lpwstr>_Toc235024243</vt:lpwstr>
      </vt:variant>
      <vt:variant>
        <vt:i4>1310775</vt:i4>
      </vt:variant>
      <vt:variant>
        <vt:i4>1133</vt:i4>
      </vt:variant>
      <vt:variant>
        <vt:i4>0</vt:i4>
      </vt:variant>
      <vt:variant>
        <vt:i4>5</vt:i4>
      </vt:variant>
      <vt:variant>
        <vt:lpwstr/>
      </vt:variant>
      <vt:variant>
        <vt:lpwstr>_Toc235024242</vt:lpwstr>
      </vt:variant>
      <vt:variant>
        <vt:i4>1310775</vt:i4>
      </vt:variant>
      <vt:variant>
        <vt:i4>1127</vt:i4>
      </vt:variant>
      <vt:variant>
        <vt:i4>0</vt:i4>
      </vt:variant>
      <vt:variant>
        <vt:i4>5</vt:i4>
      </vt:variant>
      <vt:variant>
        <vt:lpwstr/>
      </vt:variant>
      <vt:variant>
        <vt:lpwstr>_Toc235024241</vt:lpwstr>
      </vt:variant>
      <vt:variant>
        <vt:i4>1310775</vt:i4>
      </vt:variant>
      <vt:variant>
        <vt:i4>1121</vt:i4>
      </vt:variant>
      <vt:variant>
        <vt:i4>0</vt:i4>
      </vt:variant>
      <vt:variant>
        <vt:i4>5</vt:i4>
      </vt:variant>
      <vt:variant>
        <vt:lpwstr/>
      </vt:variant>
      <vt:variant>
        <vt:lpwstr>_Toc235024240</vt:lpwstr>
      </vt:variant>
      <vt:variant>
        <vt:i4>1245239</vt:i4>
      </vt:variant>
      <vt:variant>
        <vt:i4>1115</vt:i4>
      </vt:variant>
      <vt:variant>
        <vt:i4>0</vt:i4>
      </vt:variant>
      <vt:variant>
        <vt:i4>5</vt:i4>
      </vt:variant>
      <vt:variant>
        <vt:lpwstr/>
      </vt:variant>
      <vt:variant>
        <vt:lpwstr>_Toc235024239</vt:lpwstr>
      </vt:variant>
      <vt:variant>
        <vt:i4>1245239</vt:i4>
      </vt:variant>
      <vt:variant>
        <vt:i4>1109</vt:i4>
      </vt:variant>
      <vt:variant>
        <vt:i4>0</vt:i4>
      </vt:variant>
      <vt:variant>
        <vt:i4>5</vt:i4>
      </vt:variant>
      <vt:variant>
        <vt:lpwstr/>
      </vt:variant>
      <vt:variant>
        <vt:lpwstr>_Toc235024238</vt:lpwstr>
      </vt:variant>
      <vt:variant>
        <vt:i4>1245239</vt:i4>
      </vt:variant>
      <vt:variant>
        <vt:i4>1103</vt:i4>
      </vt:variant>
      <vt:variant>
        <vt:i4>0</vt:i4>
      </vt:variant>
      <vt:variant>
        <vt:i4>5</vt:i4>
      </vt:variant>
      <vt:variant>
        <vt:lpwstr/>
      </vt:variant>
      <vt:variant>
        <vt:lpwstr>_Toc235024237</vt:lpwstr>
      </vt:variant>
      <vt:variant>
        <vt:i4>1245239</vt:i4>
      </vt:variant>
      <vt:variant>
        <vt:i4>1097</vt:i4>
      </vt:variant>
      <vt:variant>
        <vt:i4>0</vt:i4>
      </vt:variant>
      <vt:variant>
        <vt:i4>5</vt:i4>
      </vt:variant>
      <vt:variant>
        <vt:lpwstr/>
      </vt:variant>
      <vt:variant>
        <vt:lpwstr>_Toc235024236</vt:lpwstr>
      </vt:variant>
      <vt:variant>
        <vt:i4>1245239</vt:i4>
      </vt:variant>
      <vt:variant>
        <vt:i4>1091</vt:i4>
      </vt:variant>
      <vt:variant>
        <vt:i4>0</vt:i4>
      </vt:variant>
      <vt:variant>
        <vt:i4>5</vt:i4>
      </vt:variant>
      <vt:variant>
        <vt:lpwstr/>
      </vt:variant>
      <vt:variant>
        <vt:lpwstr>_Toc235024235</vt:lpwstr>
      </vt:variant>
      <vt:variant>
        <vt:i4>1245239</vt:i4>
      </vt:variant>
      <vt:variant>
        <vt:i4>1085</vt:i4>
      </vt:variant>
      <vt:variant>
        <vt:i4>0</vt:i4>
      </vt:variant>
      <vt:variant>
        <vt:i4>5</vt:i4>
      </vt:variant>
      <vt:variant>
        <vt:lpwstr/>
      </vt:variant>
      <vt:variant>
        <vt:lpwstr>_Toc235024234</vt:lpwstr>
      </vt:variant>
      <vt:variant>
        <vt:i4>1245239</vt:i4>
      </vt:variant>
      <vt:variant>
        <vt:i4>1079</vt:i4>
      </vt:variant>
      <vt:variant>
        <vt:i4>0</vt:i4>
      </vt:variant>
      <vt:variant>
        <vt:i4>5</vt:i4>
      </vt:variant>
      <vt:variant>
        <vt:lpwstr/>
      </vt:variant>
      <vt:variant>
        <vt:lpwstr>_Toc235024233</vt:lpwstr>
      </vt:variant>
      <vt:variant>
        <vt:i4>1245239</vt:i4>
      </vt:variant>
      <vt:variant>
        <vt:i4>1073</vt:i4>
      </vt:variant>
      <vt:variant>
        <vt:i4>0</vt:i4>
      </vt:variant>
      <vt:variant>
        <vt:i4>5</vt:i4>
      </vt:variant>
      <vt:variant>
        <vt:lpwstr/>
      </vt:variant>
      <vt:variant>
        <vt:lpwstr>_Toc235024232</vt:lpwstr>
      </vt:variant>
      <vt:variant>
        <vt:i4>1245239</vt:i4>
      </vt:variant>
      <vt:variant>
        <vt:i4>1067</vt:i4>
      </vt:variant>
      <vt:variant>
        <vt:i4>0</vt:i4>
      </vt:variant>
      <vt:variant>
        <vt:i4>5</vt:i4>
      </vt:variant>
      <vt:variant>
        <vt:lpwstr/>
      </vt:variant>
      <vt:variant>
        <vt:lpwstr>_Toc235024231</vt:lpwstr>
      </vt:variant>
      <vt:variant>
        <vt:i4>1245239</vt:i4>
      </vt:variant>
      <vt:variant>
        <vt:i4>1061</vt:i4>
      </vt:variant>
      <vt:variant>
        <vt:i4>0</vt:i4>
      </vt:variant>
      <vt:variant>
        <vt:i4>5</vt:i4>
      </vt:variant>
      <vt:variant>
        <vt:lpwstr/>
      </vt:variant>
      <vt:variant>
        <vt:lpwstr>_Toc235024230</vt:lpwstr>
      </vt:variant>
      <vt:variant>
        <vt:i4>1179703</vt:i4>
      </vt:variant>
      <vt:variant>
        <vt:i4>1055</vt:i4>
      </vt:variant>
      <vt:variant>
        <vt:i4>0</vt:i4>
      </vt:variant>
      <vt:variant>
        <vt:i4>5</vt:i4>
      </vt:variant>
      <vt:variant>
        <vt:lpwstr/>
      </vt:variant>
      <vt:variant>
        <vt:lpwstr>_Toc235024229</vt:lpwstr>
      </vt:variant>
      <vt:variant>
        <vt:i4>1179703</vt:i4>
      </vt:variant>
      <vt:variant>
        <vt:i4>1047</vt:i4>
      </vt:variant>
      <vt:variant>
        <vt:i4>0</vt:i4>
      </vt:variant>
      <vt:variant>
        <vt:i4>5</vt:i4>
      </vt:variant>
      <vt:variant>
        <vt:lpwstr/>
      </vt:variant>
      <vt:variant>
        <vt:lpwstr>_Toc235024228</vt:lpwstr>
      </vt:variant>
      <vt:variant>
        <vt:i4>1179703</vt:i4>
      </vt:variant>
      <vt:variant>
        <vt:i4>1041</vt:i4>
      </vt:variant>
      <vt:variant>
        <vt:i4>0</vt:i4>
      </vt:variant>
      <vt:variant>
        <vt:i4>5</vt:i4>
      </vt:variant>
      <vt:variant>
        <vt:lpwstr/>
      </vt:variant>
      <vt:variant>
        <vt:lpwstr>_Toc235024227</vt:lpwstr>
      </vt:variant>
      <vt:variant>
        <vt:i4>1179703</vt:i4>
      </vt:variant>
      <vt:variant>
        <vt:i4>1035</vt:i4>
      </vt:variant>
      <vt:variant>
        <vt:i4>0</vt:i4>
      </vt:variant>
      <vt:variant>
        <vt:i4>5</vt:i4>
      </vt:variant>
      <vt:variant>
        <vt:lpwstr/>
      </vt:variant>
      <vt:variant>
        <vt:lpwstr>_Toc235024226</vt:lpwstr>
      </vt:variant>
      <vt:variant>
        <vt:i4>1179703</vt:i4>
      </vt:variant>
      <vt:variant>
        <vt:i4>1029</vt:i4>
      </vt:variant>
      <vt:variant>
        <vt:i4>0</vt:i4>
      </vt:variant>
      <vt:variant>
        <vt:i4>5</vt:i4>
      </vt:variant>
      <vt:variant>
        <vt:lpwstr/>
      </vt:variant>
      <vt:variant>
        <vt:lpwstr>_Toc235024225</vt:lpwstr>
      </vt:variant>
      <vt:variant>
        <vt:i4>1179703</vt:i4>
      </vt:variant>
      <vt:variant>
        <vt:i4>1023</vt:i4>
      </vt:variant>
      <vt:variant>
        <vt:i4>0</vt:i4>
      </vt:variant>
      <vt:variant>
        <vt:i4>5</vt:i4>
      </vt:variant>
      <vt:variant>
        <vt:lpwstr/>
      </vt:variant>
      <vt:variant>
        <vt:lpwstr>_Toc235024224</vt:lpwstr>
      </vt:variant>
      <vt:variant>
        <vt:i4>1179703</vt:i4>
      </vt:variant>
      <vt:variant>
        <vt:i4>1017</vt:i4>
      </vt:variant>
      <vt:variant>
        <vt:i4>0</vt:i4>
      </vt:variant>
      <vt:variant>
        <vt:i4>5</vt:i4>
      </vt:variant>
      <vt:variant>
        <vt:lpwstr/>
      </vt:variant>
      <vt:variant>
        <vt:lpwstr>_Toc235024223</vt:lpwstr>
      </vt:variant>
      <vt:variant>
        <vt:i4>1179703</vt:i4>
      </vt:variant>
      <vt:variant>
        <vt:i4>1011</vt:i4>
      </vt:variant>
      <vt:variant>
        <vt:i4>0</vt:i4>
      </vt:variant>
      <vt:variant>
        <vt:i4>5</vt:i4>
      </vt:variant>
      <vt:variant>
        <vt:lpwstr/>
      </vt:variant>
      <vt:variant>
        <vt:lpwstr>_Toc235024222</vt:lpwstr>
      </vt:variant>
      <vt:variant>
        <vt:i4>1179703</vt:i4>
      </vt:variant>
      <vt:variant>
        <vt:i4>1005</vt:i4>
      </vt:variant>
      <vt:variant>
        <vt:i4>0</vt:i4>
      </vt:variant>
      <vt:variant>
        <vt:i4>5</vt:i4>
      </vt:variant>
      <vt:variant>
        <vt:lpwstr/>
      </vt:variant>
      <vt:variant>
        <vt:lpwstr>_Toc235024221</vt:lpwstr>
      </vt:variant>
      <vt:variant>
        <vt:i4>1179703</vt:i4>
      </vt:variant>
      <vt:variant>
        <vt:i4>999</vt:i4>
      </vt:variant>
      <vt:variant>
        <vt:i4>0</vt:i4>
      </vt:variant>
      <vt:variant>
        <vt:i4>5</vt:i4>
      </vt:variant>
      <vt:variant>
        <vt:lpwstr/>
      </vt:variant>
      <vt:variant>
        <vt:lpwstr>_Toc235024220</vt:lpwstr>
      </vt:variant>
      <vt:variant>
        <vt:i4>1114167</vt:i4>
      </vt:variant>
      <vt:variant>
        <vt:i4>993</vt:i4>
      </vt:variant>
      <vt:variant>
        <vt:i4>0</vt:i4>
      </vt:variant>
      <vt:variant>
        <vt:i4>5</vt:i4>
      </vt:variant>
      <vt:variant>
        <vt:lpwstr/>
      </vt:variant>
      <vt:variant>
        <vt:lpwstr>_Toc235024219</vt:lpwstr>
      </vt:variant>
      <vt:variant>
        <vt:i4>1114167</vt:i4>
      </vt:variant>
      <vt:variant>
        <vt:i4>987</vt:i4>
      </vt:variant>
      <vt:variant>
        <vt:i4>0</vt:i4>
      </vt:variant>
      <vt:variant>
        <vt:i4>5</vt:i4>
      </vt:variant>
      <vt:variant>
        <vt:lpwstr/>
      </vt:variant>
      <vt:variant>
        <vt:lpwstr>_Toc235024218</vt:lpwstr>
      </vt:variant>
      <vt:variant>
        <vt:i4>1114167</vt:i4>
      </vt:variant>
      <vt:variant>
        <vt:i4>981</vt:i4>
      </vt:variant>
      <vt:variant>
        <vt:i4>0</vt:i4>
      </vt:variant>
      <vt:variant>
        <vt:i4>5</vt:i4>
      </vt:variant>
      <vt:variant>
        <vt:lpwstr/>
      </vt:variant>
      <vt:variant>
        <vt:lpwstr>_Toc235024217</vt:lpwstr>
      </vt:variant>
      <vt:variant>
        <vt:i4>1114167</vt:i4>
      </vt:variant>
      <vt:variant>
        <vt:i4>975</vt:i4>
      </vt:variant>
      <vt:variant>
        <vt:i4>0</vt:i4>
      </vt:variant>
      <vt:variant>
        <vt:i4>5</vt:i4>
      </vt:variant>
      <vt:variant>
        <vt:lpwstr/>
      </vt:variant>
      <vt:variant>
        <vt:lpwstr>_Toc235024216</vt:lpwstr>
      </vt:variant>
      <vt:variant>
        <vt:i4>1114167</vt:i4>
      </vt:variant>
      <vt:variant>
        <vt:i4>969</vt:i4>
      </vt:variant>
      <vt:variant>
        <vt:i4>0</vt:i4>
      </vt:variant>
      <vt:variant>
        <vt:i4>5</vt:i4>
      </vt:variant>
      <vt:variant>
        <vt:lpwstr/>
      </vt:variant>
      <vt:variant>
        <vt:lpwstr>_Toc235024215</vt:lpwstr>
      </vt:variant>
      <vt:variant>
        <vt:i4>1114167</vt:i4>
      </vt:variant>
      <vt:variant>
        <vt:i4>963</vt:i4>
      </vt:variant>
      <vt:variant>
        <vt:i4>0</vt:i4>
      </vt:variant>
      <vt:variant>
        <vt:i4>5</vt:i4>
      </vt:variant>
      <vt:variant>
        <vt:lpwstr/>
      </vt:variant>
      <vt:variant>
        <vt:lpwstr>_Toc235024214</vt:lpwstr>
      </vt:variant>
      <vt:variant>
        <vt:i4>1114167</vt:i4>
      </vt:variant>
      <vt:variant>
        <vt:i4>957</vt:i4>
      </vt:variant>
      <vt:variant>
        <vt:i4>0</vt:i4>
      </vt:variant>
      <vt:variant>
        <vt:i4>5</vt:i4>
      </vt:variant>
      <vt:variant>
        <vt:lpwstr/>
      </vt:variant>
      <vt:variant>
        <vt:lpwstr>_Toc235024213</vt:lpwstr>
      </vt:variant>
      <vt:variant>
        <vt:i4>1114167</vt:i4>
      </vt:variant>
      <vt:variant>
        <vt:i4>951</vt:i4>
      </vt:variant>
      <vt:variant>
        <vt:i4>0</vt:i4>
      </vt:variant>
      <vt:variant>
        <vt:i4>5</vt:i4>
      </vt:variant>
      <vt:variant>
        <vt:lpwstr/>
      </vt:variant>
      <vt:variant>
        <vt:lpwstr>_Toc235024212</vt:lpwstr>
      </vt:variant>
      <vt:variant>
        <vt:i4>1114167</vt:i4>
      </vt:variant>
      <vt:variant>
        <vt:i4>945</vt:i4>
      </vt:variant>
      <vt:variant>
        <vt:i4>0</vt:i4>
      </vt:variant>
      <vt:variant>
        <vt:i4>5</vt:i4>
      </vt:variant>
      <vt:variant>
        <vt:lpwstr/>
      </vt:variant>
      <vt:variant>
        <vt:lpwstr>_Toc235024211</vt:lpwstr>
      </vt:variant>
      <vt:variant>
        <vt:i4>1114167</vt:i4>
      </vt:variant>
      <vt:variant>
        <vt:i4>939</vt:i4>
      </vt:variant>
      <vt:variant>
        <vt:i4>0</vt:i4>
      </vt:variant>
      <vt:variant>
        <vt:i4>5</vt:i4>
      </vt:variant>
      <vt:variant>
        <vt:lpwstr/>
      </vt:variant>
      <vt:variant>
        <vt:lpwstr>_Toc235024210</vt:lpwstr>
      </vt:variant>
      <vt:variant>
        <vt:i4>1048631</vt:i4>
      </vt:variant>
      <vt:variant>
        <vt:i4>933</vt:i4>
      </vt:variant>
      <vt:variant>
        <vt:i4>0</vt:i4>
      </vt:variant>
      <vt:variant>
        <vt:i4>5</vt:i4>
      </vt:variant>
      <vt:variant>
        <vt:lpwstr/>
      </vt:variant>
      <vt:variant>
        <vt:lpwstr>_Toc235024209</vt:lpwstr>
      </vt:variant>
      <vt:variant>
        <vt:i4>1048631</vt:i4>
      </vt:variant>
      <vt:variant>
        <vt:i4>927</vt:i4>
      </vt:variant>
      <vt:variant>
        <vt:i4>0</vt:i4>
      </vt:variant>
      <vt:variant>
        <vt:i4>5</vt:i4>
      </vt:variant>
      <vt:variant>
        <vt:lpwstr/>
      </vt:variant>
      <vt:variant>
        <vt:lpwstr>_Toc235024208</vt:lpwstr>
      </vt:variant>
      <vt:variant>
        <vt:i4>1048631</vt:i4>
      </vt:variant>
      <vt:variant>
        <vt:i4>921</vt:i4>
      </vt:variant>
      <vt:variant>
        <vt:i4>0</vt:i4>
      </vt:variant>
      <vt:variant>
        <vt:i4>5</vt:i4>
      </vt:variant>
      <vt:variant>
        <vt:lpwstr/>
      </vt:variant>
      <vt:variant>
        <vt:lpwstr>_Toc235024207</vt:lpwstr>
      </vt:variant>
      <vt:variant>
        <vt:i4>1048631</vt:i4>
      </vt:variant>
      <vt:variant>
        <vt:i4>915</vt:i4>
      </vt:variant>
      <vt:variant>
        <vt:i4>0</vt:i4>
      </vt:variant>
      <vt:variant>
        <vt:i4>5</vt:i4>
      </vt:variant>
      <vt:variant>
        <vt:lpwstr/>
      </vt:variant>
      <vt:variant>
        <vt:lpwstr>_Toc235024206</vt:lpwstr>
      </vt:variant>
      <vt:variant>
        <vt:i4>1048631</vt:i4>
      </vt:variant>
      <vt:variant>
        <vt:i4>909</vt:i4>
      </vt:variant>
      <vt:variant>
        <vt:i4>0</vt:i4>
      </vt:variant>
      <vt:variant>
        <vt:i4>5</vt:i4>
      </vt:variant>
      <vt:variant>
        <vt:lpwstr/>
      </vt:variant>
      <vt:variant>
        <vt:lpwstr>_Toc235024205</vt:lpwstr>
      </vt:variant>
      <vt:variant>
        <vt:i4>1048631</vt:i4>
      </vt:variant>
      <vt:variant>
        <vt:i4>903</vt:i4>
      </vt:variant>
      <vt:variant>
        <vt:i4>0</vt:i4>
      </vt:variant>
      <vt:variant>
        <vt:i4>5</vt:i4>
      </vt:variant>
      <vt:variant>
        <vt:lpwstr/>
      </vt:variant>
      <vt:variant>
        <vt:lpwstr>_Toc235024204</vt:lpwstr>
      </vt:variant>
      <vt:variant>
        <vt:i4>1048631</vt:i4>
      </vt:variant>
      <vt:variant>
        <vt:i4>897</vt:i4>
      </vt:variant>
      <vt:variant>
        <vt:i4>0</vt:i4>
      </vt:variant>
      <vt:variant>
        <vt:i4>5</vt:i4>
      </vt:variant>
      <vt:variant>
        <vt:lpwstr/>
      </vt:variant>
      <vt:variant>
        <vt:lpwstr>_Toc235024203</vt:lpwstr>
      </vt:variant>
      <vt:variant>
        <vt:i4>1048631</vt:i4>
      </vt:variant>
      <vt:variant>
        <vt:i4>891</vt:i4>
      </vt:variant>
      <vt:variant>
        <vt:i4>0</vt:i4>
      </vt:variant>
      <vt:variant>
        <vt:i4>5</vt:i4>
      </vt:variant>
      <vt:variant>
        <vt:lpwstr/>
      </vt:variant>
      <vt:variant>
        <vt:lpwstr>_Toc235024202</vt:lpwstr>
      </vt:variant>
      <vt:variant>
        <vt:i4>1048631</vt:i4>
      </vt:variant>
      <vt:variant>
        <vt:i4>885</vt:i4>
      </vt:variant>
      <vt:variant>
        <vt:i4>0</vt:i4>
      </vt:variant>
      <vt:variant>
        <vt:i4>5</vt:i4>
      </vt:variant>
      <vt:variant>
        <vt:lpwstr/>
      </vt:variant>
      <vt:variant>
        <vt:lpwstr>_Toc235024201</vt:lpwstr>
      </vt:variant>
      <vt:variant>
        <vt:i4>1048631</vt:i4>
      </vt:variant>
      <vt:variant>
        <vt:i4>879</vt:i4>
      </vt:variant>
      <vt:variant>
        <vt:i4>0</vt:i4>
      </vt:variant>
      <vt:variant>
        <vt:i4>5</vt:i4>
      </vt:variant>
      <vt:variant>
        <vt:lpwstr/>
      </vt:variant>
      <vt:variant>
        <vt:lpwstr>_Toc235024200</vt:lpwstr>
      </vt:variant>
      <vt:variant>
        <vt:i4>1638452</vt:i4>
      </vt:variant>
      <vt:variant>
        <vt:i4>873</vt:i4>
      </vt:variant>
      <vt:variant>
        <vt:i4>0</vt:i4>
      </vt:variant>
      <vt:variant>
        <vt:i4>5</vt:i4>
      </vt:variant>
      <vt:variant>
        <vt:lpwstr/>
      </vt:variant>
      <vt:variant>
        <vt:lpwstr>_Toc235024199</vt:lpwstr>
      </vt:variant>
      <vt:variant>
        <vt:i4>1638452</vt:i4>
      </vt:variant>
      <vt:variant>
        <vt:i4>867</vt:i4>
      </vt:variant>
      <vt:variant>
        <vt:i4>0</vt:i4>
      </vt:variant>
      <vt:variant>
        <vt:i4>5</vt:i4>
      </vt:variant>
      <vt:variant>
        <vt:lpwstr/>
      </vt:variant>
      <vt:variant>
        <vt:lpwstr>_Toc235024198</vt:lpwstr>
      </vt:variant>
      <vt:variant>
        <vt:i4>1638452</vt:i4>
      </vt:variant>
      <vt:variant>
        <vt:i4>861</vt:i4>
      </vt:variant>
      <vt:variant>
        <vt:i4>0</vt:i4>
      </vt:variant>
      <vt:variant>
        <vt:i4>5</vt:i4>
      </vt:variant>
      <vt:variant>
        <vt:lpwstr/>
      </vt:variant>
      <vt:variant>
        <vt:lpwstr>_Toc235024197</vt:lpwstr>
      </vt:variant>
      <vt:variant>
        <vt:i4>1638452</vt:i4>
      </vt:variant>
      <vt:variant>
        <vt:i4>855</vt:i4>
      </vt:variant>
      <vt:variant>
        <vt:i4>0</vt:i4>
      </vt:variant>
      <vt:variant>
        <vt:i4>5</vt:i4>
      </vt:variant>
      <vt:variant>
        <vt:lpwstr/>
      </vt:variant>
      <vt:variant>
        <vt:lpwstr>_Toc235024196</vt:lpwstr>
      </vt:variant>
      <vt:variant>
        <vt:i4>1638452</vt:i4>
      </vt:variant>
      <vt:variant>
        <vt:i4>849</vt:i4>
      </vt:variant>
      <vt:variant>
        <vt:i4>0</vt:i4>
      </vt:variant>
      <vt:variant>
        <vt:i4>5</vt:i4>
      </vt:variant>
      <vt:variant>
        <vt:lpwstr/>
      </vt:variant>
      <vt:variant>
        <vt:lpwstr>_Toc235024195</vt:lpwstr>
      </vt:variant>
      <vt:variant>
        <vt:i4>1638452</vt:i4>
      </vt:variant>
      <vt:variant>
        <vt:i4>843</vt:i4>
      </vt:variant>
      <vt:variant>
        <vt:i4>0</vt:i4>
      </vt:variant>
      <vt:variant>
        <vt:i4>5</vt:i4>
      </vt:variant>
      <vt:variant>
        <vt:lpwstr/>
      </vt:variant>
      <vt:variant>
        <vt:lpwstr>_Toc235024194</vt:lpwstr>
      </vt:variant>
      <vt:variant>
        <vt:i4>1638452</vt:i4>
      </vt:variant>
      <vt:variant>
        <vt:i4>837</vt:i4>
      </vt:variant>
      <vt:variant>
        <vt:i4>0</vt:i4>
      </vt:variant>
      <vt:variant>
        <vt:i4>5</vt:i4>
      </vt:variant>
      <vt:variant>
        <vt:lpwstr/>
      </vt:variant>
      <vt:variant>
        <vt:lpwstr>_Toc235024193</vt:lpwstr>
      </vt:variant>
      <vt:variant>
        <vt:i4>1638452</vt:i4>
      </vt:variant>
      <vt:variant>
        <vt:i4>831</vt:i4>
      </vt:variant>
      <vt:variant>
        <vt:i4>0</vt:i4>
      </vt:variant>
      <vt:variant>
        <vt:i4>5</vt:i4>
      </vt:variant>
      <vt:variant>
        <vt:lpwstr/>
      </vt:variant>
      <vt:variant>
        <vt:lpwstr>_Toc235024192</vt:lpwstr>
      </vt:variant>
      <vt:variant>
        <vt:i4>1638452</vt:i4>
      </vt:variant>
      <vt:variant>
        <vt:i4>825</vt:i4>
      </vt:variant>
      <vt:variant>
        <vt:i4>0</vt:i4>
      </vt:variant>
      <vt:variant>
        <vt:i4>5</vt:i4>
      </vt:variant>
      <vt:variant>
        <vt:lpwstr/>
      </vt:variant>
      <vt:variant>
        <vt:lpwstr>_Toc235024191</vt:lpwstr>
      </vt:variant>
      <vt:variant>
        <vt:i4>1638452</vt:i4>
      </vt:variant>
      <vt:variant>
        <vt:i4>819</vt:i4>
      </vt:variant>
      <vt:variant>
        <vt:i4>0</vt:i4>
      </vt:variant>
      <vt:variant>
        <vt:i4>5</vt:i4>
      </vt:variant>
      <vt:variant>
        <vt:lpwstr/>
      </vt:variant>
      <vt:variant>
        <vt:lpwstr>_Toc235024190</vt:lpwstr>
      </vt:variant>
      <vt:variant>
        <vt:i4>1572916</vt:i4>
      </vt:variant>
      <vt:variant>
        <vt:i4>813</vt:i4>
      </vt:variant>
      <vt:variant>
        <vt:i4>0</vt:i4>
      </vt:variant>
      <vt:variant>
        <vt:i4>5</vt:i4>
      </vt:variant>
      <vt:variant>
        <vt:lpwstr/>
      </vt:variant>
      <vt:variant>
        <vt:lpwstr>_Toc235024189</vt:lpwstr>
      </vt:variant>
      <vt:variant>
        <vt:i4>1572916</vt:i4>
      </vt:variant>
      <vt:variant>
        <vt:i4>807</vt:i4>
      </vt:variant>
      <vt:variant>
        <vt:i4>0</vt:i4>
      </vt:variant>
      <vt:variant>
        <vt:i4>5</vt:i4>
      </vt:variant>
      <vt:variant>
        <vt:lpwstr/>
      </vt:variant>
      <vt:variant>
        <vt:lpwstr>_Toc235024188</vt:lpwstr>
      </vt:variant>
      <vt:variant>
        <vt:i4>1572916</vt:i4>
      </vt:variant>
      <vt:variant>
        <vt:i4>801</vt:i4>
      </vt:variant>
      <vt:variant>
        <vt:i4>0</vt:i4>
      </vt:variant>
      <vt:variant>
        <vt:i4>5</vt:i4>
      </vt:variant>
      <vt:variant>
        <vt:lpwstr/>
      </vt:variant>
      <vt:variant>
        <vt:lpwstr>_Toc235024187</vt:lpwstr>
      </vt:variant>
      <vt:variant>
        <vt:i4>1572916</vt:i4>
      </vt:variant>
      <vt:variant>
        <vt:i4>795</vt:i4>
      </vt:variant>
      <vt:variant>
        <vt:i4>0</vt:i4>
      </vt:variant>
      <vt:variant>
        <vt:i4>5</vt:i4>
      </vt:variant>
      <vt:variant>
        <vt:lpwstr/>
      </vt:variant>
      <vt:variant>
        <vt:lpwstr>_Toc235024186</vt:lpwstr>
      </vt:variant>
      <vt:variant>
        <vt:i4>1572916</vt:i4>
      </vt:variant>
      <vt:variant>
        <vt:i4>789</vt:i4>
      </vt:variant>
      <vt:variant>
        <vt:i4>0</vt:i4>
      </vt:variant>
      <vt:variant>
        <vt:i4>5</vt:i4>
      </vt:variant>
      <vt:variant>
        <vt:lpwstr/>
      </vt:variant>
      <vt:variant>
        <vt:lpwstr>_Toc235024185</vt:lpwstr>
      </vt:variant>
      <vt:variant>
        <vt:i4>1572916</vt:i4>
      </vt:variant>
      <vt:variant>
        <vt:i4>783</vt:i4>
      </vt:variant>
      <vt:variant>
        <vt:i4>0</vt:i4>
      </vt:variant>
      <vt:variant>
        <vt:i4>5</vt:i4>
      </vt:variant>
      <vt:variant>
        <vt:lpwstr/>
      </vt:variant>
      <vt:variant>
        <vt:lpwstr>_Toc235024184</vt:lpwstr>
      </vt:variant>
      <vt:variant>
        <vt:i4>1572916</vt:i4>
      </vt:variant>
      <vt:variant>
        <vt:i4>777</vt:i4>
      </vt:variant>
      <vt:variant>
        <vt:i4>0</vt:i4>
      </vt:variant>
      <vt:variant>
        <vt:i4>5</vt:i4>
      </vt:variant>
      <vt:variant>
        <vt:lpwstr/>
      </vt:variant>
      <vt:variant>
        <vt:lpwstr>_Toc235024183</vt:lpwstr>
      </vt:variant>
      <vt:variant>
        <vt:i4>1572916</vt:i4>
      </vt:variant>
      <vt:variant>
        <vt:i4>771</vt:i4>
      </vt:variant>
      <vt:variant>
        <vt:i4>0</vt:i4>
      </vt:variant>
      <vt:variant>
        <vt:i4>5</vt:i4>
      </vt:variant>
      <vt:variant>
        <vt:lpwstr/>
      </vt:variant>
      <vt:variant>
        <vt:lpwstr>_Toc235024182</vt:lpwstr>
      </vt:variant>
      <vt:variant>
        <vt:i4>1572916</vt:i4>
      </vt:variant>
      <vt:variant>
        <vt:i4>765</vt:i4>
      </vt:variant>
      <vt:variant>
        <vt:i4>0</vt:i4>
      </vt:variant>
      <vt:variant>
        <vt:i4>5</vt:i4>
      </vt:variant>
      <vt:variant>
        <vt:lpwstr/>
      </vt:variant>
      <vt:variant>
        <vt:lpwstr>_Toc235024181</vt:lpwstr>
      </vt:variant>
      <vt:variant>
        <vt:i4>1572916</vt:i4>
      </vt:variant>
      <vt:variant>
        <vt:i4>759</vt:i4>
      </vt:variant>
      <vt:variant>
        <vt:i4>0</vt:i4>
      </vt:variant>
      <vt:variant>
        <vt:i4>5</vt:i4>
      </vt:variant>
      <vt:variant>
        <vt:lpwstr/>
      </vt:variant>
      <vt:variant>
        <vt:lpwstr>_Toc235024180</vt:lpwstr>
      </vt:variant>
      <vt:variant>
        <vt:i4>1507380</vt:i4>
      </vt:variant>
      <vt:variant>
        <vt:i4>753</vt:i4>
      </vt:variant>
      <vt:variant>
        <vt:i4>0</vt:i4>
      </vt:variant>
      <vt:variant>
        <vt:i4>5</vt:i4>
      </vt:variant>
      <vt:variant>
        <vt:lpwstr/>
      </vt:variant>
      <vt:variant>
        <vt:lpwstr>_Toc235024179</vt:lpwstr>
      </vt:variant>
      <vt:variant>
        <vt:i4>1507380</vt:i4>
      </vt:variant>
      <vt:variant>
        <vt:i4>747</vt:i4>
      </vt:variant>
      <vt:variant>
        <vt:i4>0</vt:i4>
      </vt:variant>
      <vt:variant>
        <vt:i4>5</vt:i4>
      </vt:variant>
      <vt:variant>
        <vt:lpwstr/>
      </vt:variant>
      <vt:variant>
        <vt:lpwstr>_Toc235024178</vt:lpwstr>
      </vt:variant>
      <vt:variant>
        <vt:i4>1507380</vt:i4>
      </vt:variant>
      <vt:variant>
        <vt:i4>741</vt:i4>
      </vt:variant>
      <vt:variant>
        <vt:i4>0</vt:i4>
      </vt:variant>
      <vt:variant>
        <vt:i4>5</vt:i4>
      </vt:variant>
      <vt:variant>
        <vt:lpwstr/>
      </vt:variant>
      <vt:variant>
        <vt:lpwstr>_Toc235024177</vt:lpwstr>
      </vt:variant>
      <vt:variant>
        <vt:i4>1507380</vt:i4>
      </vt:variant>
      <vt:variant>
        <vt:i4>735</vt:i4>
      </vt:variant>
      <vt:variant>
        <vt:i4>0</vt:i4>
      </vt:variant>
      <vt:variant>
        <vt:i4>5</vt:i4>
      </vt:variant>
      <vt:variant>
        <vt:lpwstr/>
      </vt:variant>
      <vt:variant>
        <vt:lpwstr>_Toc235024176</vt:lpwstr>
      </vt:variant>
      <vt:variant>
        <vt:i4>1507380</vt:i4>
      </vt:variant>
      <vt:variant>
        <vt:i4>729</vt:i4>
      </vt:variant>
      <vt:variant>
        <vt:i4>0</vt:i4>
      </vt:variant>
      <vt:variant>
        <vt:i4>5</vt:i4>
      </vt:variant>
      <vt:variant>
        <vt:lpwstr/>
      </vt:variant>
      <vt:variant>
        <vt:lpwstr>_Toc235024175</vt:lpwstr>
      </vt:variant>
      <vt:variant>
        <vt:i4>1507380</vt:i4>
      </vt:variant>
      <vt:variant>
        <vt:i4>723</vt:i4>
      </vt:variant>
      <vt:variant>
        <vt:i4>0</vt:i4>
      </vt:variant>
      <vt:variant>
        <vt:i4>5</vt:i4>
      </vt:variant>
      <vt:variant>
        <vt:lpwstr/>
      </vt:variant>
      <vt:variant>
        <vt:lpwstr>_Toc235024174</vt:lpwstr>
      </vt:variant>
      <vt:variant>
        <vt:i4>1507380</vt:i4>
      </vt:variant>
      <vt:variant>
        <vt:i4>717</vt:i4>
      </vt:variant>
      <vt:variant>
        <vt:i4>0</vt:i4>
      </vt:variant>
      <vt:variant>
        <vt:i4>5</vt:i4>
      </vt:variant>
      <vt:variant>
        <vt:lpwstr/>
      </vt:variant>
      <vt:variant>
        <vt:lpwstr>_Toc235024173</vt:lpwstr>
      </vt:variant>
      <vt:variant>
        <vt:i4>1507380</vt:i4>
      </vt:variant>
      <vt:variant>
        <vt:i4>711</vt:i4>
      </vt:variant>
      <vt:variant>
        <vt:i4>0</vt:i4>
      </vt:variant>
      <vt:variant>
        <vt:i4>5</vt:i4>
      </vt:variant>
      <vt:variant>
        <vt:lpwstr/>
      </vt:variant>
      <vt:variant>
        <vt:lpwstr>_Toc235024172</vt:lpwstr>
      </vt:variant>
      <vt:variant>
        <vt:i4>1507380</vt:i4>
      </vt:variant>
      <vt:variant>
        <vt:i4>705</vt:i4>
      </vt:variant>
      <vt:variant>
        <vt:i4>0</vt:i4>
      </vt:variant>
      <vt:variant>
        <vt:i4>5</vt:i4>
      </vt:variant>
      <vt:variant>
        <vt:lpwstr/>
      </vt:variant>
      <vt:variant>
        <vt:lpwstr>_Toc235024171</vt:lpwstr>
      </vt:variant>
      <vt:variant>
        <vt:i4>1507380</vt:i4>
      </vt:variant>
      <vt:variant>
        <vt:i4>699</vt:i4>
      </vt:variant>
      <vt:variant>
        <vt:i4>0</vt:i4>
      </vt:variant>
      <vt:variant>
        <vt:i4>5</vt:i4>
      </vt:variant>
      <vt:variant>
        <vt:lpwstr/>
      </vt:variant>
      <vt:variant>
        <vt:lpwstr>_Toc235024170</vt:lpwstr>
      </vt:variant>
      <vt:variant>
        <vt:i4>1441844</vt:i4>
      </vt:variant>
      <vt:variant>
        <vt:i4>693</vt:i4>
      </vt:variant>
      <vt:variant>
        <vt:i4>0</vt:i4>
      </vt:variant>
      <vt:variant>
        <vt:i4>5</vt:i4>
      </vt:variant>
      <vt:variant>
        <vt:lpwstr/>
      </vt:variant>
      <vt:variant>
        <vt:lpwstr>_Toc235024169</vt:lpwstr>
      </vt:variant>
      <vt:variant>
        <vt:i4>1441844</vt:i4>
      </vt:variant>
      <vt:variant>
        <vt:i4>687</vt:i4>
      </vt:variant>
      <vt:variant>
        <vt:i4>0</vt:i4>
      </vt:variant>
      <vt:variant>
        <vt:i4>5</vt:i4>
      </vt:variant>
      <vt:variant>
        <vt:lpwstr/>
      </vt:variant>
      <vt:variant>
        <vt:lpwstr>_Toc235024168</vt:lpwstr>
      </vt:variant>
      <vt:variant>
        <vt:i4>1441844</vt:i4>
      </vt:variant>
      <vt:variant>
        <vt:i4>681</vt:i4>
      </vt:variant>
      <vt:variant>
        <vt:i4>0</vt:i4>
      </vt:variant>
      <vt:variant>
        <vt:i4>5</vt:i4>
      </vt:variant>
      <vt:variant>
        <vt:lpwstr/>
      </vt:variant>
      <vt:variant>
        <vt:lpwstr>_Toc235024167</vt:lpwstr>
      </vt:variant>
      <vt:variant>
        <vt:i4>1441844</vt:i4>
      </vt:variant>
      <vt:variant>
        <vt:i4>675</vt:i4>
      </vt:variant>
      <vt:variant>
        <vt:i4>0</vt:i4>
      </vt:variant>
      <vt:variant>
        <vt:i4>5</vt:i4>
      </vt:variant>
      <vt:variant>
        <vt:lpwstr/>
      </vt:variant>
      <vt:variant>
        <vt:lpwstr>_Toc235024166</vt:lpwstr>
      </vt:variant>
      <vt:variant>
        <vt:i4>1441844</vt:i4>
      </vt:variant>
      <vt:variant>
        <vt:i4>669</vt:i4>
      </vt:variant>
      <vt:variant>
        <vt:i4>0</vt:i4>
      </vt:variant>
      <vt:variant>
        <vt:i4>5</vt:i4>
      </vt:variant>
      <vt:variant>
        <vt:lpwstr/>
      </vt:variant>
      <vt:variant>
        <vt:lpwstr>_Toc235024165</vt:lpwstr>
      </vt:variant>
      <vt:variant>
        <vt:i4>1441844</vt:i4>
      </vt:variant>
      <vt:variant>
        <vt:i4>663</vt:i4>
      </vt:variant>
      <vt:variant>
        <vt:i4>0</vt:i4>
      </vt:variant>
      <vt:variant>
        <vt:i4>5</vt:i4>
      </vt:variant>
      <vt:variant>
        <vt:lpwstr/>
      </vt:variant>
      <vt:variant>
        <vt:lpwstr>_Toc235024164</vt:lpwstr>
      </vt:variant>
      <vt:variant>
        <vt:i4>1441844</vt:i4>
      </vt:variant>
      <vt:variant>
        <vt:i4>657</vt:i4>
      </vt:variant>
      <vt:variant>
        <vt:i4>0</vt:i4>
      </vt:variant>
      <vt:variant>
        <vt:i4>5</vt:i4>
      </vt:variant>
      <vt:variant>
        <vt:lpwstr/>
      </vt:variant>
      <vt:variant>
        <vt:lpwstr>_Toc235024163</vt:lpwstr>
      </vt:variant>
      <vt:variant>
        <vt:i4>1441844</vt:i4>
      </vt:variant>
      <vt:variant>
        <vt:i4>651</vt:i4>
      </vt:variant>
      <vt:variant>
        <vt:i4>0</vt:i4>
      </vt:variant>
      <vt:variant>
        <vt:i4>5</vt:i4>
      </vt:variant>
      <vt:variant>
        <vt:lpwstr/>
      </vt:variant>
      <vt:variant>
        <vt:lpwstr>_Toc235024162</vt:lpwstr>
      </vt:variant>
      <vt:variant>
        <vt:i4>1441844</vt:i4>
      </vt:variant>
      <vt:variant>
        <vt:i4>645</vt:i4>
      </vt:variant>
      <vt:variant>
        <vt:i4>0</vt:i4>
      </vt:variant>
      <vt:variant>
        <vt:i4>5</vt:i4>
      </vt:variant>
      <vt:variant>
        <vt:lpwstr/>
      </vt:variant>
      <vt:variant>
        <vt:lpwstr>_Toc235024161</vt:lpwstr>
      </vt:variant>
      <vt:variant>
        <vt:i4>1441844</vt:i4>
      </vt:variant>
      <vt:variant>
        <vt:i4>639</vt:i4>
      </vt:variant>
      <vt:variant>
        <vt:i4>0</vt:i4>
      </vt:variant>
      <vt:variant>
        <vt:i4>5</vt:i4>
      </vt:variant>
      <vt:variant>
        <vt:lpwstr/>
      </vt:variant>
      <vt:variant>
        <vt:lpwstr>_Toc235024160</vt:lpwstr>
      </vt:variant>
      <vt:variant>
        <vt:i4>1376308</vt:i4>
      </vt:variant>
      <vt:variant>
        <vt:i4>633</vt:i4>
      </vt:variant>
      <vt:variant>
        <vt:i4>0</vt:i4>
      </vt:variant>
      <vt:variant>
        <vt:i4>5</vt:i4>
      </vt:variant>
      <vt:variant>
        <vt:lpwstr/>
      </vt:variant>
      <vt:variant>
        <vt:lpwstr>_Toc235024159</vt:lpwstr>
      </vt:variant>
      <vt:variant>
        <vt:i4>1376308</vt:i4>
      </vt:variant>
      <vt:variant>
        <vt:i4>627</vt:i4>
      </vt:variant>
      <vt:variant>
        <vt:i4>0</vt:i4>
      </vt:variant>
      <vt:variant>
        <vt:i4>5</vt:i4>
      </vt:variant>
      <vt:variant>
        <vt:lpwstr/>
      </vt:variant>
      <vt:variant>
        <vt:lpwstr>_Toc235024158</vt:lpwstr>
      </vt:variant>
      <vt:variant>
        <vt:i4>1376308</vt:i4>
      </vt:variant>
      <vt:variant>
        <vt:i4>621</vt:i4>
      </vt:variant>
      <vt:variant>
        <vt:i4>0</vt:i4>
      </vt:variant>
      <vt:variant>
        <vt:i4>5</vt:i4>
      </vt:variant>
      <vt:variant>
        <vt:lpwstr/>
      </vt:variant>
      <vt:variant>
        <vt:lpwstr>_Toc235024157</vt:lpwstr>
      </vt:variant>
      <vt:variant>
        <vt:i4>1376308</vt:i4>
      </vt:variant>
      <vt:variant>
        <vt:i4>615</vt:i4>
      </vt:variant>
      <vt:variant>
        <vt:i4>0</vt:i4>
      </vt:variant>
      <vt:variant>
        <vt:i4>5</vt:i4>
      </vt:variant>
      <vt:variant>
        <vt:lpwstr/>
      </vt:variant>
      <vt:variant>
        <vt:lpwstr>_Toc235024156</vt:lpwstr>
      </vt:variant>
      <vt:variant>
        <vt:i4>1376308</vt:i4>
      </vt:variant>
      <vt:variant>
        <vt:i4>609</vt:i4>
      </vt:variant>
      <vt:variant>
        <vt:i4>0</vt:i4>
      </vt:variant>
      <vt:variant>
        <vt:i4>5</vt:i4>
      </vt:variant>
      <vt:variant>
        <vt:lpwstr/>
      </vt:variant>
      <vt:variant>
        <vt:lpwstr>_Toc235024155</vt:lpwstr>
      </vt:variant>
      <vt:variant>
        <vt:i4>1376308</vt:i4>
      </vt:variant>
      <vt:variant>
        <vt:i4>603</vt:i4>
      </vt:variant>
      <vt:variant>
        <vt:i4>0</vt:i4>
      </vt:variant>
      <vt:variant>
        <vt:i4>5</vt:i4>
      </vt:variant>
      <vt:variant>
        <vt:lpwstr/>
      </vt:variant>
      <vt:variant>
        <vt:lpwstr>_Toc235024154</vt:lpwstr>
      </vt:variant>
      <vt:variant>
        <vt:i4>1376308</vt:i4>
      </vt:variant>
      <vt:variant>
        <vt:i4>597</vt:i4>
      </vt:variant>
      <vt:variant>
        <vt:i4>0</vt:i4>
      </vt:variant>
      <vt:variant>
        <vt:i4>5</vt:i4>
      </vt:variant>
      <vt:variant>
        <vt:lpwstr/>
      </vt:variant>
      <vt:variant>
        <vt:lpwstr>_Toc235024153</vt:lpwstr>
      </vt:variant>
      <vt:variant>
        <vt:i4>1376308</vt:i4>
      </vt:variant>
      <vt:variant>
        <vt:i4>591</vt:i4>
      </vt:variant>
      <vt:variant>
        <vt:i4>0</vt:i4>
      </vt:variant>
      <vt:variant>
        <vt:i4>5</vt:i4>
      </vt:variant>
      <vt:variant>
        <vt:lpwstr/>
      </vt:variant>
      <vt:variant>
        <vt:lpwstr>_Toc235024152</vt:lpwstr>
      </vt:variant>
      <vt:variant>
        <vt:i4>1376308</vt:i4>
      </vt:variant>
      <vt:variant>
        <vt:i4>585</vt:i4>
      </vt:variant>
      <vt:variant>
        <vt:i4>0</vt:i4>
      </vt:variant>
      <vt:variant>
        <vt:i4>5</vt:i4>
      </vt:variant>
      <vt:variant>
        <vt:lpwstr/>
      </vt:variant>
      <vt:variant>
        <vt:lpwstr>_Toc235024151</vt:lpwstr>
      </vt:variant>
      <vt:variant>
        <vt:i4>1376308</vt:i4>
      </vt:variant>
      <vt:variant>
        <vt:i4>579</vt:i4>
      </vt:variant>
      <vt:variant>
        <vt:i4>0</vt:i4>
      </vt:variant>
      <vt:variant>
        <vt:i4>5</vt:i4>
      </vt:variant>
      <vt:variant>
        <vt:lpwstr/>
      </vt:variant>
      <vt:variant>
        <vt:lpwstr>_Toc235024150</vt:lpwstr>
      </vt:variant>
      <vt:variant>
        <vt:i4>1310772</vt:i4>
      </vt:variant>
      <vt:variant>
        <vt:i4>573</vt:i4>
      </vt:variant>
      <vt:variant>
        <vt:i4>0</vt:i4>
      </vt:variant>
      <vt:variant>
        <vt:i4>5</vt:i4>
      </vt:variant>
      <vt:variant>
        <vt:lpwstr/>
      </vt:variant>
      <vt:variant>
        <vt:lpwstr>_Toc235024149</vt:lpwstr>
      </vt:variant>
      <vt:variant>
        <vt:i4>1310772</vt:i4>
      </vt:variant>
      <vt:variant>
        <vt:i4>567</vt:i4>
      </vt:variant>
      <vt:variant>
        <vt:i4>0</vt:i4>
      </vt:variant>
      <vt:variant>
        <vt:i4>5</vt:i4>
      </vt:variant>
      <vt:variant>
        <vt:lpwstr/>
      </vt:variant>
      <vt:variant>
        <vt:lpwstr>_Toc235024148</vt:lpwstr>
      </vt:variant>
      <vt:variant>
        <vt:i4>1310772</vt:i4>
      </vt:variant>
      <vt:variant>
        <vt:i4>561</vt:i4>
      </vt:variant>
      <vt:variant>
        <vt:i4>0</vt:i4>
      </vt:variant>
      <vt:variant>
        <vt:i4>5</vt:i4>
      </vt:variant>
      <vt:variant>
        <vt:lpwstr/>
      </vt:variant>
      <vt:variant>
        <vt:lpwstr>_Toc235024147</vt:lpwstr>
      </vt:variant>
      <vt:variant>
        <vt:i4>1310772</vt:i4>
      </vt:variant>
      <vt:variant>
        <vt:i4>555</vt:i4>
      </vt:variant>
      <vt:variant>
        <vt:i4>0</vt:i4>
      </vt:variant>
      <vt:variant>
        <vt:i4>5</vt:i4>
      </vt:variant>
      <vt:variant>
        <vt:lpwstr/>
      </vt:variant>
      <vt:variant>
        <vt:lpwstr>_Toc235024146</vt:lpwstr>
      </vt:variant>
      <vt:variant>
        <vt:i4>1310772</vt:i4>
      </vt:variant>
      <vt:variant>
        <vt:i4>549</vt:i4>
      </vt:variant>
      <vt:variant>
        <vt:i4>0</vt:i4>
      </vt:variant>
      <vt:variant>
        <vt:i4>5</vt:i4>
      </vt:variant>
      <vt:variant>
        <vt:lpwstr/>
      </vt:variant>
      <vt:variant>
        <vt:lpwstr>_Toc235024145</vt:lpwstr>
      </vt:variant>
      <vt:variant>
        <vt:i4>1310772</vt:i4>
      </vt:variant>
      <vt:variant>
        <vt:i4>543</vt:i4>
      </vt:variant>
      <vt:variant>
        <vt:i4>0</vt:i4>
      </vt:variant>
      <vt:variant>
        <vt:i4>5</vt:i4>
      </vt:variant>
      <vt:variant>
        <vt:lpwstr/>
      </vt:variant>
      <vt:variant>
        <vt:lpwstr>_Toc235024144</vt:lpwstr>
      </vt:variant>
      <vt:variant>
        <vt:i4>1310772</vt:i4>
      </vt:variant>
      <vt:variant>
        <vt:i4>537</vt:i4>
      </vt:variant>
      <vt:variant>
        <vt:i4>0</vt:i4>
      </vt:variant>
      <vt:variant>
        <vt:i4>5</vt:i4>
      </vt:variant>
      <vt:variant>
        <vt:lpwstr/>
      </vt:variant>
      <vt:variant>
        <vt:lpwstr>_Toc235024143</vt:lpwstr>
      </vt:variant>
      <vt:variant>
        <vt:i4>1310772</vt:i4>
      </vt:variant>
      <vt:variant>
        <vt:i4>531</vt:i4>
      </vt:variant>
      <vt:variant>
        <vt:i4>0</vt:i4>
      </vt:variant>
      <vt:variant>
        <vt:i4>5</vt:i4>
      </vt:variant>
      <vt:variant>
        <vt:lpwstr/>
      </vt:variant>
      <vt:variant>
        <vt:lpwstr>_Toc235024142</vt:lpwstr>
      </vt:variant>
      <vt:variant>
        <vt:i4>1179703</vt:i4>
      </vt:variant>
      <vt:variant>
        <vt:i4>524</vt:i4>
      </vt:variant>
      <vt:variant>
        <vt:i4>0</vt:i4>
      </vt:variant>
      <vt:variant>
        <vt:i4>5</vt:i4>
      </vt:variant>
      <vt:variant>
        <vt:lpwstr/>
      </vt:variant>
      <vt:variant>
        <vt:lpwstr>_Toc235024228</vt:lpwstr>
      </vt:variant>
      <vt:variant>
        <vt:i4>1179703</vt:i4>
      </vt:variant>
      <vt:variant>
        <vt:i4>518</vt:i4>
      </vt:variant>
      <vt:variant>
        <vt:i4>0</vt:i4>
      </vt:variant>
      <vt:variant>
        <vt:i4>5</vt:i4>
      </vt:variant>
      <vt:variant>
        <vt:lpwstr/>
      </vt:variant>
      <vt:variant>
        <vt:lpwstr>_Toc235024227</vt:lpwstr>
      </vt:variant>
      <vt:variant>
        <vt:i4>1179703</vt:i4>
      </vt:variant>
      <vt:variant>
        <vt:i4>512</vt:i4>
      </vt:variant>
      <vt:variant>
        <vt:i4>0</vt:i4>
      </vt:variant>
      <vt:variant>
        <vt:i4>5</vt:i4>
      </vt:variant>
      <vt:variant>
        <vt:lpwstr/>
      </vt:variant>
      <vt:variant>
        <vt:lpwstr>_Toc235024226</vt:lpwstr>
      </vt:variant>
      <vt:variant>
        <vt:i4>1179703</vt:i4>
      </vt:variant>
      <vt:variant>
        <vt:i4>506</vt:i4>
      </vt:variant>
      <vt:variant>
        <vt:i4>0</vt:i4>
      </vt:variant>
      <vt:variant>
        <vt:i4>5</vt:i4>
      </vt:variant>
      <vt:variant>
        <vt:lpwstr/>
      </vt:variant>
      <vt:variant>
        <vt:lpwstr>_Toc235024225</vt:lpwstr>
      </vt:variant>
      <vt:variant>
        <vt:i4>1179703</vt:i4>
      </vt:variant>
      <vt:variant>
        <vt:i4>500</vt:i4>
      </vt:variant>
      <vt:variant>
        <vt:i4>0</vt:i4>
      </vt:variant>
      <vt:variant>
        <vt:i4>5</vt:i4>
      </vt:variant>
      <vt:variant>
        <vt:lpwstr/>
      </vt:variant>
      <vt:variant>
        <vt:lpwstr>_Toc235024224</vt:lpwstr>
      </vt:variant>
      <vt:variant>
        <vt:i4>1179703</vt:i4>
      </vt:variant>
      <vt:variant>
        <vt:i4>494</vt:i4>
      </vt:variant>
      <vt:variant>
        <vt:i4>0</vt:i4>
      </vt:variant>
      <vt:variant>
        <vt:i4>5</vt:i4>
      </vt:variant>
      <vt:variant>
        <vt:lpwstr/>
      </vt:variant>
      <vt:variant>
        <vt:lpwstr>_Toc235024223</vt:lpwstr>
      </vt:variant>
      <vt:variant>
        <vt:i4>1179703</vt:i4>
      </vt:variant>
      <vt:variant>
        <vt:i4>488</vt:i4>
      </vt:variant>
      <vt:variant>
        <vt:i4>0</vt:i4>
      </vt:variant>
      <vt:variant>
        <vt:i4>5</vt:i4>
      </vt:variant>
      <vt:variant>
        <vt:lpwstr/>
      </vt:variant>
      <vt:variant>
        <vt:lpwstr>_Toc235024222</vt:lpwstr>
      </vt:variant>
      <vt:variant>
        <vt:i4>1179703</vt:i4>
      </vt:variant>
      <vt:variant>
        <vt:i4>482</vt:i4>
      </vt:variant>
      <vt:variant>
        <vt:i4>0</vt:i4>
      </vt:variant>
      <vt:variant>
        <vt:i4>5</vt:i4>
      </vt:variant>
      <vt:variant>
        <vt:lpwstr/>
      </vt:variant>
      <vt:variant>
        <vt:lpwstr>_Toc235024221</vt:lpwstr>
      </vt:variant>
      <vt:variant>
        <vt:i4>1179703</vt:i4>
      </vt:variant>
      <vt:variant>
        <vt:i4>476</vt:i4>
      </vt:variant>
      <vt:variant>
        <vt:i4>0</vt:i4>
      </vt:variant>
      <vt:variant>
        <vt:i4>5</vt:i4>
      </vt:variant>
      <vt:variant>
        <vt:lpwstr/>
      </vt:variant>
      <vt:variant>
        <vt:lpwstr>_Toc235024220</vt:lpwstr>
      </vt:variant>
      <vt:variant>
        <vt:i4>1114167</vt:i4>
      </vt:variant>
      <vt:variant>
        <vt:i4>470</vt:i4>
      </vt:variant>
      <vt:variant>
        <vt:i4>0</vt:i4>
      </vt:variant>
      <vt:variant>
        <vt:i4>5</vt:i4>
      </vt:variant>
      <vt:variant>
        <vt:lpwstr/>
      </vt:variant>
      <vt:variant>
        <vt:lpwstr>_Toc235024219</vt:lpwstr>
      </vt:variant>
      <vt:variant>
        <vt:i4>1114167</vt:i4>
      </vt:variant>
      <vt:variant>
        <vt:i4>464</vt:i4>
      </vt:variant>
      <vt:variant>
        <vt:i4>0</vt:i4>
      </vt:variant>
      <vt:variant>
        <vt:i4>5</vt:i4>
      </vt:variant>
      <vt:variant>
        <vt:lpwstr/>
      </vt:variant>
      <vt:variant>
        <vt:lpwstr>_Toc235024218</vt:lpwstr>
      </vt:variant>
      <vt:variant>
        <vt:i4>1114167</vt:i4>
      </vt:variant>
      <vt:variant>
        <vt:i4>458</vt:i4>
      </vt:variant>
      <vt:variant>
        <vt:i4>0</vt:i4>
      </vt:variant>
      <vt:variant>
        <vt:i4>5</vt:i4>
      </vt:variant>
      <vt:variant>
        <vt:lpwstr/>
      </vt:variant>
      <vt:variant>
        <vt:lpwstr>_Toc235024217</vt:lpwstr>
      </vt:variant>
      <vt:variant>
        <vt:i4>1114167</vt:i4>
      </vt:variant>
      <vt:variant>
        <vt:i4>452</vt:i4>
      </vt:variant>
      <vt:variant>
        <vt:i4>0</vt:i4>
      </vt:variant>
      <vt:variant>
        <vt:i4>5</vt:i4>
      </vt:variant>
      <vt:variant>
        <vt:lpwstr/>
      </vt:variant>
      <vt:variant>
        <vt:lpwstr>_Toc235024216</vt:lpwstr>
      </vt:variant>
      <vt:variant>
        <vt:i4>1114167</vt:i4>
      </vt:variant>
      <vt:variant>
        <vt:i4>446</vt:i4>
      </vt:variant>
      <vt:variant>
        <vt:i4>0</vt:i4>
      </vt:variant>
      <vt:variant>
        <vt:i4>5</vt:i4>
      </vt:variant>
      <vt:variant>
        <vt:lpwstr/>
      </vt:variant>
      <vt:variant>
        <vt:lpwstr>_Toc235024215</vt:lpwstr>
      </vt:variant>
      <vt:variant>
        <vt:i4>1114167</vt:i4>
      </vt:variant>
      <vt:variant>
        <vt:i4>440</vt:i4>
      </vt:variant>
      <vt:variant>
        <vt:i4>0</vt:i4>
      </vt:variant>
      <vt:variant>
        <vt:i4>5</vt:i4>
      </vt:variant>
      <vt:variant>
        <vt:lpwstr/>
      </vt:variant>
      <vt:variant>
        <vt:lpwstr>_Toc235024214</vt:lpwstr>
      </vt:variant>
      <vt:variant>
        <vt:i4>1114167</vt:i4>
      </vt:variant>
      <vt:variant>
        <vt:i4>434</vt:i4>
      </vt:variant>
      <vt:variant>
        <vt:i4>0</vt:i4>
      </vt:variant>
      <vt:variant>
        <vt:i4>5</vt:i4>
      </vt:variant>
      <vt:variant>
        <vt:lpwstr/>
      </vt:variant>
      <vt:variant>
        <vt:lpwstr>_Toc235024213</vt:lpwstr>
      </vt:variant>
      <vt:variant>
        <vt:i4>1114167</vt:i4>
      </vt:variant>
      <vt:variant>
        <vt:i4>428</vt:i4>
      </vt:variant>
      <vt:variant>
        <vt:i4>0</vt:i4>
      </vt:variant>
      <vt:variant>
        <vt:i4>5</vt:i4>
      </vt:variant>
      <vt:variant>
        <vt:lpwstr/>
      </vt:variant>
      <vt:variant>
        <vt:lpwstr>_Toc235024212</vt:lpwstr>
      </vt:variant>
      <vt:variant>
        <vt:i4>1114167</vt:i4>
      </vt:variant>
      <vt:variant>
        <vt:i4>422</vt:i4>
      </vt:variant>
      <vt:variant>
        <vt:i4>0</vt:i4>
      </vt:variant>
      <vt:variant>
        <vt:i4>5</vt:i4>
      </vt:variant>
      <vt:variant>
        <vt:lpwstr/>
      </vt:variant>
      <vt:variant>
        <vt:lpwstr>_Toc235024211</vt:lpwstr>
      </vt:variant>
      <vt:variant>
        <vt:i4>1114167</vt:i4>
      </vt:variant>
      <vt:variant>
        <vt:i4>416</vt:i4>
      </vt:variant>
      <vt:variant>
        <vt:i4>0</vt:i4>
      </vt:variant>
      <vt:variant>
        <vt:i4>5</vt:i4>
      </vt:variant>
      <vt:variant>
        <vt:lpwstr/>
      </vt:variant>
      <vt:variant>
        <vt:lpwstr>_Toc235024210</vt:lpwstr>
      </vt:variant>
      <vt:variant>
        <vt:i4>1048631</vt:i4>
      </vt:variant>
      <vt:variant>
        <vt:i4>410</vt:i4>
      </vt:variant>
      <vt:variant>
        <vt:i4>0</vt:i4>
      </vt:variant>
      <vt:variant>
        <vt:i4>5</vt:i4>
      </vt:variant>
      <vt:variant>
        <vt:lpwstr/>
      </vt:variant>
      <vt:variant>
        <vt:lpwstr>_Toc235024209</vt:lpwstr>
      </vt:variant>
      <vt:variant>
        <vt:i4>1048631</vt:i4>
      </vt:variant>
      <vt:variant>
        <vt:i4>404</vt:i4>
      </vt:variant>
      <vt:variant>
        <vt:i4>0</vt:i4>
      </vt:variant>
      <vt:variant>
        <vt:i4>5</vt:i4>
      </vt:variant>
      <vt:variant>
        <vt:lpwstr/>
      </vt:variant>
      <vt:variant>
        <vt:lpwstr>_Toc235024208</vt:lpwstr>
      </vt:variant>
      <vt:variant>
        <vt:i4>1048631</vt:i4>
      </vt:variant>
      <vt:variant>
        <vt:i4>398</vt:i4>
      </vt:variant>
      <vt:variant>
        <vt:i4>0</vt:i4>
      </vt:variant>
      <vt:variant>
        <vt:i4>5</vt:i4>
      </vt:variant>
      <vt:variant>
        <vt:lpwstr/>
      </vt:variant>
      <vt:variant>
        <vt:lpwstr>_Toc235024207</vt:lpwstr>
      </vt:variant>
      <vt:variant>
        <vt:i4>1048631</vt:i4>
      </vt:variant>
      <vt:variant>
        <vt:i4>392</vt:i4>
      </vt:variant>
      <vt:variant>
        <vt:i4>0</vt:i4>
      </vt:variant>
      <vt:variant>
        <vt:i4>5</vt:i4>
      </vt:variant>
      <vt:variant>
        <vt:lpwstr/>
      </vt:variant>
      <vt:variant>
        <vt:lpwstr>_Toc235024206</vt:lpwstr>
      </vt:variant>
      <vt:variant>
        <vt:i4>1048631</vt:i4>
      </vt:variant>
      <vt:variant>
        <vt:i4>386</vt:i4>
      </vt:variant>
      <vt:variant>
        <vt:i4>0</vt:i4>
      </vt:variant>
      <vt:variant>
        <vt:i4>5</vt:i4>
      </vt:variant>
      <vt:variant>
        <vt:lpwstr/>
      </vt:variant>
      <vt:variant>
        <vt:lpwstr>_Toc235024205</vt:lpwstr>
      </vt:variant>
      <vt:variant>
        <vt:i4>1048631</vt:i4>
      </vt:variant>
      <vt:variant>
        <vt:i4>380</vt:i4>
      </vt:variant>
      <vt:variant>
        <vt:i4>0</vt:i4>
      </vt:variant>
      <vt:variant>
        <vt:i4>5</vt:i4>
      </vt:variant>
      <vt:variant>
        <vt:lpwstr/>
      </vt:variant>
      <vt:variant>
        <vt:lpwstr>_Toc235024204</vt:lpwstr>
      </vt:variant>
      <vt:variant>
        <vt:i4>1048631</vt:i4>
      </vt:variant>
      <vt:variant>
        <vt:i4>374</vt:i4>
      </vt:variant>
      <vt:variant>
        <vt:i4>0</vt:i4>
      </vt:variant>
      <vt:variant>
        <vt:i4>5</vt:i4>
      </vt:variant>
      <vt:variant>
        <vt:lpwstr/>
      </vt:variant>
      <vt:variant>
        <vt:lpwstr>_Toc235024203</vt:lpwstr>
      </vt:variant>
      <vt:variant>
        <vt:i4>1048631</vt:i4>
      </vt:variant>
      <vt:variant>
        <vt:i4>368</vt:i4>
      </vt:variant>
      <vt:variant>
        <vt:i4>0</vt:i4>
      </vt:variant>
      <vt:variant>
        <vt:i4>5</vt:i4>
      </vt:variant>
      <vt:variant>
        <vt:lpwstr/>
      </vt:variant>
      <vt:variant>
        <vt:lpwstr>_Toc235024202</vt:lpwstr>
      </vt:variant>
      <vt:variant>
        <vt:i4>1048631</vt:i4>
      </vt:variant>
      <vt:variant>
        <vt:i4>362</vt:i4>
      </vt:variant>
      <vt:variant>
        <vt:i4>0</vt:i4>
      </vt:variant>
      <vt:variant>
        <vt:i4>5</vt:i4>
      </vt:variant>
      <vt:variant>
        <vt:lpwstr/>
      </vt:variant>
      <vt:variant>
        <vt:lpwstr>_Toc235024201</vt:lpwstr>
      </vt:variant>
      <vt:variant>
        <vt:i4>1048631</vt:i4>
      </vt:variant>
      <vt:variant>
        <vt:i4>356</vt:i4>
      </vt:variant>
      <vt:variant>
        <vt:i4>0</vt:i4>
      </vt:variant>
      <vt:variant>
        <vt:i4>5</vt:i4>
      </vt:variant>
      <vt:variant>
        <vt:lpwstr/>
      </vt:variant>
      <vt:variant>
        <vt:lpwstr>_Toc235024200</vt:lpwstr>
      </vt:variant>
      <vt:variant>
        <vt:i4>1638452</vt:i4>
      </vt:variant>
      <vt:variant>
        <vt:i4>350</vt:i4>
      </vt:variant>
      <vt:variant>
        <vt:i4>0</vt:i4>
      </vt:variant>
      <vt:variant>
        <vt:i4>5</vt:i4>
      </vt:variant>
      <vt:variant>
        <vt:lpwstr/>
      </vt:variant>
      <vt:variant>
        <vt:lpwstr>_Toc235024199</vt:lpwstr>
      </vt:variant>
      <vt:variant>
        <vt:i4>1638452</vt:i4>
      </vt:variant>
      <vt:variant>
        <vt:i4>344</vt:i4>
      </vt:variant>
      <vt:variant>
        <vt:i4>0</vt:i4>
      </vt:variant>
      <vt:variant>
        <vt:i4>5</vt:i4>
      </vt:variant>
      <vt:variant>
        <vt:lpwstr/>
      </vt:variant>
      <vt:variant>
        <vt:lpwstr>_Toc235024198</vt:lpwstr>
      </vt:variant>
      <vt:variant>
        <vt:i4>1638452</vt:i4>
      </vt:variant>
      <vt:variant>
        <vt:i4>338</vt:i4>
      </vt:variant>
      <vt:variant>
        <vt:i4>0</vt:i4>
      </vt:variant>
      <vt:variant>
        <vt:i4>5</vt:i4>
      </vt:variant>
      <vt:variant>
        <vt:lpwstr/>
      </vt:variant>
      <vt:variant>
        <vt:lpwstr>_Toc235024197</vt:lpwstr>
      </vt:variant>
      <vt:variant>
        <vt:i4>1638452</vt:i4>
      </vt:variant>
      <vt:variant>
        <vt:i4>332</vt:i4>
      </vt:variant>
      <vt:variant>
        <vt:i4>0</vt:i4>
      </vt:variant>
      <vt:variant>
        <vt:i4>5</vt:i4>
      </vt:variant>
      <vt:variant>
        <vt:lpwstr/>
      </vt:variant>
      <vt:variant>
        <vt:lpwstr>_Toc235024196</vt:lpwstr>
      </vt:variant>
      <vt:variant>
        <vt:i4>1638452</vt:i4>
      </vt:variant>
      <vt:variant>
        <vt:i4>326</vt:i4>
      </vt:variant>
      <vt:variant>
        <vt:i4>0</vt:i4>
      </vt:variant>
      <vt:variant>
        <vt:i4>5</vt:i4>
      </vt:variant>
      <vt:variant>
        <vt:lpwstr/>
      </vt:variant>
      <vt:variant>
        <vt:lpwstr>_Toc235024195</vt:lpwstr>
      </vt:variant>
      <vt:variant>
        <vt:i4>1638452</vt:i4>
      </vt:variant>
      <vt:variant>
        <vt:i4>320</vt:i4>
      </vt:variant>
      <vt:variant>
        <vt:i4>0</vt:i4>
      </vt:variant>
      <vt:variant>
        <vt:i4>5</vt:i4>
      </vt:variant>
      <vt:variant>
        <vt:lpwstr/>
      </vt:variant>
      <vt:variant>
        <vt:lpwstr>_Toc235024194</vt:lpwstr>
      </vt:variant>
      <vt:variant>
        <vt:i4>1638452</vt:i4>
      </vt:variant>
      <vt:variant>
        <vt:i4>314</vt:i4>
      </vt:variant>
      <vt:variant>
        <vt:i4>0</vt:i4>
      </vt:variant>
      <vt:variant>
        <vt:i4>5</vt:i4>
      </vt:variant>
      <vt:variant>
        <vt:lpwstr/>
      </vt:variant>
      <vt:variant>
        <vt:lpwstr>_Toc235024193</vt:lpwstr>
      </vt:variant>
      <vt:variant>
        <vt:i4>1638452</vt:i4>
      </vt:variant>
      <vt:variant>
        <vt:i4>308</vt:i4>
      </vt:variant>
      <vt:variant>
        <vt:i4>0</vt:i4>
      </vt:variant>
      <vt:variant>
        <vt:i4>5</vt:i4>
      </vt:variant>
      <vt:variant>
        <vt:lpwstr/>
      </vt:variant>
      <vt:variant>
        <vt:lpwstr>_Toc235024192</vt:lpwstr>
      </vt:variant>
      <vt:variant>
        <vt:i4>1638452</vt:i4>
      </vt:variant>
      <vt:variant>
        <vt:i4>302</vt:i4>
      </vt:variant>
      <vt:variant>
        <vt:i4>0</vt:i4>
      </vt:variant>
      <vt:variant>
        <vt:i4>5</vt:i4>
      </vt:variant>
      <vt:variant>
        <vt:lpwstr/>
      </vt:variant>
      <vt:variant>
        <vt:lpwstr>_Toc235024191</vt:lpwstr>
      </vt:variant>
      <vt:variant>
        <vt:i4>1638452</vt:i4>
      </vt:variant>
      <vt:variant>
        <vt:i4>296</vt:i4>
      </vt:variant>
      <vt:variant>
        <vt:i4>0</vt:i4>
      </vt:variant>
      <vt:variant>
        <vt:i4>5</vt:i4>
      </vt:variant>
      <vt:variant>
        <vt:lpwstr/>
      </vt:variant>
      <vt:variant>
        <vt:lpwstr>_Toc235024190</vt:lpwstr>
      </vt:variant>
      <vt:variant>
        <vt:i4>1572916</vt:i4>
      </vt:variant>
      <vt:variant>
        <vt:i4>290</vt:i4>
      </vt:variant>
      <vt:variant>
        <vt:i4>0</vt:i4>
      </vt:variant>
      <vt:variant>
        <vt:i4>5</vt:i4>
      </vt:variant>
      <vt:variant>
        <vt:lpwstr/>
      </vt:variant>
      <vt:variant>
        <vt:lpwstr>_Toc235024189</vt:lpwstr>
      </vt:variant>
      <vt:variant>
        <vt:i4>1572916</vt:i4>
      </vt:variant>
      <vt:variant>
        <vt:i4>284</vt:i4>
      </vt:variant>
      <vt:variant>
        <vt:i4>0</vt:i4>
      </vt:variant>
      <vt:variant>
        <vt:i4>5</vt:i4>
      </vt:variant>
      <vt:variant>
        <vt:lpwstr/>
      </vt:variant>
      <vt:variant>
        <vt:lpwstr>_Toc235024188</vt:lpwstr>
      </vt:variant>
      <vt:variant>
        <vt:i4>1572916</vt:i4>
      </vt:variant>
      <vt:variant>
        <vt:i4>278</vt:i4>
      </vt:variant>
      <vt:variant>
        <vt:i4>0</vt:i4>
      </vt:variant>
      <vt:variant>
        <vt:i4>5</vt:i4>
      </vt:variant>
      <vt:variant>
        <vt:lpwstr/>
      </vt:variant>
      <vt:variant>
        <vt:lpwstr>_Toc235024187</vt:lpwstr>
      </vt:variant>
      <vt:variant>
        <vt:i4>1572916</vt:i4>
      </vt:variant>
      <vt:variant>
        <vt:i4>272</vt:i4>
      </vt:variant>
      <vt:variant>
        <vt:i4>0</vt:i4>
      </vt:variant>
      <vt:variant>
        <vt:i4>5</vt:i4>
      </vt:variant>
      <vt:variant>
        <vt:lpwstr/>
      </vt:variant>
      <vt:variant>
        <vt:lpwstr>_Toc235024186</vt:lpwstr>
      </vt:variant>
      <vt:variant>
        <vt:i4>1572916</vt:i4>
      </vt:variant>
      <vt:variant>
        <vt:i4>266</vt:i4>
      </vt:variant>
      <vt:variant>
        <vt:i4>0</vt:i4>
      </vt:variant>
      <vt:variant>
        <vt:i4>5</vt:i4>
      </vt:variant>
      <vt:variant>
        <vt:lpwstr/>
      </vt:variant>
      <vt:variant>
        <vt:lpwstr>_Toc235024185</vt:lpwstr>
      </vt:variant>
      <vt:variant>
        <vt:i4>1572916</vt:i4>
      </vt:variant>
      <vt:variant>
        <vt:i4>260</vt:i4>
      </vt:variant>
      <vt:variant>
        <vt:i4>0</vt:i4>
      </vt:variant>
      <vt:variant>
        <vt:i4>5</vt:i4>
      </vt:variant>
      <vt:variant>
        <vt:lpwstr/>
      </vt:variant>
      <vt:variant>
        <vt:lpwstr>_Toc235024184</vt:lpwstr>
      </vt:variant>
      <vt:variant>
        <vt:i4>1572916</vt:i4>
      </vt:variant>
      <vt:variant>
        <vt:i4>254</vt:i4>
      </vt:variant>
      <vt:variant>
        <vt:i4>0</vt:i4>
      </vt:variant>
      <vt:variant>
        <vt:i4>5</vt:i4>
      </vt:variant>
      <vt:variant>
        <vt:lpwstr/>
      </vt:variant>
      <vt:variant>
        <vt:lpwstr>_Toc235024183</vt:lpwstr>
      </vt:variant>
      <vt:variant>
        <vt:i4>1572916</vt:i4>
      </vt:variant>
      <vt:variant>
        <vt:i4>248</vt:i4>
      </vt:variant>
      <vt:variant>
        <vt:i4>0</vt:i4>
      </vt:variant>
      <vt:variant>
        <vt:i4>5</vt:i4>
      </vt:variant>
      <vt:variant>
        <vt:lpwstr/>
      </vt:variant>
      <vt:variant>
        <vt:lpwstr>_Toc235024182</vt:lpwstr>
      </vt:variant>
      <vt:variant>
        <vt:i4>1572916</vt:i4>
      </vt:variant>
      <vt:variant>
        <vt:i4>242</vt:i4>
      </vt:variant>
      <vt:variant>
        <vt:i4>0</vt:i4>
      </vt:variant>
      <vt:variant>
        <vt:i4>5</vt:i4>
      </vt:variant>
      <vt:variant>
        <vt:lpwstr/>
      </vt:variant>
      <vt:variant>
        <vt:lpwstr>_Toc235024181</vt:lpwstr>
      </vt:variant>
      <vt:variant>
        <vt:i4>1572916</vt:i4>
      </vt:variant>
      <vt:variant>
        <vt:i4>236</vt:i4>
      </vt:variant>
      <vt:variant>
        <vt:i4>0</vt:i4>
      </vt:variant>
      <vt:variant>
        <vt:i4>5</vt:i4>
      </vt:variant>
      <vt:variant>
        <vt:lpwstr/>
      </vt:variant>
      <vt:variant>
        <vt:lpwstr>_Toc235024180</vt:lpwstr>
      </vt:variant>
      <vt:variant>
        <vt:i4>1507380</vt:i4>
      </vt:variant>
      <vt:variant>
        <vt:i4>230</vt:i4>
      </vt:variant>
      <vt:variant>
        <vt:i4>0</vt:i4>
      </vt:variant>
      <vt:variant>
        <vt:i4>5</vt:i4>
      </vt:variant>
      <vt:variant>
        <vt:lpwstr/>
      </vt:variant>
      <vt:variant>
        <vt:lpwstr>_Toc235024179</vt:lpwstr>
      </vt:variant>
      <vt:variant>
        <vt:i4>1507380</vt:i4>
      </vt:variant>
      <vt:variant>
        <vt:i4>224</vt:i4>
      </vt:variant>
      <vt:variant>
        <vt:i4>0</vt:i4>
      </vt:variant>
      <vt:variant>
        <vt:i4>5</vt:i4>
      </vt:variant>
      <vt:variant>
        <vt:lpwstr/>
      </vt:variant>
      <vt:variant>
        <vt:lpwstr>_Toc235024178</vt:lpwstr>
      </vt:variant>
      <vt:variant>
        <vt:i4>1507380</vt:i4>
      </vt:variant>
      <vt:variant>
        <vt:i4>218</vt:i4>
      </vt:variant>
      <vt:variant>
        <vt:i4>0</vt:i4>
      </vt:variant>
      <vt:variant>
        <vt:i4>5</vt:i4>
      </vt:variant>
      <vt:variant>
        <vt:lpwstr/>
      </vt:variant>
      <vt:variant>
        <vt:lpwstr>_Toc235024177</vt:lpwstr>
      </vt:variant>
      <vt:variant>
        <vt:i4>1507380</vt:i4>
      </vt:variant>
      <vt:variant>
        <vt:i4>212</vt:i4>
      </vt:variant>
      <vt:variant>
        <vt:i4>0</vt:i4>
      </vt:variant>
      <vt:variant>
        <vt:i4>5</vt:i4>
      </vt:variant>
      <vt:variant>
        <vt:lpwstr/>
      </vt:variant>
      <vt:variant>
        <vt:lpwstr>_Toc235024176</vt:lpwstr>
      </vt:variant>
      <vt:variant>
        <vt:i4>1507380</vt:i4>
      </vt:variant>
      <vt:variant>
        <vt:i4>206</vt:i4>
      </vt:variant>
      <vt:variant>
        <vt:i4>0</vt:i4>
      </vt:variant>
      <vt:variant>
        <vt:i4>5</vt:i4>
      </vt:variant>
      <vt:variant>
        <vt:lpwstr/>
      </vt:variant>
      <vt:variant>
        <vt:lpwstr>_Toc235024175</vt:lpwstr>
      </vt:variant>
      <vt:variant>
        <vt:i4>1507380</vt:i4>
      </vt:variant>
      <vt:variant>
        <vt:i4>200</vt:i4>
      </vt:variant>
      <vt:variant>
        <vt:i4>0</vt:i4>
      </vt:variant>
      <vt:variant>
        <vt:i4>5</vt:i4>
      </vt:variant>
      <vt:variant>
        <vt:lpwstr/>
      </vt:variant>
      <vt:variant>
        <vt:lpwstr>_Toc235024174</vt:lpwstr>
      </vt:variant>
      <vt:variant>
        <vt:i4>1507380</vt:i4>
      </vt:variant>
      <vt:variant>
        <vt:i4>194</vt:i4>
      </vt:variant>
      <vt:variant>
        <vt:i4>0</vt:i4>
      </vt:variant>
      <vt:variant>
        <vt:i4>5</vt:i4>
      </vt:variant>
      <vt:variant>
        <vt:lpwstr/>
      </vt:variant>
      <vt:variant>
        <vt:lpwstr>_Toc235024173</vt:lpwstr>
      </vt:variant>
      <vt:variant>
        <vt:i4>1507380</vt:i4>
      </vt:variant>
      <vt:variant>
        <vt:i4>188</vt:i4>
      </vt:variant>
      <vt:variant>
        <vt:i4>0</vt:i4>
      </vt:variant>
      <vt:variant>
        <vt:i4>5</vt:i4>
      </vt:variant>
      <vt:variant>
        <vt:lpwstr/>
      </vt:variant>
      <vt:variant>
        <vt:lpwstr>_Toc235024172</vt:lpwstr>
      </vt:variant>
      <vt:variant>
        <vt:i4>1507380</vt:i4>
      </vt:variant>
      <vt:variant>
        <vt:i4>182</vt:i4>
      </vt:variant>
      <vt:variant>
        <vt:i4>0</vt:i4>
      </vt:variant>
      <vt:variant>
        <vt:i4>5</vt:i4>
      </vt:variant>
      <vt:variant>
        <vt:lpwstr/>
      </vt:variant>
      <vt:variant>
        <vt:lpwstr>_Toc235024171</vt:lpwstr>
      </vt:variant>
      <vt:variant>
        <vt:i4>1507380</vt:i4>
      </vt:variant>
      <vt:variant>
        <vt:i4>176</vt:i4>
      </vt:variant>
      <vt:variant>
        <vt:i4>0</vt:i4>
      </vt:variant>
      <vt:variant>
        <vt:i4>5</vt:i4>
      </vt:variant>
      <vt:variant>
        <vt:lpwstr/>
      </vt:variant>
      <vt:variant>
        <vt:lpwstr>_Toc235024170</vt:lpwstr>
      </vt:variant>
      <vt:variant>
        <vt:i4>1441844</vt:i4>
      </vt:variant>
      <vt:variant>
        <vt:i4>170</vt:i4>
      </vt:variant>
      <vt:variant>
        <vt:i4>0</vt:i4>
      </vt:variant>
      <vt:variant>
        <vt:i4>5</vt:i4>
      </vt:variant>
      <vt:variant>
        <vt:lpwstr/>
      </vt:variant>
      <vt:variant>
        <vt:lpwstr>_Toc235024169</vt:lpwstr>
      </vt:variant>
      <vt:variant>
        <vt:i4>1441844</vt:i4>
      </vt:variant>
      <vt:variant>
        <vt:i4>164</vt:i4>
      </vt:variant>
      <vt:variant>
        <vt:i4>0</vt:i4>
      </vt:variant>
      <vt:variant>
        <vt:i4>5</vt:i4>
      </vt:variant>
      <vt:variant>
        <vt:lpwstr/>
      </vt:variant>
      <vt:variant>
        <vt:lpwstr>_Toc235024168</vt:lpwstr>
      </vt:variant>
      <vt:variant>
        <vt:i4>1441844</vt:i4>
      </vt:variant>
      <vt:variant>
        <vt:i4>158</vt:i4>
      </vt:variant>
      <vt:variant>
        <vt:i4>0</vt:i4>
      </vt:variant>
      <vt:variant>
        <vt:i4>5</vt:i4>
      </vt:variant>
      <vt:variant>
        <vt:lpwstr/>
      </vt:variant>
      <vt:variant>
        <vt:lpwstr>_Toc235024167</vt:lpwstr>
      </vt:variant>
      <vt:variant>
        <vt:i4>1441844</vt:i4>
      </vt:variant>
      <vt:variant>
        <vt:i4>152</vt:i4>
      </vt:variant>
      <vt:variant>
        <vt:i4>0</vt:i4>
      </vt:variant>
      <vt:variant>
        <vt:i4>5</vt:i4>
      </vt:variant>
      <vt:variant>
        <vt:lpwstr/>
      </vt:variant>
      <vt:variant>
        <vt:lpwstr>_Toc235024166</vt:lpwstr>
      </vt:variant>
      <vt:variant>
        <vt:i4>1441844</vt:i4>
      </vt:variant>
      <vt:variant>
        <vt:i4>146</vt:i4>
      </vt:variant>
      <vt:variant>
        <vt:i4>0</vt:i4>
      </vt:variant>
      <vt:variant>
        <vt:i4>5</vt:i4>
      </vt:variant>
      <vt:variant>
        <vt:lpwstr/>
      </vt:variant>
      <vt:variant>
        <vt:lpwstr>_Toc235024165</vt:lpwstr>
      </vt:variant>
      <vt:variant>
        <vt:i4>1441844</vt:i4>
      </vt:variant>
      <vt:variant>
        <vt:i4>140</vt:i4>
      </vt:variant>
      <vt:variant>
        <vt:i4>0</vt:i4>
      </vt:variant>
      <vt:variant>
        <vt:i4>5</vt:i4>
      </vt:variant>
      <vt:variant>
        <vt:lpwstr/>
      </vt:variant>
      <vt:variant>
        <vt:lpwstr>_Toc235024164</vt:lpwstr>
      </vt:variant>
      <vt:variant>
        <vt:i4>1441844</vt:i4>
      </vt:variant>
      <vt:variant>
        <vt:i4>134</vt:i4>
      </vt:variant>
      <vt:variant>
        <vt:i4>0</vt:i4>
      </vt:variant>
      <vt:variant>
        <vt:i4>5</vt:i4>
      </vt:variant>
      <vt:variant>
        <vt:lpwstr/>
      </vt:variant>
      <vt:variant>
        <vt:lpwstr>_Toc235024163</vt:lpwstr>
      </vt:variant>
      <vt:variant>
        <vt:i4>1441844</vt:i4>
      </vt:variant>
      <vt:variant>
        <vt:i4>128</vt:i4>
      </vt:variant>
      <vt:variant>
        <vt:i4>0</vt:i4>
      </vt:variant>
      <vt:variant>
        <vt:i4>5</vt:i4>
      </vt:variant>
      <vt:variant>
        <vt:lpwstr/>
      </vt:variant>
      <vt:variant>
        <vt:lpwstr>_Toc235024162</vt:lpwstr>
      </vt:variant>
      <vt:variant>
        <vt:i4>1441844</vt:i4>
      </vt:variant>
      <vt:variant>
        <vt:i4>122</vt:i4>
      </vt:variant>
      <vt:variant>
        <vt:i4>0</vt:i4>
      </vt:variant>
      <vt:variant>
        <vt:i4>5</vt:i4>
      </vt:variant>
      <vt:variant>
        <vt:lpwstr/>
      </vt:variant>
      <vt:variant>
        <vt:lpwstr>_Toc235024161</vt:lpwstr>
      </vt:variant>
      <vt:variant>
        <vt:i4>1441844</vt:i4>
      </vt:variant>
      <vt:variant>
        <vt:i4>116</vt:i4>
      </vt:variant>
      <vt:variant>
        <vt:i4>0</vt:i4>
      </vt:variant>
      <vt:variant>
        <vt:i4>5</vt:i4>
      </vt:variant>
      <vt:variant>
        <vt:lpwstr/>
      </vt:variant>
      <vt:variant>
        <vt:lpwstr>_Toc235024160</vt:lpwstr>
      </vt:variant>
      <vt:variant>
        <vt:i4>1376308</vt:i4>
      </vt:variant>
      <vt:variant>
        <vt:i4>110</vt:i4>
      </vt:variant>
      <vt:variant>
        <vt:i4>0</vt:i4>
      </vt:variant>
      <vt:variant>
        <vt:i4>5</vt:i4>
      </vt:variant>
      <vt:variant>
        <vt:lpwstr/>
      </vt:variant>
      <vt:variant>
        <vt:lpwstr>_Toc235024159</vt:lpwstr>
      </vt:variant>
      <vt:variant>
        <vt:i4>1376308</vt:i4>
      </vt:variant>
      <vt:variant>
        <vt:i4>104</vt:i4>
      </vt:variant>
      <vt:variant>
        <vt:i4>0</vt:i4>
      </vt:variant>
      <vt:variant>
        <vt:i4>5</vt:i4>
      </vt:variant>
      <vt:variant>
        <vt:lpwstr/>
      </vt:variant>
      <vt:variant>
        <vt:lpwstr>_Toc235024158</vt:lpwstr>
      </vt:variant>
      <vt:variant>
        <vt:i4>1376308</vt:i4>
      </vt:variant>
      <vt:variant>
        <vt:i4>98</vt:i4>
      </vt:variant>
      <vt:variant>
        <vt:i4>0</vt:i4>
      </vt:variant>
      <vt:variant>
        <vt:i4>5</vt:i4>
      </vt:variant>
      <vt:variant>
        <vt:lpwstr/>
      </vt:variant>
      <vt:variant>
        <vt:lpwstr>_Toc235024157</vt:lpwstr>
      </vt:variant>
      <vt:variant>
        <vt:i4>1376308</vt:i4>
      </vt:variant>
      <vt:variant>
        <vt:i4>92</vt:i4>
      </vt:variant>
      <vt:variant>
        <vt:i4>0</vt:i4>
      </vt:variant>
      <vt:variant>
        <vt:i4>5</vt:i4>
      </vt:variant>
      <vt:variant>
        <vt:lpwstr/>
      </vt:variant>
      <vt:variant>
        <vt:lpwstr>_Toc235024156</vt:lpwstr>
      </vt:variant>
      <vt:variant>
        <vt:i4>1376308</vt:i4>
      </vt:variant>
      <vt:variant>
        <vt:i4>86</vt:i4>
      </vt:variant>
      <vt:variant>
        <vt:i4>0</vt:i4>
      </vt:variant>
      <vt:variant>
        <vt:i4>5</vt:i4>
      </vt:variant>
      <vt:variant>
        <vt:lpwstr/>
      </vt:variant>
      <vt:variant>
        <vt:lpwstr>_Toc235024155</vt:lpwstr>
      </vt:variant>
      <vt:variant>
        <vt:i4>1376308</vt:i4>
      </vt:variant>
      <vt:variant>
        <vt:i4>80</vt:i4>
      </vt:variant>
      <vt:variant>
        <vt:i4>0</vt:i4>
      </vt:variant>
      <vt:variant>
        <vt:i4>5</vt:i4>
      </vt:variant>
      <vt:variant>
        <vt:lpwstr/>
      </vt:variant>
      <vt:variant>
        <vt:lpwstr>_Toc235024154</vt:lpwstr>
      </vt:variant>
      <vt:variant>
        <vt:i4>1376308</vt:i4>
      </vt:variant>
      <vt:variant>
        <vt:i4>74</vt:i4>
      </vt:variant>
      <vt:variant>
        <vt:i4>0</vt:i4>
      </vt:variant>
      <vt:variant>
        <vt:i4>5</vt:i4>
      </vt:variant>
      <vt:variant>
        <vt:lpwstr/>
      </vt:variant>
      <vt:variant>
        <vt:lpwstr>_Toc235024153</vt:lpwstr>
      </vt:variant>
      <vt:variant>
        <vt:i4>1376308</vt:i4>
      </vt:variant>
      <vt:variant>
        <vt:i4>68</vt:i4>
      </vt:variant>
      <vt:variant>
        <vt:i4>0</vt:i4>
      </vt:variant>
      <vt:variant>
        <vt:i4>5</vt:i4>
      </vt:variant>
      <vt:variant>
        <vt:lpwstr/>
      </vt:variant>
      <vt:variant>
        <vt:lpwstr>_Toc235024152</vt:lpwstr>
      </vt:variant>
      <vt:variant>
        <vt:i4>1376308</vt:i4>
      </vt:variant>
      <vt:variant>
        <vt:i4>62</vt:i4>
      </vt:variant>
      <vt:variant>
        <vt:i4>0</vt:i4>
      </vt:variant>
      <vt:variant>
        <vt:i4>5</vt:i4>
      </vt:variant>
      <vt:variant>
        <vt:lpwstr/>
      </vt:variant>
      <vt:variant>
        <vt:lpwstr>_Toc235024151</vt:lpwstr>
      </vt:variant>
      <vt:variant>
        <vt:i4>1376308</vt:i4>
      </vt:variant>
      <vt:variant>
        <vt:i4>56</vt:i4>
      </vt:variant>
      <vt:variant>
        <vt:i4>0</vt:i4>
      </vt:variant>
      <vt:variant>
        <vt:i4>5</vt:i4>
      </vt:variant>
      <vt:variant>
        <vt:lpwstr/>
      </vt:variant>
      <vt:variant>
        <vt:lpwstr>_Toc235024150</vt:lpwstr>
      </vt:variant>
      <vt:variant>
        <vt:i4>1310772</vt:i4>
      </vt:variant>
      <vt:variant>
        <vt:i4>50</vt:i4>
      </vt:variant>
      <vt:variant>
        <vt:i4>0</vt:i4>
      </vt:variant>
      <vt:variant>
        <vt:i4>5</vt:i4>
      </vt:variant>
      <vt:variant>
        <vt:lpwstr/>
      </vt:variant>
      <vt:variant>
        <vt:lpwstr>_Toc235024149</vt:lpwstr>
      </vt:variant>
      <vt:variant>
        <vt:i4>1310772</vt:i4>
      </vt:variant>
      <vt:variant>
        <vt:i4>44</vt:i4>
      </vt:variant>
      <vt:variant>
        <vt:i4>0</vt:i4>
      </vt:variant>
      <vt:variant>
        <vt:i4>5</vt:i4>
      </vt:variant>
      <vt:variant>
        <vt:lpwstr/>
      </vt:variant>
      <vt:variant>
        <vt:lpwstr>_Toc235024148</vt:lpwstr>
      </vt:variant>
      <vt:variant>
        <vt:i4>1310772</vt:i4>
      </vt:variant>
      <vt:variant>
        <vt:i4>38</vt:i4>
      </vt:variant>
      <vt:variant>
        <vt:i4>0</vt:i4>
      </vt:variant>
      <vt:variant>
        <vt:i4>5</vt:i4>
      </vt:variant>
      <vt:variant>
        <vt:lpwstr/>
      </vt:variant>
      <vt:variant>
        <vt:lpwstr>_Toc235024147</vt:lpwstr>
      </vt:variant>
      <vt:variant>
        <vt:i4>1310772</vt:i4>
      </vt:variant>
      <vt:variant>
        <vt:i4>32</vt:i4>
      </vt:variant>
      <vt:variant>
        <vt:i4>0</vt:i4>
      </vt:variant>
      <vt:variant>
        <vt:i4>5</vt:i4>
      </vt:variant>
      <vt:variant>
        <vt:lpwstr/>
      </vt:variant>
      <vt:variant>
        <vt:lpwstr>_Toc235024146</vt:lpwstr>
      </vt:variant>
      <vt:variant>
        <vt:i4>1310772</vt:i4>
      </vt:variant>
      <vt:variant>
        <vt:i4>26</vt:i4>
      </vt:variant>
      <vt:variant>
        <vt:i4>0</vt:i4>
      </vt:variant>
      <vt:variant>
        <vt:i4>5</vt:i4>
      </vt:variant>
      <vt:variant>
        <vt:lpwstr/>
      </vt:variant>
      <vt:variant>
        <vt:lpwstr>_Toc235024145</vt:lpwstr>
      </vt:variant>
      <vt:variant>
        <vt:i4>1310772</vt:i4>
      </vt:variant>
      <vt:variant>
        <vt:i4>20</vt:i4>
      </vt:variant>
      <vt:variant>
        <vt:i4>0</vt:i4>
      </vt:variant>
      <vt:variant>
        <vt:i4>5</vt:i4>
      </vt:variant>
      <vt:variant>
        <vt:lpwstr/>
      </vt:variant>
      <vt:variant>
        <vt:lpwstr>_Toc235024144</vt:lpwstr>
      </vt:variant>
      <vt:variant>
        <vt:i4>1310772</vt:i4>
      </vt:variant>
      <vt:variant>
        <vt:i4>14</vt:i4>
      </vt:variant>
      <vt:variant>
        <vt:i4>0</vt:i4>
      </vt:variant>
      <vt:variant>
        <vt:i4>5</vt:i4>
      </vt:variant>
      <vt:variant>
        <vt:lpwstr/>
      </vt:variant>
      <vt:variant>
        <vt:lpwstr>_Toc235024143</vt:lpwstr>
      </vt:variant>
      <vt:variant>
        <vt:i4>1310772</vt:i4>
      </vt:variant>
      <vt:variant>
        <vt:i4>8</vt:i4>
      </vt:variant>
      <vt:variant>
        <vt:i4>0</vt:i4>
      </vt:variant>
      <vt:variant>
        <vt:i4>5</vt:i4>
      </vt:variant>
      <vt:variant>
        <vt:lpwstr/>
      </vt:variant>
      <vt:variant>
        <vt:lpwstr>_Toc235024142</vt:lpwstr>
      </vt:variant>
      <vt:variant>
        <vt:i4>1310772</vt:i4>
      </vt:variant>
      <vt:variant>
        <vt:i4>2</vt:i4>
      </vt:variant>
      <vt:variant>
        <vt:i4>0</vt:i4>
      </vt:variant>
      <vt:variant>
        <vt:i4>5</vt:i4>
      </vt:variant>
      <vt:variant>
        <vt:lpwstr/>
      </vt:variant>
      <vt:variant>
        <vt:lpwstr>_Toc235024141</vt:lpwstr>
      </vt:variant>
      <vt:variant>
        <vt:i4>3670123</vt:i4>
      </vt:variant>
      <vt:variant>
        <vt:i4>0</vt:i4>
      </vt:variant>
      <vt:variant>
        <vt:i4>0</vt:i4>
      </vt:variant>
      <vt:variant>
        <vt:i4>5</vt:i4>
      </vt:variant>
      <vt:variant>
        <vt:lpwstr>https://www.cenit-transporte.com/glp-3/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espacios (Interlineado sencillo)</dc:title>
  <dc:subject/>
  <dc:creator>Creg189</dc:creator>
  <cp:keywords/>
  <dc:description/>
  <cp:lastModifiedBy>Luz Maria Ospina Gutierrez</cp:lastModifiedBy>
  <cp:revision>409</cp:revision>
  <cp:lastPrinted>2021-03-20T00:44:00Z</cp:lastPrinted>
  <dcterms:created xsi:type="dcterms:W3CDTF">2026-07-14T18:24:00Z</dcterms:created>
  <dcterms:modified xsi:type="dcterms:W3CDTF">2026-07-17T03:15:00Z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Transcription">
    <vt:lpwstr>{"storageType":"DocumentStorage","descriptor":{"transcription":{"transcriptSegments":[{"text":"La psdb.","language":"es","start":1.67,"end":3},{"text":"Mantienen los niveles de la versión anterior.","language":"es","start":4.529999999999999,"end":7.559999</vt:lpwstr>
  </property>
  <property fmtid="{D5CDD505-2E9C-101B-9397-08002B2CF9AE}" pid="3" name="MediaServiceImageTags">
    <vt:lpwstr/>
  </property>
  <property fmtid="{D5CDD505-2E9C-101B-9397-08002B2CF9AE}" pid="4" name="ContentTypeId">
    <vt:lpwstr>0x010100DCDD0B26ABEDD0459BD4267A57D8442E</vt:lpwstr>
  </property>
</Properties>
</file>