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5057" w14:textId="6FC3AC09" w:rsidR="009A2F0E" w:rsidRDefault="00FC2BC2" w:rsidP="009A2F0E">
      <w:pPr>
        <w:spacing w:after="0" w:line="240" w:lineRule="atLeast"/>
        <w:jc w:val="center"/>
        <w:rPr>
          <w:rFonts w:asciiTheme="majorHAnsi" w:hAnsiTheme="majorHAnsi"/>
          <w:b/>
          <w:color w:val="156082" w:themeColor="accent1"/>
          <w:kern w:val="0"/>
          <w:sz w:val="28"/>
          <w:szCs w:val="28"/>
          <w:lang w:val="es-ES"/>
          <w14:ligatures w14:val="none"/>
        </w:rPr>
      </w:pPr>
      <w:r w:rsidRPr="009A2F0E">
        <w:rPr>
          <w:rFonts w:asciiTheme="majorHAnsi" w:hAnsiTheme="majorHAnsi"/>
          <w:b/>
          <w:color w:val="156082" w:themeColor="accent1"/>
          <w:kern w:val="0"/>
          <w:sz w:val="28"/>
          <w:szCs w:val="28"/>
          <w:lang w:val="es-ES"/>
          <w14:ligatures w14:val="none"/>
        </w:rPr>
        <w:t xml:space="preserve">MANUAL DE </w:t>
      </w:r>
      <w:r w:rsidR="00250EF4" w:rsidRPr="009A2F0E">
        <w:rPr>
          <w:rFonts w:asciiTheme="majorHAnsi" w:hAnsiTheme="majorHAnsi"/>
          <w:b/>
          <w:color w:val="156082" w:themeColor="accent1"/>
          <w:kern w:val="0"/>
          <w:sz w:val="28"/>
          <w:szCs w:val="28"/>
          <w:lang w:val="es-ES"/>
          <w14:ligatures w14:val="none"/>
        </w:rPr>
        <w:t xml:space="preserve">CAMBIOS EN LOS FORMATOS DE AOM </w:t>
      </w:r>
      <w:r w:rsidR="00254D48" w:rsidRPr="009A2F0E">
        <w:rPr>
          <w:rFonts w:asciiTheme="majorHAnsi" w:hAnsiTheme="majorHAnsi"/>
          <w:b/>
          <w:color w:val="156082" w:themeColor="accent1"/>
          <w:kern w:val="0"/>
          <w:sz w:val="28"/>
          <w:szCs w:val="28"/>
          <w:lang w:val="es-ES"/>
          <w14:ligatures w14:val="none"/>
        </w:rPr>
        <w:t xml:space="preserve">PARA DISTRIBUIDORES </w:t>
      </w:r>
      <w:r w:rsidR="0052610F">
        <w:rPr>
          <w:rFonts w:asciiTheme="majorHAnsi" w:hAnsiTheme="majorHAnsi"/>
          <w:b/>
          <w:color w:val="156082" w:themeColor="accent1"/>
          <w:kern w:val="0"/>
          <w:sz w:val="28"/>
          <w:szCs w:val="28"/>
          <w:lang w:val="es-ES"/>
          <w14:ligatures w14:val="none"/>
        </w:rPr>
        <w:t xml:space="preserve">MINORISTAS </w:t>
      </w:r>
      <w:r w:rsidR="00254D48" w:rsidRPr="009A2F0E">
        <w:rPr>
          <w:rFonts w:asciiTheme="majorHAnsi" w:hAnsiTheme="majorHAnsi"/>
          <w:b/>
          <w:color w:val="156082" w:themeColor="accent1"/>
          <w:kern w:val="0"/>
          <w:sz w:val="28"/>
          <w:szCs w:val="28"/>
          <w:lang w:val="es-ES"/>
          <w14:ligatures w14:val="none"/>
        </w:rPr>
        <w:t>DE COMBUSTIBLES LÍQUIDOS</w:t>
      </w:r>
    </w:p>
    <w:p w14:paraId="2633F31B" w14:textId="77777777" w:rsidR="009A2F0E" w:rsidRPr="009A2F0E" w:rsidRDefault="009A2F0E" w:rsidP="009A2F0E">
      <w:pPr>
        <w:spacing w:after="0" w:line="240" w:lineRule="atLeast"/>
        <w:rPr>
          <w:rFonts w:asciiTheme="majorHAnsi" w:hAnsiTheme="majorHAnsi"/>
          <w:b/>
          <w:color w:val="156082" w:themeColor="accent1"/>
          <w:kern w:val="0"/>
          <w:sz w:val="28"/>
          <w:szCs w:val="28"/>
          <w:lang w:val="es-ES"/>
          <w14:ligatures w14:val="none"/>
        </w:rPr>
      </w:pPr>
    </w:p>
    <w:p w14:paraId="6864BD05" w14:textId="66193D7D" w:rsidR="009A2F0E" w:rsidRPr="009A2F0E" w:rsidRDefault="00D64A16" w:rsidP="00FC1426">
      <w:pPr>
        <w:pStyle w:val="Ttulogrande"/>
        <w:rPr>
          <w:rFonts w:asciiTheme="minorHAnsi" w:hAnsiTheme="minorHAnsi"/>
          <w:b/>
          <w:sz w:val="26"/>
          <w:szCs w:val="26"/>
          <w:u w:val="single"/>
        </w:rPr>
      </w:pPr>
      <w:r w:rsidRPr="009A2F0E">
        <w:rPr>
          <w:rFonts w:asciiTheme="minorHAnsi" w:hAnsiTheme="minorHAnsi"/>
          <w:b/>
          <w:sz w:val="26"/>
          <w:szCs w:val="26"/>
          <w:u w:val="single"/>
        </w:rPr>
        <w:t>Propósito del manual</w:t>
      </w:r>
    </w:p>
    <w:p w14:paraId="1F0278B0" w14:textId="77777777" w:rsidR="00736C94" w:rsidRDefault="00736C94" w:rsidP="004F4523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</w:p>
    <w:p w14:paraId="5A765040" w14:textId="3A064E9C" w:rsidR="004F4523" w:rsidRDefault="004F4523" w:rsidP="004F4523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 w:rsidRPr="009A2F0E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El propósito de este manual es proporcionar a los distribuidores </w:t>
      </w: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m</w:t>
      </w:r>
      <w:r w:rsidR="0052610F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inoris</w:t>
      </w: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tas</w:t>
      </w:r>
      <w:r w:rsidRPr="009A2F0E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 de combustibles líquidos una guía detallada sobre los recientes cambios </w:t>
      </w: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efectuados </w:t>
      </w:r>
      <w:r w:rsidRPr="009A2F0E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en los formatos </w:t>
      </w: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de </w:t>
      </w:r>
      <w:r w:rsidRPr="009A2F0E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AOM, con el objetivo de informar claramente las modificaciones efectuadas y asegurar que los agentes comprendan plenamente las nuevas exigencias</w:t>
      </w: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. </w:t>
      </w:r>
    </w:p>
    <w:p w14:paraId="1468CECA" w14:textId="394CB7E6" w:rsidR="00406A55" w:rsidRPr="00406A55" w:rsidRDefault="005138EE" w:rsidP="00406A55">
      <w:pPr>
        <w:pStyle w:val="Ttulogrande"/>
        <w:jc w:val="both"/>
        <w:rPr>
          <w:rFonts w:asciiTheme="minorHAnsi" w:hAnsiTheme="minorHAnsi"/>
          <w:bCs w:val="0"/>
          <w:color w:val="auto"/>
          <w:sz w:val="24"/>
          <w:szCs w:val="24"/>
        </w:rPr>
      </w:pPr>
      <w:r>
        <w:rPr>
          <w:rFonts w:asciiTheme="minorHAnsi" w:hAnsiTheme="minorHAnsi"/>
          <w:bCs w:val="0"/>
          <w:color w:val="auto"/>
          <w:sz w:val="24"/>
          <w:szCs w:val="24"/>
        </w:rPr>
        <w:t>E</w:t>
      </w:r>
      <w:r w:rsidR="00406A55" w:rsidRPr="00406A55">
        <w:rPr>
          <w:rFonts w:asciiTheme="minorHAnsi" w:hAnsiTheme="minorHAnsi"/>
          <w:bCs w:val="0"/>
          <w:color w:val="auto"/>
          <w:sz w:val="24"/>
          <w:szCs w:val="24"/>
        </w:rPr>
        <w:t>stos cambios buscan facilitar el proceso de reporte de los distribuidores m</w:t>
      </w:r>
      <w:r w:rsidR="0052610F">
        <w:rPr>
          <w:rFonts w:asciiTheme="minorHAnsi" w:hAnsiTheme="minorHAnsi"/>
          <w:bCs w:val="0"/>
          <w:color w:val="auto"/>
          <w:sz w:val="24"/>
          <w:szCs w:val="24"/>
        </w:rPr>
        <w:t>inoris</w:t>
      </w:r>
      <w:r w:rsidR="00406A55">
        <w:rPr>
          <w:rFonts w:asciiTheme="minorHAnsi" w:hAnsiTheme="minorHAnsi"/>
          <w:bCs w:val="0"/>
          <w:color w:val="auto"/>
          <w:sz w:val="24"/>
          <w:szCs w:val="24"/>
        </w:rPr>
        <w:t>tas</w:t>
      </w:r>
      <w:r w:rsidR="00406A55" w:rsidRPr="00406A55">
        <w:rPr>
          <w:rFonts w:asciiTheme="minorHAnsi" w:hAnsiTheme="minorHAnsi"/>
          <w:bCs w:val="0"/>
          <w:color w:val="auto"/>
          <w:sz w:val="24"/>
          <w:szCs w:val="24"/>
        </w:rPr>
        <w:t xml:space="preserve"> de combustibles líquidos mediante la creación de nuevos conceptos CREG, que permiten una clasificación más detallada de los gastos y optimizan la presentación de los reportes de AOM.</w:t>
      </w:r>
    </w:p>
    <w:p w14:paraId="13D1D468" w14:textId="568A163A" w:rsidR="00406A55" w:rsidRDefault="00406A55" w:rsidP="00406A55">
      <w:pPr>
        <w:pStyle w:val="Ttulogrande"/>
        <w:jc w:val="both"/>
        <w:rPr>
          <w:rFonts w:asciiTheme="minorHAnsi" w:hAnsiTheme="minorHAnsi"/>
          <w:bCs w:val="0"/>
          <w:color w:val="auto"/>
          <w:sz w:val="24"/>
          <w:szCs w:val="24"/>
        </w:rPr>
      </w:pPr>
      <w:r w:rsidRPr="00406A55">
        <w:rPr>
          <w:rFonts w:asciiTheme="minorHAnsi" w:hAnsiTheme="minorHAnsi"/>
          <w:bCs w:val="0"/>
          <w:color w:val="auto"/>
          <w:sz w:val="24"/>
          <w:szCs w:val="24"/>
        </w:rPr>
        <w:t>Es importante destacar que estos formatos serán aplicables para los reportes de gastos AOM correspondientes a la vigencia 202</w:t>
      </w:r>
      <w:r w:rsidR="005138EE">
        <w:rPr>
          <w:rFonts w:asciiTheme="minorHAnsi" w:hAnsiTheme="minorHAnsi"/>
          <w:bCs w:val="0"/>
          <w:color w:val="auto"/>
          <w:sz w:val="24"/>
          <w:szCs w:val="24"/>
        </w:rPr>
        <w:t>4</w:t>
      </w:r>
      <w:r w:rsidRPr="00406A55">
        <w:rPr>
          <w:rFonts w:asciiTheme="minorHAnsi" w:hAnsiTheme="minorHAnsi"/>
          <w:bCs w:val="0"/>
          <w:color w:val="auto"/>
          <w:sz w:val="24"/>
          <w:szCs w:val="24"/>
        </w:rPr>
        <w:t xml:space="preserve"> y años posteriores. </w:t>
      </w:r>
    </w:p>
    <w:p w14:paraId="73D165EB" w14:textId="77777777" w:rsidR="00406A55" w:rsidRDefault="00406A55" w:rsidP="00950440">
      <w:pPr>
        <w:pStyle w:val="Ttulogrande"/>
        <w:ind w:left="0"/>
        <w:rPr>
          <w:rFonts w:asciiTheme="minorHAnsi" w:hAnsiTheme="minorHAnsi"/>
          <w:b/>
          <w:sz w:val="26"/>
          <w:szCs w:val="26"/>
          <w:u w:val="single"/>
        </w:rPr>
      </w:pPr>
    </w:p>
    <w:p w14:paraId="70C8626F" w14:textId="4DACA8B7" w:rsidR="009A2F0E" w:rsidRDefault="00582F26" w:rsidP="009A2F0E">
      <w:pPr>
        <w:pStyle w:val="Ttulogrande"/>
        <w:rPr>
          <w:rFonts w:asciiTheme="minorHAnsi" w:hAnsiTheme="minorHAnsi"/>
          <w:b/>
          <w:sz w:val="26"/>
          <w:szCs w:val="26"/>
          <w:u w:val="single"/>
        </w:rPr>
      </w:pPr>
      <w:r w:rsidRPr="009A2F0E">
        <w:rPr>
          <w:rFonts w:asciiTheme="minorHAnsi" w:hAnsiTheme="minorHAnsi"/>
          <w:b/>
          <w:sz w:val="26"/>
          <w:szCs w:val="26"/>
          <w:u w:val="single"/>
        </w:rPr>
        <w:t>Descripción de cambios</w:t>
      </w:r>
    </w:p>
    <w:p w14:paraId="662F6C85" w14:textId="77777777" w:rsidR="005138EE" w:rsidRDefault="005138EE" w:rsidP="00C50C43">
      <w:pPr>
        <w:jc w:val="both"/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</w:pPr>
    </w:p>
    <w:p w14:paraId="72026234" w14:textId="77777777" w:rsidR="005138EE" w:rsidRDefault="005138EE" w:rsidP="00C50C43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1</w:t>
      </w:r>
      <w:r w:rsidR="00C50C43" w:rsidRPr="009A2F0E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 xml:space="preserve">. </w:t>
      </w:r>
      <w:bookmarkStart w:id="0" w:name="_Hlk167180735"/>
      <w:r w:rsidR="00C50C43" w:rsidRPr="009A2F0E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Creación de nuevos conceptos CREG de nivel 3</w:t>
      </w:r>
      <w:r w:rsidR="00C50C43" w:rsidRPr="009A2F0E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:</w:t>
      </w:r>
      <w:bookmarkEnd w:id="0"/>
      <w:r w:rsidR="00C50C43" w:rsidRPr="009A2F0E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 </w:t>
      </w:r>
      <w:bookmarkStart w:id="1" w:name="_Hlk167099461"/>
    </w:p>
    <w:p w14:paraId="0D574953" w14:textId="29AFA046" w:rsidR="00A13D21" w:rsidRPr="00A13D21" w:rsidRDefault="00736C94" w:rsidP="00C50C43">
      <w:pPr>
        <w:jc w:val="both"/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</w:pPr>
      <w:r w:rsidRPr="004943CF"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  <w:t>Con el objetivo de ajustar los reportes a las exigencias fiscales actuales, se han introducido nuevos conceptos CREG en el Formato AOM-80</w:t>
      </w:r>
      <w:r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  <w:t>6</w:t>
      </w:r>
      <w:r w:rsidRPr="004943CF"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  <w:t xml:space="preserve">, específicamente para los grupos “03000000 Gastos de administración” y “04000000 Gastos de Distribución y ventas”. </w:t>
      </w:r>
      <w:r w:rsidRPr="004943CF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Estos nuevos conceptos permitirán una clasificación más detallada de estos rubros, optimizando así la presentación de los reportes de AOM.</w:t>
      </w:r>
    </w:p>
    <w:p w14:paraId="49721E6E" w14:textId="77777777" w:rsidR="00736C94" w:rsidRDefault="00736C94" w:rsidP="00C50C43">
      <w:pPr>
        <w:jc w:val="both"/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</w:pPr>
    </w:p>
    <w:p w14:paraId="1A7EA6E2" w14:textId="03D2CF94" w:rsidR="00C50C43" w:rsidRDefault="00FC1426" w:rsidP="00C50C43">
      <w:pPr>
        <w:jc w:val="both"/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</w:pPr>
      <w:r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1</w:t>
      </w:r>
      <w:r w:rsidR="00C50C43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 xml:space="preserve">.1 </w:t>
      </w:r>
      <w:r w:rsidR="00C50C43" w:rsidRPr="007F2316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Nuevos conceptos para “Gastos de administración”</w:t>
      </w:r>
    </w:p>
    <w:p w14:paraId="07D4E9A9" w14:textId="77777777" w:rsidR="00C50C43" w:rsidRPr="00980314" w:rsidRDefault="00C50C43" w:rsidP="00C50C43">
      <w:pPr>
        <w:jc w:val="both"/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</w:pPr>
      <w:r w:rsidRPr="007F2316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Dentro del grupo “Gastos de administración”, se han introducido los siguientes </w:t>
      </w: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sub</w:t>
      </w:r>
      <w:r w:rsidRPr="007F2316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conceptos:</w:t>
      </w:r>
    </w:p>
    <w:p w14:paraId="3FF70DA2" w14:textId="77777777" w:rsidR="00736C94" w:rsidRDefault="00736C94" w:rsidP="00C50C43">
      <w:pPr>
        <w:jc w:val="both"/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</w:pPr>
    </w:p>
    <w:p w14:paraId="0E14A10C" w14:textId="1BB6696C" w:rsidR="00C50C43" w:rsidRPr="007F2316" w:rsidRDefault="00FC1426" w:rsidP="00C50C43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1</w:t>
      </w:r>
      <w:r w:rsidR="00C50C43" w:rsidRPr="00611901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.1.1 concepto CREG “030</w:t>
      </w:r>
      <w:r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3</w:t>
      </w:r>
      <w:r w:rsidR="00C50C43" w:rsidRPr="00611901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0000</w:t>
      </w:r>
      <w:r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 xml:space="preserve"> Impuestos</w:t>
      </w:r>
      <w:r w:rsidR="00C50C43" w:rsidRPr="00611901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”,</w:t>
      </w:r>
      <w:r w:rsidR="00C50C43" w:rsidRPr="007F2316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 se adicionan los siguientes </w:t>
      </w:r>
      <w:r w:rsidR="00C50C43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sub</w:t>
      </w:r>
      <w:r w:rsidR="00C50C43" w:rsidRPr="007F2316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conceptos</w:t>
      </w:r>
    </w:p>
    <w:p w14:paraId="4872FE5F" w14:textId="7B26661E" w:rsidR="00C50C43" w:rsidRPr="00980314" w:rsidRDefault="00C50C43" w:rsidP="00C50C43">
      <w:pPr>
        <w:spacing w:after="0"/>
        <w:jc w:val="both"/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</w:pPr>
      <w:r w:rsidRPr="00980314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030</w:t>
      </w:r>
      <w:r w:rsidR="00FC1426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310</w:t>
      </w:r>
      <w:r w:rsidRPr="00980314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 xml:space="preserve">00 </w:t>
      </w:r>
      <w:r w:rsidR="00FC1426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impuesto alumbrado público</w:t>
      </w:r>
    </w:p>
    <w:p w14:paraId="031A1C25" w14:textId="3CDCAC63" w:rsidR="00736C94" w:rsidRDefault="00C50C43" w:rsidP="00736C94">
      <w:pPr>
        <w:spacing w:after="0"/>
        <w:jc w:val="both"/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</w:pPr>
      <w:r w:rsidRPr="00980314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030</w:t>
      </w:r>
      <w:r w:rsidR="00FC1426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311</w:t>
      </w:r>
      <w:r w:rsidRPr="00980314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 xml:space="preserve">00 </w:t>
      </w:r>
      <w:r w:rsidR="00FC1426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impuesto de timbre</w:t>
      </w:r>
    </w:p>
    <w:p w14:paraId="194DC5AF" w14:textId="77777777" w:rsidR="00736C94" w:rsidRPr="00736C94" w:rsidRDefault="00736C94" w:rsidP="00736C94">
      <w:pPr>
        <w:spacing w:after="0"/>
        <w:jc w:val="both"/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</w:pPr>
    </w:p>
    <w:p w14:paraId="5EB90729" w14:textId="566EC92A" w:rsidR="00C50C43" w:rsidRPr="009E6B56" w:rsidRDefault="00C50C43" w:rsidP="00C50C43">
      <w:pPr>
        <w:pStyle w:val="Ttulogrande"/>
        <w:spacing w:before="0"/>
        <w:ind w:left="0"/>
        <w:jc w:val="center"/>
        <w:rPr>
          <w:rFonts w:asciiTheme="minorHAnsi" w:hAnsiTheme="minorHAnsi"/>
          <w:b/>
          <w:sz w:val="22"/>
          <w:u w:val="single"/>
        </w:rPr>
      </w:pPr>
      <w:r w:rsidRPr="009E6B56">
        <w:rPr>
          <w:rFonts w:asciiTheme="minorHAnsi" w:hAnsiTheme="minorHAnsi"/>
          <w:b/>
          <w:sz w:val="22"/>
          <w:u w:val="single"/>
        </w:rPr>
        <w:lastRenderedPageBreak/>
        <w:t>NUEVA ESTRUCTURA CONCEPTO</w:t>
      </w:r>
      <w:r w:rsidR="00FC1426">
        <w:rPr>
          <w:rFonts w:asciiTheme="minorHAnsi" w:hAnsiTheme="minorHAnsi"/>
          <w:b/>
          <w:sz w:val="22"/>
          <w:u w:val="single"/>
        </w:rPr>
        <w:t xml:space="preserve"> IMPUESTOS</w:t>
      </w:r>
    </w:p>
    <w:p w14:paraId="7B548695" w14:textId="15276FBC" w:rsidR="00C50C43" w:rsidRPr="00611901" w:rsidRDefault="00C50C43" w:rsidP="00C50C43">
      <w:pPr>
        <w:pStyle w:val="Ttulogrande"/>
        <w:spacing w:before="0"/>
        <w:jc w:val="center"/>
        <w:rPr>
          <w:noProof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2E2FE0" wp14:editId="7E30EAE4">
                <wp:simplePos x="0" y="0"/>
                <wp:positionH relativeFrom="column">
                  <wp:posOffset>884707</wp:posOffset>
                </wp:positionH>
                <wp:positionV relativeFrom="paragraph">
                  <wp:posOffset>2022892</wp:posOffset>
                </wp:positionV>
                <wp:extent cx="3918102" cy="379436"/>
                <wp:effectExtent l="19050" t="19050" r="25400" b="20955"/>
                <wp:wrapNone/>
                <wp:docPr id="106161215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102" cy="37943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F52A8" id="Rectángulo 1" o:spid="_x0000_s1026" style="position:absolute;margin-left:69.65pt;margin-top:159.3pt;width:308.5pt;height:29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7lhwIAAGkFAAAOAAAAZHJzL2Uyb0RvYy54bWysVEtv2zAMvg/YfxB0X22nSR9BnSJokWFA&#10;0RZrh54VWYoFyKImKXGyXz9KfiToih2G5aBQJvmR/ETy5nbfaLITziswJS3OckqE4VApsynpj9fV&#10;lytKfGCmYhqMKOlBeHq7+PzpprVzMYEadCUcQRDj560taR2CnWeZ57VomD8DKwwqJbiGBby6TVY5&#10;1iJ6o7NJnl9kLbjKOuDCe/x63ynpIuFLKXh4ktKLQHRJMbeQTpfOdTyzxQ2bbxyzteJ9GuwfsmiY&#10;Mhh0hLpngZGtU39ANYo78CDDGYcmAykVF6kGrKbI31XzUjMrUi1IjrcjTf7/wfLH3Yt9dkhDa/3c&#10;oxir2EvXxH/Mj+wTWYeRLLEPhOPH8+viqsgnlHDUnV9eT88vIpvZ0ds6H74KaEgUSurwMRJHbPfg&#10;Q2c6mMRgBlZK6/Qg2pC2pJOr2eUseXjQqoraaOfdZn2nHdkxfNPVKsdfH/jEDNPQBrM5VpWkcNAi&#10;YmjzXUiiKqxj0kWIDSdGWMa5MKHoVDWrRBetmJ0EGzxSzQkwIkvMcsTuAQbLDmTA7hjo7aOrSP06&#10;Oud/S6xzHj1SZDBhdG6UAfcRgMaq+sid/UBSR01kaQ3V4dkRB920eMtXCl/wgfnwzByOBw4Sjnx4&#10;wkNqwJeCXqKkBvfro+/RHrsWtZS0OG4l9T+3zAlK9DeD/XxdTKdxPtNlOruc4MWdatanGrNt7gBf&#10;v8DlYnkSo33QgygdNG+4GZYxKqqY4Ri7pDy44XIXujWAu4WL5TKZ4UxaFh7Mi+URPLIaO/R1/8ac&#10;7ds44AA8wjCabP6umzvb6GlguQ0gVWr1I6893zjPqXH63RMXxuk9WR035OI3AAAA//8DAFBLAwQU&#10;AAYACAAAACEAORNZ0N8AAAALAQAADwAAAGRycy9kb3ducmV2LnhtbEyPwU7DMBBE70j8g7VIXBB1&#10;SiANIU6FqBC3SgRUrpvYTSLsdRS7beDrWU5wnNmn2ZlyPTsrjmYKgycFy0UCwlDr9UCdgve35+sc&#10;RIhIGq0no+DLBFhX52clFtqf6NUc69gJDqFQoII+xrGQMrS9cRgWfjTEt72fHEaWUyf1hCcOd1be&#10;JEkmHQ7EH3oczVNv2s/64BQ0u9F+7zfuY97VGeH2ZYu0uVLq8mJ+fAARzRz/YPitz9Wh4k6NP5AO&#10;wrJO71NGFaTLPAPBxOouY6dhZ5XfgqxK+X9D9QMAAP//AwBQSwECLQAUAAYACAAAACEAtoM4kv4A&#10;AADhAQAAEwAAAAAAAAAAAAAAAAAAAAAAW0NvbnRlbnRfVHlwZXNdLnhtbFBLAQItABQABgAIAAAA&#10;IQA4/SH/1gAAAJQBAAALAAAAAAAAAAAAAAAAAC8BAABfcmVscy8ucmVsc1BLAQItABQABgAIAAAA&#10;IQDmMJ7lhwIAAGkFAAAOAAAAAAAAAAAAAAAAAC4CAABkcnMvZTJvRG9jLnhtbFBLAQItABQABgAI&#10;AAAAIQA5E1nQ3wAAAAsBAAAPAAAAAAAAAAAAAAAAAOEEAABkcnMvZG93bnJldi54bWxQSwUGAAAA&#10;AAQABADzAAAA7QUAAAAA&#10;" filled="f" strokecolor="red" strokeweight="2.25pt"/>
            </w:pict>
          </mc:Fallback>
        </mc:AlternateContent>
      </w:r>
      <w:r w:rsidRPr="005C689C">
        <w:rPr>
          <w:noProof/>
        </w:rPr>
        <w:t xml:space="preserve"> </w:t>
      </w:r>
      <w:r w:rsidR="00FC1426" w:rsidRPr="00FC1426">
        <w:rPr>
          <w:noProof/>
        </w:rPr>
        <w:drawing>
          <wp:inline distT="0" distB="0" distL="0" distR="0" wp14:anchorId="506A6185" wp14:editId="353D3E78">
            <wp:extent cx="3916680" cy="2402006"/>
            <wp:effectExtent l="0" t="0" r="7620" b="0"/>
            <wp:docPr id="1111131404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367" cy="240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B1E13" w14:textId="32D4F3F4" w:rsidR="00C50C43" w:rsidRDefault="00C50C43" w:rsidP="00C50C43">
      <w:pPr>
        <w:pStyle w:val="Ttulogrande"/>
        <w:ind w:left="0"/>
        <w:jc w:val="center"/>
        <w:rPr>
          <w:rFonts w:asciiTheme="minorHAnsi" w:hAnsiTheme="minorHAnsi"/>
          <w:b/>
          <w:sz w:val="22"/>
          <w:u w:val="single"/>
        </w:rPr>
      </w:pPr>
      <w:r w:rsidRPr="009E6B56">
        <w:rPr>
          <w:rFonts w:asciiTheme="minorHAnsi" w:hAnsiTheme="minorHAnsi"/>
          <w:b/>
          <w:sz w:val="22"/>
          <w:u w:val="single"/>
        </w:rPr>
        <w:t>Formato AOM 80</w:t>
      </w:r>
      <w:r w:rsidR="00950440">
        <w:rPr>
          <w:rFonts w:asciiTheme="minorHAnsi" w:hAnsiTheme="minorHAnsi"/>
          <w:b/>
          <w:sz w:val="22"/>
          <w:u w:val="single"/>
        </w:rPr>
        <w:t>6</w:t>
      </w:r>
      <w:r w:rsidR="00F96BB9">
        <w:rPr>
          <w:rFonts w:asciiTheme="minorHAnsi" w:hAnsiTheme="minorHAnsi"/>
          <w:b/>
          <w:sz w:val="22"/>
          <w:u w:val="single"/>
        </w:rPr>
        <w:t>-</w:t>
      </w:r>
      <w:r w:rsidR="00FC1426">
        <w:rPr>
          <w:rFonts w:asciiTheme="minorHAnsi" w:hAnsiTheme="minorHAnsi"/>
          <w:b/>
          <w:sz w:val="22"/>
          <w:u w:val="single"/>
        </w:rPr>
        <w:t>AAAA</w:t>
      </w:r>
      <w:r w:rsidR="00F96BB9">
        <w:rPr>
          <w:rFonts w:asciiTheme="minorHAnsi" w:hAnsiTheme="minorHAnsi"/>
          <w:b/>
          <w:sz w:val="22"/>
          <w:u w:val="single"/>
        </w:rPr>
        <w:t>-</w:t>
      </w:r>
      <w:r w:rsidRPr="009E6B56">
        <w:rPr>
          <w:rFonts w:asciiTheme="minorHAnsi" w:hAnsiTheme="minorHAnsi"/>
          <w:b/>
          <w:sz w:val="22"/>
          <w:u w:val="single"/>
        </w:rPr>
        <w:t>COD</w:t>
      </w:r>
      <w:r w:rsidR="00FC1426">
        <w:rPr>
          <w:rFonts w:asciiTheme="minorHAnsi" w:hAnsiTheme="minorHAnsi"/>
          <w:b/>
          <w:sz w:val="22"/>
          <w:u w:val="single"/>
        </w:rPr>
        <w:t>_</w:t>
      </w:r>
      <w:r w:rsidR="00950440">
        <w:rPr>
          <w:rFonts w:asciiTheme="minorHAnsi" w:hAnsiTheme="minorHAnsi"/>
          <w:b/>
          <w:sz w:val="22"/>
          <w:u w:val="single"/>
        </w:rPr>
        <w:t>EDS</w:t>
      </w:r>
    </w:p>
    <w:p w14:paraId="01E495C7" w14:textId="77777777" w:rsidR="00736C94" w:rsidRDefault="00736C94" w:rsidP="00C50C43">
      <w:pPr>
        <w:jc w:val="both"/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</w:pPr>
    </w:p>
    <w:p w14:paraId="34E730BB" w14:textId="57A57775" w:rsidR="00C50C43" w:rsidRPr="007F2316" w:rsidRDefault="00FC1426" w:rsidP="00C50C43">
      <w:pPr>
        <w:jc w:val="both"/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</w:pPr>
      <w:r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1</w:t>
      </w:r>
      <w:r w:rsidR="00C50C43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 xml:space="preserve">.2 </w:t>
      </w:r>
      <w:r w:rsidR="00C50C43" w:rsidRPr="007F2316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Nuevos conceptos para “Gastos de distribución y ventas”</w:t>
      </w:r>
    </w:p>
    <w:p w14:paraId="244555EB" w14:textId="77777777" w:rsidR="00C50C43" w:rsidRPr="005C689C" w:rsidRDefault="00C50C43" w:rsidP="00C50C43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 w:rsidRPr="005C689C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Dentro del grupo “Gastos de distribución y ventas”, se han introducido los siguientes conceptos de nivel 3:</w:t>
      </w:r>
    </w:p>
    <w:p w14:paraId="6D26CB38" w14:textId="77777777" w:rsidR="00FC1426" w:rsidRPr="007F2316" w:rsidRDefault="00FC1426" w:rsidP="00FC1426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1</w:t>
      </w:r>
      <w:r w:rsidR="00C50C43" w:rsidRPr="005C689C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.2.1 concepto de nivel 2 “040</w:t>
      </w:r>
      <w:r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3</w:t>
      </w:r>
      <w:r w:rsidR="00C50C43" w:rsidRPr="005C689C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 xml:space="preserve">0000 </w:t>
      </w:r>
      <w:r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Impuestos</w:t>
      </w:r>
      <w:r w:rsidR="00C50C43" w:rsidRPr="005C689C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”,</w:t>
      </w:r>
      <w:r w:rsidR="00C50C43" w:rsidRPr="005C689C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 </w:t>
      </w:r>
      <w:r w:rsidRPr="007F2316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se adicionan los siguientes </w:t>
      </w: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sub</w:t>
      </w:r>
      <w:r w:rsidRPr="007F2316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conceptos</w:t>
      </w:r>
    </w:p>
    <w:p w14:paraId="044F026F" w14:textId="65561F1A" w:rsidR="00FC1426" w:rsidRPr="00980314" w:rsidRDefault="00FC1426" w:rsidP="00FC1426">
      <w:pPr>
        <w:spacing w:after="0"/>
        <w:jc w:val="both"/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</w:pPr>
      <w:r w:rsidRPr="00980314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0</w:t>
      </w:r>
      <w:r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4</w:t>
      </w:r>
      <w:r w:rsidRPr="00980314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0</w:t>
      </w:r>
      <w:r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310</w:t>
      </w:r>
      <w:r w:rsidRPr="00980314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 xml:space="preserve">00 </w:t>
      </w:r>
      <w:r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impuesto alumbrado público</w:t>
      </w:r>
    </w:p>
    <w:p w14:paraId="661CFCC4" w14:textId="34758BC5" w:rsidR="00FC1426" w:rsidRDefault="00FC1426" w:rsidP="00FC1426">
      <w:pPr>
        <w:spacing w:after="0"/>
        <w:jc w:val="both"/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</w:pPr>
      <w:r w:rsidRPr="00980314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0</w:t>
      </w:r>
      <w:r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4</w:t>
      </w:r>
      <w:r w:rsidRPr="00980314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0</w:t>
      </w:r>
      <w:r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311</w:t>
      </w:r>
      <w:r w:rsidRPr="00980314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 xml:space="preserve">00 </w:t>
      </w:r>
      <w:r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impuesto de timbre</w:t>
      </w:r>
    </w:p>
    <w:p w14:paraId="6CC118C6" w14:textId="77777777" w:rsidR="00FC1426" w:rsidRDefault="00FC1426" w:rsidP="00FC1426">
      <w:pPr>
        <w:spacing w:after="0"/>
        <w:jc w:val="both"/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</w:pPr>
    </w:p>
    <w:p w14:paraId="487E2B18" w14:textId="260129DF" w:rsidR="00C50C43" w:rsidRPr="009E6B56" w:rsidRDefault="00C50C43" w:rsidP="00C50C43">
      <w:pPr>
        <w:pStyle w:val="Ttulogrande"/>
        <w:spacing w:before="0"/>
        <w:ind w:left="0"/>
        <w:jc w:val="center"/>
        <w:rPr>
          <w:rFonts w:asciiTheme="minorHAnsi" w:hAnsiTheme="minorHAnsi"/>
          <w:b/>
          <w:sz w:val="22"/>
          <w:u w:val="single"/>
        </w:rPr>
      </w:pPr>
      <w:r w:rsidRPr="009E6B56">
        <w:rPr>
          <w:rFonts w:asciiTheme="minorHAnsi" w:hAnsiTheme="minorHAnsi"/>
          <w:b/>
          <w:sz w:val="22"/>
          <w:u w:val="single"/>
        </w:rPr>
        <w:t>NUEVA ESTRUCTURA CONCEPTO</w:t>
      </w:r>
      <w:r>
        <w:rPr>
          <w:rFonts w:asciiTheme="minorHAnsi" w:hAnsiTheme="minorHAnsi"/>
          <w:b/>
          <w:sz w:val="22"/>
          <w:u w:val="single"/>
        </w:rPr>
        <w:t xml:space="preserve"> </w:t>
      </w:r>
      <w:r w:rsidR="00FC1426">
        <w:rPr>
          <w:rFonts w:asciiTheme="minorHAnsi" w:hAnsiTheme="minorHAnsi"/>
          <w:b/>
          <w:sz w:val="22"/>
          <w:u w:val="single"/>
        </w:rPr>
        <w:t>IMPUESTOS</w:t>
      </w:r>
    </w:p>
    <w:p w14:paraId="2B48159B" w14:textId="593572C7" w:rsidR="00C50C43" w:rsidRDefault="00C50C43" w:rsidP="00C50C43">
      <w:pPr>
        <w:pStyle w:val="Ttulogrande"/>
        <w:spacing w:before="0"/>
        <w:jc w:val="center"/>
        <w:rPr>
          <w:noProof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039B62" wp14:editId="0D0A7AE4">
                <wp:simplePos x="0" y="0"/>
                <wp:positionH relativeFrom="margin">
                  <wp:posOffset>883721</wp:posOffset>
                </wp:positionH>
                <wp:positionV relativeFrom="paragraph">
                  <wp:posOffset>2030153</wp:posOffset>
                </wp:positionV>
                <wp:extent cx="3918102" cy="356140"/>
                <wp:effectExtent l="19050" t="19050" r="25400" b="25400"/>
                <wp:wrapNone/>
                <wp:docPr id="167470082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102" cy="3561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C4881" id="Rectángulo 1" o:spid="_x0000_s1026" style="position:absolute;margin-left:69.6pt;margin-top:159.85pt;width:308.5pt;height:28.0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eZiAIAAGkFAAAOAAAAZHJzL2Uyb0RvYy54bWysVEtv2zAMvg/YfxB0X22nTR9BnSJokWFA&#10;0QZrh54VWYoFyKImKXGyXz9KfiToih2G5aBIJvmR/Pi4vds3muyE8wpMSYuznBJhOFTKbEr643X5&#10;5ZoSH5ipmAYjSnoQnt7NP3+6be1MTKAGXQlHEMT4WWtLWodgZ1nmeS0a5s/ACoNCCa5hAZ9uk1WO&#10;tYje6GyS55dZC66yDrjwHr8+dEI6T/hSCh6epfQiEF1SjC2k06VzHc9sfstmG8dsrXgfBvuHKBqm&#10;DDodoR5YYGTr1B9QjeIOPMhwxqHJQErFRcoBsynyd9m81MyKlAuS4+1Ik/9/sPxp92JXDmlorZ95&#10;vMYs9tI18R/jI/tE1mEkS+wD4fjx/Ka4LvIJJRxl59PL4iKxmR2trfPhq4CGxEtJHRYjccR2jz6g&#10;R1QdVKIzA0uldSqINqQt6eR6ejVNFh60qqI06nm3Wd9rR3YMa7pc5viLZUS0EzV8aYMfj1mlWzho&#10;ETG0+S4kURXmMek8xIYTIyzjXJhQdKKaVaLzVkxPnA0WyXUCjMgSoxyxe4BBswMZsLuYe/1oKlK/&#10;jsb53wLrjEeL5BlMGI0bZcB9BKAxq95zpz+Q1FETWVpDdVg54qCbFm/5UmEFH5kPK+ZwPHCQcOTD&#10;Mx5SA1YK+hslNbhfH32P+ti1KKWkxXErqf+5ZU5Qor8Z7Oeb4gL7h4T0uJheTfDhTiXrU4nZNveA&#10;1S9wuVierlE/6OEqHTRvuBkW0SuKmOHou6Q8uOFxH7o1gLuFi8UiqeFMWhYezYvlETyyGjv0df/G&#10;nO3bOOAAPMEwmmz2rps73WhpYLENIFVq9SOvPd84z6lx+t0TF8bpO2kdN+T8NwAAAP//AwBQSwME&#10;FAAGAAgAAAAhAICJxfXgAAAACwEAAA8AAABkcnMvZG93bnJldi54bWxMj8FOwzAQRO9I/IO1SFwQ&#10;ddqqSRviVIgKcatEQOW6id0kwl5HsdsGvp7lBMeZfZqdKbaTs+JsxtB7UjCfJSAMNV731Cp4f3u+&#10;X4MIEUmj9WQUfJkA2/L6qsBc+wu9mnMVW8EhFHJU0MU45FKGpjMOw8wPhvh29KPDyHJspR7xwuHO&#10;ykWSpNJhT/yhw8E8dab5rE5OQX0Y7Pdx5z6mQ5US7l/2SLs7pW5vpscHENFM8Q+G3/pcHUruVPsT&#10;6SAs6+VmwaiC5XyTgWAiW6Xs1OxkqzXIspD/N5Q/AAAA//8DAFBLAQItABQABgAIAAAAIQC2gziS&#10;/gAAAOEBAAATAAAAAAAAAAAAAAAAAAAAAABbQ29udGVudF9UeXBlc10ueG1sUEsBAi0AFAAGAAgA&#10;AAAhADj9If/WAAAAlAEAAAsAAAAAAAAAAAAAAAAALwEAAF9yZWxzLy5yZWxzUEsBAi0AFAAGAAgA&#10;AAAhAPikh5mIAgAAaQUAAA4AAAAAAAAAAAAAAAAALgIAAGRycy9lMm9Eb2MueG1sUEsBAi0AFAAG&#10;AAgAAAAhAICJxfXgAAAACwEAAA8AAAAAAAAAAAAAAAAA4gQAAGRycy9kb3ducmV2LnhtbFBLBQYA&#10;AAAABAAEAPMAAADvBQAAAAA=&#10;" filled="f" strokecolor="red" strokeweight="2.25pt">
                <w10:wrap anchorx="margin"/>
              </v:rect>
            </w:pict>
          </mc:Fallback>
        </mc:AlternateContent>
      </w:r>
      <w:r w:rsidRPr="005C689C">
        <w:rPr>
          <w:noProof/>
        </w:rPr>
        <w:t xml:space="preserve"> </w:t>
      </w:r>
      <w:r w:rsidR="00FC1426" w:rsidRPr="00FC1426">
        <w:rPr>
          <w:noProof/>
        </w:rPr>
        <w:drawing>
          <wp:inline distT="0" distB="0" distL="0" distR="0" wp14:anchorId="1A453988" wp14:editId="47FAAE6F">
            <wp:extent cx="3916680" cy="2388358"/>
            <wp:effectExtent l="0" t="0" r="7620" b="0"/>
            <wp:docPr id="1900378925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621" cy="239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E5BCF" w14:textId="3952B7B4" w:rsidR="00006E82" w:rsidRDefault="00C50C43" w:rsidP="00736C94">
      <w:pPr>
        <w:pStyle w:val="Ttulogrande"/>
        <w:ind w:left="0"/>
        <w:jc w:val="center"/>
        <w:rPr>
          <w:rFonts w:asciiTheme="minorHAnsi" w:hAnsiTheme="minorHAnsi"/>
          <w:b/>
          <w:sz w:val="22"/>
          <w:u w:val="single"/>
        </w:rPr>
      </w:pPr>
      <w:r w:rsidRPr="009E6B56">
        <w:rPr>
          <w:rFonts w:asciiTheme="minorHAnsi" w:hAnsiTheme="minorHAnsi"/>
          <w:b/>
          <w:sz w:val="22"/>
          <w:u w:val="single"/>
        </w:rPr>
        <w:t>Formato AOM 80</w:t>
      </w:r>
      <w:r w:rsidR="00950440">
        <w:rPr>
          <w:rFonts w:asciiTheme="minorHAnsi" w:hAnsiTheme="minorHAnsi"/>
          <w:b/>
          <w:sz w:val="22"/>
          <w:u w:val="single"/>
        </w:rPr>
        <w:t>6</w:t>
      </w:r>
      <w:r w:rsidR="00F96BB9">
        <w:rPr>
          <w:rFonts w:asciiTheme="minorHAnsi" w:hAnsiTheme="minorHAnsi"/>
          <w:b/>
          <w:sz w:val="22"/>
          <w:u w:val="single"/>
        </w:rPr>
        <w:t>-</w:t>
      </w:r>
      <w:r w:rsidR="00FC1426">
        <w:rPr>
          <w:rFonts w:asciiTheme="minorHAnsi" w:hAnsiTheme="minorHAnsi"/>
          <w:b/>
          <w:sz w:val="22"/>
          <w:u w:val="single"/>
        </w:rPr>
        <w:t>AAAA</w:t>
      </w:r>
      <w:r w:rsidR="00F96BB9">
        <w:rPr>
          <w:rFonts w:asciiTheme="minorHAnsi" w:hAnsiTheme="minorHAnsi"/>
          <w:b/>
          <w:sz w:val="22"/>
          <w:u w:val="single"/>
        </w:rPr>
        <w:t>-</w:t>
      </w:r>
      <w:r w:rsidRPr="009E6B56">
        <w:rPr>
          <w:rFonts w:asciiTheme="minorHAnsi" w:hAnsiTheme="minorHAnsi"/>
          <w:b/>
          <w:sz w:val="22"/>
          <w:u w:val="single"/>
        </w:rPr>
        <w:t>COD_</w:t>
      </w:r>
      <w:r w:rsidR="00950440">
        <w:rPr>
          <w:rFonts w:asciiTheme="minorHAnsi" w:hAnsiTheme="minorHAnsi"/>
          <w:b/>
          <w:sz w:val="22"/>
          <w:u w:val="single"/>
        </w:rPr>
        <w:t>EDS</w:t>
      </w:r>
      <w:bookmarkEnd w:id="1"/>
    </w:p>
    <w:p w14:paraId="5F0D245C" w14:textId="77777777" w:rsidR="00736C94" w:rsidRPr="00736C94" w:rsidRDefault="00736C94" w:rsidP="00736C94">
      <w:pPr>
        <w:pStyle w:val="Ttulogrande"/>
        <w:ind w:left="0"/>
        <w:jc w:val="center"/>
        <w:rPr>
          <w:rFonts w:asciiTheme="minorHAnsi" w:hAnsiTheme="minorHAnsi"/>
          <w:b/>
          <w:sz w:val="22"/>
          <w:u w:val="single"/>
        </w:rPr>
      </w:pPr>
    </w:p>
    <w:p w14:paraId="746C2A8A" w14:textId="77777777" w:rsidR="00006E82" w:rsidRDefault="00006E82" w:rsidP="00006E82">
      <w:pPr>
        <w:pStyle w:val="Ttulogrande"/>
        <w:ind w:left="0"/>
        <w:rPr>
          <w:rFonts w:asciiTheme="minorHAnsi" w:hAnsiTheme="minorHAnsi"/>
          <w:b/>
          <w:sz w:val="26"/>
          <w:szCs w:val="26"/>
          <w:u w:val="single"/>
        </w:rPr>
      </w:pPr>
      <w:r>
        <w:rPr>
          <w:rFonts w:asciiTheme="minorHAnsi" w:hAnsiTheme="minorHAnsi"/>
          <w:b/>
          <w:sz w:val="26"/>
          <w:szCs w:val="26"/>
          <w:u w:val="single"/>
        </w:rPr>
        <w:lastRenderedPageBreak/>
        <w:t xml:space="preserve">Tenga en cuenta </w:t>
      </w:r>
    </w:p>
    <w:p w14:paraId="74A8EE76" w14:textId="77777777" w:rsidR="00006E82" w:rsidRDefault="00006E82" w:rsidP="00006E82">
      <w:pPr>
        <w:pStyle w:val="Ttulogrande"/>
        <w:ind w:left="0"/>
        <w:rPr>
          <w:rFonts w:asciiTheme="minorHAnsi" w:hAnsiTheme="minorHAnsi"/>
          <w:b/>
          <w:sz w:val="22"/>
          <w:u w:val="single"/>
        </w:rPr>
      </w:pPr>
    </w:p>
    <w:p w14:paraId="0FD1084D" w14:textId="77777777" w:rsidR="00006E82" w:rsidRPr="001F2FD7" w:rsidRDefault="00006E82" w:rsidP="00006E82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 w:rsidRPr="001F2FD7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1. Identifique los hechos económicos relacionados con estos impuestos</w:t>
      </w:r>
    </w:p>
    <w:p w14:paraId="613826F2" w14:textId="77777777" w:rsidR="00006E82" w:rsidRPr="001F2FD7" w:rsidRDefault="00006E82" w:rsidP="00006E82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 w:rsidRPr="001F2FD7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Determine si en su operación existen pagos o registros contables asociados al Impuesto de Timbre o al Impuesto de Alumbrado Público.</w:t>
      </w:r>
    </w:p>
    <w:p w14:paraId="7B76517C" w14:textId="77777777" w:rsidR="00736C94" w:rsidRDefault="00736C94" w:rsidP="00006E82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</w:p>
    <w:p w14:paraId="423AFBDD" w14:textId="37275861" w:rsidR="00006E82" w:rsidRPr="001F2FD7" w:rsidRDefault="00006E82" w:rsidP="00006E82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 w:rsidRPr="001F2FD7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2. Clasifique correctamente según el tipo de gasto</w:t>
      </w:r>
    </w:p>
    <w:p w14:paraId="6BDD20FA" w14:textId="77777777" w:rsidR="00006E82" w:rsidRDefault="00006E82" w:rsidP="00006E82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 w:rsidRPr="001F2FD7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Ubique el impuesto en el grupo que corresponda, ya sea en gastos de administración o gastos de distribución y ventas, según la naturaleza del hecho económico.</w:t>
      </w:r>
    </w:p>
    <w:p w14:paraId="1D4712E7" w14:textId="77777777" w:rsidR="00006E82" w:rsidRPr="001F2FD7" w:rsidRDefault="00006E82" w:rsidP="00006E82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 w:rsidRPr="00C61231">
        <w:rPr>
          <w:noProof/>
        </w:rPr>
        <w:drawing>
          <wp:inline distT="0" distB="0" distL="0" distR="0" wp14:anchorId="68A9FAFA" wp14:editId="5C0E3B03">
            <wp:extent cx="3664585" cy="607060"/>
            <wp:effectExtent l="0" t="0" r="0" b="2540"/>
            <wp:docPr id="48805587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5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6E1B8" w14:textId="77777777" w:rsidR="00736C94" w:rsidRDefault="00736C94" w:rsidP="00006E82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</w:p>
    <w:p w14:paraId="4AACF9F7" w14:textId="0520F07F" w:rsidR="00006E82" w:rsidRDefault="00006E82" w:rsidP="00006E82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 w:rsidRPr="001F2FD7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3.</w:t>
      </w: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 Calcule la participación que estas erogaciones pueden tener en las estructuras de costos.</w:t>
      </w:r>
    </w:p>
    <w:p w14:paraId="68FE4E99" w14:textId="4995F865" w:rsidR="00006E82" w:rsidRDefault="00736C94" w:rsidP="00006E82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FACC0A" wp14:editId="1CABBAA6">
                <wp:simplePos x="0" y="0"/>
                <wp:positionH relativeFrom="margin">
                  <wp:posOffset>-635</wp:posOffset>
                </wp:positionH>
                <wp:positionV relativeFrom="paragraph">
                  <wp:posOffset>1279525</wp:posOffset>
                </wp:positionV>
                <wp:extent cx="5612130" cy="200279"/>
                <wp:effectExtent l="19050" t="19050" r="26670" b="28575"/>
                <wp:wrapNone/>
                <wp:docPr id="107920366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20027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F9089" id="Rectángulo 1" o:spid="_x0000_s1026" style="position:absolute;margin-left:-.05pt;margin-top:100.75pt;width:441.9pt;height:15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P3lhAIAAGkFAAAOAAAAZHJzL2Uyb0RvYy54bWysVEtv2zAMvg/YfxB0Xx1nTR9BnSJokWFA&#10;0RVrh54VWYoNyKJGKXGyXz9KfiToih2G5aBIJvmR/Pi4ud03hu0U+hpswfOzCWfKSihruyn4j5fV&#10;pyvOfBC2FAasKvhBeX67+PjhpnVzNYUKTKmQEYj189YVvArBzbPMy0o1wp+BU5aEGrARgZ64yUoU&#10;LaE3JptOJhdZC1g6BKm8p6/3nZAvEr7WSoZvWnsVmCk4xRbSielcxzNb3Ij5BoWratmHIf4hikbU&#10;lpyOUPciCLbF+g+oppYIHnQ4k9BkoHUtVcqBssknb7J5roRTKRcix7uRJv//YOXj7tk9IdHQOj/3&#10;dI1Z7DU28Z/iY/tE1mEkS+0Dk/RxdpFP88/EqSQZlWJ6eR3ZzI7WDn34oqBh8VJwpGIkjsTuwYdO&#10;dVCJziysamNSQYxlLYFezS5nycKDqcsojXoeN+s7g2wnqKar1YR+veMTNQrDWIrmmFW6hYNREcPY&#10;70qzuqQ8pp2H2HBqhBVSKhvyTlSJUnXe8tmJs8Ei5ZwAI7KmKEfsHmDQ7EAG7I6BXj+aqtSvo/Hk&#10;b4F1xqNF8gw2jMZNbQHfAzCUVe+50x9I6qiJLK2hPDwhQ+imxTu5qqmCD8KHJ4E0HlR0GvnwjQ5t&#10;gCoF/Y2zCvDXe9+jPnUtSTlradwK7n9uBSrOzFdL/Xydn5/H+UyP89nllB54KlmfSuy2uQOqfk7L&#10;xcl0jfrBDFeN0LzSZlhGryQSVpLvgsuAw+MudGuAdotUy2VSo5l0IjzYZycjeGQ1dujL/lWg69s4&#10;0AA8wjCaYv6mmzvdaGlhuQ2g69TqR157vmmeU+P0uycujNN30jpuyMVvAAAA//8DAFBLAwQUAAYA&#10;CAAAACEAtGtund8AAAAJAQAADwAAAGRycy9kb3ducmV2LnhtbEyPwU7DMBBE70j8g7VIXFDrpBEl&#10;CnEqRIW4VSKgct3EbhJhr6PYbQNfz3Kix9kZzbwtN7Oz4mSmMHhSkC4TEIZarwfqFHy8vyxyECEi&#10;abSejIJvE2BTXV+VWGh/pjdzqmMnuIRCgQr6GMdCytD2xmFY+tEQewc/OYwsp07qCc9c7qxcJcla&#10;OhyIF3oczXNv2q/66BQ0+9H+HLbuc97Xa8Ld6w5pe6fU7c389Agimjn+h+EPn9GhYqbGH0kHYRUs&#10;Ug4qWCXpPQj28zx7ANHwJcsSkFUpLz+ofgEAAP//AwBQSwECLQAUAAYACAAAACEAtoM4kv4AAADh&#10;AQAAEwAAAAAAAAAAAAAAAAAAAAAAW0NvbnRlbnRfVHlwZXNdLnhtbFBLAQItABQABgAIAAAAIQA4&#10;/SH/1gAAAJQBAAALAAAAAAAAAAAAAAAAAC8BAABfcmVscy8ucmVsc1BLAQItABQABgAIAAAAIQDi&#10;5P3lhAIAAGkFAAAOAAAAAAAAAAAAAAAAAC4CAABkcnMvZTJvRG9jLnhtbFBLAQItABQABgAIAAAA&#10;IQC0a26d3wAAAAkBAAAPAAAAAAAAAAAAAAAAAN4EAABkcnMvZG93bnJldi54bWxQSwUGAAAAAAQA&#10;BADzAAAA6gUAAAAA&#10;" filled="f" strokecolor="red" strokeweight="2.2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25BF3C" wp14:editId="4D400A48">
                <wp:simplePos x="0" y="0"/>
                <wp:positionH relativeFrom="margin">
                  <wp:posOffset>-635</wp:posOffset>
                </wp:positionH>
                <wp:positionV relativeFrom="paragraph">
                  <wp:posOffset>1665605</wp:posOffset>
                </wp:positionV>
                <wp:extent cx="5612130" cy="200279"/>
                <wp:effectExtent l="19050" t="19050" r="26670" b="28575"/>
                <wp:wrapNone/>
                <wp:docPr id="184554478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20027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7BF04" id="Rectángulo 1" o:spid="_x0000_s1026" style="position:absolute;margin-left:-.05pt;margin-top:131.15pt;width:441.9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P3lhAIAAGkFAAAOAAAAZHJzL2Uyb0RvYy54bWysVEtv2zAMvg/YfxB0Xx1nTR9BnSJokWFA&#10;0RVrh54VWYoNyKJGKXGyXz9KfiToih2G5aBIJvmR/Pi4ud03hu0U+hpswfOzCWfKSihruyn4j5fV&#10;pyvOfBC2FAasKvhBeX67+PjhpnVzNYUKTKmQEYj189YVvArBzbPMy0o1wp+BU5aEGrARgZ64yUoU&#10;LaE3JptOJhdZC1g6BKm8p6/3nZAvEr7WSoZvWnsVmCk4xRbSielcxzNb3Ij5BoWratmHIf4hikbU&#10;lpyOUPciCLbF+g+oppYIHnQ4k9BkoHUtVcqBssknb7J5roRTKRcix7uRJv//YOXj7tk9IdHQOj/3&#10;dI1Z7DU28Z/iY/tE1mEkS+0Dk/RxdpFP88/EqSQZlWJ6eR3ZzI7WDn34oqBh8VJwpGIkjsTuwYdO&#10;dVCJziysamNSQYxlLYFezS5nycKDqcsojXoeN+s7g2wnqKar1YR+veMTNQrDWIrmmFW6hYNREcPY&#10;70qzuqQ8pp2H2HBqhBVSKhvyTlSJUnXe8tmJs8Ei5ZwAI7KmKEfsHmDQ7EAG7I6BXj+aqtSvo/Hk&#10;b4F1xqNF8gw2jMZNbQHfAzCUVe+50x9I6qiJLK2hPDwhQ+imxTu5qqmCD8KHJ4E0HlR0GvnwjQ5t&#10;gCoF/Y2zCvDXe9+jPnUtSTlradwK7n9uBSrOzFdL/Xydn5/H+UyP89nllB54KlmfSuy2uQOqfk7L&#10;xcl0jfrBDFeN0LzSZlhGryQSVpLvgsuAw+MudGuAdotUy2VSo5l0IjzYZycjeGQ1dujL/lWg69s4&#10;0AA8wjCaYv6mmzvdaGlhuQ2g69TqR157vmmeU+P0uycujNN30jpuyMVvAAAA//8DAFBLAwQUAAYA&#10;CAAAACEAKj+U0N8AAAAJAQAADwAAAGRycy9kb3ducmV2LnhtbEyPQUvDQBCF74L/YRnBi7SbJhDT&#10;NJsiFvFWMEq9TrLTJJidDdltG/31rid7fPMe731TbGcziDNNrresYLWMQBA3VvfcKvh4f1lkIJxH&#10;1jhYJgXf5GBb3t4UmGt74Tc6V74VoYRdjgo678dcStd0ZNAt7UgcvKOdDPogp1bqCS+h3AwyjqJU&#10;Guw5LHQ40nNHzVd1Mgrqwzj8HHfmcz5UKeP+dY+8e1Dq/m5+2oDwNPv/MPzhB3QoA1NtT6ydGBQs&#10;ViGoIE7jBETwsyx5BFGHyzrJQJaFvP6g/AUAAP//AwBQSwECLQAUAAYACAAAACEAtoM4kv4AAADh&#10;AQAAEwAAAAAAAAAAAAAAAAAAAAAAW0NvbnRlbnRfVHlwZXNdLnhtbFBLAQItABQABgAIAAAAIQA4&#10;/SH/1gAAAJQBAAALAAAAAAAAAAAAAAAAAC8BAABfcmVscy8ucmVsc1BLAQItABQABgAIAAAAIQDi&#10;5P3lhAIAAGkFAAAOAAAAAAAAAAAAAAAAAC4CAABkcnMvZTJvRG9jLnhtbFBLAQItABQABgAIAAAA&#10;IQAqP5TQ3wAAAAkBAAAPAAAAAAAAAAAAAAAAAN4EAABkcnMvZG93bnJldi54bWxQSwUGAAAAAAQA&#10;BADzAAAA6gUAAAAA&#10;" filled="f" strokecolor="red" strokeweight="2.25pt">
                <w10:wrap anchorx="margin"/>
              </v:rect>
            </w:pict>
          </mc:Fallback>
        </mc:AlternateContent>
      </w:r>
      <w:r w:rsidRPr="00736C94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 </w:t>
      </w:r>
      <w:r w:rsidRPr="00736C94">
        <w:drawing>
          <wp:inline distT="0" distB="0" distL="0" distR="0" wp14:anchorId="2781E79D" wp14:editId="6AC51D59">
            <wp:extent cx="5612130" cy="1685925"/>
            <wp:effectExtent l="0" t="0" r="7620" b="9525"/>
            <wp:docPr id="1928725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E82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 </w:t>
      </w:r>
    </w:p>
    <w:p w14:paraId="7A9B6966" w14:textId="77777777" w:rsidR="00736C94" w:rsidRDefault="00736C94" w:rsidP="00006E82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</w:p>
    <w:p w14:paraId="7F1A2390" w14:textId="799F981C" w:rsidR="00006E82" w:rsidRDefault="00006E82" w:rsidP="00006E82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Nota: </w:t>
      </w:r>
      <w:r w:rsidRPr="00D167C7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Se debe considerar que estas erogaciones pueden imputarse a una o múltiples Estructuras de Costos (EDC) o subactividades</w:t>
      </w: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 (Columnas)</w:t>
      </w:r>
      <w:r w:rsidRPr="00D167C7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, </w:t>
      </w:r>
      <w:r w:rsidRPr="00D167C7"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  <w:t>en función de la naturaleza del hecho económico que dio origen a la imputación.</w:t>
      </w:r>
      <w:r w:rsidRPr="00D167C7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 </w:t>
      </w:r>
    </w:p>
    <w:p w14:paraId="4DF2E09C" w14:textId="77777777" w:rsidR="00736C94" w:rsidRDefault="00736C94" w:rsidP="00006E82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</w:p>
    <w:p w14:paraId="28D33F4E" w14:textId="2FBF036B" w:rsidR="00006E82" w:rsidRPr="001F2FD7" w:rsidRDefault="00006E82" w:rsidP="00006E82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4.  </w:t>
      </w:r>
      <w:r w:rsidRPr="001F2FD7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Asegúrese de que la sumatoria reportada en los subconceptos</w:t>
      </w: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 (filas) y EDC estructuras de costos (columnas) </w:t>
      </w:r>
      <w:r w:rsidRPr="001F2FD7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coincida con el valor total del concepto</w:t>
      </w: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 CREG</w:t>
      </w:r>
      <w:r w:rsidRPr="001F2FD7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 principal.</w:t>
      </w:r>
    </w:p>
    <w:p w14:paraId="4B304DB4" w14:textId="00C76D45" w:rsidR="00006E82" w:rsidRPr="001F2FD7" w:rsidRDefault="00006E82" w:rsidP="00006E82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1423B3" wp14:editId="2E718647">
                <wp:simplePos x="0" y="0"/>
                <wp:positionH relativeFrom="margin">
                  <wp:posOffset>0</wp:posOffset>
                </wp:positionH>
                <wp:positionV relativeFrom="paragraph">
                  <wp:posOffset>1050290</wp:posOffset>
                </wp:positionV>
                <wp:extent cx="5612130" cy="109728"/>
                <wp:effectExtent l="19050" t="19050" r="26670" b="24130"/>
                <wp:wrapNone/>
                <wp:docPr id="61752627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10972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525F9" id="Rectángulo 1" o:spid="_x0000_s1026" style="position:absolute;margin-left:0;margin-top:82.7pt;width:441.9pt;height:8.6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lLUhQIAAGkFAAAOAAAAZHJzL2Uyb0RvYy54bWysVEtv2zAMvg/YfxB0X/1Y00dQpwhaZBhQ&#10;dMXaoWdFlmIDsqhJSpzs14+SbCfoih2G5aBIJvmR/Pi4ud13iuyEdS3oihZnOSVCc6hbvanoj5fV&#10;pytKnGe6Zgq0qOhBOHq7+PjhpjdzUUIDqhaWIIh2895UtPHezLPM8UZ0zJ2BERqFEmzHPD7tJqst&#10;6xG9U1mZ5xdZD7Y2FrhwDr/eJyFdRHwpBfffpHTCE1VRjM3H08ZzHc5sccPmG8tM0/IhDPYPUXSs&#10;1eh0grpnnpGtbf+A6lpuwYH0Zxy6DKRsuYg5YDZF/iab54YZEXNBcpyZaHL/D5Y/7p7Nk0UaeuPm&#10;Dq8hi720XfjH+Mg+knWYyBJ7Tzh+nF0UZfEZOeUoK/Lry/IqsJkdrY11/ouAjoRLRS0WI3LEdg/O&#10;J9VRJTjTsGqVigVRmvQVLa9ml7No4UC1dZAGPWc36ztlyY5hTVerHH+D4xM1DENpjOaYVbz5gxIB&#10;Q+nvQpK2xjzK5CE0nJhgGedC+yKJGlaL5K2YnTgbLWLOETAgS4xywh4ARs0EMmInBgb9YCpiv07G&#10;+d8CS8aTRfQM2k/GXavBvgegMKvBc9IfSUrUBJbWUB+eLLGQpsUZvmqxgg/M+SdmcTyw6Djy/hse&#10;UgFWCoYbJQ3YX+99D/rYtSilpMdxq6j7uWVWUKK+auzn6+L8PMxnfJzPLkt82FPJ+lSit90dYPUL&#10;XC6Gx2vQ92q8SgvdK26GZfCKIqY5+q4o93Z83Pm0BnC3cLFcRjWcScP8g342PIAHVkOHvuxfmTVD&#10;G3scgEcYR5PN33Rz0g2WGpZbD7KNrX7kdeAb5zk2zrB7wsI4fUet44Zc/AYAAP//AwBQSwMEFAAG&#10;AAgAAAAhAPnn3crdAAAACAEAAA8AAABkcnMvZG93bnJldi54bWxMj0FLw0AQhe+C/2EZwYvYjVVj&#10;iNkUsYi3QqPU6yQ7TYLZ2ZDdttFf73jS47z3ePO+YjW7QR1pCr1nAzeLBBRx423PrYH3t5frDFSI&#10;yBYHz2TgiwKsyvOzAnPrT7ylYxVbJSUccjTQxTjmWoemI4dh4Udi8fZ+chjlnFptJzxJuRv0MklS&#10;7bBn+dDhSM8dNZ/VwRmod+PwvV+7j3lXpYyb1w3y+sqYy4v56RFUpDn+heF3vkyHUjbV/sA2qMGA&#10;gERR0/s7UGJn2a2Q1KJkywfQZaH/A5Q/AAAA//8DAFBLAQItABQABgAIAAAAIQC2gziS/gAAAOEB&#10;AAATAAAAAAAAAAAAAAAAAAAAAABbQ29udGVudF9UeXBlc10ueG1sUEsBAi0AFAAGAAgAAAAhADj9&#10;If/WAAAAlAEAAAsAAAAAAAAAAAAAAAAALwEAAF9yZWxzLy5yZWxzUEsBAi0AFAAGAAgAAAAhADta&#10;UtSFAgAAaQUAAA4AAAAAAAAAAAAAAAAALgIAAGRycy9lMm9Eb2MueG1sUEsBAi0AFAAGAAgAAAAh&#10;APnn3crdAAAACAEAAA8AAAAAAAAAAAAAAAAA3wQAAGRycy9kb3ducmV2LnhtbFBLBQYAAAAABAAE&#10;APMAAADpBQAAAAA=&#10;" filled="f" strokecolor="red" strokeweight="2.25pt">
                <w10:wrap anchorx="margin"/>
              </v:rect>
            </w:pict>
          </mc:Fallback>
        </mc:AlternateContent>
      </w:r>
      <w:r w:rsidR="00736C94" w:rsidRPr="00736C94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 </w:t>
      </w:r>
      <w:r w:rsidR="00736C94" w:rsidRPr="00736C94">
        <w:drawing>
          <wp:inline distT="0" distB="0" distL="0" distR="0" wp14:anchorId="6498CA29" wp14:editId="2A1E7240">
            <wp:extent cx="5612130" cy="2092960"/>
            <wp:effectExtent l="0" t="0" r="7620" b="2540"/>
            <wp:docPr id="97139413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1DF57" w14:textId="77777777" w:rsidR="00006E82" w:rsidRPr="00DB19F8" w:rsidRDefault="00006E82" w:rsidP="00006E82">
      <w:pPr>
        <w:jc w:val="both"/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</w:pPr>
      <w:r w:rsidRPr="00C61231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Nota:</w:t>
      </w:r>
      <w:r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 xml:space="preserve"> </w:t>
      </w:r>
      <w:r w:rsidRPr="00DB19F8">
        <w:rPr>
          <w:rFonts w:eastAsia="Franklin Gothic Book" w:cs="Franklin Gothic Book"/>
          <w:kern w:val="0"/>
          <w:sz w:val="24"/>
          <w:szCs w:val="24"/>
          <w:u w:val="single"/>
          <w:lang w:val="es-ES" w:bidi="en-US"/>
          <w14:ligatures w14:val="none"/>
        </w:rPr>
        <w:t>La información reportada en los formatos AOM debe coincidir con lo registrado en los estados financieros y libros oficiales de la empresa. Cualquier diferencia entre los valores reportados en los formatos AOM y la información oficial podrá dar lugar a requerimientos o solicitudes de aclaración por parte de la Comisión.</w:t>
      </w:r>
    </w:p>
    <w:p w14:paraId="7DBCD8A2" w14:textId="77777777" w:rsidR="00736C94" w:rsidRDefault="00006E82" w:rsidP="00006E82">
      <w:pPr>
        <w:jc w:val="both"/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</w:pPr>
      <w:r w:rsidRPr="006E1FBB"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  <w:t xml:space="preserve">Los reportes deberán ser remitidos exclusivamente a través de la herramienta dispuesta por la Comisión, conforme a lo establecido en la Circular CREG </w:t>
      </w:r>
      <w:r w:rsidR="00736C94"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  <w:t>028 de 2024</w:t>
      </w:r>
      <w:r w:rsidRPr="006E1FBB"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  <w:t xml:space="preserve">. </w:t>
      </w:r>
    </w:p>
    <w:p w14:paraId="13093476" w14:textId="1C63148B" w:rsidR="00006E82" w:rsidRPr="006E1FBB" w:rsidRDefault="00006E82" w:rsidP="00006E82">
      <w:pPr>
        <w:jc w:val="both"/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</w:pPr>
      <w:r w:rsidRPr="006E1FBB"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  <w:t xml:space="preserve">Toda información enviada por medios alternos, incluidos correos electrónicos u otros canales no autorizados, será considerada como </w:t>
      </w:r>
      <w:r w:rsidR="00736C94">
        <w:rPr>
          <w:rFonts w:eastAsia="Franklin Gothic Book" w:cs="Franklin Gothic Book"/>
          <w:b/>
          <w:bCs/>
          <w:kern w:val="0"/>
          <w:sz w:val="24"/>
          <w:szCs w:val="24"/>
          <w:lang w:bidi="en-US"/>
          <w14:ligatures w14:val="none"/>
        </w:rPr>
        <w:t>NO</w:t>
      </w:r>
      <w:r w:rsidRPr="006E1FBB"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  <w:t xml:space="preserve"> presentada.</w:t>
      </w:r>
    </w:p>
    <w:p w14:paraId="632E4EF5" w14:textId="77777777" w:rsidR="00006E82" w:rsidRPr="006E1FBB" w:rsidRDefault="00006E82" w:rsidP="00006E82">
      <w:pPr>
        <w:jc w:val="both"/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</w:pPr>
      <w:r w:rsidRPr="006E1FBB"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  <w:t>Todos los agentes que cumplan con la condición de negocio en marcha están obligados a remitir la información dentro de los plazos y bajo las condiciones definidas por la Comisión, independientemente de la ocurrencia de cambios en el representante legal, fallecimiento, transferencia, venta de la sociedad o cualquier otra modificación societaria.</w:t>
      </w:r>
    </w:p>
    <w:p w14:paraId="029800C6" w14:textId="5E879346" w:rsidR="00006E82" w:rsidRPr="006E1FBB" w:rsidRDefault="00006E82" w:rsidP="00006E82">
      <w:pPr>
        <w:jc w:val="both"/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</w:pPr>
      <w:r w:rsidRPr="006E1FBB"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  <w:t xml:space="preserve">El período de reporte comprenderá del 1 de enero al 31 de diciembre de la vigencia objeto de reporte. En caso de que la empresa haya sido constituida o haya cesado actividades durante este intervalo, </w:t>
      </w:r>
      <w:r w:rsidR="00736C94">
        <w:rPr>
          <w:rFonts w:eastAsia="Franklin Gothic Book" w:cs="Franklin Gothic Book"/>
          <w:b/>
          <w:bCs/>
          <w:kern w:val="0"/>
          <w:sz w:val="24"/>
          <w:szCs w:val="24"/>
          <w:lang w:bidi="en-US"/>
          <w14:ligatures w14:val="none"/>
        </w:rPr>
        <w:t>NO</w:t>
      </w:r>
      <w:r w:rsidRPr="006E1FBB"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  <w:t xml:space="preserve"> estará obligada a presentar la información correspondiente.</w:t>
      </w:r>
    </w:p>
    <w:p w14:paraId="1C625165" w14:textId="18A4BA54" w:rsidR="00006E82" w:rsidRPr="006E1FBB" w:rsidRDefault="00006E82" w:rsidP="00006E82">
      <w:pPr>
        <w:jc w:val="both"/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</w:pPr>
      <w:r w:rsidRPr="006E1FBB"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  <w:t xml:space="preserve">No se debe remitir documentación adicional distinta a los formatos definidos por la Comisión en las circulares respectivas (como estados financieros, revelaciones, hojas de trabajo, cálculos u otros anexos), ya que dicha información </w:t>
      </w:r>
      <w:r w:rsidR="00736C94">
        <w:rPr>
          <w:rFonts w:eastAsia="Franklin Gothic Book" w:cs="Franklin Gothic Book"/>
          <w:b/>
          <w:bCs/>
          <w:kern w:val="0"/>
          <w:sz w:val="24"/>
          <w:szCs w:val="24"/>
          <w:lang w:bidi="en-US"/>
          <w14:ligatures w14:val="none"/>
        </w:rPr>
        <w:t>NO</w:t>
      </w:r>
      <w:r w:rsidRPr="006E1FBB"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  <w:t xml:space="preserve"> será tenida en cuenta.</w:t>
      </w:r>
    </w:p>
    <w:p w14:paraId="02D962A5" w14:textId="77777777" w:rsidR="00006E82" w:rsidRPr="00496395" w:rsidRDefault="00006E82" w:rsidP="00006E82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</w:p>
    <w:p w14:paraId="24DAAEAF" w14:textId="77777777" w:rsidR="00006E82" w:rsidRPr="00496395" w:rsidRDefault="00006E82" w:rsidP="00496395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</w:p>
    <w:sectPr w:rsidR="00006E82" w:rsidRPr="004963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F4AD1"/>
    <w:multiLevelType w:val="hybridMultilevel"/>
    <w:tmpl w:val="9D766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B515A"/>
    <w:multiLevelType w:val="hybridMultilevel"/>
    <w:tmpl w:val="BF4C53CC"/>
    <w:lvl w:ilvl="0" w:tplc="DF58E41C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00" w:hanging="360"/>
      </w:pPr>
    </w:lvl>
    <w:lvl w:ilvl="2" w:tplc="240A001B" w:tentative="1">
      <w:start w:val="1"/>
      <w:numFmt w:val="lowerRoman"/>
      <w:lvlText w:val="%3."/>
      <w:lvlJc w:val="right"/>
      <w:pPr>
        <w:ind w:left="1820" w:hanging="180"/>
      </w:pPr>
    </w:lvl>
    <w:lvl w:ilvl="3" w:tplc="240A000F" w:tentative="1">
      <w:start w:val="1"/>
      <w:numFmt w:val="decimal"/>
      <w:lvlText w:val="%4."/>
      <w:lvlJc w:val="left"/>
      <w:pPr>
        <w:ind w:left="2540" w:hanging="360"/>
      </w:pPr>
    </w:lvl>
    <w:lvl w:ilvl="4" w:tplc="240A0019" w:tentative="1">
      <w:start w:val="1"/>
      <w:numFmt w:val="lowerLetter"/>
      <w:lvlText w:val="%5."/>
      <w:lvlJc w:val="left"/>
      <w:pPr>
        <w:ind w:left="3260" w:hanging="360"/>
      </w:pPr>
    </w:lvl>
    <w:lvl w:ilvl="5" w:tplc="240A001B" w:tentative="1">
      <w:start w:val="1"/>
      <w:numFmt w:val="lowerRoman"/>
      <w:lvlText w:val="%6."/>
      <w:lvlJc w:val="right"/>
      <w:pPr>
        <w:ind w:left="3980" w:hanging="180"/>
      </w:pPr>
    </w:lvl>
    <w:lvl w:ilvl="6" w:tplc="240A000F" w:tentative="1">
      <w:start w:val="1"/>
      <w:numFmt w:val="decimal"/>
      <w:lvlText w:val="%7."/>
      <w:lvlJc w:val="left"/>
      <w:pPr>
        <w:ind w:left="4700" w:hanging="360"/>
      </w:pPr>
    </w:lvl>
    <w:lvl w:ilvl="7" w:tplc="240A0019" w:tentative="1">
      <w:start w:val="1"/>
      <w:numFmt w:val="lowerLetter"/>
      <w:lvlText w:val="%8."/>
      <w:lvlJc w:val="left"/>
      <w:pPr>
        <w:ind w:left="5420" w:hanging="360"/>
      </w:pPr>
    </w:lvl>
    <w:lvl w:ilvl="8" w:tplc="24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522D443F"/>
    <w:multiLevelType w:val="hybridMultilevel"/>
    <w:tmpl w:val="C91AA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E68E9"/>
    <w:multiLevelType w:val="hybridMultilevel"/>
    <w:tmpl w:val="766CAF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073FF"/>
    <w:multiLevelType w:val="hybridMultilevel"/>
    <w:tmpl w:val="9D7663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078747">
    <w:abstractNumId w:val="3"/>
  </w:num>
  <w:num w:numId="2" w16cid:durableId="1773863327">
    <w:abstractNumId w:val="1"/>
  </w:num>
  <w:num w:numId="3" w16cid:durableId="252131730">
    <w:abstractNumId w:val="2"/>
  </w:num>
  <w:num w:numId="4" w16cid:durableId="1890922214">
    <w:abstractNumId w:val="4"/>
  </w:num>
  <w:num w:numId="5" w16cid:durableId="188278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C2"/>
    <w:rsid w:val="0000667D"/>
    <w:rsid w:val="00006E82"/>
    <w:rsid w:val="000640BA"/>
    <w:rsid w:val="0006777F"/>
    <w:rsid w:val="000F56D6"/>
    <w:rsid w:val="001144BA"/>
    <w:rsid w:val="001F653E"/>
    <w:rsid w:val="00220573"/>
    <w:rsid w:val="00245DF5"/>
    <w:rsid w:val="00250EF4"/>
    <w:rsid w:val="00254D48"/>
    <w:rsid w:val="002C0866"/>
    <w:rsid w:val="002E1E6C"/>
    <w:rsid w:val="002F30A6"/>
    <w:rsid w:val="00381499"/>
    <w:rsid w:val="003B0F66"/>
    <w:rsid w:val="003B68C5"/>
    <w:rsid w:val="003C7139"/>
    <w:rsid w:val="00406A55"/>
    <w:rsid w:val="00425EF5"/>
    <w:rsid w:val="00436F64"/>
    <w:rsid w:val="004569A4"/>
    <w:rsid w:val="00496395"/>
    <w:rsid w:val="004F4523"/>
    <w:rsid w:val="005138EE"/>
    <w:rsid w:val="0052610F"/>
    <w:rsid w:val="00563AA5"/>
    <w:rsid w:val="005672FB"/>
    <w:rsid w:val="00582F26"/>
    <w:rsid w:val="005A78A4"/>
    <w:rsid w:val="00616902"/>
    <w:rsid w:val="00685DFD"/>
    <w:rsid w:val="006B0D74"/>
    <w:rsid w:val="006B74FE"/>
    <w:rsid w:val="006E4CAF"/>
    <w:rsid w:val="006E7377"/>
    <w:rsid w:val="00706A7C"/>
    <w:rsid w:val="0071689D"/>
    <w:rsid w:val="00736C94"/>
    <w:rsid w:val="007435E7"/>
    <w:rsid w:val="00747F9B"/>
    <w:rsid w:val="007554E8"/>
    <w:rsid w:val="00774770"/>
    <w:rsid w:val="0079700C"/>
    <w:rsid w:val="007C631D"/>
    <w:rsid w:val="007C6B7D"/>
    <w:rsid w:val="00836866"/>
    <w:rsid w:val="008369C7"/>
    <w:rsid w:val="00853D7F"/>
    <w:rsid w:val="008779C5"/>
    <w:rsid w:val="008A6363"/>
    <w:rsid w:val="008C093A"/>
    <w:rsid w:val="008D1319"/>
    <w:rsid w:val="009238E8"/>
    <w:rsid w:val="00935934"/>
    <w:rsid w:val="00950440"/>
    <w:rsid w:val="00967ABE"/>
    <w:rsid w:val="009A2F0E"/>
    <w:rsid w:val="009B0315"/>
    <w:rsid w:val="009D06FF"/>
    <w:rsid w:val="009E5B53"/>
    <w:rsid w:val="00A13D21"/>
    <w:rsid w:val="00A41E06"/>
    <w:rsid w:val="00B321D6"/>
    <w:rsid w:val="00B4598D"/>
    <w:rsid w:val="00B76C0C"/>
    <w:rsid w:val="00BC7566"/>
    <w:rsid w:val="00C02541"/>
    <w:rsid w:val="00C50C43"/>
    <w:rsid w:val="00C574E2"/>
    <w:rsid w:val="00CE2604"/>
    <w:rsid w:val="00D00DBC"/>
    <w:rsid w:val="00D049A2"/>
    <w:rsid w:val="00D16805"/>
    <w:rsid w:val="00D64A16"/>
    <w:rsid w:val="00D8226B"/>
    <w:rsid w:val="00DA3093"/>
    <w:rsid w:val="00E00F5B"/>
    <w:rsid w:val="00E2173F"/>
    <w:rsid w:val="00E86DDD"/>
    <w:rsid w:val="00EF2563"/>
    <w:rsid w:val="00F5153C"/>
    <w:rsid w:val="00F90DB2"/>
    <w:rsid w:val="00F96BB9"/>
    <w:rsid w:val="00FA0BB0"/>
    <w:rsid w:val="00FC1426"/>
    <w:rsid w:val="00FC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F9B0"/>
  <w15:chartTrackingRefBased/>
  <w15:docId w15:val="{F07138CD-7266-4902-A523-429BCC3E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2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2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2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2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2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2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2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2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2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2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2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2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2B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2B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2B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2B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2B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2B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2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2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2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2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2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2B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FC2B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2B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2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2B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2BC2"/>
    <w:rPr>
      <w:b/>
      <w:bCs/>
      <w:smallCaps/>
      <w:color w:val="0F4761" w:themeColor="accent1" w:themeShade="BF"/>
      <w:spacing w:val="5"/>
    </w:rPr>
  </w:style>
  <w:style w:type="paragraph" w:customStyle="1" w:styleId="Ttulogrande">
    <w:name w:val="Título grande"/>
    <w:basedOn w:val="Normal"/>
    <w:link w:val="Largocarcterdettulo"/>
    <w:uiPriority w:val="3"/>
    <w:qFormat/>
    <w:rsid w:val="009A2F0E"/>
    <w:pPr>
      <w:widowControl w:val="0"/>
      <w:autoSpaceDE w:val="0"/>
      <w:autoSpaceDN w:val="0"/>
      <w:spacing w:before="90" w:after="0" w:line="240" w:lineRule="auto"/>
      <w:ind w:left="20" w:right="-13"/>
    </w:pPr>
    <w:rPr>
      <w:rFonts w:ascii="Franklin Gothic Demi" w:eastAsia="Franklin Gothic Book" w:hAnsi="Franklin Gothic Demi" w:cs="Franklin Gothic Book"/>
      <w:bCs/>
      <w:color w:val="156082" w:themeColor="accent1"/>
      <w:kern w:val="0"/>
      <w:sz w:val="40"/>
      <w:lang w:val="es-ES" w:bidi="en-US"/>
      <w14:ligatures w14:val="none"/>
    </w:rPr>
  </w:style>
  <w:style w:type="character" w:customStyle="1" w:styleId="Largocarcterdettulo">
    <w:name w:val="Largo carácter de título"/>
    <w:basedOn w:val="Fuentedeprrafopredeter"/>
    <w:link w:val="Ttulogrande"/>
    <w:uiPriority w:val="3"/>
    <w:rsid w:val="009A2F0E"/>
    <w:rPr>
      <w:rFonts w:ascii="Franklin Gothic Demi" w:eastAsia="Franklin Gothic Book" w:hAnsi="Franklin Gothic Demi" w:cs="Franklin Gothic Book"/>
      <w:bCs/>
      <w:color w:val="156082" w:themeColor="accent1"/>
      <w:kern w:val="0"/>
      <w:sz w:val="40"/>
      <w:lang w:val="es-ES" w:bidi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F4523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8779C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79C5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3D138-DAFC-4102-A0F2-8D4AB67A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696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Salgado Perilla</dc:creator>
  <cp:keywords/>
  <dc:description/>
  <cp:lastModifiedBy>Melissa Salgado Perilla</cp:lastModifiedBy>
  <cp:revision>5</cp:revision>
  <dcterms:created xsi:type="dcterms:W3CDTF">2025-05-06T17:05:00Z</dcterms:created>
  <dcterms:modified xsi:type="dcterms:W3CDTF">2025-05-07T17:09:00Z</dcterms:modified>
</cp:coreProperties>
</file>