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5057" w14:textId="60B2EF33" w:rsidR="009A2F0E" w:rsidRDefault="00FC2BC2" w:rsidP="009A2F0E">
      <w:pPr>
        <w:spacing w:after="0" w:line="240" w:lineRule="atLeast"/>
        <w:jc w:val="center"/>
        <w:rPr>
          <w:rFonts w:asciiTheme="majorHAnsi" w:hAnsiTheme="majorHAnsi"/>
          <w:b/>
          <w:color w:val="156082" w:themeColor="accent1"/>
          <w:kern w:val="0"/>
          <w:sz w:val="28"/>
          <w:szCs w:val="28"/>
          <w:lang w:val="es-ES"/>
          <w14:ligatures w14:val="none"/>
        </w:rPr>
      </w:pPr>
      <w:r w:rsidRPr="009A2F0E">
        <w:rPr>
          <w:rFonts w:asciiTheme="majorHAnsi" w:hAnsiTheme="majorHAnsi"/>
          <w:b/>
          <w:color w:val="156082" w:themeColor="accent1"/>
          <w:kern w:val="0"/>
          <w:sz w:val="28"/>
          <w:szCs w:val="28"/>
          <w:lang w:val="es-ES"/>
          <w14:ligatures w14:val="none"/>
        </w:rPr>
        <w:t xml:space="preserve">MANUAL DE </w:t>
      </w:r>
      <w:r w:rsidR="00250EF4" w:rsidRPr="009A2F0E">
        <w:rPr>
          <w:rFonts w:asciiTheme="majorHAnsi" w:hAnsiTheme="majorHAnsi"/>
          <w:b/>
          <w:color w:val="156082" w:themeColor="accent1"/>
          <w:kern w:val="0"/>
          <w:sz w:val="28"/>
          <w:szCs w:val="28"/>
          <w:lang w:val="es-ES"/>
          <w14:ligatures w14:val="none"/>
        </w:rPr>
        <w:t xml:space="preserve">CAMBIOS EN LOS FORMATOS DE AOM </w:t>
      </w:r>
      <w:r w:rsidR="00254D48" w:rsidRPr="009A2F0E">
        <w:rPr>
          <w:rFonts w:asciiTheme="majorHAnsi" w:hAnsiTheme="majorHAnsi"/>
          <w:b/>
          <w:color w:val="156082" w:themeColor="accent1"/>
          <w:kern w:val="0"/>
          <w:sz w:val="28"/>
          <w:szCs w:val="28"/>
          <w:lang w:val="es-ES"/>
          <w14:ligatures w14:val="none"/>
        </w:rPr>
        <w:t>PARA DISTRIBUIDORES M</w:t>
      </w:r>
      <w:r w:rsidR="00BC7566">
        <w:rPr>
          <w:rFonts w:asciiTheme="majorHAnsi" w:hAnsiTheme="majorHAnsi"/>
          <w:b/>
          <w:color w:val="156082" w:themeColor="accent1"/>
          <w:kern w:val="0"/>
          <w:sz w:val="28"/>
          <w:szCs w:val="28"/>
          <w:lang w:val="es-ES"/>
          <w14:ligatures w14:val="none"/>
        </w:rPr>
        <w:t>AYORISTAS</w:t>
      </w:r>
      <w:r w:rsidR="00254D48" w:rsidRPr="009A2F0E">
        <w:rPr>
          <w:rFonts w:asciiTheme="majorHAnsi" w:hAnsiTheme="majorHAnsi"/>
          <w:b/>
          <w:color w:val="156082" w:themeColor="accent1"/>
          <w:kern w:val="0"/>
          <w:sz w:val="28"/>
          <w:szCs w:val="28"/>
          <w:lang w:val="es-ES"/>
          <w14:ligatures w14:val="none"/>
        </w:rPr>
        <w:t xml:space="preserve"> DE COMBUSTIBLES LÍQUIDOS</w:t>
      </w:r>
    </w:p>
    <w:p w14:paraId="2633F31B" w14:textId="77777777" w:rsidR="009A2F0E" w:rsidRPr="009A2F0E" w:rsidRDefault="009A2F0E" w:rsidP="009A2F0E">
      <w:pPr>
        <w:spacing w:after="0" w:line="240" w:lineRule="atLeast"/>
        <w:rPr>
          <w:rFonts w:asciiTheme="majorHAnsi" w:hAnsiTheme="majorHAnsi"/>
          <w:b/>
          <w:color w:val="156082" w:themeColor="accent1"/>
          <w:kern w:val="0"/>
          <w:sz w:val="28"/>
          <w:szCs w:val="28"/>
          <w:lang w:val="es-ES"/>
          <w14:ligatures w14:val="none"/>
        </w:rPr>
      </w:pPr>
    </w:p>
    <w:p w14:paraId="5B11317E" w14:textId="4451B750" w:rsidR="001F2FD7" w:rsidRDefault="00D64A16" w:rsidP="0040194D">
      <w:pPr>
        <w:pStyle w:val="Ttulogrande"/>
        <w:rPr>
          <w:rFonts w:asciiTheme="minorHAnsi" w:hAnsiTheme="minorHAnsi"/>
          <w:b/>
          <w:sz w:val="26"/>
          <w:szCs w:val="26"/>
          <w:u w:val="single"/>
        </w:rPr>
      </w:pPr>
      <w:r w:rsidRPr="009A2F0E">
        <w:rPr>
          <w:rFonts w:asciiTheme="minorHAnsi" w:hAnsiTheme="minorHAnsi"/>
          <w:b/>
          <w:sz w:val="26"/>
          <w:szCs w:val="26"/>
          <w:u w:val="single"/>
        </w:rPr>
        <w:t>Propósito del manual</w:t>
      </w:r>
    </w:p>
    <w:p w14:paraId="23BE6248" w14:textId="77777777" w:rsidR="0040194D" w:rsidRPr="0040194D" w:rsidRDefault="0040194D" w:rsidP="0040194D">
      <w:pPr>
        <w:pStyle w:val="Ttulogrande"/>
        <w:rPr>
          <w:rFonts w:asciiTheme="minorHAnsi" w:hAnsiTheme="minorHAnsi"/>
          <w:b/>
          <w:sz w:val="26"/>
          <w:szCs w:val="26"/>
          <w:u w:val="single"/>
        </w:rPr>
      </w:pPr>
    </w:p>
    <w:p w14:paraId="5A765040" w14:textId="6BE8BFC1" w:rsidR="004F4523" w:rsidRDefault="004F4523" w:rsidP="004F4523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 w:rsidRPr="009A2F0E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El propósito de este manual es proporcionar a los distribuidores 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mayoristas</w:t>
      </w:r>
      <w:r w:rsidRPr="009A2F0E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de combustibles líquidos una guía detallada sobre los recientes cambios 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efectuados </w:t>
      </w:r>
      <w:r w:rsidRPr="009A2F0E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en los formatos 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de </w:t>
      </w:r>
      <w:r w:rsidRPr="009A2F0E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AOM, con el objetivo de informar claramente las modificaciones efectuadas y asegurar que los agentes comprendan plenamente las nuevas exigencias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. </w:t>
      </w:r>
    </w:p>
    <w:p w14:paraId="1468CECA" w14:textId="06AAEFB1" w:rsidR="00406A55" w:rsidRPr="00406A55" w:rsidRDefault="005138EE" w:rsidP="00406A55">
      <w:pPr>
        <w:pStyle w:val="Ttulogrande"/>
        <w:jc w:val="both"/>
        <w:rPr>
          <w:rFonts w:asciiTheme="minorHAnsi" w:hAnsiTheme="minorHAnsi"/>
          <w:bCs w:val="0"/>
          <w:color w:val="auto"/>
          <w:sz w:val="24"/>
          <w:szCs w:val="24"/>
        </w:rPr>
      </w:pPr>
      <w:r>
        <w:rPr>
          <w:rFonts w:asciiTheme="minorHAnsi" w:hAnsiTheme="minorHAnsi"/>
          <w:bCs w:val="0"/>
          <w:color w:val="auto"/>
          <w:sz w:val="24"/>
          <w:szCs w:val="24"/>
        </w:rPr>
        <w:t>E</w:t>
      </w:r>
      <w:r w:rsidR="00406A55" w:rsidRPr="00406A55">
        <w:rPr>
          <w:rFonts w:asciiTheme="minorHAnsi" w:hAnsiTheme="minorHAnsi"/>
          <w:bCs w:val="0"/>
          <w:color w:val="auto"/>
          <w:sz w:val="24"/>
          <w:szCs w:val="24"/>
        </w:rPr>
        <w:t>stos cambios buscan facilitar el proceso de reporte de los distribuidores m</w:t>
      </w:r>
      <w:r w:rsidR="00406A55">
        <w:rPr>
          <w:rFonts w:asciiTheme="minorHAnsi" w:hAnsiTheme="minorHAnsi"/>
          <w:bCs w:val="0"/>
          <w:color w:val="auto"/>
          <w:sz w:val="24"/>
          <w:szCs w:val="24"/>
        </w:rPr>
        <w:t>ayoristas</w:t>
      </w:r>
      <w:r w:rsidR="00406A55" w:rsidRPr="00406A55">
        <w:rPr>
          <w:rFonts w:asciiTheme="minorHAnsi" w:hAnsiTheme="minorHAnsi"/>
          <w:bCs w:val="0"/>
          <w:color w:val="auto"/>
          <w:sz w:val="24"/>
          <w:szCs w:val="24"/>
        </w:rPr>
        <w:t xml:space="preserve"> de combustibles líquidos mediante la creación de nuevos conceptos CREG, que permiten una clasificación más detallada de los gastos y optimizan la presentación de los reportes de AOM.</w:t>
      </w:r>
    </w:p>
    <w:p w14:paraId="6EF3DFDB" w14:textId="77777777" w:rsidR="001F2FD7" w:rsidRDefault="001F2FD7" w:rsidP="00406A55">
      <w:pPr>
        <w:pStyle w:val="Ttulogrande"/>
        <w:jc w:val="both"/>
        <w:rPr>
          <w:rFonts w:asciiTheme="minorHAnsi" w:hAnsiTheme="minorHAnsi"/>
          <w:bCs w:val="0"/>
          <w:color w:val="auto"/>
          <w:sz w:val="24"/>
          <w:szCs w:val="24"/>
        </w:rPr>
      </w:pPr>
    </w:p>
    <w:p w14:paraId="13D1D468" w14:textId="3DA49BA5" w:rsidR="00406A55" w:rsidRDefault="00406A55" w:rsidP="00406A55">
      <w:pPr>
        <w:pStyle w:val="Ttulogrande"/>
        <w:jc w:val="both"/>
        <w:rPr>
          <w:rFonts w:asciiTheme="minorHAnsi" w:hAnsiTheme="minorHAnsi"/>
          <w:bCs w:val="0"/>
          <w:color w:val="auto"/>
          <w:sz w:val="24"/>
          <w:szCs w:val="24"/>
        </w:rPr>
      </w:pPr>
      <w:r w:rsidRPr="00406A55">
        <w:rPr>
          <w:rFonts w:asciiTheme="minorHAnsi" w:hAnsiTheme="minorHAnsi"/>
          <w:bCs w:val="0"/>
          <w:color w:val="auto"/>
          <w:sz w:val="24"/>
          <w:szCs w:val="24"/>
        </w:rPr>
        <w:t>Es importante destacar que estos formatos serán aplicables para los reportes de gastos AOM correspondientes a la vigencia 202</w:t>
      </w:r>
      <w:r w:rsidR="005138EE">
        <w:rPr>
          <w:rFonts w:asciiTheme="minorHAnsi" w:hAnsiTheme="minorHAnsi"/>
          <w:bCs w:val="0"/>
          <w:color w:val="auto"/>
          <w:sz w:val="24"/>
          <w:szCs w:val="24"/>
        </w:rPr>
        <w:t>4</w:t>
      </w:r>
      <w:r w:rsidRPr="00406A55">
        <w:rPr>
          <w:rFonts w:asciiTheme="minorHAnsi" w:hAnsiTheme="minorHAnsi"/>
          <w:bCs w:val="0"/>
          <w:color w:val="auto"/>
          <w:sz w:val="24"/>
          <w:szCs w:val="24"/>
        </w:rPr>
        <w:t xml:space="preserve"> y años posteriores. </w:t>
      </w:r>
    </w:p>
    <w:p w14:paraId="73D165EB" w14:textId="77777777" w:rsidR="00406A55" w:rsidRDefault="00406A55" w:rsidP="004943CF">
      <w:pPr>
        <w:pStyle w:val="Ttulogrande"/>
        <w:ind w:left="0"/>
        <w:rPr>
          <w:rFonts w:asciiTheme="minorHAnsi" w:hAnsiTheme="minorHAnsi"/>
          <w:b/>
          <w:sz w:val="26"/>
          <w:szCs w:val="26"/>
          <w:u w:val="single"/>
        </w:rPr>
      </w:pPr>
    </w:p>
    <w:p w14:paraId="70C8626F" w14:textId="4DACA8B7" w:rsidR="009A2F0E" w:rsidRDefault="00582F26" w:rsidP="009A2F0E">
      <w:pPr>
        <w:pStyle w:val="Ttulogrande"/>
        <w:rPr>
          <w:rFonts w:asciiTheme="minorHAnsi" w:hAnsiTheme="minorHAnsi"/>
          <w:b/>
          <w:sz w:val="26"/>
          <w:szCs w:val="26"/>
          <w:u w:val="single"/>
        </w:rPr>
      </w:pPr>
      <w:r w:rsidRPr="009A2F0E">
        <w:rPr>
          <w:rFonts w:asciiTheme="minorHAnsi" w:hAnsiTheme="minorHAnsi"/>
          <w:b/>
          <w:sz w:val="26"/>
          <w:szCs w:val="26"/>
          <w:u w:val="single"/>
        </w:rPr>
        <w:t>Descripción de cambios</w:t>
      </w:r>
    </w:p>
    <w:p w14:paraId="662F6C85" w14:textId="77777777" w:rsidR="005138EE" w:rsidRDefault="005138EE" w:rsidP="00C50C43">
      <w:pPr>
        <w:jc w:val="both"/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</w:pPr>
    </w:p>
    <w:p w14:paraId="72026234" w14:textId="77777777" w:rsidR="005138EE" w:rsidRDefault="005138EE" w:rsidP="00C50C43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1</w:t>
      </w:r>
      <w:r w:rsidR="00C50C43" w:rsidRPr="009A2F0E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 xml:space="preserve">. </w:t>
      </w:r>
      <w:bookmarkStart w:id="0" w:name="_Hlk167180735"/>
      <w:r w:rsidR="00C50C43" w:rsidRPr="009A2F0E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Creación de nuevos conceptos CREG de nivel 3</w:t>
      </w:r>
      <w:r w:rsidR="00C50C43" w:rsidRPr="009A2F0E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:</w:t>
      </w:r>
      <w:bookmarkEnd w:id="0"/>
      <w:r w:rsidR="00C50C43" w:rsidRPr="009A2F0E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</w:t>
      </w:r>
      <w:bookmarkStart w:id="1" w:name="_Hlk167099461"/>
    </w:p>
    <w:p w14:paraId="135E1E8D" w14:textId="4796F0A9" w:rsidR="00A13D21" w:rsidRPr="004943CF" w:rsidRDefault="004943CF" w:rsidP="00C50C43">
      <w:pPr>
        <w:jc w:val="both"/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</w:pPr>
      <w:r w:rsidRPr="004943CF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 xml:space="preserve">Con el objetivo de ajustar los reportes a las exigencias fiscales actuales, se han introducido nuevos conceptos CREG en el Formato AOM-805, específicamente para los grupos “03000000 Gastos de administración” y “04000000 Gastos de Distribución y ventas”. </w:t>
      </w:r>
      <w:r w:rsidR="00C50C43" w:rsidRPr="004943CF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Estos nuevos conceptos permitirán una clasificación más detallada de </w:t>
      </w:r>
      <w:r w:rsidRPr="004943CF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estos rubros</w:t>
      </w:r>
      <w:r w:rsidR="00C50C43" w:rsidRPr="004943CF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, optimizando así la presentación de los reportes de AOM.</w:t>
      </w:r>
    </w:p>
    <w:p w14:paraId="1A7EA6E2" w14:textId="5D3FCD5E" w:rsidR="00C50C43" w:rsidRDefault="00FC1426" w:rsidP="00C50C43">
      <w:pPr>
        <w:jc w:val="both"/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</w:pP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1</w:t>
      </w:r>
      <w:r w:rsidR="00C50C43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 xml:space="preserve">.1 </w:t>
      </w:r>
      <w:r w:rsidR="00C50C43" w:rsidRPr="007F2316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Nuevos conceptos para “Gastos de administración”</w:t>
      </w:r>
    </w:p>
    <w:p w14:paraId="07D4E9A9" w14:textId="77777777" w:rsidR="00C50C43" w:rsidRPr="00980314" w:rsidRDefault="00C50C43" w:rsidP="00C50C43">
      <w:pPr>
        <w:jc w:val="both"/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</w:pPr>
      <w:r w:rsidRPr="007F2316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Dentro del grupo “Gastos de administración”, se han introducido los siguientes 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sub</w:t>
      </w:r>
      <w:r w:rsidRPr="007F2316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conceptos:</w:t>
      </w:r>
    </w:p>
    <w:p w14:paraId="0E14A10C" w14:textId="2ED4989F" w:rsidR="00C50C43" w:rsidRPr="007F2316" w:rsidRDefault="00FC1426" w:rsidP="00C50C43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1</w:t>
      </w:r>
      <w:r w:rsidR="00C50C43" w:rsidRPr="00611901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.1.1 concepto CREG “030</w:t>
      </w: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3</w:t>
      </w:r>
      <w:r w:rsidR="00C50C43" w:rsidRPr="00611901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0000</w:t>
      </w: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 xml:space="preserve"> Impuestos</w:t>
      </w:r>
      <w:r w:rsidR="00C50C43" w:rsidRPr="00611901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”,</w:t>
      </w:r>
      <w:r w:rsidR="00C50C43" w:rsidRPr="007F2316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se adicionan los siguientes </w:t>
      </w:r>
      <w:r w:rsidR="00C50C43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sub</w:t>
      </w:r>
      <w:r w:rsidR="00C50C43" w:rsidRPr="007F2316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conceptos</w:t>
      </w:r>
    </w:p>
    <w:p w14:paraId="4872FE5F" w14:textId="7B26661E" w:rsidR="00C50C43" w:rsidRPr="00980314" w:rsidRDefault="00C50C43" w:rsidP="00C50C43">
      <w:pPr>
        <w:spacing w:after="0"/>
        <w:jc w:val="both"/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</w:pP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030</w:t>
      </w:r>
      <w:r w:rsidR="00FC1426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310</w:t>
      </w: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 xml:space="preserve">00 </w:t>
      </w:r>
      <w:r w:rsidR="00FC1426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impuesto alumbrado público</w:t>
      </w:r>
    </w:p>
    <w:p w14:paraId="7E955CC2" w14:textId="417797EC" w:rsidR="00C50C43" w:rsidRDefault="00C50C43" w:rsidP="00C50C43">
      <w:pPr>
        <w:spacing w:after="0"/>
        <w:jc w:val="both"/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</w:pP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030</w:t>
      </w:r>
      <w:r w:rsidR="00FC1426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311</w:t>
      </w: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 xml:space="preserve">00 </w:t>
      </w:r>
      <w:r w:rsidR="00FC1426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impuesto de timbre</w:t>
      </w:r>
    </w:p>
    <w:p w14:paraId="431489B2" w14:textId="77777777" w:rsidR="00C50C43" w:rsidRDefault="00C50C43" w:rsidP="00C50C43">
      <w:pPr>
        <w:pStyle w:val="Ttulogrande"/>
        <w:spacing w:before="0"/>
        <w:ind w:left="0"/>
        <w:rPr>
          <w:rFonts w:asciiTheme="minorHAnsi" w:hAnsiTheme="minorHAnsi"/>
          <w:bCs w:val="0"/>
          <w:sz w:val="22"/>
          <w:u w:val="single"/>
        </w:rPr>
      </w:pPr>
    </w:p>
    <w:p w14:paraId="78DFDCDF" w14:textId="77777777" w:rsidR="00FC1426" w:rsidRDefault="00FC1426" w:rsidP="00C50C43">
      <w:pPr>
        <w:pStyle w:val="Ttulogrande"/>
        <w:spacing w:before="0"/>
        <w:ind w:left="0"/>
        <w:rPr>
          <w:rFonts w:asciiTheme="minorHAnsi" w:hAnsiTheme="minorHAnsi"/>
          <w:bCs w:val="0"/>
          <w:sz w:val="22"/>
          <w:u w:val="single"/>
        </w:rPr>
      </w:pPr>
    </w:p>
    <w:p w14:paraId="2CAB1145" w14:textId="77777777" w:rsidR="00FC1426" w:rsidRDefault="00FC1426" w:rsidP="00C50C43">
      <w:pPr>
        <w:pStyle w:val="Ttulogrande"/>
        <w:spacing w:before="0"/>
        <w:ind w:left="0"/>
        <w:rPr>
          <w:rFonts w:asciiTheme="minorHAnsi" w:hAnsiTheme="minorHAnsi"/>
          <w:bCs w:val="0"/>
          <w:sz w:val="22"/>
          <w:u w:val="single"/>
        </w:rPr>
      </w:pPr>
    </w:p>
    <w:p w14:paraId="5EB90729" w14:textId="566EC92A" w:rsidR="00C50C43" w:rsidRPr="009E6B56" w:rsidRDefault="00C50C43" w:rsidP="00C50C43">
      <w:pPr>
        <w:pStyle w:val="Ttulogrande"/>
        <w:spacing w:before="0"/>
        <w:ind w:left="0"/>
        <w:jc w:val="center"/>
        <w:rPr>
          <w:rFonts w:asciiTheme="minorHAnsi" w:hAnsiTheme="minorHAnsi"/>
          <w:b/>
          <w:sz w:val="22"/>
          <w:u w:val="single"/>
        </w:rPr>
      </w:pPr>
      <w:r w:rsidRPr="009E6B56">
        <w:rPr>
          <w:rFonts w:asciiTheme="minorHAnsi" w:hAnsiTheme="minorHAnsi"/>
          <w:b/>
          <w:sz w:val="22"/>
          <w:u w:val="single"/>
        </w:rPr>
        <w:lastRenderedPageBreak/>
        <w:t>NUEVA ESTRUCTURA CONCEPTO</w:t>
      </w:r>
      <w:r w:rsidR="00FC1426">
        <w:rPr>
          <w:rFonts w:asciiTheme="minorHAnsi" w:hAnsiTheme="minorHAnsi"/>
          <w:b/>
          <w:sz w:val="22"/>
          <w:u w:val="single"/>
        </w:rPr>
        <w:t xml:space="preserve"> IMPUESTOS</w:t>
      </w:r>
    </w:p>
    <w:p w14:paraId="7B548695" w14:textId="15276FBC" w:rsidR="00C50C43" w:rsidRPr="00611901" w:rsidRDefault="00C50C43" w:rsidP="00C50C43">
      <w:pPr>
        <w:pStyle w:val="Ttulogrande"/>
        <w:spacing w:before="0"/>
        <w:jc w:val="center"/>
        <w:rPr>
          <w:noProof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2E2FE0" wp14:editId="7E30EAE4">
                <wp:simplePos x="0" y="0"/>
                <wp:positionH relativeFrom="column">
                  <wp:posOffset>884707</wp:posOffset>
                </wp:positionH>
                <wp:positionV relativeFrom="paragraph">
                  <wp:posOffset>2022892</wp:posOffset>
                </wp:positionV>
                <wp:extent cx="3918102" cy="379436"/>
                <wp:effectExtent l="19050" t="19050" r="25400" b="20955"/>
                <wp:wrapNone/>
                <wp:docPr id="106161215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102" cy="37943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B9824" id="Rectángulo 1" o:spid="_x0000_s1026" style="position:absolute;margin-left:69.65pt;margin-top:159.3pt;width:308.5pt;height:29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" filled="f" strokecolor="red" strokeweight="2.25pt"/>
            </w:pict>
          </mc:Fallback>
        </mc:AlternateContent>
      </w:r>
      <w:r w:rsidRPr="005C689C">
        <w:rPr>
          <w:noProof/>
        </w:rPr>
        <w:t xml:space="preserve"> </w:t>
      </w:r>
      <w:r w:rsidR="00FC1426" w:rsidRPr="00FC1426">
        <w:rPr>
          <w:noProof/>
        </w:rPr>
        <w:drawing>
          <wp:inline distT="0" distB="0" distL="0" distR="0" wp14:anchorId="506A6185" wp14:editId="353D3E78">
            <wp:extent cx="3916680" cy="2402006"/>
            <wp:effectExtent l="0" t="0" r="7620" b="0"/>
            <wp:docPr id="1111131404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367" cy="240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C0866" w14:textId="348B6519" w:rsidR="00C50C43" w:rsidRPr="009E6B56" w:rsidRDefault="00C50C43" w:rsidP="00C50C43">
      <w:pPr>
        <w:pStyle w:val="Ttulogrande"/>
        <w:ind w:left="0"/>
        <w:jc w:val="center"/>
        <w:rPr>
          <w:rFonts w:asciiTheme="minorHAnsi" w:hAnsiTheme="minorHAnsi"/>
          <w:b/>
          <w:sz w:val="22"/>
          <w:u w:val="single"/>
        </w:rPr>
      </w:pPr>
      <w:r w:rsidRPr="009E6B56">
        <w:rPr>
          <w:rFonts w:asciiTheme="minorHAnsi" w:hAnsiTheme="minorHAnsi"/>
          <w:b/>
          <w:sz w:val="22"/>
          <w:u w:val="single"/>
        </w:rPr>
        <w:t>Formato AOM 80</w:t>
      </w:r>
      <w:r w:rsidR="00F96BB9">
        <w:rPr>
          <w:rFonts w:asciiTheme="minorHAnsi" w:hAnsiTheme="minorHAnsi"/>
          <w:b/>
          <w:sz w:val="22"/>
          <w:u w:val="single"/>
        </w:rPr>
        <w:t>5-</w:t>
      </w:r>
      <w:r w:rsidR="00FC1426">
        <w:rPr>
          <w:rFonts w:asciiTheme="minorHAnsi" w:hAnsiTheme="minorHAnsi"/>
          <w:b/>
          <w:sz w:val="22"/>
          <w:u w:val="single"/>
        </w:rPr>
        <w:t>AAAA</w:t>
      </w:r>
      <w:r w:rsidR="00F96BB9">
        <w:rPr>
          <w:rFonts w:asciiTheme="minorHAnsi" w:hAnsiTheme="minorHAnsi"/>
          <w:b/>
          <w:sz w:val="22"/>
          <w:u w:val="single"/>
        </w:rPr>
        <w:t>-</w:t>
      </w:r>
      <w:r w:rsidRPr="009E6B56">
        <w:rPr>
          <w:rFonts w:asciiTheme="minorHAnsi" w:hAnsiTheme="minorHAnsi"/>
          <w:b/>
          <w:sz w:val="22"/>
          <w:u w:val="single"/>
        </w:rPr>
        <w:t>COD</w:t>
      </w:r>
      <w:r w:rsidR="00FC1426">
        <w:rPr>
          <w:rFonts w:asciiTheme="minorHAnsi" w:hAnsiTheme="minorHAnsi"/>
          <w:b/>
          <w:sz w:val="22"/>
          <w:u w:val="single"/>
        </w:rPr>
        <w:t>_</w:t>
      </w:r>
      <w:r w:rsidR="00F96BB9">
        <w:rPr>
          <w:rFonts w:asciiTheme="minorHAnsi" w:hAnsiTheme="minorHAnsi"/>
          <w:b/>
          <w:sz w:val="22"/>
          <w:u w:val="single"/>
        </w:rPr>
        <w:t>PLANTA</w:t>
      </w:r>
    </w:p>
    <w:p w14:paraId="302C8431" w14:textId="77777777" w:rsidR="0040194D" w:rsidRDefault="0040194D" w:rsidP="00C50C43">
      <w:pPr>
        <w:jc w:val="both"/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</w:pPr>
    </w:p>
    <w:p w14:paraId="34E730BB" w14:textId="59CD330E" w:rsidR="00C50C43" w:rsidRPr="007F2316" w:rsidRDefault="00FC1426" w:rsidP="00C50C43">
      <w:pPr>
        <w:jc w:val="both"/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</w:pP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1</w:t>
      </w:r>
      <w:r w:rsidR="00C50C43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 xml:space="preserve">.2 </w:t>
      </w:r>
      <w:r w:rsidR="00C50C43" w:rsidRPr="007F2316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Nuevos conceptos para “Gastos de distribución y ventas”</w:t>
      </w:r>
    </w:p>
    <w:p w14:paraId="244555EB" w14:textId="77777777" w:rsidR="00C50C43" w:rsidRPr="005C689C" w:rsidRDefault="00C50C43" w:rsidP="00C50C43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 w:rsidRPr="005C689C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Dentro del grupo “Gastos de distribución y ventas”, se han introducido los siguientes conceptos de nivel 3:</w:t>
      </w:r>
    </w:p>
    <w:p w14:paraId="6D26CB38" w14:textId="77777777" w:rsidR="00FC1426" w:rsidRPr="007F2316" w:rsidRDefault="00FC1426" w:rsidP="00FC1426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1</w:t>
      </w:r>
      <w:r w:rsidR="00C50C43" w:rsidRPr="005C689C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.2.1 concepto de nivel 2 “040</w:t>
      </w: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3</w:t>
      </w:r>
      <w:r w:rsidR="00C50C43" w:rsidRPr="005C689C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 xml:space="preserve">0000 </w:t>
      </w: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Impuestos</w:t>
      </w:r>
      <w:r w:rsidR="00C50C43" w:rsidRPr="005C689C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”,</w:t>
      </w:r>
      <w:r w:rsidR="00C50C43" w:rsidRPr="005C689C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</w:t>
      </w:r>
      <w:r w:rsidRPr="007F2316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se adicionan los siguientes 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sub</w:t>
      </w:r>
      <w:r w:rsidRPr="007F2316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conceptos</w:t>
      </w:r>
    </w:p>
    <w:p w14:paraId="044F026F" w14:textId="65561F1A" w:rsidR="00FC1426" w:rsidRPr="00980314" w:rsidRDefault="00FC1426" w:rsidP="00FC1426">
      <w:pPr>
        <w:spacing w:after="0"/>
        <w:jc w:val="both"/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</w:pP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0</w:t>
      </w:r>
      <w:r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4</w:t>
      </w: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0</w:t>
      </w:r>
      <w:r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310</w:t>
      </w: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 xml:space="preserve">00 </w:t>
      </w:r>
      <w:r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impuesto alumbrado público</w:t>
      </w:r>
    </w:p>
    <w:p w14:paraId="661CFCC4" w14:textId="34758BC5" w:rsidR="00FC1426" w:rsidRDefault="00FC1426" w:rsidP="00FC1426">
      <w:pPr>
        <w:spacing w:after="0"/>
        <w:jc w:val="both"/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</w:pP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0</w:t>
      </w:r>
      <w:r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4</w:t>
      </w: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0</w:t>
      </w:r>
      <w:r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311</w:t>
      </w:r>
      <w:r w:rsidRPr="00980314"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 xml:space="preserve">00 </w:t>
      </w:r>
      <w:r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  <w:t>impuesto de timbre</w:t>
      </w:r>
    </w:p>
    <w:p w14:paraId="6CC118C6" w14:textId="77777777" w:rsidR="00FC1426" w:rsidRDefault="00FC1426" w:rsidP="00FC1426">
      <w:pPr>
        <w:spacing w:after="0"/>
        <w:jc w:val="both"/>
        <w:rPr>
          <w:rFonts w:eastAsia="Franklin Gothic Book" w:cs="Franklin Gothic Book"/>
          <w:i/>
          <w:iCs/>
          <w:kern w:val="0"/>
          <w:sz w:val="24"/>
          <w:szCs w:val="24"/>
          <w:u w:val="single"/>
          <w:lang w:val="es-ES" w:bidi="en-US"/>
          <w14:ligatures w14:val="none"/>
        </w:rPr>
      </w:pPr>
    </w:p>
    <w:p w14:paraId="487E2B18" w14:textId="260129DF" w:rsidR="00C50C43" w:rsidRPr="009E6B56" w:rsidRDefault="00C50C43" w:rsidP="00C50C43">
      <w:pPr>
        <w:pStyle w:val="Ttulogrande"/>
        <w:spacing w:before="0"/>
        <w:ind w:left="0"/>
        <w:jc w:val="center"/>
        <w:rPr>
          <w:rFonts w:asciiTheme="minorHAnsi" w:hAnsiTheme="minorHAnsi"/>
          <w:b/>
          <w:sz w:val="22"/>
          <w:u w:val="single"/>
        </w:rPr>
      </w:pPr>
      <w:r w:rsidRPr="009E6B56">
        <w:rPr>
          <w:rFonts w:asciiTheme="minorHAnsi" w:hAnsiTheme="minorHAnsi"/>
          <w:b/>
          <w:sz w:val="22"/>
          <w:u w:val="single"/>
        </w:rPr>
        <w:t>NUEVA ESTRUCTURA CONCEPTO</w:t>
      </w:r>
      <w:r>
        <w:rPr>
          <w:rFonts w:asciiTheme="minorHAnsi" w:hAnsiTheme="minorHAnsi"/>
          <w:b/>
          <w:sz w:val="22"/>
          <w:u w:val="single"/>
        </w:rPr>
        <w:t xml:space="preserve"> </w:t>
      </w:r>
      <w:r w:rsidR="00FC1426">
        <w:rPr>
          <w:rFonts w:asciiTheme="minorHAnsi" w:hAnsiTheme="minorHAnsi"/>
          <w:b/>
          <w:sz w:val="22"/>
          <w:u w:val="single"/>
        </w:rPr>
        <w:t>IMPUESTOS</w:t>
      </w:r>
    </w:p>
    <w:p w14:paraId="2B48159B" w14:textId="0260C851" w:rsidR="00C50C43" w:rsidRDefault="00C50C43" w:rsidP="00C50C43">
      <w:pPr>
        <w:pStyle w:val="Ttulogrande"/>
        <w:spacing w:before="0"/>
        <w:jc w:val="center"/>
        <w:rPr>
          <w:noProof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039B62" wp14:editId="55F16FEA">
                <wp:simplePos x="0" y="0"/>
                <wp:positionH relativeFrom="margin">
                  <wp:posOffset>883721</wp:posOffset>
                </wp:positionH>
                <wp:positionV relativeFrom="paragraph">
                  <wp:posOffset>2030153</wp:posOffset>
                </wp:positionV>
                <wp:extent cx="3918102" cy="356140"/>
                <wp:effectExtent l="19050" t="19050" r="25400" b="25400"/>
                <wp:wrapNone/>
                <wp:docPr id="167470082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102" cy="3561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0600B" id="Rectángulo 1" o:spid="_x0000_s1026" style="position:absolute;margin-left:69.6pt;margin-top:159.85pt;width:308.5pt;height:28.0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" filled="f" strokecolor="red" strokeweight="2.25pt">
                <w10:wrap anchorx="margin"/>
              </v:rect>
            </w:pict>
          </mc:Fallback>
        </mc:AlternateContent>
      </w:r>
      <w:r w:rsidRPr="005C689C">
        <w:rPr>
          <w:noProof/>
        </w:rPr>
        <w:t xml:space="preserve"> </w:t>
      </w:r>
      <w:r w:rsidR="00FC1426" w:rsidRPr="00FC1426">
        <w:rPr>
          <w:noProof/>
        </w:rPr>
        <w:drawing>
          <wp:inline distT="0" distB="0" distL="0" distR="0" wp14:anchorId="1A453988" wp14:editId="47FAAE6F">
            <wp:extent cx="3916680" cy="2388358"/>
            <wp:effectExtent l="0" t="0" r="7620" b="0"/>
            <wp:docPr id="1900378925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621" cy="239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A5A4" w14:textId="61B1AF8B" w:rsidR="00C50C43" w:rsidRDefault="00C50C43" w:rsidP="00C50C43">
      <w:pPr>
        <w:pStyle w:val="Ttulogrande"/>
        <w:ind w:left="0"/>
        <w:jc w:val="center"/>
        <w:rPr>
          <w:rFonts w:asciiTheme="minorHAnsi" w:hAnsiTheme="minorHAnsi"/>
          <w:b/>
          <w:sz w:val="22"/>
          <w:u w:val="single"/>
        </w:rPr>
      </w:pPr>
      <w:r w:rsidRPr="009E6B56">
        <w:rPr>
          <w:rFonts w:asciiTheme="minorHAnsi" w:hAnsiTheme="minorHAnsi"/>
          <w:b/>
          <w:sz w:val="22"/>
          <w:u w:val="single"/>
        </w:rPr>
        <w:t>Formato AOM 80</w:t>
      </w:r>
      <w:r w:rsidR="00F96BB9">
        <w:rPr>
          <w:rFonts w:asciiTheme="minorHAnsi" w:hAnsiTheme="minorHAnsi"/>
          <w:b/>
          <w:sz w:val="22"/>
          <w:u w:val="single"/>
        </w:rPr>
        <w:t>5-</w:t>
      </w:r>
      <w:r w:rsidR="00FC1426">
        <w:rPr>
          <w:rFonts w:asciiTheme="minorHAnsi" w:hAnsiTheme="minorHAnsi"/>
          <w:b/>
          <w:sz w:val="22"/>
          <w:u w:val="single"/>
        </w:rPr>
        <w:t>AAAA</w:t>
      </w:r>
      <w:r w:rsidR="00F96BB9">
        <w:rPr>
          <w:rFonts w:asciiTheme="minorHAnsi" w:hAnsiTheme="minorHAnsi"/>
          <w:b/>
          <w:sz w:val="22"/>
          <w:u w:val="single"/>
        </w:rPr>
        <w:t>-</w:t>
      </w:r>
      <w:r w:rsidRPr="009E6B56">
        <w:rPr>
          <w:rFonts w:asciiTheme="minorHAnsi" w:hAnsiTheme="minorHAnsi"/>
          <w:b/>
          <w:sz w:val="22"/>
          <w:u w:val="single"/>
        </w:rPr>
        <w:t>COD_</w:t>
      </w:r>
      <w:r w:rsidR="00F96BB9">
        <w:rPr>
          <w:rFonts w:asciiTheme="minorHAnsi" w:hAnsiTheme="minorHAnsi"/>
          <w:b/>
          <w:sz w:val="22"/>
          <w:u w:val="single"/>
        </w:rPr>
        <w:t>PLANTA</w:t>
      </w:r>
    </w:p>
    <w:bookmarkEnd w:id="1"/>
    <w:p w14:paraId="488C6DA5" w14:textId="4218967B" w:rsidR="00DB19F8" w:rsidRDefault="00DB19F8" w:rsidP="0040194D">
      <w:pPr>
        <w:tabs>
          <w:tab w:val="left" w:pos="5670"/>
        </w:tabs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</w:p>
    <w:p w14:paraId="31977374" w14:textId="22FEDA01" w:rsidR="0040194D" w:rsidRDefault="005D2B32" w:rsidP="0040194D">
      <w:pPr>
        <w:pStyle w:val="Ttulogrande"/>
        <w:ind w:left="0"/>
        <w:rPr>
          <w:rFonts w:asciiTheme="minorHAnsi" w:hAnsiTheme="minorHAnsi"/>
          <w:b/>
          <w:sz w:val="26"/>
          <w:szCs w:val="26"/>
          <w:u w:val="single"/>
        </w:rPr>
      </w:pPr>
      <w:r>
        <w:rPr>
          <w:rFonts w:asciiTheme="minorHAnsi" w:hAnsiTheme="minorHAnsi"/>
          <w:b/>
          <w:sz w:val="26"/>
          <w:szCs w:val="26"/>
          <w:u w:val="single"/>
        </w:rPr>
        <w:lastRenderedPageBreak/>
        <w:t>Para tener</w:t>
      </w:r>
      <w:r w:rsidR="0040194D">
        <w:rPr>
          <w:rFonts w:asciiTheme="minorHAnsi" w:hAnsiTheme="minorHAnsi"/>
          <w:b/>
          <w:sz w:val="26"/>
          <w:szCs w:val="26"/>
          <w:u w:val="single"/>
        </w:rPr>
        <w:t xml:space="preserve"> en cuenta </w:t>
      </w:r>
    </w:p>
    <w:p w14:paraId="1A350155" w14:textId="77777777" w:rsidR="0040194D" w:rsidRDefault="0040194D" w:rsidP="0040194D">
      <w:pPr>
        <w:pStyle w:val="Ttulogrande"/>
        <w:ind w:left="0"/>
        <w:rPr>
          <w:rFonts w:asciiTheme="minorHAnsi" w:hAnsiTheme="minorHAnsi"/>
          <w:b/>
          <w:sz w:val="22"/>
          <w:u w:val="single"/>
        </w:rPr>
      </w:pPr>
    </w:p>
    <w:p w14:paraId="7E80EBB2" w14:textId="77777777" w:rsidR="0040194D" w:rsidRPr="001F2FD7" w:rsidRDefault="0040194D" w:rsidP="0040194D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 w:rsidRPr="001F2FD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1. Identifique los hechos económicos relacionados con estos impuestos</w:t>
      </w:r>
    </w:p>
    <w:p w14:paraId="32DF195B" w14:textId="77777777" w:rsidR="0040194D" w:rsidRPr="001F2FD7" w:rsidRDefault="0040194D" w:rsidP="0040194D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 w:rsidRPr="001F2FD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Determine si en su operación existen pagos o registros contables asociados al Impuesto de Timbre o al Impuesto de Alumbrado Público.</w:t>
      </w:r>
    </w:p>
    <w:p w14:paraId="33DC7E1E" w14:textId="77777777" w:rsidR="0040194D" w:rsidRPr="001F2FD7" w:rsidRDefault="0040194D" w:rsidP="0040194D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 w:rsidRPr="001F2FD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2. Clasifique correctamente según el tipo de gasto</w:t>
      </w:r>
    </w:p>
    <w:p w14:paraId="2CDF185F" w14:textId="77777777" w:rsidR="0040194D" w:rsidRDefault="0040194D" w:rsidP="0040194D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 w:rsidRPr="001F2FD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Ubique el impuesto en el grupo que corresponda, ya sea en gastos de administración o gastos de distribución y ventas, según la naturaleza del hecho económico.</w:t>
      </w:r>
    </w:p>
    <w:p w14:paraId="05B6B554" w14:textId="77777777" w:rsidR="0040194D" w:rsidRPr="001F2FD7" w:rsidRDefault="0040194D" w:rsidP="0040194D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 w:rsidRPr="00C61231">
        <w:rPr>
          <w:noProof/>
        </w:rPr>
        <w:drawing>
          <wp:inline distT="0" distB="0" distL="0" distR="0" wp14:anchorId="28D1E4EF" wp14:editId="1748639C">
            <wp:extent cx="3664585" cy="607060"/>
            <wp:effectExtent l="0" t="0" r="0" b="2540"/>
            <wp:docPr id="48805587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5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70F90" w14:textId="77777777" w:rsidR="0040194D" w:rsidRDefault="0040194D" w:rsidP="0040194D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 w:rsidRPr="001F2FD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3.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Calcule la participación que estas erogaciones pueden tener en las estructuras de costos.</w:t>
      </w:r>
    </w:p>
    <w:p w14:paraId="1FFCDC0F" w14:textId="77777777" w:rsidR="0040194D" w:rsidRDefault="0040194D" w:rsidP="0040194D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220424" wp14:editId="6705BE91">
                <wp:simplePos x="0" y="0"/>
                <wp:positionH relativeFrom="margin">
                  <wp:posOffset>-635</wp:posOffset>
                </wp:positionH>
                <wp:positionV relativeFrom="paragraph">
                  <wp:posOffset>1136777</wp:posOffset>
                </wp:positionV>
                <wp:extent cx="5612130" cy="200279"/>
                <wp:effectExtent l="19050" t="19050" r="26670" b="28575"/>
                <wp:wrapNone/>
                <wp:docPr id="107920366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0027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A17AE" id="Rectángulo 1" o:spid="_x0000_s1026" style="position:absolute;margin-left:-.05pt;margin-top:89.5pt;width:441.9pt;height:15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" filled="f" strokecolor="red" strokeweight="2.2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6CAEF8" wp14:editId="7E814851">
                <wp:simplePos x="0" y="0"/>
                <wp:positionH relativeFrom="margin">
                  <wp:posOffset>-1143</wp:posOffset>
                </wp:positionH>
                <wp:positionV relativeFrom="paragraph">
                  <wp:posOffset>1551305</wp:posOffset>
                </wp:positionV>
                <wp:extent cx="5612130" cy="200279"/>
                <wp:effectExtent l="19050" t="19050" r="26670" b="28575"/>
                <wp:wrapNone/>
                <wp:docPr id="184554478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0027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51870" id="Rectángulo 1" o:spid="_x0000_s1026" style="position:absolute;margin-left:-.1pt;margin-top:122.15pt;width:441.9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" filled="f" strokecolor="red" strokeweight="2.25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0C03EAA" wp14:editId="2A30E7AF">
            <wp:extent cx="5612130" cy="1749425"/>
            <wp:effectExtent l="0" t="0" r="7620" b="3175"/>
            <wp:docPr id="154221209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12094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</w:t>
      </w:r>
    </w:p>
    <w:p w14:paraId="4292EFA2" w14:textId="77777777" w:rsidR="0040194D" w:rsidRDefault="0040194D" w:rsidP="0040194D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Nota: </w:t>
      </w:r>
      <w:r w:rsidRPr="00D167C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Se debe considerar que estas erogaciones pueden imputarse a una o múltiples Estructuras de Costos (EDC) o subactividades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(Columnas)</w:t>
      </w:r>
      <w:r w:rsidRPr="00D167C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, </w:t>
      </w:r>
      <w:r w:rsidRPr="00D167C7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>en función de la naturaleza del hecho económico que dio origen a la imputación.</w:t>
      </w:r>
      <w:r w:rsidRPr="00D167C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</w:t>
      </w:r>
    </w:p>
    <w:p w14:paraId="19FFFEEF" w14:textId="77777777" w:rsidR="0040194D" w:rsidRPr="001F2FD7" w:rsidRDefault="0040194D" w:rsidP="0040194D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4.  </w:t>
      </w:r>
      <w:r w:rsidRPr="001F2FD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Asegúrese de que la sumatoria reportada en los subconceptos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(filas) y EDC estructuras de costos (columnas) </w:t>
      </w:r>
      <w:r w:rsidRPr="001F2FD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coincida con el valor total del concepto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CREG</w:t>
      </w:r>
      <w:r w:rsidRPr="001F2FD7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 xml:space="preserve"> principal.</w:t>
      </w:r>
    </w:p>
    <w:p w14:paraId="0CE3CB94" w14:textId="77777777" w:rsidR="0040194D" w:rsidRPr="001F2FD7" w:rsidRDefault="0040194D" w:rsidP="0040194D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34FBF1" wp14:editId="58B21E72">
                <wp:simplePos x="0" y="0"/>
                <wp:positionH relativeFrom="margin">
                  <wp:posOffset>-381</wp:posOffset>
                </wp:positionH>
                <wp:positionV relativeFrom="paragraph">
                  <wp:posOffset>898525</wp:posOffset>
                </wp:positionV>
                <wp:extent cx="5612130" cy="109728"/>
                <wp:effectExtent l="19050" t="19050" r="26670" b="24130"/>
                <wp:wrapNone/>
                <wp:docPr id="61752627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10972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3B9F0" id="Rectángulo 1" o:spid="_x0000_s1026" style="position:absolute;margin-left:-.05pt;margin-top:70.75pt;width:441.9pt;height:8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" filled="f" strokecolor="red" strokeweight="2.25pt">
                <w10:wrap anchorx="margin"/>
              </v:rect>
            </w:pict>
          </mc:Fallback>
        </mc:AlternateContent>
      </w:r>
      <w:r w:rsidRPr="00D167C7">
        <w:rPr>
          <w:noProof/>
        </w:rPr>
        <w:drawing>
          <wp:inline distT="0" distB="0" distL="0" distR="0" wp14:anchorId="4446E9B5" wp14:editId="6F80ACFA">
            <wp:extent cx="5612130" cy="2160905"/>
            <wp:effectExtent l="0" t="0" r="7620" b="0"/>
            <wp:docPr id="98632395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59B73" w14:textId="47B61AFE" w:rsidR="0040194D" w:rsidRPr="00DB19F8" w:rsidRDefault="0040194D" w:rsidP="0040194D">
      <w:pPr>
        <w:jc w:val="both"/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</w:pPr>
      <w:r w:rsidRPr="00C61231"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>Nota:</w:t>
      </w:r>
      <w:r>
        <w:rPr>
          <w:rFonts w:eastAsia="Franklin Gothic Book" w:cs="Franklin Gothic Book"/>
          <w:b/>
          <w:bCs/>
          <w:kern w:val="0"/>
          <w:sz w:val="24"/>
          <w:szCs w:val="24"/>
          <w:lang w:val="es-ES" w:bidi="en-US"/>
          <w14:ligatures w14:val="none"/>
        </w:rPr>
        <w:t xml:space="preserve"> </w:t>
      </w:r>
      <w:r w:rsidRPr="0040194D"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La información reportada en los formatos AOM debe coincidir con lo registrado en los estados financieros y libros oficiales de la empresa. Cualquier diferencia entre los valores reportados en los formatos AOM y la información oficial podrá dar lugar a requerimientos o solicitudes de aclaración por parte de la Comisió</w:t>
      </w:r>
      <w:r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  <w:t>n.</w:t>
      </w:r>
    </w:p>
    <w:p w14:paraId="43B42CB1" w14:textId="77777777" w:rsidR="0040194D" w:rsidRDefault="0040194D" w:rsidP="0040194D">
      <w:pPr>
        <w:jc w:val="both"/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</w:pPr>
      <w:r w:rsidRPr="006E1FBB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 xml:space="preserve">Los reportes deberán ser remitidos exclusivamente a través de la herramienta dispuesta por la Comisión, conforme a lo establecido en la Circular CREG </w:t>
      </w:r>
      <w:r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>027 de 2024</w:t>
      </w:r>
      <w:r w:rsidRPr="006E1FBB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 xml:space="preserve">. </w:t>
      </w:r>
    </w:p>
    <w:p w14:paraId="657FBFD5" w14:textId="35521577" w:rsidR="0040194D" w:rsidRPr="006E1FBB" w:rsidRDefault="0040194D" w:rsidP="0040194D">
      <w:pPr>
        <w:jc w:val="both"/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</w:pPr>
      <w:r w:rsidRPr="006E1FBB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 xml:space="preserve">Toda información enviada por medios alternos, incluidos correos electrónicos u otros canales no autorizados, será considerada como </w:t>
      </w:r>
      <w:r>
        <w:rPr>
          <w:rFonts w:eastAsia="Franklin Gothic Book" w:cs="Franklin Gothic Book"/>
          <w:b/>
          <w:bCs/>
          <w:kern w:val="0"/>
          <w:sz w:val="24"/>
          <w:szCs w:val="24"/>
          <w:lang w:bidi="en-US"/>
          <w14:ligatures w14:val="none"/>
        </w:rPr>
        <w:t>NO</w:t>
      </w:r>
      <w:r w:rsidRPr="006E1FBB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 xml:space="preserve"> presentada.</w:t>
      </w:r>
    </w:p>
    <w:p w14:paraId="2B980491" w14:textId="03E27C69" w:rsidR="0040194D" w:rsidRPr="006E1FBB" w:rsidRDefault="0040194D" w:rsidP="0040194D">
      <w:pPr>
        <w:jc w:val="both"/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</w:pPr>
      <w:r w:rsidRPr="006E1FBB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 xml:space="preserve">No se debe remitir documentación adicional distinta a los formatos definidos por la Comisión en las circulares respectivas (como estados financieros, revelaciones, hojas de trabajo, cálculos u otros anexos), ya que dicha información </w:t>
      </w:r>
      <w:r>
        <w:rPr>
          <w:rFonts w:eastAsia="Franklin Gothic Book" w:cs="Franklin Gothic Book"/>
          <w:b/>
          <w:bCs/>
          <w:kern w:val="0"/>
          <w:sz w:val="24"/>
          <w:szCs w:val="24"/>
          <w:lang w:bidi="en-US"/>
          <w14:ligatures w14:val="none"/>
        </w:rPr>
        <w:t>NO</w:t>
      </w:r>
      <w:r w:rsidRPr="006E1FBB">
        <w:rPr>
          <w:rFonts w:eastAsia="Franklin Gothic Book" w:cs="Franklin Gothic Book"/>
          <w:kern w:val="0"/>
          <w:sz w:val="24"/>
          <w:szCs w:val="24"/>
          <w:lang w:bidi="en-US"/>
          <w14:ligatures w14:val="none"/>
        </w:rPr>
        <w:t xml:space="preserve"> será tenida en cuenta.</w:t>
      </w:r>
    </w:p>
    <w:p w14:paraId="01F3F929" w14:textId="77777777" w:rsidR="0040194D" w:rsidRPr="00496395" w:rsidRDefault="0040194D" w:rsidP="0040194D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</w:p>
    <w:p w14:paraId="07AA3C24" w14:textId="77777777" w:rsidR="0040194D" w:rsidRPr="00496395" w:rsidRDefault="0040194D" w:rsidP="0040194D">
      <w:pPr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</w:p>
    <w:p w14:paraId="1B45EBFB" w14:textId="77777777" w:rsidR="0040194D" w:rsidRPr="00496395" w:rsidRDefault="0040194D" w:rsidP="0040194D">
      <w:pPr>
        <w:tabs>
          <w:tab w:val="left" w:pos="5670"/>
        </w:tabs>
        <w:jc w:val="both"/>
        <w:rPr>
          <w:rFonts w:eastAsia="Franklin Gothic Book" w:cs="Franklin Gothic Book"/>
          <w:kern w:val="0"/>
          <w:sz w:val="24"/>
          <w:szCs w:val="24"/>
          <w:lang w:val="es-ES" w:bidi="en-US"/>
          <w14:ligatures w14:val="none"/>
        </w:rPr>
      </w:pPr>
    </w:p>
    <w:sectPr w:rsidR="0040194D" w:rsidRPr="004963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4AD1"/>
    <w:multiLevelType w:val="hybridMultilevel"/>
    <w:tmpl w:val="9D766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515A"/>
    <w:multiLevelType w:val="hybridMultilevel"/>
    <w:tmpl w:val="BF4C53CC"/>
    <w:lvl w:ilvl="0" w:tplc="DF58E41C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00" w:hanging="360"/>
      </w:pPr>
    </w:lvl>
    <w:lvl w:ilvl="2" w:tplc="240A001B" w:tentative="1">
      <w:start w:val="1"/>
      <w:numFmt w:val="lowerRoman"/>
      <w:lvlText w:val="%3."/>
      <w:lvlJc w:val="right"/>
      <w:pPr>
        <w:ind w:left="1820" w:hanging="180"/>
      </w:pPr>
    </w:lvl>
    <w:lvl w:ilvl="3" w:tplc="240A000F" w:tentative="1">
      <w:start w:val="1"/>
      <w:numFmt w:val="decimal"/>
      <w:lvlText w:val="%4."/>
      <w:lvlJc w:val="left"/>
      <w:pPr>
        <w:ind w:left="2540" w:hanging="360"/>
      </w:pPr>
    </w:lvl>
    <w:lvl w:ilvl="4" w:tplc="240A0019" w:tentative="1">
      <w:start w:val="1"/>
      <w:numFmt w:val="lowerLetter"/>
      <w:lvlText w:val="%5."/>
      <w:lvlJc w:val="left"/>
      <w:pPr>
        <w:ind w:left="3260" w:hanging="360"/>
      </w:pPr>
    </w:lvl>
    <w:lvl w:ilvl="5" w:tplc="240A001B" w:tentative="1">
      <w:start w:val="1"/>
      <w:numFmt w:val="lowerRoman"/>
      <w:lvlText w:val="%6."/>
      <w:lvlJc w:val="right"/>
      <w:pPr>
        <w:ind w:left="3980" w:hanging="180"/>
      </w:pPr>
    </w:lvl>
    <w:lvl w:ilvl="6" w:tplc="240A000F" w:tentative="1">
      <w:start w:val="1"/>
      <w:numFmt w:val="decimal"/>
      <w:lvlText w:val="%7."/>
      <w:lvlJc w:val="left"/>
      <w:pPr>
        <w:ind w:left="4700" w:hanging="360"/>
      </w:pPr>
    </w:lvl>
    <w:lvl w:ilvl="7" w:tplc="240A0019" w:tentative="1">
      <w:start w:val="1"/>
      <w:numFmt w:val="lowerLetter"/>
      <w:lvlText w:val="%8."/>
      <w:lvlJc w:val="left"/>
      <w:pPr>
        <w:ind w:left="5420" w:hanging="360"/>
      </w:pPr>
    </w:lvl>
    <w:lvl w:ilvl="8" w:tplc="24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522D443F"/>
    <w:multiLevelType w:val="hybridMultilevel"/>
    <w:tmpl w:val="C91AA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E68E9"/>
    <w:multiLevelType w:val="hybridMultilevel"/>
    <w:tmpl w:val="766CAF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073FF"/>
    <w:multiLevelType w:val="hybridMultilevel"/>
    <w:tmpl w:val="9D7663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078747">
    <w:abstractNumId w:val="3"/>
  </w:num>
  <w:num w:numId="2" w16cid:durableId="1773863327">
    <w:abstractNumId w:val="1"/>
  </w:num>
  <w:num w:numId="3" w16cid:durableId="252131730">
    <w:abstractNumId w:val="2"/>
  </w:num>
  <w:num w:numId="4" w16cid:durableId="1890922214">
    <w:abstractNumId w:val="4"/>
  </w:num>
  <w:num w:numId="5" w16cid:durableId="188278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C2"/>
    <w:rsid w:val="0000667D"/>
    <w:rsid w:val="000640BA"/>
    <w:rsid w:val="0006777F"/>
    <w:rsid w:val="000F56D6"/>
    <w:rsid w:val="001144BA"/>
    <w:rsid w:val="00197373"/>
    <w:rsid w:val="001F2FD7"/>
    <w:rsid w:val="001F653E"/>
    <w:rsid w:val="00220573"/>
    <w:rsid w:val="00245DF5"/>
    <w:rsid w:val="00250EF4"/>
    <w:rsid w:val="00254D48"/>
    <w:rsid w:val="002C0866"/>
    <w:rsid w:val="002E1E6C"/>
    <w:rsid w:val="0035064C"/>
    <w:rsid w:val="00381499"/>
    <w:rsid w:val="003A088E"/>
    <w:rsid w:val="003B0F66"/>
    <w:rsid w:val="003B68C5"/>
    <w:rsid w:val="003C7139"/>
    <w:rsid w:val="0040194D"/>
    <w:rsid w:val="00406A55"/>
    <w:rsid w:val="00425EF5"/>
    <w:rsid w:val="00436F64"/>
    <w:rsid w:val="004569A4"/>
    <w:rsid w:val="004943CF"/>
    <w:rsid w:val="00496395"/>
    <w:rsid w:val="004F4523"/>
    <w:rsid w:val="005138EE"/>
    <w:rsid w:val="00563AA5"/>
    <w:rsid w:val="005672FB"/>
    <w:rsid w:val="00582F26"/>
    <w:rsid w:val="005A78A4"/>
    <w:rsid w:val="005D2B32"/>
    <w:rsid w:val="00616902"/>
    <w:rsid w:val="00685DFD"/>
    <w:rsid w:val="006B0D74"/>
    <w:rsid w:val="006B74FE"/>
    <w:rsid w:val="006E1FBB"/>
    <w:rsid w:val="006E4CAF"/>
    <w:rsid w:val="006E7377"/>
    <w:rsid w:val="00706A7C"/>
    <w:rsid w:val="0071689D"/>
    <w:rsid w:val="007435E7"/>
    <w:rsid w:val="00747F9B"/>
    <w:rsid w:val="007554E8"/>
    <w:rsid w:val="00774770"/>
    <w:rsid w:val="0079700C"/>
    <w:rsid w:val="007C631D"/>
    <w:rsid w:val="007C6B7D"/>
    <w:rsid w:val="00836866"/>
    <w:rsid w:val="008369C7"/>
    <w:rsid w:val="00853D7F"/>
    <w:rsid w:val="008779C5"/>
    <w:rsid w:val="008A6363"/>
    <w:rsid w:val="008C093A"/>
    <w:rsid w:val="008D1319"/>
    <w:rsid w:val="009238E8"/>
    <w:rsid w:val="00935934"/>
    <w:rsid w:val="00967ABE"/>
    <w:rsid w:val="009A2F0E"/>
    <w:rsid w:val="009B0315"/>
    <w:rsid w:val="009D06FF"/>
    <w:rsid w:val="009E5B53"/>
    <w:rsid w:val="00A13D21"/>
    <w:rsid w:val="00A41E06"/>
    <w:rsid w:val="00B321D6"/>
    <w:rsid w:val="00B76C0C"/>
    <w:rsid w:val="00BB3B0B"/>
    <w:rsid w:val="00BC7566"/>
    <w:rsid w:val="00C02541"/>
    <w:rsid w:val="00C50C43"/>
    <w:rsid w:val="00C574E2"/>
    <w:rsid w:val="00C61231"/>
    <w:rsid w:val="00CE2604"/>
    <w:rsid w:val="00D00DBC"/>
    <w:rsid w:val="00D049A2"/>
    <w:rsid w:val="00D167C7"/>
    <w:rsid w:val="00D16805"/>
    <w:rsid w:val="00D64A16"/>
    <w:rsid w:val="00D8226B"/>
    <w:rsid w:val="00DA3093"/>
    <w:rsid w:val="00DB19F8"/>
    <w:rsid w:val="00E00F5B"/>
    <w:rsid w:val="00E2173F"/>
    <w:rsid w:val="00E86DDD"/>
    <w:rsid w:val="00EF2563"/>
    <w:rsid w:val="00F43CCD"/>
    <w:rsid w:val="00F47DB2"/>
    <w:rsid w:val="00F5153C"/>
    <w:rsid w:val="00F90DB2"/>
    <w:rsid w:val="00F96BB9"/>
    <w:rsid w:val="00FA0BB0"/>
    <w:rsid w:val="00FC1426"/>
    <w:rsid w:val="00FC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F9B0"/>
  <w15:chartTrackingRefBased/>
  <w15:docId w15:val="{F07138CD-7266-4902-A523-429BCC3E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2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2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2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2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2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2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2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2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2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2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2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2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2B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2B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2B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2B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2B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2B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2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2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2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2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2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2B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FC2B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2B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2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2B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2BC2"/>
    <w:rPr>
      <w:b/>
      <w:bCs/>
      <w:smallCaps/>
      <w:color w:val="0F4761" w:themeColor="accent1" w:themeShade="BF"/>
      <w:spacing w:val="5"/>
    </w:rPr>
  </w:style>
  <w:style w:type="paragraph" w:customStyle="1" w:styleId="Ttulogrande">
    <w:name w:val="Título grande"/>
    <w:basedOn w:val="Normal"/>
    <w:link w:val="Largocarcterdettulo"/>
    <w:uiPriority w:val="3"/>
    <w:qFormat/>
    <w:rsid w:val="009A2F0E"/>
    <w:pPr>
      <w:widowControl w:val="0"/>
      <w:autoSpaceDE w:val="0"/>
      <w:autoSpaceDN w:val="0"/>
      <w:spacing w:before="90" w:after="0" w:line="240" w:lineRule="auto"/>
      <w:ind w:left="20" w:right="-13"/>
    </w:pPr>
    <w:rPr>
      <w:rFonts w:ascii="Franklin Gothic Demi" w:eastAsia="Franklin Gothic Book" w:hAnsi="Franklin Gothic Demi" w:cs="Franklin Gothic Book"/>
      <w:bCs/>
      <w:color w:val="156082" w:themeColor="accent1"/>
      <w:kern w:val="0"/>
      <w:sz w:val="40"/>
      <w:lang w:val="es-ES" w:bidi="en-US"/>
      <w14:ligatures w14:val="none"/>
    </w:rPr>
  </w:style>
  <w:style w:type="character" w:customStyle="1" w:styleId="Largocarcterdettulo">
    <w:name w:val="Largo carácter de título"/>
    <w:basedOn w:val="Fuentedeprrafopredeter"/>
    <w:link w:val="Ttulogrande"/>
    <w:uiPriority w:val="3"/>
    <w:rsid w:val="009A2F0E"/>
    <w:rPr>
      <w:rFonts w:ascii="Franklin Gothic Demi" w:eastAsia="Franklin Gothic Book" w:hAnsi="Franklin Gothic Demi" w:cs="Franklin Gothic Book"/>
      <w:bCs/>
      <w:color w:val="156082" w:themeColor="accent1"/>
      <w:kern w:val="0"/>
      <w:sz w:val="40"/>
      <w:lang w:val="es-ES" w:bidi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F4523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779C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79C5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4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Salgado Perilla</dc:creator>
  <cp:keywords/>
  <dc:description/>
  <cp:lastModifiedBy>Melissa Salgado Perilla</cp:lastModifiedBy>
  <cp:revision>18</cp:revision>
  <dcterms:created xsi:type="dcterms:W3CDTF">2024-05-15T22:09:00Z</dcterms:created>
  <dcterms:modified xsi:type="dcterms:W3CDTF">2025-05-07T19:46:00Z</dcterms:modified>
</cp:coreProperties>
</file>