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E71" w:rsidRDefault="00057E71" w:rsidP="007E16DF">
      <w:pPr>
        <w:rPr>
          <w:rFonts w:ascii="Arial" w:hAnsi="Arial" w:cs="Arial"/>
          <w:sz w:val="22"/>
          <w:szCs w:val="22"/>
          <w:lang w:val="es-MX"/>
        </w:rPr>
      </w:pPr>
    </w:p>
    <w:p w:rsidR="00057E71" w:rsidRDefault="00057E71" w:rsidP="007E16DF">
      <w:pPr>
        <w:rPr>
          <w:rFonts w:ascii="Arial" w:hAnsi="Arial" w:cs="Arial"/>
          <w:sz w:val="22"/>
          <w:szCs w:val="22"/>
          <w:lang w:val="es-MX"/>
        </w:rPr>
      </w:pPr>
    </w:p>
    <w:p w:rsidR="007E16DF" w:rsidRPr="009E0F14" w:rsidRDefault="007E16DF" w:rsidP="007E16DF">
      <w:pPr>
        <w:rPr>
          <w:rFonts w:ascii="Arial" w:hAnsi="Arial" w:cs="Arial"/>
          <w:sz w:val="22"/>
          <w:szCs w:val="22"/>
          <w:lang w:val="es-MX"/>
        </w:rPr>
      </w:pPr>
      <w:r w:rsidRPr="009E0F14">
        <w:rPr>
          <w:rFonts w:ascii="Arial" w:hAnsi="Arial" w:cs="Arial"/>
          <w:sz w:val="22"/>
          <w:szCs w:val="22"/>
          <w:lang w:val="es-MX"/>
        </w:rPr>
        <w:t>Bogotá, D. C.,</w:t>
      </w:r>
      <w:r w:rsidR="009C0DA8">
        <w:rPr>
          <w:rFonts w:ascii="Arial" w:hAnsi="Arial" w:cs="Arial"/>
          <w:sz w:val="22"/>
          <w:szCs w:val="22"/>
          <w:lang w:val="es-MX"/>
        </w:rPr>
        <w:t xml:space="preserve"> </w:t>
      </w:r>
      <w:r w:rsidR="00E84849" w:rsidRPr="00144F2D">
        <w:rPr>
          <w:rFonts w:ascii="Arial" w:hAnsi="Arial" w:cs="Arial"/>
          <w:sz w:val="22"/>
          <w:szCs w:val="22"/>
          <w:lang w:val="es-MX"/>
        </w:rPr>
        <w:t>1</w:t>
      </w:r>
      <w:r w:rsidR="001D49AC">
        <w:rPr>
          <w:rFonts w:ascii="Arial" w:hAnsi="Arial" w:cs="Arial"/>
          <w:sz w:val="22"/>
          <w:szCs w:val="22"/>
          <w:lang w:val="es-MX"/>
        </w:rPr>
        <w:t>6</w:t>
      </w:r>
      <w:r w:rsidR="009C0DA8" w:rsidRPr="00144F2D">
        <w:rPr>
          <w:rFonts w:ascii="Arial" w:hAnsi="Arial" w:cs="Arial"/>
          <w:sz w:val="22"/>
          <w:szCs w:val="22"/>
          <w:lang w:val="es-MX"/>
        </w:rPr>
        <w:t xml:space="preserve"> de julio de 2019</w:t>
      </w:r>
    </w:p>
    <w:p w:rsidR="007E16DF" w:rsidRPr="009E0F14" w:rsidRDefault="007E16DF" w:rsidP="007E16DF">
      <w:pPr>
        <w:rPr>
          <w:rFonts w:ascii="Arial" w:hAnsi="Arial" w:cs="Arial"/>
          <w:sz w:val="22"/>
          <w:szCs w:val="22"/>
          <w:lang w:val="es-MX"/>
        </w:rPr>
      </w:pPr>
    </w:p>
    <w:p w:rsidR="007E16DF" w:rsidRPr="009E0F14" w:rsidRDefault="007E16DF" w:rsidP="007E16DF">
      <w:pPr>
        <w:rPr>
          <w:rFonts w:ascii="Arial" w:hAnsi="Arial" w:cs="Arial"/>
          <w:sz w:val="22"/>
          <w:szCs w:val="22"/>
          <w:lang w:val="es-MX"/>
        </w:rPr>
      </w:pPr>
    </w:p>
    <w:p w:rsidR="007E16DF" w:rsidRPr="009E0F14" w:rsidRDefault="007E16DF" w:rsidP="007E16DF">
      <w:pPr>
        <w:rPr>
          <w:rFonts w:ascii="Arial" w:hAnsi="Arial" w:cs="Arial"/>
          <w:sz w:val="22"/>
          <w:szCs w:val="22"/>
          <w:lang w:val="es-MX"/>
        </w:rPr>
      </w:pPr>
    </w:p>
    <w:p w:rsidR="007E16DF" w:rsidRPr="009E0F14" w:rsidRDefault="007E16DF" w:rsidP="007E16DF">
      <w:pPr>
        <w:pStyle w:val="Ttulo5"/>
        <w:jc w:val="center"/>
        <w:rPr>
          <w:rFonts w:ascii="Arial" w:hAnsi="Arial" w:cs="Arial"/>
          <w:b/>
          <w:bCs/>
          <w:i/>
          <w:iCs/>
          <w:kern w:val="60"/>
          <w:sz w:val="40"/>
          <w:szCs w:val="40"/>
        </w:rPr>
      </w:pPr>
      <w:r w:rsidRPr="009E0F14">
        <w:rPr>
          <w:rFonts w:ascii="Arial" w:hAnsi="Arial" w:cs="Arial"/>
          <w:b/>
          <w:bCs/>
          <w:i/>
          <w:iCs/>
          <w:kern w:val="60"/>
          <w:sz w:val="40"/>
          <w:szCs w:val="40"/>
        </w:rPr>
        <w:t xml:space="preserve">CIRCULAR No. </w:t>
      </w:r>
      <w:r w:rsidR="00C97F0B">
        <w:rPr>
          <w:rFonts w:ascii="Arial" w:hAnsi="Arial" w:cs="Arial"/>
          <w:b/>
          <w:bCs/>
          <w:i/>
          <w:iCs/>
          <w:kern w:val="60"/>
          <w:sz w:val="40"/>
          <w:szCs w:val="40"/>
        </w:rPr>
        <w:t>057</w:t>
      </w:r>
    </w:p>
    <w:p w:rsidR="007E16DF" w:rsidRPr="009E0F14" w:rsidRDefault="007E16DF" w:rsidP="007E16DF">
      <w:pPr>
        <w:rPr>
          <w:rFonts w:ascii="Arial" w:hAnsi="Arial" w:cs="Arial"/>
          <w:sz w:val="22"/>
          <w:szCs w:val="22"/>
        </w:rPr>
      </w:pPr>
    </w:p>
    <w:p w:rsidR="007E16DF" w:rsidRPr="00057E71" w:rsidRDefault="007E16DF" w:rsidP="007E16DF">
      <w:pPr>
        <w:rPr>
          <w:rFonts w:ascii="Arial" w:hAnsi="Arial" w:cs="Arial"/>
          <w:sz w:val="22"/>
          <w:szCs w:val="22"/>
        </w:rPr>
      </w:pPr>
    </w:p>
    <w:p w:rsidR="007E16DF" w:rsidRPr="009E0F14" w:rsidRDefault="007E16DF" w:rsidP="007E16DF">
      <w:pPr>
        <w:rPr>
          <w:rFonts w:ascii="Arial" w:hAnsi="Arial" w:cs="Arial"/>
          <w:sz w:val="22"/>
          <w:szCs w:val="22"/>
          <w:lang w:val="es-MX"/>
        </w:rPr>
      </w:pPr>
    </w:p>
    <w:p w:rsidR="007E16DF" w:rsidRPr="009E4411" w:rsidRDefault="007E16DF" w:rsidP="008C4672">
      <w:pPr>
        <w:pStyle w:val="Sangradetextonormal"/>
        <w:ind w:left="1410" w:hanging="1410"/>
        <w:jc w:val="both"/>
        <w:rPr>
          <w:rFonts w:ascii="Arial" w:hAnsi="Arial" w:cs="Arial"/>
          <w:b/>
        </w:rPr>
      </w:pPr>
      <w:r w:rsidRPr="009E4411">
        <w:rPr>
          <w:rFonts w:ascii="Arial" w:hAnsi="Arial" w:cs="Arial"/>
          <w:b/>
        </w:rPr>
        <w:t>PARA:</w:t>
      </w:r>
      <w:r w:rsidRPr="009E4411">
        <w:rPr>
          <w:rFonts w:ascii="Arial" w:hAnsi="Arial" w:cs="Arial"/>
          <w:b/>
        </w:rPr>
        <w:tab/>
      </w:r>
      <w:r w:rsidR="00856626">
        <w:rPr>
          <w:rFonts w:ascii="Arial" w:hAnsi="Arial" w:cs="Arial"/>
          <w:b/>
        </w:rPr>
        <w:t>AGENTES REGULADOS DEL MERCADO DE ENERGÍA ELÉCTRICA</w:t>
      </w:r>
    </w:p>
    <w:p w:rsidR="007E16DF" w:rsidRPr="009E4411" w:rsidRDefault="007E16DF" w:rsidP="008C4672">
      <w:pPr>
        <w:spacing w:line="216" w:lineRule="auto"/>
        <w:ind w:left="1410" w:hanging="1410"/>
        <w:jc w:val="both"/>
        <w:rPr>
          <w:rFonts w:ascii="Arial" w:hAnsi="Arial" w:cs="Arial"/>
          <w:b/>
        </w:rPr>
      </w:pPr>
    </w:p>
    <w:p w:rsidR="007E16DF" w:rsidRPr="009E4411" w:rsidRDefault="007E16DF" w:rsidP="008C4672">
      <w:pPr>
        <w:pStyle w:val="Sangradetextonormal"/>
        <w:ind w:left="1410" w:hanging="1410"/>
        <w:jc w:val="both"/>
        <w:rPr>
          <w:rFonts w:ascii="Arial" w:hAnsi="Arial" w:cs="Arial"/>
          <w:b/>
        </w:rPr>
      </w:pPr>
      <w:r w:rsidRPr="009E4411">
        <w:rPr>
          <w:rFonts w:ascii="Arial" w:hAnsi="Arial" w:cs="Arial"/>
          <w:b/>
        </w:rPr>
        <w:t>DE:</w:t>
      </w:r>
      <w:r w:rsidRPr="009E4411">
        <w:rPr>
          <w:rFonts w:ascii="Arial" w:hAnsi="Arial" w:cs="Arial"/>
          <w:b/>
        </w:rPr>
        <w:tab/>
        <w:t>DIRECCIÓN EJECUTIVA</w:t>
      </w:r>
      <w:r w:rsidR="00C97F0B">
        <w:rPr>
          <w:rFonts w:ascii="Arial" w:hAnsi="Arial" w:cs="Arial"/>
          <w:b/>
        </w:rPr>
        <w:t xml:space="preserve"> (E)</w:t>
      </w:r>
    </w:p>
    <w:p w:rsidR="007E16DF" w:rsidRPr="009E4411" w:rsidRDefault="007E16DF" w:rsidP="008C4672">
      <w:pPr>
        <w:spacing w:line="216" w:lineRule="auto"/>
        <w:ind w:left="1410" w:hanging="1410"/>
        <w:jc w:val="both"/>
        <w:rPr>
          <w:rFonts w:ascii="Arial" w:hAnsi="Arial" w:cs="Arial"/>
          <w:b/>
        </w:rPr>
      </w:pPr>
    </w:p>
    <w:p w:rsidR="007E16DF" w:rsidRPr="009E4411" w:rsidRDefault="007E16DF" w:rsidP="008C4672">
      <w:pPr>
        <w:spacing w:line="216" w:lineRule="auto"/>
        <w:jc w:val="both"/>
        <w:rPr>
          <w:rFonts w:ascii="Arial" w:hAnsi="Arial" w:cs="Arial"/>
        </w:rPr>
      </w:pPr>
    </w:p>
    <w:p w:rsidR="007E16DF" w:rsidRPr="009E4411" w:rsidRDefault="007E16DF" w:rsidP="008C4672">
      <w:pPr>
        <w:pStyle w:val="Sangradetextonormal"/>
        <w:ind w:left="1410" w:hanging="1410"/>
        <w:jc w:val="both"/>
        <w:rPr>
          <w:rFonts w:ascii="Arial" w:hAnsi="Arial" w:cs="Arial"/>
          <w:b/>
        </w:rPr>
      </w:pPr>
      <w:r w:rsidRPr="009E4411">
        <w:rPr>
          <w:rFonts w:ascii="Arial" w:hAnsi="Arial" w:cs="Arial"/>
          <w:b/>
        </w:rPr>
        <w:t>ASUNTO:</w:t>
      </w:r>
      <w:r w:rsidRPr="009E4411">
        <w:rPr>
          <w:rFonts w:ascii="Arial" w:hAnsi="Arial" w:cs="Arial"/>
          <w:b/>
        </w:rPr>
        <w:tab/>
      </w:r>
      <w:r w:rsidR="001D49AC">
        <w:rPr>
          <w:rFonts w:ascii="Arial" w:hAnsi="Arial" w:cs="Arial"/>
          <w:b/>
        </w:rPr>
        <w:t>CONCEPTO SOBRE APLICACIÓN DEL ARTÍCULO 3 DE</w:t>
      </w:r>
      <w:r w:rsidR="00856626">
        <w:rPr>
          <w:rFonts w:ascii="Arial" w:hAnsi="Arial" w:cs="Arial"/>
          <w:b/>
        </w:rPr>
        <w:t xml:space="preserve"> LA RESOLUCIÓN CREG 079 DE 2019</w:t>
      </w:r>
    </w:p>
    <w:p w:rsidR="007E16DF" w:rsidRPr="009E0F14" w:rsidRDefault="007E16DF" w:rsidP="007E16DF">
      <w:pPr>
        <w:spacing w:before="120" w:after="120"/>
        <w:rPr>
          <w:rFonts w:ascii="Arial" w:hAnsi="Arial" w:cs="Arial"/>
          <w:sz w:val="22"/>
          <w:szCs w:val="22"/>
        </w:rPr>
      </w:pPr>
    </w:p>
    <w:p w:rsidR="001D49AC" w:rsidRDefault="00856626" w:rsidP="007E16DF">
      <w:pPr>
        <w:pStyle w:val="Textoindependiente"/>
        <w:spacing w:after="0" w:line="240" w:lineRule="auto"/>
        <w:rPr>
          <w:rFonts w:cs="Arial"/>
          <w:sz w:val="22"/>
          <w:szCs w:val="22"/>
        </w:rPr>
      </w:pPr>
      <w:r>
        <w:rPr>
          <w:rFonts w:cs="Arial"/>
          <w:sz w:val="22"/>
          <w:szCs w:val="22"/>
        </w:rPr>
        <w:t>Mediante la presente Circular, la Dirección Ejecutiva de la Comisión</w:t>
      </w:r>
      <w:r w:rsidR="001D49AC">
        <w:rPr>
          <w:rFonts w:cs="Arial"/>
          <w:sz w:val="22"/>
          <w:szCs w:val="22"/>
        </w:rPr>
        <w:t>, considerando que se han presentado múltiples consultas sobre la aplicación del artículo 3 de la Resolución CREG 079 de 2019,</w:t>
      </w:r>
      <w:r>
        <w:rPr>
          <w:rFonts w:cs="Arial"/>
          <w:sz w:val="22"/>
          <w:szCs w:val="22"/>
        </w:rPr>
        <w:t xml:space="preserve"> se permite dar a conocer a todos los agentes regulados </w:t>
      </w:r>
      <w:r w:rsidR="001D49AC">
        <w:rPr>
          <w:rFonts w:cs="Arial"/>
          <w:sz w:val="22"/>
          <w:szCs w:val="22"/>
        </w:rPr>
        <w:t>el entendimiento sobre la aplicación del artículo mencionado.</w:t>
      </w:r>
    </w:p>
    <w:p w:rsidR="001D49AC" w:rsidRDefault="001D49AC" w:rsidP="007E16DF">
      <w:pPr>
        <w:pStyle w:val="Textoindependiente"/>
        <w:spacing w:after="0" w:line="240" w:lineRule="auto"/>
        <w:rPr>
          <w:rFonts w:cs="Arial"/>
          <w:sz w:val="22"/>
          <w:szCs w:val="22"/>
        </w:rPr>
      </w:pPr>
    </w:p>
    <w:p w:rsidR="00A57171" w:rsidRPr="003C4C14" w:rsidRDefault="00A57171" w:rsidP="00A57171">
      <w:pPr>
        <w:pStyle w:val="Textoindependiente"/>
        <w:spacing w:after="0" w:line="240" w:lineRule="auto"/>
        <w:rPr>
          <w:rFonts w:cs="Arial"/>
          <w:sz w:val="22"/>
          <w:szCs w:val="22"/>
        </w:rPr>
      </w:pPr>
      <w:r>
        <w:rPr>
          <w:rFonts w:cs="Arial"/>
          <w:sz w:val="22"/>
          <w:szCs w:val="22"/>
        </w:rPr>
        <w:t>L</w:t>
      </w:r>
      <w:r w:rsidRPr="003C4C14">
        <w:rPr>
          <w:rFonts w:cs="Arial"/>
          <w:sz w:val="22"/>
          <w:szCs w:val="22"/>
        </w:rPr>
        <w:t xml:space="preserve">o que persigue el artículo 3 de la Resolución CREG 079 de 2019 es: </w:t>
      </w:r>
    </w:p>
    <w:p w:rsidR="00A57171" w:rsidRPr="003C4C14" w:rsidRDefault="00A57171" w:rsidP="00A57171">
      <w:pPr>
        <w:pStyle w:val="Textoindependiente"/>
        <w:spacing w:after="0" w:line="240" w:lineRule="auto"/>
        <w:rPr>
          <w:rFonts w:cs="Arial"/>
          <w:sz w:val="22"/>
          <w:szCs w:val="22"/>
        </w:rPr>
      </w:pPr>
    </w:p>
    <w:p w:rsidR="00A57171" w:rsidRPr="003C4C14" w:rsidRDefault="00A57171" w:rsidP="00A57171">
      <w:pPr>
        <w:pStyle w:val="Textoindependiente"/>
        <w:numPr>
          <w:ilvl w:val="0"/>
          <w:numId w:val="2"/>
        </w:numPr>
        <w:spacing w:after="0" w:line="240" w:lineRule="auto"/>
        <w:ind w:left="426" w:hanging="426"/>
        <w:rPr>
          <w:rFonts w:cs="Arial"/>
          <w:sz w:val="22"/>
          <w:szCs w:val="22"/>
        </w:rPr>
      </w:pPr>
      <w:r w:rsidRPr="003C4C14">
        <w:rPr>
          <w:rFonts w:cs="Arial"/>
          <w:sz w:val="22"/>
          <w:szCs w:val="22"/>
        </w:rPr>
        <w:t>Recolectar información sobre los niveles de contratación para el mercado regulado de los comercializadores, como resultado de convocatorias que ya se ejecutaron y que, por ende, ya se suscribiero</w:t>
      </w:r>
      <w:bookmarkStart w:id="0" w:name="_GoBack"/>
      <w:bookmarkEnd w:id="0"/>
      <w:r w:rsidRPr="003C4C14">
        <w:rPr>
          <w:rFonts w:cs="Arial"/>
          <w:sz w:val="22"/>
          <w:szCs w:val="22"/>
        </w:rPr>
        <w:t xml:space="preserve">n los contratos, pero que los mismos aún no se encuentran registrados ante el ASIC. </w:t>
      </w:r>
    </w:p>
    <w:p w:rsidR="00A57171" w:rsidRPr="003C4C14" w:rsidRDefault="00A57171" w:rsidP="00A57171">
      <w:pPr>
        <w:pStyle w:val="Textoindependiente"/>
        <w:spacing w:after="0" w:line="240" w:lineRule="auto"/>
        <w:ind w:left="426" w:hanging="426"/>
        <w:rPr>
          <w:rFonts w:cs="Arial"/>
          <w:sz w:val="22"/>
          <w:szCs w:val="22"/>
        </w:rPr>
      </w:pPr>
    </w:p>
    <w:p w:rsidR="00A57171" w:rsidRPr="003C4C14" w:rsidRDefault="00A57171" w:rsidP="00A57171">
      <w:pPr>
        <w:pStyle w:val="Textoindependiente"/>
        <w:numPr>
          <w:ilvl w:val="0"/>
          <w:numId w:val="2"/>
        </w:numPr>
        <w:spacing w:after="0" w:line="240" w:lineRule="auto"/>
        <w:ind w:left="426" w:hanging="426"/>
        <w:rPr>
          <w:rFonts w:cs="Arial"/>
          <w:sz w:val="22"/>
          <w:szCs w:val="22"/>
        </w:rPr>
      </w:pPr>
      <w:r w:rsidRPr="003C4C14">
        <w:rPr>
          <w:rFonts w:cs="Arial"/>
          <w:sz w:val="22"/>
          <w:szCs w:val="22"/>
        </w:rPr>
        <w:t>Que el nivel de contratación para el mercado regulado de los comercializadores con generadores o comercializadores con los que se encuentren integrados verticalmente, o con quienes exista situación de control, no se modifique como resultado de nuevas convocatorias, así las mismas estén en curso. Esto hasta tanto la CREG apruebe la senda definitiva de máxima contratación propia de la que trata el artículo 18 del proyecto de resolución sometido a consulta mediante la Resolución CREG 079 de 2019.</w:t>
      </w:r>
    </w:p>
    <w:p w:rsidR="00A57171" w:rsidRPr="003C4C14" w:rsidRDefault="00A57171" w:rsidP="00A57171">
      <w:pPr>
        <w:pStyle w:val="Textoindependiente"/>
        <w:spacing w:after="0" w:line="240" w:lineRule="auto"/>
        <w:rPr>
          <w:rFonts w:cs="Arial"/>
          <w:sz w:val="22"/>
          <w:szCs w:val="22"/>
        </w:rPr>
      </w:pPr>
    </w:p>
    <w:p w:rsidR="00A57171" w:rsidRPr="003C4C14" w:rsidRDefault="00A57171" w:rsidP="00A57171">
      <w:pPr>
        <w:pStyle w:val="Textoindependiente"/>
        <w:spacing w:after="0" w:line="240" w:lineRule="auto"/>
        <w:rPr>
          <w:rFonts w:cs="Arial"/>
          <w:sz w:val="22"/>
          <w:szCs w:val="22"/>
        </w:rPr>
      </w:pPr>
      <w:r w:rsidRPr="003C4C14">
        <w:rPr>
          <w:rFonts w:cs="Arial"/>
          <w:sz w:val="22"/>
          <w:szCs w:val="22"/>
        </w:rPr>
        <w:t>En consecuencia, lo dispuesto en el artículo 3 en mención, dispone que el ASIC no registre contratos resultantes de convocatorias para el mercado regulado que se hayan suscrito en fecha posterior a la entrada en vigencia de la Resolución CREG 079 de 2019, para los cuales identifique que, con dichos contratos, se modifica el porcentaje de “contratación propia”, es decir, la cantidad de energía contratada con generadores y/o comercializadores integrados verticalmente o con quienes exista situación de control. Esta restricción se establece hasta tanto la CREG no defina la senda de compras propias máximas propuesta en el proyecto de resolución sometido a consulta en la misma Resolución 079 de 2019.</w:t>
      </w:r>
    </w:p>
    <w:p w:rsidR="00A57171" w:rsidRPr="003C4C14" w:rsidRDefault="00A57171" w:rsidP="00A57171">
      <w:pPr>
        <w:pStyle w:val="Textoindependiente"/>
        <w:spacing w:after="0" w:line="240" w:lineRule="auto"/>
        <w:rPr>
          <w:rFonts w:cs="Arial"/>
          <w:sz w:val="22"/>
          <w:szCs w:val="22"/>
        </w:rPr>
      </w:pPr>
    </w:p>
    <w:p w:rsidR="00A57171" w:rsidRPr="003C4C14" w:rsidRDefault="00A57171" w:rsidP="00A57171">
      <w:pPr>
        <w:pStyle w:val="Textoindependiente"/>
        <w:spacing w:after="0" w:line="240" w:lineRule="auto"/>
        <w:rPr>
          <w:rFonts w:cs="Arial"/>
          <w:sz w:val="22"/>
          <w:szCs w:val="22"/>
        </w:rPr>
      </w:pPr>
      <w:r w:rsidRPr="003C4C14">
        <w:rPr>
          <w:rFonts w:cs="Arial"/>
          <w:sz w:val="22"/>
          <w:szCs w:val="22"/>
        </w:rPr>
        <w:t>De igual forma, se otorga un plazo de 15 días hábiles para registrar contratos cuya suscripción fue anterior al siguiente día de entrada en vigencia de la Resolución CREG 079 de 2019. Para que el ASIC pueda registrar tales contratos, los comercializadores deben allegar una declaración en donde señalen la fecha en la que se suscribió el contrato para entender que, en efecto, cumplen con lo previsto en la resolución.</w:t>
      </w:r>
    </w:p>
    <w:p w:rsidR="00A57171" w:rsidRPr="003C4C14" w:rsidRDefault="00A57171" w:rsidP="00A57171">
      <w:pPr>
        <w:pStyle w:val="Textoindependiente"/>
        <w:spacing w:after="0" w:line="240" w:lineRule="auto"/>
        <w:rPr>
          <w:rFonts w:cs="Arial"/>
          <w:sz w:val="22"/>
          <w:szCs w:val="22"/>
        </w:rPr>
      </w:pPr>
    </w:p>
    <w:p w:rsidR="00A57171" w:rsidRPr="003C4C14" w:rsidRDefault="00A57171" w:rsidP="00A57171">
      <w:pPr>
        <w:pStyle w:val="Textoindependiente"/>
        <w:spacing w:after="0" w:line="240" w:lineRule="auto"/>
        <w:rPr>
          <w:rFonts w:cs="Arial"/>
          <w:sz w:val="22"/>
          <w:szCs w:val="22"/>
        </w:rPr>
      </w:pPr>
      <w:r w:rsidRPr="003C4C14">
        <w:rPr>
          <w:rFonts w:cs="Arial"/>
          <w:sz w:val="22"/>
          <w:szCs w:val="22"/>
        </w:rPr>
        <w:t>Por lo anterior, se entiende que el ASIC no podrá registrar contratos cuando:</w:t>
      </w:r>
    </w:p>
    <w:p w:rsidR="00A57171" w:rsidRPr="003C4C14" w:rsidRDefault="00A57171" w:rsidP="00A57171">
      <w:pPr>
        <w:pStyle w:val="Textoindependiente"/>
        <w:spacing w:after="0" w:line="240" w:lineRule="auto"/>
        <w:rPr>
          <w:rFonts w:cs="Arial"/>
          <w:sz w:val="22"/>
          <w:szCs w:val="22"/>
        </w:rPr>
      </w:pPr>
    </w:p>
    <w:p w:rsidR="00A57171" w:rsidRDefault="00A57171" w:rsidP="004A4632">
      <w:pPr>
        <w:pStyle w:val="Textoindependiente"/>
        <w:numPr>
          <w:ilvl w:val="0"/>
          <w:numId w:val="3"/>
        </w:numPr>
        <w:spacing w:after="0" w:line="240" w:lineRule="auto"/>
        <w:ind w:left="426" w:hanging="426"/>
        <w:rPr>
          <w:rFonts w:cs="Arial"/>
          <w:sz w:val="22"/>
          <w:szCs w:val="22"/>
        </w:rPr>
      </w:pPr>
      <w:r w:rsidRPr="00A57171">
        <w:rPr>
          <w:rFonts w:cs="Arial"/>
          <w:sz w:val="22"/>
          <w:szCs w:val="22"/>
        </w:rPr>
        <w:t>Al momento del registro, para un contrato suscrito antes de la entrada en vigencia de la Resolución CREG 079 de 2019, el comercializador que solicita el registro no haya remitido la declaración en donde se identifique la fecha en la que se llevó a cabo la convocatoria y la adjudicación del contrato, y por tanto no se verifique que dichas fechas son anteriores a la entrada en vigencia de la mencionada resolución;</w:t>
      </w:r>
    </w:p>
    <w:p w:rsidR="001D49AC" w:rsidRPr="00A57171" w:rsidRDefault="00A57171" w:rsidP="004A4632">
      <w:pPr>
        <w:pStyle w:val="Textoindependiente"/>
        <w:numPr>
          <w:ilvl w:val="0"/>
          <w:numId w:val="3"/>
        </w:numPr>
        <w:spacing w:after="0" w:line="240" w:lineRule="auto"/>
        <w:ind w:left="426" w:hanging="426"/>
        <w:rPr>
          <w:rFonts w:cs="Arial"/>
          <w:sz w:val="22"/>
          <w:szCs w:val="22"/>
        </w:rPr>
      </w:pPr>
      <w:r w:rsidRPr="00A57171">
        <w:rPr>
          <w:rFonts w:cs="Arial"/>
          <w:sz w:val="22"/>
          <w:szCs w:val="22"/>
        </w:rPr>
        <w:t>Al momento de registro, un contrato cuya fecha de suscripción sea posterior a la fecha de entrada en vigencia de la Resolución CREG 079 de 2019, el ASIC identifique que con dicho contrato se modifica el nivel de compras propias del comercializador que solicita el registro</w:t>
      </w:r>
    </w:p>
    <w:p w:rsidR="00E83DD9" w:rsidRPr="009E0F14" w:rsidRDefault="00856626" w:rsidP="007E16DF">
      <w:pPr>
        <w:pStyle w:val="Textoindependiente"/>
        <w:spacing w:after="0" w:line="240" w:lineRule="auto"/>
        <w:rPr>
          <w:rFonts w:cs="Arial"/>
          <w:sz w:val="22"/>
          <w:szCs w:val="22"/>
        </w:rPr>
      </w:pPr>
      <w:r>
        <w:rPr>
          <w:rFonts w:cs="Arial"/>
          <w:sz w:val="22"/>
          <w:szCs w:val="22"/>
        </w:rPr>
        <w:t xml:space="preserve"> </w:t>
      </w:r>
    </w:p>
    <w:p w:rsidR="00A57171" w:rsidRDefault="00A57171" w:rsidP="007E16DF">
      <w:pPr>
        <w:pStyle w:val="Textoindependiente"/>
        <w:spacing w:after="0" w:line="240" w:lineRule="auto"/>
        <w:rPr>
          <w:rFonts w:cs="Arial"/>
          <w:sz w:val="22"/>
          <w:szCs w:val="22"/>
        </w:rPr>
      </w:pPr>
    </w:p>
    <w:p w:rsidR="007E16DF" w:rsidRPr="009E0F14" w:rsidRDefault="007E16DF" w:rsidP="007E16DF">
      <w:pPr>
        <w:pStyle w:val="Textoindependiente"/>
        <w:spacing w:after="0" w:line="240" w:lineRule="auto"/>
        <w:rPr>
          <w:rFonts w:cs="Arial"/>
          <w:sz w:val="22"/>
          <w:szCs w:val="22"/>
        </w:rPr>
      </w:pPr>
      <w:r w:rsidRPr="009E0F14">
        <w:rPr>
          <w:rFonts w:cs="Arial"/>
          <w:sz w:val="22"/>
          <w:szCs w:val="22"/>
        </w:rPr>
        <w:t>Cordialmente,</w:t>
      </w:r>
    </w:p>
    <w:p w:rsidR="007E16DF" w:rsidRPr="009E0F14" w:rsidRDefault="007E16DF" w:rsidP="007E16DF">
      <w:pPr>
        <w:jc w:val="center"/>
        <w:rPr>
          <w:rFonts w:ascii="Arial" w:hAnsi="Arial" w:cs="Arial"/>
          <w:sz w:val="22"/>
          <w:szCs w:val="22"/>
        </w:rPr>
      </w:pPr>
    </w:p>
    <w:p w:rsidR="007E16DF" w:rsidRPr="009E0F14" w:rsidRDefault="007E16DF" w:rsidP="007E16DF">
      <w:pPr>
        <w:jc w:val="center"/>
        <w:rPr>
          <w:rFonts w:ascii="Arial" w:hAnsi="Arial" w:cs="Arial"/>
          <w:sz w:val="22"/>
          <w:szCs w:val="22"/>
        </w:rPr>
      </w:pPr>
    </w:p>
    <w:p w:rsidR="007E16DF" w:rsidRPr="009E0F14" w:rsidRDefault="007E16DF" w:rsidP="007E16DF">
      <w:pPr>
        <w:pStyle w:val="Textoindependiente"/>
        <w:spacing w:after="0" w:line="240" w:lineRule="auto"/>
        <w:rPr>
          <w:rFonts w:cs="Arial"/>
          <w:sz w:val="22"/>
          <w:szCs w:val="22"/>
        </w:rPr>
      </w:pPr>
    </w:p>
    <w:p w:rsidR="007E16DF" w:rsidRPr="009E0F14" w:rsidRDefault="007E16DF" w:rsidP="007E16DF">
      <w:pPr>
        <w:pStyle w:val="Textoindependiente"/>
        <w:spacing w:after="0" w:line="240" w:lineRule="auto"/>
        <w:rPr>
          <w:rFonts w:cs="Arial"/>
          <w:sz w:val="22"/>
          <w:szCs w:val="22"/>
        </w:rPr>
      </w:pPr>
    </w:p>
    <w:p w:rsidR="007E16DF" w:rsidRDefault="0046553B" w:rsidP="007E16DF">
      <w:pPr>
        <w:pStyle w:val="Textoindependiente"/>
        <w:spacing w:after="0" w:line="240" w:lineRule="auto"/>
        <w:jc w:val="center"/>
        <w:rPr>
          <w:rFonts w:cs="Arial"/>
          <w:sz w:val="22"/>
          <w:szCs w:val="22"/>
        </w:rPr>
      </w:pPr>
      <w:r>
        <w:rPr>
          <w:rFonts w:cs="Arial"/>
          <w:sz w:val="22"/>
          <w:szCs w:val="22"/>
        </w:rPr>
        <w:t xml:space="preserve">MARÍA CLAUDIA ALZATE MONROY </w:t>
      </w:r>
    </w:p>
    <w:p w:rsidR="00A91705" w:rsidRPr="009E0F14" w:rsidRDefault="00A91705" w:rsidP="007E16DF">
      <w:pPr>
        <w:pStyle w:val="Textoindependiente"/>
        <w:spacing w:after="0" w:line="240" w:lineRule="auto"/>
        <w:jc w:val="center"/>
        <w:rPr>
          <w:rFonts w:cs="Arial"/>
          <w:sz w:val="22"/>
          <w:szCs w:val="22"/>
        </w:rPr>
      </w:pPr>
    </w:p>
    <w:p w:rsidR="007E16DF" w:rsidRDefault="007E16DF" w:rsidP="007E16DF">
      <w:pPr>
        <w:pStyle w:val="Textoindependiente"/>
        <w:spacing w:after="0" w:line="240" w:lineRule="auto"/>
        <w:rPr>
          <w:rFonts w:cs="Arial"/>
          <w:sz w:val="24"/>
        </w:rPr>
      </w:pPr>
    </w:p>
    <w:p w:rsidR="007E16DF" w:rsidRDefault="007E16DF" w:rsidP="007E16DF">
      <w:pPr>
        <w:pStyle w:val="Textoindependiente"/>
        <w:spacing w:after="0" w:line="240" w:lineRule="auto"/>
        <w:rPr>
          <w:rFonts w:cs="Arial"/>
        </w:rPr>
      </w:pPr>
    </w:p>
    <w:p w:rsidR="007E16DF" w:rsidRDefault="007E16DF" w:rsidP="007E16DF">
      <w:pPr>
        <w:pStyle w:val="Textoindependiente"/>
        <w:spacing w:after="0" w:line="240" w:lineRule="auto"/>
        <w:rPr>
          <w:rFonts w:cs="Arial"/>
        </w:rPr>
      </w:pPr>
    </w:p>
    <w:p w:rsidR="007E16DF" w:rsidRDefault="007E16DF" w:rsidP="007E16DF">
      <w:pPr>
        <w:pStyle w:val="Textoindependiente"/>
        <w:spacing w:after="0" w:line="240" w:lineRule="auto"/>
        <w:rPr>
          <w:rFonts w:cs="Arial"/>
        </w:rPr>
      </w:pPr>
    </w:p>
    <w:sectPr w:rsidR="007E16DF" w:rsidSect="003F2F4B">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8CE" w:rsidRDefault="00D928CE" w:rsidP="00AA0519">
      <w:r>
        <w:separator/>
      </w:r>
    </w:p>
  </w:endnote>
  <w:endnote w:type="continuationSeparator" w:id="0">
    <w:p w:rsidR="00D928CE" w:rsidRDefault="00D928CE"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E1F" w:rsidRDefault="00735E1F" w:rsidP="00735E1F">
    <w:pPr>
      <w:pStyle w:val="Piedepgina"/>
      <w:jc w:val="center"/>
    </w:pPr>
    <w:r>
      <w:rPr>
        <w:noProof/>
        <w:lang w:val="es-CO" w:eastAsia="es-CO"/>
      </w:rPr>
      <w:drawing>
        <wp:inline distT="0" distB="0" distL="0" distR="0">
          <wp:extent cx="2695575" cy="5619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F4B" w:rsidRDefault="003F2F4B" w:rsidP="003F2F4B">
    <w:pPr>
      <w:pStyle w:val="Piedepgina"/>
      <w:jc w:val="center"/>
    </w:pPr>
    <w:r>
      <w:rPr>
        <w:noProof/>
        <w:lang w:val="es-CO" w:eastAsia="es-CO"/>
      </w:rPr>
      <w:drawing>
        <wp:inline distT="0" distB="0" distL="0" distR="0" wp14:anchorId="0F6ECCCB" wp14:editId="28B33168">
          <wp:extent cx="2695575" cy="5619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8CE" w:rsidRDefault="00D928CE" w:rsidP="00AA0519">
      <w:r>
        <w:separator/>
      </w:r>
    </w:p>
  </w:footnote>
  <w:footnote w:type="continuationSeparator" w:id="0">
    <w:p w:rsidR="00D928CE" w:rsidRDefault="00D928CE" w:rsidP="00AA05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519" w:rsidRDefault="00B201E4">
    <w:pPr>
      <w:pStyle w:val="Encabezado"/>
    </w:pPr>
    <w:r>
      <w:rPr>
        <w:noProof/>
        <w:lang w:val="es-CO" w:eastAsia="es-CO"/>
      </w:rPr>
      <w:drawing>
        <wp:anchor distT="0" distB="0" distL="114300" distR="114300" simplePos="0" relativeHeight="251663360" behindDoc="1" locked="0" layoutInCell="1" allowOverlap="1" wp14:anchorId="49690DD9" wp14:editId="5E45174B">
          <wp:simplePos x="0" y="0"/>
          <wp:positionH relativeFrom="column">
            <wp:posOffset>142875</wp:posOffset>
          </wp:positionH>
          <wp:positionV relativeFrom="paragraph">
            <wp:posOffset>-172085</wp:posOffset>
          </wp:positionV>
          <wp:extent cx="1104900" cy="61849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04900" cy="618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5408" behindDoc="1" locked="0" layoutInCell="1" allowOverlap="1" wp14:anchorId="401CF2D9" wp14:editId="319D3C16">
          <wp:simplePos x="0" y="0"/>
          <wp:positionH relativeFrom="margin">
            <wp:align>right</wp:align>
          </wp:positionH>
          <wp:positionV relativeFrom="paragraph">
            <wp:posOffset>-172085</wp:posOffset>
          </wp:positionV>
          <wp:extent cx="3073400" cy="589280"/>
          <wp:effectExtent l="0" t="0" r="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bierno-logo.jpg"/>
                  <pic:cNvPicPr/>
                </pic:nvPicPr>
                <pic:blipFill rotWithShape="1">
                  <a:blip r:embed="rId2">
                    <a:extLst>
                      <a:ext uri="{28A0092B-C50C-407E-A947-70E740481C1C}">
                        <a14:useLocalDpi xmlns:a14="http://schemas.microsoft.com/office/drawing/2010/main" val="0"/>
                      </a:ext>
                    </a:extLst>
                  </a:blip>
                  <a:srcRect t="-268" b="-268"/>
                  <a:stretch/>
                </pic:blipFill>
                <pic:spPr>
                  <a:xfrm>
                    <a:off x="0" y="0"/>
                    <a:ext cx="3073400" cy="589280"/>
                  </a:xfrm>
                  <a:prstGeom prst="rect">
                    <a:avLst/>
                  </a:prstGeom>
                </pic:spPr>
              </pic:pic>
            </a:graphicData>
          </a:graphic>
          <wp14:sizeRelH relativeFrom="page">
            <wp14:pctWidth>0</wp14:pctWidth>
          </wp14:sizeRelH>
          <wp14:sizeRelV relativeFrom="page">
            <wp14:pctHeight>0</wp14:pctHeight>
          </wp14:sizeRelV>
        </wp:anchor>
      </w:drawing>
    </w:r>
  </w:p>
  <w:p w:rsidR="00AA0519" w:rsidRDefault="00AA0519">
    <w:pPr>
      <w:pStyle w:val="Encabezado"/>
    </w:pPr>
  </w:p>
  <w:p w:rsidR="00B201E4" w:rsidRDefault="00B201E4">
    <w:pPr>
      <w:pStyle w:val="Encabezado"/>
    </w:pPr>
  </w:p>
  <w:p w:rsidR="00B201E4" w:rsidRPr="00B201E4" w:rsidRDefault="00B201E4">
    <w:pPr>
      <w:pStyle w:val="Encabezado"/>
      <w:rPr>
        <w:rFonts w:ascii="Arial" w:hAnsi="Arial" w:cs="Arial"/>
        <w:i/>
        <w:sz w:val="18"/>
        <w:szCs w:val="18"/>
        <w:u w:val="single"/>
      </w:rPr>
    </w:pPr>
    <w:r w:rsidRPr="00E5650B">
      <w:rPr>
        <w:rFonts w:ascii="Arial" w:hAnsi="Arial" w:cs="Arial"/>
        <w:i/>
        <w:sz w:val="18"/>
        <w:szCs w:val="18"/>
        <w:u w:val="single"/>
      </w:rPr>
      <w:t>Circular</w:t>
    </w:r>
    <w:r w:rsidR="00E5650B" w:rsidRPr="00E5650B">
      <w:rPr>
        <w:rFonts w:ascii="Arial" w:hAnsi="Arial" w:cs="Arial"/>
        <w:i/>
        <w:sz w:val="18"/>
        <w:szCs w:val="18"/>
        <w:u w:val="single"/>
      </w:rPr>
      <w:t>057</w:t>
    </w:r>
  </w:p>
  <w:p w:rsidR="00B201E4" w:rsidRPr="00B201E4" w:rsidRDefault="00B201E4">
    <w:pPr>
      <w:pStyle w:val="Encabezado"/>
      <w:rPr>
        <w:rFonts w:ascii="Arial" w:hAnsi="Arial" w:cs="Arial"/>
        <w:i/>
        <w:sz w:val="18"/>
        <w:szCs w:val="18"/>
        <w:u w:val="single"/>
      </w:rPr>
    </w:pPr>
    <w:r w:rsidRPr="00B201E4">
      <w:rPr>
        <w:rFonts w:ascii="Arial" w:hAnsi="Arial" w:cs="Arial"/>
        <w:i/>
        <w:sz w:val="18"/>
        <w:szCs w:val="18"/>
        <w:u w:val="single"/>
      </w:rPr>
      <w:t>Julio de 2019</w:t>
    </w:r>
  </w:p>
  <w:p w:rsidR="00B201E4" w:rsidRPr="00B201E4" w:rsidRDefault="00B201E4">
    <w:pPr>
      <w:pStyle w:val="Encabezado"/>
      <w:rPr>
        <w:rFonts w:ascii="Arial" w:hAnsi="Arial" w:cs="Arial"/>
        <w:i/>
        <w:sz w:val="18"/>
        <w:szCs w:val="18"/>
        <w:u w:val="single"/>
      </w:rPr>
    </w:pPr>
    <w:r w:rsidRPr="00B201E4">
      <w:rPr>
        <w:rFonts w:ascii="Arial" w:hAnsi="Arial" w:cs="Arial"/>
        <w:b/>
        <w:bCs/>
        <w:i/>
        <w:sz w:val="18"/>
        <w:szCs w:val="18"/>
        <w:u w:val="single"/>
      </w:rPr>
      <w:fldChar w:fldCharType="begin"/>
    </w:r>
    <w:r w:rsidRPr="00B201E4">
      <w:rPr>
        <w:rFonts w:ascii="Arial" w:hAnsi="Arial" w:cs="Arial"/>
        <w:b/>
        <w:bCs/>
        <w:i/>
        <w:sz w:val="18"/>
        <w:szCs w:val="18"/>
        <w:u w:val="single"/>
      </w:rPr>
      <w:instrText>PAGE  \* Arabic  \* MERGEFORMAT</w:instrText>
    </w:r>
    <w:r w:rsidRPr="00B201E4">
      <w:rPr>
        <w:rFonts w:ascii="Arial" w:hAnsi="Arial" w:cs="Arial"/>
        <w:b/>
        <w:bCs/>
        <w:i/>
        <w:sz w:val="18"/>
        <w:szCs w:val="18"/>
        <w:u w:val="single"/>
      </w:rPr>
      <w:fldChar w:fldCharType="separate"/>
    </w:r>
    <w:r w:rsidR="00B94181" w:rsidRPr="00B94181">
      <w:rPr>
        <w:rFonts w:ascii="Arial" w:hAnsi="Arial" w:cs="Arial"/>
        <w:b/>
        <w:bCs/>
        <w:i/>
        <w:noProof/>
        <w:sz w:val="18"/>
        <w:szCs w:val="18"/>
        <w:u w:val="single"/>
        <w:lang w:val="es-ES"/>
      </w:rPr>
      <w:t>2</w:t>
    </w:r>
    <w:r w:rsidRPr="00B201E4">
      <w:rPr>
        <w:rFonts w:ascii="Arial" w:hAnsi="Arial" w:cs="Arial"/>
        <w:b/>
        <w:bCs/>
        <w:i/>
        <w:sz w:val="18"/>
        <w:szCs w:val="18"/>
        <w:u w:val="single"/>
      </w:rPr>
      <w:fldChar w:fldCharType="end"/>
    </w:r>
    <w:r w:rsidRPr="00B201E4">
      <w:rPr>
        <w:rFonts w:ascii="Arial" w:hAnsi="Arial" w:cs="Arial"/>
        <w:i/>
        <w:sz w:val="18"/>
        <w:szCs w:val="18"/>
        <w:u w:val="single"/>
        <w:lang w:val="es-ES"/>
      </w:rPr>
      <w:t xml:space="preserve"> / </w:t>
    </w:r>
    <w:r w:rsidRPr="00B201E4">
      <w:rPr>
        <w:rFonts w:ascii="Arial" w:hAnsi="Arial" w:cs="Arial"/>
        <w:b/>
        <w:bCs/>
        <w:i/>
        <w:sz w:val="18"/>
        <w:szCs w:val="18"/>
        <w:u w:val="single"/>
      </w:rPr>
      <w:fldChar w:fldCharType="begin"/>
    </w:r>
    <w:r w:rsidRPr="00B201E4">
      <w:rPr>
        <w:rFonts w:ascii="Arial" w:hAnsi="Arial" w:cs="Arial"/>
        <w:b/>
        <w:bCs/>
        <w:i/>
        <w:sz w:val="18"/>
        <w:szCs w:val="18"/>
        <w:u w:val="single"/>
      </w:rPr>
      <w:instrText>NUMPAGES  \* Arabic  \* MERGEFORMAT</w:instrText>
    </w:r>
    <w:r w:rsidRPr="00B201E4">
      <w:rPr>
        <w:rFonts w:ascii="Arial" w:hAnsi="Arial" w:cs="Arial"/>
        <w:b/>
        <w:bCs/>
        <w:i/>
        <w:sz w:val="18"/>
        <w:szCs w:val="18"/>
        <w:u w:val="single"/>
      </w:rPr>
      <w:fldChar w:fldCharType="separate"/>
    </w:r>
    <w:r w:rsidR="00B94181" w:rsidRPr="00B94181">
      <w:rPr>
        <w:rFonts w:ascii="Arial" w:hAnsi="Arial" w:cs="Arial"/>
        <w:b/>
        <w:bCs/>
        <w:i/>
        <w:noProof/>
        <w:sz w:val="18"/>
        <w:szCs w:val="18"/>
        <w:u w:val="single"/>
        <w:lang w:val="es-ES"/>
      </w:rPr>
      <w:t>2</w:t>
    </w:r>
    <w:r w:rsidRPr="00B201E4">
      <w:rPr>
        <w:rFonts w:ascii="Arial" w:hAnsi="Arial" w:cs="Arial"/>
        <w:b/>
        <w:bCs/>
        <w:i/>
        <w:sz w:val="18"/>
        <w:szCs w:val="18"/>
        <w:u w:val="single"/>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F4B" w:rsidRDefault="00B201E4" w:rsidP="003F2F4B">
    <w:pPr>
      <w:pStyle w:val="Encabezado"/>
    </w:pPr>
    <w:r>
      <w:rPr>
        <w:noProof/>
        <w:lang w:val="es-CO" w:eastAsia="es-CO"/>
      </w:rPr>
      <w:drawing>
        <wp:anchor distT="0" distB="0" distL="114300" distR="114300" simplePos="0" relativeHeight="251661312" behindDoc="1" locked="0" layoutInCell="1" allowOverlap="1" wp14:anchorId="07AA3845" wp14:editId="283D58A7">
          <wp:simplePos x="0" y="0"/>
          <wp:positionH relativeFrom="column">
            <wp:posOffset>0</wp:posOffset>
          </wp:positionH>
          <wp:positionV relativeFrom="paragraph">
            <wp:posOffset>-635</wp:posOffset>
          </wp:positionV>
          <wp:extent cx="1104900" cy="618490"/>
          <wp:effectExtent l="0" t="0" r="0" b="0"/>
          <wp:wrapNone/>
          <wp:docPr id="449" name="Imagen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04900" cy="618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59264" behindDoc="1" locked="0" layoutInCell="1" allowOverlap="1" wp14:anchorId="522F3685" wp14:editId="784B60C2">
          <wp:simplePos x="0" y="0"/>
          <wp:positionH relativeFrom="column">
            <wp:posOffset>2943225</wp:posOffset>
          </wp:positionH>
          <wp:positionV relativeFrom="paragraph">
            <wp:posOffset>-153035</wp:posOffset>
          </wp:positionV>
          <wp:extent cx="3073400" cy="589280"/>
          <wp:effectExtent l="0" t="0" r="0" b="1270"/>
          <wp:wrapNone/>
          <wp:docPr id="448" name="Imagen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bierno-logo.jpg"/>
                  <pic:cNvPicPr/>
                </pic:nvPicPr>
                <pic:blipFill rotWithShape="1">
                  <a:blip r:embed="rId2">
                    <a:extLst>
                      <a:ext uri="{28A0092B-C50C-407E-A947-70E740481C1C}">
                        <a14:useLocalDpi xmlns:a14="http://schemas.microsoft.com/office/drawing/2010/main" val="0"/>
                      </a:ext>
                    </a:extLst>
                  </a:blip>
                  <a:srcRect t="-268" b="-268"/>
                  <a:stretch/>
                </pic:blipFill>
                <pic:spPr>
                  <a:xfrm>
                    <a:off x="0" y="0"/>
                    <a:ext cx="3073400" cy="589280"/>
                  </a:xfrm>
                  <a:prstGeom prst="rect">
                    <a:avLst/>
                  </a:prstGeom>
                </pic:spPr>
              </pic:pic>
            </a:graphicData>
          </a:graphic>
          <wp14:sizeRelH relativeFrom="page">
            <wp14:pctWidth>0</wp14:pctWidth>
          </wp14:sizeRelH>
          <wp14:sizeRelV relativeFrom="page">
            <wp14:pctHeight>0</wp14:pctHeight>
          </wp14:sizeRelV>
        </wp:anchor>
      </w:drawing>
    </w:r>
  </w:p>
  <w:p w:rsidR="003F2F4B" w:rsidRDefault="003F2F4B" w:rsidP="003F2F4B">
    <w:pPr>
      <w:pStyle w:val="Encabezado"/>
    </w:pPr>
  </w:p>
  <w:p w:rsidR="003F2F4B" w:rsidRDefault="003F2F4B" w:rsidP="003F2F4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E4A14"/>
    <w:multiLevelType w:val="multilevel"/>
    <w:tmpl w:val="37703AD6"/>
    <w:lvl w:ilvl="0">
      <w:start w:val="1"/>
      <w:numFmt w:val="decimal"/>
      <w:lvlText w:val="%1."/>
      <w:lvlJc w:val="left"/>
      <w:pPr>
        <w:ind w:left="720" w:hanging="360"/>
      </w:pPr>
      <w:rPr>
        <w:sz w:val="24"/>
        <w:szCs w:val="24"/>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44BB6A33"/>
    <w:multiLevelType w:val="hybridMultilevel"/>
    <w:tmpl w:val="A63E1688"/>
    <w:lvl w:ilvl="0" w:tplc="57780BF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6AF5DCC"/>
    <w:multiLevelType w:val="hybridMultilevel"/>
    <w:tmpl w:val="AE3CB4BC"/>
    <w:lvl w:ilvl="0" w:tplc="8C6CA88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519"/>
    <w:rsid w:val="00047A9C"/>
    <w:rsid w:val="00057E71"/>
    <w:rsid w:val="000A65B3"/>
    <w:rsid w:val="000D771B"/>
    <w:rsid w:val="00144F2D"/>
    <w:rsid w:val="001C25ED"/>
    <w:rsid w:val="001D49AC"/>
    <w:rsid w:val="00201608"/>
    <w:rsid w:val="00311BCD"/>
    <w:rsid w:val="00344D43"/>
    <w:rsid w:val="003C7E1C"/>
    <w:rsid w:val="003F2F4B"/>
    <w:rsid w:val="0046553B"/>
    <w:rsid w:val="00474CC3"/>
    <w:rsid w:val="004C5915"/>
    <w:rsid w:val="005973AA"/>
    <w:rsid w:val="00653BF3"/>
    <w:rsid w:val="00663C8F"/>
    <w:rsid w:val="006D1E46"/>
    <w:rsid w:val="00735E1F"/>
    <w:rsid w:val="007E16DF"/>
    <w:rsid w:val="00807FEE"/>
    <w:rsid w:val="00816448"/>
    <w:rsid w:val="00856626"/>
    <w:rsid w:val="008C4672"/>
    <w:rsid w:val="009A3312"/>
    <w:rsid w:val="009C0DA8"/>
    <w:rsid w:val="009D4789"/>
    <w:rsid w:val="00A15CDD"/>
    <w:rsid w:val="00A52D43"/>
    <w:rsid w:val="00A57171"/>
    <w:rsid w:val="00A7020B"/>
    <w:rsid w:val="00A91705"/>
    <w:rsid w:val="00AA0519"/>
    <w:rsid w:val="00B201E4"/>
    <w:rsid w:val="00B84D24"/>
    <w:rsid w:val="00B8633D"/>
    <w:rsid w:val="00B94181"/>
    <w:rsid w:val="00C04130"/>
    <w:rsid w:val="00C97F0B"/>
    <w:rsid w:val="00D928CE"/>
    <w:rsid w:val="00E226CC"/>
    <w:rsid w:val="00E5650B"/>
    <w:rsid w:val="00E83DD9"/>
    <w:rsid w:val="00E84849"/>
    <w:rsid w:val="00EC23AD"/>
    <w:rsid w:val="00F17430"/>
    <w:rsid w:val="00F41092"/>
    <w:rsid w:val="00FD2A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A6191F"/>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519"/>
    <w:pPr>
      <w:spacing w:after="0" w:line="240" w:lineRule="auto"/>
    </w:pPr>
    <w:rPr>
      <w:rFonts w:eastAsiaTheme="minorEastAsia"/>
      <w:sz w:val="24"/>
      <w:szCs w:val="24"/>
      <w:lang w:val="es-ES_tradnl"/>
    </w:rPr>
  </w:style>
  <w:style w:type="paragraph" w:styleId="Ttulo5">
    <w:name w:val="heading 5"/>
    <w:basedOn w:val="Normal"/>
    <w:next w:val="Textoindependiente"/>
    <w:link w:val="Ttulo5Car"/>
    <w:semiHidden/>
    <w:unhideWhenUsed/>
    <w:qFormat/>
    <w:rsid w:val="007E16DF"/>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AA0519"/>
    <w:pPr>
      <w:tabs>
        <w:tab w:val="center" w:pos="4419"/>
        <w:tab w:val="right" w:pos="8838"/>
      </w:tabs>
    </w:pPr>
  </w:style>
  <w:style w:type="character" w:customStyle="1" w:styleId="PiedepginaCar">
    <w:name w:val="Pie de página Car"/>
    <w:basedOn w:val="Fuentedeprrafopredeter"/>
    <w:link w:val="Piedepgina"/>
    <w:uiPriority w:val="99"/>
    <w:rsid w:val="00AA0519"/>
    <w:rPr>
      <w:rFonts w:eastAsiaTheme="minorEastAsia"/>
      <w:sz w:val="24"/>
      <w:szCs w:val="24"/>
      <w:lang w:val="es-ES_tradnl"/>
    </w:rPr>
  </w:style>
  <w:style w:type="character" w:customStyle="1" w:styleId="Ttulo5Car">
    <w:name w:val="Título 5 Car"/>
    <w:basedOn w:val="Fuentedeprrafopredeter"/>
    <w:link w:val="Ttulo5"/>
    <w:semiHidden/>
    <w:rsid w:val="007E16DF"/>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semiHidden/>
    <w:unhideWhenUsed/>
    <w:rsid w:val="007E16DF"/>
    <w:pPr>
      <w:spacing w:after="120"/>
      <w:ind w:left="283"/>
    </w:pPr>
  </w:style>
  <w:style w:type="character" w:customStyle="1" w:styleId="SangradetextonormalCar">
    <w:name w:val="Sangría de texto normal Car"/>
    <w:basedOn w:val="Fuentedeprrafopredeter"/>
    <w:link w:val="Sangradetextonormal"/>
    <w:uiPriority w:val="99"/>
    <w:semiHidden/>
    <w:rsid w:val="007E16DF"/>
    <w:rPr>
      <w:rFonts w:eastAsiaTheme="minorEastAsia"/>
      <w:sz w:val="24"/>
      <w:szCs w:val="24"/>
      <w:lang w:val="es-ES_tradnl"/>
    </w:rPr>
  </w:style>
  <w:style w:type="paragraph" w:styleId="Prrafodelista">
    <w:name w:val="List Paragraph"/>
    <w:aliases w:val="Párrafo de lista1"/>
    <w:basedOn w:val="Normal"/>
    <w:link w:val="PrrafodelistaCar"/>
    <w:uiPriority w:val="34"/>
    <w:qFormat/>
    <w:rsid w:val="00E226CC"/>
    <w:pPr>
      <w:ind w:left="708"/>
    </w:pPr>
    <w:rPr>
      <w:rFonts w:ascii="Times New Roman" w:eastAsia="Times New Roman" w:hAnsi="Times New Roman" w:cs="Times New Roman"/>
      <w:sz w:val="20"/>
      <w:szCs w:val="20"/>
      <w:lang w:val="es-CO" w:eastAsia="es-ES"/>
    </w:rPr>
  </w:style>
  <w:style w:type="character" w:customStyle="1" w:styleId="PrrafodelistaCar">
    <w:name w:val="Párrafo de lista Car"/>
    <w:aliases w:val="Párrafo de lista1 Car"/>
    <w:link w:val="Prrafodelista"/>
    <w:uiPriority w:val="34"/>
    <w:rsid w:val="00E226CC"/>
    <w:rPr>
      <w:rFonts w:ascii="Times New Roman" w:eastAsia="Times New Roman" w:hAnsi="Times New Roman" w:cs="Times New Roman"/>
      <w:sz w:val="20"/>
      <w:szCs w:val="20"/>
      <w:lang w:eastAsia="es-ES"/>
    </w:rPr>
  </w:style>
  <w:style w:type="character" w:styleId="Hipervnculo">
    <w:name w:val="Hyperlink"/>
    <w:basedOn w:val="Fuentedeprrafopredeter"/>
    <w:uiPriority w:val="99"/>
    <w:unhideWhenUsed/>
    <w:rsid w:val="00E83D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64617-CFB1-41F1-86E9-E69F49FFB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514</Words>
  <Characters>2830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Santamaria Daza</dc:creator>
  <cp:keywords/>
  <dc:description/>
  <cp:lastModifiedBy>Luz Stella Rojas Macias</cp:lastModifiedBy>
  <cp:revision>3</cp:revision>
  <cp:lastPrinted>2019-07-10T20:32:00Z</cp:lastPrinted>
  <dcterms:created xsi:type="dcterms:W3CDTF">2019-07-17T00:55:00Z</dcterms:created>
  <dcterms:modified xsi:type="dcterms:W3CDTF">2019-07-17T00:56:00Z</dcterms:modified>
</cp:coreProperties>
</file>