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EF562" w14:textId="77777777" w:rsidR="006E1726" w:rsidRPr="006E1726" w:rsidRDefault="006E1726" w:rsidP="006E1726">
      <w:pPr>
        <w:spacing w:before="0" w:after="0" w:line="240" w:lineRule="auto"/>
        <w:rPr>
          <w:rFonts w:ascii="Arial" w:eastAsia="Times New Roman" w:hAnsi="Arial" w:cs="Arial"/>
          <w:sz w:val="22"/>
          <w:szCs w:val="22"/>
          <w:lang w:val="es-MX"/>
        </w:rPr>
      </w:pPr>
    </w:p>
    <w:p w14:paraId="43F8BB7E" w14:textId="0844E445" w:rsidR="00BA6D78" w:rsidRPr="00463102" w:rsidRDefault="00BA6D78" w:rsidP="00BA6D78">
      <w:pPr>
        <w:rPr>
          <w:rFonts w:ascii="Arial" w:hAnsi="Arial" w:cs="Arial"/>
          <w:lang w:val="es-MX"/>
        </w:rPr>
      </w:pPr>
      <w:r w:rsidRPr="00463102">
        <w:rPr>
          <w:rFonts w:ascii="Arial" w:hAnsi="Arial" w:cs="Arial"/>
          <w:lang w:val="es-MX"/>
        </w:rPr>
        <w:t xml:space="preserve">Bogotá, D.C.,  </w:t>
      </w:r>
      <w:r w:rsidRPr="00463102">
        <w:rPr>
          <w:rFonts w:ascii="Arial" w:hAnsi="Arial" w:cs="Arial"/>
          <w:lang w:val="es-MX"/>
        </w:rPr>
        <w:fldChar w:fldCharType="begin"/>
      </w:r>
      <w:r w:rsidRPr="00463102">
        <w:rPr>
          <w:rFonts w:ascii="Arial" w:hAnsi="Arial" w:cs="Arial"/>
          <w:lang w:val="es-MX"/>
        </w:rPr>
        <w:instrText xml:space="preserve"> MERGEFIELD  Fecha  \* MERGEFORMAT </w:instrText>
      </w:r>
      <w:r w:rsidRPr="00463102">
        <w:rPr>
          <w:rFonts w:ascii="Arial" w:hAnsi="Arial" w:cs="Arial"/>
          <w:lang w:val="es-MX"/>
        </w:rPr>
        <w:fldChar w:fldCharType="separate"/>
      </w:r>
      <w:r w:rsidRPr="00463102">
        <w:rPr>
          <w:rFonts w:ascii="Arial" w:hAnsi="Arial" w:cs="Arial"/>
          <w:noProof/>
          <w:lang w:val="es-MX"/>
        </w:rPr>
        <w:t>23 de mayo de 2023</w:t>
      </w:r>
      <w:r w:rsidRPr="00463102">
        <w:rPr>
          <w:rFonts w:ascii="Arial" w:hAnsi="Arial" w:cs="Arial"/>
          <w:lang w:val="es-MX"/>
        </w:rPr>
        <w:fldChar w:fldCharType="end"/>
      </w:r>
    </w:p>
    <w:p w14:paraId="4BF6BC04" w14:textId="77777777" w:rsidR="00BA6D78" w:rsidRDefault="00BA6D78" w:rsidP="00BA6D78">
      <w:pPr>
        <w:rPr>
          <w:rFonts w:ascii="Arial" w:hAnsi="Arial" w:cs="Arial"/>
          <w:lang w:val="es-MX"/>
        </w:rPr>
      </w:pPr>
    </w:p>
    <w:p w14:paraId="2DF36FC6" w14:textId="33257262" w:rsidR="00BA6D78" w:rsidRPr="00BA6D78" w:rsidRDefault="00BA6D78" w:rsidP="00BA6D78">
      <w:pPr>
        <w:pStyle w:val="Ttulo5"/>
        <w:spacing w:before="0" w:line="220" w:lineRule="atLeast"/>
        <w:ind w:left="720"/>
        <w:jc w:val="center"/>
        <w:rPr>
          <w:rFonts w:ascii="Arial" w:eastAsia="Times New Roman" w:hAnsi="Arial" w:cs="Arial"/>
          <w:b/>
          <w:bCs/>
          <w:i/>
          <w:iCs/>
          <w:noProof/>
          <w:color w:val="auto"/>
          <w:spacing w:val="-5"/>
          <w:kern w:val="60"/>
          <w:sz w:val="40"/>
          <w:szCs w:val="40"/>
        </w:rPr>
      </w:pPr>
      <w:r w:rsidRPr="00BA6D78">
        <w:rPr>
          <w:rFonts w:ascii="Arial" w:eastAsia="Times New Roman" w:hAnsi="Arial" w:cs="Arial"/>
          <w:b/>
          <w:bCs/>
          <w:i/>
          <w:iCs/>
          <w:noProof/>
          <w:color w:val="auto"/>
          <w:spacing w:val="-5"/>
          <w:kern w:val="60"/>
          <w:sz w:val="40"/>
          <w:szCs w:val="40"/>
        </w:rPr>
        <w:t xml:space="preserve">CIRCULAR No. </w:t>
      </w:r>
      <w:r w:rsidRPr="00BA6D78">
        <w:rPr>
          <w:rFonts w:ascii="Arial" w:eastAsia="Times New Roman" w:hAnsi="Arial" w:cs="Arial"/>
          <w:b/>
          <w:bCs/>
          <w:i/>
          <w:iCs/>
          <w:noProof/>
          <w:color w:val="auto"/>
          <w:spacing w:val="-5"/>
          <w:kern w:val="60"/>
          <w:sz w:val="40"/>
          <w:szCs w:val="40"/>
        </w:rPr>
        <w:fldChar w:fldCharType="begin"/>
      </w:r>
      <w:r w:rsidRPr="00BA6D78">
        <w:rPr>
          <w:rFonts w:ascii="Arial" w:eastAsia="Times New Roman" w:hAnsi="Arial" w:cs="Arial"/>
          <w:b/>
          <w:bCs/>
          <w:i/>
          <w:iCs/>
          <w:noProof/>
          <w:color w:val="auto"/>
          <w:spacing w:val="-5"/>
          <w:kern w:val="60"/>
          <w:sz w:val="40"/>
          <w:szCs w:val="40"/>
        </w:rPr>
        <w:instrText xml:space="preserve"> MERGEFIELD  NumeroCircular  \* MERGEFORMAT </w:instrText>
      </w:r>
      <w:r w:rsidRPr="00BA6D78">
        <w:rPr>
          <w:rFonts w:ascii="Arial" w:eastAsia="Times New Roman" w:hAnsi="Arial" w:cs="Arial"/>
          <w:b/>
          <w:bCs/>
          <w:i/>
          <w:iCs/>
          <w:noProof/>
          <w:color w:val="auto"/>
          <w:spacing w:val="-5"/>
          <w:kern w:val="60"/>
          <w:sz w:val="40"/>
          <w:szCs w:val="40"/>
        </w:rPr>
        <w:fldChar w:fldCharType="separate"/>
      </w:r>
      <w:r w:rsidRPr="00BA6D78">
        <w:rPr>
          <w:rFonts w:ascii="Arial" w:eastAsia="Times New Roman" w:hAnsi="Arial" w:cs="Arial"/>
          <w:b/>
          <w:bCs/>
          <w:i/>
          <w:iCs/>
          <w:noProof/>
          <w:color w:val="auto"/>
          <w:spacing w:val="-5"/>
          <w:kern w:val="60"/>
          <w:sz w:val="40"/>
          <w:szCs w:val="40"/>
        </w:rPr>
        <w:t>039 de 2023</w:t>
      </w:r>
      <w:r w:rsidRPr="00BA6D78">
        <w:rPr>
          <w:rFonts w:ascii="Arial" w:eastAsia="Times New Roman" w:hAnsi="Arial" w:cs="Arial"/>
          <w:b/>
          <w:bCs/>
          <w:i/>
          <w:iCs/>
          <w:noProof/>
          <w:color w:val="auto"/>
          <w:spacing w:val="-5"/>
          <w:kern w:val="60"/>
          <w:sz w:val="40"/>
          <w:szCs w:val="40"/>
        </w:rPr>
        <w:fldChar w:fldCharType="end"/>
      </w:r>
    </w:p>
    <w:p w14:paraId="6F13CDC0" w14:textId="77777777" w:rsidR="00BA6D78" w:rsidRPr="00BA6D78" w:rsidRDefault="00BA6D78" w:rsidP="00BA6D78">
      <w:pPr>
        <w:pStyle w:val="Ttulo5"/>
        <w:spacing w:before="0" w:line="220" w:lineRule="atLeast"/>
        <w:ind w:left="720"/>
        <w:jc w:val="center"/>
        <w:rPr>
          <w:rFonts w:ascii="Arial" w:eastAsia="Times New Roman" w:hAnsi="Arial" w:cs="Arial"/>
          <w:b/>
          <w:bCs/>
          <w:i/>
          <w:iCs/>
          <w:noProof/>
          <w:color w:val="auto"/>
          <w:spacing w:val="-5"/>
          <w:kern w:val="60"/>
          <w:sz w:val="40"/>
          <w:szCs w:val="40"/>
        </w:rPr>
      </w:pPr>
    </w:p>
    <w:p w14:paraId="74FF62B2" w14:textId="545EC703" w:rsidR="00BA6D78" w:rsidRPr="004142B1" w:rsidRDefault="00BA6D78" w:rsidP="00463102">
      <w:pPr>
        <w:tabs>
          <w:tab w:val="left" w:pos="709"/>
        </w:tabs>
        <w:spacing w:before="240"/>
        <w:ind w:left="1418" w:hanging="1418"/>
        <w:jc w:val="both"/>
        <w:rPr>
          <w:rFonts w:ascii="Arial" w:eastAsia="Times New Roman" w:hAnsi="Arial" w:cs="Arial"/>
          <w:spacing w:val="-5"/>
          <w:sz w:val="22"/>
          <w:szCs w:val="22"/>
        </w:rPr>
      </w:pPr>
      <w:r>
        <w:rPr>
          <w:rFonts w:ascii="Arial" w:hAnsi="Arial" w:cs="Arial"/>
          <w:b/>
        </w:rPr>
        <w:t>PARA:</w:t>
      </w:r>
      <w:r>
        <w:rPr>
          <w:rFonts w:ascii="Arial" w:hAnsi="Arial" w:cs="Arial"/>
          <w:b/>
        </w:rPr>
        <w:tab/>
      </w:r>
      <w:r>
        <w:rPr>
          <w:rFonts w:ascii="Arial" w:hAnsi="Arial" w:cs="Arial"/>
          <w:b/>
        </w:rPr>
        <w:fldChar w:fldCharType="begin"/>
      </w:r>
      <w:r>
        <w:rPr>
          <w:rFonts w:ascii="Arial" w:hAnsi="Arial" w:cs="Arial"/>
          <w:b/>
        </w:rPr>
        <w:instrText xml:space="preserve"> MERGEFIELD  Destinatario  \* MERGEFORMAT </w:instrText>
      </w:r>
      <w:r>
        <w:rPr>
          <w:rFonts w:ascii="Arial" w:hAnsi="Arial" w:cs="Arial"/>
          <w:b/>
        </w:rPr>
        <w:fldChar w:fldCharType="separate"/>
      </w:r>
      <w:r>
        <w:rPr>
          <w:rFonts w:ascii="Arial" w:hAnsi="Arial" w:cs="Arial"/>
          <w:b/>
          <w:noProof/>
        </w:rPr>
        <w:t>TERCEROS INTERESADOS</w:t>
      </w:r>
      <w:r>
        <w:rPr>
          <w:rFonts w:ascii="Arial" w:hAnsi="Arial" w:cs="Arial"/>
          <w:b/>
        </w:rPr>
        <w:fldChar w:fldCharType="end"/>
      </w:r>
    </w:p>
    <w:p w14:paraId="5ECA4954" w14:textId="58F588B3" w:rsidR="00BA6D78" w:rsidRDefault="00BA6D78" w:rsidP="00463102">
      <w:pPr>
        <w:tabs>
          <w:tab w:val="left" w:pos="709"/>
        </w:tabs>
        <w:ind w:left="1418" w:hanging="1418"/>
        <w:jc w:val="both"/>
        <w:rPr>
          <w:rFonts w:ascii="Arial" w:hAnsi="Arial" w:cs="Arial"/>
          <w:b/>
        </w:rPr>
      </w:pPr>
      <w:r>
        <w:rPr>
          <w:rFonts w:ascii="Arial" w:hAnsi="Arial" w:cs="Arial"/>
          <w:b/>
        </w:rPr>
        <w:t>DE:</w:t>
      </w:r>
      <w:r>
        <w:rPr>
          <w:rFonts w:ascii="Arial" w:hAnsi="Arial" w:cs="Arial"/>
          <w:b/>
        </w:rPr>
        <w:tab/>
      </w:r>
      <w:r w:rsidR="00463102">
        <w:rPr>
          <w:rFonts w:ascii="Arial" w:hAnsi="Arial" w:cs="Arial"/>
          <w:b/>
        </w:rPr>
        <w:tab/>
      </w:r>
      <w:r>
        <w:rPr>
          <w:rFonts w:ascii="Arial" w:hAnsi="Arial" w:cs="Arial"/>
          <w:b/>
        </w:rPr>
        <w:fldChar w:fldCharType="begin"/>
      </w:r>
      <w:r>
        <w:rPr>
          <w:rFonts w:ascii="Arial" w:hAnsi="Arial" w:cs="Arial"/>
          <w:b/>
        </w:rPr>
        <w:instrText xml:space="preserve"> MERGEFIELD  Remitente  \* MERGEFORMAT </w:instrText>
      </w:r>
      <w:r>
        <w:rPr>
          <w:rFonts w:ascii="Arial" w:hAnsi="Arial" w:cs="Arial"/>
          <w:b/>
        </w:rPr>
        <w:fldChar w:fldCharType="separate"/>
      </w:r>
      <w:r>
        <w:rPr>
          <w:rFonts w:ascii="Arial" w:hAnsi="Arial" w:cs="Arial"/>
          <w:b/>
          <w:noProof/>
        </w:rPr>
        <w:t>DIRECCIÓN EJECUTIVA</w:t>
      </w:r>
      <w:r>
        <w:rPr>
          <w:rFonts w:ascii="Arial" w:hAnsi="Arial" w:cs="Arial"/>
          <w:b/>
        </w:rPr>
        <w:fldChar w:fldCharType="end"/>
      </w:r>
    </w:p>
    <w:p w14:paraId="3AF4582F" w14:textId="7AD3AAB4" w:rsidR="00BA6D78" w:rsidRDefault="00BA6D78" w:rsidP="00BA6D78">
      <w:pPr>
        <w:pStyle w:val="Sangradetextonormal"/>
        <w:ind w:left="1410" w:hanging="1410"/>
        <w:rPr>
          <w:rFonts w:ascii="Arial" w:hAnsi="Arial" w:cs="Arial"/>
          <w:b/>
        </w:rPr>
      </w:pPr>
      <w:r>
        <w:rPr>
          <w:rFonts w:ascii="Arial" w:hAnsi="Arial" w:cs="Arial"/>
          <w:b/>
        </w:rPr>
        <w:t>ASUNTO:</w:t>
      </w:r>
      <w:r>
        <w:rPr>
          <w:rFonts w:ascii="Arial" w:hAnsi="Arial" w:cs="Arial"/>
          <w:b/>
        </w:rPr>
        <w:tab/>
      </w:r>
      <w:r w:rsidR="00416489" w:rsidRPr="00DF6824">
        <w:rPr>
          <w:rFonts w:asciiTheme="majorHAnsi" w:eastAsiaTheme="minorHAnsi" w:hAnsiTheme="majorHAnsi" w:cstheme="majorHAnsi"/>
          <w:b/>
          <w:lang w:val="es-CO"/>
        </w:rPr>
        <w:t xml:space="preserve">PUBLICACIÓN DE </w:t>
      </w:r>
      <w:r w:rsidR="00416489" w:rsidRPr="00DF6824">
        <w:rPr>
          <w:rFonts w:asciiTheme="majorHAnsi" w:eastAsiaTheme="minorHAnsi" w:hAnsiTheme="majorHAnsi" w:cstheme="majorHAnsi"/>
          <w:b/>
          <w:bCs/>
          <w:lang w:val="es-CO"/>
        </w:rPr>
        <w:t>INFORMACI</w:t>
      </w:r>
      <w:r w:rsidR="002A24A4">
        <w:rPr>
          <w:rFonts w:asciiTheme="majorHAnsi" w:eastAsiaTheme="minorHAnsi" w:hAnsiTheme="majorHAnsi" w:cstheme="majorHAnsi"/>
          <w:b/>
          <w:bCs/>
          <w:lang w:val="es-CO"/>
        </w:rPr>
        <w:t>Ó</w:t>
      </w:r>
      <w:r w:rsidR="00416489" w:rsidRPr="00DF6824">
        <w:rPr>
          <w:rFonts w:asciiTheme="majorHAnsi" w:eastAsiaTheme="minorHAnsi" w:hAnsiTheme="majorHAnsi" w:cstheme="majorHAnsi"/>
          <w:b/>
          <w:bCs/>
          <w:lang w:val="es-CO"/>
        </w:rPr>
        <w:t xml:space="preserve">N PROPUESTA DE </w:t>
      </w:r>
      <w:r w:rsidR="00DF6824">
        <w:rPr>
          <w:rFonts w:asciiTheme="majorHAnsi" w:eastAsiaTheme="minorHAnsi" w:hAnsiTheme="majorHAnsi" w:cstheme="majorHAnsi"/>
          <w:b/>
          <w:bCs/>
          <w:lang w:val="es-CO"/>
        </w:rPr>
        <w:t>AGREGACI</w:t>
      </w:r>
      <w:r w:rsidR="002A24A4">
        <w:rPr>
          <w:rFonts w:asciiTheme="majorHAnsi" w:eastAsiaTheme="minorHAnsi" w:hAnsiTheme="majorHAnsi" w:cstheme="majorHAnsi"/>
          <w:b/>
          <w:bCs/>
          <w:lang w:val="es-CO"/>
        </w:rPr>
        <w:t>Ó</w:t>
      </w:r>
      <w:r w:rsidR="00DF6824">
        <w:rPr>
          <w:rFonts w:asciiTheme="majorHAnsi" w:eastAsiaTheme="minorHAnsi" w:hAnsiTheme="majorHAnsi" w:cstheme="majorHAnsi"/>
          <w:b/>
          <w:bCs/>
          <w:lang w:val="es-CO"/>
        </w:rPr>
        <w:t>N</w:t>
      </w:r>
      <w:r w:rsidR="00416489" w:rsidRPr="00DF6824">
        <w:rPr>
          <w:rFonts w:asciiTheme="majorHAnsi" w:eastAsiaTheme="minorHAnsi" w:hAnsiTheme="majorHAnsi" w:cstheme="majorHAnsi"/>
          <w:b/>
          <w:lang w:val="es-CO"/>
        </w:rPr>
        <w:t xml:space="preserve"> </w:t>
      </w:r>
      <w:r w:rsidR="002A24A4">
        <w:rPr>
          <w:rFonts w:asciiTheme="majorHAnsi" w:eastAsiaTheme="minorHAnsi" w:hAnsiTheme="majorHAnsi" w:cstheme="majorHAnsi"/>
          <w:b/>
          <w:lang w:val="es-CO"/>
        </w:rPr>
        <w:t xml:space="preserve">DE </w:t>
      </w:r>
      <w:r w:rsidR="00416489" w:rsidRPr="00DF6824">
        <w:rPr>
          <w:rFonts w:asciiTheme="majorHAnsi" w:eastAsiaTheme="minorHAnsi" w:hAnsiTheme="majorHAnsi" w:cstheme="majorHAnsi"/>
          <w:b/>
          <w:lang w:val="es-CO"/>
        </w:rPr>
        <w:t>TRAMOS EN EL SISTEMA DE TGI</w:t>
      </w:r>
    </w:p>
    <w:p w14:paraId="4AE7CAEE" w14:textId="77777777" w:rsidR="00BA6D78" w:rsidRDefault="00BA6D78" w:rsidP="00BA6D78">
      <w:pPr>
        <w:pStyle w:val="Textoindependiente"/>
        <w:spacing w:after="0" w:line="240" w:lineRule="auto"/>
        <w:ind w:left="1410" w:hanging="1410"/>
        <w:rPr>
          <w:rFonts w:cs="Arial"/>
          <w:sz w:val="22"/>
          <w:szCs w:val="22"/>
        </w:rPr>
      </w:pPr>
    </w:p>
    <w:p w14:paraId="6ED187D0" w14:textId="3A5DAE30" w:rsidR="00847223" w:rsidRPr="0018210D" w:rsidRDefault="00463102" w:rsidP="00847223">
      <w:pPr>
        <w:contextualSpacing/>
        <w:jc w:val="both"/>
        <w:rPr>
          <w:rFonts w:asciiTheme="majorHAnsi" w:hAnsiTheme="majorHAnsi" w:cstheme="majorHAnsi"/>
        </w:rPr>
      </w:pPr>
      <w:r w:rsidRPr="00463102">
        <w:rPr>
          <w:rFonts w:asciiTheme="majorHAnsi" w:hAnsiTheme="majorHAnsi" w:cstheme="majorHAnsi"/>
        </w:rPr>
        <w:t>La Dirección Ejecutiva de la Comisión de Regulación de Energía y Gas hace público los documentos asociados a la solicitud de agregación de tramos del sistema de transporte que presentó la empresa TGI S.A. E.S.P. en su solicitud tarifaria para establecer los cargos máximos tarifarios, conforme a</w:t>
      </w:r>
      <w:r>
        <w:rPr>
          <w:rFonts w:asciiTheme="majorHAnsi" w:hAnsiTheme="majorHAnsi" w:cstheme="majorHAnsi"/>
        </w:rPr>
        <w:t>l</w:t>
      </w:r>
      <w:r w:rsidR="00847223" w:rsidRPr="0018210D">
        <w:rPr>
          <w:rFonts w:asciiTheme="majorHAnsi" w:hAnsiTheme="majorHAnsi" w:cstheme="majorHAnsi"/>
        </w:rPr>
        <w:t xml:space="preserve"> literal c) del artículo 29 de la Resolución CREG 175 de 2021, </w:t>
      </w:r>
      <w:r>
        <w:rPr>
          <w:rFonts w:asciiTheme="majorHAnsi" w:hAnsiTheme="majorHAnsi" w:cstheme="majorHAnsi"/>
        </w:rPr>
        <w:t>qu</w:t>
      </w:r>
      <w:r w:rsidR="002A24A4">
        <w:rPr>
          <w:rFonts w:asciiTheme="majorHAnsi" w:hAnsiTheme="majorHAnsi" w:cstheme="majorHAnsi"/>
        </w:rPr>
        <w:t>e</w:t>
      </w:r>
      <w:r w:rsidR="00847223" w:rsidRPr="0018210D">
        <w:rPr>
          <w:rFonts w:asciiTheme="majorHAnsi" w:hAnsiTheme="majorHAnsi" w:cstheme="majorHAnsi"/>
        </w:rPr>
        <w:t xml:space="preserve"> señala</w:t>
      </w:r>
      <w:r>
        <w:rPr>
          <w:rFonts w:asciiTheme="majorHAnsi" w:hAnsiTheme="majorHAnsi" w:cstheme="majorHAnsi"/>
        </w:rPr>
        <w:t xml:space="preserve"> lo siguiente</w:t>
      </w:r>
      <w:r w:rsidR="00847223" w:rsidRPr="0018210D">
        <w:rPr>
          <w:rFonts w:asciiTheme="majorHAnsi" w:hAnsiTheme="majorHAnsi" w:cstheme="majorHAnsi"/>
        </w:rPr>
        <w:t>:</w:t>
      </w:r>
    </w:p>
    <w:p w14:paraId="77542DD8" w14:textId="77777777" w:rsidR="00847223" w:rsidRPr="00463102" w:rsidRDefault="00847223" w:rsidP="00463102">
      <w:pPr>
        <w:pStyle w:val="Prrafodelista"/>
        <w:ind w:left="567"/>
        <w:rPr>
          <w:rFonts w:asciiTheme="majorHAnsi" w:hAnsiTheme="majorHAnsi" w:cstheme="majorHAnsi"/>
          <w:i/>
          <w:iCs/>
          <w:sz w:val="20"/>
        </w:rPr>
      </w:pPr>
      <w:r w:rsidRPr="00463102">
        <w:rPr>
          <w:rFonts w:asciiTheme="majorHAnsi" w:hAnsiTheme="majorHAnsi" w:cstheme="majorHAnsi"/>
          <w:i/>
          <w:iCs/>
          <w:sz w:val="20"/>
        </w:rPr>
        <w:t>“c) Procedimiento: El procedimiento a seguir para la agregación o seccionamiento de tramos es como sigue:</w:t>
      </w:r>
    </w:p>
    <w:p w14:paraId="736FBE43" w14:textId="77777777" w:rsidR="00847223" w:rsidRPr="00463102" w:rsidRDefault="00847223" w:rsidP="00847223">
      <w:pPr>
        <w:pStyle w:val="NormalWeb"/>
        <w:spacing w:before="0" w:beforeAutospacing="0" w:after="0" w:afterAutospacing="0" w:line="240" w:lineRule="auto"/>
        <w:rPr>
          <w:i/>
          <w:iCs/>
          <w:sz w:val="20"/>
          <w:szCs w:val="20"/>
          <w:lang w:val="es-CO"/>
        </w:rPr>
      </w:pPr>
    </w:p>
    <w:p w14:paraId="20E307DA" w14:textId="77777777" w:rsidR="00847223" w:rsidRPr="00463102" w:rsidRDefault="00847223" w:rsidP="00463102">
      <w:pPr>
        <w:pStyle w:val="NormalWeb"/>
        <w:numPr>
          <w:ilvl w:val="0"/>
          <w:numId w:val="1"/>
        </w:numPr>
        <w:spacing w:before="0" w:beforeAutospacing="0" w:after="0" w:afterAutospacing="0" w:line="240" w:lineRule="auto"/>
        <w:ind w:left="993" w:hanging="219"/>
        <w:rPr>
          <w:rFonts w:asciiTheme="majorHAnsi" w:hAnsiTheme="majorHAnsi" w:cstheme="majorHAnsi"/>
          <w:i/>
          <w:iCs/>
          <w:sz w:val="20"/>
          <w:szCs w:val="20"/>
          <w:lang w:val="es-CO"/>
        </w:rPr>
      </w:pPr>
      <w:r w:rsidRPr="00463102">
        <w:rPr>
          <w:rFonts w:asciiTheme="majorHAnsi" w:hAnsiTheme="majorHAnsi" w:cstheme="majorHAnsi"/>
          <w:i/>
          <w:iCs/>
          <w:sz w:val="20"/>
          <w:szCs w:val="20"/>
          <w:lang w:val="es-CO"/>
        </w:rPr>
        <w:t>La CREG evaluará la conveniencia de la agregación o seccionamiento de tramos.</w:t>
      </w:r>
    </w:p>
    <w:p w14:paraId="40B1053F" w14:textId="77777777" w:rsidR="00847223" w:rsidRPr="00463102" w:rsidRDefault="00847223" w:rsidP="00463102">
      <w:pPr>
        <w:pStyle w:val="Prrafodelista"/>
        <w:numPr>
          <w:ilvl w:val="0"/>
          <w:numId w:val="1"/>
        </w:numPr>
        <w:spacing w:before="240" w:after="60"/>
        <w:ind w:left="993" w:hanging="219"/>
        <w:rPr>
          <w:rFonts w:asciiTheme="majorHAnsi" w:hAnsiTheme="majorHAnsi" w:cstheme="majorHAnsi"/>
          <w:bCs/>
          <w:i/>
          <w:iCs/>
          <w:sz w:val="20"/>
        </w:rPr>
      </w:pPr>
      <w:r w:rsidRPr="00463102">
        <w:rPr>
          <w:rFonts w:asciiTheme="majorHAnsi" w:hAnsiTheme="majorHAnsi" w:cstheme="majorHAnsi"/>
          <w:bCs/>
          <w:i/>
          <w:iCs/>
          <w:sz w:val="20"/>
        </w:rPr>
        <w:t>El director ejecutivo de la CREG publicará, mediante circular, la información, análisis y los estudios de beneficio – costos disponibles.</w:t>
      </w:r>
    </w:p>
    <w:p w14:paraId="62230D90" w14:textId="77777777" w:rsidR="00847223" w:rsidRPr="00463102" w:rsidRDefault="00847223" w:rsidP="00463102">
      <w:pPr>
        <w:pStyle w:val="Prrafodelista"/>
        <w:numPr>
          <w:ilvl w:val="0"/>
          <w:numId w:val="1"/>
        </w:numPr>
        <w:spacing w:before="240" w:after="60"/>
        <w:ind w:left="993" w:hanging="219"/>
        <w:rPr>
          <w:rFonts w:asciiTheme="majorHAnsi" w:hAnsiTheme="majorHAnsi" w:cstheme="majorHAnsi"/>
          <w:bCs/>
          <w:i/>
          <w:iCs/>
          <w:sz w:val="20"/>
        </w:rPr>
      </w:pPr>
      <w:r w:rsidRPr="00463102">
        <w:rPr>
          <w:rFonts w:asciiTheme="majorHAnsi" w:hAnsiTheme="majorHAnsi" w:cstheme="majorHAnsi"/>
          <w:bCs/>
          <w:i/>
          <w:iCs/>
          <w:sz w:val="20"/>
        </w:rPr>
        <w:t xml:space="preserve">Durante los quince (15) días hábiles siguientes a la publicación de la circular de la CREG, los agentes productores, la demanda, usuarios, remitentes y demás interesados podrán enviar preguntas y comentarios a la CREG en relación con la información reportada en la Circular. </w:t>
      </w:r>
    </w:p>
    <w:p w14:paraId="75CC38AF" w14:textId="77777777" w:rsidR="00847223" w:rsidRPr="00463102" w:rsidRDefault="00847223" w:rsidP="00463102">
      <w:pPr>
        <w:pStyle w:val="Prrafodelista"/>
        <w:numPr>
          <w:ilvl w:val="0"/>
          <w:numId w:val="1"/>
        </w:numPr>
        <w:spacing w:before="240" w:after="60"/>
        <w:ind w:left="993" w:hanging="219"/>
        <w:rPr>
          <w:rFonts w:asciiTheme="majorHAnsi" w:hAnsiTheme="majorHAnsi" w:cstheme="majorHAnsi"/>
          <w:bCs/>
          <w:i/>
          <w:iCs/>
          <w:sz w:val="20"/>
        </w:rPr>
      </w:pPr>
      <w:r w:rsidRPr="00463102">
        <w:rPr>
          <w:rFonts w:asciiTheme="majorHAnsi" w:hAnsiTheme="majorHAnsi" w:cstheme="majorHAnsi"/>
          <w:bCs/>
          <w:i/>
          <w:iCs/>
          <w:sz w:val="20"/>
        </w:rPr>
        <w:t>De las preguntas y comentarios recibidos se dará traslado a la parte interesada en la agregación o seccionamiento de tramos regulatorios para que, en un término máximo de quince (15) días hábiles siguientes al recibo, envíe a la CREG sus comentarios y respuestas.</w:t>
      </w:r>
    </w:p>
    <w:p w14:paraId="36A77694" w14:textId="77777777" w:rsidR="00847223" w:rsidRPr="00463102" w:rsidRDefault="00847223" w:rsidP="00463102">
      <w:pPr>
        <w:pStyle w:val="Prrafodelista"/>
        <w:numPr>
          <w:ilvl w:val="0"/>
          <w:numId w:val="1"/>
        </w:numPr>
        <w:spacing w:before="240" w:after="60"/>
        <w:ind w:left="993" w:hanging="219"/>
        <w:rPr>
          <w:rFonts w:asciiTheme="majorHAnsi" w:hAnsiTheme="majorHAnsi" w:cstheme="majorHAnsi"/>
          <w:b/>
          <w:i/>
          <w:iCs/>
          <w:color w:val="000000"/>
          <w:sz w:val="20"/>
        </w:rPr>
      </w:pPr>
      <w:r w:rsidRPr="00463102">
        <w:rPr>
          <w:rFonts w:asciiTheme="majorHAnsi" w:hAnsiTheme="majorHAnsi" w:cstheme="majorHAnsi"/>
          <w:bCs/>
          <w:i/>
          <w:iCs/>
          <w:sz w:val="20"/>
        </w:rPr>
        <w:t>La CREG evaluará la información recibida, la confrontará con la disponible en la Comisión y hará los análisis correspondientes. Adicionalmente, podrá exigir explicaciones a la parte interesada para adoptar la decisión final.</w:t>
      </w:r>
      <w:r w:rsidRPr="00463102">
        <w:rPr>
          <w:rFonts w:asciiTheme="majorHAnsi" w:hAnsiTheme="majorHAnsi" w:cstheme="majorHAnsi"/>
          <w:b/>
          <w:i/>
          <w:iCs/>
          <w:color w:val="000000"/>
          <w:sz w:val="20"/>
        </w:rPr>
        <w:t xml:space="preserve"> </w:t>
      </w:r>
    </w:p>
    <w:p w14:paraId="517CDFE9" w14:textId="77777777" w:rsidR="00847223" w:rsidRPr="00463102" w:rsidRDefault="00847223" w:rsidP="00463102">
      <w:pPr>
        <w:pStyle w:val="Prrafodelista"/>
        <w:numPr>
          <w:ilvl w:val="0"/>
          <w:numId w:val="1"/>
        </w:numPr>
        <w:spacing w:before="240" w:after="60"/>
        <w:ind w:left="993" w:hanging="219"/>
        <w:rPr>
          <w:rFonts w:asciiTheme="majorHAnsi" w:hAnsiTheme="majorHAnsi" w:cstheme="majorHAnsi"/>
          <w:bCs/>
          <w:i/>
          <w:iCs/>
          <w:sz w:val="20"/>
        </w:rPr>
      </w:pPr>
      <w:r w:rsidRPr="00463102">
        <w:rPr>
          <w:rFonts w:asciiTheme="majorHAnsi" w:hAnsiTheme="majorHAnsi" w:cstheme="majorHAnsi"/>
          <w:bCs/>
          <w:i/>
          <w:iCs/>
          <w:sz w:val="20"/>
        </w:rPr>
        <w:lastRenderedPageBreak/>
        <w:t xml:space="preserve">La solicitud de agregación de tramos se puede hacer i) en la solicitud de cargos, el transportador incumbente podrá solicitar la agregación de tramos, teniendo en cuenta lo previsto en este artículo, ii) durante el período </w:t>
      </w:r>
      <w:r w:rsidRPr="007A6E50">
        <w:rPr>
          <w:rFonts w:asciiTheme="majorHAnsi" w:hAnsiTheme="majorHAnsi" w:cstheme="majorHAnsi"/>
          <w:bCs/>
          <w:i/>
          <w:iCs/>
          <w:sz w:val="20"/>
        </w:rPr>
        <w:t xml:space="preserve">tarifario </w:t>
      </w:r>
      <w:r w:rsidRPr="007A6E50">
        <w:rPr>
          <w:rFonts w:asciiTheme="majorHAnsi" w:hAnsiTheme="majorHAnsi" w:cstheme="majorHAnsi"/>
          <w:bCs/>
          <w:i/>
          <w:iCs/>
          <w:color w:val="000000"/>
          <w:sz w:val="20"/>
        </w:rPr>
        <w:t>vigente</w:t>
      </w:r>
      <w:r w:rsidRPr="00463102">
        <w:rPr>
          <w:rFonts w:asciiTheme="majorHAnsi" w:hAnsiTheme="majorHAnsi" w:cstheme="majorHAnsi"/>
          <w:bCs/>
          <w:i/>
          <w:iCs/>
          <w:sz w:val="20"/>
        </w:rPr>
        <w:t>, al menos un año antes a las revisiones tarifarias previstas en el Artículo 28 de la presente resolución”.</w:t>
      </w:r>
    </w:p>
    <w:p w14:paraId="0EDF8895" w14:textId="77777777" w:rsidR="00463102" w:rsidRDefault="00463102" w:rsidP="00847223">
      <w:pPr>
        <w:contextualSpacing/>
        <w:jc w:val="both"/>
        <w:rPr>
          <w:rFonts w:asciiTheme="majorHAnsi" w:hAnsiTheme="majorHAnsi" w:cstheme="majorHAnsi"/>
        </w:rPr>
      </w:pPr>
    </w:p>
    <w:p w14:paraId="1F25D2E3" w14:textId="2DB8353F" w:rsidR="00847223" w:rsidRPr="00A775B5" w:rsidRDefault="00847223" w:rsidP="00847223">
      <w:pPr>
        <w:contextualSpacing/>
        <w:jc w:val="both"/>
        <w:rPr>
          <w:rFonts w:asciiTheme="majorHAnsi" w:hAnsiTheme="majorHAnsi" w:cstheme="majorHAnsi"/>
        </w:rPr>
      </w:pPr>
      <w:r w:rsidRPr="00A775B5">
        <w:rPr>
          <w:rFonts w:asciiTheme="majorHAnsi" w:hAnsiTheme="majorHAnsi" w:cstheme="majorHAnsi"/>
        </w:rPr>
        <w:t xml:space="preserve">Durante los quince (15) días hábiles siguientes a la publicación de esta Circular, los terceros interesados podrán enviar </w:t>
      </w:r>
      <w:r w:rsidR="002A24A4" w:rsidRPr="00A775B5">
        <w:rPr>
          <w:rFonts w:asciiTheme="majorHAnsi" w:hAnsiTheme="majorHAnsi" w:cstheme="majorHAnsi"/>
        </w:rPr>
        <w:t>a la CREG en relación con la petición de agrupación de tramos</w:t>
      </w:r>
      <w:r w:rsidR="002A24A4">
        <w:rPr>
          <w:rFonts w:asciiTheme="majorHAnsi" w:hAnsiTheme="majorHAnsi" w:cstheme="majorHAnsi"/>
        </w:rPr>
        <w:t xml:space="preserve"> las</w:t>
      </w:r>
      <w:r w:rsidR="002A24A4" w:rsidRPr="00A775B5">
        <w:rPr>
          <w:rFonts w:asciiTheme="majorHAnsi" w:hAnsiTheme="majorHAnsi" w:cstheme="majorHAnsi"/>
        </w:rPr>
        <w:t xml:space="preserve"> </w:t>
      </w:r>
      <w:r w:rsidRPr="00A775B5">
        <w:rPr>
          <w:rFonts w:asciiTheme="majorHAnsi" w:hAnsiTheme="majorHAnsi" w:cstheme="majorHAnsi"/>
        </w:rPr>
        <w:t>preguntas, comentarios y análisis adicionales</w:t>
      </w:r>
      <w:r w:rsidR="00F032E9">
        <w:rPr>
          <w:rFonts w:asciiTheme="majorHAnsi" w:hAnsiTheme="majorHAnsi" w:cstheme="majorHAnsi"/>
        </w:rPr>
        <w:t xml:space="preserve"> utilizando el formato de comentarios</w:t>
      </w:r>
      <w:r w:rsidR="002A24A4">
        <w:rPr>
          <w:rFonts w:asciiTheme="majorHAnsi" w:hAnsiTheme="majorHAnsi" w:cstheme="majorHAnsi"/>
        </w:rPr>
        <w:t xml:space="preserve"> anexo a la presente,</w:t>
      </w:r>
      <w:r w:rsidR="00F032E9">
        <w:rPr>
          <w:rFonts w:asciiTheme="majorHAnsi" w:hAnsiTheme="majorHAnsi" w:cstheme="majorHAnsi"/>
        </w:rPr>
        <w:t xml:space="preserve"> e incluyendo los soportes que consideren pertinentes</w:t>
      </w:r>
      <w:r w:rsidR="002A24A4">
        <w:rPr>
          <w:rFonts w:asciiTheme="majorHAnsi" w:hAnsiTheme="majorHAnsi" w:cstheme="majorHAnsi"/>
        </w:rPr>
        <w:t>.</w:t>
      </w:r>
      <w:r w:rsidRPr="00A775B5">
        <w:rPr>
          <w:rFonts w:asciiTheme="majorHAnsi" w:hAnsiTheme="majorHAnsi" w:cstheme="majorHAnsi"/>
        </w:rPr>
        <w:t xml:space="preserve"> </w:t>
      </w:r>
    </w:p>
    <w:p w14:paraId="09180039" w14:textId="77777777" w:rsidR="00847223" w:rsidRPr="00A775B5" w:rsidRDefault="00847223" w:rsidP="00847223">
      <w:pPr>
        <w:contextualSpacing/>
        <w:jc w:val="both"/>
        <w:rPr>
          <w:rFonts w:asciiTheme="majorHAnsi" w:hAnsiTheme="majorHAnsi" w:cstheme="majorHAnsi"/>
        </w:rPr>
      </w:pPr>
    </w:p>
    <w:p w14:paraId="78CD2F32" w14:textId="77777777" w:rsidR="00847223" w:rsidRPr="00A775B5" w:rsidRDefault="00847223" w:rsidP="00847223">
      <w:pPr>
        <w:contextualSpacing/>
        <w:jc w:val="both"/>
        <w:rPr>
          <w:rFonts w:asciiTheme="majorHAnsi" w:hAnsiTheme="majorHAnsi" w:cstheme="majorHAnsi"/>
          <w:lang w:val="es-ES"/>
        </w:rPr>
      </w:pPr>
      <w:r w:rsidRPr="00A775B5">
        <w:rPr>
          <w:rFonts w:asciiTheme="majorHAnsi" w:hAnsiTheme="majorHAnsi" w:cstheme="majorHAnsi"/>
        </w:rPr>
        <w:t xml:space="preserve">De acuerdo con el numeral iv del literal c) del artículo 29 de la Resolución CREG 175 de 2021, de las preguntas y comentarios que se reciban se dará traslado al transportador para que, en el término máximo de (15) días hábiles siguientes al recibo de la comunicación correspondiente, </w:t>
      </w:r>
      <w:r w:rsidRPr="00A775B5">
        <w:rPr>
          <w:rFonts w:asciiTheme="majorHAnsi" w:hAnsiTheme="majorHAnsi" w:cstheme="majorHAnsi"/>
          <w:lang w:val="es-ES"/>
        </w:rPr>
        <w:t xml:space="preserve">el transportador se pronuncie por escrito al respecto. </w:t>
      </w:r>
    </w:p>
    <w:p w14:paraId="72987C9C" w14:textId="77777777" w:rsidR="00847223" w:rsidRPr="00A775B5" w:rsidRDefault="00847223" w:rsidP="00847223">
      <w:pPr>
        <w:contextualSpacing/>
        <w:jc w:val="both"/>
        <w:rPr>
          <w:rFonts w:asciiTheme="majorHAnsi" w:hAnsiTheme="majorHAnsi" w:cstheme="majorHAnsi"/>
          <w:lang w:val="es-ES"/>
        </w:rPr>
      </w:pPr>
    </w:p>
    <w:p w14:paraId="5EF158CB" w14:textId="25D6DB04" w:rsidR="00847223" w:rsidRPr="00A775B5" w:rsidRDefault="00847223" w:rsidP="00847223">
      <w:pPr>
        <w:contextualSpacing/>
        <w:jc w:val="both"/>
        <w:rPr>
          <w:rFonts w:asciiTheme="majorHAnsi" w:hAnsiTheme="majorHAnsi" w:cstheme="majorHAnsi"/>
          <w:lang w:val="es-ES"/>
        </w:rPr>
      </w:pPr>
      <w:r w:rsidRPr="00A775B5">
        <w:rPr>
          <w:rFonts w:asciiTheme="majorHAnsi" w:hAnsiTheme="majorHAnsi" w:cstheme="majorHAnsi"/>
          <w:lang w:val="es-ES"/>
        </w:rPr>
        <w:t xml:space="preserve">Las preguntas o comentarios deben ser enviados al correo </w:t>
      </w:r>
      <w:hyperlink r:id="rId11" w:history="1">
        <w:r w:rsidRPr="00A775B5">
          <w:rPr>
            <w:rStyle w:val="Hipervnculo"/>
            <w:rFonts w:asciiTheme="majorHAnsi" w:hAnsiTheme="majorHAnsi" w:cstheme="majorHAnsi"/>
            <w:lang w:val="es-ES"/>
          </w:rPr>
          <w:t>creg@creg.gov.co</w:t>
        </w:r>
      </w:hyperlink>
      <w:r w:rsidRPr="00A775B5">
        <w:rPr>
          <w:rFonts w:asciiTheme="majorHAnsi" w:hAnsiTheme="majorHAnsi" w:cstheme="majorHAnsi"/>
          <w:lang w:val="es-ES"/>
        </w:rPr>
        <w:t xml:space="preserve"> con el asunto “comentarios al documento de TGI S.A. E.S.P. de </w:t>
      </w:r>
      <w:r w:rsidR="002A24A4" w:rsidRPr="00A775B5">
        <w:rPr>
          <w:rFonts w:asciiTheme="majorHAnsi" w:hAnsiTheme="majorHAnsi" w:cstheme="majorHAnsi"/>
          <w:lang w:val="es-ES"/>
        </w:rPr>
        <w:t>agrega</w:t>
      </w:r>
      <w:r w:rsidR="002A24A4">
        <w:rPr>
          <w:rFonts w:asciiTheme="majorHAnsi" w:hAnsiTheme="majorHAnsi" w:cstheme="majorHAnsi"/>
          <w:lang w:val="es-ES"/>
        </w:rPr>
        <w:t>ción</w:t>
      </w:r>
      <w:r w:rsidR="002A24A4" w:rsidRPr="00A775B5">
        <w:rPr>
          <w:rFonts w:asciiTheme="majorHAnsi" w:hAnsiTheme="majorHAnsi" w:cstheme="majorHAnsi"/>
          <w:lang w:val="es-ES"/>
        </w:rPr>
        <w:t xml:space="preserve"> </w:t>
      </w:r>
      <w:r w:rsidRPr="00A775B5">
        <w:rPr>
          <w:rFonts w:asciiTheme="majorHAnsi" w:hAnsiTheme="majorHAnsi" w:cstheme="majorHAnsi"/>
          <w:lang w:val="es-ES"/>
        </w:rPr>
        <w:t>de tramos”.</w:t>
      </w:r>
    </w:p>
    <w:p w14:paraId="5CF7E72D" w14:textId="77777777" w:rsidR="00BA6D78" w:rsidRDefault="00BA6D78" w:rsidP="00BA6D78">
      <w:pPr>
        <w:pStyle w:val="Textoindependiente"/>
        <w:spacing w:after="0" w:line="240" w:lineRule="auto"/>
        <w:rPr>
          <w:rFonts w:cs="Arial"/>
          <w:sz w:val="22"/>
          <w:szCs w:val="22"/>
        </w:rPr>
      </w:pPr>
    </w:p>
    <w:p w14:paraId="2D6C9818" w14:textId="77777777" w:rsidR="00BA6D78" w:rsidRDefault="00BA6D78" w:rsidP="00BA6D78">
      <w:pPr>
        <w:pStyle w:val="Textoindependiente"/>
        <w:spacing w:after="0" w:line="240" w:lineRule="auto"/>
        <w:rPr>
          <w:rFonts w:cs="Arial"/>
          <w:sz w:val="22"/>
          <w:szCs w:val="22"/>
        </w:rPr>
      </w:pPr>
      <w:r>
        <w:rPr>
          <w:rFonts w:cs="Arial"/>
          <w:sz w:val="22"/>
          <w:szCs w:val="22"/>
        </w:rPr>
        <w:t>Cordialmente,</w:t>
      </w:r>
    </w:p>
    <w:p w14:paraId="5D3B937D" w14:textId="77777777" w:rsidR="00BA6D78" w:rsidRDefault="00BA6D78" w:rsidP="00BA6D78">
      <w:pPr>
        <w:pStyle w:val="Textoindependiente"/>
        <w:spacing w:after="0" w:line="240" w:lineRule="auto"/>
        <w:rPr>
          <w:rFonts w:cs="Arial"/>
          <w:sz w:val="22"/>
          <w:szCs w:val="22"/>
        </w:rPr>
      </w:pPr>
    </w:p>
    <w:p w14:paraId="67BB6C63" w14:textId="609A97CA" w:rsidR="00416489" w:rsidRDefault="00416489" w:rsidP="00416489">
      <w:pPr>
        <w:pStyle w:val="Textoindependiente"/>
        <w:spacing w:after="0" w:line="360" w:lineRule="auto"/>
        <w:contextualSpacing/>
        <w:jc w:val="center"/>
        <w:rPr>
          <w:rFonts w:asciiTheme="majorHAnsi" w:hAnsiTheme="majorHAnsi" w:cstheme="majorHAnsi"/>
          <w:sz w:val="24"/>
          <w:szCs w:val="24"/>
        </w:rPr>
      </w:pPr>
      <w:r>
        <w:rPr>
          <w:rFonts w:asciiTheme="majorHAnsi" w:hAnsiTheme="majorHAnsi" w:cstheme="majorHAnsi"/>
          <w:sz w:val="24"/>
          <w:szCs w:val="24"/>
        </w:rPr>
        <w:t>JOSE FERNANDO PRADA</w:t>
      </w:r>
      <w:r w:rsidR="007A6E50">
        <w:rPr>
          <w:rFonts w:asciiTheme="majorHAnsi" w:hAnsiTheme="majorHAnsi" w:cstheme="majorHAnsi"/>
          <w:sz w:val="24"/>
          <w:szCs w:val="24"/>
        </w:rPr>
        <w:t xml:space="preserve"> RÍOS</w:t>
      </w:r>
    </w:p>
    <w:p w14:paraId="0823411E" w14:textId="77DD0A29" w:rsidR="007A6E50" w:rsidRPr="0018210D" w:rsidRDefault="007A6E50" w:rsidP="00416489">
      <w:pPr>
        <w:pStyle w:val="Textoindependiente"/>
        <w:spacing w:after="0" w:line="360" w:lineRule="auto"/>
        <w:contextualSpacing/>
        <w:jc w:val="center"/>
        <w:rPr>
          <w:rFonts w:asciiTheme="majorHAnsi" w:hAnsiTheme="majorHAnsi" w:cstheme="majorHAnsi"/>
          <w:sz w:val="24"/>
          <w:szCs w:val="24"/>
        </w:rPr>
      </w:pPr>
      <w:r>
        <w:rPr>
          <w:rFonts w:asciiTheme="majorHAnsi" w:hAnsiTheme="majorHAnsi" w:cstheme="majorHAnsi"/>
          <w:sz w:val="24"/>
          <w:szCs w:val="24"/>
        </w:rPr>
        <w:t>Director Ejecutivo</w:t>
      </w:r>
    </w:p>
    <w:p w14:paraId="5C28B169" w14:textId="77777777" w:rsidR="00BA6D78" w:rsidRDefault="00BA6D78" w:rsidP="00BA6D78">
      <w:pPr>
        <w:pStyle w:val="Textoindependiente"/>
        <w:spacing w:after="0" w:line="240" w:lineRule="auto"/>
        <w:rPr>
          <w:rFonts w:cs="Arial"/>
        </w:rPr>
      </w:pPr>
    </w:p>
    <w:p w14:paraId="713319D2" w14:textId="65328E41" w:rsidR="008066FD" w:rsidRPr="00BA6D78" w:rsidRDefault="00BA6D78" w:rsidP="00BA6D78">
      <w:pPr>
        <w:pStyle w:val="Textoindependiente"/>
        <w:spacing w:after="0" w:line="240" w:lineRule="auto"/>
        <w:rPr>
          <w:rFonts w:cs="Arial"/>
        </w:rPr>
      </w:pPr>
      <w:r>
        <w:rPr>
          <w:rFonts w:cs="Arial"/>
        </w:rPr>
        <w:t>Anexo</w:t>
      </w:r>
      <w:r w:rsidR="00416489">
        <w:rPr>
          <w:rFonts w:cs="Arial"/>
        </w:rPr>
        <w:t>s</w:t>
      </w:r>
      <w:r>
        <w:rPr>
          <w:rFonts w:cs="Arial"/>
        </w:rPr>
        <w:t xml:space="preserve">: </w:t>
      </w:r>
      <w:r w:rsidR="00F032E9">
        <w:rPr>
          <w:rFonts w:cs="Arial"/>
        </w:rPr>
        <w:t xml:space="preserve">Formato de comentarios, </w:t>
      </w:r>
      <w:r w:rsidR="00416489">
        <w:rPr>
          <w:rFonts w:cs="Arial"/>
        </w:rPr>
        <w:t xml:space="preserve">solicitud, presentación y hojas de cálculo soportes </w:t>
      </w:r>
    </w:p>
    <w:sectPr w:rsidR="008066FD" w:rsidRPr="00BA6D78" w:rsidSect="008B0943">
      <w:headerReference w:type="default" r:id="rId12"/>
      <w:footerReference w:type="default" r:id="rId13"/>
      <w:headerReference w:type="first" r:id="rId14"/>
      <w:footerReference w:type="first" r:id="rId15"/>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8295D" w14:textId="77777777" w:rsidR="006179DB" w:rsidRDefault="006179DB" w:rsidP="00AA0519">
      <w:r>
        <w:separator/>
      </w:r>
    </w:p>
  </w:endnote>
  <w:endnote w:type="continuationSeparator" w:id="0">
    <w:p w14:paraId="661F506D" w14:textId="77777777" w:rsidR="006179DB" w:rsidRDefault="006179DB"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66432"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1ED06985" w:rsidR="003F2F4B" w:rsidRDefault="003B1FEC" w:rsidP="003F2F4B">
    <w:pPr>
      <w:jc w:val="center"/>
    </w:pPr>
    <w:r>
      <w:rPr>
        <w:noProof/>
      </w:rPr>
      <w:drawing>
        <wp:anchor distT="0" distB="0" distL="114300" distR="114300" simplePos="0" relativeHeight="251664384"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66F7" w14:textId="77777777" w:rsidR="006179DB" w:rsidRDefault="006179DB" w:rsidP="00AA0519">
      <w:r>
        <w:separator/>
      </w:r>
    </w:p>
  </w:footnote>
  <w:footnote w:type="continuationSeparator" w:id="0">
    <w:p w14:paraId="04C0E0DD" w14:textId="77777777" w:rsidR="006179DB" w:rsidRDefault="006179DB"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5CFA" w14:textId="665076FA" w:rsidR="004B44BF" w:rsidRDefault="004B44BF" w:rsidP="008C0A5F">
    <w:pPr>
      <w:pStyle w:val="Destinario"/>
      <w:spacing w:before="240"/>
      <w:ind w:left="708" w:hanging="708"/>
      <w:rPr>
        <w:sz w:val="22"/>
        <w:szCs w:val="22"/>
      </w:rPr>
    </w:pPr>
    <w:r>
      <w:rPr>
        <w:noProof/>
      </w:rPr>
      <w:drawing>
        <wp:anchor distT="0" distB="0" distL="114300" distR="114300" simplePos="0" relativeHeight="251669504" behindDoc="1" locked="0" layoutInCell="1" allowOverlap="1" wp14:anchorId="41B2B196" wp14:editId="308C8C11">
          <wp:simplePos x="0" y="0"/>
          <wp:positionH relativeFrom="column">
            <wp:posOffset>3284220</wp:posOffset>
          </wp:positionH>
          <wp:positionV relativeFrom="paragraph">
            <wp:posOffset>-600710</wp:posOffset>
          </wp:positionV>
          <wp:extent cx="3345815" cy="527685"/>
          <wp:effectExtent l="0" t="0" r="6985" b="5715"/>
          <wp:wrapNone/>
          <wp:docPr id="3"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45815" cy="527685"/>
                  </a:xfrm>
                  <a:prstGeom prst="rect">
                    <a:avLst/>
                  </a:prstGeom>
                </pic:spPr>
              </pic:pic>
            </a:graphicData>
          </a:graphic>
          <wp14:sizeRelH relativeFrom="page">
            <wp14:pctWidth>0</wp14:pctWidth>
          </wp14:sizeRelH>
          <wp14:sizeRelV relativeFrom="page">
            <wp14:pctHeight>0</wp14:pctHeight>
          </wp14:sizeRelV>
        </wp:anchor>
      </w:drawing>
    </w:r>
    <w:r w:rsidRPr="00C9169C">
      <w:rPr>
        <w:rStyle w:val="DestinatariosegundapginaCar"/>
        <w:noProof/>
        <w:sz w:val="20"/>
        <w:szCs w:val="20"/>
      </w:rPr>
      <w:drawing>
        <wp:anchor distT="0" distB="0" distL="114300" distR="114300" simplePos="0" relativeHeight="251659264" behindDoc="1" locked="0" layoutInCell="1" allowOverlap="1" wp14:anchorId="012A5AF7" wp14:editId="56A4E66E">
          <wp:simplePos x="0" y="0"/>
          <wp:positionH relativeFrom="column">
            <wp:posOffset>-366395</wp:posOffset>
          </wp:positionH>
          <wp:positionV relativeFrom="paragraph">
            <wp:posOffset>-545465</wp:posOffset>
          </wp:positionV>
          <wp:extent cx="1104900" cy="618490"/>
          <wp:effectExtent l="0" t="0" r="0" b="0"/>
          <wp:wrapNone/>
          <wp:docPr id="30" name="Imagen 30"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p w14:paraId="7A82233E" w14:textId="77777777" w:rsidR="004B44BF" w:rsidRDefault="004B44BF" w:rsidP="008C0A5F">
    <w:pPr>
      <w:pStyle w:val="Destinario"/>
      <w:spacing w:before="240"/>
      <w:ind w:left="708" w:hanging="708"/>
      <w:rPr>
        <w:sz w:val="22"/>
        <w:szCs w:val="22"/>
      </w:rPr>
    </w:pPr>
  </w:p>
  <w:p w14:paraId="4B188324" w14:textId="317E0F7F" w:rsidR="003F2F4B" w:rsidRPr="008C0A5F" w:rsidRDefault="003F2F4B" w:rsidP="008C0A5F">
    <w:pPr>
      <w:pStyle w:val="Destinario"/>
      <w:spacing w:before="240"/>
      <w:ind w:left="708" w:hanging="708"/>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48E7994E" w:rsidR="00F82573" w:rsidRDefault="00902889" w:rsidP="005B5736">
    <w:pPr>
      <w:pStyle w:val="Encabezado"/>
      <w:tabs>
        <w:tab w:val="clear" w:pos="4419"/>
        <w:tab w:val="left" w:pos="7274"/>
      </w:tabs>
      <w:ind w:right="-1369"/>
    </w:pPr>
    <w:r>
      <w:rPr>
        <w:noProof/>
      </w:rPr>
      <w:drawing>
        <wp:anchor distT="0" distB="0" distL="114300" distR="114300" simplePos="0" relativeHeight="251667456" behindDoc="1" locked="0" layoutInCell="1" allowOverlap="1" wp14:anchorId="77F127B7" wp14:editId="190BA8CC">
          <wp:simplePos x="0" y="0"/>
          <wp:positionH relativeFrom="column">
            <wp:posOffset>3197951</wp:posOffset>
          </wp:positionH>
          <wp:positionV relativeFrom="paragraph">
            <wp:posOffset>-297180</wp:posOffset>
          </wp:positionV>
          <wp:extent cx="3345815" cy="527685"/>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45815" cy="527685"/>
                  </a:xfrm>
                  <a:prstGeom prst="rect">
                    <a:avLst/>
                  </a:prstGeom>
                </pic:spPr>
              </pic:pic>
            </a:graphicData>
          </a:graphic>
          <wp14:sizeRelH relativeFrom="page">
            <wp14:pctWidth>0</wp14:pctWidth>
          </wp14:sizeRelH>
          <wp14:sizeRelV relativeFrom="page">
            <wp14:pctHeight>0</wp14:pctHeight>
          </wp14:sizeRelV>
        </wp:anchor>
      </w:drawing>
    </w:r>
    <w:r w:rsidR="00401E61">
      <w:rPr>
        <w:noProof/>
      </w:rPr>
      <w:t xml:space="preserve">                                   </w:t>
    </w:r>
    <w:r w:rsidR="00F82573">
      <w:rPr>
        <w:noProof/>
      </w:rPr>
      <w:drawing>
        <wp:anchor distT="0" distB="0" distL="114300" distR="114300" simplePos="0" relativeHeight="251655168" behindDoc="1" locked="0" layoutInCell="1" allowOverlap="1" wp14:anchorId="12C51612" wp14:editId="21CF4D24">
          <wp:simplePos x="0" y="0"/>
          <wp:positionH relativeFrom="column">
            <wp:posOffset>-481330</wp:posOffset>
          </wp:positionH>
          <wp:positionV relativeFrom="paragraph">
            <wp:posOffset>-346710</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70567"/>
    <w:multiLevelType w:val="hybridMultilevel"/>
    <w:tmpl w:val="8612E00A"/>
    <w:lvl w:ilvl="0" w:tplc="97A0686C">
      <w:start w:val="1"/>
      <w:numFmt w:val="lowerRoman"/>
      <w:lvlText w:val="%1."/>
      <w:lvlJc w:val="right"/>
      <w:pPr>
        <w:ind w:left="144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4798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1EC2"/>
    <w:rsid w:val="00040E20"/>
    <w:rsid w:val="00046BDF"/>
    <w:rsid w:val="00071BA7"/>
    <w:rsid w:val="00074D17"/>
    <w:rsid w:val="000B439A"/>
    <w:rsid w:val="000F11F6"/>
    <w:rsid w:val="000F38B4"/>
    <w:rsid w:val="001215BB"/>
    <w:rsid w:val="00124C31"/>
    <w:rsid w:val="0014353D"/>
    <w:rsid w:val="00153BE7"/>
    <w:rsid w:val="001E2DD2"/>
    <w:rsid w:val="001F303A"/>
    <w:rsid w:val="001F47AB"/>
    <w:rsid w:val="00212267"/>
    <w:rsid w:val="0024085D"/>
    <w:rsid w:val="00262933"/>
    <w:rsid w:val="002A24A4"/>
    <w:rsid w:val="002C26C3"/>
    <w:rsid w:val="002D3428"/>
    <w:rsid w:val="00324760"/>
    <w:rsid w:val="00353D1D"/>
    <w:rsid w:val="0035632E"/>
    <w:rsid w:val="00361DFF"/>
    <w:rsid w:val="0038014E"/>
    <w:rsid w:val="003A7FC9"/>
    <w:rsid w:val="003B1FEC"/>
    <w:rsid w:val="003C7E1C"/>
    <w:rsid w:val="003F2F4B"/>
    <w:rsid w:val="00401E61"/>
    <w:rsid w:val="004142B1"/>
    <w:rsid w:val="00416489"/>
    <w:rsid w:val="004170AF"/>
    <w:rsid w:val="00456720"/>
    <w:rsid w:val="00457CC2"/>
    <w:rsid w:val="00463102"/>
    <w:rsid w:val="00483D6B"/>
    <w:rsid w:val="004A6CAB"/>
    <w:rsid w:val="004B44BF"/>
    <w:rsid w:val="004C0855"/>
    <w:rsid w:val="004C69B7"/>
    <w:rsid w:val="004E017D"/>
    <w:rsid w:val="00515BEF"/>
    <w:rsid w:val="0053330D"/>
    <w:rsid w:val="005604AC"/>
    <w:rsid w:val="005723D7"/>
    <w:rsid w:val="00587F12"/>
    <w:rsid w:val="005A4453"/>
    <w:rsid w:val="005B4F83"/>
    <w:rsid w:val="005B53D9"/>
    <w:rsid w:val="005B5736"/>
    <w:rsid w:val="005C287A"/>
    <w:rsid w:val="005C42EC"/>
    <w:rsid w:val="005D7D66"/>
    <w:rsid w:val="005E366C"/>
    <w:rsid w:val="005F6877"/>
    <w:rsid w:val="00602072"/>
    <w:rsid w:val="006179DB"/>
    <w:rsid w:val="00651863"/>
    <w:rsid w:val="006629AD"/>
    <w:rsid w:val="006E1726"/>
    <w:rsid w:val="006E22E8"/>
    <w:rsid w:val="00717096"/>
    <w:rsid w:val="007247FF"/>
    <w:rsid w:val="00735E1F"/>
    <w:rsid w:val="0074199A"/>
    <w:rsid w:val="00752DEC"/>
    <w:rsid w:val="00762CBD"/>
    <w:rsid w:val="0078631A"/>
    <w:rsid w:val="007A6E50"/>
    <w:rsid w:val="007A7C1D"/>
    <w:rsid w:val="007F42E3"/>
    <w:rsid w:val="007F4E31"/>
    <w:rsid w:val="008066FD"/>
    <w:rsid w:val="00811AFA"/>
    <w:rsid w:val="00823401"/>
    <w:rsid w:val="00847223"/>
    <w:rsid w:val="00847FE4"/>
    <w:rsid w:val="008776E3"/>
    <w:rsid w:val="008B0943"/>
    <w:rsid w:val="008C0A5F"/>
    <w:rsid w:val="00902889"/>
    <w:rsid w:val="00930F73"/>
    <w:rsid w:val="00957BE3"/>
    <w:rsid w:val="00976702"/>
    <w:rsid w:val="009A3312"/>
    <w:rsid w:val="009E7865"/>
    <w:rsid w:val="009F3478"/>
    <w:rsid w:val="009F5428"/>
    <w:rsid w:val="00A15CDD"/>
    <w:rsid w:val="00A15D55"/>
    <w:rsid w:val="00A775B5"/>
    <w:rsid w:val="00A84924"/>
    <w:rsid w:val="00A90A86"/>
    <w:rsid w:val="00A92B44"/>
    <w:rsid w:val="00AA0519"/>
    <w:rsid w:val="00AA7A5F"/>
    <w:rsid w:val="00B37FAA"/>
    <w:rsid w:val="00B74DFE"/>
    <w:rsid w:val="00BA6D78"/>
    <w:rsid w:val="00BE036B"/>
    <w:rsid w:val="00C20142"/>
    <w:rsid w:val="00C81E1F"/>
    <w:rsid w:val="00C9169C"/>
    <w:rsid w:val="00C93328"/>
    <w:rsid w:val="00CB3666"/>
    <w:rsid w:val="00CD6394"/>
    <w:rsid w:val="00CE66F4"/>
    <w:rsid w:val="00D31768"/>
    <w:rsid w:val="00D754A1"/>
    <w:rsid w:val="00D915DC"/>
    <w:rsid w:val="00DF6824"/>
    <w:rsid w:val="00DF79E2"/>
    <w:rsid w:val="00E035CC"/>
    <w:rsid w:val="00E56853"/>
    <w:rsid w:val="00E77923"/>
    <w:rsid w:val="00EC5291"/>
    <w:rsid w:val="00F02D43"/>
    <w:rsid w:val="00F032E9"/>
    <w:rsid w:val="00F13D47"/>
    <w:rsid w:val="00F35EFC"/>
    <w:rsid w:val="00F66BF3"/>
    <w:rsid w:val="00F80B1D"/>
    <w:rsid w:val="00F82573"/>
    <w:rsid w:val="00FA6661"/>
    <w:rsid w:val="00FB07C1"/>
    <w:rsid w:val="00FC759B"/>
    <w:rsid w:val="00FD2A8B"/>
    <w:rsid w:val="00FD72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nhideWhenUsed/>
    <w:qFormat/>
    <w:rsid w:val="006E17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rsid w:val="006E1726"/>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semiHidden/>
    <w:unhideWhenUsed/>
    <w:rsid w:val="00BA6D78"/>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semiHidden/>
    <w:rsid w:val="00BA6D78"/>
    <w:rPr>
      <w:rFonts w:eastAsiaTheme="minorEastAsia"/>
      <w:lang w:val="es-ES_tradnl"/>
    </w:rPr>
  </w:style>
  <w:style w:type="character" w:styleId="Hipervnculo">
    <w:name w:val="Hyperlink"/>
    <w:basedOn w:val="Fuentedeprrafopredeter"/>
    <w:uiPriority w:val="99"/>
    <w:unhideWhenUsed/>
    <w:rsid w:val="00847223"/>
    <w:rPr>
      <w:color w:val="0563C1" w:themeColor="hyperlink"/>
      <w:u w:val="single"/>
    </w:rPr>
  </w:style>
  <w:style w:type="paragraph" w:styleId="Prrafodelista">
    <w:name w:val="List Paragraph"/>
    <w:basedOn w:val="Normal"/>
    <w:next w:val="NormalWeb"/>
    <w:link w:val="PrrafodelistaCar"/>
    <w:qFormat/>
    <w:rsid w:val="00847223"/>
    <w:pPr>
      <w:spacing w:before="0" w:after="0" w:line="240" w:lineRule="auto"/>
      <w:ind w:left="708"/>
      <w:jc w:val="both"/>
    </w:pPr>
    <w:rPr>
      <w:rFonts w:ascii="Bookman Old Style" w:eastAsia="Times New Roman" w:hAnsi="Bookman Old Style" w:cs="Times New Roman"/>
      <w:szCs w:val="20"/>
      <w:lang w:eastAsia="es-ES"/>
    </w:rPr>
  </w:style>
  <w:style w:type="character" w:customStyle="1" w:styleId="PrrafodelistaCar">
    <w:name w:val="Párrafo de lista Car"/>
    <w:link w:val="Prrafodelista"/>
    <w:rsid w:val="00847223"/>
    <w:rPr>
      <w:rFonts w:ascii="Bookman Old Style" w:eastAsia="Times New Roman" w:hAnsi="Bookman Old Style" w:cs="Times New Roman"/>
      <w:szCs w:val="20"/>
      <w:lang w:eastAsia="es-ES"/>
    </w:rPr>
  </w:style>
  <w:style w:type="paragraph" w:styleId="NormalWeb">
    <w:name w:val="Normal (Web)"/>
    <w:basedOn w:val="Normal"/>
    <w:uiPriority w:val="99"/>
    <w:rsid w:val="00847223"/>
    <w:pPr>
      <w:widowControl w:val="0"/>
      <w:adjustRightInd w:val="0"/>
      <w:spacing w:before="100" w:beforeAutospacing="1" w:after="100" w:afterAutospacing="1" w:line="360" w:lineRule="atLeast"/>
      <w:jc w:val="both"/>
      <w:textAlignment w:val="baseline"/>
    </w:pPr>
    <w:rPr>
      <w:rFonts w:ascii="Bookman Old Style" w:eastAsia="Times New Roman" w:hAnsi="Bookman Old Style" w:cs="Times New Roman"/>
      <w:lang w:val="es-ES" w:eastAsia="es-ES"/>
    </w:rPr>
  </w:style>
  <w:style w:type="paragraph" w:styleId="Revisin">
    <w:name w:val="Revision"/>
    <w:hidden/>
    <w:uiPriority w:val="99"/>
    <w:semiHidden/>
    <w:rsid w:val="002A24A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g@creg.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8cd00a-7ed1-45f4-a1d2-11fa5d528c74">
      <Terms xmlns="http://schemas.microsoft.com/office/infopath/2007/PartnerControls"/>
    </lcf76f155ced4ddcb4097134ff3c332f>
    <TaxCatchAll xmlns="b34339ab-555d-41ee-a400-3aa7e74f92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7" ma:contentTypeDescription="Crear nuevo documento." ma:contentTypeScope="" ma:versionID="59b90880f03b7b6cca8678876d295d85">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d608b91df8c9bec5f370e44e4f621b0f"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a4e612de-b658-42e2-a180-6e7e5b079436}" ma:internalName="TaxCatchAll" ma:showField="CatchAllData" ma:web="b34339ab-555d-41ee-a400-3aa7e74f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D33E5-835F-410E-9D33-9C29BE01D564}">
  <ds:schemaRefs>
    <ds:schemaRef ds:uri="http://schemas.microsoft.com/sharepoint/v3/contenttype/forms"/>
  </ds:schemaRefs>
</ds:datastoreItem>
</file>

<file path=customXml/itemProps2.xml><?xml version="1.0" encoding="utf-8"?>
<ds:datastoreItem xmlns:ds="http://schemas.openxmlformats.org/officeDocument/2006/customXml" ds:itemID="{2B0B4537-2F6D-43CF-9556-D846CEFC01AC}">
  <ds:schemaRefs>
    <ds:schemaRef ds:uri="http://schemas.microsoft.com/office/2006/metadata/properties"/>
    <ds:schemaRef ds:uri="http://schemas.microsoft.com/office/infopath/2007/PartnerControls"/>
    <ds:schemaRef ds:uri="1f8cd00a-7ed1-45f4-a1d2-11fa5d528c74"/>
    <ds:schemaRef ds:uri="b34339ab-555d-41ee-a400-3aa7e74f922f"/>
  </ds:schemaRefs>
</ds:datastoreItem>
</file>

<file path=customXml/itemProps3.xml><?xml version="1.0" encoding="utf-8"?>
<ds:datastoreItem xmlns:ds="http://schemas.openxmlformats.org/officeDocument/2006/customXml" ds:itemID="{195AFA7E-155D-4C1F-952C-6D61055E1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497</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Diana Patino</cp:lastModifiedBy>
  <cp:revision>6</cp:revision>
  <cp:lastPrinted>2022-04-01T14:48:00Z</cp:lastPrinted>
  <dcterms:created xsi:type="dcterms:W3CDTF">2023-05-17T16:04:00Z</dcterms:created>
  <dcterms:modified xsi:type="dcterms:W3CDTF">2023-05-24T21:34:00Z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0x0101009151584D72037D418DBB71F692B269A1</vt:lpwstr>
  </property>
</Properties>
</file>