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359E" w14:textId="77777777" w:rsidR="00242A5A" w:rsidRDefault="00DE381D" w:rsidP="006C6A2B">
      <w:pPr>
        <w:spacing w:after="72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D.C., </w:t>
      </w:r>
      <w:r w:rsidR="007223B5">
        <w:rPr>
          <w:rFonts w:ascii="Arial" w:hAnsi="Arial" w:cs="Arial"/>
          <w:sz w:val="22"/>
          <w:szCs w:val="22"/>
          <w:lang w:val="es-MX"/>
        </w:rPr>
        <w:t>1</w:t>
      </w:r>
      <w:r w:rsidR="00866EB5">
        <w:rPr>
          <w:rFonts w:ascii="Arial" w:hAnsi="Arial" w:cs="Arial"/>
          <w:sz w:val="22"/>
          <w:szCs w:val="22"/>
          <w:lang w:val="es-MX"/>
        </w:rPr>
        <w:t>9</w:t>
      </w:r>
      <w:r w:rsidR="007223B5">
        <w:rPr>
          <w:rFonts w:ascii="Arial" w:hAnsi="Arial" w:cs="Arial"/>
          <w:sz w:val="22"/>
          <w:szCs w:val="22"/>
          <w:lang w:val="es-MX"/>
        </w:rPr>
        <w:t xml:space="preserve"> septiembre de 2022</w:t>
      </w:r>
    </w:p>
    <w:p w14:paraId="48F6C692" w14:textId="26E3744F" w:rsidR="00DE381D" w:rsidRPr="00242A5A" w:rsidRDefault="00DE381D" w:rsidP="002A4B2F">
      <w:pPr>
        <w:spacing w:after="0"/>
        <w:jc w:val="center"/>
        <w:rPr>
          <w:rFonts w:ascii="Arial" w:hAnsi="Arial" w:cs="Arial"/>
          <w:sz w:val="22"/>
          <w:szCs w:val="22"/>
          <w:lang w:val="es-MX"/>
        </w:rPr>
      </w:pPr>
      <w:r w:rsidRPr="00DE381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7223B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08</w:t>
      </w:r>
      <w:r w:rsidR="002A4B2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8</w:t>
      </w:r>
    </w:p>
    <w:p w14:paraId="7A351F92" w14:textId="4126C3A0" w:rsidR="00DE381D" w:rsidRPr="00223349" w:rsidRDefault="00DE381D" w:rsidP="004C6A03">
      <w:pPr>
        <w:pStyle w:val="Sangradetextonormal"/>
        <w:spacing w:after="400"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PARA:</w:t>
      </w:r>
      <w:r w:rsidRPr="00223349">
        <w:rPr>
          <w:rFonts w:ascii="Arial" w:hAnsi="Arial" w:cs="Arial"/>
          <w:b/>
        </w:rPr>
        <w:tab/>
      </w:r>
      <w:r w:rsidR="00EB3DC1">
        <w:rPr>
          <w:rFonts w:ascii="Arial" w:hAnsi="Arial" w:cs="Arial"/>
          <w:b/>
        </w:rPr>
        <w:t>PRESTADORES DEL SERVICIO DE ENERGÍA ELÉCTRICA</w:t>
      </w:r>
      <w:r>
        <w:rPr>
          <w:rFonts w:ascii="Arial" w:hAnsi="Arial" w:cs="Arial"/>
          <w:b/>
        </w:rPr>
        <w:t xml:space="preserve"> </w:t>
      </w:r>
      <w:r w:rsidR="00EB3DC1">
        <w:rPr>
          <w:rFonts w:ascii="Arial" w:hAnsi="Arial" w:cs="Arial"/>
          <w:b/>
        </w:rPr>
        <w:t>Y PÚBLICO EN GENERAL</w:t>
      </w:r>
    </w:p>
    <w:p w14:paraId="6F4D6107" w14:textId="77777777" w:rsidR="00DE381D" w:rsidRPr="00223349" w:rsidRDefault="00DE381D" w:rsidP="004C6A03">
      <w:pPr>
        <w:pStyle w:val="Sangradetextonormal"/>
        <w:spacing w:after="400"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DE:</w:t>
      </w:r>
      <w:r w:rsidRPr="00223349">
        <w:rPr>
          <w:rFonts w:ascii="Arial" w:hAnsi="Arial" w:cs="Arial"/>
          <w:b/>
        </w:rPr>
        <w:tab/>
        <w:t>DIRECCIÓN EJECUTIVA</w:t>
      </w:r>
    </w:p>
    <w:p w14:paraId="63DDCA95" w14:textId="6A74FFDE" w:rsidR="00DE381D" w:rsidRDefault="00DE381D" w:rsidP="004C6A03">
      <w:pPr>
        <w:pStyle w:val="Sangradetextonormal"/>
        <w:spacing w:after="400"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ASUNTO:</w:t>
      </w:r>
      <w:r w:rsidRPr="00223349">
        <w:rPr>
          <w:rFonts w:ascii="Arial" w:hAnsi="Arial" w:cs="Arial"/>
          <w:b/>
        </w:rPr>
        <w:tab/>
      </w:r>
      <w:r w:rsidR="00C81AE5">
        <w:rPr>
          <w:rFonts w:ascii="Arial" w:hAnsi="Arial" w:cs="Arial"/>
          <w:b/>
        </w:rPr>
        <w:t xml:space="preserve">RESOLUCIÓN </w:t>
      </w:r>
      <w:r w:rsidR="00354BBC">
        <w:rPr>
          <w:rFonts w:ascii="Arial" w:hAnsi="Arial" w:cs="Arial"/>
          <w:b/>
        </w:rPr>
        <w:t>CREG 101 027 DE 202</w:t>
      </w:r>
      <w:r w:rsidR="00C81AE5">
        <w:rPr>
          <w:rFonts w:ascii="Arial" w:hAnsi="Arial" w:cs="Arial"/>
          <w:b/>
        </w:rPr>
        <w:t>2</w:t>
      </w:r>
      <w:r w:rsidR="00354BBC">
        <w:rPr>
          <w:rFonts w:ascii="Arial" w:hAnsi="Arial" w:cs="Arial"/>
          <w:b/>
        </w:rPr>
        <w:t xml:space="preserve"> - </w:t>
      </w:r>
      <w:r w:rsidR="00EB3DC1">
        <w:rPr>
          <w:rFonts w:ascii="Arial" w:hAnsi="Arial" w:cs="Arial"/>
          <w:b/>
        </w:rPr>
        <w:t xml:space="preserve">ACLARACIÓN </w:t>
      </w:r>
      <w:r w:rsidR="002C7D5C">
        <w:rPr>
          <w:rFonts w:ascii="Arial" w:hAnsi="Arial" w:cs="Arial"/>
          <w:b/>
        </w:rPr>
        <w:t xml:space="preserve">SALDOS </w:t>
      </w:r>
      <w:r w:rsidR="00696252">
        <w:rPr>
          <w:rFonts w:ascii="Arial" w:hAnsi="Arial" w:cs="Arial"/>
          <w:b/>
        </w:rPr>
        <w:t>ACUMULADOS</w:t>
      </w:r>
      <w:r w:rsidR="00D666BB">
        <w:rPr>
          <w:rFonts w:ascii="Arial" w:hAnsi="Arial" w:cs="Arial"/>
          <w:b/>
        </w:rPr>
        <w:t>.</w:t>
      </w:r>
    </w:p>
    <w:p w14:paraId="2C1C166A" w14:textId="2588C47D" w:rsidR="006922E6" w:rsidRDefault="001D3064" w:rsidP="006C6A2B">
      <w:pPr>
        <w:pStyle w:val="Textoindependiente"/>
        <w:spacing w:before="240" w:after="360" w:line="360" w:lineRule="auto"/>
        <w:jc w:val="lef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La Comisión ha recibido consultas asociadas con </w:t>
      </w:r>
      <w:r w:rsidR="006922E6">
        <w:rPr>
          <w:rFonts w:cs="Arial"/>
          <w:spacing w:val="0"/>
          <w:sz w:val="24"/>
          <w:szCs w:val="24"/>
        </w:rPr>
        <w:t xml:space="preserve">dos fechas </w:t>
      </w:r>
      <w:r w:rsidR="00B179C5">
        <w:rPr>
          <w:rFonts w:cs="Arial"/>
          <w:spacing w:val="0"/>
          <w:sz w:val="24"/>
          <w:szCs w:val="24"/>
        </w:rPr>
        <w:t>señaladas</w:t>
      </w:r>
      <w:r w:rsidR="00C81AE5">
        <w:rPr>
          <w:rFonts w:cs="Arial"/>
          <w:spacing w:val="0"/>
          <w:sz w:val="24"/>
          <w:szCs w:val="24"/>
        </w:rPr>
        <w:t xml:space="preserve"> en la Resolución CREG 101 027 de 2022</w:t>
      </w:r>
      <w:r w:rsidR="006922E6">
        <w:rPr>
          <w:rFonts w:cs="Arial"/>
          <w:spacing w:val="0"/>
          <w:sz w:val="24"/>
          <w:szCs w:val="24"/>
        </w:rPr>
        <w:t>:</w:t>
      </w:r>
    </w:p>
    <w:p w14:paraId="1F28D49E" w14:textId="0AE6A4EA" w:rsidR="002302DC" w:rsidRDefault="006922E6" w:rsidP="006C6A2B">
      <w:pPr>
        <w:pStyle w:val="Textoindependiente"/>
        <w:numPr>
          <w:ilvl w:val="0"/>
          <w:numId w:val="2"/>
        </w:numPr>
        <w:spacing w:before="240" w:after="360" w:line="360" w:lineRule="auto"/>
        <w:ind w:left="425" w:hanging="425"/>
        <w:jc w:val="lef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La primera, relacionada con la </w:t>
      </w:r>
      <w:r w:rsidR="00DA3385">
        <w:rPr>
          <w:rFonts w:cs="Arial"/>
          <w:spacing w:val="0"/>
          <w:sz w:val="24"/>
          <w:szCs w:val="24"/>
        </w:rPr>
        <w:t xml:space="preserve">fecha de cumplimiento </w:t>
      </w:r>
      <w:r w:rsidR="001D3064">
        <w:rPr>
          <w:rFonts w:cs="Arial"/>
          <w:spacing w:val="0"/>
          <w:sz w:val="24"/>
          <w:szCs w:val="24"/>
        </w:rPr>
        <w:t xml:space="preserve">de </w:t>
      </w:r>
      <w:r w:rsidR="007E292C">
        <w:rPr>
          <w:rFonts w:cs="Arial"/>
          <w:spacing w:val="0"/>
          <w:sz w:val="24"/>
          <w:szCs w:val="24"/>
        </w:rPr>
        <w:t>l</w:t>
      </w:r>
      <w:r w:rsidR="002302DC">
        <w:rPr>
          <w:rFonts w:cs="Arial"/>
          <w:spacing w:val="0"/>
          <w:sz w:val="24"/>
          <w:szCs w:val="24"/>
        </w:rPr>
        <w:t xml:space="preserve">a </w:t>
      </w:r>
      <w:r w:rsidR="002C4D4F">
        <w:rPr>
          <w:rFonts w:cs="Arial"/>
          <w:spacing w:val="0"/>
          <w:sz w:val="24"/>
          <w:szCs w:val="24"/>
        </w:rPr>
        <w:t>frase</w:t>
      </w:r>
      <w:r w:rsidR="00951EAD">
        <w:rPr>
          <w:rFonts w:cs="Arial"/>
          <w:spacing w:val="0"/>
          <w:sz w:val="24"/>
          <w:szCs w:val="24"/>
        </w:rPr>
        <w:t xml:space="preserve">: </w:t>
      </w:r>
      <w:r w:rsidR="00951EAD" w:rsidRPr="00951EAD">
        <w:rPr>
          <w:rFonts w:cs="Arial"/>
          <w:i/>
          <w:iCs/>
          <w:spacing w:val="0"/>
          <w:sz w:val="24"/>
          <w:szCs w:val="24"/>
        </w:rPr>
        <w:t>A la fecha de entrada en vigencia de la presente resolución dicho valor será cero</w:t>
      </w:r>
      <w:r w:rsidR="00951EAD">
        <w:rPr>
          <w:rFonts w:cs="Arial"/>
          <w:spacing w:val="0"/>
          <w:sz w:val="24"/>
          <w:szCs w:val="24"/>
        </w:rPr>
        <w:t xml:space="preserve">”, </w:t>
      </w:r>
      <w:r w:rsidR="00793A25">
        <w:rPr>
          <w:rFonts w:cs="Arial"/>
          <w:spacing w:val="0"/>
          <w:sz w:val="24"/>
          <w:szCs w:val="24"/>
        </w:rPr>
        <w:t xml:space="preserve">incluida </w:t>
      </w:r>
      <w:r w:rsidR="00004C45">
        <w:rPr>
          <w:rFonts w:cs="Arial"/>
          <w:spacing w:val="0"/>
          <w:sz w:val="24"/>
          <w:szCs w:val="24"/>
        </w:rPr>
        <w:t xml:space="preserve">en la variable </w:t>
      </w:r>
      <w:proofErr w:type="spellStart"/>
      <w:proofErr w:type="gramStart"/>
      <w:r w:rsidR="00004C45" w:rsidRPr="00793A25">
        <w:rPr>
          <w:rFonts w:cs="Arial"/>
          <w:i/>
          <w:iCs/>
          <w:spacing w:val="0"/>
          <w:sz w:val="24"/>
          <w:szCs w:val="24"/>
        </w:rPr>
        <w:t>S</w:t>
      </w:r>
      <w:r w:rsidR="002302DC" w:rsidRPr="00793A25">
        <w:rPr>
          <w:rFonts w:cs="Arial"/>
          <w:i/>
          <w:iCs/>
          <w:spacing w:val="0"/>
          <w:sz w:val="24"/>
          <w:szCs w:val="24"/>
        </w:rPr>
        <w:t>A</w:t>
      </w:r>
      <w:r w:rsidR="00004C45" w:rsidRPr="00793A25">
        <w:rPr>
          <w:rFonts w:cs="Arial"/>
          <w:i/>
          <w:iCs/>
          <w:spacing w:val="0"/>
          <w:sz w:val="24"/>
          <w:szCs w:val="24"/>
          <w:vertAlign w:val="subscript"/>
        </w:rPr>
        <w:t>n,m</w:t>
      </w:r>
      <w:proofErr w:type="gramEnd"/>
      <w:r w:rsidR="00004C45" w:rsidRPr="00793A25">
        <w:rPr>
          <w:rFonts w:cs="Arial"/>
          <w:i/>
          <w:iCs/>
          <w:spacing w:val="0"/>
          <w:sz w:val="24"/>
          <w:szCs w:val="24"/>
          <w:vertAlign w:val="subscript"/>
        </w:rPr>
        <w:t>,i,j</w:t>
      </w:r>
      <w:proofErr w:type="spellEnd"/>
      <w:r w:rsidR="00004C45">
        <w:rPr>
          <w:rFonts w:cs="Arial"/>
          <w:spacing w:val="0"/>
          <w:sz w:val="24"/>
          <w:szCs w:val="24"/>
        </w:rPr>
        <w:t xml:space="preserve"> del artículo 5 de la Resolución CREG 012 de </w:t>
      </w:r>
      <w:r w:rsidR="00830B93">
        <w:rPr>
          <w:rFonts w:cs="Arial"/>
          <w:spacing w:val="0"/>
          <w:sz w:val="24"/>
          <w:szCs w:val="24"/>
        </w:rPr>
        <w:t xml:space="preserve">2020, </w:t>
      </w:r>
      <w:r w:rsidR="00C81AE5">
        <w:rPr>
          <w:rFonts w:cs="Arial"/>
          <w:spacing w:val="0"/>
          <w:sz w:val="24"/>
          <w:szCs w:val="24"/>
        </w:rPr>
        <w:t xml:space="preserve">que se </w:t>
      </w:r>
      <w:r w:rsidR="00830B93">
        <w:rPr>
          <w:rFonts w:cs="Arial"/>
          <w:spacing w:val="0"/>
          <w:sz w:val="24"/>
          <w:szCs w:val="24"/>
        </w:rPr>
        <w:t xml:space="preserve">modifica por </w:t>
      </w:r>
      <w:r w:rsidR="002302DC">
        <w:rPr>
          <w:rFonts w:cs="Arial"/>
          <w:spacing w:val="0"/>
          <w:sz w:val="24"/>
          <w:szCs w:val="24"/>
        </w:rPr>
        <w:t>el artículo 2 de la Resolución CREG 101 027 de 2022</w:t>
      </w:r>
      <w:r w:rsidR="007E292C">
        <w:rPr>
          <w:rFonts w:cs="Arial"/>
          <w:spacing w:val="0"/>
          <w:sz w:val="24"/>
          <w:szCs w:val="24"/>
        </w:rPr>
        <w:t>.</w:t>
      </w:r>
    </w:p>
    <w:p w14:paraId="4F3BF915" w14:textId="1AFF55FD" w:rsidR="0006325B" w:rsidRDefault="0006325B" w:rsidP="006C6A2B">
      <w:pPr>
        <w:pStyle w:val="Textoindependiente"/>
        <w:spacing w:before="240" w:after="360" w:line="360" w:lineRule="auto"/>
        <w:ind w:left="425"/>
        <w:jc w:val="left"/>
        <w:rPr>
          <w:rFonts w:cs="Arial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Al respecto se </w:t>
      </w:r>
      <w:r w:rsidR="00EA6EBF">
        <w:rPr>
          <w:rFonts w:cs="Arial"/>
          <w:spacing w:val="0"/>
          <w:sz w:val="24"/>
          <w:szCs w:val="24"/>
        </w:rPr>
        <w:t>precisa</w:t>
      </w:r>
      <w:r w:rsidR="00B179C5">
        <w:rPr>
          <w:rFonts w:cs="Arial"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>que la Resolución CREG 101 027 de 2020 modifi</w:t>
      </w:r>
      <w:r w:rsidR="00EA6EBF">
        <w:rPr>
          <w:rFonts w:cs="Arial"/>
          <w:spacing w:val="0"/>
          <w:sz w:val="24"/>
          <w:szCs w:val="24"/>
        </w:rPr>
        <w:t>ca</w:t>
      </w:r>
      <w:r>
        <w:rPr>
          <w:rFonts w:cs="Arial"/>
          <w:spacing w:val="0"/>
          <w:sz w:val="24"/>
          <w:szCs w:val="24"/>
        </w:rPr>
        <w:t xml:space="preserve"> lo relacionado con el porcentaje de variación mensual (variable </w:t>
      </w:r>
      <w:r w:rsidRPr="008B5FCD">
        <w:rPr>
          <w:rFonts w:cs="Arial"/>
          <w:i/>
          <w:iCs/>
          <w:spacing w:val="0"/>
          <w:sz w:val="24"/>
          <w:szCs w:val="24"/>
        </w:rPr>
        <w:t>PV</w:t>
      </w:r>
      <w:r>
        <w:rPr>
          <w:rFonts w:cs="Arial"/>
          <w:spacing w:val="0"/>
          <w:sz w:val="24"/>
          <w:szCs w:val="24"/>
        </w:rPr>
        <w:t>) de la Resolución CREG 012 de 2020, manteniendo las demás definiciones de las variables iguales a lo establecido en esta última.</w:t>
      </w:r>
    </w:p>
    <w:p w14:paraId="4ACF6D0D" w14:textId="2261F613" w:rsidR="0006325B" w:rsidRDefault="0006325B" w:rsidP="006C6A2B">
      <w:pPr>
        <w:pStyle w:val="Textoindependiente"/>
        <w:spacing w:before="240" w:after="360" w:line="360" w:lineRule="auto"/>
        <w:ind w:left="425"/>
        <w:jc w:val="lef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Por lo anterior, se </w:t>
      </w:r>
      <w:r w:rsidR="00EA6EBF">
        <w:rPr>
          <w:rFonts w:cs="Arial"/>
          <w:spacing w:val="0"/>
          <w:sz w:val="24"/>
          <w:szCs w:val="24"/>
        </w:rPr>
        <w:t xml:space="preserve">entiende </w:t>
      </w:r>
      <w:r>
        <w:rPr>
          <w:rFonts w:cs="Arial"/>
          <w:spacing w:val="0"/>
          <w:sz w:val="24"/>
          <w:szCs w:val="24"/>
        </w:rPr>
        <w:t>que el texto “</w:t>
      </w:r>
      <w:r w:rsidRPr="45ED78E0">
        <w:rPr>
          <w:rFonts w:cs="Arial"/>
          <w:i/>
          <w:iCs/>
          <w:spacing w:val="0"/>
          <w:sz w:val="24"/>
          <w:szCs w:val="24"/>
        </w:rPr>
        <w:t xml:space="preserve">A </w:t>
      </w:r>
      <w:r w:rsidRPr="75F983D2">
        <w:rPr>
          <w:rFonts w:cs="Arial"/>
          <w:i/>
          <w:iCs/>
          <w:sz w:val="24"/>
          <w:szCs w:val="24"/>
        </w:rPr>
        <w:t xml:space="preserve">la fecha de </w:t>
      </w:r>
      <w:proofErr w:type="gramStart"/>
      <w:r w:rsidRPr="75F983D2">
        <w:rPr>
          <w:rFonts w:cs="Arial"/>
          <w:i/>
          <w:iCs/>
          <w:sz w:val="24"/>
          <w:szCs w:val="24"/>
        </w:rPr>
        <w:t>entrada en vigencia</w:t>
      </w:r>
      <w:proofErr w:type="gramEnd"/>
      <w:r w:rsidRPr="75F983D2">
        <w:rPr>
          <w:rFonts w:cs="Arial"/>
          <w:i/>
          <w:iCs/>
          <w:sz w:val="24"/>
          <w:szCs w:val="24"/>
        </w:rPr>
        <w:t xml:space="preserve"> de la presente resolución dicho valor será cero</w:t>
      </w:r>
      <w:r w:rsidRPr="75F983D2">
        <w:rPr>
          <w:rFonts w:cs="Arial"/>
          <w:sz w:val="24"/>
          <w:szCs w:val="24"/>
        </w:rPr>
        <w:t>”</w:t>
      </w:r>
      <w:r>
        <w:rPr>
          <w:rFonts w:cs="Arial"/>
          <w:spacing w:val="0"/>
          <w:sz w:val="24"/>
          <w:szCs w:val="24"/>
        </w:rPr>
        <w:t xml:space="preserve"> se refiere a la fecha de entrada en vigencia de la Resolución CREG 012 de 2020.</w:t>
      </w:r>
    </w:p>
    <w:p w14:paraId="03C3BF3B" w14:textId="7ED3A7BB" w:rsidR="0006325B" w:rsidRDefault="0006325B" w:rsidP="006C6A2B">
      <w:pPr>
        <w:pStyle w:val="Textoindependiente"/>
        <w:spacing w:before="240" w:after="360" w:line="360" w:lineRule="auto"/>
        <w:ind w:left="425"/>
        <w:jc w:val="lef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lastRenderedPageBreak/>
        <w:t>Con lo expuesto, la variable de saldos acumulados (</w:t>
      </w:r>
      <w:proofErr w:type="spellStart"/>
      <w:proofErr w:type="gramStart"/>
      <w:r w:rsidRPr="00793A25">
        <w:rPr>
          <w:rFonts w:cs="Arial"/>
          <w:i/>
          <w:iCs/>
          <w:spacing w:val="0"/>
          <w:sz w:val="24"/>
          <w:szCs w:val="24"/>
        </w:rPr>
        <w:t>SA</w:t>
      </w:r>
      <w:r w:rsidRPr="00793A25">
        <w:rPr>
          <w:rFonts w:cs="Arial"/>
          <w:i/>
          <w:iCs/>
          <w:spacing w:val="0"/>
          <w:sz w:val="24"/>
          <w:szCs w:val="24"/>
          <w:vertAlign w:val="subscript"/>
        </w:rPr>
        <w:t>n,m</w:t>
      </w:r>
      <w:proofErr w:type="gramEnd"/>
      <w:r w:rsidRPr="00793A25">
        <w:rPr>
          <w:rFonts w:cs="Arial"/>
          <w:i/>
          <w:iCs/>
          <w:spacing w:val="0"/>
          <w:sz w:val="24"/>
          <w:szCs w:val="24"/>
          <w:vertAlign w:val="subscript"/>
        </w:rPr>
        <w:t>,i,j</w:t>
      </w:r>
      <w:proofErr w:type="spellEnd"/>
      <w:r>
        <w:rPr>
          <w:rFonts w:cs="Arial"/>
          <w:spacing w:val="0"/>
          <w:sz w:val="24"/>
          <w:szCs w:val="24"/>
        </w:rPr>
        <w:t>) se debe continuar calculando conforme lo establecido en la Resolución CREG 012 de 2020 sin  ninguna modificación</w:t>
      </w:r>
      <w:r w:rsidR="004737D9">
        <w:rPr>
          <w:rFonts w:cs="Arial"/>
          <w:spacing w:val="0"/>
          <w:sz w:val="24"/>
          <w:szCs w:val="24"/>
        </w:rPr>
        <w:t>. P</w:t>
      </w:r>
      <w:r w:rsidR="00463831">
        <w:rPr>
          <w:rFonts w:cs="Arial"/>
          <w:spacing w:val="0"/>
          <w:sz w:val="24"/>
          <w:szCs w:val="24"/>
        </w:rPr>
        <w:t>or tanto, los saldos acumulados a la fecha se mantienen vigentes y no han sido anulados.</w:t>
      </w:r>
    </w:p>
    <w:p w14:paraId="1A701EBF" w14:textId="38DDDD76" w:rsidR="006922E6" w:rsidRDefault="006922E6" w:rsidP="006C6A2B">
      <w:pPr>
        <w:pStyle w:val="Textoindependiente"/>
        <w:numPr>
          <w:ilvl w:val="0"/>
          <w:numId w:val="2"/>
        </w:numPr>
        <w:spacing w:before="240" w:after="360" w:line="360" w:lineRule="auto"/>
        <w:ind w:left="425" w:hanging="425"/>
        <w:jc w:val="lef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La segunda, relacionada</w:t>
      </w:r>
      <w:r w:rsidR="00FE351A">
        <w:rPr>
          <w:rFonts w:cs="Arial"/>
          <w:spacing w:val="0"/>
          <w:sz w:val="24"/>
          <w:szCs w:val="24"/>
        </w:rPr>
        <w:t xml:space="preserve"> con la fecha de </w:t>
      </w:r>
      <w:r w:rsidR="00E96665">
        <w:rPr>
          <w:rFonts w:cs="Arial"/>
          <w:spacing w:val="0"/>
          <w:sz w:val="24"/>
          <w:szCs w:val="24"/>
        </w:rPr>
        <w:t>vencimiento de</w:t>
      </w:r>
      <w:r w:rsidR="0016467A">
        <w:rPr>
          <w:rFonts w:cs="Arial"/>
          <w:spacing w:val="0"/>
          <w:sz w:val="24"/>
          <w:szCs w:val="24"/>
        </w:rPr>
        <w:t>l plazo para acogerse al ajuste de los factores de indexación de que trata el artículo 6 de la Resolución CREG 101 027 de 2022.</w:t>
      </w:r>
    </w:p>
    <w:p w14:paraId="685705EA" w14:textId="3285DB73" w:rsidR="00EF04C4" w:rsidRPr="00B768BC" w:rsidRDefault="0006325B" w:rsidP="006C6A2B">
      <w:pPr>
        <w:pStyle w:val="Textoindependiente"/>
        <w:spacing w:before="240" w:after="360" w:line="360" w:lineRule="auto"/>
        <w:ind w:left="425"/>
        <w:jc w:val="left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Entendiendo que la citada norma se publica en el Diario Oficial </w:t>
      </w:r>
      <w:r w:rsidR="00EF04C4" w:rsidRPr="00B768BC">
        <w:rPr>
          <w:rFonts w:cs="Arial"/>
          <w:spacing w:val="0"/>
          <w:sz w:val="24"/>
          <w:szCs w:val="24"/>
        </w:rPr>
        <w:t xml:space="preserve">52.162 correspondiente al </w:t>
      </w:r>
      <w:r w:rsidR="00D22084" w:rsidRPr="00B768BC">
        <w:rPr>
          <w:rFonts w:cs="Arial"/>
          <w:spacing w:val="0"/>
          <w:sz w:val="24"/>
          <w:szCs w:val="24"/>
        </w:rPr>
        <w:t>l</w:t>
      </w:r>
      <w:r w:rsidR="00EF04C4" w:rsidRPr="00B768BC">
        <w:rPr>
          <w:rFonts w:cs="Arial"/>
          <w:spacing w:val="0"/>
          <w:sz w:val="24"/>
          <w:szCs w:val="24"/>
        </w:rPr>
        <w:t>unes 19 de septiembre de 2022, la fecha de vencimiento de</w:t>
      </w:r>
      <w:r w:rsidR="00CC2A52" w:rsidRPr="00B768BC">
        <w:rPr>
          <w:rFonts w:cs="Arial"/>
          <w:spacing w:val="0"/>
          <w:sz w:val="24"/>
          <w:szCs w:val="24"/>
        </w:rPr>
        <w:t xml:space="preserve"> este plazo es el </w:t>
      </w:r>
      <w:r w:rsidR="00F36C2A">
        <w:rPr>
          <w:rFonts w:cs="Arial"/>
          <w:spacing w:val="0"/>
          <w:sz w:val="24"/>
          <w:szCs w:val="24"/>
        </w:rPr>
        <w:t>lunes</w:t>
      </w:r>
      <w:r w:rsidR="00D22084" w:rsidRPr="00B768BC">
        <w:rPr>
          <w:rFonts w:cs="Arial"/>
          <w:spacing w:val="0"/>
          <w:sz w:val="24"/>
          <w:szCs w:val="24"/>
        </w:rPr>
        <w:t xml:space="preserve"> </w:t>
      </w:r>
      <w:r w:rsidR="00B768BC" w:rsidRPr="00B768BC">
        <w:rPr>
          <w:rFonts w:cs="Arial"/>
          <w:spacing w:val="0"/>
          <w:sz w:val="24"/>
          <w:szCs w:val="24"/>
        </w:rPr>
        <w:t>2</w:t>
      </w:r>
      <w:r w:rsidR="00F36C2A">
        <w:rPr>
          <w:rFonts w:cs="Arial"/>
          <w:spacing w:val="0"/>
          <w:sz w:val="24"/>
          <w:szCs w:val="24"/>
        </w:rPr>
        <w:t>6</w:t>
      </w:r>
      <w:r w:rsidR="00B768BC" w:rsidRPr="00B768BC">
        <w:rPr>
          <w:rFonts w:cs="Arial"/>
          <w:spacing w:val="0"/>
          <w:sz w:val="24"/>
          <w:szCs w:val="24"/>
        </w:rPr>
        <w:t xml:space="preserve"> de septiembre de 2022.</w:t>
      </w:r>
    </w:p>
    <w:p w14:paraId="14CA4A7B" w14:textId="60E208C2" w:rsidR="004737D9" w:rsidRDefault="00DE381D" w:rsidP="002A4B2F">
      <w:pPr>
        <w:pStyle w:val="Textoindependiente"/>
        <w:spacing w:after="960" w:line="240" w:lineRule="auto"/>
        <w:rPr>
          <w:rFonts w:cs="Arial"/>
          <w:b/>
          <w:bCs/>
          <w:sz w:val="24"/>
          <w:szCs w:val="24"/>
        </w:rPr>
      </w:pPr>
      <w:r w:rsidRPr="00223349">
        <w:rPr>
          <w:rFonts w:cs="Arial"/>
          <w:spacing w:val="0"/>
          <w:sz w:val="24"/>
          <w:szCs w:val="24"/>
        </w:rPr>
        <w:t>Cordialmente,</w:t>
      </w:r>
    </w:p>
    <w:p w14:paraId="52153070" w14:textId="29509E01" w:rsidR="00DE381D" w:rsidRPr="00242A5A" w:rsidRDefault="00DE381D" w:rsidP="00242A5A">
      <w:pPr>
        <w:pStyle w:val="Textoindependiente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242A5A">
        <w:rPr>
          <w:rFonts w:cs="Arial"/>
          <w:b/>
          <w:bCs/>
          <w:sz w:val="24"/>
          <w:szCs w:val="24"/>
        </w:rPr>
        <w:t>JORGE ALBERTO VALENCIA MAR</w:t>
      </w:r>
      <w:r w:rsidR="00242A5A">
        <w:rPr>
          <w:rFonts w:cs="Arial"/>
          <w:b/>
          <w:bCs/>
          <w:sz w:val="24"/>
          <w:szCs w:val="24"/>
        </w:rPr>
        <w:t>Í</w:t>
      </w:r>
      <w:r w:rsidRPr="00242A5A">
        <w:rPr>
          <w:rFonts w:cs="Arial"/>
          <w:b/>
          <w:bCs/>
          <w:sz w:val="24"/>
          <w:szCs w:val="24"/>
        </w:rPr>
        <w:t>N</w:t>
      </w:r>
    </w:p>
    <w:sectPr w:rsidR="00DE381D" w:rsidRPr="00242A5A" w:rsidSect="008B094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22D7" w14:textId="77777777" w:rsidR="00FA0CDB" w:rsidRDefault="00FA0CDB" w:rsidP="00AA0519">
      <w:r>
        <w:separator/>
      </w:r>
    </w:p>
  </w:endnote>
  <w:endnote w:type="continuationSeparator" w:id="0">
    <w:p w14:paraId="6A2B2544" w14:textId="77777777" w:rsidR="00FA0CDB" w:rsidRDefault="00FA0CDB" w:rsidP="00AA0519">
      <w:r>
        <w:continuationSeparator/>
      </w:r>
    </w:p>
  </w:endnote>
  <w:endnote w:type="continuationNotice" w:id="1">
    <w:p w14:paraId="340CDD0B" w14:textId="77777777" w:rsidR="000626A9" w:rsidRDefault="000626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1C98" w14:textId="77777777" w:rsidR="00FA0CDB" w:rsidRDefault="00FA0CDB" w:rsidP="00AA0519">
      <w:r>
        <w:separator/>
      </w:r>
    </w:p>
  </w:footnote>
  <w:footnote w:type="continuationSeparator" w:id="0">
    <w:p w14:paraId="2CD65BC6" w14:textId="77777777" w:rsidR="00FA0CDB" w:rsidRDefault="00FA0CDB" w:rsidP="00AA0519">
      <w:r>
        <w:continuationSeparator/>
      </w:r>
    </w:p>
  </w:footnote>
  <w:footnote w:type="continuationNotice" w:id="1">
    <w:p w14:paraId="1EEEF3C2" w14:textId="77777777" w:rsidR="000626A9" w:rsidRDefault="000626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445631C7" w:rsidR="003F2F4B" w:rsidRPr="00C9169C" w:rsidRDefault="008B0943" w:rsidP="002E0B21">
    <w:pPr>
      <w:pStyle w:val="Destinario"/>
      <w:spacing w:before="240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615789" wp14:editId="4FD35EA8">
          <wp:simplePos x="0" y="0"/>
          <wp:positionH relativeFrom="column">
            <wp:posOffset>3276600</wp:posOffset>
          </wp:positionH>
          <wp:positionV relativeFrom="paragraph">
            <wp:posOffset>-419735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C51612" wp14:editId="7FB152BD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F2"/>
    <w:multiLevelType w:val="hybridMultilevel"/>
    <w:tmpl w:val="46440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4CB5"/>
    <w:multiLevelType w:val="hybridMultilevel"/>
    <w:tmpl w:val="EE26B080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E5FB4"/>
    <w:multiLevelType w:val="hybridMultilevel"/>
    <w:tmpl w:val="3BDA8C22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98491">
    <w:abstractNumId w:val="0"/>
  </w:num>
  <w:num w:numId="2" w16cid:durableId="1944025544">
    <w:abstractNumId w:val="1"/>
  </w:num>
  <w:num w:numId="3" w16cid:durableId="122186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4C45"/>
    <w:rsid w:val="00011EC2"/>
    <w:rsid w:val="0001281F"/>
    <w:rsid w:val="0004025C"/>
    <w:rsid w:val="00046BDF"/>
    <w:rsid w:val="00053206"/>
    <w:rsid w:val="00060AD6"/>
    <w:rsid w:val="00060CBB"/>
    <w:rsid w:val="000626A9"/>
    <w:rsid w:val="0006325B"/>
    <w:rsid w:val="00063856"/>
    <w:rsid w:val="00071BA7"/>
    <w:rsid w:val="00074D17"/>
    <w:rsid w:val="0008168D"/>
    <w:rsid w:val="00082470"/>
    <w:rsid w:val="00091ACC"/>
    <w:rsid w:val="000B1623"/>
    <w:rsid w:val="000B439A"/>
    <w:rsid w:val="000C3B47"/>
    <w:rsid w:val="000C626F"/>
    <w:rsid w:val="000F0227"/>
    <w:rsid w:val="000F11F6"/>
    <w:rsid w:val="000F38B4"/>
    <w:rsid w:val="001019AE"/>
    <w:rsid w:val="00110F53"/>
    <w:rsid w:val="001215BB"/>
    <w:rsid w:val="00121DAE"/>
    <w:rsid w:val="00124C31"/>
    <w:rsid w:val="00137991"/>
    <w:rsid w:val="0014353D"/>
    <w:rsid w:val="00153BE7"/>
    <w:rsid w:val="00157A19"/>
    <w:rsid w:val="0016467A"/>
    <w:rsid w:val="0017389A"/>
    <w:rsid w:val="00180792"/>
    <w:rsid w:val="00194797"/>
    <w:rsid w:val="001B03B6"/>
    <w:rsid w:val="001C3EC4"/>
    <w:rsid w:val="001D3064"/>
    <w:rsid w:val="001E2DD2"/>
    <w:rsid w:val="001F303A"/>
    <w:rsid w:val="001F47AB"/>
    <w:rsid w:val="002273CB"/>
    <w:rsid w:val="002302DC"/>
    <w:rsid w:val="0024085D"/>
    <w:rsid w:val="00242A5A"/>
    <w:rsid w:val="002647D6"/>
    <w:rsid w:val="002A3070"/>
    <w:rsid w:val="002A4B2F"/>
    <w:rsid w:val="002B341D"/>
    <w:rsid w:val="002C26C3"/>
    <w:rsid w:val="002C4D4F"/>
    <w:rsid w:val="002C7284"/>
    <w:rsid w:val="002C7D5C"/>
    <w:rsid w:val="002E0B21"/>
    <w:rsid w:val="002F440B"/>
    <w:rsid w:val="002F7974"/>
    <w:rsid w:val="003060E4"/>
    <w:rsid w:val="00317D0E"/>
    <w:rsid w:val="00324760"/>
    <w:rsid w:val="003269A3"/>
    <w:rsid w:val="00327B2C"/>
    <w:rsid w:val="00327B59"/>
    <w:rsid w:val="00331D17"/>
    <w:rsid w:val="00337663"/>
    <w:rsid w:val="00353D1D"/>
    <w:rsid w:val="00354BBC"/>
    <w:rsid w:val="00361DFF"/>
    <w:rsid w:val="00365889"/>
    <w:rsid w:val="00374514"/>
    <w:rsid w:val="0038014E"/>
    <w:rsid w:val="003923BE"/>
    <w:rsid w:val="003A1C0D"/>
    <w:rsid w:val="003A7FC9"/>
    <w:rsid w:val="003B1FEC"/>
    <w:rsid w:val="003C1E8E"/>
    <w:rsid w:val="003C7E1C"/>
    <w:rsid w:val="003E01AB"/>
    <w:rsid w:val="003F2F4B"/>
    <w:rsid w:val="003F5358"/>
    <w:rsid w:val="00402AC6"/>
    <w:rsid w:val="004170AF"/>
    <w:rsid w:val="004204C6"/>
    <w:rsid w:val="0045064D"/>
    <w:rsid w:val="004524EB"/>
    <w:rsid w:val="00456720"/>
    <w:rsid w:val="00457CC2"/>
    <w:rsid w:val="00462012"/>
    <w:rsid w:val="00463831"/>
    <w:rsid w:val="004737D9"/>
    <w:rsid w:val="00475840"/>
    <w:rsid w:val="00483D6B"/>
    <w:rsid w:val="004963BD"/>
    <w:rsid w:val="004A077E"/>
    <w:rsid w:val="004A5A88"/>
    <w:rsid w:val="004A6CAB"/>
    <w:rsid w:val="004C0855"/>
    <w:rsid w:val="004C69B7"/>
    <w:rsid w:val="004C6A03"/>
    <w:rsid w:val="004F23D6"/>
    <w:rsid w:val="00506D02"/>
    <w:rsid w:val="005154E7"/>
    <w:rsid w:val="00515BEF"/>
    <w:rsid w:val="005313B5"/>
    <w:rsid w:val="005663FE"/>
    <w:rsid w:val="00566D4E"/>
    <w:rsid w:val="005723D7"/>
    <w:rsid w:val="00587F12"/>
    <w:rsid w:val="00591394"/>
    <w:rsid w:val="00595F3A"/>
    <w:rsid w:val="005A400D"/>
    <w:rsid w:val="005A4453"/>
    <w:rsid w:val="005B4F83"/>
    <w:rsid w:val="005B53D9"/>
    <w:rsid w:val="005B5736"/>
    <w:rsid w:val="005C18DF"/>
    <w:rsid w:val="005C287A"/>
    <w:rsid w:val="005C42EC"/>
    <w:rsid w:val="005C4D3B"/>
    <w:rsid w:val="005D7D66"/>
    <w:rsid w:val="005E366C"/>
    <w:rsid w:val="005F6877"/>
    <w:rsid w:val="00602072"/>
    <w:rsid w:val="0060443C"/>
    <w:rsid w:val="00611DF0"/>
    <w:rsid w:val="006328E6"/>
    <w:rsid w:val="0064307E"/>
    <w:rsid w:val="00651863"/>
    <w:rsid w:val="00662539"/>
    <w:rsid w:val="006629AD"/>
    <w:rsid w:val="0067213E"/>
    <w:rsid w:val="00675C96"/>
    <w:rsid w:val="00681ED2"/>
    <w:rsid w:val="006922E6"/>
    <w:rsid w:val="00696252"/>
    <w:rsid w:val="006A4BBC"/>
    <w:rsid w:val="006A68C7"/>
    <w:rsid w:val="006C6A2B"/>
    <w:rsid w:val="006E386A"/>
    <w:rsid w:val="006E7CD3"/>
    <w:rsid w:val="006F6650"/>
    <w:rsid w:val="0070716E"/>
    <w:rsid w:val="00710981"/>
    <w:rsid w:val="00717096"/>
    <w:rsid w:val="007223B5"/>
    <w:rsid w:val="00735E1F"/>
    <w:rsid w:val="0074199A"/>
    <w:rsid w:val="007427AF"/>
    <w:rsid w:val="007434B6"/>
    <w:rsid w:val="007436ED"/>
    <w:rsid w:val="00752DEC"/>
    <w:rsid w:val="00762CBD"/>
    <w:rsid w:val="007653FD"/>
    <w:rsid w:val="0076765C"/>
    <w:rsid w:val="00771FCE"/>
    <w:rsid w:val="00781B91"/>
    <w:rsid w:val="0078631A"/>
    <w:rsid w:val="00793A25"/>
    <w:rsid w:val="007A7C1D"/>
    <w:rsid w:val="007B25F4"/>
    <w:rsid w:val="007B4171"/>
    <w:rsid w:val="007D718A"/>
    <w:rsid w:val="007E292C"/>
    <w:rsid w:val="007F1D13"/>
    <w:rsid w:val="007F42E3"/>
    <w:rsid w:val="007F4E31"/>
    <w:rsid w:val="00823401"/>
    <w:rsid w:val="00830B93"/>
    <w:rsid w:val="00840192"/>
    <w:rsid w:val="00840DFC"/>
    <w:rsid w:val="00847FE4"/>
    <w:rsid w:val="00851F86"/>
    <w:rsid w:val="008622F2"/>
    <w:rsid w:val="00866957"/>
    <w:rsid w:val="00866EB5"/>
    <w:rsid w:val="00875AA3"/>
    <w:rsid w:val="008776E3"/>
    <w:rsid w:val="00884D22"/>
    <w:rsid w:val="008B0943"/>
    <w:rsid w:val="008B5FCD"/>
    <w:rsid w:val="008C5BF5"/>
    <w:rsid w:val="008C6E4E"/>
    <w:rsid w:val="008D2801"/>
    <w:rsid w:val="008E191D"/>
    <w:rsid w:val="00920858"/>
    <w:rsid w:val="00921E06"/>
    <w:rsid w:val="00930F73"/>
    <w:rsid w:val="00945F49"/>
    <w:rsid w:val="00951EAD"/>
    <w:rsid w:val="00952B9A"/>
    <w:rsid w:val="00957BE3"/>
    <w:rsid w:val="0096122C"/>
    <w:rsid w:val="00964109"/>
    <w:rsid w:val="00976702"/>
    <w:rsid w:val="009818F7"/>
    <w:rsid w:val="00983534"/>
    <w:rsid w:val="009A3312"/>
    <w:rsid w:val="009D665E"/>
    <w:rsid w:val="009E2D49"/>
    <w:rsid w:val="009E6AAB"/>
    <w:rsid w:val="009E7865"/>
    <w:rsid w:val="009F302D"/>
    <w:rsid w:val="009F3478"/>
    <w:rsid w:val="009F5428"/>
    <w:rsid w:val="00A10F8C"/>
    <w:rsid w:val="00A15CDD"/>
    <w:rsid w:val="00A15D55"/>
    <w:rsid w:val="00A33CFC"/>
    <w:rsid w:val="00A46716"/>
    <w:rsid w:val="00A47B7F"/>
    <w:rsid w:val="00A61018"/>
    <w:rsid w:val="00A6743F"/>
    <w:rsid w:val="00A67D65"/>
    <w:rsid w:val="00A84924"/>
    <w:rsid w:val="00A87C5D"/>
    <w:rsid w:val="00A90A86"/>
    <w:rsid w:val="00A92B44"/>
    <w:rsid w:val="00AA0519"/>
    <w:rsid w:val="00AA3A21"/>
    <w:rsid w:val="00AA7A5F"/>
    <w:rsid w:val="00AC23D0"/>
    <w:rsid w:val="00AD3723"/>
    <w:rsid w:val="00AF5D39"/>
    <w:rsid w:val="00B14080"/>
    <w:rsid w:val="00B14AE9"/>
    <w:rsid w:val="00B179C5"/>
    <w:rsid w:val="00B35E2E"/>
    <w:rsid w:val="00B50EDE"/>
    <w:rsid w:val="00B532EB"/>
    <w:rsid w:val="00B74C8C"/>
    <w:rsid w:val="00B74DFE"/>
    <w:rsid w:val="00B768BC"/>
    <w:rsid w:val="00B82814"/>
    <w:rsid w:val="00B84933"/>
    <w:rsid w:val="00B86AA8"/>
    <w:rsid w:val="00BA56E2"/>
    <w:rsid w:val="00BC03F7"/>
    <w:rsid w:val="00BD1584"/>
    <w:rsid w:val="00BD438A"/>
    <w:rsid w:val="00BF2331"/>
    <w:rsid w:val="00C024D7"/>
    <w:rsid w:val="00C2348E"/>
    <w:rsid w:val="00C3302D"/>
    <w:rsid w:val="00C339B2"/>
    <w:rsid w:val="00C354FC"/>
    <w:rsid w:val="00C41EE0"/>
    <w:rsid w:val="00C4439A"/>
    <w:rsid w:val="00C51BCA"/>
    <w:rsid w:val="00C6145C"/>
    <w:rsid w:val="00C712DF"/>
    <w:rsid w:val="00C75549"/>
    <w:rsid w:val="00C81AE5"/>
    <w:rsid w:val="00C81E1F"/>
    <w:rsid w:val="00C82382"/>
    <w:rsid w:val="00C82A04"/>
    <w:rsid w:val="00C9169C"/>
    <w:rsid w:val="00C95E87"/>
    <w:rsid w:val="00CA29DB"/>
    <w:rsid w:val="00CA36E9"/>
    <w:rsid w:val="00CB3588"/>
    <w:rsid w:val="00CB3666"/>
    <w:rsid w:val="00CC2A52"/>
    <w:rsid w:val="00CD6394"/>
    <w:rsid w:val="00CE66F4"/>
    <w:rsid w:val="00D014FA"/>
    <w:rsid w:val="00D0150C"/>
    <w:rsid w:val="00D22084"/>
    <w:rsid w:val="00D45002"/>
    <w:rsid w:val="00D47B87"/>
    <w:rsid w:val="00D568E7"/>
    <w:rsid w:val="00D6219A"/>
    <w:rsid w:val="00D666BB"/>
    <w:rsid w:val="00D754A1"/>
    <w:rsid w:val="00D76C05"/>
    <w:rsid w:val="00D83B7A"/>
    <w:rsid w:val="00D915DC"/>
    <w:rsid w:val="00DA3385"/>
    <w:rsid w:val="00DA741F"/>
    <w:rsid w:val="00DE32E6"/>
    <w:rsid w:val="00DE381D"/>
    <w:rsid w:val="00DE72E5"/>
    <w:rsid w:val="00DE7969"/>
    <w:rsid w:val="00DF79E2"/>
    <w:rsid w:val="00E00364"/>
    <w:rsid w:val="00E035CC"/>
    <w:rsid w:val="00E062E9"/>
    <w:rsid w:val="00E32FD6"/>
    <w:rsid w:val="00E56853"/>
    <w:rsid w:val="00E607F4"/>
    <w:rsid w:val="00E66726"/>
    <w:rsid w:val="00E77923"/>
    <w:rsid w:val="00E87D6C"/>
    <w:rsid w:val="00E91BB2"/>
    <w:rsid w:val="00E96665"/>
    <w:rsid w:val="00EA1A7B"/>
    <w:rsid w:val="00EA6EBF"/>
    <w:rsid w:val="00EB3DC1"/>
    <w:rsid w:val="00EB5047"/>
    <w:rsid w:val="00EC5291"/>
    <w:rsid w:val="00EF04C4"/>
    <w:rsid w:val="00EF1DF2"/>
    <w:rsid w:val="00EF7F58"/>
    <w:rsid w:val="00F02D43"/>
    <w:rsid w:val="00F02DC7"/>
    <w:rsid w:val="00F13D47"/>
    <w:rsid w:val="00F22CBF"/>
    <w:rsid w:val="00F23CDC"/>
    <w:rsid w:val="00F35EFC"/>
    <w:rsid w:val="00F36C2A"/>
    <w:rsid w:val="00F44686"/>
    <w:rsid w:val="00F67B0A"/>
    <w:rsid w:val="00F80B1D"/>
    <w:rsid w:val="00F82573"/>
    <w:rsid w:val="00F9333F"/>
    <w:rsid w:val="00FA0CDB"/>
    <w:rsid w:val="00FA15BA"/>
    <w:rsid w:val="00FA6661"/>
    <w:rsid w:val="00FC339A"/>
    <w:rsid w:val="00FC759B"/>
    <w:rsid w:val="00FD2A8B"/>
    <w:rsid w:val="00FE1054"/>
    <w:rsid w:val="00FE351A"/>
    <w:rsid w:val="083A7F0E"/>
    <w:rsid w:val="13F86C00"/>
    <w:rsid w:val="2BDC00CE"/>
    <w:rsid w:val="2C40F5EF"/>
    <w:rsid w:val="3184AFB2"/>
    <w:rsid w:val="45ED78E0"/>
    <w:rsid w:val="57AA85B3"/>
    <w:rsid w:val="6537D4BF"/>
    <w:rsid w:val="6F8E1A81"/>
    <w:rsid w:val="75F9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5E299E56-CE6F-4BC2-BE63-BCF7553F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8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DE381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E381D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E381D"/>
    <w:rPr>
      <w:rFonts w:eastAsiaTheme="minorEastAsia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765C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76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765C"/>
    <w:rPr>
      <w:vertAlign w:val="superscript"/>
    </w:rPr>
  </w:style>
  <w:style w:type="paragraph" w:styleId="Prrafodelista">
    <w:name w:val="List Paragraph"/>
    <w:basedOn w:val="Normal"/>
    <w:uiPriority w:val="34"/>
    <w:rsid w:val="00110F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18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8D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62E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2019-03-28T17:24:00Z</cp:lastPrinted>
  <dcterms:created xsi:type="dcterms:W3CDTF">2022-09-19T22:09:00Z</dcterms:created>
  <dcterms:modified xsi:type="dcterms:W3CDTF">2022-09-19T22:09:00Z</dcterms:modified>
</cp:coreProperties>
</file>