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5320EFD2" w:rsidR="00486572" w:rsidRDefault="00486572" w:rsidP="004437B0">
      <w:pPr>
        <w:spacing w:before="0" w:after="0" w:line="240" w:lineRule="auto"/>
        <w:rPr>
          <w:rFonts w:ascii="Arial" w:hAnsi="Arial" w:cs="Arial"/>
          <w:lang w:val="es-MX"/>
        </w:rPr>
      </w:pPr>
      <w:r w:rsidRPr="00A402E2">
        <w:rPr>
          <w:rFonts w:ascii="Arial" w:hAnsi="Arial" w:cs="Arial"/>
          <w:lang w:val="es-MX"/>
        </w:rPr>
        <w:t xml:space="preserve">Bogotá, D. C., </w:t>
      </w:r>
      <w:r w:rsidR="00D31089">
        <w:rPr>
          <w:rFonts w:ascii="Arial" w:hAnsi="Arial" w:cs="Arial"/>
          <w:lang w:val="es-MX"/>
        </w:rPr>
        <w:t>3 de mayo de 2023</w:t>
      </w:r>
    </w:p>
    <w:p w14:paraId="719E0E84" w14:textId="77777777" w:rsidR="004437B0" w:rsidRPr="00A402E2" w:rsidRDefault="004437B0" w:rsidP="004437B0">
      <w:pPr>
        <w:spacing w:before="0" w:after="0" w:line="240" w:lineRule="auto"/>
        <w:rPr>
          <w:rFonts w:ascii="Arial" w:hAnsi="Arial" w:cs="Arial"/>
          <w:lang w:val="es-MX"/>
        </w:rPr>
      </w:pPr>
    </w:p>
    <w:p w14:paraId="00A5D322" w14:textId="77777777" w:rsidR="00486572" w:rsidRPr="00A402E2" w:rsidRDefault="00486572" w:rsidP="004437B0">
      <w:pPr>
        <w:spacing w:before="0" w:after="0" w:line="240" w:lineRule="auto"/>
        <w:rPr>
          <w:rFonts w:ascii="Arial" w:hAnsi="Arial" w:cs="Arial"/>
          <w:lang w:val="es-MX"/>
        </w:rPr>
      </w:pPr>
    </w:p>
    <w:p w14:paraId="74A169FC" w14:textId="05D4EF46" w:rsidR="00486572" w:rsidRPr="000F2D93" w:rsidRDefault="00486572" w:rsidP="004437B0">
      <w:pPr>
        <w:pStyle w:val="Ttulo5"/>
        <w:spacing w:before="0" w:line="240" w:lineRule="auto"/>
        <w:jc w:val="center"/>
        <w:rPr>
          <w:rFonts w:ascii="Arial" w:hAnsi="Arial" w:cs="Arial"/>
          <w:b/>
          <w:bCs/>
          <w:i/>
          <w:iCs/>
          <w:color w:val="000000" w:themeColor="text1"/>
          <w:kern w:val="60"/>
          <w:sz w:val="40"/>
          <w:szCs w:val="40"/>
        </w:rPr>
      </w:pPr>
      <w:r w:rsidRPr="000F2D93">
        <w:rPr>
          <w:rFonts w:ascii="Arial" w:hAnsi="Arial" w:cs="Arial"/>
          <w:b/>
          <w:bCs/>
          <w:i/>
          <w:iCs/>
          <w:color w:val="000000" w:themeColor="text1"/>
          <w:kern w:val="60"/>
          <w:sz w:val="40"/>
          <w:szCs w:val="40"/>
        </w:rPr>
        <w:t>CIRCULAR No.</w:t>
      </w:r>
      <w:r w:rsidR="00D31089">
        <w:rPr>
          <w:rFonts w:ascii="Arial" w:hAnsi="Arial" w:cs="Arial"/>
          <w:b/>
          <w:bCs/>
          <w:i/>
          <w:iCs/>
          <w:color w:val="000000" w:themeColor="text1"/>
          <w:kern w:val="60"/>
          <w:sz w:val="40"/>
          <w:szCs w:val="40"/>
        </w:rPr>
        <w:t>038</w:t>
      </w:r>
    </w:p>
    <w:p w14:paraId="5053CDF9" w14:textId="579FD5EA" w:rsidR="00486572" w:rsidRDefault="00486572" w:rsidP="004437B0">
      <w:pPr>
        <w:spacing w:before="0" w:after="0" w:line="240" w:lineRule="auto"/>
        <w:rPr>
          <w:rFonts w:ascii="Arial" w:hAnsi="Arial" w:cs="Arial"/>
          <w:lang w:val="es-MX"/>
        </w:rPr>
      </w:pPr>
    </w:p>
    <w:p w14:paraId="29DE4481" w14:textId="77777777" w:rsidR="004437B0" w:rsidRPr="00A402E2" w:rsidRDefault="004437B0" w:rsidP="004437B0">
      <w:pPr>
        <w:spacing w:before="0" w:after="0" w:line="240" w:lineRule="auto"/>
        <w:rPr>
          <w:rFonts w:ascii="Arial" w:hAnsi="Arial" w:cs="Arial"/>
          <w:lang w:val="es-MX"/>
        </w:rPr>
      </w:pPr>
    </w:p>
    <w:p w14:paraId="524AC56D" w14:textId="42A9E24A" w:rsidR="00486572" w:rsidRDefault="00486572" w:rsidP="00660684">
      <w:pPr>
        <w:pStyle w:val="Sangradetextonormal"/>
        <w:spacing w:after="0"/>
        <w:ind w:left="1276" w:hanging="1276"/>
        <w:rPr>
          <w:rFonts w:ascii="Arial" w:hAnsi="Arial" w:cs="Arial"/>
          <w:b/>
        </w:rPr>
      </w:pPr>
      <w:r w:rsidRPr="00A402E2">
        <w:rPr>
          <w:rFonts w:ascii="Arial" w:hAnsi="Arial" w:cs="Arial"/>
          <w:b/>
        </w:rPr>
        <w:t>PARA:</w:t>
      </w:r>
      <w:r w:rsidRPr="00A402E2">
        <w:rPr>
          <w:rFonts w:ascii="Arial" w:hAnsi="Arial" w:cs="Arial"/>
          <w:b/>
        </w:rPr>
        <w:tab/>
      </w:r>
      <w:r w:rsidR="00757D6A" w:rsidRPr="00757D6A">
        <w:rPr>
          <w:rFonts w:ascii="Arial" w:hAnsi="Arial" w:cs="Arial"/>
          <w:b/>
        </w:rPr>
        <w:t>COMERCIALIZADORES MAYORISTAS DE GLP, DISTRIBUIDORES, SUPERINTENDENCIA DE SERVICIOS PÚBLICOS DOMICILIARIOS Y TERCEROS INTERESADOS</w:t>
      </w:r>
    </w:p>
    <w:p w14:paraId="1BB87CCE" w14:textId="77777777" w:rsidR="008E270F" w:rsidRPr="00A402E2" w:rsidRDefault="008E270F" w:rsidP="00660684">
      <w:pPr>
        <w:pStyle w:val="Sangradetextonormal"/>
        <w:spacing w:after="0"/>
        <w:ind w:left="1276" w:hanging="1276"/>
        <w:rPr>
          <w:rFonts w:ascii="Arial" w:hAnsi="Arial" w:cs="Arial"/>
          <w:b/>
        </w:rPr>
      </w:pPr>
    </w:p>
    <w:p w14:paraId="1984CBC1" w14:textId="2ACD047B" w:rsidR="00486572" w:rsidRPr="00A402E2" w:rsidRDefault="00486572" w:rsidP="00660684">
      <w:pPr>
        <w:pStyle w:val="Sangradetextonormal"/>
        <w:spacing w:after="0"/>
        <w:ind w:left="1276" w:hanging="1276"/>
        <w:rPr>
          <w:rFonts w:ascii="Arial" w:hAnsi="Arial" w:cs="Arial"/>
          <w:b/>
        </w:rPr>
      </w:pPr>
      <w:r w:rsidRPr="00A402E2">
        <w:rPr>
          <w:rFonts w:ascii="Arial" w:hAnsi="Arial" w:cs="Arial"/>
          <w:b/>
        </w:rPr>
        <w:t>DE:</w:t>
      </w:r>
      <w:r w:rsidRPr="00A402E2">
        <w:rPr>
          <w:rFonts w:ascii="Arial" w:hAnsi="Arial" w:cs="Arial"/>
          <w:b/>
        </w:rPr>
        <w:tab/>
        <w:t>DIRECCIÓN EJECUTIVA</w:t>
      </w:r>
    </w:p>
    <w:p w14:paraId="168966D6" w14:textId="77777777" w:rsidR="00486572" w:rsidRPr="00A402E2" w:rsidRDefault="00486572" w:rsidP="00660684">
      <w:pPr>
        <w:spacing w:before="0" w:after="0" w:line="240" w:lineRule="auto"/>
        <w:ind w:left="1276" w:hanging="1276"/>
        <w:rPr>
          <w:rFonts w:ascii="Arial" w:hAnsi="Arial" w:cs="Arial"/>
          <w:b/>
        </w:rPr>
      </w:pPr>
    </w:p>
    <w:p w14:paraId="0E0182DB" w14:textId="7B090EC5" w:rsidR="00486572" w:rsidRPr="00A402E2" w:rsidRDefault="00486572" w:rsidP="00660684">
      <w:pPr>
        <w:pStyle w:val="Sangradetextonormal"/>
        <w:spacing w:after="0"/>
        <w:ind w:left="1276" w:hanging="1276"/>
        <w:rPr>
          <w:rFonts w:cs="Arial"/>
        </w:rPr>
      </w:pPr>
      <w:r w:rsidRPr="00A402E2">
        <w:rPr>
          <w:rFonts w:ascii="Arial" w:hAnsi="Arial" w:cs="Arial"/>
          <w:b/>
        </w:rPr>
        <w:t>ASUNTO:</w:t>
      </w:r>
      <w:r w:rsidRPr="00A402E2">
        <w:rPr>
          <w:rFonts w:ascii="Arial" w:hAnsi="Arial" w:cs="Arial"/>
          <w:b/>
        </w:rPr>
        <w:tab/>
      </w:r>
      <w:r w:rsidR="005966B6">
        <w:rPr>
          <w:rFonts w:ascii="Arial" w:hAnsi="Arial" w:cs="Arial"/>
          <w:b/>
        </w:rPr>
        <w:t xml:space="preserve">ALCANCE </w:t>
      </w:r>
      <w:r w:rsidR="00757D6A" w:rsidRPr="00757D6A">
        <w:rPr>
          <w:rFonts w:ascii="Arial" w:hAnsi="Arial" w:cs="Arial"/>
          <w:b/>
        </w:rPr>
        <w:t xml:space="preserve">CIRCULAR CREG </w:t>
      </w:r>
      <w:r w:rsidR="00757D6A" w:rsidRPr="005966B6">
        <w:rPr>
          <w:rFonts w:ascii="Arial" w:hAnsi="Arial" w:cs="Arial"/>
          <w:b/>
        </w:rPr>
        <w:t>0</w:t>
      </w:r>
      <w:r w:rsidR="005966B6" w:rsidRPr="005966B6">
        <w:rPr>
          <w:rFonts w:ascii="Arial" w:hAnsi="Arial" w:cs="Arial"/>
          <w:b/>
        </w:rPr>
        <w:t>15</w:t>
      </w:r>
      <w:r w:rsidR="00757D6A" w:rsidRPr="00757D6A">
        <w:rPr>
          <w:rFonts w:ascii="Arial" w:hAnsi="Arial" w:cs="Arial"/>
          <w:b/>
        </w:rPr>
        <w:t xml:space="preserve"> DE 20</w:t>
      </w:r>
      <w:r w:rsidR="00757D6A">
        <w:rPr>
          <w:rFonts w:ascii="Arial" w:hAnsi="Arial" w:cs="Arial"/>
          <w:b/>
        </w:rPr>
        <w:t>23</w:t>
      </w:r>
      <w:r w:rsidR="00757D6A" w:rsidRPr="00757D6A">
        <w:rPr>
          <w:rFonts w:ascii="Arial" w:hAnsi="Arial" w:cs="Arial"/>
          <w:b/>
        </w:rPr>
        <w:t xml:space="preserve">. PUBLICACIÓN CAPACIDADES DE COMPRA ARTÍCULO 9 DE LA RESOLUCIÓN CREG 063 DE 2016. </w:t>
      </w:r>
      <w:r w:rsidR="00757D6A">
        <w:rPr>
          <w:rFonts w:ascii="Arial" w:hAnsi="Arial" w:cs="Arial"/>
          <w:b/>
        </w:rPr>
        <w:t>D</w:t>
      </w:r>
      <w:r w:rsidR="0055005D">
        <w:rPr>
          <w:rFonts w:ascii="Arial" w:hAnsi="Arial" w:cs="Arial"/>
          <w:b/>
        </w:rPr>
        <w:t>É</w:t>
      </w:r>
      <w:r w:rsidR="00757D6A">
        <w:rPr>
          <w:rFonts w:ascii="Arial" w:hAnsi="Arial" w:cs="Arial"/>
          <w:b/>
        </w:rPr>
        <w:t xml:space="preserve">CIMO </w:t>
      </w:r>
      <w:r w:rsidR="00757D6A" w:rsidRPr="00757D6A">
        <w:rPr>
          <w:rFonts w:ascii="Arial" w:hAnsi="Arial" w:cs="Arial"/>
          <w:b/>
        </w:rPr>
        <w:t>CUARTO PERÍODO DE COMPRA</w:t>
      </w:r>
    </w:p>
    <w:p w14:paraId="08698B87" w14:textId="77777777" w:rsidR="00757D6A" w:rsidRDefault="00757D6A" w:rsidP="004437B0">
      <w:pPr>
        <w:spacing w:before="0" w:after="0" w:line="240" w:lineRule="auto"/>
        <w:jc w:val="both"/>
        <w:rPr>
          <w:rFonts w:ascii="Arial" w:hAnsi="Arial" w:cs="Arial"/>
        </w:rPr>
      </w:pPr>
    </w:p>
    <w:p w14:paraId="4A95DDEC" w14:textId="77777777" w:rsidR="00757D6A" w:rsidRPr="00757D6A" w:rsidRDefault="00757D6A" w:rsidP="00660684">
      <w:pPr>
        <w:spacing w:after="240" w:line="276" w:lineRule="auto"/>
        <w:jc w:val="both"/>
        <w:rPr>
          <w:rFonts w:asciiTheme="majorHAnsi" w:eastAsia="Times New Roman" w:hAnsiTheme="majorHAnsi" w:cstheme="majorHAnsi"/>
          <w:spacing w:val="-5"/>
        </w:rPr>
      </w:pPr>
      <w:r w:rsidRPr="00757D6A">
        <w:rPr>
          <w:rFonts w:asciiTheme="majorHAnsi" w:eastAsia="Times New Roman" w:hAnsiTheme="majorHAnsi" w:cstheme="majorHAnsi"/>
          <w:spacing w:val="-5"/>
        </w:rPr>
        <w:t xml:space="preserve">En ejercicio de sus facultades regulatorias previstas entre </w:t>
      </w:r>
      <w:r w:rsidRPr="001D50D3">
        <w:rPr>
          <w:rFonts w:asciiTheme="majorHAnsi" w:eastAsia="Times New Roman" w:hAnsiTheme="majorHAnsi" w:cstheme="majorHAnsi"/>
          <w:spacing w:val="-5"/>
        </w:rPr>
        <w:t xml:space="preserve">otras en la Ley 142 de 1994 </w:t>
      </w:r>
      <w:r w:rsidRPr="0030203A">
        <w:rPr>
          <w:rFonts w:asciiTheme="majorHAnsi" w:eastAsia="Times New Roman" w:hAnsiTheme="majorHAnsi" w:cstheme="majorHAnsi"/>
          <w:spacing w:val="-5"/>
        </w:rPr>
        <w:t>y en el artículo 62 de la Ley 1151 de 2007</w:t>
      </w:r>
      <w:r w:rsidRPr="0030203A">
        <w:rPr>
          <w:rFonts w:asciiTheme="majorHAnsi" w:eastAsia="Times New Roman" w:hAnsiTheme="majorHAnsi" w:cstheme="majorHAnsi"/>
          <w:spacing w:val="-5"/>
          <w:vertAlign w:val="superscript"/>
        </w:rPr>
        <w:footnoteReference w:id="2"/>
      </w:r>
      <w:r w:rsidRPr="0030203A">
        <w:rPr>
          <w:rFonts w:asciiTheme="majorHAnsi" w:eastAsia="Times New Roman" w:hAnsiTheme="majorHAnsi" w:cstheme="majorHAnsi"/>
          <w:spacing w:val="-5"/>
        </w:rPr>
        <w:t>,</w:t>
      </w:r>
      <w:r w:rsidRPr="001D50D3">
        <w:rPr>
          <w:rFonts w:asciiTheme="majorHAnsi" w:eastAsia="Times New Roman" w:hAnsiTheme="majorHAnsi" w:cstheme="majorHAnsi"/>
          <w:spacing w:val="-5"/>
        </w:rPr>
        <w:t xml:space="preserve"> la Comisión de Regulación de</w:t>
      </w:r>
      <w:r w:rsidRPr="00757D6A">
        <w:rPr>
          <w:rFonts w:asciiTheme="majorHAnsi" w:eastAsia="Times New Roman" w:hAnsiTheme="majorHAnsi" w:cstheme="majorHAnsi"/>
          <w:spacing w:val="-5"/>
        </w:rPr>
        <w:t xml:space="preserve"> Energía y Gas – CREG expidió la Resolución CREG 063 de 2016 “</w:t>
      </w:r>
      <w:r w:rsidRPr="00723843">
        <w:rPr>
          <w:rFonts w:asciiTheme="majorHAnsi" w:eastAsia="Times New Roman" w:hAnsiTheme="majorHAnsi" w:cstheme="majorHAnsi"/>
          <w:i/>
          <w:iCs/>
          <w:spacing w:val="-5"/>
        </w:rPr>
        <w:t>Por la cual se establecen parámetros de conducta y la participación de los agentes dentro de las actividades de comercialización mayorista y distribución de GLP</w:t>
      </w:r>
      <w:r w:rsidRPr="00757D6A">
        <w:rPr>
          <w:rFonts w:asciiTheme="majorHAnsi" w:eastAsia="Times New Roman" w:hAnsiTheme="majorHAnsi" w:cstheme="majorHAnsi"/>
          <w:spacing w:val="-5"/>
        </w:rPr>
        <w:t xml:space="preserve">”. </w:t>
      </w:r>
    </w:p>
    <w:p w14:paraId="3CE61F15" w14:textId="77777777" w:rsidR="00757D6A" w:rsidRPr="00757D6A" w:rsidRDefault="00757D6A" w:rsidP="00660684">
      <w:pPr>
        <w:spacing w:after="240" w:line="276" w:lineRule="auto"/>
        <w:jc w:val="both"/>
        <w:rPr>
          <w:rFonts w:asciiTheme="majorHAnsi" w:eastAsia="Times New Roman" w:hAnsiTheme="majorHAnsi" w:cstheme="majorHAnsi"/>
          <w:spacing w:val="-5"/>
        </w:rPr>
      </w:pPr>
      <w:r w:rsidRPr="00757D6A">
        <w:rPr>
          <w:rFonts w:asciiTheme="majorHAnsi" w:eastAsia="Times New Roman" w:hAnsiTheme="majorHAnsi" w:cstheme="majorHAnsi"/>
          <w:spacing w:val="-5"/>
        </w:rPr>
        <w:t xml:space="preserve">Dentro de este acto administrativo se dispuso la existencia de una “capacidad de compra” determinada por esta Comisión de acuerdo con lo previsto en el artículo 8 de la Resolución CREG 063 de 2016, modificado por el artículo 1 de la Resolución CREG 180 de 2017, atendiendo la capacidad de envase en kilogramos registrado de acuerdo con la información reportada en el Sistema Único de Información – SUI. </w:t>
      </w:r>
    </w:p>
    <w:p w14:paraId="22E46F1A" w14:textId="4E582315" w:rsidR="00757D6A" w:rsidRPr="00F41009" w:rsidRDefault="00757D6A" w:rsidP="00660684">
      <w:pPr>
        <w:spacing w:after="240" w:line="276" w:lineRule="auto"/>
        <w:jc w:val="both"/>
        <w:rPr>
          <w:rFonts w:asciiTheme="majorHAnsi" w:eastAsia="Times New Roman" w:hAnsiTheme="majorHAnsi" w:cstheme="majorHAnsi"/>
          <w:lang w:val="es-ES" w:eastAsia="es-ES"/>
        </w:rPr>
      </w:pPr>
      <w:r w:rsidRPr="00F41009">
        <w:rPr>
          <w:rFonts w:asciiTheme="majorHAnsi" w:eastAsia="Times New Roman" w:hAnsiTheme="majorHAnsi" w:cstheme="majorHAnsi"/>
          <w:spacing w:val="-5"/>
        </w:rPr>
        <w:t xml:space="preserve">Mediante la Resolución </w:t>
      </w:r>
      <w:r w:rsidR="001E0791" w:rsidRPr="00F41009">
        <w:rPr>
          <w:rFonts w:asciiTheme="majorHAnsi" w:eastAsia="Times New Roman" w:hAnsiTheme="majorHAnsi" w:cstheme="majorHAnsi"/>
          <w:spacing w:val="-5"/>
        </w:rPr>
        <w:t xml:space="preserve">CREG 503 001 de 2023 </w:t>
      </w:r>
      <w:r w:rsidRPr="00F41009">
        <w:rPr>
          <w:rFonts w:asciiTheme="majorHAnsi" w:eastAsia="Times New Roman" w:hAnsiTheme="majorHAnsi" w:cstheme="majorHAnsi"/>
          <w:spacing w:val="-5"/>
        </w:rPr>
        <w:t xml:space="preserve">la CREG definió la capacidad de compra para </w:t>
      </w:r>
      <w:r w:rsidR="005010E8" w:rsidRPr="00F41009">
        <w:rPr>
          <w:rFonts w:asciiTheme="majorHAnsi" w:eastAsia="Times New Roman" w:hAnsiTheme="majorHAnsi" w:cstheme="majorHAnsi"/>
          <w:spacing w:val="-5"/>
        </w:rPr>
        <w:t>sesenta (</w:t>
      </w:r>
      <w:r w:rsidRPr="00F41009">
        <w:rPr>
          <w:rFonts w:asciiTheme="majorHAnsi" w:hAnsiTheme="majorHAnsi" w:cstheme="majorHAnsi"/>
        </w:rPr>
        <w:t>6</w:t>
      </w:r>
      <w:r w:rsidR="005010E8" w:rsidRPr="00F41009">
        <w:rPr>
          <w:rFonts w:asciiTheme="majorHAnsi" w:hAnsiTheme="majorHAnsi" w:cstheme="majorHAnsi"/>
        </w:rPr>
        <w:t>0)</w:t>
      </w:r>
      <w:r w:rsidRPr="00F41009">
        <w:rPr>
          <w:rFonts w:asciiTheme="majorHAnsi" w:hAnsiTheme="majorHAnsi" w:cstheme="majorHAnsi"/>
        </w:rPr>
        <w:t xml:space="preserve"> distribuidores que</w:t>
      </w:r>
      <w:r w:rsidR="00660684">
        <w:rPr>
          <w:rFonts w:asciiTheme="majorHAnsi" w:hAnsiTheme="majorHAnsi" w:cstheme="majorHAnsi"/>
        </w:rPr>
        <w:t>,</w:t>
      </w:r>
      <w:r w:rsidRPr="00F41009">
        <w:rPr>
          <w:rFonts w:asciiTheme="majorHAnsi" w:hAnsiTheme="majorHAnsi" w:cstheme="majorHAnsi"/>
        </w:rPr>
        <w:t xml:space="preserve"> de acuerdo con la información del Sistema Único de Información – SUI y del Registro Único de Prestadores </w:t>
      </w:r>
      <w:r w:rsidR="00660684">
        <w:rPr>
          <w:rFonts w:asciiTheme="majorHAnsi" w:hAnsiTheme="majorHAnsi" w:cstheme="majorHAnsi"/>
        </w:rPr>
        <w:t>–</w:t>
      </w:r>
      <w:r w:rsidRPr="00F41009">
        <w:rPr>
          <w:rFonts w:asciiTheme="majorHAnsi" w:hAnsiTheme="majorHAnsi" w:cstheme="majorHAnsi"/>
        </w:rPr>
        <w:t xml:space="preserve"> RUPS</w:t>
      </w:r>
      <w:r w:rsidR="00660684">
        <w:rPr>
          <w:rFonts w:asciiTheme="majorHAnsi" w:hAnsiTheme="majorHAnsi" w:cstheme="majorHAnsi"/>
        </w:rPr>
        <w:t>,</w:t>
      </w:r>
      <w:r w:rsidRPr="00F41009">
        <w:rPr>
          <w:rFonts w:asciiTheme="majorHAnsi" w:hAnsiTheme="majorHAnsi" w:cstheme="majorHAnsi"/>
        </w:rPr>
        <w:t xml:space="preserve"> realizan la prestación </w:t>
      </w:r>
      <w:r w:rsidRPr="00F41009">
        <w:rPr>
          <w:rFonts w:asciiTheme="majorHAnsi" w:eastAsia="MS Mincho" w:hAnsiTheme="majorHAnsi" w:cstheme="majorHAnsi"/>
        </w:rPr>
        <w:t>del</w:t>
      </w:r>
      <w:r w:rsidRPr="00F41009">
        <w:rPr>
          <w:rFonts w:asciiTheme="majorHAnsi" w:hAnsiTheme="majorHAnsi" w:cstheme="majorHAnsi"/>
        </w:rPr>
        <w:t xml:space="preserve"> servicio de GLP en cilindros y/o a granel, aplicable para </w:t>
      </w:r>
      <w:r w:rsidRPr="00F41009">
        <w:rPr>
          <w:rFonts w:asciiTheme="majorHAnsi" w:eastAsia="Times New Roman" w:hAnsiTheme="majorHAnsi" w:cstheme="majorHAnsi"/>
          <w:lang w:val="es-ES" w:eastAsia="es-ES"/>
        </w:rPr>
        <w:t>e</w:t>
      </w:r>
      <w:r w:rsidRPr="00F41009">
        <w:rPr>
          <w:rFonts w:asciiTheme="majorHAnsi" w:eastAsia="Times New Roman" w:hAnsiTheme="majorHAnsi" w:cstheme="majorHAnsi"/>
          <w:lang w:eastAsia="es-ES"/>
        </w:rPr>
        <w:t xml:space="preserve">l </w:t>
      </w:r>
      <w:r w:rsidR="00BD2AB7" w:rsidRPr="00F41009">
        <w:rPr>
          <w:rFonts w:asciiTheme="majorHAnsi" w:eastAsia="Times New Roman" w:hAnsiTheme="majorHAnsi" w:cstheme="majorHAnsi"/>
          <w:lang w:eastAsia="es-ES"/>
        </w:rPr>
        <w:t xml:space="preserve">décimo </w:t>
      </w:r>
      <w:r w:rsidRPr="00F41009">
        <w:rPr>
          <w:rFonts w:asciiTheme="majorHAnsi" w:eastAsia="Times New Roman" w:hAnsiTheme="majorHAnsi" w:cstheme="majorHAnsi"/>
          <w:lang w:eastAsia="es-ES"/>
        </w:rPr>
        <w:t xml:space="preserve">cuarto período de compra el cual corresponde, atendiendo lo previsto en el artículo 2 de la Resolución </w:t>
      </w:r>
      <w:r w:rsidRPr="00F41009">
        <w:rPr>
          <w:rFonts w:asciiTheme="majorHAnsi" w:eastAsia="Times New Roman" w:hAnsiTheme="majorHAnsi" w:cstheme="majorHAnsi"/>
          <w:lang w:eastAsia="es-ES"/>
        </w:rPr>
        <w:lastRenderedPageBreak/>
        <w:t>CREG 063 de 2016</w:t>
      </w:r>
      <w:r w:rsidR="00C84A81" w:rsidRPr="00F41009">
        <w:rPr>
          <w:rFonts w:asciiTheme="majorHAnsi" w:eastAsia="Times New Roman" w:hAnsiTheme="majorHAnsi" w:cstheme="majorHAnsi"/>
          <w:lang w:eastAsia="es-ES"/>
        </w:rPr>
        <w:t xml:space="preserve"> modificado por la Resolución CREG </w:t>
      </w:r>
      <w:r w:rsidR="001D50D3" w:rsidRPr="00F41009">
        <w:rPr>
          <w:rFonts w:asciiTheme="majorHAnsi" w:eastAsia="Times New Roman" w:hAnsiTheme="majorHAnsi" w:cstheme="majorHAnsi"/>
          <w:lang w:eastAsia="es-ES"/>
        </w:rPr>
        <w:t>103 002 de 2022</w:t>
      </w:r>
      <w:r w:rsidRPr="00F41009">
        <w:rPr>
          <w:rFonts w:asciiTheme="majorHAnsi" w:eastAsia="Times New Roman" w:hAnsiTheme="majorHAnsi" w:cstheme="majorHAnsi"/>
          <w:lang w:eastAsia="es-ES"/>
        </w:rPr>
        <w:t xml:space="preserve">, al periodo de </w:t>
      </w:r>
      <w:r w:rsidR="001D50D3" w:rsidRPr="00F41009">
        <w:rPr>
          <w:rFonts w:asciiTheme="majorHAnsi" w:eastAsia="Times New Roman" w:hAnsiTheme="majorHAnsi" w:cstheme="majorHAnsi"/>
          <w:lang w:eastAsia="es-ES"/>
        </w:rPr>
        <w:t>seis (</w:t>
      </w:r>
      <w:r w:rsidRPr="00F41009">
        <w:rPr>
          <w:rFonts w:asciiTheme="majorHAnsi" w:eastAsia="Times New Roman" w:hAnsiTheme="majorHAnsi" w:cstheme="majorHAnsi"/>
          <w:lang w:eastAsia="es-ES"/>
        </w:rPr>
        <w:t>6</w:t>
      </w:r>
      <w:r w:rsidR="001D50D3" w:rsidRPr="00F41009">
        <w:rPr>
          <w:rFonts w:asciiTheme="majorHAnsi" w:eastAsia="Times New Roman" w:hAnsiTheme="majorHAnsi" w:cstheme="majorHAnsi"/>
          <w:lang w:eastAsia="es-ES"/>
        </w:rPr>
        <w:t>)</w:t>
      </w:r>
      <w:r w:rsidRPr="00F41009">
        <w:rPr>
          <w:rFonts w:asciiTheme="majorHAnsi" w:eastAsia="Times New Roman" w:hAnsiTheme="majorHAnsi" w:cstheme="majorHAnsi"/>
          <w:lang w:eastAsia="es-ES"/>
        </w:rPr>
        <w:t xml:space="preserve"> meses que </w:t>
      </w:r>
      <w:r w:rsidR="00C84A81" w:rsidRPr="00F41009">
        <w:rPr>
          <w:rFonts w:asciiTheme="majorHAnsi" w:eastAsia="Times New Roman" w:hAnsiTheme="majorHAnsi" w:cstheme="majorHAnsi"/>
          <w:lang w:eastAsia="es-ES"/>
        </w:rPr>
        <w:t>inicia el primero (1) de marzo de 2023 y termina el treinta y uno (31) de agosto de 2023</w:t>
      </w:r>
      <w:r w:rsidRPr="00F41009">
        <w:rPr>
          <w:rFonts w:asciiTheme="majorHAnsi" w:eastAsia="Times New Roman" w:hAnsiTheme="majorHAnsi" w:cstheme="majorHAnsi"/>
          <w:lang w:eastAsia="es-ES"/>
        </w:rPr>
        <w:t xml:space="preserve">. En atención a lo anterior, dichas capacidades serán aplicables para las cantidades que sean comercializadas o que se estén comercializando a partir de la expedición de </w:t>
      </w:r>
      <w:r w:rsidR="009C7D29" w:rsidRPr="00F41009">
        <w:rPr>
          <w:rFonts w:asciiTheme="majorHAnsi" w:eastAsia="Times New Roman" w:hAnsiTheme="majorHAnsi" w:cstheme="majorHAnsi"/>
          <w:lang w:eastAsia="es-ES"/>
        </w:rPr>
        <w:t xml:space="preserve">dicha </w:t>
      </w:r>
      <w:r w:rsidRPr="00F41009">
        <w:rPr>
          <w:rFonts w:asciiTheme="majorHAnsi" w:eastAsia="Times New Roman" w:hAnsiTheme="majorHAnsi" w:cstheme="majorHAnsi"/>
          <w:lang w:eastAsia="es-ES"/>
        </w:rPr>
        <w:t xml:space="preserve">circular y hasta la finalización del </w:t>
      </w:r>
      <w:r w:rsidR="009C7D29" w:rsidRPr="00F41009">
        <w:rPr>
          <w:rFonts w:asciiTheme="majorHAnsi" w:eastAsia="Times New Roman" w:hAnsiTheme="majorHAnsi" w:cstheme="majorHAnsi"/>
          <w:lang w:eastAsia="es-ES"/>
        </w:rPr>
        <w:t xml:space="preserve">décimo </w:t>
      </w:r>
      <w:r w:rsidRPr="00F41009">
        <w:rPr>
          <w:rFonts w:asciiTheme="majorHAnsi" w:eastAsia="Times New Roman" w:hAnsiTheme="majorHAnsi" w:cstheme="majorHAnsi"/>
          <w:lang w:eastAsia="es-ES"/>
        </w:rPr>
        <w:t>cuarto período de compra.</w:t>
      </w:r>
    </w:p>
    <w:p w14:paraId="4382C97E" w14:textId="7720FBEF" w:rsidR="00757D6A" w:rsidRDefault="00757D6A" w:rsidP="00660684">
      <w:pPr>
        <w:spacing w:after="240" w:line="276" w:lineRule="auto"/>
        <w:jc w:val="both"/>
        <w:rPr>
          <w:rFonts w:asciiTheme="majorHAnsi" w:eastAsia="MS Mincho" w:hAnsiTheme="majorHAnsi" w:cstheme="majorHAnsi"/>
        </w:rPr>
      </w:pPr>
      <w:r w:rsidRPr="00F41009">
        <w:rPr>
          <w:rFonts w:asciiTheme="majorHAnsi" w:eastAsia="MS Mincho" w:hAnsiTheme="majorHAnsi" w:cstheme="majorHAnsi"/>
        </w:rPr>
        <w:t>De acuerdo con lo previsto en la regulación, se establece que</w:t>
      </w:r>
      <w:r w:rsidR="00723843" w:rsidRPr="00F41009">
        <w:rPr>
          <w:rFonts w:asciiTheme="majorHAnsi" w:eastAsia="MS Mincho" w:hAnsiTheme="majorHAnsi" w:cstheme="majorHAnsi"/>
        </w:rPr>
        <w:t>,</w:t>
      </w:r>
      <w:r w:rsidRPr="00F41009">
        <w:rPr>
          <w:rFonts w:asciiTheme="majorHAnsi" w:eastAsia="MS Mincho" w:hAnsiTheme="majorHAnsi" w:cstheme="majorHAnsi"/>
        </w:rPr>
        <w:t xml:space="preserve"> para la aplicación de la capacidad de compra, así como para el cumplimiento de las obligaciones consagradas en la Resolución CREG 063 de 2016 para el caso de los comercializadores mayoristas y los distribuidores</w:t>
      </w:r>
      <w:r w:rsidR="00F4695F" w:rsidRPr="00F41009">
        <w:rPr>
          <w:rFonts w:asciiTheme="majorHAnsi" w:eastAsia="MS Mincho" w:hAnsiTheme="majorHAnsi" w:cstheme="majorHAnsi"/>
        </w:rPr>
        <w:t xml:space="preserve"> de GLP</w:t>
      </w:r>
      <w:r w:rsidRPr="00F41009">
        <w:rPr>
          <w:rFonts w:asciiTheme="majorHAnsi" w:eastAsia="MS Mincho" w:hAnsiTheme="majorHAnsi" w:cstheme="majorHAnsi"/>
        </w:rPr>
        <w:t>, dicha capacidad debe estar definida y publicada por la CREG con anterioridad al inicio de un período de compra. Desde el lado del comercializador mayorista, dichas obligaciones hacen referencia a abstenerse de ofrecer y vender GLP a un distribuidor cuando, de manera directa o a través de la representación de otro comercializador mayorista, dicha oferta o venta lleve al distribuidor a exceder su capacidad de compra, de acuerdo con lo previsto en la regulación.</w:t>
      </w:r>
    </w:p>
    <w:p w14:paraId="7332A634" w14:textId="35C239CB" w:rsidR="005505CC" w:rsidRDefault="00660684" w:rsidP="00660684">
      <w:pPr>
        <w:spacing w:after="240" w:line="276" w:lineRule="auto"/>
        <w:jc w:val="both"/>
        <w:rPr>
          <w:rFonts w:asciiTheme="majorHAnsi" w:eastAsia="MS Mincho" w:hAnsiTheme="majorHAnsi" w:cstheme="majorHAnsi"/>
        </w:rPr>
      </w:pPr>
      <w:r>
        <w:rPr>
          <w:rFonts w:asciiTheme="majorHAnsi" w:eastAsia="MS Mincho" w:hAnsiTheme="majorHAnsi" w:cstheme="majorHAnsi"/>
        </w:rPr>
        <w:t>Conforme a lo anterior, a</w:t>
      </w:r>
      <w:r w:rsidR="005505CC">
        <w:rPr>
          <w:rFonts w:asciiTheme="majorHAnsi" w:eastAsia="MS Mincho" w:hAnsiTheme="majorHAnsi" w:cstheme="majorHAnsi"/>
        </w:rPr>
        <w:t xml:space="preserve"> través de la Circular CREG 015 de 202</w:t>
      </w:r>
      <w:r w:rsidR="00CA1B0F">
        <w:rPr>
          <w:rFonts w:asciiTheme="majorHAnsi" w:eastAsia="MS Mincho" w:hAnsiTheme="majorHAnsi" w:cstheme="majorHAnsi"/>
        </w:rPr>
        <w:t>3</w:t>
      </w:r>
      <w:r w:rsidR="005505CC">
        <w:rPr>
          <w:rFonts w:asciiTheme="majorHAnsi" w:eastAsia="MS Mincho" w:hAnsiTheme="majorHAnsi" w:cstheme="majorHAnsi"/>
        </w:rPr>
        <w:t>, esta Comisión publicó las capacidades de compra correspondientes al décimo cuarto periodo de compra.</w:t>
      </w:r>
    </w:p>
    <w:p w14:paraId="18566E2E" w14:textId="5900CF9F" w:rsidR="005505CC" w:rsidRDefault="005505CC" w:rsidP="00660684">
      <w:pPr>
        <w:spacing w:after="240" w:line="276" w:lineRule="auto"/>
        <w:jc w:val="both"/>
        <w:rPr>
          <w:rFonts w:asciiTheme="majorHAnsi" w:eastAsia="MS Mincho" w:hAnsiTheme="majorHAnsi" w:cstheme="majorHAnsi"/>
        </w:rPr>
      </w:pPr>
      <w:r>
        <w:rPr>
          <w:rFonts w:asciiTheme="majorHAnsi" w:eastAsia="MS Mincho" w:hAnsiTheme="majorHAnsi" w:cstheme="majorHAnsi"/>
        </w:rPr>
        <w:t>M</w:t>
      </w:r>
      <w:r w:rsidRPr="005505CC">
        <w:rPr>
          <w:rFonts w:asciiTheme="majorHAnsi" w:eastAsia="MS Mincho" w:hAnsiTheme="majorHAnsi" w:cstheme="majorHAnsi"/>
        </w:rPr>
        <w:t xml:space="preserve">ediante comunicación con radicado CREG </w:t>
      </w:r>
      <w:r w:rsidR="001A260C">
        <w:rPr>
          <w:rFonts w:asciiTheme="majorHAnsi" w:eastAsia="MS Mincho" w:hAnsiTheme="majorHAnsi" w:cstheme="majorHAnsi"/>
        </w:rPr>
        <w:t xml:space="preserve">E2023005965 </w:t>
      </w:r>
      <w:r w:rsidRPr="001A260C">
        <w:rPr>
          <w:rFonts w:asciiTheme="majorHAnsi" w:eastAsia="MS Mincho" w:hAnsiTheme="majorHAnsi" w:cstheme="majorHAnsi"/>
        </w:rPr>
        <w:t xml:space="preserve">del </w:t>
      </w:r>
      <w:r w:rsidR="001A260C" w:rsidRPr="001A260C">
        <w:rPr>
          <w:rFonts w:asciiTheme="majorHAnsi" w:eastAsia="MS Mincho" w:hAnsiTheme="majorHAnsi" w:cstheme="majorHAnsi"/>
        </w:rPr>
        <w:t>1</w:t>
      </w:r>
      <w:r w:rsidR="001A260C">
        <w:rPr>
          <w:rFonts w:asciiTheme="majorHAnsi" w:eastAsia="MS Mincho" w:hAnsiTheme="majorHAnsi" w:cstheme="majorHAnsi"/>
        </w:rPr>
        <w:t>4</w:t>
      </w:r>
      <w:r w:rsidRPr="005505CC">
        <w:rPr>
          <w:rFonts w:asciiTheme="majorHAnsi" w:eastAsia="MS Mincho" w:hAnsiTheme="majorHAnsi" w:cstheme="majorHAnsi"/>
        </w:rPr>
        <w:t xml:space="preserve"> de abril de 2023, la empresa GRANADOS GÓMEZ &amp; CÍA S.A.S. E.S.P. expone que durante el transcurso del actual período de compra (i.e. décimo cuarto período),</w:t>
      </w:r>
      <w:r w:rsidR="00CD718B">
        <w:rPr>
          <w:rFonts w:asciiTheme="majorHAnsi" w:eastAsia="MS Mincho" w:hAnsiTheme="majorHAnsi" w:cstheme="majorHAnsi"/>
        </w:rPr>
        <w:t xml:space="preserve"> </w:t>
      </w:r>
      <w:r w:rsidRPr="005505CC">
        <w:rPr>
          <w:rFonts w:asciiTheme="majorHAnsi" w:eastAsia="MS Mincho" w:hAnsiTheme="majorHAnsi" w:cstheme="majorHAnsi"/>
        </w:rPr>
        <w:t xml:space="preserve">dicha empresa ha llevado a cabo un proceso de fusión por absorción de las empresas DISTRIBUIDORA CENTRAL DE GAS S.A.S. E.S.P. y GAS PROPANO DE COLOMBIA S.A.S. E.S.P. adjuntando </w:t>
      </w:r>
      <w:r w:rsidR="00FF23F0">
        <w:rPr>
          <w:rFonts w:asciiTheme="majorHAnsi" w:eastAsia="MS Mincho" w:hAnsiTheme="majorHAnsi" w:cstheme="majorHAnsi"/>
        </w:rPr>
        <w:t>los s</w:t>
      </w:r>
      <w:r w:rsidR="00DA2F2B">
        <w:rPr>
          <w:rFonts w:asciiTheme="majorHAnsi" w:eastAsia="MS Mincho" w:hAnsiTheme="majorHAnsi" w:cstheme="majorHAnsi"/>
        </w:rPr>
        <w:t xml:space="preserve">oportes correspondientes dentro de los cuales se incluyen, entre otros: </w:t>
      </w:r>
      <w:r w:rsidR="008632D7">
        <w:rPr>
          <w:rFonts w:asciiTheme="majorHAnsi" w:eastAsia="MS Mincho" w:hAnsiTheme="majorHAnsi" w:cstheme="majorHAnsi"/>
        </w:rPr>
        <w:t xml:space="preserve">i) </w:t>
      </w:r>
      <w:r w:rsidR="00C26990">
        <w:rPr>
          <w:rFonts w:asciiTheme="majorHAnsi" w:eastAsia="MS Mincho" w:hAnsiTheme="majorHAnsi" w:cstheme="majorHAnsi"/>
        </w:rPr>
        <w:t xml:space="preserve">Resolución de </w:t>
      </w:r>
      <w:r w:rsidR="00D46C78">
        <w:rPr>
          <w:rFonts w:asciiTheme="majorHAnsi" w:eastAsia="MS Mincho" w:hAnsiTheme="majorHAnsi" w:cstheme="majorHAnsi"/>
        </w:rPr>
        <w:t>autorización</w:t>
      </w:r>
      <w:r w:rsidR="00C26990">
        <w:rPr>
          <w:rFonts w:asciiTheme="majorHAnsi" w:eastAsia="MS Mincho" w:hAnsiTheme="majorHAnsi" w:cstheme="majorHAnsi"/>
        </w:rPr>
        <w:t xml:space="preserve"> de fusión de la Superintendencia de Sociedades </w:t>
      </w:r>
      <w:proofErr w:type="spellStart"/>
      <w:r w:rsidR="008632D7">
        <w:rPr>
          <w:rFonts w:asciiTheme="majorHAnsi" w:eastAsia="MS Mincho" w:hAnsiTheme="majorHAnsi" w:cstheme="majorHAnsi"/>
        </w:rPr>
        <w:t>ii</w:t>
      </w:r>
      <w:proofErr w:type="spellEnd"/>
      <w:r w:rsidR="008632D7">
        <w:rPr>
          <w:rFonts w:asciiTheme="majorHAnsi" w:eastAsia="MS Mincho" w:hAnsiTheme="majorHAnsi" w:cstheme="majorHAnsi"/>
        </w:rPr>
        <w:t xml:space="preserve">) </w:t>
      </w:r>
      <w:r w:rsidR="003F5757">
        <w:rPr>
          <w:rFonts w:asciiTheme="majorHAnsi" w:eastAsia="MS Mincho" w:hAnsiTheme="majorHAnsi" w:cstheme="majorHAnsi"/>
        </w:rPr>
        <w:t>S</w:t>
      </w:r>
      <w:r w:rsidR="008632D7">
        <w:rPr>
          <w:rFonts w:asciiTheme="majorHAnsi" w:eastAsia="MS Mincho" w:hAnsiTheme="majorHAnsi" w:cstheme="majorHAnsi"/>
        </w:rPr>
        <w:t>oporte</w:t>
      </w:r>
      <w:r w:rsidR="00F32BA8">
        <w:rPr>
          <w:rFonts w:asciiTheme="majorHAnsi" w:eastAsia="MS Mincho" w:hAnsiTheme="majorHAnsi" w:cstheme="majorHAnsi"/>
        </w:rPr>
        <w:t>s</w:t>
      </w:r>
      <w:r w:rsidR="008632D7">
        <w:rPr>
          <w:rFonts w:asciiTheme="majorHAnsi" w:eastAsia="MS Mincho" w:hAnsiTheme="majorHAnsi" w:cstheme="majorHAnsi"/>
        </w:rPr>
        <w:t xml:space="preserve"> de cesión de marca y registro ante la SSPD</w:t>
      </w:r>
      <w:r w:rsidR="003F5757">
        <w:rPr>
          <w:rFonts w:asciiTheme="majorHAnsi" w:eastAsia="MS Mincho" w:hAnsiTheme="majorHAnsi" w:cstheme="majorHAnsi"/>
        </w:rPr>
        <w:t xml:space="preserve"> </w:t>
      </w:r>
      <w:proofErr w:type="spellStart"/>
      <w:r w:rsidR="008632D7">
        <w:rPr>
          <w:rFonts w:asciiTheme="majorHAnsi" w:eastAsia="MS Mincho" w:hAnsiTheme="majorHAnsi" w:cstheme="majorHAnsi"/>
        </w:rPr>
        <w:t>iii</w:t>
      </w:r>
      <w:proofErr w:type="spellEnd"/>
      <w:r w:rsidR="008632D7">
        <w:rPr>
          <w:rFonts w:asciiTheme="majorHAnsi" w:eastAsia="MS Mincho" w:hAnsiTheme="majorHAnsi" w:cstheme="majorHAnsi"/>
        </w:rPr>
        <w:t xml:space="preserve">) </w:t>
      </w:r>
      <w:r w:rsidR="00F32BA8">
        <w:rPr>
          <w:rFonts w:asciiTheme="majorHAnsi" w:eastAsia="MS Mincho" w:hAnsiTheme="majorHAnsi" w:cstheme="majorHAnsi"/>
        </w:rPr>
        <w:t>C</w:t>
      </w:r>
      <w:r w:rsidR="008632D7">
        <w:rPr>
          <w:rFonts w:asciiTheme="majorHAnsi" w:eastAsia="MS Mincho" w:hAnsiTheme="majorHAnsi" w:cstheme="majorHAnsi"/>
        </w:rPr>
        <w:t>ertifica</w:t>
      </w:r>
      <w:r w:rsidR="005D0196">
        <w:rPr>
          <w:rFonts w:asciiTheme="majorHAnsi" w:eastAsia="MS Mincho" w:hAnsiTheme="majorHAnsi" w:cstheme="majorHAnsi"/>
        </w:rPr>
        <w:t xml:space="preserve">do de </w:t>
      </w:r>
      <w:r w:rsidR="00F32BA8">
        <w:rPr>
          <w:rFonts w:asciiTheme="majorHAnsi" w:eastAsia="MS Mincho" w:hAnsiTheme="majorHAnsi" w:cstheme="majorHAnsi"/>
        </w:rPr>
        <w:t>E</w:t>
      </w:r>
      <w:r w:rsidR="005D0196">
        <w:rPr>
          <w:rFonts w:asciiTheme="majorHAnsi" w:eastAsia="MS Mincho" w:hAnsiTheme="majorHAnsi" w:cstheme="majorHAnsi"/>
        </w:rPr>
        <w:t xml:space="preserve">xistencia y </w:t>
      </w:r>
      <w:r w:rsidR="00F32BA8">
        <w:rPr>
          <w:rFonts w:asciiTheme="majorHAnsi" w:eastAsia="MS Mincho" w:hAnsiTheme="majorHAnsi" w:cstheme="majorHAnsi"/>
        </w:rPr>
        <w:t>R</w:t>
      </w:r>
      <w:r w:rsidR="005D0196">
        <w:rPr>
          <w:rFonts w:asciiTheme="majorHAnsi" w:eastAsia="MS Mincho" w:hAnsiTheme="majorHAnsi" w:cstheme="majorHAnsi"/>
        </w:rPr>
        <w:t xml:space="preserve">epresentación </w:t>
      </w:r>
      <w:r w:rsidR="00F32BA8">
        <w:rPr>
          <w:rFonts w:asciiTheme="majorHAnsi" w:eastAsia="MS Mincho" w:hAnsiTheme="majorHAnsi" w:cstheme="majorHAnsi"/>
        </w:rPr>
        <w:t>L</w:t>
      </w:r>
      <w:r w:rsidR="005D0196">
        <w:rPr>
          <w:rFonts w:asciiTheme="majorHAnsi" w:eastAsia="MS Mincho" w:hAnsiTheme="majorHAnsi" w:cstheme="majorHAnsi"/>
        </w:rPr>
        <w:t xml:space="preserve">egal </w:t>
      </w:r>
      <w:r w:rsidR="00F32BA8">
        <w:rPr>
          <w:rFonts w:asciiTheme="majorHAnsi" w:eastAsia="MS Mincho" w:hAnsiTheme="majorHAnsi" w:cstheme="majorHAnsi"/>
        </w:rPr>
        <w:t xml:space="preserve">de la sociedad absorbente </w:t>
      </w:r>
      <w:r w:rsidR="005D0196">
        <w:rPr>
          <w:rFonts w:asciiTheme="majorHAnsi" w:eastAsia="MS Mincho" w:hAnsiTheme="majorHAnsi" w:cstheme="majorHAnsi"/>
        </w:rPr>
        <w:t xml:space="preserve">en el que </w:t>
      </w:r>
      <w:r w:rsidR="009B6D55">
        <w:rPr>
          <w:rFonts w:asciiTheme="majorHAnsi" w:eastAsia="MS Mincho" w:hAnsiTheme="majorHAnsi" w:cstheme="majorHAnsi"/>
        </w:rPr>
        <w:t xml:space="preserve">se señala que mediante </w:t>
      </w:r>
      <w:r w:rsidR="009B6D55" w:rsidRPr="009B6D55">
        <w:rPr>
          <w:rFonts w:asciiTheme="majorHAnsi" w:eastAsia="MS Mincho" w:hAnsiTheme="majorHAnsi" w:cstheme="majorHAnsi"/>
        </w:rPr>
        <w:t>Acta No. 36 del 31 de marzo de 2022 del Accionista Único,</w:t>
      </w:r>
      <w:r w:rsidR="009B6D55">
        <w:rPr>
          <w:rFonts w:asciiTheme="majorHAnsi" w:eastAsia="MS Mincho" w:hAnsiTheme="majorHAnsi" w:cstheme="majorHAnsi"/>
        </w:rPr>
        <w:t xml:space="preserve"> </w:t>
      </w:r>
      <w:r w:rsidR="00B72A84">
        <w:rPr>
          <w:rFonts w:asciiTheme="majorHAnsi" w:eastAsia="MS Mincho" w:hAnsiTheme="majorHAnsi" w:cstheme="majorHAnsi"/>
        </w:rPr>
        <w:t xml:space="preserve">se encuentra </w:t>
      </w:r>
      <w:r w:rsidR="009B6D55" w:rsidRPr="009B6D55">
        <w:rPr>
          <w:rFonts w:asciiTheme="majorHAnsi" w:eastAsia="MS Mincho" w:hAnsiTheme="majorHAnsi" w:cstheme="majorHAnsi"/>
        </w:rPr>
        <w:t>inscrit</w:t>
      </w:r>
      <w:r w:rsidR="00EF611B">
        <w:rPr>
          <w:rFonts w:asciiTheme="majorHAnsi" w:eastAsia="MS Mincho" w:hAnsiTheme="majorHAnsi" w:cstheme="majorHAnsi"/>
        </w:rPr>
        <w:t>o el acuerdo de</w:t>
      </w:r>
      <w:r w:rsidR="009B6D55" w:rsidRPr="009B6D55">
        <w:rPr>
          <w:rFonts w:asciiTheme="majorHAnsi" w:eastAsia="MS Mincho" w:hAnsiTheme="majorHAnsi" w:cstheme="majorHAnsi"/>
        </w:rPr>
        <w:t xml:space="preserve"> </w:t>
      </w:r>
      <w:r w:rsidR="00EF611B">
        <w:rPr>
          <w:rFonts w:asciiTheme="majorHAnsi" w:eastAsia="MS Mincho" w:hAnsiTheme="majorHAnsi" w:cstheme="majorHAnsi"/>
        </w:rPr>
        <w:t xml:space="preserve">la </w:t>
      </w:r>
      <w:r w:rsidR="009B6D55" w:rsidRPr="009B6D55">
        <w:rPr>
          <w:rFonts w:asciiTheme="majorHAnsi" w:eastAsia="MS Mincho" w:hAnsiTheme="majorHAnsi" w:cstheme="majorHAnsi"/>
        </w:rPr>
        <w:t>fusión</w:t>
      </w:r>
      <w:r w:rsidR="00EF611B">
        <w:rPr>
          <w:rFonts w:asciiTheme="majorHAnsi" w:eastAsia="MS Mincho" w:hAnsiTheme="majorHAnsi" w:cstheme="majorHAnsi"/>
        </w:rPr>
        <w:t xml:space="preserve">. </w:t>
      </w:r>
    </w:p>
    <w:p w14:paraId="31F81EEA" w14:textId="715D11C6" w:rsidR="00757D6A" w:rsidRPr="009F399C" w:rsidRDefault="00EA0495" w:rsidP="00660684">
      <w:pPr>
        <w:spacing w:after="240" w:line="276" w:lineRule="auto"/>
        <w:jc w:val="both"/>
        <w:rPr>
          <w:rFonts w:asciiTheme="majorHAnsi" w:eastAsia="MS Mincho" w:hAnsiTheme="majorHAnsi" w:cstheme="majorHAnsi"/>
        </w:rPr>
      </w:pPr>
      <w:r>
        <w:rPr>
          <w:rFonts w:asciiTheme="majorHAnsi" w:eastAsia="Times New Roman" w:hAnsiTheme="majorHAnsi" w:cstheme="majorHAnsi"/>
          <w:spacing w:val="-5"/>
        </w:rPr>
        <w:t>A continuación</w:t>
      </w:r>
      <w:r w:rsidR="00024B7B">
        <w:rPr>
          <w:rFonts w:asciiTheme="majorHAnsi" w:eastAsia="Times New Roman" w:hAnsiTheme="majorHAnsi" w:cstheme="majorHAnsi"/>
          <w:spacing w:val="-5"/>
        </w:rPr>
        <w:t>,</w:t>
      </w:r>
      <w:r>
        <w:rPr>
          <w:rFonts w:asciiTheme="majorHAnsi" w:eastAsia="Times New Roman" w:hAnsiTheme="majorHAnsi" w:cstheme="majorHAnsi"/>
          <w:spacing w:val="-5"/>
        </w:rPr>
        <w:t xml:space="preserve"> se presentan</w:t>
      </w:r>
      <w:r w:rsidR="00757D6A" w:rsidRPr="00F41009">
        <w:rPr>
          <w:rFonts w:asciiTheme="majorHAnsi" w:eastAsia="Times New Roman" w:hAnsiTheme="majorHAnsi" w:cstheme="majorHAnsi"/>
          <w:spacing w:val="-5"/>
        </w:rPr>
        <w:t xml:space="preserve"> las capacidades definidas y en firme </w:t>
      </w:r>
      <w:r w:rsidR="009F399C">
        <w:rPr>
          <w:rFonts w:asciiTheme="majorHAnsi" w:eastAsia="Times New Roman" w:hAnsiTheme="majorHAnsi" w:cstheme="majorHAnsi"/>
          <w:spacing w:val="-5"/>
        </w:rPr>
        <w:t>publicadas</w:t>
      </w:r>
      <w:r>
        <w:rPr>
          <w:rFonts w:asciiTheme="majorHAnsi" w:eastAsia="Times New Roman" w:hAnsiTheme="majorHAnsi" w:cstheme="majorHAnsi"/>
          <w:spacing w:val="-5"/>
        </w:rPr>
        <w:t xml:space="preserve"> a través de la </w:t>
      </w:r>
      <w:r w:rsidR="005505CC">
        <w:rPr>
          <w:rFonts w:asciiTheme="majorHAnsi" w:eastAsia="MS Mincho" w:hAnsiTheme="majorHAnsi" w:cstheme="majorHAnsi"/>
        </w:rPr>
        <w:t>Circular CREG 015 de 202</w:t>
      </w:r>
      <w:r w:rsidR="00CA1B0F">
        <w:rPr>
          <w:rFonts w:asciiTheme="majorHAnsi" w:eastAsia="MS Mincho" w:hAnsiTheme="majorHAnsi" w:cstheme="majorHAnsi"/>
        </w:rPr>
        <w:t>3</w:t>
      </w:r>
      <w:r w:rsidR="005505CC">
        <w:rPr>
          <w:rFonts w:asciiTheme="majorHAnsi" w:eastAsia="Times New Roman" w:hAnsiTheme="majorHAnsi" w:cstheme="majorHAnsi"/>
          <w:spacing w:val="-5"/>
        </w:rPr>
        <w:t xml:space="preserve"> </w:t>
      </w:r>
      <w:r w:rsidR="00757D6A" w:rsidRPr="00F41009">
        <w:rPr>
          <w:rFonts w:asciiTheme="majorHAnsi" w:eastAsia="Times New Roman" w:hAnsiTheme="majorHAnsi" w:cstheme="majorHAnsi"/>
          <w:spacing w:val="-5"/>
        </w:rPr>
        <w:t xml:space="preserve">para las empresas </w:t>
      </w:r>
      <w:r w:rsidR="00F670E1" w:rsidRPr="00F41009">
        <w:rPr>
          <w:rFonts w:asciiTheme="majorHAnsi" w:eastAsia="Times New Roman" w:hAnsiTheme="majorHAnsi" w:cstheme="majorHAnsi"/>
          <w:spacing w:val="-5"/>
        </w:rPr>
        <w:t>GRANADOS GÓMEZ &amp; CÍA S.A.S. E.S.P., DISTRIBUIDORA CENTRAL DE GAS S.A.S. E.S.P</w:t>
      </w:r>
      <w:r w:rsidR="00FF7584" w:rsidRPr="00F41009">
        <w:rPr>
          <w:rFonts w:asciiTheme="majorHAnsi" w:eastAsia="Times New Roman" w:hAnsiTheme="majorHAnsi" w:cstheme="majorHAnsi"/>
          <w:spacing w:val="-5"/>
        </w:rPr>
        <w:t xml:space="preserve">. y </w:t>
      </w:r>
      <w:r w:rsidR="00F670E1" w:rsidRPr="00F41009">
        <w:rPr>
          <w:rFonts w:asciiTheme="majorHAnsi" w:eastAsia="Times New Roman" w:hAnsiTheme="majorHAnsi" w:cstheme="majorHAnsi"/>
          <w:spacing w:val="-5"/>
        </w:rPr>
        <w:t>GAS PROPANO DE COLOMBIA S.A.S. E.S.P</w:t>
      </w:r>
      <w:r w:rsidR="00757D6A" w:rsidRPr="00F41009">
        <w:rPr>
          <w:rFonts w:asciiTheme="majorHAnsi" w:eastAsia="Times New Roman" w:hAnsiTheme="majorHAnsi" w:cstheme="majorHAnsi"/>
          <w:spacing w:val="-5"/>
        </w:rPr>
        <w:t>:</w:t>
      </w:r>
    </w:p>
    <w:tbl>
      <w:tblPr>
        <w:tblStyle w:val="Tablaconcuadrcula"/>
        <w:tblW w:w="0" w:type="auto"/>
        <w:jc w:val="center"/>
        <w:tblLook w:val="04A0" w:firstRow="1" w:lastRow="0" w:firstColumn="1" w:lastColumn="0" w:noHBand="0" w:noVBand="1"/>
      </w:tblPr>
      <w:tblGrid>
        <w:gridCol w:w="1271"/>
        <w:gridCol w:w="5103"/>
        <w:gridCol w:w="1701"/>
      </w:tblGrid>
      <w:tr w:rsidR="005F560D" w:rsidRPr="00955A70" w14:paraId="72C76060" w14:textId="77777777" w:rsidTr="00B660DC">
        <w:trPr>
          <w:trHeight w:val="624"/>
          <w:tblHeader/>
          <w:jc w:val="center"/>
        </w:trPr>
        <w:tc>
          <w:tcPr>
            <w:tcW w:w="1271" w:type="dxa"/>
            <w:shd w:val="clear" w:color="auto" w:fill="D0CECE" w:themeFill="background2" w:themeFillShade="E6"/>
            <w:noWrap/>
            <w:vAlign w:val="center"/>
            <w:hideMark/>
          </w:tcPr>
          <w:p w14:paraId="260BB563" w14:textId="77777777" w:rsidR="005F560D" w:rsidRPr="00955A70" w:rsidRDefault="005F560D" w:rsidP="0066185D">
            <w:pPr>
              <w:spacing w:before="60" w:after="60" w:line="276" w:lineRule="auto"/>
              <w:ind w:right="-91"/>
              <w:jc w:val="center"/>
              <w:rPr>
                <w:rFonts w:ascii="Arial" w:hAnsi="Arial" w:cs="Arial"/>
                <w:b/>
                <w:bCs/>
                <w:iCs/>
              </w:rPr>
            </w:pPr>
            <w:r w:rsidRPr="00955A70">
              <w:rPr>
                <w:rFonts w:ascii="Arial" w:hAnsi="Arial" w:cs="Arial"/>
                <w:b/>
                <w:bCs/>
                <w:iCs/>
              </w:rPr>
              <w:lastRenderedPageBreak/>
              <w:t>Cód</w:t>
            </w:r>
            <w:r>
              <w:rPr>
                <w:rFonts w:ascii="Arial" w:hAnsi="Arial" w:cs="Arial"/>
                <w:b/>
                <w:bCs/>
                <w:iCs/>
              </w:rPr>
              <w:t>igo</w:t>
            </w:r>
            <w:r w:rsidRPr="00955A70">
              <w:rPr>
                <w:rFonts w:ascii="Arial" w:hAnsi="Arial" w:cs="Arial"/>
                <w:b/>
                <w:bCs/>
                <w:iCs/>
              </w:rPr>
              <w:t xml:space="preserve"> SUI</w:t>
            </w:r>
          </w:p>
        </w:tc>
        <w:tc>
          <w:tcPr>
            <w:tcW w:w="5103" w:type="dxa"/>
            <w:shd w:val="clear" w:color="auto" w:fill="D0CECE" w:themeFill="background2" w:themeFillShade="E6"/>
            <w:noWrap/>
            <w:vAlign w:val="center"/>
            <w:hideMark/>
          </w:tcPr>
          <w:p w14:paraId="2A3A5F59" w14:textId="77777777" w:rsidR="005F560D" w:rsidRPr="00955A70" w:rsidRDefault="005F560D" w:rsidP="0066185D">
            <w:pPr>
              <w:spacing w:before="60" w:after="60" w:line="276" w:lineRule="auto"/>
              <w:ind w:right="-91"/>
              <w:jc w:val="center"/>
              <w:rPr>
                <w:rFonts w:ascii="Arial" w:hAnsi="Arial" w:cs="Arial"/>
                <w:b/>
                <w:bCs/>
                <w:iCs/>
              </w:rPr>
            </w:pPr>
            <w:r w:rsidRPr="00955A70">
              <w:rPr>
                <w:rFonts w:ascii="Arial" w:hAnsi="Arial" w:cs="Arial"/>
                <w:b/>
                <w:bCs/>
                <w:iCs/>
              </w:rPr>
              <w:t>Empresa</w:t>
            </w:r>
          </w:p>
        </w:tc>
        <w:tc>
          <w:tcPr>
            <w:tcW w:w="1701" w:type="dxa"/>
            <w:shd w:val="clear" w:color="auto" w:fill="D0CECE" w:themeFill="background2" w:themeFillShade="E6"/>
            <w:noWrap/>
            <w:vAlign w:val="center"/>
            <w:hideMark/>
          </w:tcPr>
          <w:p w14:paraId="1C689EA5" w14:textId="2CC32683" w:rsidR="005F560D" w:rsidRDefault="005F560D" w:rsidP="0066185D">
            <w:pPr>
              <w:spacing w:before="60" w:after="60" w:line="276" w:lineRule="auto"/>
              <w:ind w:right="-91"/>
              <w:jc w:val="center"/>
              <w:rPr>
                <w:rFonts w:ascii="Arial" w:hAnsi="Arial" w:cs="Arial"/>
                <w:b/>
                <w:bCs/>
                <w:iCs/>
              </w:rPr>
            </w:pPr>
            <w:r w:rsidRPr="00955A70">
              <w:rPr>
                <w:rFonts w:ascii="Arial" w:hAnsi="Arial" w:cs="Arial"/>
                <w:b/>
                <w:bCs/>
                <w:iCs/>
              </w:rPr>
              <w:t>Capacidad</w:t>
            </w:r>
          </w:p>
          <w:p w14:paraId="749AD417" w14:textId="77777777" w:rsidR="005F560D" w:rsidRPr="00955A70" w:rsidRDefault="005F560D" w:rsidP="0066185D">
            <w:pPr>
              <w:spacing w:before="60" w:after="60" w:line="276" w:lineRule="auto"/>
              <w:ind w:right="-91"/>
              <w:jc w:val="center"/>
              <w:rPr>
                <w:rFonts w:ascii="Arial" w:hAnsi="Arial" w:cs="Arial"/>
                <w:b/>
                <w:bCs/>
                <w:iCs/>
              </w:rPr>
            </w:pPr>
            <w:r w:rsidRPr="00955A70">
              <w:rPr>
                <w:rFonts w:ascii="Arial" w:hAnsi="Arial" w:cs="Arial"/>
                <w:b/>
                <w:bCs/>
                <w:iCs/>
              </w:rPr>
              <w:t>(kg)</w:t>
            </w:r>
          </w:p>
        </w:tc>
      </w:tr>
      <w:tr w:rsidR="005F560D" w:rsidRPr="00955A70" w14:paraId="02F35452" w14:textId="77777777" w:rsidTr="00B660DC">
        <w:trPr>
          <w:trHeight w:val="624"/>
          <w:jc w:val="center"/>
        </w:trPr>
        <w:tc>
          <w:tcPr>
            <w:tcW w:w="1271" w:type="dxa"/>
            <w:noWrap/>
            <w:vAlign w:val="center"/>
          </w:tcPr>
          <w:p w14:paraId="49513B71" w14:textId="62CE5210" w:rsidR="005F560D" w:rsidRPr="00955A70" w:rsidRDefault="0066185D" w:rsidP="0066185D">
            <w:pPr>
              <w:spacing w:before="0" w:after="0" w:line="276" w:lineRule="auto"/>
              <w:ind w:right="-91"/>
              <w:jc w:val="center"/>
              <w:rPr>
                <w:rFonts w:ascii="Arial" w:hAnsi="Arial" w:cs="Arial"/>
                <w:iCs/>
              </w:rPr>
            </w:pPr>
            <w:r>
              <w:rPr>
                <w:rFonts w:ascii="Arial" w:hAnsi="Arial" w:cs="Arial"/>
                <w:color w:val="343536"/>
              </w:rPr>
              <w:t xml:space="preserve">  </w:t>
            </w:r>
            <w:r w:rsidR="005F560D" w:rsidRPr="00955A70">
              <w:rPr>
                <w:rFonts w:ascii="Arial" w:hAnsi="Arial" w:cs="Arial"/>
                <w:color w:val="343536"/>
              </w:rPr>
              <w:t>1330</w:t>
            </w:r>
          </w:p>
        </w:tc>
        <w:tc>
          <w:tcPr>
            <w:tcW w:w="5103" w:type="dxa"/>
            <w:noWrap/>
            <w:vAlign w:val="center"/>
          </w:tcPr>
          <w:p w14:paraId="4C624082" w14:textId="77777777" w:rsidR="005F560D" w:rsidRPr="00955A70" w:rsidRDefault="005F560D" w:rsidP="0066185D">
            <w:pPr>
              <w:spacing w:before="0" w:after="0" w:line="276" w:lineRule="auto"/>
              <w:ind w:right="-91"/>
              <w:rPr>
                <w:rFonts w:ascii="Arial" w:hAnsi="Arial" w:cs="Arial"/>
                <w:iCs/>
              </w:rPr>
            </w:pPr>
            <w:r w:rsidRPr="00955A70">
              <w:rPr>
                <w:rFonts w:ascii="Arial" w:hAnsi="Arial" w:cs="Arial"/>
                <w:color w:val="343536"/>
              </w:rPr>
              <w:t>GRANADOS GOMEZ Y CIA S.A.S E.</w:t>
            </w:r>
            <w:proofErr w:type="gramStart"/>
            <w:r w:rsidRPr="00955A70">
              <w:rPr>
                <w:rFonts w:ascii="Arial" w:hAnsi="Arial" w:cs="Arial"/>
                <w:color w:val="343536"/>
              </w:rPr>
              <w:t>S.P</w:t>
            </w:r>
            <w:proofErr w:type="gramEnd"/>
          </w:p>
        </w:tc>
        <w:tc>
          <w:tcPr>
            <w:tcW w:w="1701" w:type="dxa"/>
            <w:noWrap/>
            <w:vAlign w:val="center"/>
          </w:tcPr>
          <w:p w14:paraId="705188A0" w14:textId="54F79B11" w:rsidR="005F560D" w:rsidRPr="00955A70" w:rsidRDefault="005F560D" w:rsidP="0066185D">
            <w:pPr>
              <w:spacing w:before="0" w:after="0" w:line="276" w:lineRule="auto"/>
              <w:ind w:right="-91"/>
              <w:jc w:val="center"/>
              <w:rPr>
                <w:rFonts w:ascii="Arial" w:hAnsi="Arial" w:cs="Arial"/>
                <w:iCs/>
              </w:rPr>
            </w:pPr>
            <w:r w:rsidRPr="00955A70">
              <w:rPr>
                <w:rFonts w:ascii="Arial" w:hAnsi="Arial" w:cs="Arial"/>
                <w:color w:val="000000"/>
              </w:rPr>
              <w:t>2.091.891</w:t>
            </w:r>
          </w:p>
        </w:tc>
      </w:tr>
      <w:tr w:rsidR="00A4651D" w:rsidRPr="00955A70" w14:paraId="4A908739" w14:textId="77777777" w:rsidTr="00B660DC">
        <w:trPr>
          <w:trHeight w:val="624"/>
          <w:jc w:val="center"/>
        </w:trPr>
        <w:tc>
          <w:tcPr>
            <w:tcW w:w="1271" w:type="dxa"/>
            <w:noWrap/>
            <w:vAlign w:val="center"/>
          </w:tcPr>
          <w:p w14:paraId="5B4BAA7C" w14:textId="09BE40F3" w:rsidR="00A4651D" w:rsidRPr="00955A70" w:rsidRDefault="0066185D" w:rsidP="0066185D">
            <w:pPr>
              <w:spacing w:before="0" w:after="0" w:line="276" w:lineRule="auto"/>
              <w:ind w:right="-91"/>
              <w:jc w:val="center"/>
              <w:rPr>
                <w:rFonts w:ascii="Arial" w:hAnsi="Arial" w:cs="Arial"/>
                <w:iCs/>
              </w:rPr>
            </w:pPr>
            <w:r>
              <w:rPr>
                <w:rFonts w:ascii="Arial" w:hAnsi="Arial" w:cs="Arial"/>
                <w:color w:val="343536"/>
              </w:rPr>
              <w:t xml:space="preserve">  </w:t>
            </w:r>
            <w:r w:rsidR="00A4651D" w:rsidRPr="00955A70">
              <w:rPr>
                <w:rFonts w:ascii="Arial" w:hAnsi="Arial" w:cs="Arial"/>
                <w:color w:val="343536"/>
              </w:rPr>
              <w:t>1604</w:t>
            </w:r>
          </w:p>
        </w:tc>
        <w:tc>
          <w:tcPr>
            <w:tcW w:w="5103" w:type="dxa"/>
            <w:noWrap/>
            <w:vAlign w:val="center"/>
          </w:tcPr>
          <w:p w14:paraId="00D83F34" w14:textId="77777777" w:rsidR="00A4651D" w:rsidRPr="00955A70" w:rsidRDefault="00A4651D" w:rsidP="0066185D">
            <w:pPr>
              <w:spacing w:before="0" w:after="0" w:line="276" w:lineRule="auto"/>
              <w:ind w:right="-91"/>
              <w:rPr>
                <w:rFonts w:ascii="Arial" w:hAnsi="Arial" w:cs="Arial"/>
                <w:iCs/>
              </w:rPr>
            </w:pPr>
            <w:r w:rsidRPr="00955A70">
              <w:rPr>
                <w:rFonts w:ascii="Arial" w:hAnsi="Arial" w:cs="Arial"/>
                <w:color w:val="343536"/>
              </w:rPr>
              <w:t>DISTRIBUIDORA CENTRAL DE GAS SAS ESP</w:t>
            </w:r>
          </w:p>
        </w:tc>
        <w:tc>
          <w:tcPr>
            <w:tcW w:w="1701" w:type="dxa"/>
            <w:noWrap/>
            <w:vAlign w:val="center"/>
          </w:tcPr>
          <w:p w14:paraId="02FD4D71" w14:textId="65921EBB" w:rsidR="00A4651D" w:rsidRPr="00955A70" w:rsidRDefault="00A4651D" w:rsidP="0066185D">
            <w:pPr>
              <w:spacing w:before="0" w:after="0" w:line="276" w:lineRule="auto"/>
              <w:ind w:right="-91"/>
              <w:jc w:val="center"/>
              <w:rPr>
                <w:rFonts w:ascii="Arial" w:hAnsi="Arial" w:cs="Arial"/>
                <w:iCs/>
              </w:rPr>
            </w:pPr>
            <w:r w:rsidRPr="00955A70">
              <w:rPr>
                <w:rFonts w:ascii="Arial" w:hAnsi="Arial" w:cs="Arial"/>
                <w:color w:val="000000"/>
              </w:rPr>
              <w:t>1.408.321</w:t>
            </w:r>
          </w:p>
        </w:tc>
      </w:tr>
      <w:tr w:rsidR="006965E0" w:rsidRPr="00955A70" w14:paraId="51D03CCA" w14:textId="77777777" w:rsidTr="00B660DC">
        <w:trPr>
          <w:trHeight w:val="624"/>
          <w:jc w:val="center"/>
        </w:trPr>
        <w:tc>
          <w:tcPr>
            <w:tcW w:w="1271" w:type="dxa"/>
            <w:noWrap/>
            <w:vAlign w:val="center"/>
          </w:tcPr>
          <w:p w14:paraId="748CCCEC" w14:textId="77777777" w:rsidR="006965E0" w:rsidRPr="00955A70" w:rsidRDefault="006965E0" w:rsidP="0066185D">
            <w:pPr>
              <w:spacing w:before="0" w:after="0" w:line="276" w:lineRule="auto"/>
              <w:ind w:right="-91"/>
              <w:jc w:val="center"/>
              <w:rPr>
                <w:rFonts w:ascii="Arial" w:hAnsi="Arial" w:cs="Arial"/>
                <w:iCs/>
              </w:rPr>
            </w:pPr>
            <w:r w:rsidRPr="00955A70">
              <w:rPr>
                <w:rFonts w:ascii="Arial" w:hAnsi="Arial" w:cs="Arial"/>
                <w:color w:val="343536"/>
              </w:rPr>
              <w:t>26817</w:t>
            </w:r>
          </w:p>
        </w:tc>
        <w:tc>
          <w:tcPr>
            <w:tcW w:w="5103" w:type="dxa"/>
            <w:noWrap/>
            <w:vAlign w:val="center"/>
          </w:tcPr>
          <w:p w14:paraId="589E69B7" w14:textId="77777777" w:rsidR="006965E0" w:rsidRPr="00955A70" w:rsidRDefault="006965E0" w:rsidP="0066185D">
            <w:pPr>
              <w:spacing w:before="0" w:after="0" w:line="276" w:lineRule="auto"/>
              <w:ind w:right="-91"/>
              <w:rPr>
                <w:rFonts w:ascii="Arial" w:hAnsi="Arial" w:cs="Arial"/>
                <w:iCs/>
              </w:rPr>
            </w:pPr>
            <w:r w:rsidRPr="00955A70">
              <w:rPr>
                <w:rFonts w:ascii="Arial" w:hAnsi="Arial" w:cs="Arial"/>
                <w:color w:val="343536"/>
              </w:rPr>
              <w:t>GAS PROPANO DE COLOMBIA S.A.S. E.S.P.</w:t>
            </w:r>
          </w:p>
        </w:tc>
        <w:tc>
          <w:tcPr>
            <w:tcW w:w="1701" w:type="dxa"/>
            <w:noWrap/>
            <w:vAlign w:val="center"/>
          </w:tcPr>
          <w:p w14:paraId="504A69F8" w14:textId="0D9DDBDA" w:rsidR="006965E0" w:rsidRPr="00955A70" w:rsidRDefault="006965E0" w:rsidP="0066185D">
            <w:pPr>
              <w:spacing w:before="0" w:after="0" w:line="276" w:lineRule="auto"/>
              <w:ind w:right="-91"/>
              <w:jc w:val="center"/>
              <w:rPr>
                <w:rFonts w:ascii="Arial" w:hAnsi="Arial" w:cs="Arial"/>
                <w:iCs/>
              </w:rPr>
            </w:pPr>
            <w:r w:rsidRPr="00955A70">
              <w:rPr>
                <w:rFonts w:ascii="Arial" w:hAnsi="Arial" w:cs="Arial"/>
                <w:color w:val="000000"/>
              </w:rPr>
              <w:t>1.024.955</w:t>
            </w:r>
          </w:p>
        </w:tc>
      </w:tr>
    </w:tbl>
    <w:p w14:paraId="5B2B453A" w14:textId="77777777" w:rsidR="005F560D" w:rsidRPr="00757D6A" w:rsidRDefault="005F560D" w:rsidP="00B660DC">
      <w:pPr>
        <w:spacing w:line="276" w:lineRule="auto"/>
        <w:jc w:val="both"/>
        <w:rPr>
          <w:rFonts w:asciiTheme="majorHAnsi" w:eastAsia="MS Mincho" w:hAnsiTheme="majorHAnsi" w:cstheme="majorHAnsi"/>
        </w:rPr>
      </w:pPr>
    </w:p>
    <w:p w14:paraId="6A597EE5" w14:textId="5EDCFF0D" w:rsidR="00757D6A" w:rsidRPr="00757D6A" w:rsidRDefault="00757D6A" w:rsidP="00B660DC">
      <w:pPr>
        <w:spacing w:line="276" w:lineRule="auto"/>
        <w:jc w:val="both"/>
        <w:rPr>
          <w:rFonts w:asciiTheme="majorHAnsi" w:eastAsia="Times New Roman" w:hAnsiTheme="majorHAnsi" w:cstheme="majorHAnsi"/>
          <w:spacing w:val="-5"/>
        </w:rPr>
      </w:pPr>
      <w:r w:rsidRPr="00757D6A">
        <w:rPr>
          <w:rFonts w:asciiTheme="majorHAnsi" w:eastAsia="Times New Roman" w:hAnsiTheme="majorHAnsi" w:cstheme="majorHAnsi"/>
          <w:spacing w:val="-5"/>
        </w:rPr>
        <w:t xml:space="preserve">En relación con </w:t>
      </w:r>
      <w:r w:rsidR="00FF4FEA">
        <w:rPr>
          <w:rFonts w:asciiTheme="majorHAnsi" w:eastAsia="Times New Roman" w:hAnsiTheme="majorHAnsi" w:cstheme="majorHAnsi"/>
          <w:spacing w:val="-5"/>
        </w:rPr>
        <w:t>el acuerdo de fusión</w:t>
      </w:r>
      <w:r w:rsidRPr="00757D6A">
        <w:rPr>
          <w:rFonts w:asciiTheme="majorHAnsi" w:eastAsia="Times New Roman" w:hAnsiTheme="majorHAnsi" w:cstheme="majorHAnsi"/>
          <w:spacing w:val="-5"/>
        </w:rPr>
        <w:t>, el artículo 178 del Código de Comercio establece lo siguiente:</w:t>
      </w:r>
    </w:p>
    <w:p w14:paraId="10F644E8" w14:textId="77777777" w:rsidR="00757D6A" w:rsidRPr="002B1A44" w:rsidRDefault="00757D6A" w:rsidP="00B660DC">
      <w:pPr>
        <w:spacing w:after="220" w:line="276" w:lineRule="auto"/>
        <w:ind w:left="720"/>
        <w:jc w:val="both"/>
        <w:rPr>
          <w:rFonts w:asciiTheme="majorHAnsi" w:eastAsia="Times New Roman" w:hAnsiTheme="majorHAnsi" w:cstheme="majorHAnsi"/>
          <w:i/>
          <w:iCs/>
          <w:spacing w:val="-5"/>
        </w:rPr>
      </w:pPr>
      <w:r w:rsidRPr="002B1A44">
        <w:rPr>
          <w:rFonts w:asciiTheme="majorHAnsi" w:eastAsia="Times New Roman" w:hAnsiTheme="majorHAnsi" w:cstheme="majorHAnsi"/>
          <w:i/>
          <w:iCs/>
          <w:spacing w:val="-5"/>
        </w:rPr>
        <w:t xml:space="preserve">“ARTÍCULO 178. En virtud del acuerdo de fusión, una vez formalizado, </w:t>
      </w:r>
      <w:r w:rsidRPr="002B1A44">
        <w:rPr>
          <w:rFonts w:asciiTheme="majorHAnsi" w:eastAsia="Times New Roman" w:hAnsiTheme="majorHAnsi" w:cstheme="majorHAnsi"/>
          <w:b/>
          <w:i/>
          <w:iCs/>
          <w:spacing w:val="-5"/>
          <w:u w:val="single"/>
        </w:rPr>
        <w:t>la sociedad absorbente adquiere los bienes y derechos de las sociedades absorbidas</w:t>
      </w:r>
      <w:r w:rsidRPr="002B1A44">
        <w:rPr>
          <w:rFonts w:asciiTheme="majorHAnsi" w:eastAsia="Times New Roman" w:hAnsiTheme="majorHAnsi" w:cstheme="majorHAnsi"/>
          <w:i/>
          <w:iCs/>
          <w:spacing w:val="-5"/>
        </w:rPr>
        <w:t>, y se hace cargo de pagar el pasivo interno y externo de las mismas.</w:t>
      </w:r>
    </w:p>
    <w:p w14:paraId="52BE3D70" w14:textId="697A5C6E" w:rsidR="00757D6A" w:rsidRPr="002B1A44" w:rsidRDefault="00757D6A" w:rsidP="00B660DC">
      <w:pPr>
        <w:spacing w:line="276" w:lineRule="auto"/>
        <w:ind w:left="720"/>
        <w:jc w:val="both"/>
        <w:rPr>
          <w:rFonts w:asciiTheme="majorHAnsi" w:eastAsia="Times New Roman" w:hAnsiTheme="majorHAnsi" w:cstheme="majorHAnsi"/>
          <w:i/>
          <w:iCs/>
          <w:spacing w:val="-5"/>
        </w:rPr>
      </w:pPr>
      <w:r w:rsidRPr="002B1A44">
        <w:rPr>
          <w:rFonts w:asciiTheme="majorHAnsi" w:eastAsia="Times New Roman" w:hAnsiTheme="majorHAnsi" w:cstheme="majorHAnsi"/>
          <w:i/>
          <w:iCs/>
          <w:spacing w:val="-5"/>
        </w:rPr>
        <w:t>La tradición de los inmuebles se hará por la misma escritura de fusión o por escritura separada, registrada conforme a la ley. La entrega de los bienes muebles se hará por inventario y se cumplirán las solemnidades que la ley exija para su validez o para que surtan efectos contra terceros.” (Resaltado</w:t>
      </w:r>
      <w:r w:rsidR="00D54482">
        <w:rPr>
          <w:rFonts w:asciiTheme="majorHAnsi" w:eastAsia="Times New Roman" w:hAnsiTheme="majorHAnsi" w:cstheme="majorHAnsi"/>
          <w:i/>
          <w:iCs/>
          <w:spacing w:val="-5"/>
        </w:rPr>
        <w:t xml:space="preserve"> y subrayado</w:t>
      </w:r>
      <w:r w:rsidRPr="002B1A44">
        <w:rPr>
          <w:rFonts w:asciiTheme="majorHAnsi" w:eastAsia="Times New Roman" w:hAnsiTheme="majorHAnsi" w:cstheme="majorHAnsi"/>
          <w:i/>
          <w:iCs/>
          <w:spacing w:val="-5"/>
        </w:rPr>
        <w:t xml:space="preserve"> fuera de texto)</w:t>
      </w:r>
    </w:p>
    <w:p w14:paraId="6747E4A0" w14:textId="77777777" w:rsidR="00757D6A" w:rsidRPr="00757D6A" w:rsidRDefault="00757D6A" w:rsidP="00B660DC">
      <w:pPr>
        <w:spacing w:line="276" w:lineRule="auto"/>
        <w:ind w:left="720"/>
        <w:jc w:val="both"/>
        <w:rPr>
          <w:rFonts w:asciiTheme="majorHAnsi" w:eastAsia="Times New Roman" w:hAnsiTheme="majorHAnsi" w:cstheme="majorHAnsi"/>
          <w:spacing w:val="-5"/>
        </w:rPr>
      </w:pPr>
    </w:p>
    <w:p w14:paraId="18B6514F" w14:textId="4B8F31FA" w:rsidR="00726003" w:rsidRPr="00757D6A" w:rsidRDefault="00757D6A" w:rsidP="00726003">
      <w:pPr>
        <w:spacing w:line="276" w:lineRule="auto"/>
        <w:jc w:val="both"/>
        <w:rPr>
          <w:rFonts w:asciiTheme="majorHAnsi" w:eastAsia="Times New Roman" w:hAnsiTheme="majorHAnsi" w:cstheme="majorHAnsi"/>
          <w:spacing w:val="-5"/>
        </w:rPr>
      </w:pPr>
      <w:r w:rsidRPr="00757D6A">
        <w:rPr>
          <w:rFonts w:asciiTheme="majorHAnsi" w:eastAsia="Times New Roman" w:hAnsiTheme="majorHAnsi" w:cstheme="majorHAnsi"/>
          <w:spacing w:val="-5"/>
        </w:rPr>
        <w:t>De acuerdo con lo anterior</w:t>
      </w:r>
      <w:r w:rsidR="00F805D5">
        <w:rPr>
          <w:rFonts w:asciiTheme="majorHAnsi" w:eastAsia="Times New Roman" w:hAnsiTheme="majorHAnsi" w:cstheme="majorHAnsi"/>
          <w:spacing w:val="-5"/>
        </w:rPr>
        <w:t xml:space="preserve"> y teniendo en cuenta los soportes allegados </w:t>
      </w:r>
      <w:r w:rsidR="001A5C50">
        <w:rPr>
          <w:rFonts w:asciiTheme="majorHAnsi" w:eastAsia="Times New Roman" w:hAnsiTheme="majorHAnsi" w:cstheme="majorHAnsi"/>
          <w:spacing w:val="-5"/>
        </w:rPr>
        <w:t xml:space="preserve">mediante la comunicación CREG </w:t>
      </w:r>
      <w:r w:rsidR="007E1857">
        <w:rPr>
          <w:rFonts w:asciiTheme="majorHAnsi" w:eastAsia="Times New Roman" w:hAnsiTheme="majorHAnsi" w:cstheme="majorHAnsi"/>
          <w:spacing w:val="-5"/>
        </w:rPr>
        <w:t xml:space="preserve">E2023005965 </w:t>
      </w:r>
      <w:r w:rsidR="00E3347D">
        <w:rPr>
          <w:rFonts w:asciiTheme="majorHAnsi" w:eastAsia="Times New Roman" w:hAnsiTheme="majorHAnsi" w:cstheme="majorHAnsi"/>
          <w:spacing w:val="-5"/>
        </w:rPr>
        <w:t xml:space="preserve">del </w:t>
      </w:r>
      <w:r w:rsidR="007E1857">
        <w:rPr>
          <w:rFonts w:asciiTheme="majorHAnsi" w:eastAsia="Times New Roman" w:hAnsiTheme="majorHAnsi" w:cstheme="majorHAnsi"/>
          <w:spacing w:val="-5"/>
        </w:rPr>
        <w:t>14 de abril de 2023</w:t>
      </w:r>
      <w:r w:rsidRPr="00757D6A">
        <w:rPr>
          <w:rFonts w:asciiTheme="majorHAnsi" w:eastAsia="Times New Roman" w:hAnsiTheme="majorHAnsi" w:cstheme="majorHAnsi"/>
          <w:spacing w:val="-5"/>
        </w:rPr>
        <w:t xml:space="preserve">, encuentra </w:t>
      </w:r>
      <w:r w:rsidR="00D54482">
        <w:rPr>
          <w:rFonts w:asciiTheme="majorHAnsi" w:eastAsia="Times New Roman" w:hAnsiTheme="majorHAnsi" w:cstheme="majorHAnsi"/>
          <w:spacing w:val="-5"/>
        </w:rPr>
        <w:t>esta</w:t>
      </w:r>
      <w:r w:rsidRPr="00757D6A">
        <w:rPr>
          <w:rFonts w:asciiTheme="majorHAnsi" w:eastAsia="Times New Roman" w:hAnsiTheme="majorHAnsi" w:cstheme="majorHAnsi"/>
          <w:spacing w:val="-5"/>
        </w:rPr>
        <w:t xml:space="preserve"> Comisión que</w:t>
      </w:r>
      <w:r w:rsidR="007241DF">
        <w:rPr>
          <w:rFonts w:asciiTheme="majorHAnsi" w:eastAsia="Times New Roman" w:hAnsiTheme="majorHAnsi" w:cstheme="majorHAnsi"/>
          <w:spacing w:val="-5"/>
        </w:rPr>
        <w:t xml:space="preserve"> durante el </w:t>
      </w:r>
      <w:r w:rsidR="00881D19">
        <w:rPr>
          <w:rFonts w:asciiTheme="majorHAnsi" w:eastAsia="Times New Roman" w:hAnsiTheme="majorHAnsi" w:cstheme="majorHAnsi"/>
          <w:spacing w:val="-5"/>
        </w:rPr>
        <w:t xml:space="preserve">actual </w:t>
      </w:r>
      <w:r w:rsidR="007241DF" w:rsidRPr="007241DF">
        <w:rPr>
          <w:rFonts w:asciiTheme="majorHAnsi" w:eastAsia="Times New Roman" w:hAnsiTheme="majorHAnsi" w:cstheme="majorHAnsi"/>
          <w:spacing w:val="-5"/>
        </w:rPr>
        <w:t xml:space="preserve">período de compra (i.e. décimo cuarto período), </w:t>
      </w:r>
      <w:r w:rsidR="00881D19">
        <w:rPr>
          <w:rFonts w:asciiTheme="majorHAnsi" w:eastAsia="Times New Roman" w:hAnsiTheme="majorHAnsi" w:cstheme="majorHAnsi"/>
          <w:spacing w:val="-5"/>
        </w:rPr>
        <w:t>la</w:t>
      </w:r>
      <w:r w:rsidR="007241DF" w:rsidRPr="007241DF">
        <w:rPr>
          <w:rFonts w:asciiTheme="majorHAnsi" w:eastAsia="Times New Roman" w:hAnsiTheme="majorHAnsi" w:cstheme="majorHAnsi"/>
          <w:spacing w:val="-5"/>
        </w:rPr>
        <w:t xml:space="preserve"> empresa</w:t>
      </w:r>
      <w:r w:rsidR="00881D19">
        <w:rPr>
          <w:rFonts w:asciiTheme="majorHAnsi" w:eastAsia="Times New Roman" w:hAnsiTheme="majorHAnsi" w:cstheme="majorHAnsi"/>
          <w:spacing w:val="-5"/>
        </w:rPr>
        <w:t xml:space="preserve"> </w:t>
      </w:r>
      <w:r w:rsidR="00881D19" w:rsidRPr="005505CC">
        <w:rPr>
          <w:rFonts w:asciiTheme="majorHAnsi" w:eastAsia="MS Mincho" w:hAnsiTheme="majorHAnsi" w:cstheme="majorHAnsi"/>
        </w:rPr>
        <w:t>GRANADOS GÓMEZ &amp; CÍA S.A.S. E.S.P.</w:t>
      </w:r>
      <w:r w:rsidR="007241DF" w:rsidRPr="007241DF">
        <w:rPr>
          <w:rFonts w:asciiTheme="majorHAnsi" w:eastAsia="Times New Roman" w:hAnsiTheme="majorHAnsi" w:cstheme="majorHAnsi"/>
          <w:spacing w:val="-5"/>
        </w:rPr>
        <w:t xml:space="preserve"> </w:t>
      </w:r>
      <w:r w:rsidR="00BA2CEA">
        <w:rPr>
          <w:rFonts w:asciiTheme="majorHAnsi" w:eastAsia="Times New Roman" w:hAnsiTheme="majorHAnsi" w:cstheme="majorHAnsi"/>
          <w:spacing w:val="-5"/>
        </w:rPr>
        <w:t xml:space="preserve">en calidad de sociedad absorbente </w:t>
      </w:r>
      <w:r w:rsidR="00F164AF">
        <w:rPr>
          <w:rFonts w:asciiTheme="majorHAnsi" w:eastAsia="Times New Roman" w:hAnsiTheme="majorHAnsi" w:cstheme="majorHAnsi"/>
          <w:spacing w:val="-5"/>
        </w:rPr>
        <w:t>formalizó un acuerdo</w:t>
      </w:r>
      <w:r w:rsidR="007241DF" w:rsidRPr="007241DF">
        <w:rPr>
          <w:rFonts w:asciiTheme="majorHAnsi" w:eastAsia="Times New Roman" w:hAnsiTheme="majorHAnsi" w:cstheme="majorHAnsi"/>
          <w:spacing w:val="-5"/>
        </w:rPr>
        <w:t xml:space="preserve"> de fusión por absorción de las empresas DISTRIBUIDORA CENTRAL DE GAS S.A.S. E.S.P. y GAS PROPANO DE COLOMBIA S.A.S. E.S.P.</w:t>
      </w:r>
      <w:r w:rsidR="00E2239F">
        <w:rPr>
          <w:rFonts w:asciiTheme="majorHAnsi" w:eastAsia="Times New Roman" w:hAnsiTheme="majorHAnsi" w:cstheme="majorHAnsi"/>
          <w:spacing w:val="-5"/>
        </w:rPr>
        <w:t xml:space="preserve"> </w:t>
      </w:r>
      <w:r w:rsidR="00726003">
        <w:rPr>
          <w:rFonts w:asciiTheme="majorHAnsi" w:eastAsia="Times New Roman" w:hAnsiTheme="majorHAnsi" w:cstheme="majorHAnsi"/>
          <w:spacing w:val="-5"/>
        </w:rPr>
        <w:t xml:space="preserve">y por ende </w:t>
      </w:r>
      <w:r w:rsidR="00726003" w:rsidRPr="00757D6A">
        <w:rPr>
          <w:rFonts w:asciiTheme="majorHAnsi" w:eastAsia="Times New Roman" w:hAnsiTheme="majorHAnsi" w:cstheme="majorHAnsi"/>
          <w:spacing w:val="-5"/>
        </w:rPr>
        <w:t>la capacidad de compra disponible de</w:t>
      </w:r>
      <w:r w:rsidR="00726003">
        <w:rPr>
          <w:rFonts w:asciiTheme="majorHAnsi" w:eastAsia="Times New Roman" w:hAnsiTheme="majorHAnsi" w:cstheme="majorHAnsi"/>
          <w:spacing w:val="-5"/>
        </w:rPr>
        <w:t xml:space="preserve"> cada un</w:t>
      </w:r>
      <w:r w:rsidR="00941A51">
        <w:rPr>
          <w:rFonts w:asciiTheme="majorHAnsi" w:eastAsia="Times New Roman" w:hAnsiTheme="majorHAnsi" w:cstheme="majorHAnsi"/>
          <w:spacing w:val="-5"/>
        </w:rPr>
        <w:t>a</w:t>
      </w:r>
      <w:r w:rsidR="00726003">
        <w:rPr>
          <w:rFonts w:asciiTheme="majorHAnsi" w:eastAsia="Times New Roman" w:hAnsiTheme="majorHAnsi" w:cstheme="majorHAnsi"/>
          <w:spacing w:val="-5"/>
        </w:rPr>
        <w:t xml:space="preserve"> de</w:t>
      </w:r>
      <w:r w:rsidR="008822C4">
        <w:rPr>
          <w:rFonts w:asciiTheme="majorHAnsi" w:eastAsia="Times New Roman" w:hAnsiTheme="majorHAnsi" w:cstheme="majorHAnsi"/>
          <w:spacing w:val="-5"/>
        </w:rPr>
        <w:t xml:space="preserve"> </w:t>
      </w:r>
      <w:r w:rsidR="00941A51">
        <w:rPr>
          <w:rFonts w:asciiTheme="majorHAnsi" w:eastAsia="Times New Roman" w:hAnsiTheme="majorHAnsi" w:cstheme="majorHAnsi"/>
          <w:spacing w:val="-5"/>
        </w:rPr>
        <w:t>l</w:t>
      </w:r>
      <w:r w:rsidR="00FB0199">
        <w:rPr>
          <w:rFonts w:asciiTheme="majorHAnsi" w:eastAsia="Times New Roman" w:hAnsiTheme="majorHAnsi" w:cstheme="majorHAnsi"/>
          <w:spacing w:val="-5"/>
        </w:rPr>
        <w:t xml:space="preserve">as sociedades </w:t>
      </w:r>
      <w:r w:rsidR="00FB0199" w:rsidRPr="00757D6A">
        <w:rPr>
          <w:rFonts w:asciiTheme="majorHAnsi" w:eastAsia="Times New Roman" w:hAnsiTheme="majorHAnsi" w:cstheme="majorHAnsi"/>
          <w:spacing w:val="-5"/>
        </w:rPr>
        <w:t>absorbid</w:t>
      </w:r>
      <w:r w:rsidR="00FB0199">
        <w:rPr>
          <w:rFonts w:asciiTheme="majorHAnsi" w:eastAsia="Times New Roman" w:hAnsiTheme="majorHAnsi" w:cstheme="majorHAnsi"/>
          <w:spacing w:val="-5"/>
        </w:rPr>
        <w:t>as</w:t>
      </w:r>
      <w:r w:rsidR="00726003" w:rsidRPr="00757D6A">
        <w:rPr>
          <w:rFonts w:asciiTheme="majorHAnsi" w:eastAsia="Times New Roman" w:hAnsiTheme="majorHAnsi" w:cstheme="majorHAnsi"/>
          <w:spacing w:val="-5"/>
        </w:rPr>
        <w:t xml:space="preserve"> es decir, aquella que no ha sido contratada por el distribuidor absorbido durante este período de compra corresponde a un derecho que pasa</w:t>
      </w:r>
      <w:r w:rsidR="00DA4733">
        <w:rPr>
          <w:rFonts w:asciiTheme="majorHAnsi" w:eastAsia="Times New Roman" w:hAnsiTheme="majorHAnsi" w:cstheme="majorHAnsi"/>
          <w:spacing w:val="-5"/>
        </w:rPr>
        <w:t xml:space="preserve"> </w:t>
      </w:r>
      <w:r w:rsidR="00726003" w:rsidRPr="00757D6A">
        <w:rPr>
          <w:rFonts w:asciiTheme="majorHAnsi" w:eastAsia="Times New Roman" w:hAnsiTheme="majorHAnsi" w:cstheme="majorHAnsi"/>
          <w:spacing w:val="-5"/>
        </w:rPr>
        <w:t xml:space="preserve">a estar en cabeza del distribuidor que cuenta con la calidad de sociedad absorbente en los términos del artículo 178 citado. </w:t>
      </w:r>
    </w:p>
    <w:p w14:paraId="56B7A12A" w14:textId="5B7AE1C6" w:rsidR="00757D6A" w:rsidRPr="00757D6A" w:rsidRDefault="00757D6A" w:rsidP="00B660DC">
      <w:pPr>
        <w:spacing w:line="276" w:lineRule="auto"/>
        <w:jc w:val="both"/>
        <w:rPr>
          <w:rFonts w:asciiTheme="majorHAnsi" w:eastAsia="Times New Roman" w:hAnsiTheme="majorHAnsi" w:cstheme="majorHAnsi"/>
          <w:spacing w:val="-5"/>
        </w:rPr>
      </w:pPr>
      <w:r w:rsidRPr="00757D6A">
        <w:rPr>
          <w:rFonts w:asciiTheme="majorHAnsi" w:eastAsia="Times New Roman" w:hAnsiTheme="majorHAnsi" w:cstheme="majorHAnsi"/>
          <w:spacing w:val="-5"/>
        </w:rPr>
        <w:t xml:space="preserve">Es por esto que, para efectos regulatorios y con el fin de poder dar cumplimiento a las obligaciones con las que cuentan los comercializadores mayoristas y los distribuidores de GLP en la Resolución CREG 063 de 2016, </w:t>
      </w:r>
      <w:r w:rsidR="00E3347D">
        <w:rPr>
          <w:rFonts w:asciiTheme="majorHAnsi" w:eastAsia="Times New Roman" w:hAnsiTheme="majorHAnsi" w:cstheme="majorHAnsi"/>
          <w:spacing w:val="-5"/>
        </w:rPr>
        <w:t xml:space="preserve">le </w:t>
      </w:r>
      <w:r w:rsidRPr="00757D6A">
        <w:rPr>
          <w:rFonts w:asciiTheme="majorHAnsi" w:eastAsia="Times New Roman" w:hAnsiTheme="majorHAnsi" w:cstheme="majorHAnsi"/>
          <w:spacing w:val="-5"/>
        </w:rPr>
        <w:t xml:space="preserve">corresponde </w:t>
      </w:r>
      <w:r w:rsidR="00E3347D">
        <w:rPr>
          <w:rFonts w:asciiTheme="majorHAnsi" w:eastAsia="Times New Roman" w:hAnsiTheme="majorHAnsi" w:cstheme="majorHAnsi"/>
          <w:spacing w:val="-5"/>
        </w:rPr>
        <w:t xml:space="preserve">a esta Comisión </w:t>
      </w:r>
      <w:r w:rsidRPr="00757D6A">
        <w:rPr>
          <w:rFonts w:asciiTheme="majorHAnsi" w:eastAsia="Times New Roman" w:hAnsiTheme="majorHAnsi" w:cstheme="majorHAnsi"/>
          <w:spacing w:val="-5"/>
        </w:rPr>
        <w:t xml:space="preserve">precisar esta circunstancia dentro del contenido de la Circular CREG </w:t>
      </w:r>
      <w:r w:rsidR="00F80BEC">
        <w:rPr>
          <w:rFonts w:asciiTheme="majorHAnsi" w:eastAsia="Times New Roman" w:hAnsiTheme="majorHAnsi" w:cstheme="majorHAnsi"/>
          <w:spacing w:val="-5"/>
        </w:rPr>
        <w:t>015</w:t>
      </w:r>
      <w:r w:rsidRPr="00757D6A">
        <w:rPr>
          <w:rFonts w:asciiTheme="majorHAnsi" w:eastAsia="Times New Roman" w:hAnsiTheme="majorHAnsi" w:cstheme="majorHAnsi"/>
          <w:spacing w:val="-5"/>
        </w:rPr>
        <w:t xml:space="preserve"> de 20</w:t>
      </w:r>
      <w:r w:rsidR="00F80BEC">
        <w:rPr>
          <w:rFonts w:asciiTheme="majorHAnsi" w:eastAsia="Times New Roman" w:hAnsiTheme="majorHAnsi" w:cstheme="majorHAnsi"/>
          <w:spacing w:val="-5"/>
        </w:rPr>
        <w:t>23</w:t>
      </w:r>
      <w:r w:rsidRPr="00757D6A">
        <w:rPr>
          <w:rFonts w:asciiTheme="majorHAnsi" w:eastAsia="Times New Roman" w:hAnsiTheme="majorHAnsi" w:cstheme="majorHAnsi"/>
          <w:spacing w:val="-5"/>
        </w:rPr>
        <w:t xml:space="preserve"> mediante la cual se </w:t>
      </w:r>
      <w:r w:rsidRPr="00757D6A">
        <w:rPr>
          <w:rFonts w:asciiTheme="majorHAnsi" w:eastAsia="Times New Roman" w:hAnsiTheme="majorHAnsi" w:cstheme="majorHAnsi"/>
          <w:spacing w:val="-5"/>
        </w:rPr>
        <w:lastRenderedPageBreak/>
        <w:t xml:space="preserve">publicaron las capacidades de compra aplicables para el </w:t>
      </w:r>
      <w:r w:rsidR="00F80BEC">
        <w:rPr>
          <w:rFonts w:asciiTheme="majorHAnsi" w:eastAsia="Times New Roman" w:hAnsiTheme="majorHAnsi" w:cstheme="majorHAnsi"/>
          <w:spacing w:val="-5"/>
        </w:rPr>
        <w:t xml:space="preserve">décimo </w:t>
      </w:r>
      <w:r w:rsidRPr="00757D6A">
        <w:rPr>
          <w:rFonts w:asciiTheme="majorHAnsi" w:eastAsia="Times New Roman" w:hAnsiTheme="majorHAnsi" w:cstheme="majorHAnsi"/>
          <w:spacing w:val="-5"/>
        </w:rPr>
        <w:t>cuarto período de compra correspondiente, integrando la capacidad de compra de</w:t>
      </w:r>
      <w:r w:rsidR="00F80BEC">
        <w:rPr>
          <w:rFonts w:asciiTheme="majorHAnsi" w:eastAsia="Times New Roman" w:hAnsiTheme="majorHAnsi" w:cstheme="majorHAnsi"/>
          <w:spacing w:val="-5"/>
        </w:rPr>
        <w:t xml:space="preserve"> </w:t>
      </w:r>
      <w:r w:rsidRPr="00757D6A">
        <w:rPr>
          <w:rFonts w:asciiTheme="majorHAnsi" w:eastAsia="Times New Roman" w:hAnsiTheme="majorHAnsi" w:cstheme="majorHAnsi"/>
          <w:spacing w:val="-5"/>
        </w:rPr>
        <w:t>l</w:t>
      </w:r>
      <w:r w:rsidR="00F80BEC">
        <w:rPr>
          <w:rFonts w:asciiTheme="majorHAnsi" w:eastAsia="Times New Roman" w:hAnsiTheme="majorHAnsi" w:cstheme="majorHAnsi"/>
          <w:spacing w:val="-5"/>
        </w:rPr>
        <w:t>os</w:t>
      </w:r>
      <w:r w:rsidRPr="00757D6A">
        <w:rPr>
          <w:rFonts w:asciiTheme="majorHAnsi" w:eastAsia="Times New Roman" w:hAnsiTheme="majorHAnsi" w:cstheme="majorHAnsi"/>
          <w:spacing w:val="-5"/>
        </w:rPr>
        <w:t xml:space="preserve"> distribuidor</w:t>
      </w:r>
      <w:r w:rsidR="00F80BEC">
        <w:rPr>
          <w:rFonts w:asciiTheme="majorHAnsi" w:eastAsia="Times New Roman" w:hAnsiTheme="majorHAnsi" w:cstheme="majorHAnsi"/>
          <w:spacing w:val="-5"/>
        </w:rPr>
        <w:t>es</w:t>
      </w:r>
      <w:r w:rsidRPr="00757D6A">
        <w:rPr>
          <w:rFonts w:asciiTheme="majorHAnsi" w:eastAsia="Times New Roman" w:hAnsiTheme="majorHAnsi" w:cstheme="majorHAnsi"/>
          <w:spacing w:val="-5"/>
        </w:rPr>
        <w:t xml:space="preserve"> absorbido</w:t>
      </w:r>
      <w:r w:rsidR="00F80BEC">
        <w:rPr>
          <w:rFonts w:asciiTheme="majorHAnsi" w:eastAsia="Times New Roman" w:hAnsiTheme="majorHAnsi" w:cstheme="majorHAnsi"/>
          <w:spacing w:val="-5"/>
        </w:rPr>
        <w:t>s</w:t>
      </w:r>
      <w:r w:rsidRPr="00757D6A">
        <w:rPr>
          <w:rFonts w:asciiTheme="majorHAnsi" w:eastAsia="Times New Roman" w:hAnsiTheme="majorHAnsi" w:cstheme="majorHAnsi"/>
          <w:spacing w:val="-5"/>
        </w:rPr>
        <w:t xml:space="preserve"> (i.e. </w:t>
      </w:r>
      <w:r w:rsidR="00DB796B" w:rsidRPr="00DB796B">
        <w:rPr>
          <w:rFonts w:asciiTheme="majorHAnsi" w:eastAsia="Times New Roman" w:hAnsiTheme="majorHAnsi" w:cstheme="majorHAnsi"/>
          <w:spacing w:val="-5"/>
        </w:rPr>
        <w:t>Distribuidora Central de Gas S.A.S. E.S.P.</w:t>
      </w:r>
      <w:r w:rsidR="00DB796B">
        <w:rPr>
          <w:rFonts w:asciiTheme="majorHAnsi" w:eastAsia="Times New Roman" w:hAnsiTheme="majorHAnsi" w:cstheme="majorHAnsi"/>
          <w:spacing w:val="-5"/>
        </w:rPr>
        <w:t xml:space="preserve"> y </w:t>
      </w:r>
      <w:r w:rsidR="00DB796B" w:rsidRPr="00DB796B">
        <w:rPr>
          <w:rFonts w:asciiTheme="majorHAnsi" w:eastAsia="Times New Roman" w:hAnsiTheme="majorHAnsi" w:cstheme="majorHAnsi"/>
          <w:spacing w:val="-5"/>
        </w:rPr>
        <w:t>Gas Propano de Colombia S.A.S. E.S.P.</w:t>
      </w:r>
      <w:r w:rsidRPr="00757D6A">
        <w:rPr>
          <w:rFonts w:asciiTheme="majorHAnsi" w:eastAsia="Times New Roman" w:hAnsiTheme="majorHAnsi" w:cstheme="majorHAnsi"/>
          <w:spacing w:val="-5"/>
        </w:rPr>
        <w:t>) al distribuidor absorbente (i.e.</w:t>
      </w:r>
      <w:r w:rsidR="00B452EB" w:rsidRPr="00B452EB">
        <w:t xml:space="preserve"> </w:t>
      </w:r>
      <w:r w:rsidR="00B452EB" w:rsidRPr="00B452EB">
        <w:rPr>
          <w:rFonts w:asciiTheme="majorHAnsi" w:eastAsia="Times New Roman" w:hAnsiTheme="majorHAnsi" w:cstheme="majorHAnsi"/>
          <w:spacing w:val="-5"/>
        </w:rPr>
        <w:t xml:space="preserve">Granados Gómez &amp; </w:t>
      </w:r>
      <w:proofErr w:type="spellStart"/>
      <w:r w:rsidR="00B452EB" w:rsidRPr="00B452EB">
        <w:rPr>
          <w:rFonts w:asciiTheme="majorHAnsi" w:eastAsia="Times New Roman" w:hAnsiTheme="majorHAnsi" w:cstheme="majorHAnsi"/>
          <w:spacing w:val="-5"/>
        </w:rPr>
        <w:t>Cía</w:t>
      </w:r>
      <w:proofErr w:type="spellEnd"/>
      <w:r w:rsidR="00B452EB" w:rsidRPr="00B452EB">
        <w:rPr>
          <w:rFonts w:asciiTheme="majorHAnsi" w:eastAsia="Times New Roman" w:hAnsiTheme="majorHAnsi" w:cstheme="majorHAnsi"/>
          <w:spacing w:val="-5"/>
        </w:rPr>
        <w:t xml:space="preserve"> S.A.S. E.S.P.</w:t>
      </w:r>
      <w:r w:rsidRPr="00757D6A">
        <w:rPr>
          <w:rFonts w:asciiTheme="majorHAnsi" w:eastAsia="Times New Roman" w:hAnsiTheme="majorHAnsi" w:cstheme="majorHAnsi"/>
          <w:spacing w:val="-5"/>
        </w:rPr>
        <w:t>)</w:t>
      </w:r>
      <w:r w:rsidR="002A56B0">
        <w:rPr>
          <w:rFonts w:asciiTheme="majorHAnsi" w:eastAsia="Times New Roman" w:hAnsiTheme="majorHAnsi" w:cstheme="majorHAnsi"/>
          <w:spacing w:val="-5"/>
        </w:rPr>
        <w:t xml:space="preserve">. </w:t>
      </w:r>
    </w:p>
    <w:p w14:paraId="0EDE12A5" w14:textId="7F8DD2A8" w:rsidR="00757D6A" w:rsidRPr="00757D6A" w:rsidRDefault="00757D6A" w:rsidP="00B660DC">
      <w:pPr>
        <w:spacing w:line="276" w:lineRule="auto"/>
        <w:jc w:val="both"/>
        <w:rPr>
          <w:rFonts w:asciiTheme="majorHAnsi" w:eastAsia="Times New Roman" w:hAnsiTheme="majorHAnsi" w:cstheme="majorHAnsi"/>
          <w:spacing w:val="-5"/>
        </w:rPr>
      </w:pPr>
      <w:r w:rsidRPr="00757D6A">
        <w:rPr>
          <w:rFonts w:asciiTheme="majorHAnsi" w:eastAsia="Times New Roman" w:hAnsiTheme="majorHAnsi" w:cstheme="majorHAnsi"/>
          <w:spacing w:val="-5"/>
        </w:rPr>
        <w:t xml:space="preserve">En este sentido, la siguiente corresponde a la capacidad de compra de la empresa </w:t>
      </w:r>
      <w:r w:rsidR="00B452EB" w:rsidRPr="00B452EB">
        <w:rPr>
          <w:rFonts w:asciiTheme="majorHAnsi" w:eastAsia="Times New Roman" w:hAnsiTheme="majorHAnsi" w:cstheme="majorHAnsi"/>
          <w:spacing w:val="-5"/>
        </w:rPr>
        <w:t xml:space="preserve">Granados Gómez &amp; </w:t>
      </w:r>
      <w:proofErr w:type="spellStart"/>
      <w:r w:rsidR="00B452EB" w:rsidRPr="00B452EB">
        <w:rPr>
          <w:rFonts w:asciiTheme="majorHAnsi" w:eastAsia="Times New Roman" w:hAnsiTheme="majorHAnsi" w:cstheme="majorHAnsi"/>
          <w:spacing w:val="-5"/>
        </w:rPr>
        <w:t>Cía</w:t>
      </w:r>
      <w:proofErr w:type="spellEnd"/>
      <w:r w:rsidR="00B452EB" w:rsidRPr="00B452EB">
        <w:rPr>
          <w:rFonts w:asciiTheme="majorHAnsi" w:eastAsia="Times New Roman" w:hAnsiTheme="majorHAnsi" w:cstheme="majorHAnsi"/>
          <w:spacing w:val="-5"/>
        </w:rPr>
        <w:t xml:space="preserve"> S.A.S. E.S.P.</w:t>
      </w:r>
      <w:r w:rsidR="00B452EB">
        <w:rPr>
          <w:rFonts w:asciiTheme="majorHAnsi" w:eastAsia="Times New Roman" w:hAnsiTheme="majorHAnsi" w:cstheme="majorHAnsi"/>
          <w:spacing w:val="-5"/>
        </w:rPr>
        <w:t xml:space="preserve"> </w:t>
      </w:r>
      <w:r w:rsidRPr="00757D6A">
        <w:rPr>
          <w:rFonts w:asciiTheme="majorHAnsi" w:eastAsia="Times New Roman" w:hAnsiTheme="majorHAnsi" w:cstheme="majorHAnsi"/>
          <w:spacing w:val="-5"/>
        </w:rPr>
        <w:t xml:space="preserve">aplicable para el </w:t>
      </w:r>
      <w:r w:rsidR="002A56B0">
        <w:rPr>
          <w:rFonts w:asciiTheme="majorHAnsi" w:eastAsia="Times New Roman" w:hAnsiTheme="majorHAnsi" w:cstheme="majorHAnsi"/>
          <w:spacing w:val="-5"/>
        </w:rPr>
        <w:t xml:space="preserve">décimo </w:t>
      </w:r>
      <w:r w:rsidRPr="00757D6A">
        <w:rPr>
          <w:rFonts w:asciiTheme="majorHAnsi" w:eastAsia="Times New Roman" w:hAnsiTheme="majorHAnsi" w:cstheme="majorHAnsi"/>
          <w:spacing w:val="-5"/>
        </w:rPr>
        <w:t>cuarto período de compra, en atención a lo dispuesto en el artículo 178 del Código de Comercio:</w:t>
      </w:r>
    </w:p>
    <w:p w14:paraId="787E0C2B" w14:textId="77777777" w:rsidR="00757D6A" w:rsidRDefault="00757D6A" w:rsidP="00B660DC">
      <w:pPr>
        <w:spacing w:line="276" w:lineRule="auto"/>
        <w:jc w:val="both"/>
        <w:rPr>
          <w:rFonts w:asciiTheme="majorHAnsi" w:eastAsia="Times New Roman" w:hAnsiTheme="majorHAnsi" w:cstheme="majorHAnsi"/>
          <w:spacing w:val="-5"/>
        </w:rPr>
      </w:pPr>
    </w:p>
    <w:tbl>
      <w:tblPr>
        <w:tblStyle w:val="Tablaconcuadrcula"/>
        <w:tblW w:w="0" w:type="auto"/>
        <w:jc w:val="center"/>
        <w:tblLook w:val="04A0" w:firstRow="1" w:lastRow="0" w:firstColumn="1" w:lastColumn="0" w:noHBand="0" w:noVBand="1"/>
      </w:tblPr>
      <w:tblGrid>
        <w:gridCol w:w="1271"/>
        <w:gridCol w:w="5103"/>
        <w:gridCol w:w="1701"/>
      </w:tblGrid>
      <w:tr w:rsidR="00B452EB" w:rsidRPr="00955A70" w14:paraId="44FBE0DF" w14:textId="77777777" w:rsidTr="007836FB">
        <w:trPr>
          <w:trHeight w:val="624"/>
          <w:tblHeader/>
          <w:jc w:val="center"/>
        </w:trPr>
        <w:tc>
          <w:tcPr>
            <w:tcW w:w="1271" w:type="dxa"/>
            <w:shd w:val="clear" w:color="auto" w:fill="D0CECE" w:themeFill="background2" w:themeFillShade="E6"/>
            <w:noWrap/>
            <w:vAlign w:val="center"/>
            <w:hideMark/>
          </w:tcPr>
          <w:p w14:paraId="5E9B69F3" w14:textId="77777777" w:rsidR="00B452EB" w:rsidRPr="00955A70" w:rsidRDefault="00B452EB" w:rsidP="0066185D">
            <w:pPr>
              <w:spacing w:before="60" w:after="60" w:line="276" w:lineRule="auto"/>
              <w:ind w:right="-91"/>
              <w:jc w:val="center"/>
              <w:rPr>
                <w:rFonts w:ascii="Arial" w:hAnsi="Arial" w:cs="Arial"/>
                <w:b/>
                <w:bCs/>
                <w:iCs/>
              </w:rPr>
            </w:pPr>
            <w:r w:rsidRPr="00955A70">
              <w:rPr>
                <w:rFonts w:ascii="Arial" w:hAnsi="Arial" w:cs="Arial"/>
                <w:b/>
                <w:bCs/>
                <w:iCs/>
              </w:rPr>
              <w:t>Cód</w:t>
            </w:r>
            <w:r>
              <w:rPr>
                <w:rFonts w:ascii="Arial" w:hAnsi="Arial" w:cs="Arial"/>
                <w:b/>
                <w:bCs/>
                <w:iCs/>
              </w:rPr>
              <w:t>igo</w:t>
            </w:r>
            <w:r w:rsidRPr="00955A70">
              <w:rPr>
                <w:rFonts w:ascii="Arial" w:hAnsi="Arial" w:cs="Arial"/>
                <w:b/>
                <w:bCs/>
                <w:iCs/>
              </w:rPr>
              <w:t xml:space="preserve"> SUI</w:t>
            </w:r>
          </w:p>
        </w:tc>
        <w:tc>
          <w:tcPr>
            <w:tcW w:w="5103" w:type="dxa"/>
            <w:shd w:val="clear" w:color="auto" w:fill="D0CECE" w:themeFill="background2" w:themeFillShade="E6"/>
            <w:noWrap/>
            <w:vAlign w:val="center"/>
            <w:hideMark/>
          </w:tcPr>
          <w:p w14:paraId="0B3C660C" w14:textId="77777777" w:rsidR="00B452EB" w:rsidRPr="00955A70" w:rsidRDefault="00B452EB" w:rsidP="0066185D">
            <w:pPr>
              <w:spacing w:before="60" w:after="60" w:line="276" w:lineRule="auto"/>
              <w:ind w:right="-91"/>
              <w:jc w:val="center"/>
              <w:rPr>
                <w:rFonts w:ascii="Arial" w:hAnsi="Arial" w:cs="Arial"/>
                <w:b/>
                <w:bCs/>
                <w:iCs/>
              </w:rPr>
            </w:pPr>
            <w:r w:rsidRPr="00955A70">
              <w:rPr>
                <w:rFonts w:ascii="Arial" w:hAnsi="Arial" w:cs="Arial"/>
                <w:b/>
                <w:bCs/>
                <w:iCs/>
              </w:rPr>
              <w:t>Empresa</w:t>
            </w:r>
          </w:p>
        </w:tc>
        <w:tc>
          <w:tcPr>
            <w:tcW w:w="1701" w:type="dxa"/>
            <w:shd w:val="clear" w:color="auto" w:fill="D0CECE" w:themeFill="background2" w:themeFillShade="E6"/>
            <w:noWrap/>
            <w:vAlign w:val="center"/>
            <w:hideMark/>
          </w:tcPr>
          <w:p w14:paraId="27239AE0" w14:textId="77777777" w:rsidR="00B452EB" w:rsidRDefault="00B452EB" w:rsidP="0066185D">
            <w:pPr>
              <w:spacing w:before="60" w:after="60" w:line="276" w:lineRule="auto"/>
              <w:ind w:right="-91"/>
              <w:jc w:val="center"/>
              <w:rPr>
                <w:rFonts w:ascii="Arial" w:hAnsi="Arial" w:cs="Arial"/>
                <w:b/>
                <w:bCs/>
                <w:iCs/>
              </w:rPr>
            </w:pPr>
            <w:r w:rsidRPr="00955A70">
              <w:rPr>
                <w:rFonts w:ascii="Arial" w:hAnsi="Arial" w:cs="Arial"/>
                <w:b/>
                <w:bCs/>
                <w:iCs/>
              </w:rPr>
              <w:t>Capacidad</w:t>
            </w:r>
          </w:p>
          <w:p w14:paraId="1BF945EA" w14:textId="77777777" w:rsidR="00B452EB" w:rsidRPr="00955A70" w:rsidRDefault="00B452EB" w:rsidP="0066185D">
            <w:pPr>
              <w:spacing w:before="60" w:after="60" w:line="276" w:lineRule="auto"/>
              <w:ind w:right="-91"/>
              <w:jc w:val="center"/>
              <w:rPr>
                <w:rFonts w:ascii="Arial" w:hAnsi="Arial" w:cs="Arial"/>
                <w:b/>
                <w:bCs/>
                <w:iCs/>
              </w:rPr>
            </w:pPr>
            <w:r w:rsidRPr="00955A70">
              <w:rPr>
                <w:rFonts w:ascii="Arial" w:hAnsi="Arial" w:cs="Arial"/>
                <w:b/>
                <w:bCs/>
                <w:iCs/>
              </w:rPr>
              <w:t>(kg)</w:t>
            </w:r>
          </w:p>
        </w:tc>
      </w:tr>
      <w:tr w:rsidR="00B452EB" w:rsidRPr="00955A70" w14:paraId="41D25D05" w14:textId="77777777" w:rsidTr="007836FB">
        <w:trPr>
          <w:trHeight w:val="624"/>
          <w:jc w:val="center"/>
        </w:trPr>
        <w:tc>
          <w:tcPr>
            <w:tcW w:w="1271" w:type="dxa"/>
            <w:noWrap/>
            <w:vAlign w:val="center"/>
          </w:tcPr>
          <w:p w14:paraId="0DEEB411" w14:textId="4BE35B93" w:rsidR="00B452EB" w:rsidRPr="00955A70" w:rsidRDefault="0066185D" w:rsidP="0066185D">
            <w:pPr>
              <w:spacing w:before="0" w:after="0" w:line="276" w:lineRule="auto"/>
              <w:ind w:right="-91"/>
              <w:jc w:val="center"/>
              <w:rPr>
                <w:rFonts w:ascii="Arial" w:hAnsi="Arial" w:cs="Arial"/>
                <w:iCs/>
              </w:rPr>
            </w:pPr>
            <w:r>
              <w:rPr>
                <w:rFonts w:ascii="Arial" w:hAnsi="Arial" w:cs="Arial"/>
                <w:color w:val="343536"/>
              </w:rPr>
              <w:t xml:space="preserve">  </w:t>
            </w:r>
            <w:r w:rsidR="00B452EB" w:rsidRPr="00955A70">
              <w:rPr>
                <w:rFonts w:ascii="Arial" w:hAnsi="Arial" w:cs="Arial"/>
                <w:color w:val="343536"/>
              </w:rPr>
              <w:t>1330</w:t>
            </w:r>
          </w:p>
        </w:tc>
        <w:tc>
          <w:tcPr>
            <w:tcW w:w="5103" w:type="dxa"/>
            <w:noWrap/>
            <w:vAlign w:val="center"/>
          </w:tcPr>
          <w:p w14:paraId="197E969E" w14:textId="77777777" w:rsidR="00B452EB" w:rsidRPr="00955A70" w:rsidRDefault="00B452EB" w:rsidP="0066185D">
            <w:pPr>
              <w:spacing w:before="0" w:after="0" w:line="276" w:lineRule="auto"/>
              <w:ind w:right="-91"/>
              <w:rPr>
                <w:rFonts w:ascii="Arial" w:hAnsi="Arial" w:cs="Arial"/>
                <w:iCs/>
              </w:rPr>
            </w:pPr>
            <w:r w:rsidRPr="00955A70">
              <w:rPr>
                <w:rFonts w:ascii="Arial" w:hAnsi="Arial" w:cs="Arial"/>
                <w:color w:val="343536"/>
              </w:rPr>
              <w:t>GRANADOS GOMEZ Y CIA S.A.S E.</w:t>
            </w:r>
            <w:proofErr w:type="gramStart"/>
            <w:r w:rsidRPr="00955A70">
              <w:rPr>
                <w:rFonts w:ascii="Arial" w:hAnsi="Arial" w:cs="Arial"/>
                <w:color w:val="343536"/>
              </w:rPr>
              <w:t>S.P</w:t>
            </w:r>
            <w:proofErr w:type="gramEnd"/>
          </w:p>
        </w:tc>
        <w:tc>
          <w:tcPr>
            <w:tcW w:w="1701" w:type="dxa"/>
            <w:noWrap/>
            <w:vAlign w:val="center"/>
          </w:tcPr>
          <w:p w14:paraId="2864E5D8" w14:textId="7D8C6503" w:rsidR="00B452EB" w:rsidRPr="00955A70" w:rsidRDefault="005F7B9B" w:rsidP="0066185D">
            <w:pPr>
              <w:spacing w:before="0" w:after="0" w:line="276" w:lineRule="auto"/>
              <w:ind w:right="-91"/>
              <w:jc w:val="center"/>
              <w:rPr>
                <w:rFonts w:ascii="Arial" w:hAnsi="Arial" w:cs="Arial"/>
                <w:iCs/>
              </w:rPr>
            </w:pPr>
            <w:r w:rsidRPr="005F7B9B">
              <w:rPr>
                <w:rFonts w:ascii="Arial" w:hAnsi="Arial" w:cs="Arial"/>
                <w:color w:val="000000"/>
              </w:rPr>
              <w:t>4.525.167</w:t>
            </w:r>
          </w:p>
        </w:tc>
      </w:tr>
    </w:tbl>
    <w:p w14:paraId="02A9BED5" w14:textId="77777777" w:rsidR="00757D6A" w:rsidRPr="00757D6A" w:rsidRDefault="00757D6A" w:rsidP="00B660DC">
      <w:pPr>
        <w:spacing w:line="276" w:lineRule="auto"/>
        <w:jc w:val="both"/>
        <w:rPr>
          <w:rFonts w:asciiTheme="majorHAnsi" w:eastAsia="Times New Roman" w:hAnsiTheme="majorHAnsi" w:cstheme="majorHAnsi"/>
          <w:spacing w:val="-5"/>
        </w:rPr>
      </w:pPr>
    </w:p>
    <w:p w14:paraId="450A9A24" w14:textId="36EAB277" w:rsidR="00757D6A" w:rsidRPr="00757D6A" w:rsidRDefault="00757D6A" w:rsidP="00B660DC">
      <w:pPr>
        <w:spacing w:line="276" w:lineRule="auto"/>
        <w:jc w:val="both"/>
        <w:rPr>
          <w:rFonts w:asciiTheme="majorHAnsi" w:eastAsia="Times New Roman" w:hAnsiTheme="majorHAnsi" w:cstheme="majorHAnsi"/>
          <w:spacing w:val="-5"/>
        </w:rPr>
      </w:pPr>
      <w:r w:rsidRPr="00757D6A">
        <w:rPr>
          <w:rFonts w:asciiTheme="majorHAnsi" w:eastAsia="Times New Roman" w:hAnsiTheme="majorHAnsi" w:cstheme="majorHAnsi"/>
          <w:spacing w:val="-5"/>
        </w:rPr>
        <w:t xml:space="preserve">Una vez hecha la presente publicación con la </w:t>
      </w:r>
      <w:r w:rsidR="00C63E95" w:rsidRPr="00C63E95">
        <w:rPr>
          <w:rFonts w:asciiTheme="majorHAnsi" w:eastAsia="Times New Roman" w:hAnsiTheme="majorHAnsi" w:cstheme="majorHAnsi"/>
          <w:spacing w:val="-5"/>
        </w:rPr>
        <w:t xml:space="preserve">precisión en la capacidad de compra del distribuidor </w:t>
      </w:r>
      <w:r w:rsidR="00C63E95" w:rsidRPr="0067405B">
        <w:rPr>
          <w:rFonts w:asciiTheme="majorHAnsi" w:eastAsia="Times New Roman" w:hAnsiTheme="majorHAnsi" w:cstheme="majorHAnsi"/>
          <w:spacing w:val="-5"/>
        </w:rPr>
        <w:t xml:space="preserve">Granados </w:t>
      </w:r>
      <w:proofErr w:type="spellStart"/>
      <w:r w:rsidR="00C63E95" w:rsidRPr="0067405B">
        <w:rPr>
          <w:rFonts w:asciiTheme="majorHAnsi" w:eastAsia="Times New Roman" w:hAnsiTheme="majorHAnsi" w:cstheme="majorHAnsi"/>
          <w:spacing w:val="-5"/>
        </w:rPr>
        <w:t>Gomez</w:t>
      </w:r>
      <w:proofErr w:type="spellEnd"/>
      <w:r w:rsidR="00C63E95" w:rsidRPr="0067405B">
        <w:rPr>
          <w:rFonts w:asciiTheme="majorHAnsi" w:eastAsia="Times New Roman" w:hAnsiTheme="majorHAnsi" w:cstheme="majorHAnsi"/>
          <w:spacing w:val="-5"/>
        </w:rPr>
        <w:t xml:space="preserve"> y </w:t>
      </w:r>
      <w:proofErr w:type="spellStart"/>
      <w:r w:rsidR="00C63E95" w:rsidRPr="0067405B">
        <w:rPr>
          <w:rFonts w:asciiTheme="majorHAnsi" w:eastAsia="Times New Roman" w:hAnsiTheme="majorHAnsi" w:cstheme="majorHAnsi"/>
          <w:spacing w:val="-5"/>
        </w:rPr>
        <w:t>Cia</w:t>
      </w:r>
      <w:proofErr w:type="spellEnd"/>
      <w:r w:rsidR="00C63E95" w:rsidRPr="0067405B">
        <w:rPr>
          <w:rFonts w:asciiTheme="majorHAnsi" w:eastAsia="Times New Roman" w:hAnsiTheme="majorHAnsi" w:cstheme="majorHAnsi"/>
          <w:spacing w:val="-5"/>
        </w:rPr>
        <w:t xml:space="preserve"> </w:t>
      </w:r>
      <w:r w:rsidR="005F7B9B" w:rsidRPr="0067405B">
        <w:rPr>
          <w:rFonts w:asciiTheme="majorHAnsi" w:eastAsia="Times New Roman" w:hAnsiTheme="majorHAnsi" w:cstheme="majorHAnsi"/>
          <w:spacing w:val="-5"/>
        </w:rPr>
        <w:t>S.A.S</w:t>
      </w:r>
      <w:r w:rsidR="0066185D">
        <w:rPr>
          <w:rFonts w:asciiTheme="majorHAnsi" w:eastAsia="Times New Roman" w:hAnsiTheme="majorHAnsi" w:cstheme="majorHAnsi"/>
          <w:spacing w:val="-5"/>
        </w:rPr>
        <w:t>.</w:t>
      </w:r>
      <w:r w:rsidR="005F7B9B" w:rsidRPr="0067405B">
        <w:rPr>
          <w:rFonts w:asciiTheme="majorHAnsi" w:eastAsia="Times New Roman" w:hAnsiTheme="majorHAnsi" w:cstheme="majorHAnsi"/>
          <w:spacing w:val="-5"/>
        </w:rPr>
        <w:t xml:space="preserve"> E.S.</w:t>
      </w:r>
      <w:r w:rsidR="0067405B">
        <w:rPr>
          <w:rFonts w:asciiTheme="majorHAnsi" w:eastAsia="Times New Roman" w:hAnsiTheme="majorHAnsi" w:cstheme="majorHAnsi"/>
          <w:spacing w:val="-5"/>
        </w:rPr>
        <w:t>P.</w:t>
      </w:r>
      <w:r w:rsidR="00AD120B">
        <w:rPr>
          <w:rFonts w:asciiTheme="majorHAnsi" w:eastAsia="Times New Roman" w:hAnsiTheme="majorHAnsi" w:cstheme="majorHAnsi"/>
          <w:spacing w:val="-5"/>
        </w:rPr>
        <w:t>,</w:t>
      </w:r>
      <w:r w:rsidRPr="00757D6A">
        <w:rPr>
          <w:rFonts w:asciiTheme="majorHAnsi" w:eastAsia="Times New Roman" w:hAnsiTheme="majorHAnsi" w:cstheme="majorHAnsi"/>
          <w:spacing w:val="-5"/>
        </w:rPr>
        <w:t xml:space="preserve"> en calidad de distribuidor absorbente, este distribuidor y los comercializadores mayoristas a efectos de dar cumplimiento a las obligaciones regulatorias de la Resolución CREG 063 de 2016 a las que se ha hecho referencia, deberán considerar para la capacidad de compra disponible de este distribuidor las cantidades de GLP contratadas (i.e. de fuentes de precio libre como de fuentes con precio regulado) por l</w:t>
      </w:r>
      <w:r w:rsidR="007F6426">
        <w:rPr>
          <w:rFonts w:asciiTheme="majorHAnsi" w:eastAsia="Times New Roman" w:hAnsiTheme="majorHAnsi" w:cstheme="majorHAnsi"/>
          <w:spacing w:val="-5"/>
        </w:rPr>
        <w:t>os</w:t>
      </w:r>
      <w:r w:rsidRPr="00757D6A">
        <w:rPr>
          <w:rFonts w:asciiTheme="majorHAnsi" w:eastAsia="Times New Roman" w:hAnsiTheme="majorHAnsi" w:cstheme="majorHAnsi"/>
          <w:spacing w:val="-5"/>
        </w:rPr>
        <w:t xml:space="preserve"> distribuidor</w:t>
      </w:r>
      <w:r w:rsidR="007F6426">
        <w:rPr>
          <w:rFonts w:asciiTheme="majorHAnsi" w:eastAsia="Times New Roman" w:hAnsiTheme="majorHAnsi" w:cstheme="majorHAnsi"/>
          <w:spacing w:val="-5"/>
        </w:rPr>
        <w:t>es</w:t>
      </w:r>
      <w:r w:rsidRPr="00757D6A">
        <w:rPr>
          <w:rFonts w:asciiTheme="majorHAnsi" w:eastAsia="Times New Roman" w:hAnsiTheme="majorHAnsi" w:cstheme="majorHAnsi"/>
          <w:spacing w:val="-5"/>
        </w:rPr>
        <w:t xml:space="preserve"> absorbido</w:t>
      </w:r>
      <w:r w:rsidR="007F6426">
        <w:rPr>
          <w:rFonts w:asciiTheme="majorHAnsi" w:eastAsia="Times New Roman" w:hAnsiTheme="majorHAnsi" w:cstheme="majorHAnsi"/>
          <w:spacing w:val="-5"/>
        </w:rPr>
        <w:t>s</w:t>
      </w:r>
      <w:r w:rsidRPr="00757D6A">
        <w:rPr>
          <w:rFonts w:asciiTheme="majorHAnsi" w:eastAsia="Times New Roman" w:hAnsiTheme="majorHAnsi" w:cstheme="majorHAnsi"/>
          <w:spacing w:val="-5"/>
        </w:rPr>
        <w:t xml:space="preserve"> </w:t>
      </w:r>
      <w:r w:rsidR="007F6426" w:rsidRPr="00DB796B">
        <w:rPr>
          <w:rFonts w:asciiTheme="majorHAnsi" w:eastAsia="Times New Roman" w:hAnsiTheme="majorHAnsi" w:cstheme="majorHAnsi"/>
          <w:spacing w:val="-5"/>
        </w:rPr>
        <w:t>Distribuidora Central de Gas S.A.S. E.S.P.</w:t>
      </w:r>
      <w:r w:rsidR="007F6426">
        <w:rPr>
          <w:rFonts w:asciiTheme="majorHAnsi" w:eastAsia="Times New Roman" w:hAnsiTheme="majorHAnsi" w:cstheme="majorHAnsi"/>
          <w:spacing w:val="-5"/>
        </w:rPr>
        <w:t xml:space="preserve"> y </w:t>
      </w:r>
      <w:r w:rsidR="007F6426" w:rsidRPr="00DB796B">
        <w:rPr>
          <w:rFonts w:asciiTheme="majorHAnsi" w:eastAsia="Times New Roman" w:hAnsiTheme="majorHAnsi" w:cstheme="majorHAnsi"/>
          <w:spacing w:val="-5"/>
        </w:rPr>
        <w:t>Gas Propano de Colombia S.A.S. E.S.P.</w:t>
      </w:r>
      <w:r w:rsidR="007F6426" w:rsidRPr="00757D6A">
        <w:rPr>
          <w:rFonts w:asciiTheme="majorHAnsi" w:eastAsia="Times New Roman" w:hAnsiTheme="majorHAnsi" w:cstheme="majorHAnsi"/>
          <w:spacing w:val="-5"/>
        </w:rPr>
        <w:t xml:space="preserve"> </w:t>
      </w:r>
      <w:r w:rsidRPr="00757D6A">
        <w:rPr>
          <w:rFonts w:asciiTheme="majorHAnsi" w:eastAsia="Times New Roman" w:hAnsiTheme="majorHAnsi" w:cstheme="majorHAnsi"/>
          <w:spacing w:val="-5"/>
        </w:rPr>
        <w:t xml:space="preserve">para el </w:t>
      </w:r>
      <w:r w:rsidR="007F6426">
        <w:rPr>
          <w:rFonts w:asciiTheme="majorHAnsi" w:eastAsia="Times New Roman" w:hAnsiTheme="majorHAnsi" w:cstheme="majorHAnsi"/>
          <w:spacing w:val="-5"/>
        </w:rPr>
        <w:t xml:space="preserve">décimo </w:t>
      </w:r>
      <w:r w:rsidRPr="00757D6A">
        <w:rPr>
          <w:rFonts w:asciiTheme="majorHAnsi" w:eastAsia="Times New Roman" w:hAnsiTheme="majorHAnsi" w:cstheme="majorHAnsi"/>
          <w:spacing w:val="-5"/>
        </w:rPr>
        <w:t>cuarto periodo de compra, hasta el momento en que</w:t>
      </w:r>
      <w:r w:rsidR="007F6426">
        <w:rPr>
          <w:rFonts w:asciiTheme="majorHAnsi" w:eastAsia="Times New Roman" w:hAnsiTheme="majorHAnsi" w:cstheme="majorHAnsi"/>
          <w:spacing w:val="-5"/>
        </w:rPr>
        <w:t xml:space="preserve"> las empresas</w:t>
      </w:r>
      <w:r w:rsidRPr="00757D6A">
        <w:rPr>
          <w:rFonts w:asciiTheme="majorHAnsi" w:eastAsia="Times New Roman" w:hAnsiTheme="majorHAnsi" w:cstheme="majorHAnsi"/>
          <w:spacing w:val="-5"/>
        </w:rPr>
        <w:t xml:space="preserve"> </w:t>
      </w:r>
      <w:r w:rsidR="007F6426" w:rsidRPr="00DB796B">
        <w:rPr>
          <w:rFonts w:asciiTheme="majorHAnsi" w:eastAsia="Times New Roman" w:hAnsiTheme="majorHAnsi" w:cstheme="majorHAnsi"/>
          <w:spacing w:val="-5"/>
        </w:rPr>
        <w:t>Distribuidora Central de Gas S.A.S. E.S.P.</w:t>
      </w:r>
      <w:r w:rsidR="007F6426">
        <w:rPr>
          <w:rFonts w:asciiTheme="majorHAnsi" w:eastAsia="Times New Roman" w:hAnsiTheme="majorHAnsi" w:cstheme="majorHAnsi"/>
          <w:spacing w:val="-5"/>
        </w:rPr>
        <w:t xml:space="preserve"> y </w:t>
      </w:r>
      <w:r w:rsidR="007F6426" w:rsidRPr="00DB796B">
        <w:rPr>
          <w:rFonts w:asciiTheme="majorHAnsi" w:eastAsia="Times New Roman" w:hAnsiTheme="majorHAnsi" w:cstheme="majorHAnsi"/>
          <w:spacing w:val="-5"/>
        </w:rPr>
        <w:t>Gas Propano de Colombia S.A.S. E.S.P.</w:t>
      </w:r>
      <w:r w:rsidR="007F6426">
        <w:rPr>
          <w:rFonts w:asciiTheme="majorHAnsi" w:eastAsia="Times New Roman" w:hAnsiTheme="majorHAnsi" w:cstheme="majorHAnsi"/>
          <w:spacing w:val="-5"/>
        </w:rPr>
        <w:t xml:space="preserve"> </w:t>
      </w:r>
      <w:r w:rsidRPr="00757D6A">
        <w:rPr>
          <w:rFonts w:asciiTheme="majorHAnsi" w:eastAsia="Times New Roman" w:hAnsiTheme="majorHAnsi" w:cstheme="majorHAnsi"/>
          <w:spacing w:val="-5"/>
        </w:rPr>
        <w:t>llev</w:t>
      </w:r>
      <w:r w:rsidR="007F6426">
        <w:rPr>
          <w:rFonts w:asciiTheme="majorHAnsi" w:eastAsia="Times New Roman" w:hAnsiTheme="majorHAnsi" w:cstheme="majorHAnsi"/>
          <w:spacing w:val="-5"/>
        </w:rPr>
        <w:t>aron</w:t>
      </w:r>
      <w:r w:rsidRPr="00757D6A">
        <w:rPr>
          <w:rFonts w:asciiTheme="majorHAnsi" w:eastAsia="Times New Roman" w:hAnsiTheme="majorHAnsi" w:cstheme="majorHAnsi"/>
          <w:spacing w:val="-5"/>
        </w:rPr>
        <w:t xml:space="preserve"> a cabo la ejecución de su objeto social.</w:t>
      </w:r>
    </w:p>
    <w:p w14:paraId="33DC2D41" w14:textId="77777777" w:rsidR="003B4E4D" w:rsidRPr="00757D6A" w:rsidRDefault="003B4E4D" w:rsidP="00B660DC">
      <w:pPr>
        <w:spacing w:before="0" w:after="0" w:line="276" w:lineRule="auto"/>
        <w:jc w:val="both"/>
        <w:rPr>
          <w:rFonts w:asciiTheme="majorHAnsi" w:hAnsiTheme="majorHAnsi" w:cstheme="majorHAnsi"/>
          <w:shd w:val="clear" w:color="auto" w:fill="FFFFFF"/>
        </w:rPr>
      </w:pPr>
    </w:p>
    <w:p w14:paraId="33A3B513" w14:textId="56CF2050" w:rsidR="00486572" w:rsidRPr="00757D6A" w:rsidRDefault="00486572" w:rsidP="00B660DC">
      <w:pPr>
        <w:pStyle w:val="Textoindependiente"/>
        <w:spacing w:before="0" w:after="0" w:line="276" w:lineRule="auto"/>
        <w:rPr>
          <w:rFonts w:asciiTheme="majorHAnsi" w:hAnsiTheme="majorHAnsi" w:cstheme="majorHAnsi"/>
          <w:sz w:val="24"/>
          <w:szCs w:val="24"/>
        </w:rPr>
      </w:pPr>
      <w:r w:rsidRPr="00757D6A">
        <w:rPr>
          <w:rFonts w:asciiTheme="majorHAnsi" w:hAnsiTheme="majorHAnsi" w:cstheme="majorHAnsi"/>
          <w:sz w:val="24"/>
          <w:szCs w:val="24"/>
        </w:rPr>
        <w:t>Cordialmente,</w:t>
      </w:r>
    </w:p>
    <w:p w14:paraId="6BF86C92" w14:textId="77777777" w:rsidR="00C32AA5" w:rsidRPr="00757D6A" w:rsidRDefault="00C32AA5" w:rsidP="00B660DC">
      <w:pPr>
        <w:pStyle w:val="Textoindependiente"/>
        <w:spacing w:before="0" w:after="0" w:line="276" w:lineRule="auto"/>
        <w:rPr>
          <w:rFonts w:asciiTheme="majorHAnsi" w:hAnsiTheme="majorHAnsi" w:cstheme="majorHAnsi"/>
          <w:sz w:val="24"/>
          <w:szCs w:val="24"/>
        </w:rPr>
      </w:pPr>
    </w:p>
    <w:p w14:paraId="2248E12C" w14:textId="77777777" w:rsidR="003B4E4D" w:rsidRPr="00757D6A" w:rsidRDefault="003B4E4D" w:rsidP="00B660DC">
      <w:pPr>
        <w:pStyle w:val="Textoindependiente"/>
        <w:spacing w:before="0" w:after="0" w:line="276" w:lineRule="auto"/>
        <w:rPr>
          <w:rFonts w:asciiTheme="majorHAnsi" w:hAnsiTheme="majorHAnsi" w:cstheme="majorHAnsi"/>
          <w:sz w:val="24"/>
          <w:szCs w:val="24"/>
        </w:rPr>
      </w:pPr>
    </w:p>
    <w:p w14:paraId="2F87F549" w14:textId="614D38B6" w:rsidR="00486572" w:rsidRPr="0066185D" w:rsidRDefault="007536FD" w:rsidP="00B660DC">
      <w:pPr>
        <w:pStyle w:val="Textoindependiente"/>
        <w:spacing w:before="0" w:after="0" w:line="276" w:lineRule="auto"/>
        <w:jc w:val="center"/>
        <w:rPr>
          <w:rFonts w:asciiTheme="majorHAnsi" w:hAnsiTheme="majorHAnsi" w:cstheme="majorHAnsi"/>
          <w:b/>
          <w:bCs/>
          <w:sz w:val="24"/>
          <w:szCs w:val="24"/>
        </w:rPr>
      </w:pPr>
      <w:r w:rsidRPr="0066185D">
        <w:rPr>
          <w:rFonts w:asciiTheme="majorHAnsi" w:hAnsiTheme="majorHAnsi" w:cstheme="majorHAnsi"/>
          <w:b/>
          <w:bCs/>
          <w:sz w:val="24"/>
          <w:szCs w:val="24"/>
        </w:rPr>
        <w:t>JOSÉ FERNANDO P</w:t>
      </w:r>
      <w:r w:rsidR="009D1374" w:rsidRPr="0066185D">
        <w:rPr>
          <w:rFonts w:asciiTheme="majorHAnsi" w:hAnsiTheme="majorHAnsi" w:cstheme="majorHAnsi"/>
          <w:b/>
          <w:bCs/>
          <w:sz w:val="24"/>
          <w:szCs w:val="24"/>
        </w:rPr>
        <w:t>RADA</w:t>
      </w:r>
      <w:r w:rsidRPr="0066185D">
        <w:rPr>
          <w:rFonts w:asciiTheme="majorHAnsi" w:hAnsiTheme="majorHAnsi" w:cstheme="majorHAnsi"/>
          <w:b/>
          <w:bCs/>
          <w:sz w:val="24"/>
          <w:szCs w:val="24"/>
        </w:rPr>
        <w:t xml:space="preserve"> RÍOS</w:t>
      </w:r>
    </w:p>
    <w:p w14:paraId="350CD725" w14:textId="01912E87" w:rsidR="0066185D" w:rsidRPr="00757D6A" w:rsidRDefault="0066185D" w:rsidP="0066185D">
      <w:pPr>
        <w:pStyle w:val="Textoindependiente"/>
        <w:spacing w:after="0" w:line="276" w:lineRule="auto"/>
        <w:jc w:val="center"/>
        <w:rPr>
          <w:rFonts w:asciiTheme="majorHAnsi" w:hAnsiTheme="majorHAnsi" w:cstheme="majorHAnsi"/>
          <w:sz w:val="24"/>
          <w:szCs w:val="24"/>
        </w:rPr>
      </w:pPr>
      <w:r>
        <w:rPr>
          <w:rFonts w:asciiTheme="majorHAnsi" w:hAnsiTheme="majorHAnsi" w:cstheme="majorHAnsi"/>
          <w:sz w:val="24"/>
          <w:szCs w:val="24"/>
        </w:rPr>
        <w:t>Director Ejecutivo</w:t>
      </w:r>
    </w:p>
    <w:sectPr w:rsidR="0066185D" w:rsidRPr="00757D6A" w:rsidSect="008B0943">
      <w:headerReference w:type="default" r:id="rId10"/>
      <w:footerReference w:type="default" r:id="rId11"/>
      <w:headerReference w:type="first" r:id="rId12"/>
      <w:footerReference w:type="first" r:id="rId13"/>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BFD9" w14:textId="77777777" w:rsidR="00AB59A8" w:rsidRDefault="00AB59A8" w:rsidP="00AA0519">
      <w:r>
        <w:separator/>
      </w:r>
    </w:p>
  </w:endnote>
  <w:endnote w:type="continuationSeparator" w:id="0">
    <w:p w14:paraId="5E95D415" w14:textId="77777777" w:rsidR="00AB59A8" w:rsidRDefault="00AB59A8" w:rsidP="00AA0519">
      <w:r>
        <w:continuationSeparator/>
      </w:r>
    </w:p>
  </w:endnote>
  <w:endnote w:type="continuationNotice" w:id="1">
    <w:p w14:paraId="5F70E76D" w14:textId="77777777" w:rsidR="00AB59A8" w:rsidRDefault="00AB59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1"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EC2B" w14:textId="77777777" w:rsidR="00AB59A8" w:rsidRDefault="00AB59A8" w:rsidP="00AA0519">
      <w:r>
        <w:separator/>
      </w:r>
    </w:p>
  </w:footnote>
  <w:footnote w:type="continuationSeparator" w:id="0">
    <w:p w14:paraId="49179FB7" w14:textId="77777777" w:rsidR="00AB59A8" w:rsidRDefault="00AB59A8" w:rsidP="00AA0519">
      <w:r>
        <w:continuationSeparator/>
      </w:r>
    </w:p>
  </w:footnote>
  <w:footnote w:type="continuationNotice" w:id="1">
    <w:p w14:paraId="6697B145" w14:textId="77777777" w:rsidR="00AB59A8" w:rsidRDefault="00AB59A8">
      <w:pPr>
        <w:spacing w:before="0" w:after="0" w:line="240" w:lineRule="auto"/>
      </w:pPr>
    </w:p>
  </w:footnote>
  <w:footnote w:id="2">
    <w:p w14:paraId="6BE101D3" w14:textId="77777777" w:rsidR="00757D6A" w:rsidRPr="002542D3" w:rsidRDefault="00757D6A" w:rsidP="00757D6A">
      <w:pPr>
        <w:pStyle w:val="Textonotapie"/>
        <w:ind w:left="0"/>
        <w:jc w:val="both"/>
        <w:rPr>
          <w:rFonts w:ascii="Arial" w:hAnsi="Arial" w:cs="Arial"/>
          <w:sz w:val="16"/>
          <w:szCs w:val="16"/>
        </w:rPr>
      </w:pPr>
      <w:r w:rsidRPr="002542D3">
        <w:rPr>
          <w:rStyle w:val="Refdenotaalpie"/>
          <w:rFonts w:ascii="Arial" w:eastAsiaTheme="majorEastAsia" w:hAnsi="Arial" w:cs="Arial"/>
          <w:sz w:val="16"/>
          <w:szCs w:val="16"/>
        </w:rPr>
        <w:footnoteRef/>
      </w:r>
      <w:r w:rsidRPr="002542D3">
        <w:rPr>
          <w:rFonts w:ascii="Arial" w:hAnsi="Arial"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664116B0" w:rsidR="003F2F4B" w:rsidRPr="00C9169C" w:rsidRDefault="00D31089" w:rsidP="00590454">
    <w:pPr>
      <w:pStyle w:val="Destinario"/>
      <w:spacing w:before="240"/>
      <w:ind w:left="708" w:hanging="708"/>
      <w:rPr>
        <w:sz w:val="22"/>
        <w:szCs w:val="22"/>
        <w:lang w:val="es-ES"/>
      </w:rPr>
    </w:pPr>
    <w:r>
      <w:rPr>
        <w:noProof/>
      </w:rPr>
      <w:drawing>
        <wp:anchor distT="0" distB="0" distL="114300" distR="114300" simplePos="0" relativeHeight="251660292" behindDoc="1" locked="0" layoutInCell="1" allowOverlap="1" wp14:anchorId="6A1043FD" wp14:editId="3509ECF9">
          <wp:simplePos x="0" y="0"/>
          <wp:positionH relativeFrom="column">
            <wp:posOffset>3079750</wp:posOffset>
          </wp:positionH>
          <wp:positionV relativeFrom="paragraph">
            <wp:posOffset>-686435</wp:posOffset>
          </wp:positionV>
          <wp:extent cx="3346234" cy="527857"/>
          <wp:effectExtent l="0" t="0" r="6985" b="5715"/>
          <wp:wrapNone/>
          <wp:docPr id="257996653" name="Imagen 25799665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sidR="008B0943" w:rsidRPr="00C9169C">
      <w:rPr>
        <w:rStyle w:val="DestinatariosegundapginaCar"/>
        <w:noProof/>
        <w:sz w:val="20"/>
        <w:szCs w:val="20"/>
      </w:rPr>
      <w:drawing>
        <wp:anchor distT="0" distB="0" distL="114300" distR="114300" simplePos="0" relativeHeight="251658240"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3"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24B7B"/>
    <w:rsid w:val="00026FFB"/>
    <w:rsid w:val="00040337"/>
    <w:rsid w:val="000428EC"/>
    <w:rsid w:val="00042CD1"/>
    <w:rsid w:val="00046BDF"/>
    <w:rsid w:val="000537EB"/>
    <w:rsid w:val="00053F51"/>
    <w:rsid w:val="00071BA7"/>
    <w:rsid w:val="00074D17"/>
    <w:rsid w:val="000844D9"/>
    <w:rsid w:val="000B439A"/>
    <w:rsid w:val="000B63A3"/>
    <w:rsid w:val="000C5E0E"/>
    <w:rsid w:val="000F11F6"/>
    <w:rsid w:val="000F2D93"/>
    <w:rsid w:val="000F38B4"/>
    <w:rsid w:val="001215BB"/>
    <w:rsid w:val="00124C31"/>
    <w:rsid w:val="001275D8"/>
    <w:rsid w:val="0014353D"/>
    <w:rsid w:val="00151620"/>
    <w:rsid w:val="00153BE7"/>
    <w:rsid w:val="001729EA"/>
    <w:rsid w:val="00191C27"/>
    <w:rsid w:val="00193784"/>
    <w:rsid w:val="001A260C"/>
    <w:rsid w:val="001A3358"/>
    <w:rsid w:val="001A4580"/>
    <w:rsid w:val="001A5C50"/>
    <w:rsid w:val="001D50D3"/>
    <w:rsid w:val="001E0791"/>
    <w:rsid w:val="001E2DD2"/>
    <w:rsid w:val="001F303A"/>
    <w:rsid w:val="001F47AB"/>
    <w:rsid w:val="002017B2"/>
    <w:rsid w:val="0024085D"/>
    <w:rsid w:val="00247425"/>
    <w:rsid w:val="00250F16"/>
    <w:rsid w:val="002A00B7"/>
    <w:rsid w:val="002A56B0"/>
    <w:rsid w:val="002B1A44"/>
    <w:rsid w:val="002C26C3"/>
    <w:rsid w:val="002D4E2F"/>
    <w:rsid w:val="002D6C8F"/>
    <w:rsid w:val="002D7167"/>
    <w:rsid w:val="002F1228"/>
    <w:rsid w:val="0030203A"/>
    <w:rsid w:val="0031445B"/>
    <w:rsid w:val="00324760"/>
    <w:rsid w:val="00336A1F"/>
    <w:rsid w:val="00341EDE"/>
    <w:rsid w:val="00350B2B"/>
    <w:rsid w:val="00353D1D"/>
    <w:rsid w:val="00355C03"/>
    <w:rsid w:val="0036074B"/>
    <w:rsid w:val="00361DFF"/>
    <w:rsid w:val="00367DFE"/>
    <w:rsid w:val="00376427"/>
    <w:rsid w:val="0038014E"/>
    <w:rsid w:val="00385C8B"/>
    <w:rsid w:val="003A15F7"/>
    <w:rsid w:val="003A7FC9"/>
    <w:rsid w:val="003B1FEC"/>
    <w:rsid w:val="003B4E4D"/>
    <w:rsid w:val="003C7711"/>
    <w:rsid w:val="003C7E1C"/>
    <w:rsid w:val="003E29AB"/>
    <w:rsid w:val="003F2F4B"/>
    <w:rsid w:val="003F5757"/>
    <w:rsid w:val="00410882"/>
    <w:rsid w:val="004170AF"/>
    <w:rsid w:val="0042219A"/>
    <w:rsid w:val="004272E1"/>
    <w:rsid w:val="004437B0"/>
    <w:rsid w:val="00446C26"/>
    <w:rsid w:val="00456720"/>
    <w:rsid w:val="00457CC2"/>
    <w:rsid w:val="0047172C"/>
    <w:rsid w:val="00483D6B"/>
    <w:rsid w:val="00486572"/>
    <w:rsid w:val="00495316"/>
    <w:rsid w:val="004A6CAB"/>
    <w:rsid w:val="004C0855"/>
    <w:rsid w:val="004C69B7"/>
    <w:rsid w:val="004E6D2A"/>
    <w:rsid w:val="005010E8"/>
    <w:rsid w:val="00515BEF"/>
    <w:rsid w:val="00532AB4"/>
    <w:rsid w:val="0055005D"/>
    <w:rsid w:val="005505CC"/>
    <w:rsid w:val="00561426"/>
    <w:rsid w:val="005655E5"/>
    <w:rsid w:val="005723D7"/>
    <w:rsid w:val="005751E5"/>
    <w:rsid w:val="00584ADD"/>
    <w:rsid w:val="00587F12"/>
    <w:rsid w:val="00590454"/>
    <w:rsid w:val="005966B6"/>
    <w:rsid w:val="0059731E"/>
    <w:rsid w:val="005A4453"/>
    <w:rsid w:val="005A468A"/>
    <w:rsid w:val="005B4F83"/>
    <w:rsid w:val="005B53D9"/>
    <w:rsid w:val="005B5736"/>
    <w:rsid w:val="005C287A"/>
    <w:rsid w:val="005C42EC"/>
    <w:rsid w:val="005D0196"/>
    <w:rsid w:val="005D7D66"/>
    <w:rsid w:val="005E366C"/>
    <w:rsid w:val="005F50C2"/>
    <w:rsid w:val="005F560D"/>
    <w:rsid w:val="005F6877"/>
    <w:rsid w:val="005F7B9B"/>
    <w:rsid w:val="00602072"/>
    <w:rsid w:val="00616121"/>
    <w:rsid w:val="00651863"/>
    <w:rsid w:val="00651C95"/>
    <w:rsid w:val="00660684"/>
    <w:rsid w:val="0066185D"/>
    <w:rsid w:val="006629AD"/>
    <w:rsid w:val="006718DE"/>
    <w:rsid w:val="0067405B"/>
    <w:rsid w:val="00675A70"/>
    <w:rsid w:val="006965E0"/>
    <w:rsid w:val="006A24B1"/>
    <w:rsid w:val="006D62D3"/>
    <w:rsid w:val="006E5480"/>
    <w:rsid w:val="00717096"/>
    <w:rsid w:val="00720132"/>
    <w:rsid w:val="00723843"/>
    <w:rsid w:val="007241DF"/>
    <w:rsid w:val="00726003"/>
    <w:rsid w:val="007278DC"/>
    <w:rsid w:val="00735E1F"/>
    <w:rsid w:val="0074199A"/>
    <w:rsid w:val="00752DEC"/>
    <w:rsid w:val="007536FD"/>
    <w:rsid w:val="00757D6A"/>
    <w:rsid w:val="00762CBD"/>
    <w:rsid w:val="00785F96"/>
    <w:rsid w:val="0078631A"/>
    <w:rsid w:val="00791A63"/>
    <w:rsid w:val="00795461"/>
    <w:rsid w:val="007A14A8"/>
    <w:rsid w:val="007A7C1D"/>
    <w:rsid w:val="007B0FC5"/>
    <w:rsid w:val="007C69BD"/>
    <w:rsid w:val="007E1857"/>
    <w:rsid w:val="007F42E3"/>
    <w:rsid w:val="007F4E31"/>
    <w:rsid w:val="007F6426"/>
    <w:rsid w:val="00801B9C"/>
    <w:rsid w:val="00812C02"/>
    <w:rsid w:val="00823401"/>
    <w:rsid w:val="00827316"/>
    <w:rsid w:val="00837A17"/>
    <w:rsid w:val="00847FE4"/>
    <w:rsid w:val="008632D7"/>
    <w:rsid w:val="00863E84"/>
    <w:rsid w:val="008776E3"/>
    <w:rsid w:val="00881D19"/>
    <w:rsid w:val="008822C4"/>
    <w:rsid w:val="008A0F66"/>
    <w:rsid w:val="008A7DD8"/>
    <w:rsid w:val="008B0943"/>
    <w:rsid w:val="008D1663"/>
    <w:rsid w:val="008E270F"/>
    <w:rsid w:val="008E4D89"/>
    <w:rsid w:val="00923930"/>
    <w:rsid w:val="00926D87"/>
    <w:rsid w:val="00930F73"/>
    <w:rsid w:val="00941A51"/>
    <w:rsid w:val="009526B5"/>
    <w:rsid w:val="00957BE3"/>
    <w:rsid w:val="009660DD"/>
    <w:rsid w:val="00976702"/>
    <w:rsid w:val="009925E9"/>
    <w:rsid w:val="009A3312"/>
    <w:rsid w:val="009B53B7"/>
    <w:rsid w:val="009B6D55"/>
    <w:rsid w:val="009C7D29"/>
    <w:rsid w:val="009D1374"/>
    <w:rsid w:val="009D6BF7"/>
    <w:rsid w:val="009E7865"/>
    <w:rsid w:val="009F3478"/>
    <w:rsid w:val="009F399C"/>
    <w:rsid w:val="009F5428"/>
    <w:rsid w:val="00A15CDD"/>
    <w:rsid w:val="00A15D55"/>
    <w:rsid w:val="00A402E2"/>
    <w:rsid w:val="00A4651D"/>
    <w:rsid w:val="00A56031"/>
    <w:rsid w:val="00A623C7"/>
    <w:rsid w:val="00A71966"/>
    <w:rsid w:val="00A84924"/>
    <w:rsid w:val="00A851AE"/>
    <w:rsid w:val="00A90A86"/>
    <w:rsid w:val="00A92B44"/>
    <w:rsid w:val="00AA0519"/>
    <w:rsid w:val="00AA7A5F"/>
    <w:rsid w:val="00AB368E"/>
    <w:rsid w:val="00AB59A8"/>
    <w:rsid w:val="00AD120B"/>
    <w:rsid w:val="00AD7FE1"/>
    <w:rsid w:val="00AE5930"/>
    <w:rsid w:val="00AF25FD"/>
    <w:rsid w:val="00AF6248"/>
    <w:rsid w:val="00B26677"/>
    <w:rsid w:val="00B33E6D"/>
    <w:rsid w:val="00B452EB"/>
    <w:rsid w:val="00B5513A"/>
    <w:rsid w:val="00B62C88"/>
    <w:rsid w:val="00B62D75"/>
    <w:rsid w:val="00B660DC"/>
    <w:rsid w:val="00B72A84"/>
    <w:rsid w:val="00B74DFE"/>
    <w:rsid w:val="00B9151C"/>
    <w:rsid w:val="00BA0BE0"/>
    <w:rsid w:val="00BA2CEA"/>
    <w:rsid w:val="00BB34D7"/>
    <w:rsid w:val="00BD2AB7"/>
    <w:rsid w:val="00BE4806"/>
    <w:rsid w:val="00BF54E9"/>
    <w:rsid w:val="00C03808"/>
    <w:rsid w:val="00C0510C"/>
    <w:rsid w:val="00C12877"/>
    <w:rsid w:val="00C23F85"/>
    <w:rsid w:val="00C26990"/>
    <w:rsid w:val="00C32AA5"/>
    <w:rsid w:val="00C63E95"/>
    <w:rsid w:val="00C81E1F"/>
    <w:rsid w:val="00C84A81"/>
    <w:rsid w:val="00C8578B"/>
    <w:rsid w:val="00C9169C"/>
    <w:rsid w:val="00C92A2D"/>
    <w:rsid w:val="00CA1B0F"/>
    <w:rsid w:val="00CB3666"/>
    <w:rsid w:val="00CC5E97"/>
    <w:rsid w:val="00CD588B"/>
    <w:rsid w:val="00CD6394"/>
    <w:rsid w:val="00CD718B"/>
    <w:rsid w:val="00CE66F4"/>
    <w:rsid w:val="00D24059"/>
    <w:rsid w:val="00D31089"/>
    <w:rsid w:val="00D31768"/>
    <w:rsid w:val="00D46C78"/>
    <w:rsid w:val="00D54482"/>
    <w:rsid w:val="00D55A00"/>
    <w:rsid w:val="00D754A1"/>
    <w:rsid w:val="00D915DC"/>
    <w:rsid w:val="00D92782"/>
    <w:rsid w:val="00DA0BB9"/>
    <w:rsid w:val="00DA2F2B"/>
    <w:rsid w:val="00DA4733"/>
    <w:rsid w:val="00DB796B"/>
    <w:rsid w:val="00DC4ACA"/>
    <w:rsid w:val="00DD044F"/>
    <w:rsid w:val="00DF0ED4"/>
    <w:rsid w:val="00DF79E2"/>
    <w:rsid w:val="00E035CC"/>
    <w:rsid w:val="00E07367"/>
    <w:rsid w:val="00E2239F"/>
    <w:rsid w:val="00E30465"/>
    <w:rsid w:val="00E3347D"/>
    <w:rsid w:val="00E337B1"/>
    <w:rsid w:val="00E56853"/>
    <w:rsid w:val="00E60A7D"/>
    <w:rsid w:val="00E61A3C"/>
    <w:rsid w:val="00E714DB"/>
    <w:rsid w:val="00E77923"/>
    <w:rsid w:val="00EA0495"/>
    <w:rsid w:val="00EC1FDE"/>
    <w:rsid w:val="00EC5291"/>
    <w:rsid w:val="00EC6BFB"/>
    <w:rsid w:val="00EE6261"/>
    <w:rsid w:val="00EF611B"/>
    <w:rsid w:val="00F02D43"/>
    <w:rsid w:val="00F13D47"/>
    <w:rsid w:val="00F147D4"/>
    <w:rsid w:val="00F164AF"/>
    <w:rsid w:val="00F329B3"/>
    <w:rsid w:val="00F32BA8"/>
    <w:rsid w:val="00F35EFC"/>
    <w:rsid w:val="00F41009"/>
    <w:rsid w:val="00F41094"/>
    <w:rsid w:val="00F453FA"/>
    <w:rsid w:val="00F4695F"/>
    <w:rsid w:val="00F66BF3"/>
    <w:rsid w:val="00F670E1"/>
    <w:rsid w:val="00F805D5"/>
    <w:rsid w:val="00F80B1D"/>
    <w:rsid w:val="00F80BEC"/>
    <w:rsid w:val="00F82573"/>
    <w:rsid w:val="00FA0C26"/>
    <w:rsid w:val="00FA6661"/>
    <w:rsid w:val="00FB0199"/>
    <w:rsid w:val="00FB07C1"/>
    <w:rsid w:val="00FC759B"/>
    <w:rsid w:val="00FD2A8B"/>
    <w:rsid w:val="00FF23F0"/>
    <w:rsid w:val="00FF4FEA"/>
    <w:rsid w:val="00FF75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003"/>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F147D4"/>
    <w:rPr>
      <w:color w:val="0563C1" w:themeColor="hyperlink"/>
      <w:u w:val="single"/>
    </w:rPr>
  </w:style>
  <w:style w:type="character" w:styleId="Mencinsinresolver">
    <w:name w:val="Unresolved Mention"/>
    <w:basedOn w:val="Fuentedeprrafopredeter"/>
    <w:uiPriority w:val="99"/>
    <w:semiHidden/>
    <w:unhideWhenUsed/>
    <w:rsid w:val="00F147D4"/>
    <w:rPr>
      <w:color w:val="605E5C"/>
      <w:shd w:val="clear" w:color="auto" w:fill="E1DFDD"/>
    </w:rPr>
  </w:style>
  <w:style w:type="paragraph" w:styleId="Revisin">
    <w:name w:val="Revision"/>
    <w:hidden/>
    <w:uiPriority w:val="99"/>
    <w:semiHidden/>
    <w:rsid w:val="00532AB4"/>
    <w:pPr>
      <w:spacing w:line="240" w:lineRule="auto"/>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57D6A"/>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757D6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57D6A"/>
    <w:rPr>
      <w:vertAlign w:val="superscript"/>
    </w:rPr>
  </w:style>
  <w:style w:type="table" w:styleId="Tablaconcuadrcula">
    <w:name w:val="Table Grid"/>
    <w:basedOn w:val="Tablanormal"/>
    <w:uiPriority w:val="59"/>
    <w:rsid w:val="005F560D"/>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F7B9B"/>
    <w:rPr>
      <w:sz w:val="16"/>
      <w:szCs w:val="16"/>
    </w:rPr>
  </w:style>
  <w:style w:type="paragraph" w:styleId="Textocomentario">
    <w:name w:val="annotation text"/>
    <w:basedOn w:val="Normal"/>
    <w:link w:val="TextocomentarioCar"/>
    <w:uiPriority w:val="99"/>
    <w:unhideWhenUsed/>
    <w:rsid w:val="005F7B9B"/>
    <w:pPr>
      <w:spacing w:line="240" w:lineRule="auto"/>
    </w:pPr>
    <w:rPr>
      <w:sz w:val="20"/>
      <w:szCs w:val="20"/>
    </w:rPr>
  </w:style>
  <w:style w:type="character" w:customStyle="1" w:styleId="TextocomentarioCar">
    <w:name w:val="Texto comentario Car"/>
    <w:basedOn w:val="Fuentedeprrafopredeter"/>
    <w:link w:val="Textocomentario"/>
    <w:uiPriority w:val="99"/>
    <w:rsid w:val="005F7B9B"/>
    <w:rPr>
      <w:sz w:val="20"/>
      <w:szCs w:val="20"/>
    </w:rPr>
  </w:style>
  <w:style w:type="paragraph" w:styleId="Asuntodelcomentario">
    <w:name w:val="annotation subject"/>
    <w:basedOn w:val="Textocomentario"/>
    <w:next w:val="Textocomentario"/>
    <w:link w:val="AsuntodelcomentarioCar"/>
    <w:uiPriority w:val="99"/>
    <w:semiHidden/>
    <w:unhideWhenUsed/>
    <w:rsid w:val="005F7B9B"/>
    <w:rPr>
      <w:b/>
      <w:bCs/>
    </w:rPr>
  </w:style>
  <w:style w:type="character" w:customStyle="1" w:styleId="AsuntodelcomentarioCar">
    <w:name w:val="Asunto del comentario Car"/>
    <w:basedOn w:val="TextocomentarioCar"/>
    <w:link w:val="Asuntodelcomentario"/>
    <w:uiPriority w:val="99"/>
    <w:semiHidden/>
    <w:rsid w:val="005F7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7108">
      <w:bodyDiv w:val="1"/>
      <w:marLeft w:val="0"/>
      <w:marRight w:val="0"/>
      <w:marTop w:val="0"/>
      <w:marBottom w:val="0"/>
      <w:divBdr>
        <w:top w:val="none" w:sz="0" w:space="0" w:color="auto"/>
        <w:left w:val="none" w:sz="0" w:space="0" w:color="auto"/>
        <w:bottom w:val="none" w:sz="0" w:space="0" w:color="auto"/>
        <w:right w:val="none" w:sz="0" w:space="0" w:color="auto"/>
      </w:divBdr>
    </w:div>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9418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f50d89-700a-49c3-acb1-cc45863f80d1">
      <Terms xmlns="http://schemas.microsoft.com/office/infopath/2007/PartnerControls"/>
    </lcf76f155ced4ddcb4097134ff3c332f>
    <TaxCatchAll xmlns="c5e352c5-a0a5-4aff-9101-fc8c076df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7" ma:contentTypeDescription="Crear nuevo documento." ma:contentTypeScope="" ma:versionID="f8dc5168c55ebbc0fea2c70dfd9341ae">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5e15caf47c3a6f1194bc8c1fc7f0331e"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a11bec3-26df-47a9-92ee-f2870e4266c1}"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customXml/itemProps2.xml><?xml version="1.0" encoding="utf-8"?>
<ds:datastoreItem xmlns:ds="http://schemas.openxmlformats.org/officeDocument/2006/customXml" ds:itemID="{728DE7FF-3B4D-42C5-B3DA-7B43831626DE}">
  <ds:schemaRefs>
    <ds:schemaRef ds:uri="http://schemas.microsoft.com/office/2006/metadata/properties"/>
    <ds:schemaRef ds:uri="http://schemas.microsoft.com/office/infopath/2007/PartnerControls"/>
    <ds:schemaRef ds:uri="52f50d89-700a-49c3-acb1-cc45863f80d1"/>
    <ds:schemaRef ds:uri="c5e352c5-a0a5-4aff-9101-fc8c076df9f7"/>
  </ds:schemaRefs>
</ds:datastoreItem>
</file>

<file path=customXml/itemProps3.xml><?xml version="1.0" encoding="utf-8"?>
<ds:datastoreItem xmlns:ds="http://schemas.openxmlformats.org/officeDocument/2006/customXml" ds:itemID="{604B4386-2B43-4774-9ED1-D0CC374D4C26}">
  <ds:schemaRefs>
    <ds:schemaRef ds:uri="http://schemas.microsoft.com/sharepoint/v3/contenttype/forms"/>
  </ds:schemaRefs>
</ds:datastoreItem>
</file>

<file path=customXml/itemProps4.xml><?xml version="1.0" encoding="utf-8"?>
<ds:datastoreItem xmlns:ds="http://schemas.openxmlformats.org/officeDocument/2006/customXml" ds:itemID="{214E6B99-07D3-4515-A6CB-B18800405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1170</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6</cp:revision>
  <cp:lastPrinted>2023-05-03T20:42:00Z</cp:lastPrinted>
  <dcterms:created xsi:type="dcterms:W3CDTF">2023-04-27T16:50:00Z</dcterms:created>
  <dcterms:modified xsi:type="dcterms:W3CDTF">2023-05-03T20:42:00Z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0x010100DCDD0B26ABEDD0459BD4267A57D8442E</vt:lpwstr>
  </property>
</Properties>
</file>