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7E7011">
        <w:rPr>
          <w:rFonts w:ascii="Arial" w:hAnsi="Arial" w:cs="Arial"/>
          <w:sz w:val="22"/>
          <w:szCs w:val="22"/>
          <w:lang w:val="es-MX"/>
        </w:rPr>
        <w:t>n</w:t>
      </w:r>
      <w:r w:rsidR="009F4F23">
        <w:rPr>
          <w:rFonts w:ascii="Arial" w:hAnsi="Arial" w:cs="Arial"/>
          <w:sz w:val="22"/>
          <w:szCs w:val="22"/>
          <w:lang w:val="es-MX"/>
        </w:rPr>
        <w:t xml:space="preserve">oviembre </w:t>
      </w:r>
      <w:r w:rsidR="007E7011">
        <w:rPr>
          <w:rFonts w:ascii="Arial" w:hAnsi="Arial" w:cs="Arial"/>
          <w:sz w:val="22"/>
          <w:szCs w:val="22"/>
          <w:lang w:val="es-MX"/>
        </w:rPr>
        <w:t>29</w:t>
      </w:r>
      <w:r w:rsidRPr="009E0F14">
        <w:rPr>
          <w:rFonts w:ascii="Arial" w:hAnsi="Arial" w:cs="Arial"/>
          <w:sz w:val="22"/>
          <w:szCs w:val="22"/>
          <w:lang w:val="es-MX"/>
        </w:rPr>
        <w:t xml:space="preserve"> </w:t>
      </w:r>
      <w:r w:rsidR="00B1132C">
        <w:rPr>
          <w:rFonts w:ascii="Arial" w:hAnsi="Arial" w:cs="Arial"/>
          <w:sz w:val="22"/>
          <w:szCs w:val="22"/>
          <w:lang w:val="es-MX"/>
        </w:rPr>
        <w:t>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7E701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074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B1132C">
        <w:rPr>
          <w:rFonts w:ascii="Arial" w:hAnsi="Arial" w:cs="Arial"/>
          <w:b/>
        </w:rPr>
        <w:t>EMPRESAS SE SERVICIOS PÚBLICOS DE LOS SECTORES DE ENERGÍA ELÉCTRICA Y DEMÁS INTERESADOS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B1132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B1132C">
        <w:rPr>
          <w:rFonts w:ascii="Arial" w:hAnsi="Arial" w:cs="Arial"/>
          <w:b/>
        </w:rPr>
        <w:t xml:space="preserve">PUBLICACIÓN DE PARÁMETROS CORRESPONDIENTES AL PERÍODO </w:t>
      </w:r>
      <w:r w:rsidR="00093F26">
        <w:rPr>
          <w:rFonts w:ascii="Arial" w:hAnsi="Arial" w:cs="Arial"/>
          <w:b/>
        </w:rPr>
        <w:t>DICIEMBRE DE 2017 A NOVIEMBRE DE 2018</w:t>
      </w:r>
      <w:r w:rsidR="00B1132C">
        <w:rPr>
          <w:rFonts w:ascii="Arial" w:hAnsi="Arial" w:cs="Arial"/>
          <w:b/>
        </w:rPr>
        <w:t>, DE LA CENTRAL TEBSA PARA VERIFICACIÓN DE LA ENERGÍA DISPONIBLE ADICIONAL (EDAPTM) CON DESTINO AL MERCADO SECUNDARIO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7E7011" w:rsidRPr="007E7011" w:rsidRDefault="007E70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9E4411" w:rsidRDefault="00B1132C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empresa TERMOBARRANQUILLA S.A. E.S.P., con fundamento en lo definido en el anexo 3 de la Resolución CREG 062 de 2007, está optando por utilizar el mecanismo definido en la citada norma para la determinación de la Energía Disponible Adicional de Plantas o Unidades Térmicas para un Mes (EDAPTM) con la planta TEBSA, para lo cual de</w:t>
      </w:r>
      <w:r w:rsidR="00732D77">
        <w:rPr>
          <w:rFonts w:cs="Arial"/>
          <w:sz w:val="22"/>
          <w:szCs w:val="22"/>
        </w:rPr>
        <w:t xml:space="preserve">claró los respectivos parámetros para el período </w:t>
      </w:r>
      <w:r w:rsidR="003C1B28">
        <w:rPr>
          <w:rFonts w:cs="Arial"/>
          <w:sz w:val="22"/>
          <w:szCs w:val="22"/>
        </w:rPr>
        <w:t>diciembre de 2017</w:t>
      </w:r>
      <w:r w:rsidR="00732D77">
        <w:rPr>
          <w:rFonts w:cs="Arial"/>
          <w:sz w:val="22"/>
          <w:szCs w:val="22"/>
        </w:rPr>
        <w:t xml:space="preserve"> a noviembre de 201</w:t>
      </w:r>
      <w:r w:rsidR="003C1B28">
        <w:rPr>
          <w:rFonts w:cs="Arial"/>
          <w:sz w:val="22"/>
          <w:szCs w:val="22"/>
        </w:rPr>
        <w:t>8</w:t>
      </w:r>
      <w:r w:rsidR="00732D77">
        <w:rPr>
          <w:rFonts w:cs="Arial"/>
          <w:sz w:val="22"/>
          <w:szCs w:val="22"/>
        </w:rPr>
        <w:t>, anexó la verificación de los parámetros por una firma auditora, los contratos de suministro y transporte</w:t>
      </w:r>
      <w:r w:rsidR="00ED3935">
        <w:rPr>
          <w:rFonts w:cs="Arial"/>
          <w:sz w:val="22"/>
          <w:szCs w:val="22"/>
        </w:rPr>
        <w:t xml:space="preserve"> y la licencia ambiental (Radicado CREG E-2017-</w:t>
      </w:r>
      <w:r w:rsidR="00ED3935" w:rsidRPr="00062AF7">
        <w:rPr>
          <w:rFonts w:cs="Arial"/>
          <w:sz w:val="22"/>
          <w:szCs w:val="22"/>
        </w:rPr>
        <w:t>0</w:t>
      </w:r>
      <w:r w:rsidR="00062AF7">
        <w:rPr>
          <w:rFonts w:cs="Arial"/>
          <w:sz w:val="22"/>
          <w:szCs w:val="22"/>
        </w:rPr>
        <w:t>10776</w:t>
      </w:r>
      <w:r w:rsidR="00ED3935">
        <w:rPr>
          <w:rFonts w:cs="Arial"/>
          <w:sz w:val="22"/>
          <w:szCs w:val="22"/>
        </w:rPr>
        <w:t xml:space="preserve"> y E-2017-</w:t>
      </w:r>
      <w:r w:rsidR="00ED3935" w:rsidRPr="00F81753">
        <w:rPr>
          <w:rFonts w:cs="Arial"/>
          <w:sz w:val="22"/>
          <w:szCs w:val="22"/>
        </w:rPr>
        <w:t>0</w:t>
      </w:r>
      <w:r w:rsidR="00F81753">
        <w:rPr>
          <w:rFonts w:cs="Arial"/>
          <w:sz w:val="22"/>
          <w:szCs w:val="22"/>
        </w:rPr>
        <w:t>10806</w:t>
      </w:r>
      <w:r w:rsidR="00ED3935">
        <w:rPr>
          <w:rFonts w:cs="Arial"/>
          <w:sz w:val="22"/>
          <w:szCs w:val="22"/>
        </w:rPr>
        <w:t>).</w:t>
      </w:r>
    </w:p>
    <w:p w:rsidR="008148C8" w:rsidRDefault="008148C8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8148C8" w:rsidRPr="009E0F14" w:rsidRDefault="008148C8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publican los parámetros declarados y los índices para efectos de que sea</w:t>
      </w:r>
      <w:r w:rsidR="000F3A74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tenidos en cuenta en el cálculo y verificación de la EDAPTM correspondiente a la planta de generación TEBSA, de conformidad con lo establecido en la Resolución CREG 062 de 2007.</w:t>
      </w: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8148C8" w:rsidRPr="009E0F14" w:rsidRDefault="008148C8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ED3935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</w:t>
      </w:r>
      <w:r w:rsidR="007E7011">
        <w:rPr>
          <w:rFonts w:cs="Arial"/>
          <w:sz w:val="22"/>
          <w:szCs w:val="22"/>
        </w:rPr>
        <w:t>Á</w:t>
      </w:r>
      <w:r>
        <w:rPr>
          <w:rFonts w:cs="Arial"/>
          <w:sz w:val="22"/>
          <w:szCs w:val="22"/>
        </w:rPr>
        <w:t>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ED3935">
        <w:rPr>
          <w:rFonts w:cs="Arial"/>
        </w:rPr>
        <w:t>Parámetros declarados e índices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Pr="008148C8" w:rsidRDefault="00ED3935" w:rsidP="008148C8">
      <w:pPr>
        <w:pStyle w:val="Textoindependiente"/>
        <w:spacing w:after="0" w:line="240" w:lineRule="auto"/>
        <w:jc w:val="center"/>
        <w:rPr>
          <w:rFonts w:cs="Arial"/>
          <w:b/>
          <w:sz w:val="28"/>
          <w:lang w:val="es-ES"/>
        </w:rPr>
      </w:pPr>
      <w:r w:rsidRPr="008148C8">
        <w:rPr>
          <w:rFonts w:cs="Arial"/>
          <w:b/>
          <w:sz w:val="28"/>
          <w:lang w:val="es-ES"/>
        </w:rPr>
        <w:t>ANEXO</w:t>
      </w:r>
    </w:p>
    <w:p w:rsidR="00ED3935" w:rsidRDefault="00ED3935" w:rsidP="009E4411">
      <w:pPr>
        <w:pStyle w:val="Textoindependiente"/>
        <w:spacing w:after="0" w:line="240" w:lineRule="auto"/>
        <w:rPr>
          <w:rFonts w:cs="Arial"/>
          <w:sz w:val="22"/>
          <w:lang w:val="es-ES"/>
        </w:rPr>
      </w:pPr>
    </w:p>
    <w:p w:rsidR="008148C8" w:rsidRPr="00ED3935" w:rsidRDefault="008148C8" w:rsidP="009E4411">
      <w:pPr>
        <w:pStyle w:val="Textoindependiente"/>
        <w:spacing w:after="0" w:line="240" w:lineRule="auto"/>
        <w:rPr>
          <w:rFonts w:cs="Arial"/>
          <w:sz w:val="22"/>
          <w:lang w:val="es-ES"/>
        </w:rPr>
      </w:pPr>
    </w:p>
    <w:p w:rsidR="00ED3935" w:rsidRPr="008148C8" w:rsidRDefault="00ED3935" w:rsidP="00ED3935">
      <w:pPr>
        <w:pStyle w:val="Textoindependiente"/>
        <w:numPr>
          <w:ilvl w:val="0"/>
          <w:numId w:val="4"/>
        </w:numPr>
        <w:spacing w:after="0" w:line="240" w:lineRule="auto"/>
        <w:rPr>
          <w:rFonts w:cs="Arial"/>
          <w:b/>
          <w:sz w:val="22"/>
          <w:lang w:val="es-ES"/>
        </w:rPr>
      </w:pPr>
      <w:r w:rsidRPr="008148C8">
        <w:rPr>
          <w:rFonts w:cs="Arial"/>
          <w:b/>
          <w:sz w:val="22"/>
          <w:lang w:val="es-ES"/>
        </w:rPr>
        <w:t>PARÁMETROS DECLARADOS POR TERMOBARRANQUILLA</w:t>
      </w:r>
    </w:p>
    <w:p w:rsidR="00ED3935" w:rsidRDefault="00ED3935" w:rsidP="00ED3935">
      <w:pPr>
        <w:pStyle w:val="Textoindependiente"/>
        <w:spacing w:after="0" w:line="240" w:lineRule="auto"/>
        <w:rPr>
          <w:rFonts w:cs="Arial"/>
          <w:sz w:val="22"/>
          <w:lang w:val="es-ES"/>
        </w:rPr>
      </w:pPr>
    </w:p>
    <w:p w:rsidR="00ED3935" w:rsidRPr="003C1B28" w:rsidRDefault="00F81753" w:rsidP="00ED3935">
      <w:pPr>
        <w:pStyle w:val="Textoindependiente"/>
        <w:spacing w:after="0" w:line="240" w:lineRule="auto"/>
        <w:rPr>
          <w:rFonts w:cs="Arial"/>
          <w:sz w:val="22"/>
          <w:highlight w:val="yellow"/>
          <w:lang w:val="es-ES"/>
        </w:rPr>
      </w:pPr>
      <w:r>
        <w:rPr>
          <w:rFonts w:cs="Arial"/>
          <w:noProof/>
          <w:sz w:val="22"/>
          <w:highlight w:val="yellow"/>
          <w:lang w:eastAsia="es-CO"/>
        </w:rPr>
        <w:drawing>
          <wp:inline distT="0" distB="0" distL="0" distR="0">
            <wp:extent cx="5781675" cy="1143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35" w:rsidRDefault="00ED3935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F81753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F81753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  <w:r>
        <w:rPr>
          <w:rFonts w:cs="Arial"/>
          <w:noProof/>
          <w:highlight w:val="yellow"/>
          <w:lang w:eastAsia="es-CO"/>
        </w:rPr>
        <w:drawing>
          <wp:inline distT="0" distB="0" distL="0" distR="0">
            <wp:extent cx="5791200" cy="9810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53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F81753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  <w:r>
        <w:rPr>
          <w:rFonts w:cs="Arial"/>
          <w:noProof/>
          <w:highlight w:val="yellow"/>
          <w:lang w:eastAsia="es-CO"/>
        </w:rPr>
        <w:drawing>
          <wp:inline distT="0" distB="0" distL="0" distR="0">
            <wp:extent cx="5791200" cy="10287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53" w:rsidRPr="003C1B28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ED3935" w:rsidRPr="003C1B28" w:rsidRDefault="00ED3935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4F2533" w:rsidRPr="003C1B28" w:rsidRDefault="004F253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4F2533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  <w:r>
        <w:rPr>
          <w:rFonts w:cs="Arial"/>
          <w:noProof/>
          <w:highlight w:val="yellow"/>
          <w:lang w:eastAsia="es-CO"/>
        </w:rPr>
        <w:drawing>
          <wp:inline distT="0" distB="0" distL="0" distR="0">
            <wp:extent cx="5791200" cy="21717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53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F81753" w:rsidRPr="003C1B28" w:rsidRDefault="00F81753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  <w:r>
        <w:rPr>
          <w:rFonts w:cs="Arial"/>
          <w:noProof/>
          <w:highlight w:val="yellow"/>
          <w:lang w:eastAsia="es-CO"/>
        </w:rPr>
        <w:lastRenderedPageBreak/>
        <w:drawing>
          <wp:inline distT="0" distB="0" distL="0" distR="0">
            <wp:extent cx="5791200" cy="19621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35" w:rsidRPr="003C1B28" w:rsidRDefault="00ED3935" w:rsidP="009E4411">
      <w:pPr>
        <w:pStyle w:val="Textoindependiente"/>
        <w:spacing w:after="0" w:line="240" w:lineRule="auto"/>
        <w:rPr>
          <w:rFonts w:cs="Arial"/>
          <w:highlight w:val="yellow"/>
          <w:lang w:val="es-ES"/>
        </w:rPr>
      </w:pPr>
    </w:p>
    <w:p w:rsidR="00ED3935" w:rsidRDefault="00ED3935" w:rsidP="00F02F94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</w:t>
      </w:r>
    </w:p>
    <w:p w:rsidR="00ED3935" w:rsidRPr="008148C8" w:rsidRDefault="00ED3935" w:rsidP="00ED3935">
      <w:pPr>
        <w:pStyle w:val="Textoindependiente"/>
        <w:numPr>
          <w:ilvl w:val="0"/>
          <w:numId w:val="4"/>
        </w:numPr>
        <w:spacing w:after="0" w:line="240" w:lineRule="auto"/>
        <w:rPr>
          <w:rFonts w:cs="Arial"/>
          <w:b/>
          <w:sz w:val="22"/>
        </w:rPr>
      </w:pPr>
      <w:r w:rsidRPr="008148C8">
        <w:rPr>
          <w:rFonts w:cs="Arial"/>
          <w:b/>
          <w:sz w:val="22"/>
        </w:rPr>
        <w:t>ÍNDICES IMM e IDT</w:t>
      </w:r>
    </w:p>
    <w:p w:rsidR="00ED3935" w:rsidRPr="00ED3935" w:rsidRDefault="00ED3935" w:rsidP="00ED3935">
      <w:pPr>
        <w:pStyle w:val="Textoindependiente"/>
        <w:spacing w:after="0" w:line="240" w:lineRule="auto"/>
        <w:rPr>
          <w:rFonts w:cs="Arial"/>
          <w:sz w:val="22"/>
        </w:rPr>
      </w:pPr>
    </w:p>
    <w:p w:rsidR="00ED3935" w:rsidRDefault="00ED3935" w:rsidP="00ED3935">
      <w:pPr>
        <w:pStyle w:val="Textoindependiente"/>
        <w:spacing w:after="0" w:line="240" w:lineRule="auto"/>
        <w:rPr>
          <w:rFonts w:cs="Arial"/>
          <w:sz w:val="22"/>
        </w:rPr>
      </w:pPr>
      <w:r w:rsidRPr="00ED3935">
        <w:rPr>
          <w:rFonts w:cs="Arial"/>
          <w:sz w:val="22"/>
        </w:rPr>
        <w:t xml:space="preserve">De acuerdo </w:t>
      </w:r>
      <w:r>
        <w:rPr>
          <w:rFonts w:cs="Arial"/>
          <w:sz w:val="22"/>
        </w:rPr>
        <w:t xml:space="preserve">con la obligación de los productores-comercializadores y los </w:t>
      </w:r>
      <w:r w:rsidR="008148C8">
        <w:rPr>
          <w:rFonts w:cs="Arial"/>
          <w:sz w:val="22"/>
        </w:rPr>
        <w:t xml:space="preserve">transportadores en cumplimiento de la Resolución CREG 089 de 2013, se informa que los índices IMM y TCR para la Planta TEBSA para el período </w:t>
      </w:r>
      <w:r w:rsidR="003C1B28">
        <w:rPr>
          <w:rFonts w:cs="Arial"/>
          <w:sz w:val="22"/>
        </w:rPr>
        <w:t>diciembre de 2017</w:t>
      </w:r>
      <w:r w:rsidR="008148C8">
        <w:rPr>
          <w:rFonts w:cs="Arial"/>
          <w:sz w:val="22"/>
        </w:rPr>
        <w:t xml:space="preserve"> a noviembre de 201</w:t>
      </w:r>
      <w:r w:rsidR="003C1B28">
        <w:rPr>
          <w:rFonts w:cs="Arial"/>
          <w:sz w:val="22"/>
        </w:rPr>
        <w:t>8</w:t>
      </w:r>
      <w:r w:rsidR="008148C8">
        <w:rPr>
          <w:rFonts w:cs="Arial"/>
          <w:sz w:val="22"/>
        </w:rPr>
        <w:t xml:space="preserve"> tiene un valor de 1.0.</w:t>
      </w:r>
    </w:p>
    <w:p w:rsidR="007E7011" w:rsidRDefault="007E7011" w:rsidP="00ED3935">
      <w:pPr>
        <w:pStyle w:val="Textoindependiente"/>
        <w:spacing w:after="0" w:line="240" w:lineRule="auto"/>
        <w:rPr>
          <w:rFonts w:cs="Arial"/>
          <w:sz w:val="22"/>
        </w:rPr>
      </w:pPr>
    </w:p>
    <w:p w:rsidR="007E7011" w:rsidRPr="007E7011" w:rsidRDefault="007E7011" w:rsidP="007E7011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 w:rsidRPr="007E7011">
        <w:rPr>
          <w:rFonts w:cs="Arial"/>
          <w:b/>
          <w:sz w:val="22"/>
        </w:rPr>
        <w:t>FIN DEL ANEXO</w:t>
      </w:r>
    </w:p>
    <w:p w:rsidR="008148C8" w:rsidRDefault="008148C8" w:rsidP="00ED3935">
      <w:pPr>
        <w:pStyle w:val="Textoindependiente"/>
        <w:spacing w:after="0" w:line="240" w:lineRule="auto"/>
        <w:rPr>
          <w:rFonts w:cs="Arial"/>
          <w:sz w:val="22"/>
        </w:rPr>
      </w:pPr>
    </w:p>
    <w:p w:rsidR="008148C8" w:rsidRPr="00ED3935" w:rsidRDefault="008148C8" w:rsidP="00ED3935">
      <w:pPr>
        <w:pStyle w:val="Textoindependiente"/>
        <w:spacing w:after="0" w:line="240" w:lineRule="auto"/>
        <w:rPr>
          <w:rFonts w:cs="Arial"/>
          <w:sz w:val="22"/>
        </w:rPr>
      </w:pPr>
    </w:p>
    <w:sectPr w:rsidR="008148C8" w:rsidRPr="00ED3935" w:rsidSect="00A566D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36" w:rsidRDefault="00321E36" w:rsidP="00D3044D">
      <w:r>
        <w:separator/>
      </w:r>
    </w:p>
  </w:endnote>
  <w:endnote w:type="continuationSeparator" w:id="0">
    <w:p w:rsidR="00321E36" w:rsidRDefault="00321E36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36" w:rsidRDefault="00321E36" w:rsidP="00D3044D">
      <w:r>
        <w:separator/>
      </w:r>
    </w:p>
  </w:footnote>
  <w:footnote w:type="continuationSeparator" w:id="0">
    <w:p w:rsidR="00321E36" w:rsidRDefault="00321E36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  <w:p w:rsidR="007E7011" w:rsidRDefault="007E7011">
    <w:pPr>
      <w:pStyle w:val="Encabezado"/>
    </w:pPr>
  </w:p>
  <w:p w:rsidR="007E7011" w:rsidRDefault="007E7011" w:rsidP="007E7011">
    <w:pPr>
      <w:pStyle w:val="Encabezado"/>
      <w:tabs>
        <w:tab w:val="clear" w:pos="8306"/>
        <w:tab w:val="left" w:pos="4153"/>
      </w:tabs>
    </w:pPr>
    <w:r>
      <w:tab/>
    </w:r>
  </w:p>
  <w:p w:rsidR="007E7011" w:rsidRPr="007E7011" w:rsidRDefault="007E701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7E7011">
      <w:rPr>
        <w:rFonts w:ascii="Arial" w:hAnsi="Arial" w:cs="Arial"/>
        <w:i/>
        <w:sz w:val="18"/>
        <w:szCs w:val="18"/>
        <w:u w:val="single"/>
      </w:rPr>
      <w:t>Circular074</w:t>
    </w:r>
  </w:p>
  <w:p w:rsidR="007E7011" w:rsidRPr="007E7011" w:rsidRDefault="007E701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7E7011">
      <w:rPr>
        <w:rFonts w:ascii="Arial" w:hAnsi="Arial" w:cs="Arial"/>
        <w:i/>
        <w:sz w:val="18"/>
        <w:szCs w:val="18"/>
        <w:u w:val="single"/>
      </w:rPr>
      <w:t>Noviembre 29 de 2017</w:t>
    </w:r>
  </w:p>
  <w:p w:rsidR="007E7011" w:rsidRPr="007E7011" w:rsidRDefault="007E701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7E7011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7E7011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7E7011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7C298F" w:rsidRPr="007C298F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7E7011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7E7011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7E7011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7E7011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7E7011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7C298F" w:rsidRPr="007C298F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3</w:t>
    </w:r>
    <w:r w:rsidRPr="007E7011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D9309ED"/>
    <w:multiLevelType w:val="hybridMultilevel"/>
    <w:tmpl w:val="4336C90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62AF7"/>
    <w:rsid w:val="00093F26"/>
    <w:rsid w:val="000A7717"/>
    <w:rsid w:val="000B7EDB"/>
    <w:rsid w:val="000F3A74"/>
    <w:rsid w:val="00113FBE"/>
    <w:rsid w:val="001149EB"/>
    <w:rsid w:val="00143E5A"/>
    <w:rsid w:val="00160B29"/>
    <w:rsid w:val="00171830"/>
    <w:rsid w:val="001F7FBD"/>
    <w:rsid w:val="002A2432"/>
    <w:rsid w:val="002C793C"/>
    <w:rsid w:val="002E0DAE"/>
    <w:rsid w:val="002F0A84"/>
    <w:rsid w:val="002F737B"/>
    <w:rsid w:val="00321E36"/>
    <w:rsid w:val="003702AE"/>
    <w:rsid w:val="00377098"/>
    <w:rsid w:val="003C1B28"/>
    <w:rsid w:val="003C5498"/>
    <w:rsid w:val="003E1618"/>
    <w:rsid w:val="003E4CDE"/>
    <w:rsid w:val="004002E0"/>
    <w:rsid w:val="00434A80"/>
    <w:rsid w:val="00462394"/>
    <w:rsid w:val="00463384"/>
    <w:rsid w:val="004F2533"/>
    <w:rsid w:val="0053042A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2D77"/>
    <w:rsid w:val="00734C9A"/>
    <w:rsid w:val="00791A92"/>
    <w:rsid w:val="007C047A"/>
    <w:rsid w:val="007C298F"/>
    <w:rsid w:val="007E7011"/>
    <w:rsid w:val="008047C2"/>
    <w:rsid w:val="00804E80"/>
    <w:rsid w:val="008148C8"/>
    <w:rsid w:val="008254E5"/>
    <w:rsid w:val="008462DA"/>
    <w:rsid w:val="00857D28"/>
    <w:rsid w:val="008850E1"/>
    <w:rsid w:val="008D11BA"/>
    <w:rsid w:val="00922D60"/>
    <w:rsid w:val="009378A1"/>
    <w:rsid w:val="00963B76"/>
    <w:rsid w:val="00966960"/>
    <w:rsid w:val="009823F7"/>
    <w:rsid w:val="009D0ECA"/>
    <w:rsid w:val="009E4411"/>
    <w:rsid w:val="009F4F23"/>
    <w:rsid w:val="00A35E81"/>
    <w:rsid w:val="00A566D9"/>
    <w:rsid w:val="00A62DC2"/>
    <w:rsid w:val="00A94073"/>
    <w:rsid w:val="00AB1B80"/>
    <w:rsid w:val="00AB21CC"/>
    <w:rsid w:val="00AD4DC5"/>
    <w:rsid w:val="00AF5A1D"/>
    <w:rsid w:val="00B1132C"/>
    <w:rsid w:val="00B66D2A"/>
    <w:rsid w:val="00B8242A"/>
    <w:rsid w:val="00BA7595"/>
    <w:rsid w:val="00C24869"/>
    <w:rsid w:val="00C73028"/>
    <w:rsid w:val="00C80840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64248"/>
    <w:rsid w:val="00D717EE"/>
    <w:rsid w:val="00D81061"/>
    <w:rsid w:val="00D87F17"/>
    <w:rsid w:val="00E20CDA"/>
    <w:rsid w:val="00E4791A"/>
    <w:rsid w:val="00EC1EFF"/>
    <w:rsid w:val="00ED3935"/>
    <w:rsid w:val="00EE79B5"/>
    <w:rsid w:val="00F02F94"/>
    <w:rsid w:val="00F14092"/>
    <w:rsid w:val="00F25346"/>
    <w:rsid w:val="00F44CA7"/>
    <w:rsid w:val="00F51041"/>
    <w:rsid w:val="00F72E3F"/>
    <w:rsid w:val="00F8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82C9-5ECC-496D-B3AF-7916E000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2017-11-29T22:20:00Z</dcterms:created>
  <dcterms:modified xsi:type="dcterms:W3CDTF">2017-11-29T22:20:00Z</dcterms:modified>
</cp:coreProperties>
</file>