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091C" w14:textId="18AB129B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D.C., </w:t>
      </w:r>
      <w:r w:rsidR="005B56A9">
        <w:rPr>
          <w:rFonts w:ascii="Arial" w:hAnsi="Arial" w:cs="Arial"/>
          <w:sz w:val="22"/>
          <w:szCs w:val="22"/>
          <w:lang w:val="es-MX"/>
        </w:rPr>
        <w:t>31</w:t>
      </w:r>
      <w:r w:rsidR="00BF5322">
        <w:rPr>
          <w:rFonts w:ascii="Arial" w:hAnsi="Arial" w:cs="Arial"/>
          <w:sz w:val="22"/>
          <w:szCs w:val="22"/>
          <w:lang w:val="es-MX"/>
        </w:rPr>
        <w:t xml:space="preserve"> de </w:t>
      </w:r>
      <w:r w:rsidR="006A3A15">
        <w:rPr>
          <w:rFonts w:ascii="Arial" w:hAnsi="Arial" w:cs="Arial"/>
          <w:sz w:val="22"/>
          <w:szCs w:val="22"/>
          <w:lang w:val="es-MX"/>
        </w:rPr>
        <w:t>mayo de 2022</w:t>
      </w:r>
    </w:p>
    <w:p w14:paraId="36F8449E" w14:textId="4CAF47BE" w:rsidR="00B20FA5" w:rsidRPr="00E36F81" w:rsidRDefault="00B20FA5" w:rsidP="00E36F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D4A7D42" w14:textId="77777777" w:rsidR="00E36F81" w:rsidRPr="00E36F81" w:rsidRDefault="00E36F81" w:rsidP="00E36F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5BF6758" w14:textId="486C42C1" w:rsidR="00D515F0" w:rsidRDefault="00D515F0" w:rsidP="00E36F81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5B56A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048</w:t>
      </w:r>
    </w:p>
    <w:p w14:paraId="24A6A4C1" w14:textId="24719373" w:rsidR="00E36F81" w:rsidRDefault="00E36F81" w:rsidP="00E36F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6118285" w14:textId="239E8B82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="0AA44AD5" w:rsidRPr="3F8A4B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4E7A5A">
        <w:rPr>
          <w:rFonts w:ascii="Arial" w:hAnsi="Arial" w:cs="Arial"/>
          <w:b/>
          <w:sz w:val="22"/>
          <w:szCs w:val="22"/>
        </w:rPr>
        <w:t xml:space="preserve">AGENTES </w:t>
      </w:r>
      <w:r w:rsidR="00323E06">
        <w:rPr>
          <w:rFonts w:ascii="Arial" w:hAnsi="Arial" w:cs="Arial"/>
          <w:b/>
          <w:sz w:val="22"/>
          <w:szCs w:val="22"/>
        </w:rPr>
        <w:t>TRANSPORTA</w:t>
      </w:r>
      <w:r w:rsidR="00C36C14">
        <w:rPr>
          <w:rFonts w:ascii="Arial" w:hAnsi="Arial" w:cs="Arial"/>
          <w:b/>
          <w:sz w:val="22"/>
          <w:szCs w:val="22"/>
        </w:rPr>
        <w:t xml:space="preserve">DORES </w:t>
      </w:r>
      <w:r w:rsidR="004E7A5A">
        <w:rPr>
          <w:rFonts w:ascii="Arial" w:hAnsi="Arial" w:cs="Arial"/>
          <w:b/>
          <w:sz w:val="22"/>
          <w:szCs w:val="22"/>
        </w:rPr>
        <w:t>Y TERCEROS INTERESADOS</w:t>
      </w:r>
      <w:r w:rsidR="00A46CB8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1636732C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="2E602083" w:rsidRPr="2D2DD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3F611192" w14:textId="77777777" w:rsidR="00640113" w:rsidRDefault="00640113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1FACE246" w14:textId="533D9EB8" w:rsidR="00551461" w:rsidRDefault="007E16DF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1011F32">
        <w:rPr>
          <w:rFonts w:ascii="Arial" w:hAnsi="Arial" w:cs="Arial"/>
          <w:b/>
          <w:bCs/>
          <w:sz w:val="22"/>
          <w:szCs w:val="22"/>
        </w:rPr>
        <w:t>ASUNTO:</w:t>
      </w:r>
      <w:r w:rsidR="50D91BDB" w:rsidRPr="2D2DD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851DBB" w:rsidRPr="01011F32">
        <w:rPr>
          <w:rFonts w:ascii="Arial" w:hAnsi="Arial" w:cs="Arial"/>
          <w:b/>
          <w:bCs/>
          <w:sz w:val="22"/>
          <w:szCs w:val="22"/>
        </w:rPr>
        <w:t>PUBLICACIÓ</w:t>
      </w:r>
      <w:r w:rsidR="1E6340B8" w:rsidRPr="01011F32">
        <w:rPr>
          <w:rFonts w:ascii="Arial" w:hAnsi="Arial" w:cs="Arial"/>
          <w:b/>
          <w:bCs/>
          <w:sz w:val="22"/>
          <w:szCs w:val="22"/>
        </w:rPr>
        <w:t>N</w:t>
      </w:r>
      <w:r w:rsidR="1E6340B8" w:rsidRPr="2D2DD503">
        <w:rPr>
          <w:rFonts w:ascii="Arial" w:hAnsi="Arial" w:cs="Arial"/>
          <w:b/>
          <w:bCs/>
          <w:sz w:val="22"/>
          <w:szCs w:val="22"/>
        </w:rPr>
        <w:t xml:space="preserve"> DE LA </w:t>
      </w:r>
      <w:r w:rsidR="00162F3D" w:rsidRPr="01011F32">
        <w:rPr>
          <w:rFonts w:ascii="Arial" w:hAnsi="Arial" w:cs="Arial"/>
          <w:b/>
          <w:bCs/>
          <w:sz w:val="22"/>
          <w:szCs w:val="22"/>
        </w:rPr>
        <w:t>HOJA DE CÁLCULO</w:t>
      </w:r>
      <w:r w:rsidR="0C8671CC" w:rsidRPr="2D2DD503">
        <w:rPr>
          <w:rFonts w:ascii="Arial" w:hAnsi="Arial" w:cs="Arial"/>
          <w:b/>
          <w:bCs/>
          <w:sz w:val="22"/>
          <w:szCs w:val="22"/>
        </w:rPr>
        <w:t>,</w:t>
      </w:r>
      <w:r w:rsidR="0C8671CC" w:rsidRPr="01011F32">
        <w:rPr>
          <w:rFonts w:ascii="Arial" w:hAnsi="Arial" w:cs="Arial"/>
          <w:b/>
          <w:bCs/>
          <w:sz w:val="22"/>
          <w:szCs w:val="22"/>
        </w:rPr>
        <w:t xml:space="preserve"> </w:t>
      </w:r>
      <w:r w:rsidR="00162F3D" w:rsidRPr="01011F32">
        <w:rPr>
          <w:rFonts w:ascii="Arial" w:hAnsi="Arial" w:cs="Arial"/>
          <w:b/>
          <w:bCs/>
          <w:sz w:val="22"/>
          <w:szCs w:val="22"/>
        </w:rPr>
        <w:t xml:space="preserve">EJEMPLO </w:t>
      </w:r>
      <w:r w:rsidR="00557878" w:rsidRPr="01011F32">
        <w:rPr>
          <w:rFonts w:ascii="Arial" w:hAnsi="Arial" w:cs="Arial"/>
          <w:b/>
          <w:bCs/>
          <w:sz w:val="22"/>
          <w:szCs w:val="22"/>
        </w:rPr>
        <w:t xml:space="preserve">DE </w:t>
      </w:r>
      <w:r w:rsidR="00557878" w:rsidRPr="2D2DD503">
        <w:rPr>
          <w:rFonts w:ascii="Arial" w:hAnsi="Arial" w:cs="Arial"/>
          <w:b/>
          <w:bCs/>
          <w:sz w:val="22"/>
          <w:szCs w:val="22"/>
        </w:rPr>
        <w:t>VALORACI</w:t>
      </w:r>
      <w:r w:rsidR="1AB5B53A" w:rsidRPr="2D2DD503">
        <w:rPr>
          <w:rFonts w:ascii="Arial" w:hAnsi="Arial" w:cs="Arial"/>
          <w:b/>
          <w:bCs/>
          <w:sz w:val="22"/>
          <w:szCs w:val="22"/>
        </w:rPr>
        <w:t>Ó</w:t>
      </w:r>
      <w:r w:rsidR="00557878" w:rsidRPr="2D2DD503">
        <w:rPr>
          <w:rFonts w:ascii="Arial" w:hAnsi="Arial" w:cs="Arial"/>
          <w:b/>
          <w:bCs/>
          <w:sz w:val="22"/>
          <w:szCs w:val="22"/>
        </w:rPr>
        <w:t>N</w:t>
      </w:r>
      <w:r w:rsidR="00557878" w:rsidRPr="01011F32">
        <w:rPr>
          <w:rFonts w:ascii="Arial" w:hAnsi="Arial" w:cs="Arial"/>
          <w:b/>
          <w:bCs/>
          <w:sz w:val="22"/>
          <w:szCs w:val="22"/>
        </w:rPr>
        <w:t xml:space="preserve"> </w:t>
      </w:r>
      <w:r w:rsidR="006A3A15">
        <w:rPr>
          <w:rFonts w:ascii="Arial" w:hAnsi="Arial" w:cs="Arial"/>
          <w:b/>
          <w:bCs/>
          <w:sz w:val="22"/>
          <w:szCs w:val="22"/>
        </w:rPr>
        <w:t>POLIDUCTOS</w:t>
      </w:r>
      <w:r w:rsidR="61060B07" w:rsidRPr="01011F3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CEB40BB" w14:textId="1BEF0C0C" w:rsidR="00BF5322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CADF2FD" w14:textId="77777777" w:rsidR="006D51E8" w:rsidRDefault="006D51E8" w:rsidP="00BF532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781B6C81" w14:textId="7C3248C9" w:rsidR="00DD1A90" w:rsidRPr="00B200DB" w:rsidRDefault="00E91111" w:rsidP="036D2A29">
      <w:pPr>
        <w:pStyle w:val="NormalWeb"/>
        <w:shd w:val="clear" w:color="auto" w:fill="FFFFFF" w:themeFill="background1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>La Comisión de Regulación de Energía y Gas</w:t>
      </w:r>
      <w:r w:rsidR="001F7504" w:rsidRPr="00B200DB">
        <w:rPr>
          <w:rFonts w:ascii="Arial" w:hAnsi="Arial" w:cs="Arial"/>
          <w:sz w:val="22"/>
          <w:szCs w:val="22"/>
        </w:rPr>
        <w:t xml:space="preserve"> </w:t>
      </w:r>
      <w:r w:rsidR="218B1E87" w:rsidRPr="7766C500">
        <w:rPr>
          <w:rFonts w:ascii="Arial" w:hAnsi="Arial" w:cs="Arial"/>
          <w:sz w:val="22"/>
          <w:szCs w:val="22"/>
        </w:rPr>
        <w:t>(</w:t>
      </w:r>
      <w:r w:rsidRPr="00B200DB">
        <w:rPr>
          <w:rFonts w:ascii="Arial" w:hAnsi="Arial" w:cs="Arial"/>
          <w:sz w:val="22"/>
          <w:szCs w:val="22"/>
        </w:rPr>
        <w:t>CREG</w:t>
      </w:r>
      <w:r w:rsidR="59440532" w:rsidRPr="036D2A29">
        <w:rPr>
          <w:rFonts w:ascii="Arial" w:hAnsi="Arial" w:cs="Arial"/>
          <w:sz w:val="22"/>
          <w:szCs w:val="22"/>
        </w:rPr>
        <w:t>)</w:t>
      </w:r>
      <w:r w:rsidR="00187939">
        <w:rPr>
          <w:rFonts w:ascii="Arial" w:hAnsi="Arial" w:cs="Arial"/>
          <w:sz w:val="22"/>
          <w:szCs w:val="22"/>
        </w:rPr>
        <w:t xml:space="preserve">, </w:t>
      </w:r>
      <w:r w:rsidR="006A3A15">
        <w:rPr>
          <w:rFonts w:ascii="Arial" w:hAnsi="Arial" w:cs="Arial"/>
          <w:sz w:val="22"/>
          <w:szCs w:val="22"/>
        </w:rPr>
        <w:t xml:space="preserve">para facilitar </w:t>
      </w:r>
      <w:r w:rsidR="00A049EC">
        <w:rPr>
          <w:rFonts w:ascii="Arial" w:hAnsi="Arial" w:cs="Arial"/>
          <w:sz w:val="22"/>
          <w:szCs w:val="22"/>
        </w:rPr>
        <w:t>el entendimiento y la aplicación d</w:t>
      </w:r>
      <w:r w:rsidR="00187939">
        <w:rPr>
          <w:rFonts w:ascii="Arial" w:hAnsi="Arial" w:cs="Arial"/>
          <w:sz w:val="22"/>
          <w:szCs w:val="22"/>
        </w:rPr>
        <w:t xml:space="preserve">el Anexo </w:t>
      </w:r>
      <w:r w:rsidR="004E2880">
        <w:rPr>
          <w:rFonts w:ascii="Arial" w:hAnsi="Arial" w:cs="Arial"/>
          <w:sz w:val="22"/>
          <w:szCs w:val="22"/>
        </w:rPr>
        <w:t xml:space="preserve">1 </w:t>
      </w:r>
      <w:r w:rsidR="00187939">
        <w:rPr>
          <w:rFonts w:ascii="Arial" w:hAnsi="Arial" w:cs="Arial"/>
          <w:sz w:val="22"/>
          <w:szCs w:val="22"/>
        </w:rPr>
        <w:t xml:space="preserve">de la Resolución </w:t>
      </w:r>
      <w:bookmarkStart w:id="0" w:name="_Hlk104547371"/>
      <w:r w:rsidR="00187939">
        <w:rPr>
          <w:rFonts w:ascii="Arial" w:hAnsi="Arial" w:cs="Arial"/>
          <w:sz w:val="22"/>
          <w:szCs w:val="22"/>
        </w:rPr>
        <w:t>CREG</w:t>
      </w:r>
      <w:r w:rsidR="00B4420F" w:rsidRPr="00B4420F">
        <w:rPr>
          <w:rFonts w:ascii="Arial" w:hAnsi="Arial" w:cs="Arial"/>
          <w:sz w:val="22"/>
          <w:szCs w:val="22"/>
        </w:rPr>
        <w:t xml:space="preserve"> 705 002 </w:t>
      </w:r>
      <w:r w:rsidR="00187939">
        <w:rPr>
          <w:rFonts w:ascii="Arial" w:hAnsi="Arial" w:cs="Arial"/>
          <w:sz w:val="22"/>
          <w:szCs w:val="22"/>
        </w:rPr>
        <w:t xml:space="preserve">de </w:t>
      </w:r>
      <w:r w:rsidR="00B4420F">
        <w:rPr>
          <w:rFonts w:ascii="Arial" w:hAnsi="Arial" w:cs="Arial"/>
          <w:sz w:val="22"/>
          <w:szCs w:val="22"/>
        </w:rPr>
        <w:t>2022</w:t>
      </w:r>
      <w:r w:rsidR="00187939">
        <w:rPr>
          <w:rFonts w:ascii="Arial" w:hAnsi="Arial" w:cs="Arial"/>
          <w:sz w:val="22"/>
          <w:szCs w:val="22"/>
        </w:rPr>
        <w:t xml:space="preserve"> </w:t>
      </w:r>
      <w:bookmarkEnd w:id="0"/>
      <w:r w:rsidR="00FA438C">
        <w:rPr>
          <w:rFonts w:ascii="Arial" w:hAnsi="Arial" w:cs="Arial"/>
          <w:sz w:val="22"/>
          <w:szCs w:val="22"/>
        </w:rPr>
        <w:t>“</w:t>
      </w:r>
      <w:r w:rsidR="00FA438C" w:rsidRPr="00FA438C">
        <w:rPr>
          <w:rFonts w:ascii="Arial" w:hAnsi="Arial" w:cs="Arial"/>
          <w:i/>
          <w:iCs/>
          <w:sz w:val="22"/>
          <w:szCs w:val="22"/>
        </w:rPr>
        <w:t>Consulta pública de la resolución de carácter general “Por la cual se establece la metodología tarifaria para la remuneración de la actividad de transporte de combustibles líquidos y gas licuado del petróleo –GLP- por ductos y, los lineamientos de valoración y remuneración de la infraestructura de almacenamiento</w:t>
      </w:r>
      <w:r w:rsidR="004E2880">
        <w:rPr>
          <w:rFonts w:ascii="Arial" w:hAnsi="Arial" w:cs="Arial"/>
          <w:i/>
          <w:iCs/>
          <w:sz w:val="22"/>
          <w:szCs w:val="22"/>
        </w:rPr>
        <w:t xml:space="preserve">” </w:t>
      </w:r>
      <w:r w:rsidR="004E2880">
        <w:rPr>
          <w:rFonts w:ascii="Arial" w:hAnsi="Arial" w:cs="Arial"/>
          <w:sz w:val="22"/>
          <w:szCs w:val="22"/>
        </w:rPr>
        <w:t xml:space="preserve"> se</w:t>
      </w:r>
      <w:r w:rsidR="00187939">
        <w:rPr>
          <w:rFonts w:ascii="Arial" w:hAnsi="Arial" w:cs="Arial"/>
          <w:i/>
          <w:iCs/>
          <w:sz w:val="22"/>
          <w:szCs w:val="22"/>
        </w:rPr>
        <w:t xml:space="preserve"> </w:t>
      </w:r>
      <w:r w:rsidR="00851DBB" w:rsidRPr="7766C500">
        <w:rPr>
          <w:rFonts w:ascii="Arial" w:hAnsi="Arial" w:cs="Arial"/>
          <w:sz w:val="22"/>
          <w:szCs w:val="22"/>
        </w:rPr>
        <w:t>public</w:t>
      </w:r>
      <w:r w:rsidR="00F01A8E">
        <w:rPr>
          <w:rFonts w:ascii="Arial" w:hAnsi="Arial" w:cs="Arial"/>
          <w:sz w:val="22"/>
          <w:szCs w:val="22"/>
        </w:rPr>
        <w:t>a</w:t>
      </w:r>
      <w:r w:rsidR="448469B7" w:rsidRPr="7766C500">
        <w:rPr>
          <w:rFonts w:ascii="Arial" w:hAnsi="Arial" w:cs="Arial"/>
          <w:sz w:val="22"/>
          <w:szCs w:val="22"/>
        </w:rPr>
        <w:t xml:space="preserve"> la</w:t>
      </w:r>
      <w:r w:rsidR="00851DBB" w:rsidRPr="00B200DB">
        <w:rPr>
          <w:rFonts w:ascii="Arial" w:hAnsi="Arial" w:cs="Arial"/>
          <w:sz w:val="22"/>
          <w:szCs w:val="22"/>
        </w:rPr>
        <w:t xml:space="preserve"> </w:t>
      </w:r>
      <w:r w:rsidR="00162F3D" w:rsidRPr="00B200DB">
        <w:rPr>
          <w:rFonts w:ascii="Arial" w:hAnsi="Arial" w:cs="Arial"/>
          <w:sz w:val="22"/>
          <w:szCs w:val="22"/>
        </w:rPr>
        <w:t xml:space="preserve">hoja de cálculo </w:t>
      </w:r>
      <w:r w:rsidR="00557878" w:rsidRPr="00B200DB">
        <w:rPr>
          <w:rFonts w:ascii="Arial" w:hAnsi="Arial" w:cs="Arial"/>
          <w:sz w:val="22"/>
          <w:szCs w:val="22"/>
        </w:rPr>
        <w:t xml:space="preserve">de valoración de </w:t>
      </w:r>
      <w:r w:rsidR="00FA438C">
        <w:rPr>
          <w:rFonts w:ascii="Arial" w:hAnsi="Arial" w:cs="Arial"/>
          <w:sz w:val="22"/>
          <w:szCs w:val="22"/>
        </w:rPr>
        <w:t>poliductos</w:t>
      </w:r>
      <w:r w:rsidR="4541C25D" w:rsidRPr="08F77173">
        <w:rPr>
          <w:rFonts w:ascii="Arial" w:hAnsi="Arial" w:cs="Arial"/>
          <w:sz w:val="22"/>
          <w:szCs w:val="22"/>
        </w:rPr>
        <w:t>, la</w:t>
      </w:r>
      <w:r w:rsidR="00A80A1D" w:rsidRPr="00B200DB">
        <w:rPr>
          <w:rFonts w:ascii="Arial" w:hAnsi="Arial" w:cs="Arial"/>
          <w:sz w:val="22"/>
          <w:szCs w:val="22"/>
        </w:rPr>
        <w:t xml:space="preserve"> cual tiene las siguientes consideraciones</w:t>
      </w:r>
      <w:r w:rsidR="39B6205D" w:rsidRPr="018C4DA0">
        <w:rPr>
          <w:rFonts w:ascii="Arial" w:hAnsi="Arial" w:cs="Arial"/>
          <w:sz w:val="22"/>
          <w:szCs w:val="22"/>
        </w:rPr>
        <w:t>:</w:t>
      </w:r>
    </w:p>
    <w:p w14:paraId="0783D90F" w14:textId="3C9FD493" w:rsidR="009F1C33" w:rsidRDefault="009D2621" w:rsidP="001705A7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>El modelo</w:t>
      </w:r>
      <w:r w:rsidR="004D07DA" w:rsidRPr="00B200DB">
        <w:rPr>
          <w:rFonts w:ascii="Arial" w:hAnsi="Arial" w:cs="Arial"/>
          <w:sz w:val="22"/>
          <w:szCs w:val="22"/>
        </w:rPr>
        <w:t xml:space="preserve"> oficial </w:t>
      </w:r>
      <w:r w:rsidR="009E37E6" w:rsidRPr="00B200DB">
        <w:rPr>
          <w:rFonts w:ascii="Arial" w:hAnsi="Arial" w:cs="Arial"/>
          <w:sz w:val="22"/>
          <w:szCs w:val="22"/>
        </w:rPr>
        <w:t xml:space="preserve">de valoración </w:t>
      </w:r>
      <w:r w:rsidR="009E37E6" w:rsidRPr="2F2DB8FD">
        <w:rPr>
          <w:rFonts w:ascii="Arial" w:hAnsi="Arial" w:cs="Arial"/>
          <w:sz w:val="22"/>
          <w:szCs w:val="22"/>
        </w:rPr>
        <w:t>est</w:t>
      </w:r>
      <w:r w:rsidR="094F8E6B" w:rsidRPr="2F2DB8FD">
        <w:rPr>
          <w:rFonts w:ascii="Arial" w:hAnsi="Arial" w:cs="Arial"/>
          <w:sz w:val="22"/>
          <w:szCs w:val="22"/>
        </w:rPr>
        <w:t>á</w:t>
      </w:r>
      <w:r w:rsidR="009E37E6" w:rsidRPr="00B200DB">
        <w:rPr>
          <w:rFonts w:ascii="Arial" w:hAnsi="Arial" w:cs="Arial"/>
          <w:sz w:val="22"/>
          <w:szCs w:val="22"/>
        </w:rPr>
        <w:t xml:space="preserve"> descrito en el </w:t>
      </w:r>
      <w:r w:rsidR="00F7339B" w:rsidRPr="00B200DB">
        <w:rPr>
          <w:rFonts w:ascii="Arial" w:hAnsi="Arial" w:cs="Arial"/>
          <w:sz w:val="22"/>
          <w:szCs w:val="22"/>
        </w:rPr>
        <w:t xml:space="preserve">Anexo 1 de la Resolución </w:t>
      </w:r>
      <w:r w:rsidR="004607A6">
        <w:rPr>
          <w:rFonts w:ascii="Arial" w:hAnsi="Arial" w:cs="Arial"/>
          <w:sz w:val="22"/>
          <w:szCs w:val="22"/>
        </w:rPr>
        <w:t>CREG</w:t>
      </w:r>
      <w:r w:rsidR="004607A6" w:rsidRPr="00B4420F">
        <w:rPr>
          <w:rFonts w:ascii="Arial" w:hAnsi="Arial" w:cs="Arial"/>
          <w:sz w:val="22"/>
          <w:szCs w:val="22"/>
        </w:rPr>
        <w:t xml:space="preserve"> 705 002 </w:t>
      </w:r>
      <w:r w:rsidR="004607A6">
        <w:rPr>
          <w:rFonts w:ascii="Arial" w:hAnsi="Arial" w:cs="Arial"/>
          <w:sz w:val="22"/>
          <w:szCs w:val="22"/>
        </w:rPr>
        <w:t>de 2022</w:t>
      </w:r>
      <w:r w:rsidR="00F7339B" w:rsidRPr="00B200DB">
        <w:rPr>
          <w:rFonts w:ascii="Arial" w:hAnsi="Arial" w:cs="Arial"/>
          <w:sz w:val="22"/>
          <w:szCs w:val="22"/>
        </w:rPr>
        <w:t>.</w:t>
      </w:r>
      <w:r w:rsidR="00F42D43" w:rsidRPr="00B200DB">
        <w:rPr>
          <w:rFonts w:ascii="Arial" w:hAnsi="Arial" w:cs="Arial"/>
          <w:sz w:val="22"/>
          <w:szCs w:val="22"/>
        </w:rPr>
        <w:t xml:space="preserve"> </w:t>
      </w:r>
    </w:p>
    <w:p w14:paraId="4C0AEEFA" w14:textId="77777777" w:rsidR="001705A7" w:rsidRPr="00B200DB" w:rsidRDefault="001705A7" w:rsidP="001705A7">
      <w:pPr>
        <w:pStyle w:val="NormalWeb"/>
        <w:shd w:val="clear" w:color="auto" w:fill="FFFFFF" w:themeFill="background1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54E7E731" w14:textId="5AAAD189" w:rsidR="00A80A1D" w:rsidRPr="00B200DB" w:rsidRDefault="009F1C33" w:rsidP="001705A7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 xml:space="preserve">El modelo ejemplo adjunto </w:t>
      </w:r>
      <w:r w:rsidR="007B7B2C" w:rsidRPr="00B200DB">
        <w:rPr>
          <w:rFonts w:ascii="Arial" w:hAnsi="Arial" w:cs="Arial"/>
          <w:sz w:val="22"/>
          <w:szCs w:val="22"/>
        </w:rPr>
        <w:t xml:space="preserve">no reemplaza ni </w:t>
      </w:r>
      <w:r w:rsidR="00F42D43" w:rsidRPr="00B200DB">
        <w:rPr>
          <w:rFonts w:ascii="Arial" w:hAnsi="Arial" w:cs="Arial"/>
          <w:sz w:val="22"/>
          <w:szCs w:val="22"/>
        </w:rPr>
        <w:t xml:space="preserve">será la herramienta oficial de aplicación del modelo descrito </w:t>
      </w:r>
      <w:r w:rsidR="005B7A0A" w:rsidRPr="00B200DB">
        <w:rPr>
          <w:rFonts w:ascii="Arial" w:hAnsi="Arial" w:cs="Arial"/>
          <w:sz w:val="22"/>
          <w:szCs w:val="22"/>
        </w:rPr>
        <w:t xml:space="preserve">en el </w:t>
      </w:r>
      <w:r w:rsidR="004C5D28" w:rsidRPr="14961857">
        <w:rPr>
          <w:rFonts w:ascii="Arial" w:hAnsi="Arial" w:cs="Arial"/>
          <w:sz w:val="22"/>
          <w:szCs w:val="22"/>
        </w:rPr>
        <w:t>Anexo</w:t>
      </w:r>
      <w:r w:rsidR="004C5D28" w:rsidRPr="00B200DB">
        <w:rPr>
          <w:rFonts w:ascii="Arial" w:hAnsi="Arial" w:cs="Arial"/>
          <w:sz w:val="22"/>
          <w:szCs w:val="22"/>
        </w:rPr>
        <w:t xml:space="preserve"> </w:t>
      </w:r>
      <w:r w:rsidR="005B7A0A" w:rsidRPr="00B200DB">
        <w:rPr>
          <w:rFonts w:ascii="Arial" w:hAnsi="Arial" w:cs="Arial"/>
          <w:sz w:val="22"/>
          <w:szCs w:val="22"/>
        </w:rPr>
        <w:t xml:space="preserve">1 de la Resolución </w:t>
      </w:r>
      <w:r w:rsidR="00FA438C" w:rsidRPr="00FA438C">
        <w:rPr>
          <w:rFonts w:ascii="Arial" w:hAnsi="Arial" w:cs="Arial"/>
          <w:sz w:val="22"/>
          <w:szCs w:val="22"/>
        </w:rPr>
        <w:t>CREG 705 002 de 2022</w:t>
      </w:r>
      <w:r w:rsidR="00D85424">
        <w:rPr>
          <w:rFonts w:ascii="Arial" w:hAnsi="Arial" w:cs="Arial"/>
          <w:sz w:val="22"/>
          <w:szCs w:val="22"/>
        </w:rPr>
        <w:t>,</w:t>
      </w:r>
      <w:r w:rsidR="00FA438C" w:rsidRPr="00FA438C">
        <w:rPr>
          <w:rFonts w:ascii="Arial" w:hAnsi="Arial" w:cs="Arial"/>
          <w:sz w:val="22"/>
          <w:szCs w:val="22"/>
        </w:rPr>
        <w:t xml:space="preserve"> </w:t>
      </w:r>
      <w:r w:rsidR="000A7695" w:rsidRPr="00B200DB">
        <w:rPr>
          <w:rFonts w:ascii="Arial" w:hAnsi="Arial" w:cs="Arial"/>
          <w:sz w:val="22"/>
          <w:szCs w:val="22"/>
        </w:rPr>
        <w:t>y no es parte integra</w:t>
      </w:r>
      <w:r w:rsidR="004E2880">
        <w:rPr>
          <w:rFonts w:ascii="Arial" w:hAnsi="Arial" w:cs="Arial"/>
          <w:sz w:val="22"/>
          <w:szCs w:val="22"/>
        </w:rPr>
        <w:t xml:space="preserve">nte </w:t>
      </w:r>
      <w:r w:rsidR="000A7695" w:rsidRPr="00B200DB">
        <w:rPr>
          <w:rFonts w:ascii="Arial" w:hAnsi="Arial" w:cs="Arial"/>
          <w:sz w:val="22"/>
          <w:szCs w:val="22"/>
        </w:rPr>
        <w:t>de la resolución</w:t>
      </w:r>
      <w:r w:rsidR="004E2880">
        <w:rPr>
          <w:rFonts w:ascii="Arial" w:hAnsi="Arial" w:cs="Arial"/>
          <w:sz w:val="22"/>
          <w:szCs w:val="22"/>
        </w:rPr>
        <w:t xml:space="preserve"> antes citada</w:t>
      </w:r>
      <w:r w:rsidR="00FA438C">
        <w:rPr>
          <w:rFonts w:ascii="Arial" w:hAnsi="Arial" w:cs="Arial"/>
          <w:sz w:val="22"/>
          <w:szCs w:val="22"/>
        </w:rPr>
        <w:t>.</w:t>
      </w:r>
    </w:p>
    <w:p w14:paraId="4B8CBF18" w14:textId="77777777" w:rsidR="001705A7" w:rsidRDefault="001705A7" w:rsidP="001705A7">
      <w:pPr>
        <w:pStyle w:val="NormalWeb"/>
        <w:shd w:val="clear" w:color="auto" w:fill="FFFFFF" w:themeFill="background1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3F8B020E" w14:textId="648680FE" w:rsidR="00F7339B" w:rsidRPr="00B200DB" w:rsidRDefault="00F7339B" w:rsidP="001705A7">
      <w:pPr>
        <w:pStyle w:val="Normal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 xml:space="preserve">La CREG no se hace responsable </w:t>
      </w:r>
      <w:r w:rsidR="00187939" w:rsidRPr="00B200DB">
        <w:rPr>
          <w:rFonts w:ascii="Arial" w:hAnsi="Arial" w:cs="Arial"/>
          <w:sz w:val="22"/>
          <w:szCs w:val="22"/>
        </w:rPr>
        <w:t>en ninguna circunstancia</w:t>
      </w:r>
      <w:r w:rsidRPr="00B200DB">
        <w:rPr>
          <w:rFonts w:ascii="Arial" w:hAnsi="Arial" w:cs="Arial"/>
          <w:sz w:val="22"/>
          <w:szCs w:val="22"/>
        </w:rPr>
        <w:t xml:space="preserve"> por la información suministrada en los enlaces o hipervínculos de terceras personas</w:t>
      </w:r>
      <w:r w:rsidR="00C40F88" w:rsidRPr="00B200DB">
        <w:rPr>
          <w:rFonts w:ascii="Arial" w:hAnsi="Arial" w:cs="Arial"/>
          <w:sz w:val="22"/>
          <w:szCs w:val="22"/>
        </w:rPr>
        <w:t xml:space="preserve"> incluidas en la hoja de cálculo</w:t>
      </w:r>
      <w:r w:rsidRPr="00B200DB">
        <w:rPr>
          <w:rFonts w:ascii="Arial" w:hAnsi="Arial" w:cs="Arial"/>
          <w:sz w:val="22"/>
          <w:szCs w:val="22"/>
        </w:rPr>
        <w:t xml:space="preserve">. La CREG se reserva el derecho de modificar en cualquier momento las presentes condiciones de uso, así como </w:t>
      </w:r>
      <w:r w:rsidRPr="0573E956">
        <w:rPr>
          <w:rFonts w:ascii="Arial" w:hAnsi="Arial" w:cs="Arial"/>
          <w:sz w:val="22"/>
          <w:szCs w:val="22"/>
        </w:rPr>
        <w:t>c</w:t>
      </w:r>
      <w:r w:rsidR="7D4A6F04" w:rsidRPr="0573E956">
        <w:rPr>
          <w:rFonts w:ascii="Arial" w:hAnsi="Arial" w:cs="Arial"/>
          <w:sz w:val="22"/>
          <w:szCs w:val="22"/>
        </w:rPr>
        <w:t>ualquier</w:t>
      </w:r>
      <w:r w:rsidRPr="0573E956">
        <w:rPr>
          <w:rFonts w:ascii="Arial" w:hAnsi="Arial" w:cs="Arial"/>
          <w:sz w:val="22"/>
          <w:szCs w:val="22"/>
        </w:rPr>
        <w:t xml:space="preserve"> otra</w:t>
      </w:r>
      <w:r w:rsidRPr="00B200DB">
        <w:rPr>
          <w:rFonts w:ascii="Arial" w:hAnsi="Arial" w:cs="Arial"/>
          <w:sz w:val="22"/>
          <w:szCs w:val="22"/>
        </w:rPr>
        <w:t xml:space="preserve"> </w:t>
      </w:r>
      <w:r w:rsidRPr="2BF6183B">
        <w:rPr>
          <w:rFonts w:ascii="Arial" w:hAnsi="Arial" w:cs="Arial"/>
          <w:sz w:val="22"/>
          <w:szCs w:val="22"/>
        </w:rPr>
        <w:t>condici</w:t>
      </w:r>
      <w:r w:rsidR="4AAAA939" w:rsidRPr="2BF6183B">
        <w:rPr>
          <w:rFonts w:ascii="Arial" w:hAnsi="Arial" w:cs="Arial"/>
          <w:sz w:val="22"/>
          <w:szCs w:val="22"/>
        </w:rPr>
        <w:t>ón</w:t>
      </w:r>
      <w:r w:rsidRPr="00B200DB">
        <w:rPr>
          <w:rFonts w:ascii="Arial" w:hAnsi="Arial" w:cs="Arial"/>
          <w:sz w:val="22"/>
          <w:szCs w:val="22"/>
        </w:rPr>
        <w:t xml:space="preserve"> </w:t>
      </w:r>
      <w:r w:rsidRPr="0B8F2423">
        <w:rPr>
          <w:rFonts w:ascii="Arial" w:hAnsi="Arial" w:cs="Arial"/>
          <w:sz w:val="22"/>
          <w:szCs w:val="22"/>
        </w:rPr>
        <w:t>general</w:t>
      </w:r>
      <w:r w:rsidRPr="00B200DB">
        <w:rPr>
          <w:rFonts w:ascii="Arial" w:hAnsi="Arial" w:cs="Arial"/>
          <w:sz w:val="22"/>
          <w:szCs w:val="22"/>
        </w:rPr>
        <w:t xml:space="preserve"> o </w:t>
      </w:r>
      <w:r w:rsidRPr="0B8F2423">
        <w:rPr>
          <w:rFonts w:ascii="Arial" w:hAnsi="Arial" w:cs="Arial"/>
          <w:sz w:val="22"/>
          <w:szCs w:val="22"/>
        </w:rPr>
        <w:t>particular</w:t>
      </w:r>
      <w:r w:rsidRPr="00B200DB">
        <w:rPr>
          <w:rFonts w:ascii="Arial" w:hAnsi="Arial" w:cs="Arial"/>
          <w:sz w:val="22"/>
          <w:szCs w:val="22"/>
        </w:rPr>
        <w:t xml:space="preserve">, reglamentos de uso, instrucciones o avisos que resulten de </w:t>
      </w:r>
      <w:r w:rsidR="421593B8" w:rsidRPr="3D3ADD52">
        <w:rPr>
          <w:rFonts w:ascii="Arial" w:hAnsi="Arial" w:cs="Arial"/>
          <w:sz w:val="22"/>
          <w:szCs w:val="22"/>
        </w:rPr>
        <w:t xml:space="preserve">la </w:t>
      </w:r>
      <w:r w:rsidRPr="00B200DB">
        <w:rPr>
          <w:rFonts w:ascii="Arial" w:hAnsi="Arial" w:cs="Arial"/>
          <w:sz w:val="22"/>
          <w:szCs w:val="22"/>
        </w:rPr>
        <w:t>aplicación.</w:t>
      </w:r>
    </w:p>
    <w:p w14:paraId="1C6D020C" w14:textId="77777777" w:rsidR="001705A7" w:rsidRDefault="001705A7" w:rsidP="001705A7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55C958C7" w14:textId="718BD4BB" w:rsidR="00F7339B" w:rsidRPr="00B200DB" w:rsidRDefault="00F7339B" w:rsidP="001705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 xml:space="preserve">Los agentes y demás interesados serán responsables de hacer una utilización correcta de la hoja de cálculo de conformidad con las leyes colombianas, la buena fe, el orden público, los usos del tráfico y las presentes condiciones de uso. Estos responderán frente a la CREG y a terceros, por los daños y perjuicios que pudieran causarse como consecuencia del incumplimiento de dicha obligación. </w:t>
      </w:r>
    </w:p>
    <w:p w14:paraId="61588D08" w14:textId="77777777" w:rsidR="001705A7" w:rsidRDefault="001705A7" w:rsidP="001705A7">
      <w:pPr>
        <w:pStyle w:val="NormalWeb"/>
        <w:shd w:val="clear" w:color="auto" w:fill="FFFFFF" w:themeFill="background1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09BF1EA0" w14:textId="7B00FB02" w:rsidR="001705A7" w:rsidRDefault="00F7339B" w:rsidP="000F1FC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B04B1">
        <w:rPr>
          <w:rFonts w:ascii="Arial" w:hAnsi="Arial" w:cs="Arial"/>
          <w:sz w:val="22"/>
          <w:szCs w:val="22"/>
        </w:rPr>
        <w:t>Los resultados indicativos generados por la presente hoja de cálculo corresponden a una estimación, así como</w:t>
      </w:r>
      <w:r w:rsidR="0533E958" w:rsidRPr="00CB04B1">
        <w:rPr>
          <w:rFonts w:ascii="Arial" w:hAnsi="Arial" w:cs="Arial"/>
          <w:sz w:val="22"/>
          <w:szCs w:val="22"/>
        </w:rPr>
        <w:t xml:space="preserve">, </w:t>
      </w:r>
      <w:r w:rsidRPr="00CB04B1">
        <w:rPr>
          <w:rFonts w:ascii="Arial" w:hAnsi="Arial" w:cs="Arial"/>
          <w:sz w:val="22"/>
          <w:szCs w:val="22"/>
        </w:rPr>
        <w:t>a un valor aproximado y de referencia de las inversiones</w:t>
      </w:r>
      <w:r w:rsidR="72585356" w:rsidRPr="00CB04B1">
        <w:rPr>
          <w:rFonts w:ascii="Arial" w:hAnsi="Arial" w:cs="Arial"/>
          <w:sz w:val="22"/>
          <w:szCs w:val="22"/>
        </w:rPr>
        <w:t>,</w:t>
      </w:r>
      <w:r w:rsidRPr="00CB04B1">
        <w:rPr>
          <w:rFonts w:ascii="Arial" w:hAnsi="Arial" w:cs="Arial"/>
          <w:sz w:val="22"/>
          <w:szCs w:val="22"/>
        </w:rPr>
        <w:t xml:space="preserve"> a efectos de orientar a los agentes prestadores sobre el eventual monto de las inversiones a reconocer dentro de los cargos de transporte de </w:t>
      </w:r>
      <w:r w:rsidR="00D5753A">
        <w:rPr>
          <w:rFonts w:ascii="Arial" w:hAnsi="Arial" w:cs="Arial"/>
          <w:sz w:val="22"/>
          <w:szCs w:val="22"/>
        </w:rPr>
        <w:t>combustibles líquidos</w:t>
      </w:r>
      <w:r w:rsidRPr="00CB04B1">
        <w:rPr>
          <w:rFonts w:ascii="Arial" w:hAnsi="Arial" w:cs="Arial"/>
          <w:sz w:val="22"/>
          <w:szCs w:val="22"/>
        </w:rPr>
        <w:t>. El valor de las inversiones a reconocer podría</w:t>
      </w:r>
      <w:r w:rsidR="00187939" w:rsidRPr="00CB04B1">
        <w:rPr>
          <w:rFonts w:ascii="Arial" w:hAnsi="Arial" w:cs="Arial"/>
          <w:sz w:val="22"/>
          <w:szCs w:val="22"/>
        </w:rPr>
        <w:t>n</w:t>
      </w:r>
      <w:r w:rsidRPr="00CB04B1">
        <w:rPr>
          <w:rFonts w:ascii="Arial" w:hAnsi="Arial" w:cs="Arial"/>
          <w:sz w:val="22"/>
          <w:szCs w:val="22"/>
        </w:rPr>
        <w:t xml:space="preserve"> variar de acuerdo con la información que sea suministrada por los agentes </w:t>
      </w:r>
      <w:r w:rsidRPr="00CB04B1">
        <w:rPr>
          <w:rFonts w:ascii="Arial" w:hAnsi="Arial" w:cs="Arial"/>
          <w:sz w:val="22"/>
          <w:szCs w:val="22"/>
        </w:rPr>
        <w:lastRenderedPageBreak/>
        <w:t xml:space="preserve">y demás elementos que se tengan en cuenta dentro de las actuaciones administrativas que se adelanten a efectos de establecer los cargos de transporte de </w:t>
      </w:r>
      <w:r w:rsidR="00E86F7C">
        <w:rPr>
          <w:rFonts w:ascii="Arial" w:hAnsi="Arial" w:cs="Arial"/>
          <w:sz w:val="22"/>
          <w:szCs w:val="22"/>
        </w:rPr>
        <w:t>combustibles líquidos</w:t>
      </w:r>
      <w:r w:rsidRPr="00CB04B1">
        <w:rPr>
          <w:rFonts w:ascii="Arial" w:hAnsi="Arial" w:cs="Arial"/>
          <w:sz w:val="22"/>
          <w:szCs w:val="22"/>
        </w:rPr>
        <w:t xml:space="preserve"> y las revisiones tarifarias que se adelanten dentro del período tarifario en cada situación particular y concreta</w:t>
      </w:r>
      <w:r w:rsidR="00D85424">
        <w:rPr>
          <w:rFonts w:ascii="Arial" w:hAnsi="Arial" w:cs="Arial"/>
          <w:sz w:val="22"/>
          <w:szCs w:val="22"/>
        </w:rPr>
        <w:t>. S</w:t>
      </w:r>
      <w:r w:rsidRPr="00CB04B1">
        <w:rPr>
          <w:rFonts w:ascii="Arial" w:hAnsi="Arial" w:cs="Arial"/>
          <w:sz w:val="22"/>
          <w:szCs w:val="22"/>
        </w:rPr>
        <w:t xml:space="preserve">in embargo, estas se harán con base en los mismos criterios y demás elementos previstos en la metodología de transporte de </w:t>
      </w:r>
      <w:r w:rsidR="00E86F7C">
        <w:rPr>
          <w:rFonts w:ascii="Arial" w:hAnsi="Arial" w:cs="Arial"/>
          <w:sz w:val="22"/>
          <w:szCs w:val="22"/>
        </w:rPr>
        <w:t>combustibles líquidos</w:t>
      </w:r>
      <w:r w:rsidRPr="00CB04B1">
        <w:rPr>
          <w:rFonts w:ascii="Arial" w:hAnsi="Arial" w:cs="Arial"/>
          <w:sz w:val="22"/>
          <w:szCs w:val="22"/>
        </w:rPr>
        <w:t xml:space="preserve">. En este sentido, los resultados de la presente hoja de cálculo </w:t>
      </w:r>
      <w:r w:rsidR="004E2880" w:rsidRPr="00CB04B1">
        <w:rPr>
          <w:rFonts w:ascii="Arial" w:hAnsi="Arial" w:cs="Arial"/>
          <w:sz w:val="22"/>
          <w:szCs w:val="22"/>
        </w:rPr>
        <w:t>en ninguna circunstancia</w:t>
      </w:r>
      <w:r w:rsidRPr="00CB04B1">
        <w:rPr>
          <w:rFonts w:ascii="Arial" w:hAnsi="Arial" w:cs="Arial"/>
          <w:sz w:val="22"/>
          <w:szCs w:val="22"/>
        </w:rPr>
        <w:t xml:space="preserve"> comprometen u obligan a la CREG en caso de diferir en el resultado de la aplicación de la metodología de transporte de </w:t>
      </w:r>
      <w:r w:rsidR="00D13E11">
        <w:rPr>
          <w:rFonts w:ascii="Arial" w:hAnsi="Arial" w:cs="Arial"/>
          <w:sz w:val="22"/>
          <w:szCs w:val="22"/>
        </w:rPr>
        <w:t>combustibles líquidos</w:t>
      </w:r>
      <w:r w:rsidRPr="00CB04B1">
        <w:rPr>
          <w:rFonts w:ascii="Arial" w:hAnsi="Arial" w:cs="Arial"/>
          <w:sz w:val="22"/>
          <w:szCs w:val="22"/>
        </w:rPr>
        <w:t xml:space="preserve"> dentro de las actuaciones administrativas que se adelanten a efectos de establecer los cargos </w:t>
      </w:r>
      <w:r w:rsidR="00D57DDD" w:rsidRPr="00CB04B1">
        <w:rPr>
          <w:rFonts w:ascii="Arial" w:hAnsi="Arial" w:cs="Arial"/>
          <w:sz w:val="22"/>
          <w:szCs w:val="22"/>
        </w:rPr>
        <w:t xml:space="preserve">de </w:t>
      </w:r>
      <w:r w:rsidR="00D57DDD">
        <w:rPr>
          <w:rFonts w:ascii="Arial" w:hAnsi="Arial" w:cs="Arial"/>
          <w:sz w:val="22"/>
          <w:szCs w:val="22"/>
        </w:rPr>
        <w:t>combustibles líquidos</w:t>
      </w:r>
      <w:r w:rsidR="00D57DDD" w:rsidRPr="00CB04B1">
        <w:rPr>
          <w:rFonts w:ascii="Arial" w:hAnsi="Arial" w:cs="Arial"/>
          <w:sz w:val="22"/>
          <w:szCs w:val="22"/>
        </w:rPr>
        <w:t xml:space="preserve"> </w:t>
      </w:r>
      <w:r w:rsidRPr="00CB04B1">
        <w:rPr>
          <w:rFonts w:ascii="Arial" w:hAnsi="Arial" w:cs="Arial"/>
          <w:sz w:val="22"/>
          <w:szCs w:val="22"/>
        </w:rPr>
        <w:t xml:space="preserve">y las revisiones tarifarias que se adelanten dentro del período tarifario. Los datos ingresados en esta hoja de cálculo </w:t>
      </w:r>
      <w:r w:rsidR="00CB04B1" w:rsidRPr="00CB04B1">
        <w:rPr>
          <w:rFonts w:ascii="Arial" w:hAnsi="Arial" w:cs="Arial"/>
          <w:sz w:val="22"/>
          <w:szCs w:val="22"/>
        </w:rPr>
        <w:t>son meramente indicativos</w:t>
      </w:r>
      <w:r w:rsidR="00D85424">
        <w:rPr>
          <w:rFonts w:ascii="Arial" w:hAnsi="Arial" w:cs="Arial"/>
          <w:sz w:val="22"/>
          <w:szCs w:val="22"/>
        </w:rPr>
        <w:t>,</w:t>
      </w:r>
      <w:r w:rsidR="00CB04B1" w:rsidRPr="00CB04B1">
        <w:rPr>
          <w:rFonts w:ascii="Arial" w:hAnsi="Arial" w:cs="Arial"/>
          <w:sz w:val="22"/>
          <w:szCs w:val="22"/>
        </w:rPr>
        <w:t xml:space="preserve"> y tan solo pueden ser consid</w:t>
      </w:r>
      <w:r w:rsidR="00CB04B1">
        <w:rPr>
          <w:rFonts w:ascii="Arial" w:hAnsi="Arial" w:cs="Arial"/>
          <w:sz w:val="22"/>
          <w:szCs w:val="22"/>
        </w:rPr>
        <w:t>e</w:t>
      </w:r>
      <w:r w:rsidR="00CB04B1" w:rsidRPr="00CB04B1">
        <w:rPr>
          <w:rFonts w:ascii="Arial" w:hAnsi="Arial" w:cs="Arial"/>
          <w:sz w:val="22"/>
          <w:szCs w:val="22"/>
        </w:rPr>
        <w:t xml:space="preserve">rados como un ejemplo de uso de </w:t>
      </w:r>
      <w:r w:rsidR="00CB04B1">
        <w:rPr>
          <w:rFonts w:ascii="Arial" w:hAnsi="Arial" w:cs="Arial"/>
          <w:sz w:val="22"/>
          <w:szCs w:val="22"/>
        </w:rPr>
        <w:t>la misma</w:t>
      </w:r>
      <w:r w:rsidR="00CB04B1" w:rsidRPr="00CB04B1">
        <w:rPr>
          <w:rFonts w:ascii="Arial" w:hAnsi="Arial" w:cs="Arial"/>
          <w:sz w:val="22"/>
          <w:szCs w:val="22"/>
        </w:rPr>
        <w:t xml:space="preserve">. </w:t>
      </w:r>
    </w:p>
    <w:p w14:paraId="3278DF16" w14:textId="77777777" w:rsidR="00CB04B1" w:rsidRPr="00CB04B1" w:rsidRDefault="00CB04B1" w:rsidP="00CB04B1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15CFAF67" w14:textId="1D275A47" w:rsidR="00F7339B" w:rsidRPr="00B200DB" w:rsidRDefault="00AA42D4" w:rsidP="001705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>L</w:t>
      </w:r>
      <w:r w:rsidR="00F7339B" w:rsidRPr="00B200DB">
        <w:rPr>
          <w:rFonts w:ascii="Arial" w:hAnsi="Arial" w:cs="Arial"/>
          <w:sz w:val="22"/>
          <w:szCs w:val="22"/>
        </w:rPr>
        <w:t xml:space="preserve">a hoja de cálculo es propiedad exclusiva de la CREG y están protegidos por las normas en materia de propiedad intelectual, derechos de autor de la República de Colombia y la Comunidad Andina de Naciones – CAN. Los agentes y demás interesados que hagan uso de él reconocen y aceptan que todos los derechos de propiedad intelectual sobre los contenidos y/o cualesquiera otros elementos insertados en la hoja de cálculo. </w:t>
      </w:r>
    </w:p>
    <w:p w14:paraId="0E89A7E4" w14:textId="77777777" w:rsidR="001705A7" w:rsidRDefault="001705A7" w:rsidP="001705A7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1A0592A9" w14:textId="0406A8E2" w:rsidR="00F7339B" w:rsidRPr="00B200DB" w:rsidRDefault="00F7339B" w:rsidP="001705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200DB">
        <w:rPr>
          <w:rFonts w:ascii="Arial" w:hAnsi="Arial" w:cs="Arial"/>
          <w:sz w:val="22"/>
          <w:szCs w:val="22"/>
        </w:rPr>
        <w:t>La CREG no será responsable por los daños y perjuicios de toda naturaleza derivados de, entre otros: a) La imposibilidad de acceso a</w:t>
      </w:r>
      <w:r w:rsidR="00B8685D" w:rsidRPr="00B200DB">
        <w:rPr>
          <w:rFonts w:ascii="Arial" w:hAnsi="Arial" w:cs="Arial"/>
          <w:sz w:val="22"/>
          <w:szCs w:val="22"/>
        </w:rPr>
        <w:t xml:space="preserve"> </w:t>
      </w:r>
      <w:r w:rsidRPr="00B200DB">
        <w:rPr>
          <w:rFonts w:ascii="Arial" w:hAnsi="Arial" w:cs="Arial"/>
          <w:sz w:val="22"/>
          <w:szCs w:val="22"/>
        </w:rPr>
        <w:t>la hoja de cálculo así como la falta de veracidad, exactitud y/o actualidad de los contenidos, así como la existencia de vicios y defectos de toda clase de los contenidos transmitidos, difundidos, almacenados, puestos a disposición a los que se haya accedido a través de la hoja de cálculo b) La presencia de virus o de otros elementos en los contenidos que puedan producir alteraciones en los sistemas informáticos, documentos electrónicos o datos de los agentes y demás interesados; c) El incumplimiento de las leyes colombianas, la buena fe, el orden público, los usos del tráfico y las presentes condiciones de uso como consecuencia del uso incorrecto de la hoja de cálculo</w:t>
      </w:r>
      <w:r w:rsidR="00B10850" w:rsidRPr="00B200DB">
        <w:rPr>
          <w:rFonts w:ascii="Arial" w:hAnsi="Arial" w:cs="Arial"/>
          <w:sz w:val="22"/>
          <w:szCs w:val="22"/>
        </w:rPr>
        <w:t>.</w:t>
      </w:r>
    </w:p>
    <w:p w14:paraId="16356732" w14:textId="77777777" w:rsidR="001705A7" w:rsidRDefault="001705A7" w:rsidP="001705A7">
      <w:pPr>
        <w:pStyle w:val="NormalWeb"/>
        <w:shd w:val="clear" w:color="auto" w:fill="FFFFFF" w:themeFill="background1"/>
        <w:spacing w:before="0" w:beforeAutospacing="0" w:after="0" w:afterAutospacing="0"/>
        <w:ind w:left="714"/>
        <w:jc w:val="both"/>
        <w:rPr>
          <w:rFonts w:ascii="Arial" w:hAnsi="Arial" w:cs="Arial"/>
          <w:sz w:val="22"/>
          <w:szCs w:val="22"/>
        </w:rPr>
      </w:pPr>
    </w:p>
    <w:p w14:paraId="726AA532" w14:textId="77777777" w:rsidR="001705A7" w:rsidRDefault="001705A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F13CD42" w14:textId="5A6BBE26" w:rsidR="00E52D6D" w:rsidRPr="00B20FA5" w:rsidRDefault="007E16D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71B7BF3E" w14:textId="7BA2E12C" w:rsidR="00D6201E" w:rsidRPr="00D6201E" w:rsidRDefault="00D6201E" w:rsidP="00D6201E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4071F1F" w14:textId="6CA77B1B" w:rsidR="01011F32" w:rsidRDefault="01011F32" w:rsidP="01011F3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3DF8C30" w14:textId="0C42667A" w:rsidR="01011F32" w:rsidRDefault="01011F32" w:rsidP="01011F3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12B82D" w14:textId="020C7CFC" w:rsidR="01011F32" w:rsidRDefault="01011F32" w:rsidP="01011F3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FBDD8EB" w14:textId="3566290F" w:rsidR="00C8613E" w:rsidRDefault="00C8613E" w:rsidP="00547D03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</w:t>
      </w:r>
      <w:r w:rsidR="1F859517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ÍN </w:t>
      </w:r>
    </w:p>
    <w:p w14:paraId="3BADBD3B" w14:textId="34AC3DFE" w:rsidR="00B23147" w:rsidRDefault="008E595C" w:rsidP="00547D03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DIRECTOR EJECUTIVO</w:t>
      </w:r>
    </w:p>
    <w:p w14:paraId="4A8D7F7E" w14:textId="3160E788" w:rsidR="00E91111" w:rsidRPr="00E91111" w:rsidRDefault="00E9111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2ED11718" w14:textId="4B306A4D" w:rsidR="004F17E9" w:rsidRPr="006D51E8" w:rsidRDefault="00181648" w:rsidP="00B23147">
      <w:pPr>
        <w:ind w:left="1134" w:hanging="1134"/>
        <w:rPr>
          <w:rFonts w:ascii="Arial" w:eastAsia="Times New Roman" w:hAnsi="Arial" w:cs="Arial"/>
          <w:sz w:val="20"/>
          <w:szCs w:val="20"/>
          <w:lang w:val="es-CO"/>
        </w:rPr>
      </w:pPr>
      <w:r w:rsidRPr="006D51E8">
        <w:rPr>
          <w:rFonts w:ascii="Arial" w:eastAsia="Times New Roman" w:hAnsi="Arial" w:cs="Arial"/>
          <w:sz w:val="20"/>
          <w:szCs w:val="20"/>
          <w:lang w:val="es-CO"/>
        </w:rPr>
        <w:t xml:space="preserve">Anexo: </w:t>
      </w:r>
      <w:r w:rsidR="00B10850" w:rsidRPr="006D51E8">
        <w:rPr>
          <w:rFonts w:ascii="Arial" w:eastAsia="Times New Roman" w:hAnsi="Arial" w:cs="Arial"/>
          <w:sz w:val="20"/>
          <w:szCs w:val="20"/>
          <w:lang w:val="es-CO"/>
        </w:rPr>
        <w:t xml:space="preserve">Archivo </w:t>
      </w:r>
      <w:r w:rsidR="00203280" w:rsidRPr="006D51E8">
        <w:rPr>
          <w:rFonts w:ascii="Arial" w:eastAsia="Times New Roman" w:hAnsi="Arial" w:cs="Arial"/>
          <w:sz w:val="20"/>
          <w:szCs w:val="20"/>
          <w:lang w:val="es-CO"/>
        </w:rPr>
        <w:t>Excel</w:t>
      </w:r>
      <w:r w:rsidR="00B10850" w:rsidRPr="006D51E8">
        <w:rPr>
          <w:rFonts w:ascii="Arial" w:eastAsia="Times New Roman" w:hAnsi="Arial" w:cs="Arial"/>
          <w:sz w:val="20"/>
          <w:szCs w:val="20"/>
          <w:lang w:val="es-CO"/>
        </w:rPr>
        <w:t xml:space="preserve"> con modelo</w:t>
      </w:r>
    </w:p>
    <w:sectPr w:rsidR="004F17E9" w:rsidRPr="006D51E8" w:rsidSect="00B20F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77F0" w14:textId="77777777" w:rsidR="000A7C01" w:rsidRDefault="000A7C01" w:rsidP="00AA0519">
      <w:r>
        <w:separator/>
      </w:r>
    </w:p>
  </w:endnote>
  <w:endnote w:type="continuationSeparator" w:id="0">
    <w:p w14:paraId="33A37C6E" w14:textId="77777777" w:rsidR="000A7C01" w:rsidRDefault="000A7C01" w:rsidP="00AA0519">
      <w:r>
        <w:continuationSeparator/>
      </w:r>
    </w:p>
  </w:endnote>
  <w:endnote w:type="continuationNotice" w:id="1">
    <w:p w14:paraId="114887EC" w14:textId="77777777" w:rsidR="000A7C01" w:rsidRDefault="000A7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76C" w14:textId="3EA78634" w:rsidR="00735E1F" w:rsidRDefault="005B56A9" w:rsidP="00735E1F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45FFE" wp14:editId="182E4DA9">
          <wp:simplePos x="0" y="0"/>
          <wp:positionH relativeFrom="page">
            <wp:align>left</wp:align>
          </wp:positionH>
          <wp:positionV relativeFrom="paragraph">
            <wp:posOffset>-866775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3E07" w14:textId="77777777" w:rsidR="003F2F4B" w:rsidRDefault="0DD6F369" w:rsidP="003F2F4B">
    <w:pPr>
      <w:pStyle w:val="Piedepgina"/>
      <w:jc w:val="center"/>
    </w:pPr>
    <w:r>
      <w:rPr>
        <w:noProof/>
      </w:rPr>
      <w:drawing>
        <wp:inline distT="0" distB="0" distL="0" distR="0" wp14:anchorId="30F85662" wp14:editId="67FFDFBB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2207" w14:textId="77777777" w:rsidR="000A7C01" w:rsidRDefault="000A7C01" w:rsidP="00AA0519">
      <w:r>
        <w:separator/>
      </w:r>
    </w:p>
  </w:footnote>
  <w:footnote w:type="continuationSeparator" w:id="0">
    <w:p w14:paraId="08C105DD" w14:textId="77777777" w:rsidR="000A7C01" w:rsidRDefault="000A7C01" w:rsidP="00AA0519">
      <w:r>
        <w:continuationSeparator/>
      </w:r>
    </w:p>
  </w:footnote>
  <w:footnote w:type="continuationNotice" w:id="1">
    <w:p w14:paraId="61AB94AD" w14:textId="77777777" w:rsidR="000A7C01" w:rsidRDefault="000A7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9E5" w14:textId="77777777" w:rsidR="00AA0519" w:rsidRDefault="0DD6F369">
    <w:pPr>
      <w:pStyle w:val="Encabezado"/>
    </w:pPr>
    <w:r>
      <w:rPr>
        <w:noProof/>
      </w:rPr>
      <w:drawing>
        <wp:inline distT="0" distB="0" distL="0" distR="0" wp14:anchorId="76F8F57F" wp14:editId="78E570F5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640327A6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B56A9">
      <w:rPr>
        <w:rFonts w:ascii="Arial" w:hAnsi="Arial" w:cs="Arial"/>
        <w:i/>
        <w:sz w:val="18"/>
        <w:szCs w:val="18"/>
        <w:u w:val="single"/>
      </w:rPr>
      <w:t>48</w:t>
    </w:r>
  </w:p>
  <w:p w14:paraId="607D0333" w14:textId="7AA1640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DD6F369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</w:rPr>
      <w:drawing>
        <wp:inline distT="0" distB="0" distL="0" distR="0" wp14:anchorId="6DA8A880" wp14:editId="15522611">
          <wp:extent cx="5895338" cy="621665"/>
          <wp:effectExtent l="0" t="0" r="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38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C296E"/>
    <w:multiLevelType w:val="hybridMultilevel"/>
    <w:tmpl w:val="40209C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06665">
    <w:abstractNumId w:val="2"/>
  </w:num>
  <w:num w:numId="2" w16cid:durableId="1249971592">
    <w:abstractNumId w:val="17"/>
  </w:num>
  <w:num w:numId="3" w16cid:durableId="1293445596">
    <w:abstractNumId w:val="7"/>
  </w:num>
  <w:num w:numId="4" w16cid:durableId="897089153">
    <w:abstractNumId w:val="1"/>
  </w:num>
  <w:num w:numId="5" w16cid:durableId="2013339884">
    <w:abstractNumId w:val="6"/>
  </w:num>
  <w:num w:numId="6" w16cid:durableId="439571450">
    <w:abstractNumId w:val="5"/>
  </w:num>
  <w:num w:numId="7" w16cid:durableId="1235899951">
    <w:abstractNumId w:val="9"/>
  </w:num>
  <w:num w:numId="8" w16cid:durableId="1599215528">
    <w:abstractNumId w:val="11"/>
  </w:num>
  <w:num w:numId="9" w16cid:durableId="1105536175">
    <w:abstractNumId w:val="10"/>
  </w:num>
  <w:num w:numId="10" w16cid:durableId="245575061">
    <w:abstractNumId w:val="18"/>
  </w:num>
  <w:num w:numId="11" w16cid:durableId="2088769084">
    <w:abstractNumId w:val="13"/>
  </w:num>
  <w:num w:numId="12" w16cid:durableId="2140488094">
    <w:abstractNumId w:val="14"/>
  </w:num>
  <w:num w:numId="13" w16cid:durableId="255291526">
    <w:abstractNumId w:val="0"/>
  </w:num>
  <w:num w:numId="14" w16cid:durableId="2033993296">
    <w:abstractNumId w:val="16"/>
  </w:num>
  <w:num w:numId="15" w16cid:durableId="432015994">
    <w:abstractNumId w:val="4"/>
  </w:num>
  <w:num w:numId="16" w16cid:durableId="2091536399">
    <w:abstractNumId w:val="15"/>
  </w:num>
  <w:num w:numId="17" w16cid:durableId="1227911203">
    <w:abstractNumId w:val="8"/>
  </w:num>
  <w:num w:numId="18" w16cid:durableId="1139878770">
    <w:abstractNumId w:val="3"/>
  </w:num>
  <w:num w:numId="19" w16cid:durableId="1031806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37FCB"/>
    <w:rsid w:val="000411B9"/>
    <w:rsid w:val="00041225"/>
    <w:rsid w:val="00044D2A"/>
    <w:rsid w:val="00050BD6"/>
    <w:rsid w:val="00051C38"/>
    <w:rsid w:val="00063F70"/>
    <w:rsid w:val="000646BD"/>
    <w:rsid w:val="00072309"/>
    <w:rsid w:val="000729B0"/>
    <w:rsid w:val="00075813"/>
    <w:rsid w:val="00075AB9"/>
    <w:rsid w:val="000823B6"/>
    <w:rsid w:val="00084C50"/>
    <w:rsid w:val="000854D5"/>
    <w:rsid w:val="000A0224"/>
    <w:rsid w:val="000A09D0"/>
    <w:rsid w:val="000A3DCF"/>
    <w:rsid w:val="000A4870"/>
    <w:rsid w:val="000A7695"/>
    <w:rsid w:val="000A7C01"/>
    <w:rsid w:val="000B0831"/>
    <w:rsid w:val="000B2B35"/>
    <w:rsid w:val="000B2EE8"/>
    <w:rsid w:val="000B3F07"/>
    <w:rsid w:val="000B7638"/>
    <w:rsid w:val="000C0454"/>
    <w:rsid w:val="000C13CE"/>
    <w:rsid w:val="000C24F1"/>
    <w:rsid w:val="000D074C"/>
    <w:rsid w:val="000D1C16"/>
    <w:rsid w:val="000D40FA"/>
    <w:rsid w:val="000D41B7"/>
    <w:rsid w:val="000D4244"/>
    <w:rsid w:val="000D4B8A"/>
    <w:rsid w:val="000D76CE"/>
    <w:rsid w:val="000E0D84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0F48FB"/>
    <w:rsid w:val="00105958"/>
    <w:rsid w:val="001059A2"/>
    <w:rsid w:val="001078BF"/>
    <w:rsid w:val="0011119A"/>
    <w:rsid w:val="001124F2"/>
    <w:rsid w:val="00112E31"/>
    <w:rsid w:val="00114163"/>
    <w:rsid w:val="00117047"/>
    <w:rsid w:val="00130C6F"/>
    <w:rsid w:val="00136E87"/>
    <w:rsid w:val="00137317"/>
    <w:rsid w:val="00140D67"/>
    <w:rsid w:val="00150ECF"/>
    <w:rsid w:val="0015125B"/>
    <w:rsid w:val="00156E79"/>
    <w:rsid w:val="0016058A"/>
    <w:rsid w:val="00162F3D"/>
    <w:rsid w:val="00166E1C"/>
    <w:rsid w:val="001705A7"/>
    <w:rsid w:val="001747A9"/>
    <w:rsid w:val="00175D9E"/>
    <w:rsid w:val="0017645C"/>
    <w:rsid w:val="00177F31"/>
    <w:rsid w:val="00181648"/>
    <w:rsid w:val="001832EB"/>
    <w:rsid w:val="00187939"/>
    <w:rsid w:val="00191E3B"/>
    <w:rsid w:val="00194973"/>
    <w:rsid w:val="001960BF"/>
    <w:rsid w:val="00196BFA"/>
    <w:rsid w:val="001A5E28"/>
    <w:rsid w:val="001B6E48"/>
    <w:rsid w:val="001C0BEB"/>
    <w:rsid w:val="001C1B32"/>
    <w:rsid w:val="001C283E"/>
    <w:rsid w:val="001C33C0"/>
    <w:rsid w:val="001C6AB0"/>
    <w:rsid w:val="001D31C4"/>
    <w:rsid w:val="001D5EF8"/>
    <w:rsid w:val="001E3D86"/>
    <w:rsid w:val="001E52A5"/>
    <w:rsid w:val="001E769C"/>
    <w:rsid w:val="001F018A"/>
    <w:rsid w:val="001F0D34"/>
    <w:rsid w:val="001F1284"/>
    <w:rsid w:val="001F4877"/>
    <w:rsid w:val="001F7504"/>
    <w:rsid w:val="0020071D"/>
    <w:rsid w:val="00203280"/>
    <w:rsid w:val="00204867"/>
    <w:rsid w:val="00206844"/>
    <w:rsid w:val="002100D1"/>
    <w:rsid w:val="0021290B"/>
    <w:rsid w:val="00225C50"/>
    <w:rsid w:val="00230BED"/>
    <w:rsid w:val="0023632D"/>
    <w:rsid w:val="00246583"/>
    <w:rsid w:val="00247BEB"/>
    <w:rsid w:val="00261A48"/>
    <w:rsid w:val="00266595"/>
    <w:rsid w:val="00267DFD"/>
    <w:rsid w:val="00275515"/>
    <w:rsid w:val="00275C5E"/>
    <w:rsid w:val="00283AEC"/>
    <w:rsid w:val="002844B8"/>
    <w:rsid w:val="002901BD"/>
    <w:rsid w:val="002933AC"/>
    <w:rsid w:val="002974F5"/>
    <w:rsid w:val="002A55E1"/>
    <w:rsid w:val="002B4395"/>
    <w:rsid w:val="002B43CA"/>
    <w:rsid w:val="002C04AE"/>
    <w:rsid w:val="002C3B0D"/>
    <w:rsid w:val="002C6B89"/>
    <w:rsid w:val="002D14DE"/>
    <w:rsid w:val="002F314F"/>
    <w:rsid w:val="002F54B8"/>
    <w:rsid w:val="003018AD"/>
    <w:rsid w:val="0031133B"/>
    <w:rsid w:val="003200AA"/>
    <w:rsid w:val="00323E06"/>
    <w:rsid w:val="00326981"/>
    <w:rsid w:val="003316E3"/>
    <w:rsid w:val="0033479B"/>
    <w:rsid w:val="0034271A"/>
    <w:rsid w:val="00347B6D"/>
    <w:rsid w:val="00351DE3"/>
    <w:rsid w:val="0035227B"/>
    <w:rsid w:val="003554B2"/>
    <w:rsid w:val="00370E2A"/>
    <w:rsid w:val="003742E1"/>
    <w:rsid w:val="00377130"/>
    <w:rsid w:val="003846E0"/>
    <w:rsid w:val="00386CB3"/>
    <w:rsid w:val="0039093C"/>
    <w:rsid w:val="003A0635"/>
    <w:rsid w:val="003A3793"/>
    <w:rsid w:val="003B0DD1"/>
    <w:rsid w:val="003B6DC2"/>
    <w:rsid w:val="003C7E1C"/>
    <w:rsid w:val="003D3C8C"/>
    <w:rsid w:val="003D6011"/>
    <w:rsid w:val="003D651D"/>
    <w:rsid w:val="003E3863"/>
    <w:rsid w:val="003E7CBB"/>
    <w:rsid w:val="003F2F4B"/>
    <w:rsid w:val="00400136"/>
    <w:rsid w:val="00400DCE"/>
    <w:rsid w:val="00405D5C"/>
    <w:rsid w:val="00407D21"/>
    <w:rsid w:val="00413A69"/>
    <w:rsid w:val="00420A38"/>
    <w:rsid w:val="00421ED4"/>
    <w:rsid w:val="00423000"/>
    <w:rsid w:val="00432F38"/>
    <w:rsid w:val="00434DD6"/>
    <w:rsid w:val="00436C39"/>
    <w:rsid w:val="004414CF"/>
    <w:rsid w:val="00441ABD"/>
    <w:rsid w:val="00455BD0"/>
    <w:rsid w:val="00455D5D"/>
    <w:rsid w:val="004607A6"/>
    <w:rsid w:val="0046599B"/>
    <w:rsid w:val="004673FD"/>
    <w:rsid w:val="0047405B"/>
    <w:rsid w:val="00474F7C"/>
    <w:rsid w:val="00475111"/>
    <w:rsid w:val="00485817"/>
    <w:rsid w:val="00486F35"/>
    <w:rsid w:val="00487FC8"/>
    <w:rsid w:val="00490C20"/>
    <w:rsid w:val="00490C7B"/>
    <w:rsid w:val="004919EC"/>
    <w:rsid w:val="004B119B"/>
    <w:rsid w:val="004B1D86"/>
    <w:rsid w:val="004B3410"/>
    <w:rsid w:val="004B3EDC"/>
    <w:rsid w:val="004B63D7"/>
    <w:rsid w:val="004C13AF"/>
    <w:rsid w:val="004C1773"/>
    <w:rsid w:val="004C2506"/>
    <w:rsid w:val="004C5D28"/>
    <w:rsid w:val="004D07DA"/>
    <w:rsid w:val="004D1A9D"/>
    <w:rsid w:val="004D7B54"/>
    <w:rsid w:val="004E1441"/>
    <w:rsid w:val="004E2880"/>
    <w:rsid w:val="004E3359"/>
    <w:rsid w:val="004E3BCA"/>
    <w:rsid w:val="004E6D98"/>
    <w:rsid w:val="004E7A5A"/>
    <w:rsid w:val="004F08FB"/>
    <w:rsid w:val="004F0A19"/>
    <w:rsid w:val="004F17E9"/>
    <w:rsid w:val="004F269B"/>
    <w:rsid w:val="004F452B"/>
    <w:rsid w:val="004F7ED5"/>
    <w:rsid w:val="00510A8D"/>
    <w:rsid w:val="00510EEB"/>
    <w:rsid w:val="005119E3"/>
    <w:rsid w:val="00512327"/>
    <w:rsid w:val="005225E8"/>
    <w:rsid w:val="00523DEC"/>
    <w:rsid w:val="00532137"/>
    <w:rsid w:val="00533F43"/>
    <w:rsid w:val="00541C3B"/>
    <w:rsid w:val="005442A5"/>
    <w:rsid w:val="00547058"/>
    <w:rsid w:val="00547D03"/>
    <w:rsid w:val="005490D8"/>
    <w:rsid w:val="00551461"/>
    <w:rsid w:val="005514EA"/>
    <w:rsid w:val="00555C24"/>
    <w:rsid w:val="00557878"/>
    <w:rsid w:val="00573C9B"/>
    <w:rsid w:val="005775E5"/>
    <w:rsid w:val="00577DE4"/>
    <w:rsid w:val="005827C4"/>
    <w:rsid w:val="00587228"/>
    <w:rsid w:val="00587508"/>
    <w:rsid w:val="005875A6"/>
    <w:rsid w:val="00592FB9"/>
    <w:rsid w:val="005941A0"/>
    <w:rsid w:val="00594D0F"/>
    <w:rsid w:val="005A37A6"/>
    <w:rsid w:val="005A3CF8"/>
    <w:rsid w:val="005A4FA1"/>
    <w:rsid w:val="005A7EDC"/>
    <w:rsid w:val="005B1B02"/>
    <w:rsid w:val="005B56A9"/>
    <w:rsid w:val="005B7A0A"/>
    <w:rsid w:val="005B7E07"/>
    <w:rsid w:val="005C366E"/>
    <w:rsid w:val="005C4A73"/>
    <w:rsid w:val="005D15EC"/>
    <w:rsid w:val="005E44C0"/>
    <w:rsid w:val="005F4960"/>
    <w:rsid w:val="005F7541"/>
    <w:rsid w:val="006021F0"/>
    <w:rsid w:val="006026C5"/>
    <w:rsid w:val="00602C42"/>
    <w:rsid w:val="00602E0E"/>
    <w:rsid w:val="006061F1"/>
    <w:rsid w:val="00617DEC"/>
    <w:rsid w:val="00621C5A"/>
    <w:rsid w:val="00623367"/>
    <w:rsid w:val="0062368E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82CED"/>
    <w:rsid w:val="00690A05"/>
    <w:rsid w:val="006A2060"/>
    <w:rsid w:val="006A3A15"/>
    <w:rsid w:val="006A4686"/>
    <w:rsid w:val="006B3AF9"/>
    <w:rsid w:val="006B58C7"/>
    <w:rsid w:val="006C5161"/>
    <w:rsid w:val="006C6F80"/>
    <w:rsid w:val="006C7D01"/>
    <w:rsid w:val="006D24C7"/>
    <w:rsid w:val="006D48B3"/>
    <w:rsid w:val="006D4A08"/>
    <w:rsid w:val="006D51E8"/>
    <w:rsid w:val="006D53A1"/>
    <w:rsid w:val="006E20E7"/>
    <w:rsid w:val="006F0C55"/>
    <w:rsid w:val="006F27CC"/>
    <w:rsid w:val="00700EDF"/>
    <w:rsid w:val="00700F1F"/>
    <w:rsid w:val="00703F6C"/>
    <w:rsid w:val="00705B0F"/>
    <w:rsid w:val="00707EF2"/>
    <w:rsid w:val="007155F4"/>
    <w:rsid w:val="007178E0"/>
    <w:rsid w:val="00721041"/>
    <w:rsid w:val="00726F3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84D8F"/>
    <w:rsid w:val="00790C4F"/>
    <w:rsid w:val="00791677"/>
    <w:rsid w:val="00794A1F"/>
    <w:rsid w:val="0079652D"/>
    <w:rsid w:val="007A0CBF"/>
    <w:rsid w:val="007A24FE"/>
    <w:rsid w:val="007B7B2C"/>
    <w:rsid w:val="007B7F97"/>
    <w:rsid w:val="007C535E"/>
    <w:rsid w:val="007D5042"/>
    <w:rsid w:val="007D5339"/>
    <w:rsid w:val="007E16DF"/>
    <w:rsid w:val="007E2A65"/>
    <w:rsid w:val="007E4684"/>
    <w:rsid w:val="007E574B"/>
    <w:rsid w:val="007E61ED"/>
    <w:rsid w:val="007E6FA6"/>
    <w:rsid w:val="007F1047"/>
    <w:rsid w:val="007F2704"/>
    <w:rsid w:val="007F2A24"/>
    <w:rsid w:val="007F33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24838"/>
    <w:rsid w:val="008306F0"/>
    <w:rsid w:val="00845335"/>
    <w:rsid w:val="00846532"/>
    <w:rsid w:val="00846D54"/>
    <w:rsid w:val="00851C38"/>
    <w:rsid w:val="00851DBB"/>
    <w:rsid w:val="00852C36"/>
    <w:rsid w:val="008615DA"/>
    <w:rsid w:val="00872297"/>
    <w:rsid w:val="008850FF"/>
    <w:rsid w:val="00887946"/>
    <w:rsid w:val="008964FF"/>
    <w:rsid w:val="008A3BC1"/>
    <w:rsid w:val="008A4C96"/>
    <w:rsid w:val="008A5D13"/>
    <w:rsid w:val="008A6CE8"/>
    <w:rsid w:val="008B20C2"/>
    <w:rsid w:val="008B6C8D"/>
    <w:rsid w:val="008C1C4A"/>
    <w:rsid w:val="008C698B"/>
    <w:rsid w:val="008E595C"/>
    <w:rsid w:val="008F2D6B"/>
    <w:rsid w:val="008F578B"/>
    <w:rsid w:val="00900BC5"/>
    <w:rsid w:val="009020B3"/>
    <w:rsid w:val="00902BC6"/>
    <w:rsid w:val="00905165"/>
    <w:rsid w:val="00906446"/>
    <w:rsid w:val="009076A9"/>
    <w:rsid w:val="009162B5"/>
    <w:rsid w:val="00953D2E"/>
    <w:rsid w:val="00955465"/>
    <w:rsid w:val="0095677C"/>
    <w:rsid w:val="009605D1"/>
    <w:rsid w:val="009613B4"/>
    <w:rsid w:val="009638B4"/>
    <w:rsid w:val="00965E05"/>
    <w:rsid w:val="00970D09"/>
    <w:rsid w:val="00971E2E"/>
    <w:rsid w:val="00973345"/>
    <w:rsid w:val="00991E1F"/>
    <w:rsid w:val="009A3312"/>
    <w:rsid w:val="009B2147"/>
    <w:rsid w:val="009B2E07"/>
    <w:rsid w:val="009B34BE"/>
    <w:rsid w:val="009B72A1"/>
    <w:rsid w:val="009C12FA"/>
    <w:rsid w:val="009C2D14"/>
    <w:rsid w:val="009C31E2"/>
    <w:rsid w:val="009C6402"/>
    <w:rsid w:val="009D2621"/>
    <w:rsid w:val="009D6B45"/>
    <w:rsid w:val="009E160B"/>
    <w:rsid w:val="009E1B21"/>
    <w:rsid w:val="009E1EDF"/>
    <w:rsid w:val="009E2801"/>
    <w:rsid w:val="009E37E6"/>
    <w:rsid w:val="009E4E21"/>
    <w:rsid w:val="009E786D"/>
    <w:rsid w:val="009F1C33"/>
    <w:rsid w:val="009F44AC"/>
    <w:rsid w:val="009F50D7"/>
    <w:rsid w:val="009F60B4"/>
    <w:rsid w:val="00A049EC"/>
    <w:rsid w:val="00A06946"/>
    <w:rsid w:val="00A13CBD"/>
    <w:rsid w:val="00A15CDD"/>
    <w:rsid w:val="00A16284"/>
    <w:rsid w:val="00A22AAF"/>
    <w:rsid w:val="00A22CA0"/>
    <w:rsid w:val="00A34B29"/>
    <w:rsid w:val="00A44341"/>
    <w:rsid w:val="00A44984"/>
    <w:rsid w:val="00A4612C"/>
    <w:rsid w:val="00A46CB8"/>
    <w:rsid w:val="00A56888"/>
    <w:rsid w:val="00A579F8"/>
    <w:rsid w:val="00A60A30"/>
    <w:rsid w:val="00A63436"/>
    <w:rsid w:val="00A674BE"/>
    <w:rsid w:val="00A717D8"/>
    <w:rsid w:val="00A72288"/>
    <w:rsid w:val="00A72F75"/>
    <w:rsid w:val="00A73EA7"/>
    <w:rsid w:val="00A7557C"/>
    <w:rsid w:val="00A80A1D"/>
    <w:rsid w:val="00A85637"/>
    <w:rsid w:val="00A91813"/>
    <w:rsid w:val="00A92331"/>
    <w:rsid w:val="00A94B21"/>
    <w:rsid w:val="00A97267"/>
    <w:rsid w:val="00AA0519"/>
    <w:rsid w:val="00AA42D4"/>
    <w:rsid w:val="00AA7609"/>
    <w:rsid w:val="00AB1924"/>
    <w:rsid w:val="00AB54B5"/>
    <w:rsid w:val="00AB5B3E"/>
    <w:rsid w:val="00AC10D0"/>
    <w:rsid w:val="00AC1679"/>
    <w:rsid w:val="00AC5A07"/>
    <w:rsid w:val="00AD1D90"/>
    <w:rsid w:val="00AD4496"/>
    <w:rsid w:val="00AD6C0E"/>
    <w:rsid w:val="00AE3BD5"/>
    <w:rsid w:val="00AE47AE"/>
    <w:rsid w:val="00AF00CF"/>
    <w:rsid w:val="00AF3B0D"/>
    <w:rsid w:val="00B10850"/>
    <w:rsid w:val="00B140E1"/>
    <w:rsid w:val="00B14143"/>
    <w:rsid w:val="00B174CD"/>
    <w:rsid w:val="00B17648"/>
    <w:rsid w:val="00B200DB"/>
    <w:rsid w:val="00B20FA5"/>
    <w:rsid w:val="00B23147"/>
    <w:rsid w:val="00B32C86"/>
    <w:rsid w:val="00B36B39"/>
    <w:rsid w:val="00B4191C"/>
    <w:rsid w:val="00B4420F"/>
    <w:rsid w:val="00B474C3"/>
    <w:rsid w:val="00B510E8"/>
    <w:rsid w:val="00B64170"/>
    <w:rsid w:val="00B70850"/>
    <w:rsid w:val="00B72E0A"/>
    <w:rsid w:val="00B73E1E"/>
    <w:rsid w:val="00B7434A"/>
    <w:rsid w:val="00B812CA"/>
    <w:rsid w:val="00B8685D"/>
    <w:rsid w:val="00B900F2"/>
    <w:rsid w:val="00B91734"/>
    <w:rsid w:val="00B93B36"/>
    <w:rsid w:val="00B95479"/>
    <w:rsid w:val="00BA2D14"/>
    <w:rsid w:val="00BA52BB"/>
    <w:rsid w:val="00BA5308"/>
    <w:rsid w:val="00BA7D1A"/>
    <w:rsid w:val="00BB07A4"/>
    <w:rsid w:val="00BB134B"/>
    <w:rsid w:val="00BB3A3E"/>
    <w:rsid w:val="00BC4067"/>
    <w:rsid w:val="00BD0820"/>
    <w:rsid w:val="00BD2313"/>
    <w:rsid w:val="00BD2A0F"/>
    <w:rsid w:val="00BE215A"/>
    <w:rsid w:val="00BE30F6"/>
    <w:rsid w:val="00BF1A1A"/>
    <w:rsid w:val="00BF366B"/>
    <w:rsid w:val="00BF5322"/>
    <w:rsid w:val="00BF5B14"/>
    <w:rsid w:val="00C03D7C"/>
    <w:rsid w:val="00C14B6D"/>
    <w:rsid w:val="00C20205"/>
    <w:rsid w:val="00C24955"/>
    <w:rsid w:val="00C24DDF"/>
    <w:rsid w:val="00C31ED9"/>
    <w:rsid w:val="00C33764"/>
    <w:rsid w:val="00C3407F"/>
    <w:rsid w:val="00C36C14"/>
    <w:rsid w:val="00C40F88"/>
    <w:rsid w:val="00C42ED6"/>
    <w:rsid w:val="00C46EDF"/>
    <w:rsid w:val="00C47642"/>
    <w:rsid w:val="00C51568"/>
    <w:rsid w:val="00C54981"/>
    <w:rsid w:val="00C57A0A"/>
    <w:rsid w:val="00C71FE5"/>
    <w:rsid w:val="00C7238A"/>
    <w:rsid w:val="00C72E21"/>
    <w:rsid w:val="00C75C34"/>
    <w:rsid w:val="00C80D5E"/>
    <w:rsid w:val="00C82ADD"/>
    <w:rsid w:val="00C8613E"/>
    <w:rsid w:val="00C875CD"/>
    <w:rsid w:val="00C90288"/>
    <w:rsid w:val="00C906DD"/>
    <w:rsid w:val="00C974A1"/>
    <w:rsid w:val="00C97991"/>
    <w:rsid w:val="00CA01CD"/>
    <w:rsid w:val="00CA089B"/>
    <w:rsid w:val="00CA1470"/>
    <w:rsid w:val="00CA3F76"/>
    <w:rsid w:val="00CB04B1"/>
    <w:rsid w:val="00CB159C"/>
    <w:rsid w:val="00CB20FE"/>
    <w:rsid w:val="00CB309E"/>
    <w:rsid w:val="00CB3540"/>
    <w:rsid w:val="00CB5CCF"/>
    <w:rsid w:val="00CB6946"/>
    <w:rsid w:val="00CC18EC"/>
    <w:rsid w:val="00CC2911"/>
    <w:rsid w:val="00CC3160"/>
    <w:rsid w:val="00CE18AB"/>
    <w:rsid w:val="00CE1AE5"/>
    <w:rsid w:val="00CE1EF3"/>
    <w:rsid w:val="00CE4070"/>
    <w:rsid w:val="00D01B8C"/>
    <w:rsid w:val="00D13E11"/>
    <w:rsid w:val="00D152CB"/>
    <w:rsid w:val="00D16292"/>
    <w:rsid w:val="00D260A5"/>
    <w:rsid w:val="00D26B7A"/>
    <w:rsid w:val="00D30410"/>
    <w:rsid w:val="00D322FA"/>
    <w:rsid w:val="00D32FBB"/>
    <w:rsid w:val="00D515F0"/>
    <w:rsid w:val="00D5428B"/>
    <w:rsid w:val="00D54CE4"/>
    <w:rsid w:val="00D5753A"/>
    <w:rsid w:val="00D57DDD"/>
    <w:rsid w:val="00D60EAF"/>
    <w:rsid w:val="00D618CA"/>
    <w:rsid w:val="00D6201E"/>
    <w:rsid w:val="00D7324B"/>
    <w:rsid w:val="00D7403A"/>
    <w:rsid w:val="00D75BCB"/>
    <w:rsid w:val="00D8476A"/>
    <w:rsid w:val="00D85424"/>
    <w:rsid w:val="00D87A08"/>
    <w:rsid w:val="00D91A9E"/>
    <w:rsid w:val="00D94ADC"/>
    <w:rsid w:val="00DA5C60"/>
    <w:rsid w:val="00DA74E3"/>
    <w:rsid w:val="00DB1167"/>
    <w:rsid w:val="00DC06A3"/>
    <w:rsid w:val="00DC2020"/>
    <w:rsid w:val="00DC28E6"/>
    <w:rsid w:val="00DC3122"/>
    <w:rsid w:val="00DC3B24"/>
    <w:rsid w:val="00DD1A90"/>
    <w:rsid w:val="00DD6059"/>
    <w:rsid w:val="00DD6BC2"/>
    <w:rsid w:val="00DF0BB5"/>
    <w:rsid w:val="00DF1707"/>
    <w:rsid w:val="00DF4DCA"/>
    <w:rsid w:val="00E01D1C"/>
    <w:rsid w:val="00E0623E"/>
    <w:rsid w:val="00E06913"/>
    <w:rsid w:val="00E07477"/>
    <w:rsid w:val="00E1065B"/>
    <w:rsid w:val="00E1203A"/>
    <w:rsid w:val="00E15497"/>
    <w:rsid w:val="00E16A94"/>
    <w:rsid w:val="00E17FAB"/>
    <w:rsid w:val="00E351FC"/>
    <w:rsid w:val="00E36F81"/>
    <w:rsid w:val="00E455F1"/>
    <w:rsid w:val="00E508CA"/>
    <w:rsid w:val="00E52D6D"/>
    <w:rsid w:val="00E54432"/>
    <w:rsid w:val="00E620CA"/>
    <w:rsid w:val="00E646A5"/>
    <w:rsid w:val="00E671BA"/>
    <w:rsid w:val="00E7125D"/>
    <w:rsid w:val="00E77DD4"/>
    <w:rsid w:val="00E82569"/>
    <w:rsid w:val="00E85FA4"/>
    <w:rsid w:val="00E86F7C"/>
    <w:rsid w:val="00E903FB"/>
    <w:rsid w:val="00E91111"/>
    <w:rsid w:val="00E92966"/>
    <w:rsid w:val="00E9380E"/>
    <w:rsid w:val="00E94665"/>
    <w:rsid w:val="00E94B00"/>
    <w:rsid w:val="00E95751"/>
    <w:rsid w:val="00EA37BA"/>
    <w:rsid w:val="00EB7AD3"/>
    <w:rsid w:val="00EC1690"/>
    <w:rsid w:val="00EC229D"/>
    <w:rsid w:val="00EC6BC9"/>
    <w:rsid w:val="00EC6F58"/>
    <w:rsid w:val="00ED5003"/>
    <w:rsid w:val="00ED5322"/>
    <w:rsid w:val="00EE3C7F"/>
    <w:rsid w:val="00F01A8E"/>
    <w:rsid w:val="00F020BC"/>
    <w:rsid w:val="00F107A1"/>
    <w:rsid w:val="00F1386D"/>
    <w:rsid w:val="00F20C2F"/>
    <w:rsid w:val="00F20D77"/>
    <w:rsid w:val="00F20FA9"/>
    <w:rsid w:val="00F21CDC"/>
    <w:rsid w:val="00F23403"/>
    <w:rsid w:val="00F30FB3"/>
    <w:rsid w:val="00F329BC"/>
    <w:rsid w:val="00F32AD4"/>
    <w:rsid w:val="00F35EB6"/>
    <w:rsid w:val="00F36547"/>
    <w:rsid w:val="00F365C2"/>
    <w:rsid w:val="00F42D43"/>
    <w:rsid w:val="00F46959"/>
    <w:rsid w:val="00F51D0A"/>
    <w:rsid w:val="00F63B7F"/>
    <w:rsid w:val="00F65EB3"/>
    <w:rsid w:val="00F7339B"/>
    <w:rsid w:val="00F76DC5"/>
    <w:rsid w:val="00F852A8"/>
    <w:rsid w:val="00FA438C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1011F32"/>
    <w:rsid w:val="018B5181"/>
    <w:rsid w:val="018C4DA0"/>
    <w:rsid w:val="036D2A29"/>
    <w:rsid w:val="0533E958"/>
    <w:rsid w:val="0573E956"/>
    <w:rsid w:val="05BED492"/>
    <w:rsid w:val="08F77173"/>
    <w:rsid w:val="094F8E6B"/>
    <w:rsid w:val="0AA44AD5"/>
    <w:rsid w:val="0B424D2B"/>
    <w:rsid w:val="0B8F2423"/>
    <w:rsid w:val="0C8671CC"/>
    <w:rsid w:val="0DD6F369"/>
    <w:rsid w:val="0E5CBCFF"/>
    <w:rsid w:val="0E62B14C"/>
    <w:rsid w:val="0EDA3563"/>
    <w:rsid w:val="13E61D63"/>
    <w:rsid w:val="14961857"/>
    <w:rsid w:val="1813AC27"/>
    <w:rsid w:val="18C4B7B6"/>
    <w:rsid w:val="1AB5B53A"/>
    <w:rsid w:val="1BBB4435"/>
    <w:rsid w:val="1DB4212C"/>
    <w:rsid w:val="1E6340B8"/>
    <w:rsid w:val="1F068C32"/>
    <w:rsid w:val="1F84C447"/>
    <w:rsid w:val="1F859517"/>
    <w:rsid w:val="218B1E87"/>
    <w:rsid w:val="273C3179"/>
    <w:rsid w:val="2BF6183B"/>
    <w:rsid w:val="2C96064D"/>
    <w:rsid w:val="2D2DD503"/>
    <w:rsid w:val="2E602083"/>
    <w:rsid w:val="2E8DCAEB"/>
    <w:rsid w:val="2F2DB8FD"/>
    <w:rsid w:val="312A5BA1"/>
    <w:rsid w:val="34930489"/>
    <w:rsid w:val="383EF36F"/>
    <w:rsid w:val="39B6205D"/>
    <w:rsid w:val="3D3ADD52"/>
    <w:rsid w:val="3D8EE409"/>
    <w:rsid w:val="3ED1B585"/>
    <w:rsid w:val="3F8A4B85"/>
    <w:rsid w:val="421593B8"/>
    <w:rsid w:val="448469B7"/>
    <w:rsid w:val="4541C25D"/>
    <w:rsid w:val="47EEAAE8"/>
    <w:rsid w:val="4AAAA939"/>
    <w:rsid w:val="4EF4BF03"/>
    <w:rsid w:val="50139015"/>
    <w:rsid w:val="50D91BDB"/>
    <w:rsid w:val="5449FDAD"/>
    <w:rsid w:val="545F02BD"/>
    <w:rsid w:val="5600A913"/>
    <w:rsid w:val="565FAF90"/>
    <w:rsid w:val="59440532"/>
    <w:rsid w:val="609E93D2"/>
    <w:rsid w:val="61060B07"/>
    <w:rsid w:val="65B8DF0F"/>
    <w:rsid w:val="66FCCC55"/>
    <w:rsid w:val="67F0C0EC"/>
    <w:rsid w:val="69E06660"/>
    <w:rsid w:val="69F16F61"/>
    <w:rsid w:val="6EF6A363"/>
    <w:rsid w:val="71371684"/>
    <w:rsid w:val="72585356"/>
    <w:rsid w:val="75DDF675"/>
    <w:rsid w:val="76E266C8"/>
    <w:rsid w:val="7766C500"/>
    <w:rsid w:val="79C1DEC1"/>
    <w:rsid w:val="7D4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60728"/>
  <w15:chartTrackingRefBased/>
  <w15:docId w15:val="{22C8D9CA-0A15-462D-BE21-8686A24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4339ab-555d-41ee-a400-3aa7e74f922f">
      <UserInfo>
        <DisplayName>Henry Navarro Sanchez</DisplayName>
        <AccountId>52</AccountId>
        <AccountType/>
      </UserInfo>
      <UserInfo>
        <DisplayName>Jorge Andres Amaya Montejo</DisplayName>
        <AccountId>13</AccountId>
        <AccountType/>
      </UserInfo>
      <UserInfo>
        <DisplayName>Juan Carlos Bonilla Borda</DisplayName>
        <AccountId>10</AccountId>
        <AccountType/>
      </UserInfo>
      <UserInfo>
        <DisplayName>Luis Fernando León Granados</DisplayName>
        <AccountId>53</AccountId>
        <AccountType/>
      </UserInfo>
      <UserInfo>
        <DisplayName>Manuel Fernando Rodriguez</DisplayName>
        <AccountId>54</AccountId>
        <AccountType/>
      </UserInfo>
      <UserInfo>
        <DisplayName>Maria Alejandra Solano Vargas</DisplayName>
        <AccountId>47</AccountId>
        <AccountType/>
      </UserInfo>
    </SharedWithUsers>
    <lcf76f155ced4ddcb4097134ff3c332f xmlns="1f8cd00a-7ed1-45f4-a1d2-11fa5d528c74">
      <Terms xmlns="http://schemas.microsoft.com/office/infopath/2007/PartnerControls"/>
    </lcf76f155ced4ddcb4097134ff3c332f>
    <TaxCatchAll xmlns="b34339ab-555d-41ee-a400-3aa7e74f9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1584D72037D418DBB71F692B269A1" ma:contentTypeVersion="15" ma:contentTypeDescription="Crear nuevo documento." ma:contentTypeScope="" ma:versionID="3dd31614dcdce1529ea77446be3513c8">
  <xsd:schema xmlns:xsd="http://www.w3.org/2001/XMLSchema" xmlns:xs="http://www.w3.org/2001/XMLSchema" xmlns:p="http://schemas.microsoft.com/office/2006/metadata/properties" xmlns:ns2="1f8cd00a-7ed1-45f4-a1d2-11fa5d528c74" xmlns:ns3="b34339ab-555d-41ee-a400-3aa7e74f922f" targetNamespace="http://schemas.microsoft.com/office/2006/metadata/properties" ma:root="true" ma:fieldsID="e867057449ed991837cecef415b9dfb8" ns2:_="" ns3:_="">
    <xsd:import namespace="1f8cd00a-7ed1-45f4-a1d2-11fa5d528c74"/>
    <xsd:import namespace="b34339ab-555d-41ee-a400-3aa7e74f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d00a-7ed1-45f4-a1d2-11fa5d528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39ab-555d-41ee-a400-3aa7e74f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156b55-9fdd-4f48-9d45-01a05c4d6907}" ma:internalName="TaxCatchAll" ma:showField="CatchAllData" ma:web="b34339ab-555d-41ee-a400-3aa7e74f9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42B9-5697-4DF3-8DF4-209F81A43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94044-C560-480D-A39D-27FF68C49D76}">
  <ds:schemaRefs>
    <ds:schemaRef ds:uri="http://schemas.microsoft.com/office/2006/metadata/properties"/>
    <ds:schemaRef ds:uri="http://schemas.microsoft.com/office/infopath/2007/PartnerControls"/>
    <ds:schemaRef ds:uri="b34339ab-555d-41ee-a400-3aa7e74f922f"/>
    <ds:schemaRef ds:uri="1f8cd00a-7ed1-45f4-a1d2-11fa5d528c74"/>
  </ds:schemaRefs>
</ds:datastoreItem>
</file>

<file path=customXml/itemProps3.xml><?xml version="1.0" encoding="utf-8"?>
<ds:datastoreItem xmlns:ds="http://schemas.openxmlformats.org/officeDocument/2006/customXml" ds:itemID="{DC5ED16D-BA75-4A39-A923-CBAAC2BAA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cd00a-7ed1-45f4-a1d2-11fa5d528c74"/>
    <ds:schemaRef ds:uri="b34339ab-555d-41ee-a400-3aa7e74f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9E285-5587-4F0D-A188-138CFAD8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2020-11-10T17:43:00Z</cp:lastPrinted>
  <dcterms:created xsi:type="dcterms:W3CDTF">2022-06-01T15:02:00Z</dcterms:created>
  <dcterms:modified xsi:type="dcterms:W3CDTF">2022-06-01T15:02:00Z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0x0101009151584D72037D418DBB71F692B269A1</vt:lpwstr>
  </property>
  <property fmtid="{D5CDD505-2E9C-101B-9397-08002B2CF9AE}" pid="3" name="MediaServiceImageTags">
    <vt:lpwstr/>
  </property>
  <property fmtid="{D5CDD505-2E9C-101B-9397-08002B2CF9AE}" pid="4" name="Order">
    <vt:r8>2990000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