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6C93C72D" w:rsidR="005D7D66" w:rsidRPr="0038744D" w:rsidRDefault="00AA0519" w:rsidP="00E5697A">
      <w:pPr>
        <w:pStyle w:val="Ciudad"/>
      </w:pPr>
      <w:r w:rsidRPr="0038744D">
        <w:t>Bogotá, D.C.,</w:t>
      </w:r>
      <w:r w:rsidR="008C3AEB" w:rsidRPr="0038744D">
        <w:t xml:space="preserve"> </w:t>
      </w:r>
      <w:r w:rsidR="00135A7D">
        <w:t>08</w:t>
      </w:r>
      <w:r w:rsidR="008C3AEB" w:rsidRPr="0038744D">
        <w:t xml:space="preserve"> de </w:t>
      </w:r>
      <w:r w:rsidR="00166D1F" w:rsidRPr="0038744D">
        <w:t>agosto</w:t>
      </w:r>
      <w:r w:rsidR="008C3AEB" w:rsidRPr="0038744D">
        <w:t xml:space="preserve"> de 202</w:t>
      </w:r>
      <w:r w:rsidR="00996F01" w:rsidRPr="0038744D">
        <w:t>2</w:t>
      </w:r>
    </w:p>
    <w:p w14:paraId="1DE33107" w14:textId="489B5448" w:rsidR="008C3AEB" w:rsidRPr="0038744D" w:rsidRDefault="008C3AEB" w:rsidP="00E5697A">
      <w:pPr>
        <w:pStyle w:val="Asunto"/>
        <w:jc w:val="center"/>
      </w:pPr>
      <w:r w:rsidRPr="0038744D">
        <w:rPr>
          <w:rFonts w:ascii="Arial" w:hAnsi="Arial" w:cs="Arial"/>
          <w:b/>
          <w:bCs/>
          <w:i/>
          <w:iCs/>
          <w:kern w:val="60"/>
        </w:rPr>
        <w:t>CIRCULAR No.</w:t>
      </w:r>
      <w:r w:rsidR="00135A7D">
        <w:rPr>
          <w:rFonts w:ascii="Arial" w:hAnsi="Arial" w:cs="Arial"/>
          <w:b/>
          <w:bCs/>
          <w:i/>
          <w:iCs/>
          <w:kern w:val="60"/>
        </w:rPr>
        <w:t>075</w:t>
      </w:r>
    </w:p>
    <w:p w14:paraId="424D62F7" w14:textId="78553E03" w:rsidR="008C3AEB" w:rsidRPr="0038744D" w:rsidRDefault="008C3AEB" w:rsidP="00E5697A">
      <w:pPr>
        <w:pStyle w:val="Sangradetextonormal"/>
        <w:spacing w:after="0" w:line="360" w:lineRule="auto"/>
        <w:ind w:left="1410" w:hanging="1410"/>
        <w:jc w:val="both"/>
        <w:rPr>
          <w:rFonts w:ascii="Arial" w:hAnsi="Arial" w:cs="Arial"/>
          <w:b/>
        </w:rPr>
      </w:pPr>
      <w:r w:rsidRPr="0038744D">
        <w:rPr>
          <w:rFonts w:ascii="Arial" w:hAnsi="Arial" w:cs="Arial"/>
          <w:b/>
        </w:rPr>
        <w:t>PARA:</w:t>
      </w:r>
      <w:r w:rsidRPr="0038744D">
        <w:rPr>
          <w:rFonts w:ascii="Arial" w:hAnsi="Arial" w:cs="Arial"/>
          <w:b/>
        </w:rPr>
        <w:tab/>
      </w:r>
      <w:r w:rsidR="002E51F3" w:rsidRPr="0038744D">
        <w:rPr>
          <w:rFonts w:ascii="Arial" w:hAnsi="Arial" w:cs="Arial"/>
          <w:b/>
        </w:rPr>
        <w:t>COMERCIALIZADORES MAYORISTAS, TRANSPORTADORES, DISTRIBUIDORES Y COMERCIALIZADORES MINORISTAS DE GLP Y DEMÁS INTERESADOS</w:t>
      </w:r>
      <w:r w:rsidR="00887C1E" w:rsidRPr="0038744D">
        <w:rPr>
          <w:rFonts w:ascii="Arial" w:hAnsi="Arial" w:cs="Arial"/>
          <w:b/>
        </w:rPr>
        <w:t>.</w:t>
      </w:r>
    </w:p>
    <w:p w14:paraId="2DDA855C" w14:textId="77777777" w:rsidR="008C3AEB" w:rsidRPr="0038744D" w:rsidRDefault="008C3AEB" w:rsidP="00E5697A">
      <w:pPr>
        <w:pStyle w:val="Sangradetextonormal"/>
        <w:spacing w:after="0" w:line="360" w:lineRule="auto"/>
        <w:ind w:left="0"/>
        <w:jc w:val="both"/>
        <w:rPr>
          <w:rFonts w:ascii="Arial" w:hAnsi="Arial" w:cs="Arial"/>
          <w:b/>
        </w:rPr>
      </w:pPr>
    </w:p>
    <w:p w14:paraId="333AD5EB" w14:textId="77777777" w:rsidR="008C3AEB" w:rsidRPr="0038744D" w:rsidRDefault="008C3AEB" w:rsidP="00E5697A">
      <w:pPr>
        <w:pStyle w:val="Sangradetextonormal"/>
        <w:spacing w:line="360" w:lineRule="auto"/>
        <w:ind w:left="1410" w:hanging="1410"/>
        <w:jc w:val="both"/>
        <w:rPr>
          <w:rFonts w:ascii="Arial" w:hAnsi="Arial" w:cs="Arial"/>
          <w:b/>
        </w:rPr>
      </w:pPr>
      <w:r w:rsidRPr="0038744D">
        <w:rPr>
          <w:rFonts w:ascii="Arial" w:hAnsi="Arial" w:cs="Arial"/>
          <w:b/>
        </w:rPr>
        <w:t>DE:</w:t>
      </w:r>
      <w:r w:rsidRPr="0038744D">
        <w:rPr>
          <w:rFonts w:ascii="Arial" w:hAnsi="Arial" w:cs="Arial"/>
          <w:b/>
        </w:rPr>
        <w:tab/>
        <w:t>DIRECCIÓN EJECUTIVA</w:t>
      </w:r>
    </w:p>
    <w:p w14:paraId="732D5463" w14:textId="77777777" w:rsidR="008C3AEB" w:rsidRPr="0038744D" w:rsidRDefault="008C3AEB" w:rsidP="00E5697A">
      <w:pPr>
        <w:rPr>
          <w:rFonts w:ascii="Arial" w:hAnsi="Arial" w:cs="Arial"/>
        </w:rPr>
      </w:pPr>
    </w:p>
    <w:p w14:paraId="2D0B46C3" w14:textId="61AACF1A" w:rsidR="008C3AEB" w:rsidRPr="0038744D" w:rsidRDefault="008C3AEB" w:rsidP="00E5697A">
      <w:pPr>
        <w:pStyle w:val="Sangradetextonormal"/>
        <w:spacing w:line="360" w:lineRule="auto"/>
        <w:ind w:left="1410" w:hanging="1410"/>
        <w:jc w:val="both"/>
        <w:rPr>
          <w:rFonts w:ascii="Arial" w:hAnsi="Arial" w:cs="Arial"/>
          <w:b/>
        </w:rPr>
      </w:pPr>
      <w:r w:rsidRPr="0038744D">
        <w:rPr>
          <w:rFonts w:ascii="Arial" w:hAnsi="Arial" w:cs="Arial"/>
          <w:b/>
        </w:rPr>
        <w:t>ASUNTO:</w:t>
      </w:r>
      <w:r w:rsidRPr="0038744D">
        <w:rPr>
          <w:rFonts w:ascii="Arial" w:hAnsi="Arial" w:cs="Arial"/>
          <w:b/>
        </w:rPr>
        <w:tab/>
      </w:r>
      <w:r w:rsidR="002E51F3" w:rsidRPr="0038744D">
        <w:rPr>
          <w:rFonts w:ascii="Arial" w:hAnsi="Arial" w:cs="Arial"/>
          <w:b/>
        </w:rPr>
        <w:t xml:space="preserve">LISTADO DE MUNICIPIOS QUE CONFORMAN LAS ZONAS DE INFLUENCIA PARA LA OPC QUE CUBRE EL PERIODO COMPRENDIDO ENTRE SEPTIEMBRE </w:t>
      </w:r>
      <w:r w:rsidR="00203626" w:rsidRPr="0038744D">
        <w:rPr>
          <w:rFonts w:ascii="Arial" w:hAnsi="Arial" w:cs="Arial"/>
          <w:b/>
        </w:rPr>
        <w:t xml:space="preserve">DE 2022 </w:t>
      </w:r>
      <w:r w:rsidR="002E51F3" w:rsidRPr="0038744D">
        <w:rPr>
          <w:rFonts w:ascii="Arial" w:hAnsi="Arial" w:cs="Arial"/>
          <w:b/>
        </w:rPr>
        <w:t xml:space="preserve">Y </w:t>
      </w:r>
      <w:r w:rsidR="00203626" w:rsidRPr="0038744D">
        <w:rPr>
          <w:rFonts w:ascii="Arial" w:hAnsi="Arial" w:cs="Arial"/>
          <w:b/>
        </w:rPr>
        <w:t>FEBRERO</w:t>
      </w:r>
      <w:r w:rsidR="002E51F3" w:rsidRPr="0038744D">
        <w:rPr>
          <w:rFonts w:ascii="Arial" w:hAnsi="Arial" w:cs="Arial"/>
          <w:b/>
        </w:rPr>
        <w:t xml:space="preserve"> DE 202</w:t>
      </w:r>
      <w:r w:rsidR="005906C4">
        <w:rPr>
          <w:rFonts w:ascii="Arial" w:hAnsi="Arial" w:cs="Arial"/>
          <w:b/>
        </w:rPr>
        <w:t>3</w:t>
      </w:r>
    </w:p>
    <w:p w14:paraId="24A676CA" w14:textId="77777777" w:rsidR="008C3AEB" w:rsidRPr="0038744D" w:rsidRDefault="008C3AEB" w:rsidP="00E5697A">
      <w:pPr>
        <w:pStyle w:val="Textoindependiente"/>
        <w:spacing w:after="0" w:line="360" w:lineRule="auto"/>
        <w:rPr>
          <w:rFonts w:cs="Arial"/>
          <w:sz w:val="24"/>
          <w:szCs w:val="24"/>
        </w:rPr>
      </w:pPr>
    </w:p>
    <w:p w14:paraId="151371ED" w14:textId="568C3DB8" w:rsidR="008C3AEB" w:rsidRPr="0038744D" w:rsidRDefault="008C3AEB" w:rsidP="00E5791A">
      <w:pPr>
        <w:spacing w:after="0"/>
        <w:jc w:val="both"/>
        <w:rPr>
          <w:rFonts w:ascii="Arial" w:eastAsia="Times New Roman" w:hAnsi="Arial" w:cs="Arial"/>
          <w:i/>
          <w:iCs/>
          <w:spacing w:val="-5"/>
        </w:rPr>
      </w:pPr>
      <w:r w:rsidRPr="0038744D">
        <w:rPr>
          <w:rFonts w:ascii="Arial" w:eastAsia="Times New Roman" w:hAnsi="Arial" w:cs="Arial"/>
          <w:spacing w:val="-5"/>
        </w:rPr>
        <w:t>La CREG</w:t>
      </w:r>
      <w:r w:rsidR="00B873E1">
        <w:rPr>
          <w:rFonts w:ascii="Arial" w:eastAsia="Times New Roman" w:hAnsi="Arial" w:cs="Arial"/>
          <w:spacing w:val="-5"/>
        </w:rPr>
        <w:t>,</w:t>
      </w:r>
      <w:r w:rsidRPr="0038744D">
        <w:rPr>
          <w:rFonts w:ascii="Arial" w:eastAsia="Times New Roman" w:hAnsi="Arial" w:cs="Arial"/>
          <w:spacing w:val="-5"/>
        </w:rPr>
        <w:t xml:space="preserve"> mediante la Resolución CREG 1</w:t>
      </w:r>
      <w:r w:rsidR="005522B9" w:rsidRPr="0038744D">
        <w:rPr>
          <w:rFonts w:ascii="Arial" w:eastAsia="Times New Roman" w:hAnsi="Arial" w:cs="Arial"/>
          <w:spacing w:val="-5"/>
        </w:rPr>
        <w:t>03</w:t>
      </w:r>
      <w:r w:rsidR="00BA0CCF" w:rsidRPr="0038744D">
        <w:rPr>
          <w:rFonts w:ascii="Arial" w:eastAsia="Times New Roman" w:hAnsi="Arial" w:cs="Arial"/>
          <w:spacing w:val="-5"/>
        </w:rPr>
        <w:t xml:space="preserve"> 002</w:t>
      </w:r>
      <w:r w:rsidRPr="0038744D">
        <w:rPr>
          <w:rFonts w:ascii="Arial" w:eastAsia="Times New Roman" w:hAnsi="Arial" w:cs="Arial"/>
          <w:spacing w:val="-5"/>
        </w:rPr>
        <w:t xml:space="preserve"> de</w:t>
      </w:r>
      <w:r w:rsidR="00FA5877" w:rsidRPr="0038744D">
        <w:rPr>
          <w:rFonts w:ascii="Arial" w:eastAsia="Times New Roman" w:hAnsi="Arial" w:cs="Arial"/>
          <w:spacing w:val="-5"/>
        </w:rPr>
        <w:t>l 24 de junio de</w:t>
      </w:r>
      <w:r w:rsidRPr="0038744D">
        <w:rPr>
          <w:rFonts w:ascii="Arial" w:eastAsia="Times New Roman" w:hAnsi="Arial" w:cs="Arial"/>
          <w:spacing w:val="-5"/>
        </w:rPr>
        <w:t xml:space="preserve"> 20</w:t>
      </w:r>
      <w:r w:rsidR="00BA0CCF" w:rsidRPr="0038744D">
        <w:rPr>
          <w:rFonts w:ascii="Arial" w:eastAsia="Times New Roman" w:hAnsi="Arial" w:cs="Arial"/>
          <w:spacing w:val="-5"/>
        </w:rPr>
        <w:t>22</w:t>
      </w:r>
      <w:r w:rsidR="00B873E1">
        <w:rPr>
          <w:rFonts w:ascii="Arial" w:eastAsia="Times New Roman" w:hAnsi="Arial" w:cs="Arial"/>
          <w:spacing w:val="-5"/>
        </w:rPr>
        <w:t>,</w:t>
      </w:r>
      <w:r w:rsidRPr="0038744D">
        <w:rPr>
          <w:rFonts w:ascii="Arial" w:eastAsia="Times New Roman" w:hAnsi="Arial" w:cs="Arial"/>
          <w:spacing w:val="-5"/>
        </w:rPr>
        <w:t xml:space="preserve"> </w:t>
      </w:r>
      <w:r w:rsidR="001A55F9" w:rsidRPr="0038744D">
        <w:rPr>
          <w:rFonts w:ascii="Arial" w:eastAsia="Times New Roman" w:hAnsi="Arial" w:cs="Arial"/>
          <w:spacing w:val="-5"/>
        </w:rPr>
        <w:t>modificó el inicio del periodo de entrega de la OPC</w:t>
      </w:r>
      <w:r w:rsidR="00525EEC" w:rsidRPr="0038744D">
        <w:rPr>
          <w:rFonts w:ascii="Arial" w:eastAsia="Times New Roman" w:hAnsi="Arial" w:cs="Arial"/>
          <w:spacing w:val="-5"/>
        </w:rPr>
        <w:t xml:space="preserve"> y ajustó </w:t>
      </w:r>
      <w:r w:rsidR="00AD3EE6" w:rsidRPr="0038744D">
        <w:rPr>
          <w:rFonts w:ascii="Arial" w:eastAsia="Times New Roman" w:hAnsi="Arial" w:cs="Arial"/>
          <w:spacing w:val="-5"/>
        </w:rPr>
        <w:t>la definición de periodo de compra</w:t>
      </w:r>
      <w:r w:rsidR="00B873E1">
        <w:rPr>
          <w:rFonts w:ascii="Arial" w:eastAsia="Times New Roman" w:hAnsi="Arial" w:cs="Arial"/>
          <w:spacing w:val="-5"/>
        </w:rPr>
        <w:t>. P</w:t>
      </w:r>
      <w:r w:rsidR="00EC7F47" w:rsidRPr="0038744D">
        <w:rPr>
          <w:rFonts w:ascii="Arial" w:eastAsia="Times New Roman" w:hAnsi="Arial" w:cs="Arial"/>
          <w:spacing w:val="-5"/>
        </w:rPr>
        <w:t>or tanto</w:t>
      </w:r>
      <w:r w:rsidR="006A6999" w:rsidRPr="0038744D">
        <w:rPr>
          <w:rFonts w:ascii="Arial" w:eastAsia="Times New Roman" w:hAnsi="Arial" w:cs="Arial"/>
          <w:spacing w:val="-5"/>
        </w:rPr>
        <w:t>, el inicio de</w:t>
      </w:r>
      <w:r w:rsidR="00237404" w:rsidRPr="0038744D">
        <w:rPr>
          <w:rFonts w:ascii="Arial" w:eastAsia="Times New Roman" w:hAnsi="Arial" w:cs="Arial"/>
          <w:spacing w:val="-5"/>
        </w:rPr>
        <w:t xml:space="preserve">l periodo de entregas </w:t>
      </w:r>
      <w:r w:rsidR="00865E3F" w:rsidRPr="0038744D">
        <w:rPr>
          <w:rFonts w:ascii="Arial" w:eastAsia="Times New Roman" w:hAnsi="Arial" w:cs="Arial"/>
          <w:spacing w:val="-5"/>
        </w:rPr>
        <w:t xml:space="preserve">será a partir del </w:t>
      </w:r>
      <w:r w:rsidR="002D230B" w:rsidRPr="0038744D">
        <w:rPr>
          <w:rFonts w:ascii="Arial" w:eastAsia="Times New Roman" w:hAnsi="Arial" w:cs="Arial"/>
          <w:spacing w:val="-5"/>
        </w:rPr>
        <w:t>primero (</w:t>
      </w:r>
      <w:r w:rsidR="00865E3F" w:rsidRPr="0038744D">
        <w:rPr>
          <w:rFonts w:ascii="Arial" w:eastAsia="Times New Roman" w:hAnsi="Arial" w:cs="Arial"/>
          <w:spacing w:val="-5"/>
        </w:rPr>
        <w:t>1</w:t>
      </w:r>
      <w:r w:rsidR="002D230B" w:rsidRPr="0038744D">
        <w:rPr>
          <w:rFonts w:ascii="Arial" w:eastAsia="Times New Roman" w:hAnsi="Arial" w:cs="Arial"/>
          <w:spacing w:val="-5"/>
        </w:rPr>
        <w:t>)</w:t>
      </w:r>
      <w:r w:rsidR="00865E3F" w:rsidRPr="0038744D">
        <w:rPr>
          <w:rFonts w:ascii="Arial" w:eastAsia="Times New Roman" w:hAnsi="Arial" w:cs="Arial"/>
          <w:spacing w:val="-5"/>
        </w:rPr>
        <w:t xml:space="preserve"> de septiembre </w:t>
      </w:r>
      <w:r w:rsidR="00935717" w:rsidRPr="0038744D">
        <w:rPr>
          <w:rFonts w:ascii="Arial" w:eastAsia="Times New Roman" w:hAnsi="Arial" w:cs="Arial"/>
          <w:spacing w:val="-5"/>
        </w:rPr>
        <w:t xml:space="preserve">de 2022, y el </w:t>
      </w:r>
      <w:r w:rsidR="00B04A79" w:rsidRPr="0038744D">
        <w:rPr>
          <w:rFonts w:ascii="Arial" w:eastAsia="Times New Roman" w:hAnsi="Arial" w:cs="Arial"/>
          <w:spacing w:val="-5"/>
        </w:rPr>
        <w:t>siguiente periodo</w:t>
      </w:r>
      <w:r w:rsidR="00935717" w:rsidRPr="0038744D">
        <w:rPr>
          <w:rFonts w:ascii="Arial" w:eastAsia="Times New Roman" w:hAnsi="Arial" w:cs="Arial"/>
          <w:spacing w:val="-5"/>
        </w:rPr>
        <w:t xml:space="preserve"> de compra </w:t>
      </w:r>
      <w:r w:rsidR="00A959EA">
        <w:rPr>
          <w:rFonts w:ascii="Arial" w:eastAsia="Times New Roman" w:hAnsi="Arial" w:cs="Arial"/>
          <w:spacing w:val="-5"/>
        </w:rPr>
        <w:t xml:space="preserve">será </w:t>
      </w:r>
      <w:r w:rsidR="00935717" w:rsidRPr="0038744D">
        <w:rPr>
          <w:rFonts w:ascii="Arial" w:eastAsia="Times New Roman" w:hAnsi="Arial" w:cs="Arial"/>
          <w:spacing w:val="-5"/>
        </w:rPr>
        <w:t xml:space="preserve">aquel comprendido </w:t>
      </w:r>
      <w:r w:rsidR="00B04A79" w:rsidRPr="0038744D">
        <w:rPr>
          <w:rFonts w:ascii="Arial" w:eastAsia="Times New Roman" w:hAnsi="Arial" w:cs="Arial"/>
          <w:spacing w:val="-5"/>
        </w:rPr>
        <w:t xml:space="preserve">entre el </w:t>
      </w:r>
      <w:r w:rsidR="004274FA" w:rsidRPr="0038744D">
        <w:rPr>
          <w:rFonts w:ascii="Arial" w:eastAsia="Times New Roman" w:hAnsi="Arial" w:cs="Arial"/>
          <w:spacing w:val="-5"/>
        </w:rPr>
        <w:t xml:space="preserve">primero (1) de septiembre </w:t>
      </w:r>
      <w:r w:rsidR="00D114A5" w:rsidRPr="0038744D">
        <w:rPr>
          <w:rFonts w:ascii="Arial" w:eastAsia="Times New Roman" w:hAnsi="Arial" w:cs="Arial"/>
          <w:spacing w:val="-5"/>
        </w:rPr>
        <w:t xml:space="preserve">de 2022 </w:t>
      </w:r>
      <w:r w:rsidR="002D230B" w:rsidRPr="0038744D">
        <w:rPr>
          <w:rFonts w:ascii="Arial" w:eastAsia="Times New Roman" w:hAnsi="Arial" w:cs="Arial"/>
          <w:spacing w:val="-5"/>
        </w:rPr>
        <w:t xml:space="preserve">y el </w:t>
      </w:r>
      <w:r w:rsidR="004274FA" w:rsidRPr="0038744D">
        <w:rPr>
          <w:rFonts w:ascii="Arial" w:eastAsia="Times New Roman" w:hAnsi="Arial" w:cs="Arial"/>
          <w:spacing w:val="-5"/>
        </w:rPr>
        <w:t>veintiocho (28) de febrero</w:t>
      </w:r>
      <w:r w:rsidR="00D114A5" w:rsidRPr="0038744D">
        <w:rPr>
          <w:rFonts w:ascii="Arial" w:eastAsia="Times New Roman" w:hAnsi="Arial" w:cs="Arial"/>
          <w:spacing w:val="-5"/>
        </w:rPr>
        <w:t xml:space="preserve"> de 2023</w:t>
      </w:r>
      <w:r w:rsidR="004274FA" w:rsidRPr="0038744D">
        <w:rPr>
          <w:rFonts w:ascii="Arial" w:eastAsia="Times New Roman" w:hAnsi="Arial" w:cs="Arial"/>
          <w:spacing w:val="-5"/>
        </w:rPr>
        <w:t>.</w:t>
      </w:r>
    </w:p>
    <w:p w14:paraId="4F864981" w14:textId="77777777" w:rsidR="00E5791A" w:rsidRPr="0038744D" w:rsidRDefault="00E5791A" w:rsidP="00E5791A">
      <w:pPr>
        <w:spacing w:after="0"/>
        <w:jc w:val="both"/>
        <w:rPr>
          <w:rFonts w:ascii="Arial" w:eastAsia="Times New Roman" w:hAnsi="Arial" w:cs="Arial"/>
          <w:i/>
          <w:iCs/>
          <w:spacing w:val="-5"/>
        </w:rPr>
      </w:pPr>
    </w:p>
    <w:p w14:paraId="153A12D9" w14:textId="56212079" w:rsidR="003A6D88" w:rsidRPr="0038744D" w:rsidRDefault="0003634D" w:rsidP="0003634D">
      <w:pPr>
        <w:jc w:val="both"/>
        <w:rPr>
          <w:rFonts w:ascii="Arial" w:eastAsia="Times New Roman" w:hAnsi="Arial" w:cs="Arial"/>
          <w:spacing w:val="-5"/>
        </w:rPr>
      </w:pPr>
      <w:r w:rsidRPr="0038744D">
        <w:rPr>
          <w:rFonts w:ascii="Arial" w:eastAsia="Times New Roman" w:hAnsi="Arial" w:cs="Arial"/>
          <w:spacing w:val="-5"/>
        </w:rPr>
        <w:t>Mediante comunicación con radicado CREG E-2022-</w:t>
      </w:r>
      <w:r w:rsidR="00A94484" w:rsidRPr="0038744D">
        <w:rPr>
          <w:rFonts w:ascii="Arial" w:eastAsia="Times New Roman" w:hAnsi="Arial" w:cs="Arial"/>
          <w:spacing w:val="-5"/>
        </w:rPr>
        <w:t>007996</w:t>
      </w:r>
      <w:r w:rsidRPr="0038744D">
        <w:rPr>
          <w:rFonts w:ascii="Arial" w:eastAsia="Times New Roman" w:hAnsi="Arial" w:cs="Arial"/>
          <w:spacing w:val="-5"/>
        </w:rPr>
        <w:t xml:space="preserve"> del 2</w:t>
      </w:r>
      <w:r w:rsidR="000E1968" w:rsidRPr="0038744D">
        <w:rPr>
          <w:rFonts w:ascii="Arial" w:eastAsia="Times New Roman" w:hAnsi="Arial" w:cs="Arial"/>
          <w:spacing w:val="-5"/>
        </w:rPr>
        <w:t>5</w:t>
      </w:r>
      <w:r w:rsidRPr="0038744D">
        <w:rPr>
          <w:rFonts w:ascii="Arial" w:eastAsia="Times New Roman" w:hAnsi="Arial" w:cs="Arial"/>
          <w:spacing w:val="-5"/>
        </w:rPr>
        <w:t xml:space="preserve"> de </w:t>
      </w:r>
      <w:r w:rsidR="000E1968" w:rsidRPr="0038744D">
        <w:rPr>
          <w:rFonts w:ascii="Arial" w:eastAsia="Times New Roman" w:hAnsi="Arial" w:cs="Arial"/>
          <w:spacing w:val="-5"/>
        </w:rPr>
        <w:t>julio</w:t>
      </w:r>
      <w:r w:rsidRPr="0038744D">
        <w:rPr>
          <w:rFonts w:ascii="Arial" w:eastAsia="Times New Roman" w:hAnsi="Arial" w:cs="Arial"/>
          <w:spacing w:val="-5"/>
        </w:rPr>
        <w:t xml:space="preserve"> de 2022, Ecopetrol S.A. informó a la CREG las siguientes cantidades de GLP que, por punto de producción nacional, tiene disponibles para la venta en la OPC del asunto</w:t>
      </w:r>
      <w:r w:rsidR="00246115">
        <w:rPr>
          <w:rFonts w:ascii="Arial" w:eastAsia="Times New Roman" w:hAnsi="Arial" w:cs="Arial"/>
          <w:spacing w:val="-5"/>
        </w:rPr>
        <w:t>.</w:t>
      </w:r>
    </w:p>
    <w:p w14:paraId="002BAA2B" w14:textId="77777777" w:rsidR="00AA368E" w:rsidRDefault="00AA368E" w:rsidP="0003634D">
      <w:pPr>
        <w:jc w:val="both"/>
        <w:rPr>
          <w:rFonts w:ascii="Arial" w:eastAsia="Times New Roman" w:hAnsi="Arial" w:cs="Arial"/>
          <w:spacing w:val="-5"/>
          <w:sz w:val="23"/>
          <w:szCs w:val="23"/>
        </w:rPr>
      </w:pPr>
    </w:p>
    <w:p w14:paraId="72B6B5B5" w14:textId="77777777" w:rsidR="00AA368E" w:rsidRDefault="00AA368E" w:rsidP="0003634D">
      <w:pPr>
        <w:jc w:val="both"/>
        <w:rPr>
          <w:rFonts w:ascii="Arial" w:eastAsia="Times New Roman" w:hAnsi="Arial" w:cs="Arial"/>
          <w:spacing w:val="-5"/>
          <w:sz w:val="23"/>
          <w:szCs w:val="23"/>
        </w:rPr>
      </w:pPr>
    </w:p>
    <w:p w14:paraId="6DAC65F5" w14:textId="36EA1B3E" w:rsidR="00AA368E" w:rsidRDefault="00AA368E" w:rsidP="00DD0950">
      <w:pPr>
        <w:spacing w:after="0"/>
        <w:jc w:val="center"/>
        <w:rPr>
          <w:rFonts w:ascii="Arial" w:eastAsia="Times New Roman" w:hAnsi="Arial" w:cs="Arial"/>
          <w:spacing w:val="-5"/>
          <w:sz w:val="23"/>
          <w:szCs w:val="23"/>
        </w:rPr>
      </w:pPr>
      <w:r w:rsidRPr="005F11CF">
        <w:rPr>
          <w:rFonts w:ascii="Arial" w:eastAsia="Times New Roman" w:hAnsi="Arial" w:cs="Arial"/>
          <w:b/>
          <w:bCs/>
          <w:spacing w:val="-5"/>
          <w:sz w:val="23"/>
          <w:szCs w:val="23"/>
        </w:rPr>
        <w:lastRenderedPageBreak/>
        <w:t xml:space="preserve">Tabla </w:t>
      </w:r>
      <w:r w:rsidRPr="005F11CF">
        <w:rPr>
          <w:rFonts w:ascii="Arial" w:eastAsia="Times New Roman" w:hAnsi="Arial" w:cs="Arial"/>
          <w:b/>
          <w:bCs/>
          <w:spacing w:val="-5"/>
          <w:sz w:val="23"/>
          <w:szCs w:val="23"/>
        </w:rPr>
        <w:fldChar w:fldCharType="begin"/>
      </w:r>
      <w:r w:rsidRPr="005F11CF">
        <w:rPr>
          <w:rFonts w:ascii="Arial" w:eastAsia="Times New Roman" w:hAnsi="Arial" w:cs="Arial"/>
          <w:b/>
          <w:bCs/>
          <w:spacing w:val="-5"/>
          <w:sz w:val="23"/>
          <w:szCs w:val="23"/>
        </w:rPr>
        <w:instrText xml:space="preserve"> SEQ Tabla \* ARABIC </w:instrText>
      </w:r>
      <w:r w:rsidRPr="005F11CF">
        <w:rPr>
          <w:rFonts w:ascii="Arial" w:eastAsia="Times New Roman" w:hAnsi="Arial" w:cs="Arial"/>
          <w:b/>
          <w:bCs/>
          <w:spacing w:val="-5"/>
          <w:sz w:val="23"/>
          <w:szCs w:val="23"/>
        </w:rPr>
        <w:fldChar w:fldCharType="separate"/>
      </w:r>
      <w:r w:rsidR="000C7C5F">
        <w:rPr>
          <w:rFonts w:ascii="Arial" w:eastAsia="Times New Roman" w:hAnsi="Arial" w:cs="Arial"/>
          <w:b/>
          <w:bCs/>
          <w:noProof/>
          <w:spacing w:val="-5"/>
          <w:sz w:val="23"/>
          <w:szCs w:val="23"/>
        </w:rPr>
        <w:t>1</w:t>
      </w:r>
      <w:r w:rsidRPr="005F11CF">
        <w:rPr>
          <w:rFonts w:ascii="Arial" w:eastAsia="Times New Roman" w:hAnsi="Arial" w:cs="Arial"/>
          <w:b/>
          <w:bCs/>
          <w:spacing w:val="-5"/>
          <w:sz w:val="23"/>
          <w:szCs w:val="23"/>
        </w:rPr>
        <w:fldChar w:fldCharType="end"/>
      </w:r>
      <w:r w:rsidRPr="005F11CF">
        <w:rPr>
          <w:rFonts w:ascii="Arial" w:eastAsia="Times New Roman" w:hAnsi="Arial" w:cs="Arial"/>
          <w:b/>
          <w:bCs/>
          <w:spacing w:val="-5"/>
          <w:sz w:val="23"/>
          <w:szCs w:val="23"/>
        </w:rPr>
        <w:t>.</w:t>
      </w:r>
      <w:r w:rsidRPr="0038744D">
        <w:rPr>
          <w:rFonts w:ascii="Arial" w:eastAsia="Times New Roman" w:hAnsi="Arial" w:cs="Arial"/>
          <w:spacing w:val="-5"/>
          <w:sz w:val="23"/>
          <w:szCs w:val="23"/>
        </w:rPr>
        <w:t xml:space="preserve"> Cantidades disponibles de GLP </w:t>
      </w:r>
      <w:r w:rsidR="00246115">
        <w:rPr>
          <w:rFonts w:ascii="Arial" w:eastAsia="Times New Roman" w:hAnsi="Arial" w:cs="Arial"/>
          <w:spacing w:val="-5"/>
          <w:sz w:val="23"/>
          <w:szCs w:val="23"/>
        </w:rPr>
        <w:t xml:space="preserve">por punto de </w:t>
      </w:r>
      <w:r w:rsidR="005F11CF">
        <w:rPr>
          <w:rFonts w:ascii="Arial" w:eastAsia="Times New Roman" w:hAnsi="Arial" w:cs="Arial"/>
          <w:spacing w:val="-5"/>
          <w:sz w:val="23"/>
          <w:szCs w:val="23"/>
        </w:rPr>
        <w:t>producción expresadas en kg</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5"/>
        <w:gridCol w:w="1245"/>
        <w:gridCol w:w="1230"/>
        <w:gridCol w:w="813"/>
        <w:gridCol w:w="1635"/>
        <w:gridCol w:w="1095"/>
        <w:gridCol w:w="1039"/>
      </w:tblGrid>
      <w:tr w:rsidR="00AA31CE" w:rsidRPr="00AA31CE" w14:paraId="2AC8000E" w14:textId="77777777" w:rsidTr="00EB0CD2">
        <w:trPr>
          <w:tblCellSpacing w:w="15" w:type="dxa"/>
          <w:jc w:val="center"/>
        </w:trPr>
        <w:tc>
          <w:tcPr>
            <w:tcW w:w="1200" w:type="dxa"/>
            <w:tcBorders>
              <w:top w:val="outset" w:sz="6" w:space="0" w:color="auto"/>
              <w:left w:val="outset" w:sz="6" w:space="0" w:color="auto"/>
              <w:bottom w:val="outset" w:sz="6" w:space="0" w:color="auto"/>
              <w:right w:val="outset" w:sz="6" w:space="0" w:color="auto"/>
            </w:tcBorders>
            <w:shd w:val="clear" w:color="auto" w:fill="9CC2E5"/>
            <w:vAlign w:val="center"/>
            <w:hideMark/>
          </w:tcPr>
          <w:p w14:paraId="40F3ACA1" w14:textId="667154BF" w:rsidR="00AA31CE" w:rsidRPr="00AA31CE" w:rsidRDefault="007D0B3F" w:rsidP="00AA31CE">
            <w:pPr>
              <w:spacing w:before="0" w:after="0" w:line="240" w:lineRule="auto"/>
              <w:jc w:val="center"/>
              <w:rPr>
                <w:rFonts w:ascii="Arial" w:eastAsia="Times New Roman" w:hAnsi="Arial" w:cs="Arial"/>
                <w:lang w:eastAsia="es-CO"/>
              </w:rPr>
            </w:pPr>
            <w:r>
              <w:rPr>
                <w:rFonts w:ascii="Arial" w:eastAsia="Times New Roman" w:hAnsi="Arial" w:cs="Arial"/>
                <w:sz w:val="20"/>
                <w:szCs w:val="20"/>
                <w:lang w:eastAsia="es-CO"/>
              </w:rPr>
              <w:t>Mes</w:t>
            </w:r>
          </w:p>
        </w:tc>
        <w:tc>
          <w:tcPr>
            <w:tcW w:w="1215" w:type="dxa"/>
            <w:tcBorders>
              <w:top w:val="outset" w:sz="6" w:space="0" w:color="auto"/>
              <w:left w:val="outset" w:sz="6" w:space="0" w:color="auto"/>
              <w:bottom w:val="outset" w:sz="6" w:space="0" w:color="auto"/>
              <w:right w:val="outset" w:sz="6" w:space="0" w:color="auto"/>
            </w:tcBorders>
            <w:shd w:val="clear" w:color="auto" w:fill="9CC2E5"/>
            <w:vAlign w:val="center"/>
            <w:hideMark/>
          </w:tcPr>
          <w:p w14:paraId="5F326B76" w14:textId="77777777" w:rsidR="00AA31CE" w:rsidRPr="00AA31CE" w:rsidRDefault="00AA31CE" w:rsidP="00AA31CE">
            <w:pPr>
              <w:spacing w:before="0" w:after="0" w:line="240" w:lineRule="auto"/>
              <w:jc w:val="center"/>
              <w:rPr>
                <w:rFonts w:ascii="Arial" w:eastAsia="Times New Roman" w:hAnsi="Arial" w:cs="Arial"/>
                <w:lang w:eastAsia="es-CO"/>
              </w:rPr>
            </w:pPr>
            <w:proofErr w:type="spellStart"/>
            <w:r w:rsidRPr="00AA31CE">
              <w:rPr>
                <w:rFonts w:ascii="Arial" w:eastAsia="Times New Roman" w:hAnsi="Arial" w:cs="Arial"/>
                <w:sz w:val="20"/>
                <w:szCs w:val="20"/>
                <w:lang w:eastAsia="es-CO"/>
              </w:rPr>
              <w:t>Cupiagua</w:t>
            </w:r>
            <w:proofErr w:type="spellEnd"/>
          </w:p>
        </w:tc>
        <w:tc>
          <w:tcPr>
            <w:tcW w:w="1200" w:type="dxa"/>
            <w:tcBorders>
              <w:top w:val="outset" w:sz="6" w:space="0" w:color="auto"/>
              <w:left w:val="outset" w:sz="6" w:space="0" w:color="auto"/>
              <w:bottom w:val="outset" w:sz="6" w:space="0" w:color="auto"/>
              <w:right w:val="outset" w:sz="6" w:space="0" w:color="auto"/>
            </w:tcBorders>
            <w:shd w:val="clear" w:color="auto" w:fill="9CC2E5"/>
            <w:vAlign w:val="center"/>
            <w:hideMark/>
          </w:tcPr>
          <w:p w14:paraId="2C5178F1"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Cusiana</w:t>
            </w:r>
          </w:p>
        </w:tc>
        <w:tc>
          <w:tcPr>
            <w:tcW w:w="783" w:type="dxa"/>
            <w:tcBorders>
              <w:top w:val="outset" w:sz="6" w:space="0" w:color="auto"/>
              <w:left w:val="outset" w:sz="6" w:space="0" w:color="auto"/>
              <w:bottom w:val="outset" w:sz="6" w:space="0" w:color="auto"/>
              <w:right w:val="outset" w:sz="6" w:space="0" w:color="auto"/>
            </w:tcBorders>
            <w:shd w:val="clear" w:color="auto" w:fill="9CC2E5"/>
            <w:vAlign w:val="center"/>
            <w:hideMark/>
          </w:tcPr>
          <w:p w14:paraId="4C997EAE"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Dina</w:t>
            </w:r>
          </w:p>
        </w:tc>
        <w:tc>
          <w:tcPr>
            <w:tcW w:w="1605" w:type="dxa"/>
            <w:tcBorders>
              <w:top w:val="outset" w:sz="6" w:space="0" w:color="auto"/>
              <w:left w:val="outset" w:sz="6" w:space="0" w:color="auto"/>
              <w:bottom w:val="outset" w:sz="6" w:space="0" w:color="auto"/>
              <w:right w:val="outset" w:sz="6" w:space="0" w:color="auto"/>
            </w:tcBorders>
            <w:shd w:val="clear" w:color="auto" w:fill="9CC2E5"/>
            <w:vAlign w:val="center"/>
            <w:hideMark/>
          </w:tcPr>
          <w:p w14:paraId="379DBDD7"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Barrancabermeja</w:t>
            </w:r>
          </w:p>
        </w:tc>
        <w:tc>
          <w:tcPr>
            <w:tcW w:w="1065" w:type="dxa"/>
            <w:tcBorders>
              <w:top w:val="outset" w:sz="6" w:space="0" w:color="auto"/>
              <w:left w:val="outset" w:sz="6" w:space="0" w:color="auto"/>
              <w:bottom w:val="outset" w:sz="6" w:space="0" w:color="auto"/>
              <w:right w:val="outset" w:sz="6" w:space="0" w:color="auto"/>
            </w:tcBorders>
            <w:shd w:val="clear" w:color="auto" w:fill="9CC2E5"/>
            <w:vAlign w:val="center"/>
            <w:hideMark/>
          </w:tcPr>
          <w:p w14:paraId="3988B8C6"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Cartagena Malla</w:t>
            </w:r>
          </w:p>
        </w:tc>
        <w:tc>
          <w:tcPr>
            <w:tcW w:w="994" w:type="dxa"/>
            <w:tcBorders>
              <w:top w:val="outset" w:sz="6" w:space="0" w:color="auto"/>
              <w:left w:val="outset" w:sz="6" w:space="0" w:color="auto"/>
              <w:bottom w:val="outset" w:sz="6" w:space="0" w:color="auto"/>
              <w:right w:val="outset" w:sz="6" w:space="0" w:color="auto"/>
            </w:tcBorders>
            <w:shd w:val="clear" w:color="auto" w:fill="9CC2E5"/>
            <w:vAlign w:val="center"/>
            <w:hideMark/>
          </w:tcPr>
          <w:p w14:paraId="4D254B56" w14:textId="4F87C9F9"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Cartagena SPC</w:t>
            </w:r>
            <w:r w:rsidR="00E94D07">
              <w:rPr>
                <w:rFonts w:ascii="Arial" w:eastAsia="Times New Roman" w:hAnsi="Arial" w:cs="Arial"/>
                <w:sz w:val="20"/>
                <w:szCs w:val="20"/>
                <w:lang w:eastAsia="es-CO"/>
              </w:rPr>
              <w:t>*</w:t>
            </w:r>
          </w:p>
        </w:tc>
      </w:tr>
      <w:tr w:rsidR="00AA31CE" w:rsidRPr="00AA31CE" w14:paraId="202547DC" w14:textId="77777777" w:rsidTr="00EB0CD2">
        <w:trPr>
          <w:tblCellSpacing w:w="15" w:type="dxa"/>
          <w:jc w:val="center"/>
        </w:trPr>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E9163B" w14:textId="2FA4B973" w:rsidR="00AA31CE" w:rsidRPr="00AA31CE" w:rsidRDefault="00EB0CD2"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S</w:t>
            </w:r>
            <w:r w:rsidR="00AA31CE" w:rsidRPr="00AA31CE">
              <w:rPr>
                <w:rFonts w:ascii="Arial" w:eastAsia="Times New Roman" w:hAnsi="Arial" w:cs="Arial"/>
                <w:sz w:val="20"/>
                <w:szCs w:val="20"/>
                <w:lang w:eastAsia="es-CO"/>
              </w:rPr>
              <w:t>ep-22</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06B01A" w14:textId="794DC013" w:rsidR="00AA31CE" w:rsidRPr="00AA31CE" w:rsidRDefault="00F50D10" w:rsidP="00AA31CE">
            <w:pPr>
              <w:spacing w:before="0" w:after="0" w:line="240" w:lineRule="auto"/>
              <w:jc w:val="center"/>
              <w:rPr>
                <w:rFonts w:ascii="Arial" w:eastAsia="Times New Roman" w:hAnsi="Arial" w:cs="Arial"/>
                <w:lang w:eastAsia="es-CO"/>
              </w:rPr>
            </w:pPr>
            <w:r w:rsidRPr="00F50D10">
              <w:rPr>
                <w:rFonts w:ascii="Arial" w:eastAsia="Times New Roman" w:hAnsi="Arial" w:cs="Arial"/>
                <w:sz w:val="20"/>
                <w:szCs w:val="20"/>
                <w:lang w:eastAsia="es-CO"/>
              </w:rPr>
              <w:t>21.802.347</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9E80AF"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14.940.508</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BB65A2"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446.859</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36CA34" w14:textId="5E07A89D"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8.870.86</w:t>
            </w:r>
            <w:r w:rsidR="00311107">
              <w:rPr>
                <w:rFonts w:ascii="Arial" w:eastAsia="Times New Roman" w:hAnsi="Arial" w:cs="Arial"/>
                <w:sz w:val="20"/>
                <w:szCs w:val="20"/>
                <w:lang w:eastAsia="es-CO"/>
              </w:rPr>
              <w:t>7</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F7D1E7" w14:textId="3B782EA5" w:rsidR="00AA31CE" w:rsidRPr="00AA31CE" w:rsidRDefault="00E02AFE" w:rsidP="00AA31CE">
            <w:pPr>
              <w:spacing w:before="0" w:after="0" w:line="240" w:lineRule="auto"/>
              <w:jc w:val="center"/>
              <w:rPr>
                <w:rFonts w:ascii="Arial" w:eastAsia="Times New Roman" w:hAnsi="Arial" w:cs="Arial"/>
                <w:lang w:eastAsia="es-CO"/>
              </w:rPr>
            </w:pPr>
            <w:r w:rsidRPr="00E02AFE">
              <w:rPr>
                <w:rFonts w:ascii="Arial" w:eastAsia="Times New Roman" w:hAnsi="Arial" w:cs="Arial"/>
                <w:sz w:val="20"/>
                <w:szCs w:val="20"/>
                <w:lang w:eastAsia="es-CO"/>
              </w:rPr>
              <w:t>6.608.250</w:t>
            </w:r>
          </w:p>
        </w:tc>
        <w:tc>
          <w:tcPr>
            <w:tcW w:w="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C80C9" w14:textId="28685C8B" w:rsidR="00AA31CE" w:rsidRPr="00AA31CE" w:rsidRDefault="00E02AFE" w:rsidP="00AA31CE">
            <w:pPr>
              <w:spacing w:before="0" w:after="0" w:line="240" w:lineRule="auto"/>
              <w:jc w:val="center"/>
              <w:rPr>
                <w:rFonts w:ascii="Arial" w:eastAsia="Times New Roman" w:hAnsi="Arial" w:cs="Arial"/>
                <w:lang w:eastAsia="es-CO"/>
              </w:rPr>
            </w:pPr>
            <w:r w:rsidRPr="00E02AFE">
              <w:rPr>
                <w:rFonts w:ascii="Arial" w:eastAsia="Times New Roman" w:hAnsi="Arial" w:cs="Arial"/>
                <w:sz w:val="20"/>
                <w:szCs w:val="20"/>
                <w:lang w:eastAsia="es-CO"/>
              </w:rPr>
              <w:t>905.651</w:t>
            </w:r>
          </w:p>
        </w:tc>
      </w:tr>
      <w:tr w:rsidR="00AA31CE" w:rsidRPr="00AA31CE" w14:paraId="3C0005BE" w14:textId="77777777" w:rsidTr="00E02AFE">
        <w:trPr>
          <w:tblCellSpacing w:w="15" w:type="dxa"/>
          <w:jc w:val="center"/>
        </w:trPr>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42762C" w14:textId="754EA145" w:rsidR="00AA31CE" w:rsidRPr="00AA31CE" w:rsidRDefault="00EB0CD2" w:rsidP="00AA31CE">
            <w:pPr>
              <w:spacing w:before="0" w:after="0" w:line="240" w:lineRule="auto"/>
              <w:jc w:val="center"/>
              <w:rPr>
                <w:rFonts w:ascii="Arial" w:eastAsia="Times New Roman" w:hAnsi="Arial" w:cs="Arial"/>
                <w:lang w:eastAsia="es-CO"/>
              </w:rPr>
            </w:pPr>
            <w:r>
              <w:rPr>
                <w:rFonts w:ascii="Arial" w:eastAsia="Times New Roman" w:hAnsi="Arial" w:cs="Arial"/>
                <w:sz w:val="20"/>
                <w:szCs w:val="20"/>
                <w:lang w:eastAsia="es-CO"/>
              </w:rPr>
              <w:t>O</w:t>
            </w:r>
            <w:r w:rsidR="00AA31CE" w:rsidRPr="00AA31CE">
              <w:rPr>
                <w:rFonts w:ascii="Arial" w:eastAsia="Times New Roman" w:hAnsi="Arial" w:cs="Arial"/>
                <w:sz w:val="20"/>
                <w:szCs w:val="20"/>
                <w:lang w:eastAsia="es-CO"/>
              </w:rPr>
              <w:t>ct-22</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C591C" w14:textId="2058EF26" w:rsidR="00AA31CE" w:rsidRPr="00AA31CE" w:rsidRDefault="00F50D10" w:rsidP="00AA31CE">
            <w:pPr>
              <w:spacing w:before="0" w:after="0" w:line="240" w:lineRule="auto"/>
              <w:jc w:val="center"/>
              <w:rPr>
                <w:rFonts w:ascii="Arial" w:eastAsia="Times New Roman" w:hAnsi="Arial" w:cs="Arial"/>
                <w:lang w:eastAsia="es-CO"/>
              </w:rPr>
            </w:pPr>
            <w:r w:rsidRPr="00F50D10">
              <w:rPr>
                <w:rFonts w:ascii="Arial" w:eastAsia="Times New Roman" w:hAnsi="Arial" w:cs="Arial"/>
                <w:sz w:val="20"/>
                <w:szCs w:val="20"/>
                <w:lang w:eastAsia="es-CO"/>
              </w:rPr>
              <w:t>22.529.092</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3934A"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6.505.342</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64B23"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429.725</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D3B9B" w14:textId="2D3E668B"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7.224.28</w:t>
            </w:r>
            <w:r w:rsidR="00750D56">
              <w:rPr>
                <w:rFonts w:ascii="Arial" w:eastAsia="Times New Roman" w:hAnsi="Arial" w:cs="Arial"/>
                <w:sz w:val="20"/>
                <w:szCs w:val="20"/>
                <w:lang w:eastAsia="es-CO"/>
              </w:rPr>
              <w:t>9</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tcPr>
          <w:p w14:paraId="4984847F" w14:textId="4151B123" w:rsidR="00AA31CE" w:rsidRPr="00AA31CE" w:rsidRDefault="008D190E" w:rsidP="00AA31CE">
            <w:pPr>
              <w:spacing w:before="0" w:after="0" w:line="240" w:lineRule="auto"/>
              <w:jc w:val="center"/>
              <w:rPr>
                <w:rFonts w:ascii="Arial" w:eastAsia="Times New Roman" w:hAnsi="Arial" w:cs="Arial"/>
                <w:sz w:val="20"/>
                <w:szCs w:val="20"/>
                <w:lang w:eastAsia="es-CO"/>
              </w:rPr>
            </w:pPr>
            <w:r w:rsidRPr="00C0790B">
              <w:rPr>
                <w:rFonts w:ascii="Arial" w:eastAsia="Times New Roman" w:hAnsi="Arial" w:cs="Arial"/>
                <w:sz w:val="20"/>
                <w:szCs w:val="20"/>
                <w:lang w:eastAsia="es-CO"/>
              </w:rPr>
              <w:t>6.826.104</w:t>
            </w:r>
          </w:p>
        </w:tc>
        <w:tc>
          <w:tcPr>
            <w:tcW w:w="994" w:type="dxa"/>
            <w:tcBorders>
              <w:top w:val="outset" w:sz="6" w:space="0" w:color="auto"/>
              <w:left w:val="outset" w:sz="6" w:space="0" w:color="auto"/>
              <w:bottom w:val="outset" w:sz="6" w:space="0" w:color="auto"/>
              <w:right w:val="outset" w:sz="6" w:space="0" w:color="auto"/>
            </w:tcBorders>
            <w:shd w:val="clear" w:color="auto" w:fill="FFFFFF"/>
            <w:vAlign w:val="center"/>
          </w:tcPr>
          <w:p w14:paraId="7BDBD825" w14:textId="6D2E2DF6" w:rsidR="00AA31CE" w:rsidRPr="00AA31CE" w:rsidRDefault="00E841E7" w:rsidP="00AA31CE">
            <w:pPr>
              <w:spacing w:before="0" w:after="0" w:line="240" w:lineRule="auto"/>
              <w:jc w:val="center"/>
              <w:rPr>
                <w:rFonts w:ascii="Arial" w:eastAsia="Times New Roman" w:hAnsi="Arial" w:cs="Arial"/>
                <w:sz w:val="20"/>
                <w:szCs w:val="20"/>
                <w:lang w:eastAsia="es-CO"/>
              </w:rPr>
            </w:pPr>
            <w:r w:rsidRPr="00C0790B">
              <w:rPr>
                <w:rFonts w:ascii="Arial" w:eastAsia="Times New Roman" w:hAnsi="Arial" w:cs="Arial"/>
                <w:sz w:val="20"/>
                <w:szCs w:val="20"/>
                <w:lang w:eastAsia="es-CO"/>
              </w:rPr>
              <w:t>2.087.141</w:t>
            </w:r>
          </w:p>
        </w:tc>
      </w:tr>
      <w:tr w:rsidR="00AA31CE" w:rsidRPr="00AA31CE" w14:paraId="6856EDD3" w14:textId="77777777" w:rsidTr="00E02AFE">
        <w:trPr>
          <w:tblCellSpacing w:w="15" w:type="dxa"/>
          <w:jc w:val="center"/>
        </w:trPr>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E91F11" w14:textId="2E911E33" w:rsidR="00AA31CE" w:rsidRPr="00AA31CE" w:rsidRDefault="00EB0CD2" w:rsidP="00AA31CE">
            <w:pPr>
              <w:spacing w:before="0" w:after="0" w:line="240" w:lineRule="auto"/>
              <w:jc w:val="center"/>
              <w:rPr>
                <w:rFonts w:ascii="Arial" w:eastAsia="Times New Roman" w:hAnsi="Arial" w:cs="Arial"/>
                <w:lang w:eastAsia="es-CO"/>
              </w:rPr>
            </w:pPr>
            <w:r>
              <w:rPr>
                <w:rFonts w:ascii="Arial" w:eastAsia="Times New Roman" w:hAnsi="Arial" w:cs="Arial"/>
                <w:sz w:val="20"/>
                <w:szCs w:val="20"/>
                <w:lang w:eastAsia="es-CO"/>
              </w:rPr>
              <w:t>N</w:t>
            </w:r>
            <w:r w:rsidR="00AA31CE" w:rsidRPr="00AA31CE">
              <w:rPr>
                <w:rFonts w:ascii="Arial" w:eastAsia="Times New Roman" w:hAnsi="Arial" w:cs="Arial"/>
                <w:sz w:val="20"/>
                <w:szCs w:val="20"/>
                <w:lang w:eastAsia="es-CO"/>
              </w:rPr>
              <w:t>ov-22</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9AF3B" w14:textId="2C3A4E11" w:rsidR="00AA31CE" w:rsidRPr="00AA31CE" w:rsidRDefault="001B71B5" w:rsidP="00AA31CE">
            <w:pPr>
              <w:spacing w:before="0" w:after="0" w:line="240" w:lineRule="auto"/>
              <w:jc w:val="center"/>
              <w:rPr>
                <w:rFonts w:ascii="Arial" w:eastAsia="Times New Roman" w:hAnsi="Arial" w:cs="Arial"/>
                <w:lang w:eastAsia="es-CO"/>
              </w:rPr>
            </w:pPr>
            <w:r w:rsidRPr="001B71B5">
              <w:rPr>
                <w:rFonts w:ascii="Arial" w:eastAsia="Times New Roman" w:hAnsi="Arial" w:cs="Arial"/>
                <w:sz w:val="20"/>
                <w:szCs w:val="20"/>
                <w:lang w:eastAsia="es-CO"/>
              </w:rPr>
              <w:t>21.802.347</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46565"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14.655.887</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D28A04"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441.693</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058961"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7.554.674</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tcPr>
          <w:p w14:paraId="1874247C" w14:textId="7D7CAEB5" w:rsidR="00AA31CE" w:rsidRPr="00AA31CE" w:rsidRDefault="00E841E7" w:rsidP="00AA31CE">
            <w:pPr>
              <w:spacing w:before="0" w:after="0" w:line="240" w:lineRule="auto"/>
              <w:jc w:val="center"/>
              <w:rPr>
                <w:rFonts w:ascii="Arial" w:eastAsia="Times New Roman" w:hAnsi="Arial" w:cs="Arial"/>
                <w:sz w:val="20"/>
                <w:szCs w:val="20"/>
                <w:lang w:eastAsia="es-CO"/>
              </w:rPr>
            </w:pPr>
            <w:r w:rsidRPr="00C0790B">
              <w:rPr>
                <w:rFonts w:ascii="Arial" w:eastAsia="Times New Roman" w:hAnsi="Arial" w:cs="Arial"/>
                <w:sz w:val="20"/>
                <w:szCs w:val="20"/>
                <w:lang w:eastAsia="es-CO"/>
              </w:rPr>
              <w:t>6.627.475</w:t>
            </w:r>
          </w:p>
        </w:tc>
        <w:tc>
          <w:tcPr>
            <w:tcW w:w="994" w:type="dxa"/>
            <w:tcBorders>
              <w:top w:val="outset" w:sz="6" w:space="0" w:color="auto"/>
              <w:left w:val="outset" w:sz="6" w:space="0" w:color="auto"/>
              <w:bottom w:val="outset" w:sz="6" w:space="0" w:color="auto"/>
              <w:right w:val="outset" w:sz="6" w:space="0" w:color="auto"/>
            </w:tcBorders>
            <w:shd w:val="clear" w:color="auto" w:fill="FFFFFF"/>
            <w:vAlign w:val="center"/>
          </w:tcPr>
          <w:p w14:paraId="3AA85F25" w14:textId="49CAD5A6" w:rsidR="00AA31CE" w:rsidRPr="00AA31CE" w:rsidRDefault="00E841E7" w:rsidP="00AA31CE">
            <w:pPr>
              <w:spacing w:before="0" w:after="0" w:line="240" w:lineRule="auto"/>
              <w:jc w:val="center"/>
              <w:rPr>
                <w:rFonts w:ascii="Arial" w:eastAsia="Times New Roman" w:hAnsi="Arial" w:cs="Arial"/>
                <w:sz w:val="20"/>
                <w:szCs w:val="20"/>
                <w:lang w:eastAsia="es-CO"/>
              </w:rPr>
            </w:pPr>
            <w:r w:rsidRPr="00C0790B">
              <w:rPr>
                <w:rFonts w:ascii="Arial" w:eastAsia="Times New Roman" w:hAnsi="Arial" w:cs="Arial"/>
                <w:sz w:val="20"/>
                <w:szCs w:val="20"/>
                <w:lang w:eastAsia="es-CO"/>
              </w:rPr>
              <w:t>2.683.057</w:t>
            </w:r>
          </w:p>
        </w:tc>
      </w:tr>
      <w:tr w:rsidR="00AA31CE" w:rsidRPr="00AA31CE" w14:paraId="1ED58DCF" w14:textId="77777777" w:rsidTr="00E02AFE">
        <w:trPr>
          <w:tblCellSpacing w:w="15" w:type="dxa"/>
          <w:jc w:val="center"/>
        </w:trPr>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EE9A41" w14:textId="0E68FD94" w:rsidR="00AA31CE" w:rsidRPr="00AA31CE" w:rsidRDefault="00EB0CD2" w:rsidP="00AA31CE">
            <w:pPr>
              <w:spacing w:before="0" w:after="0" w:line="240" w:lineRule="auto"/>
              <w:jc w:val="center"/>
              <w:rPr>
                <w:rFonts w:ascii="Arial" w:eastAsia="Times New Roman" w:hAnsi="Arial" w:cs="Arial"/>
                <w:lang w:eastAsia="es-CO"/>
              </w:rPr>
            </w:pPr>
            <w:r>
              <w:rPr>
                <w:rFonts w:ascii="Arial" w:eastAsia="Times New Roman" w:hAnsi="Arial" w:cs="Arial"/>
                <w:sz w:val="20"/>
                <w:szCs w:val="20"/>
                <w:lang w:eastAsia="es-CO"/>
              </w:rPr>
              <w:t>D</w:t>
            </w:r>
            <w:r w:rsidR="00AA31CE" w:rsidRPr="00AA31CE">
              <w:rPr>
                <w:rFonts w:ascii="Arial" w:eastAsia="Times New Roman" w:hAnsi="Arial" w:cs="Arial"/>
                <w:sz w:val="20"/>
                <w:szCs w:val="20"/>
                <w:lang w:eastAsia="es-CO"/>
              </w:rPr>
              <w:t>ic-22</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A0B151" w14:textId="24D3C2F7" w:rsidR="00AA31CE" w:rsidRPr="00AA31CE" w:rsidRDefault="001B71B5" w:rsidP="00AA31CE">
            <w:pPr>
              <w:spacing w:before="0" w:after="0" w:line="240" w:lineRule="auto"/>
              <w:jc w:val="center"/>
              <w:rPr>
                <w:rFonts w:ascii="Arial" w:eastAsia="Times New Roman" w:hAnsi="Arial" w:cs="Arial"/>
                <w:lang w:eastAsia="es-CO"/>
              </w:rPr>
            </w:pPr>
            <w:r w:rsidRPr="001B71B5">
              <w:rPr>
                <w:rFonts w:ascii="Arial" w:eastAsia="Times New Roman" w:hAnsi="Arial" w:cs="Arial"/>
                <w:sz w:val="20"/>
                <w:szCs w:val="20"/>
                <w:lang w:eastAsia="es-CO"/>
              </w:rPr>
              <w:t>22.529.092</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BF3404"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15.180.389</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3B2ACA" w14:textId="77777777"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453.747</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E5423D" w14:textId="26DAC7E6" w:rsidR="00AA31CE" w:rsidRPr="00AA31CE" w:rsidRDefault="00AA31CE" w:rsidP="00AA31CE">
            <w:pPr>
              <w:spacing w:before="0" w:after="0" w:line="240" w:lineRule="auto"/>
              <w:jc w:val="center"/>
              <w:rPr>
                <w:rFonts w:ascii="Arial" w:eastAsia="Times New Roman" w:hAnsi="Arial" w:cs="Arial"/>
                <w:lang w:eastAsia="es-CO"/>
              </w:rPr>
            </w:pPr>
            <w:r w:rsidRPr="00AA31CE">
              <w:rPr>
                <w:rFonts w:ascii="Arial" w:eastAsia="Times New Roman" w:hAnsi="Arial" w:cs="Arial"/>
                <w:sz w:val="20"/>
                <w:szCs w:val="20"/>
                <w:lang w:eastAsia="es-CO"/>
              </w:rPr>
              <w:t>10.810.70</w:t>
            </w:r>
            <w:r w:rsidR="00750D56">
              <w:rPr>
                <w:rFonts w:ascii="Arial" w:eastAsia="Times New Roman" w:hAnsi="Arial" w:cs="Arial"/>
                <w:sz w:val="20"/>
                <w:szCs w:val="20"/>
                <w:lang w:eastAsia="es-CO"/>
              </w:rPr>
              <w:t>6</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tcPr>
          <w:p w14:paraId="1C2AFEDC" w14:textId="325C46E7" w:rsidR="00AA31CE" w:rsidRPr="00AA31CE" w:rsidRDefault="00E841E7" w:rsidP="00AA31CE">
            <w:pPr>
              <w:spacing w:before="0" w:after="0" w:line="240" w:lineRule="auto"/>
              <w:jc w:val="center"/>
              <w:rPr>
                <w:rFonts w:ascii="Arial" w:eastAsia="Times New Roman" w:hAnsi="Arial" w:cs="Arial"/>
                <w:sz w:val="20"/>
                <w:szCs w:val="20"/>
                <w:lang w:eastAsia="es-CO"/>
              </w:rPr>
            </w:pPr>
            <w:r w:rsidRPr="00C0790B">
              <w:rPr>
                <w:rFonts w:ascii="Arial" w:eastAsia="Times New Roman" w:hAnsi="Arial" w:cs="Arial"/>
                <w:sz w:val="20"/>
                <w:szCs w:val="20"/>
                <w:lang w:eastAsia="es-CO"/>
              </w:rPr>
              <w:t>2.683.057</w:t>
            </w:r>
          </w:p>
        </w:tc>
        <w:tc>
          <w:tcPr>
            <w:tcW w:w="994" w:type="dxa"/>
            <w:tcBorders>
              <w:top w:val="outset" w:sz="6" w:space="0" w:color="auto"/>
              <w:left w:val="outset" w:sz="6" w:space="0" w:color="auto"/>
              <w:bottom w:val="outset" w:sz="6" w:space="0" w:color="auto"/>
              <w:right w:val="outset" w:sz="6" w:space="0" w:color="auto"/>
            </w:tcBorders>
            <w:shd w:val="clear" w:color="auto" w:fill="FFFFFF"/>
            <w:vAlign w:val="center"/>
          </w:tcPr>
          <w:p w14:paraId="387FEDE0" w14:textId="40B4C6F1" w:rsidR="00AA31CE" w:rsidRPr="00AA31CE" w:rsidRDefault="00F5370A" w:rsidP="00AA31CE">
            <w:pPr>
              <w:spacing w:before="0" w:after="0" w:line="240" w:lineRule="auto"/>
              <w:jc w:val="center"/>
              <w:rPr>
                <w:rFonts w:ascii="Arial" w:eastAsia="Times New Roman" w:hAnsi="Arial" w:cs="Arial"/>
                <w:sz w:val="20"/>
                <w:szCs w:val="20"/>
                <w:lang w:eastAsia="es-CO"/>
              </w:rPr>
            </w:pPr>
            <w:r w:rsidRPr="00C0790B">
              <w:rPr>
                <w:rFonts w:ascii="Arial" w:eastAsia="Times New Roman" w:hAnsi="Arial" w:cs="Arial"/>
                <w:sz w:val="20"/>
                <w:szCs w:val="20"/>
                <w:lang w:eastAsia="es-CO"/>
              </w:rPr>
              <w:t>2.942.459</w:t>
            </w:r>
          </w:p>
        </w:tc>
      </w:tr>
      <w:tr w:rsidR="00EB0CD2" w:rsidRPr="00AA31CE" w14:paraId="3931E672" w14:textId="77777777" w:rsidTr="00EB0CD2">
        <w:trPr>
          <w:tblCellSpacing w:w="15" w:type="dxa"/>
          <w:jc w:val="center"/>
        </w:trPr>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14:paraId="571D4BC7" w14:textId="13D77DFD" w:rsidR="00EB0CD2" w:rsidRPr="00AA31CE" w:rsidRDefault="00EB0CD2" w:rsidP="00AA31CE">
            <w:pPr>
              <w:spacing w:before="0" w:after="0" w:line="24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Ene-23</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tcPr>
          <w:p w14:paraId="19F0EEF5" w14:textId="74DC3A08" w:rsidR="00EB0CD2" w:rsidRPr="00AA31CE" w:rsidRDefault="001B71B5" w:rsidP="00AA31CE">
            <w:pPr>
              <w:spacing w:before="0" w:after="0" w:line="240" w:lineRule="auto"/>
              <w:jc w:val="center"/>
              <w:rPr>
                <w:rFonts w:ascii="Arial" w:eastAsia="Times New Roman" w:hAnsi="Arial" w:cs="Arial"/>
                <w:sz w:val="20"/>
                <w:szCs w:val="20"/>
                <w:lang w:eastAsia="es-CO"/>
              </w:rPr>
            </w:pPr>
            <w:r w:rsidRPr="001B71B5">
              <w:rPr>
                <w:rFonts w:ascii="Arial" w:eastAsia="Times New Roman" w:hAnsi="Arial" w:cs="Arial"/>
                <w:sz w:val="20"/>
                <w:szCs w:val="20"/>
                <w:lang w:eastAsia="es-CO"/>
              </w:rPr>
              <w:t>22.547.405</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14:paraId="4B0BE26D" w14:textId="17C07FA9" w:rsidR="00EB0CD2" w:rsidRPr="00AA31CE" w:rsidRDefault="00623406" w:rsidP="00AA31CE">
            <w:pPr>
              <w:spacing w:before="0" w:after="0" w:line="240" w:lineRule="auto"/>
              <w:jc w:val="center"/>
              <w:rPr>
                <w:rFonts w:ascii="Arial" w:eastAsia="Times New Roman" w:hAnsi="Arial" w:cs="Arial"/>
                <w:sz w:val="20"/>
                <w:szCs w:val="20"/>
                <w:lang w:eastAsia="es-CO"/>
              </w:rPr>
            </w:pPr>
            <w:r w:rsidRPr="00623406">
              <w:rPr>
                <w:rFonts w:ascii="Arial" w:eastAsia="Times New Roman" w:hAnsi="Arial" w:cs="Arial"/>
                <w:sz w:val="20"/>
                <w:szCs w:val="20"/>
                <w:lang w:eastAsia="es-CO"/>
              </w:rPr>
              <w:t>13.861.746</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14:paraId="21FA5CFF" w14:textId="12CE7C82" w:rsidR="00EB0CD2" w:rsidRPr="00AA31CE" w:rsidRDefault="00014C88" w:rsidP="00AA31CE">
            <w:pPr>
              <w:spacing w:before="0" w:after="0" w:line="240" w:lineRule="auto"/>
              <w:jc w:val="center"/>
              <w:rPr>
                <w:rFonts w:ascii="Arial" w:eastAsia="Times New Roman" w:hAnsi="Arial" w:cs="Arial"/>
                <w:sz w:val="20"/>
                <w:szCs w:val="20"/>
                <w:lang w:eastAsia="es-CO"/>
              </w:rPr>
            </w:pPr>
            <w:r w:rsidRPr="00014C88">
              <w:rPr>
                <w:rFonts w:ascii="Arial" w:eastAsia="Times New Roman" w:hAnsi="Arial" w:cs="Arial"/>
                <w:sz w:val="20"/>
                <w:szCs w:val="20"/>
                <w:lang w:eastAsia="es-CO"/>
              </w:rPr>
              <w:t>413.711</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tcPr>
          <w:p w14:paraId="1CCE5D9C" w14:textId="243F6092" w:rsidR="00EB0CD2" w:rsidRPr="00AA31CE" w:rsidRDefault="00750D56" w:rsidP="00AA31CE">
            <w:pPr>
              <w:spacing w:before="0" w:after="0" w:line="240" w:lineRule="auto"/>
              <w:jc w:val="center"/>
              <w:rPr>
                <w:rFonts w:ascii="Arial" w:eastAsia="Times New Roman" w:hAnsi="Arial" w:cs="Arial"/>
                <w:sz w:val="20"/>
                <w:szCs w:val="20"/>
                <w:lang w:eastAsia="es-CO"/>
              </w:rPr>
            </w:pPr>
            <w:r w:rsidRPr="00750D56">
              <w:rPr>
                <w:rFonts w:ascii="Arial" w:eastAsia="Times New Roman" w:hAnsi="Arial" w:cs="Arial"/>
                <w:sz w:val="20"/>
                <w:szCs w:val="20"/>
                <w:lang w:eastAsia="es-CO"/>
              </w:rPr>
              <w:t>9.604.556</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tcPr>
          <w:p w14:paraId="33E9DB47" w14:textId="652F1F5C" w:rsidR="00EB0CD2" w:rsidRPr="00AA31CE" w:rsidRDefault="00F5370A" w:rsidP="00AA31CE">
            <w:pPr>
              <w:spacing w:before="0" w:after="0" w:line="240" w:lineRule="auto"/>
              <w:jc w:val="center"/>
              <w:rPr>
                <w:rFonts w:ascii="Arial" w:eastAsia="Times New Roman" w:hAnsi="Arial" w:cs="Arial"/>
                <w:sz w:val="20"/>
                <w:szCs w:val="20"/>
                <w:lang w:eastAsia="es-CO"/>
              </w:rPr>
            </w:pPr>
            <w:r w:rsidRPr="00F5370A">
              <w:rPr>
                <w:rFonts w:ascii="Arial" w:eastAsia="Times New Roman" w:hAnsi="Arial" w:cs="Arial"/>
                <w:sz w:val="20"/>
                <w:szCs w:val="20"/>
                <w:lang w:eastAsia="es-CO"/>
              </w:rPr>
              <w:t>6.828.525</w:t>
            </w:r>
          </w:p>
        </w:tc>
        <w:tc>
          <w:tcPr>
            <w:tcW w:w="994" w:type="dxa"/>
            <w:tcBorders>
              <w:top w:val="outset" w:sz="6" w:space="0" w:color="auto"/>
              <w:left w:val="outset" w:sz="6" w:space="0" w:color="auto"/>
              <w:bottom w:val="outset" w:sz="6" w:space="0" w:color="auto"/>
              <w:right w:val="outset" w:sz="6" w:space="0" w:color="auto"/>
            </w:tcBorders>
            <w:shd w:val="clear" w:color="auto" w:fill="FFFFFF"/>
            <w:vAlign w:val="center"/>
          </w:tcPr>
          <w:p w14:paraId="2D8DEFB6" w14:textId="11591DE9" w:rsidR="00EB0CD2" w:rsidRPr="00AA31CE" w:rsidRDefault="00F5370A" w:rsidP="00AA31CE">
            <w:pPr>
              <w:spacing w:before="0" w:after="0" w:line="240" w:lineRule="auto"/>
              <w:jc w:val="center"/>
              <w:rPr>
                <w:rFonts w:ascii="Arial" w:eastAsia="Times New Roman" w:hAnsi="Arial" w:cs="Arial"/>
                <w:sz w:val="20"/>
                <w:szCs w:val="20"/>
                <w:lang w:eastAsia="es-CO"/>
              </w:rPr>
            </w:pPr>
            <w:r w:rsidRPr="00F5370A">
              <w:rPr>
                <w:rFonts w:ascii="Arial" w:eastAsia="Times New Roman" w:hAnsi="Arial" w:cs="Arial"/>
                <w:sz w:val="20"/>
                <w:szCs w:val="20"/>
                <w:lang w:eastAsia="es-CO"/>
              </w:rPr>
              <w:t>669.755</w:t>
            </w:r>
          </w:p>
        </w:tc>
      </w:tr>
      <w:tr w:rsidR="00EB0CD2" w:rsidRPr="00AA31CE" w14:paraId="49066045" w14:textId="77777777" w:rsidTr="00EB0CD2">
        <w:trPr>
          <w:tblCellSpacing w:w="15" w:type="dxa"/>
          <w:jc w:val="center"/>
        </w:trPr>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14:paraId="4A626846" w14:textId="47826E77" w:rsidR="00EB0CD2" w:rsidRPr="00AA31CE" w:rsidRDefault="00EB0CD2" w:rsidP="00AA31CE">
            <w:pPr>
              <w:spacing w:before="0" w:after="0" w:line="24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Feb-23</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tcPr>
          <w:p w14:paraId="3C471C7F" w14:textId="6593FE04" w:rsidR="00EB0CD2" w:rsidRPr="00AA31CE" w:rsidRDefault="00A35C56" w:rsidP="00AA31CE">
            <w:pPr>
              <w:spacing w:before="0" w:after="0" w:line="240" w:lineRule="auto"/>
              <w:jc w:val="center"/>
              <w:rPr>
                <w:rFonts w:ascii="Arial" w:eastAsia="Times New Roman" w:hAnsi="Arial" w:cs="Arial"/>
                <w:sz w:val="20"/>
                <w:szCs w:val="20"/>
                <w:lang w:eastAsia="es-CO"/>
              </w:rPr>
            </w:pPr>
            <w:r w:rsidRPr="00A35C56">
              <w:rPr>
                <w:rFonts w:ascii="Arial" w:eastAsia="Times New Roman" w:hAnsi="Arial" w:cs="Arial"/>
                <w:sz w:val="20"/>
                <w:szCs w:val="20"/>
                <w:lang w:eastAsia="es-CO"/>
              </w:rPr>
              <w:t>20.365.398</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14:paraId="0F1D1087" w14:textId="7463352D" w:rsidR="00EB0CD2" w:rsidRPr="00AA31CE" w:rsidRDefault="0099442E" w:rsidP="00AA31CE">
            <w:pPr>
              <w:spacing w:before="0" w:after="0" w:line="240" w:lineRule="auto"/>
              <w:jc w:val="center"/>
              <w:rPr>
                <w:rFonts w:ascii="Arial" w:eastAsia="Times New Roman" w:hAnsi="Arial" w:cs="Arial"/>
                <w:sz w:val="20"/>
                <w:szCs w:val="20"/>
                <w:lang w:eastAsia="es-CO"/>
              </w:rPr>
            </w:pPr>
            <w:r w:rsidRPr="0099442E">
              <w:rPr>
                <w:rFonts w:ascii="Arial" w:eastAsia="Times New Roman" w:hAnsi="Arial" w:cs="Arial"/>
                <w:sz w:val="20"/>
                <w:szCs w:val="20"/>
                <w:lang w:eastAsia="es-CO"/>
              </w:rPr>
              <w:t>12.508.159</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14:paraId="690FBD18" w14:textId="39EA760C" w:rsidR="00EB0CD2" w:rsidRPr="00AA31CE" w:rsidRDefault="001E3790" w:rsidP="00AA31CE">
            <w:pPr>
              <w:spacing w:before="0" w:after="0" w:line="240" w:lineRule="auto"/>
              <w:jc w:val="center"/>
              <w:rPr>
                <w:rFonts w:ascii="Arial" w:eastAsia="Times New Roman" w:hAnsi="Arial" w:cs="Arial"/>
                <w:sz w:val="20"/>
                <w:szCs w:val="20"/>
                <w:lang w:eastAsia="es-CO"/>
              </w:rPr>
            </w:pPr>
            <w:r w:rsidRPr="001E3790">
              <w:rPr>
                <w:rFonts w:ascii="Arial" w:eastAsia="Times New Roman" w:hAnsi="Arial" w:cs="Arial"/>
                <w:sz w:val="20"/>
                <w:szCs w:val="20"/>
                <w:lang w:eastAsia="es-CO"/>
              </w:rPr>
              <w:t>368.852</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tcPr>
          <w:p w14:paraId="1BD62873" w14:textId="788555C2" w:rsidR="00EB0CD2" w:rsidRPr="00AA31CE" w:rsidRDefault="00750D56" w:rsidP="00AA31CE">
            <w:pPr>
              <w:spacing w:before="0" w:after="0" w:line="240" w:lineRule="auto"/>
              <w:jc w:val="center"/>
              <w:rPr>
                <w:rFonts w:ascii="Arial" w:eastAsia="Times New Roman" w:hAnsi="Arial" w:cs="Arial"/>
                <w:sz w:val="20"/>
                <w:szCs w:val="20"/>
                <w:lang w:eastAsia="es-CO"/>
              </w:rPr>
            </w:pPr>
            <w:r w:rsidRPr="00750D56">
              <w:rPr>
                <w:rFonts w:ascii="Arial" w:eastAsia="Times New Roman" w:hAnsi="Arial" w:cs="Arial"/>
                <w:sz w:val="20"/>
                <w:szCs w:val="20"/>
                <w:lang w:eastAsia="es-CO"/>
              </w:rPr>
              <w:t>8.747.305</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tcPr>
          <w:p w14:paraId="01DA7862" w14:textId="45F00A1A" w:rsidR="00EB0CD2" w:rsidRPr="00AA31CE" w:rsidRDefault="00F5370A" w:rsidP="00AA31CE">
            <w:pPr>
              <w:spacing w:before="0" w:after="0" w:line="240" w:lineRule="auto"/>
              <w:jc w:val="center"/>
              <w:rPr>
                <w:rFonts w:ascii="Arial" w:eastAsia="Times New Roman" w:hAnsi="Arial" w:cs="Arial"/>
                <w:sz w:val="20"/>
                <w:szCs w:val="20"/>
                <w:lang w:eastAsia="es-CO"/>
              </w:rPr>
            </w:pPr>
            <w:r w:rsidRPr="00F5370A">
              <w:rPr>
                <w:rFonts w:ascii="Arial" w:eastAsia="Times New Roman" w:hAnsi="Arial" w:cs="Arial"/>
                <w:sz w:val="20"/>
                <w:szCs w:val="20"/>
                <w:lang w:eastAsia="es-CO"/>
              </w:rPr>
              <w:t>6.167.700</w:t>
            </w:r>
          </w:p>
        </w:tc>
        <w:tc>
          <w:tcPr>
            <w:tcW w:w="994" w:type="dxa"/>
            <w:tcBorders>
              <w:top w:val="outset" w:sz="6" w:space="0" w:color="auto"/>
              <w:left w:val="outset" w:sz="6" w:space="0" w:color="auto"/>
              <w:bottom w:val="outset" w:sz="6" w:space="0" w:color="auto"/>
              <w:right w:val="outset" w:sz="6" w:space="0" w:color="auto"/>
            </w:tcBorders>
            <w:shd w:val="clear" w:color="auto" w:fill="FFFFFF"/>
            <w:vAlign w:val="center"/>
          </w:tcPr>
          <w:p w14:paraId="3548E859" w14:textId="77EF6802" w:rsidR="00EB0CD2" w:rsidRPr="00AA31CE" w:rsidRDefault="00F5370A" w:rsidP="00AA31CE">
            <w:pPr>
              <w:spacing w:before="0" w:after="0" w:line="240" w:lineRule="auto"/>
              <w:jc w:val="center"/>
              <w:rPr>
                <w:rFonts w:ascii="Arial" w:eastAsia="Times New Roman" w:hAnsi="Arial" w:cs="Arial"/>
                <w:sz w:val="20"/>
                <w:szCs w:val="20"/>
                <w:lang w:eastAsia="es-CO"/>
              </w:rPr>
            </w:pPr>
            <w:r w:rsidRPr="00F5370A">
              <w:rPr>
                <w:rFonts w:ascii="Arial" w:eastAsia="Times New Roman" w:hAnsi="Arial" w:cs="Arial"/>
                <w:sz w:val="20"/>
                <w:szCs w:val="20"/>
                <w:lang w:eastAsia="es-CO"/>
              </w:rPr>
              <w:t>604.940</w:t>
            </w:r>
          </w:p>
        </w:tc>
      </w:tr>
    </w:tbl>
    <w:p w14:paraId="2909C1DE" w14:textId="1FC525A6" w:rsidR="00F2015B" w:rsidRDefault="00E94D07" w:rsidP="00F2015B">
      <w:pPr>
        <w:jc w:val="both"/>
        <w:rPr>
          <w:rFonts w:ascii="Arial" w:eastAsia="Times New Roman" w:hAnsi="Arial" w:cs="Arial"/>
          <w:spacing w:val="-5"/>
          <w:sz w:val="16"/>
          <w:szCs w:val="16"/>
        </w:rPr>
      </w:pPr>
      <w:r w:rsidRPr="00E94D07">
        <w:rPr>
          <w:rFonts w:ascii="Arial" w:eastAsia="Times New Roman" w:hAnsi="Arial" w:cs="Arial"/>
          <w:spacing w:val="-5"/>
          <w:sz w:val="16"/>
          <w:szCs w:val="16"/>
        </w:rPr>
        <w:t>*</w:t>
      </w:r>
      <w:r w:rsidRPr="00E94D07">
        <w:rPr>
          <w:sz w:val="16"/>
          <w:szCs w:val="16"/>
        </w:rPr>
        <w:t xml:space="preserve"> </w:t>
      </w:r>
      <w:r w:rsidRPr="00E94D07">
        <w:rPr>
          <w:rFonts w:ascii="Arial" w:eastAsia="Times New Roman" w:hAnsi="Arial" w:cs="Arial"/>
          <w:spacing w:val="-5"/>
          <w:sz w:val="16"/>
          <w:szCs w:val="16"/>
        </w:rPr>
        <w:t xml:space="preserve">SPC: Punto definido como la válvula BV-112 en la isla de despacho GLP-1 en planta </w:t>
      </w:r>
      <w:proofErr w:type="spellStart"/>
      <w:r w:rsidRPr="00E94D07">
        <w:rPr>
          <w:rFonts w:ascii="Arial" w:eastAsia="Times New Roman" w:hAnsi="Arial" w:cs="Arial"/>
          <w:spacing w:val="-5"/>
          <w:sz w:val="16"/>
          <w:szCs w:val="16"/>
        </w:rPr>
        <w:t>Plexa</w:t>
      </w:r>
      <w:proofErr w:type="spellEnd"/>
      <w:r w:rsidRPr="00E94D07">
        <w:rPr>
          <w:rFonts w:ascii="Arial" w:eastAsia="Times New Roman" w:hAnsi="Arial" w:cs="Arial"/>
          <w:spacing w:val="-5"/>
          <w:sz w:val="16"/>
          <w:szCs w:val="16"/>
        </w:rPr>
        <w:t xml:space="preserve"> Cartagena, ubicada en el kilómetro 8 vía Mamonal.</w:t>
      </w:r>
    </w:p>
    <w:p w14:paraId="69421962" w14:textId="77777777" w:rsidR="00F2015B" w:rsidRPr="00F2015B" w:rsidRDefault="00F2015B" w:rsidP="00D81170">
      <w:pPr>
        <w:spacing w:before="0" w:after="0"/>
        <w:jc w:val="both"/>
        <w:rPr>
          <w:rFonts w:ascii="Arial" w:eastAsia="Times New Roman" w:hAnsi="Arial" w:cs="Arial"/>
          <w:spacing w:val="-5"/>
          <w:sz w:val="16"/>
          <w:szCs w:val="16"/>
        </w:rPr>
      </w:pPr>
    </w:p>
    <w:p w14:paraId="114850B6" w14:textId="7C1C888C" w:rsidR="00F2015B" w:rsidRPr="00F2015B" w:rsidRDefault="00F2015B" w:rsidP="004B2B8E">
      <w:pPr>
        <w:spacing w:after="0"/>
        <w:jc w:val="both"/>
        <w:rPr>
          <w:rFonts w:ascii="Arial" w:eastAsia="Times New Roman" w:hAnsi="Arial" w:cs="Arial"/>
          <w:spacing w:val="-5"/>
        </w:rPr>
      </w:pPr>
      <w:r w:rsidRPr="00F2015B">
        <w:rPr>
          <w:rFonts w:ascii="Arial" w:eastAsia="Times New Roman" w:hAnsi="Arial" w:cs="Arial"/>
          <w:spacing w:val="-5"/>
        </w:rPr>
        <w:t xml:space="preserve">Al respecto, el </w:t>
      </w:r>
      <w:proofErr w:type="gramStart"/>
      <w:r w:rsidRPr="00F2015B">
        <w:rPr>
          <w:rFonts w:ascii="Arial" w:eastAsia="Times New Roman" w:hAnsi="Arial" w:cs="Arial"/>
          <w:spacing w:val="-5"/>
        </w:rPr>
        <w:t>Director Ejecutivo</w:t>
      </w:r>
      <w:proofErr w:type="gramEnd"/>
      <w:r w:rsidRPr="00F2015B">
        <w:rPr>
          <w:rFonts w:ascii="Arial" w:eastAsia="Times New Roman" w:hAnsi="Arial" w:cs="Arial"/>
          <w:spacing w:val="-5"/>
        </w:rPr>
        <w:t xml:space="preserve"> de la Comisión de Regulación de Energía y Gas</w:t>
      </w:r>
      <w:r w:rsidR="00B873E1">
        <w:rPr>
          <w:rFonts w:ascii="Arial" w:eastAsia="Times New Roman" w:hAnsi="Arial" w:cs="Arial"/>
          <w:spacing w:val="-5"/>
        </w:rPr>
        <w:t>,</w:t>
      </w:r>
      <w:r w:rsidR="008F4854">
        <w:rPr>
          <w:rFonts w:ascii="Arial" w:eastAsia="Times New Roman" w:hAnsi="Arial" w:cs="Arial"/>
          <w:spacing w:val="-5"/>
        </w:rPr>
        <w:t xml:space="preserve"> </w:t>
      </w:r>
      <w:r w:rsidR="00A3423C">
        <w:rPr>
          <w:rFonts w:ascii="Arial" w:eastAsia="Times New Roman" w:hAnsi="Arial" w:cs="Arial"/>
          <w:spacing w:val="-5"/>
        </w:rPr>
        <w:t>CREG</w:t>
      </w:r>
      <w:r w:rsidRPr="00F2015B">
        <w:rPr>
          <w:rFonts w:ascii="Arial" w:eastAsia="Times New Roman" w:hAnsi="Arial" w:cs="Arial"/>
          <w:spacing w:val="-5"/>
        </w:rPr>
        <w:t>, presenta, como anexo a esta circular, el listado de municipios que conforman las zonas de influencia de las que trata el parágrafo 1 del artículo 14 de la Resolución CREG 053 de 2011, calculadas con base en las Circulares CREG 048 de 2011 y 046 de 2020. Para facilidad de todos los interesados, se anexa también la representación gráfica de este listado.</w:t>
      </w:r>
    </w:p>
    <w:p w14:paraId="1E4D119D" w14:textId="77777777" w:rsidR="00F2015B" w:rsidRPr="00F2015B" w:rsidRDefault="00F2015B" w:rsidP="004B2B8E">
      <w:pPr>
        <w:spacing w:before="0" w:after="0"/>
        <w:jc w:val="both"/>
        <w:rPr>
          <w:rFonts w:ascii="Arial" w:eastAsia="Times New Roman" w:hAnsi="Arial" w:cs="Arial"/>
          <w:spacing w:val="-5"/>
        </w:rPr>
      </w:pPr>
    </w:p>
    <w:p w14:paraId="0DA9700E" w14:textId="2AFCAA75" w:rsidR="00F2015B" w:rsidRPr="00F2015B" w:rsidRDefault="00F2015B" w:rsidP="00D81170">
      <w:pPr>
        <w:spacing w:before="0"/>
        <w:jc w:val="both"/>
        <w:rPr>
          <w:rFonts w:ascii="Arial" w:eastAsia="Times New Roman" w:hAnsi="Arial" w:cs="Arial"/>
          <w:spacing w:val="-5"/>
        </w:rPr>
      </w:pPr>
      <w:r w:rsidRPr="00F2015B">
        <w:rPr>
          <w:rFonts w:ascii="Arial" w:eastAsia="Times New Roman" w:hAnsi="Arial" w:cs="Arial"/>
          <w:spacing w:val="-5"/>
        </w:rPr>
        <w:t xml:space="preserve">Ecopetrol S.A. deberá dar un plazo mínimo de tres (3) días hábiles, a partir del día siguiente de la publicación de la presente circular a efectos de que, dentro del cronograma previsto para llevar a cabo la OPC que cubre el periodo entre </w:t>
      </w:r>
      <w:r w:rsidR="00310358">
        <w:rPr>
          <w:rFonts w:ascii="Arial" w:eastAsia="Times New Roman" w:hAnsi="Arial" w:cs="Arial"/>
          <w:spacing w:val="-5"/>
        </w:rPr>
        <w:t>septiembre de 2022</w:t>
      </w:r>
      <w:r w:rsidRPr="00F2015B">
        <w:rPr>
          <w:rFonts w:ascii="Arial" w:eastAsia="Times New Roman" w:hAnsi="Arial" w:cs="Arial"/>
          <w:spacing w:val="-5"/>
        </w:rPr>
        <w:t xml:space="preserve"> y </w:t>
      </w:r>
      <w:r w:rsidR="00310358">
        <w:rPr>
          <w:rFonts w:ascii="Arial" w:eastAsia="Times New Roman" w:hAnsi="Arial" w:cs="Arial"/>
          <w:spacing w:val="-5"/>
        </w:rPr>
        <w:t>febrero</w:t>
      </w:r>
      <w:r w:rsidRPr="00F2015B">
        <w:rPr>
          <w:rFonts w:ascii="Arial" w:eastAsia="Times New Roman" w:hAnsi="Arial" w:cs="Arial"/>
          <w:spacing w:val="-5"/>
        </w:rPr>
        <w:t xml:space="preserve"> de 202</w:t>
      </w:r>
      <w:r w:rsidR="00310358">
        <w:rPr>
          <w:rFonts w:ascii="Arial" w:eastAsia="Times New Roman" w:hAnsi="Arial" w:cs="Arial"/>
          <w:spacing w:val="-5"/>
        </w:rPr>
        <w:t>3</w:t>
      </w:r>
      <w:r w:rsidRPr="00F2015B">
        <w:rPr>
          <w:rFonts w:ascii="Arial" w:eastAsia="Times New Roman" w:hAnsi="Arial" w:cs="Arial"/>
          <w:spacing w:val="-5"/>
        </w:rPr>
        <w:t>, los agentes puedan presentar sus solicitudes de compra.</w:t>
      </w:r>
    </w:p>
    <w:p w14:paraId="383C8F85" w14:textId="77777777" w:rsidR="00F2015B" w:rsidRPr="00F2015B" w:rsidRDefault="00F2015B" w:rsidP="00D81170">
      <w:pPr>
        <w:spacing w:before="0" w:after="0"/>
        <w:jc w:val="both"/>
        <w:rPr>
          <w:rFonts w:ascii="Arial" w:eastAsia="Times New Roman" w:hAnsi="Arial" w:cs="Arial"/>
          <w:spacing w:val="-5"/>
        </w:rPr>
      </w:pPr>
    </w:p>
    <w:p w14:paraId="15348460" w14:textId="41290080" w:rsidR="00D81170" w:rsidRDefault="00F2015B" w:rsidP="00B97CC7">
      <w:pPr>
        <w:spacing w:before="0"/>
        <w:jc w:val="both"/>
        <w:rPr>
          <w:rFonts w:ascii="Arial" w:eastAsia="Times New Roman" w:hAnsi="Arial" w:cs="Arial"/>
          <w:spacing w:val="-5"/>
        </w:rPr>
      </w:pPr>
      <w:r w:rsidRPr="00F2015B">
        <w:rPr>
          <w:rFonts w:ascii="Arial" w:eastAsia="Times New Roman" w:hAnsi="Arial" w:cs="Arial"/>
          <w:spacing w:val="-5"/>
        </w:rPr>
        <w:t>Cordialmente,</w:t>
      </w:r>
    </w:p>
    <w:p w14:paraId="5D050CD5" w14:textId="77777777" w:rsidR="00B97CC7" w:rsidRDefault="00B97CC7" w:rsidP="00B97CC7">
      <w:pPr>
        <w:spacing w:before="0"/>
        <w:jc w:val="both"/>
        <w:rPr>
          <w:rFonts w:ascii="Arial" w:eastAsia="Times New Roman" w:hAnsi="Arial" w:cs="Arial"/>
          <w:spacing w:val="-5"/>
        </w:rPr>
      </w:pPr>
    </w:p>
    <w:p w14:paraId="5FCB3D0A" w14:textId="65BE08F4" w:rsidR="00D81170" w:rsidRDefault="00D81170" w:rsidP="007D11CF">
      <w:pPr>
        <w:jc w:val="center"/>
        <w:rPr>
          <w:rFonts w:ascii="Arial" w:eastAsia="Times New Roman" w:hAnsi="Arial" w:cs="Arial"/>
          <w:spacing w:val="-5"/>
        </w:rPr>
      </w:pPr>
      <w:r>
        <w:rPr>
          <w:rFonts w:ascii="Arial" w:eastAsia="Times New Roman" w:hAnsi="Arial" w:cs="Arial"/>
          <w:spacing w:val="-5"/>
        </w:rPr>
        <w:t>JORGE ALBERTO VALENCIA MARIN</w:t>
      </w:r>
    </w:p>
    <w:p w14:paraId="5A5A259F" w14:textId="77777777" w:rsidR="00B97CC7" w:rsidRDefault="00B97CC7" w:rsidP="007D11CF">
      <w:pPr>
        <w:spacing w:after="0" w:line="240" w:lineRule="auto"/>
        <w:jc w:val="both"/>
        <w:rPr>
          <w:rFonts w:ascii="Arial" w:eastAsia="Times New Roman" w:hAnsi="Arial" w:cs="Arial"/>
          <w:spacing w:val="-5"/>
          <w:sz w:val="18"/>
          <w:szCs w:val="18"/>
        </w:rPr>
      </w:pPr>
    </w:p>
    <w:p w14:paraId="2796C028" w14:textId="5B31E37E" w:rsidR="007D11CF" w:rsidRPr="00B97CC7" w:rsidRDefault="007D11CF" w:rsidP="007D11CF">
      <w:pPr>
        <w:spacing w:after="0" w:line="240" w:lineRule="auto"/>
        <w:jc w:val="both"/>
        <w:rPr>
          <w:rFonts w:ascii="Arial" w:eastAsia="Times New Roman" w:hAnsi="Arial" w:cs="Arial"/>
          <w:spacing w:val="-5"/>
          <w:sz w:val="18"/>
          <w:szCs w:val="18"/>
        </w:rPr>
      </w:pPr>
      <w:r w:rsidRPr="00B97CC7">
        <w:rPr>
          <w:rFonts w:ascii="Arial" w:eastAsia="Times New Roman" w:hAnsi="Arial" w:cs="Arial"/>
          <w:spacing w:val="-5"/>
          <w:sz w:val="18"/>
          <w:szCs w:val="18"/>
        </w:rPr>
        <w:t xml:space="preserve">Anexo: Listado zonas de influencia OPC </w:t>
      </w:r>
      <w:r w:rsidR="00D920D1">
        <w:rPr>
          <w:rFonts w:ascii="Arial" w:eastAsia="Times New Roman" w:hAnsi="Arial" w:cs="Arial"/>
          <w:spacing w:val="-5"/>
          <w:sz w:val="18"/>
          <w:szCs w:val="18"/>
        </w:rPr>
        <w:t>septiembre de 2022</w:t>
      </w:r>
      <w:r w:rsidRPr="00B97CC7">
        <w:rPr>
          <w:rFonts w:ascii="Arial" w:eastAsia="Times New Roman" w:hAnsi="Arial" w:cs="Arial"/>
          <w:spacing w:val="-5"/>
          <w:sz w:val="18"/>
          <w:szCs w:val="18"/>
        </w:rPr>
        <w:t xml:space="preserve"> – </w:t>
      </w:r>
      <w:r w:rsidR="00D920D1">
        <w:rPr>
          <w:rFonts w:ascii="Arial" w:eastAsia="Times New Roman" w:hAnsi="Arial" w:cs="Arial"/>
          <w:spacing w:val="-5"/>
          <w:sz w:val="18"/>
          <w:szCs w:val="18"/>
        </w:rPr>
        <w:t xml:space="preserve">febrero </w:t>
      </w:r>
      <w:r w:rsidR="00C56BFB">
        <w:rPr>
          <w:rFonts w:ascii="Arial" w:eastAsia="Times New Roman" w:hAnsi="Arial" w:cs="Arial"/>
          <w:spacing w:val="-5"/>
          <w:sz w:val="18"/>
          <w:szCs w:val="18"/>
        </w:rPr>
        <w:t>de</w:t>
      </w:r>
      <w:r w:rsidRPr="00B97CC7">
        <w:rPr>
          <w:rFonts w:ascii="Arial" w:eastAsia="Times New Roman" w:hAnsi="Arial" w:cs="Arial"/>
          <w:spacing w:val="-5"/>
          <w:sz w:val="18"/>
          <w:szCs w:val="18"/>
        </w:rPr>
        <w:t xml:space="preserve"> 202</w:t>
      </w:r>
      <w:r w:rsidR="00C56BFB">
        <w:rPr>
          <w:rFonts w:ascii="Arial" w:eastAsia="Times New Roman" w:hAnsi="Arial" w:cs="Arial"/>
          <w:spacing w:val="-5"/>
          <w:sz w:val="18"/>
          <w:szCs w:val="18"/>
        </w:rPr>
        <w:t>3</w:t>
      </w:r>
    </w:p>
    <w:p w14:paraId="466A6FDA" w14:textId="5D5697C5" w:rsidR="007D11CF" w:rsidRPr="00B97CC7" w:rsidRDefault="007D11CF" w:rsidP="007D11CF">
      <w:pPr>
        <w:spacing w:after="0" w:line="240" w:lineRule="auto"/>
        <w:jc w:val="both"/>
        <w:rPr>
          <w:rFonts w:ascii="Arial" w:eastAsia="Times New Roman" w:hAnsi="Arial" w:cs="Arial"/>
          <w:spacing w:val="-5"/>
          <w:sz w:val="18"/>
          <w:szCs w:val="18"/>
        </w:rPr>
      </w:pPr>
      <w:r w:rsidRPr="00B97CC7">
        <w:rPr>
          <w:rFonts w:ascii="Arial" w:eastAsia="Times New Roman" w:hAnsi="Arial" w:cs="Arial"/>
          <w:spacing w:val="-5"/>
          <w:sz w:val="18"/>
          <w:szCs w:val="18"/>
        </w:rPr>
        <w:t>Mapa de Colombia con la identificación de los municipios de cada zona de influencia</w:t>
      </w:r>
    </w:p>
    <w:sectPr w:rsidR="007D11CF" w:rsidRPr="00B97CC7" w:rsidSect="00B74DFE">
      <w:headerReference w:type="default" r:id="rId11"/>
      <w:footerReference w:type="default" r:id="rId12"/>
      <w:headerReference w:type="first" r:id="rId13"/>
      <w:footerReference w:type="first" r:id="rId14"/>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CDFC" w14:textId="77777777" w:rsidR="001546AA" w:rsidRDefault="001546AA" w:rsidP="00AA0519">
      <w:r>
        <w:separator/>
      </w:r>
    </w:p>
  </w:endnote>
  <w:endnote w:type="continuationSeparator" w:id="0">
    <w:p w14:paraId="3351FA88" w14:textId="77777777" w:rsidR="001546AA" w:rsidRDefault="001546AA"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0274" w14:textId="77777777" w:rsidR="001546AA" w:rsidRDefault="001546AA" w:rsidP="00AA0519">
      <w:r>
        <w:separator/>
      </w:r>
    </w:p>
  </w:footnote>
  <w:footnote w:type="continuationSeparator" w:id="0">
    <w:p w14:paraId="1FB53AEC" w14:textId="77777777" w:rsidR="001546AA" w:rsidRDefault="001546AA"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80768"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81792"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77777777" w:rsidR="00F04E05" w:rsidRDefault="00F04E05" w:rsidP="008C3AEB">
    <w:pPr>
      <w:pStyle w:val="Encabezado"/>
      <w:spacing w:line="240" w:lineRule="auto"/>
      <w:rPr>
        <w:sz w:val="18"/>
        <w:szCs w:val="18"/>
        <w:u w:val="single"/>
      </w:rPr>
    </w:pPr>
    <w:r>
      <w:rPr>
        <w:sz w:val="18"/>
        <w:szCs w:val="18"/>
        <w:u w:val="single"/>
      </w:rPr>
      <w:t>Circular</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76773991">
    <w:abstractNumId w:val="4"/>
  </w:num>
  <w:num w:numId="2" w16cid:durableId="1466897634">
    <w:abstractNumId w:val="1"/>
  </w:num>
  <w:num w:numId="3" w16cid:durableId="678629324">
    <w:abstractNumId w:val="3"/>
  </w:num>
  <w:num w:numId="4" w16cid:durableId="1053582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0537248">
    <w:abstractNumId w:val="8"/>
  </w:num>
  <w:num w:numId="6" w16cid:durableId="194005356">
    <w:abstractNumId w:val="6"/>
  </w:num>
  <w:num w:numId="7" w16cid:durableId="366224896">
    <w:abstractNumId w:val="0"/>
  </w:num>
  <w:num w:numId="8" w16cid:durableId="415367899">
    <w:abstractNumId w:val="5"/>
  </w:num>
  <w:num w:numId="9" w16cid:durableId="841579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4C88"/>
    <w:rsid w:val="00030B2C"/>
    <w:rsid w:val="0003634D"/>
    <w:rsid w:val="00046BDF"/>
    <w:rsid w:val="000545C4"/>
    <w:rsid w:val="000600A5"/>
    <w:rsid w:val="00074D17"/>
    <w:rsid w:val="000813AC"/>
    <w:rsid w:val="000A0D42"/>
    <w:rsid w:val="000B439A"/>
    <w:rsid w:val="000C7C5F"/>
    <w:rsid w:val="000E1968"/>
    <w:rsid w:val="000F05D3"/>
    <w:rsid w:val="000F11F6"/>
    <w:rsid w:val="000F38B4"/>
    <w:rsid w:val="000F64DD"/>
    <w:rsid w:val="001215BB"/>
    <w:rsid w:val="00135A7D"/>
    <w:rsid w:val="0014353D"/>
    <w:rsid w:val="0014529F"/>
    <w:rsid w:val="00153BE7"/>
    <w:rsid w:val="001546AA"/>
    <w:rsid w:val="00161881"/>
    <w:rsid w:val="00161B3C"/>
    <w:rsid w:val="00165BAA"/>
    <w:rsid w:val="00166D1F"/>
    <w:rsid w:val="00180A20"/>
    <w:rsid w:val="00186392"/>
    <w:rsid w:val="00186926"/>
    <w:rsid w:val="001A55F9"/>
    <w:rsid w:val="001A7603"/>
    <w:rsid w:val="001B71B5"/>
    <w:rsid w:val="001D6560"/>
    <w:rsid w:val="001E3790"/>
    <w:rsid w:val="001E4541"/>
    <w:rsid w:val="001F5BE9"/>
    <w:rsid w:val="00203626"/>
    <w:rsid w:val="00220EA0"/>
    <w:rsid w:val="00231B1C"/>
    <w:rsid w:val="00237404"/>
    <w:rsid w:val="00246115"/>
    <w:rsid w:val="00246A57"/>
    <w:rsid w:val="00257EE1"/>
    <w:rsid w:val="00290A6D"/>
    <w:rsid w:val="002B1711"/>
    <w:rsid w:val="002C068A"/>
    <w:rsid w:val="002C26C3"/>
    <w:rsid w:val="002D230B"/>
    <w:rsid w:val="002E51F3"/>
    <w:rsid w:val="002F435B"/>
    <w:rsid w:val="002F71F7"/>
    <w:rsid w:val="00303AC9"/>
    <w:rsid w:val="00306FB8"/>
    <w:rsid w:val="00310358"/>
    <w:rsid w:val="00311107"/>
    <w:rsid w:val="0032176B"/>
    <w:rsid w:val="00324760"/>
    <w:rsid w:val="00343D41"/>
    <w:rsid w:val="00351815"/>
    <w:rsid w:val="00353D1D"/>
    <w:rsid w:val="00362311"/>
    <w:rsid w:val="0038744D"/>
    <w:rsid w:val="003A6D88"/>
    <w:rsid w:val="003A7FC9"/>
    <w:rsid w:val="003B78E8"/>
    <w:rsid w:val="003C00B9"/>
    <w:rsid w:val="003C7E1C"/>
    <w:rsid w:val="003D3A42"/>
    <w:rsid w:val="003F2F4B"/>
    <w:rsid w:val="003F6BCB"/>
    <w:rsid w:val="00400F99"/>
    <w:rsid w:val="0040551C"/>
    <w:rsid w:val="00414B81"/>
    <w:rsid w:val="004170AF"/>
    <w:rsid w:val="004274FA"/>
    <w:rsid w:val="00445343"/>
    <w:rsid w:val="00457CC2"/>
    <w:rsid w:val="0046513A"/>
    <w:rsid w:val="004723D0"/>
    <w:rsid w:val="00484719"/>
    <w:rsid w:val="004A35EA"/>
    <w:rsid w:val="004B0240"/>
    <w:rsid w:val="004B2B8E"/>
    <w:rsid w:val="004C69B7"/>
    <w:rsid w:val="004C794A"/>
    <w:rsid w:val="004C7A87"/>
    <w:rsid w:val="004E0E0D"/>
    <w:rsid w:val="004E59A2"/>
    <w:rsid w:val="00515BEF"/>
    <w:rsid w:val="00525EEC"/>
    <w:rsid w:val="00527F10"/>
    <w:rsid w:val="00542801"/>
    <w:rsid w:val="005522B9"/>
    <w:rsid w:val="005723D7"/>
    <w:rsid w:val="005742E6"/>
    <w:rsid w:val="00587D82"/>
    <w:rsid w:val="005906C4"/>
    <w:rsid w:val="005A4453"/>
    <w:rsid w:val="005A4921"/>
    <w:rsid w:val="005B323D"/>
    <w:rsid w:val="005B4713"/>
    <w:rsid w:val="005B4DE1"/>
    <w:rsid w:val="005C42EC"/>
    <w:rsid w:val="005D1865"/>
    <w:rsid w:val="005D7D66"/>
    <w:rsid w:val="005E366C"/>
    <w:rsid w:val="005F11CF"/>
    <w:rsid w:val="0060113B"/>
    <w:rsid w:val="00602072"/>
    <w:rsid w:val="0061100A"/>
    <w:rsid w:val="0062292D"/>
    <w:rsid w:val="00623406"/>
    <w:rsid w:val="00641912"/>
    <w:rsid w:val="006535F2"/>
    <w:rsid w:val="006635B2"/>
    <w:rsid w:val="006A141C"/>
    <w:rsid w:val="006A6999"/>
    <w:rsid w:val="006C5BEB"/>
    <w:rsid w:val="006E7449"/>
    <w:rsid w:val="006F43DB"/>
    <w:rsid w:val="00717096"/>
    <w:rsid w:val="00723F07"/>
    <w:rsid w:val="00735E1F"/>
    <w:rsid w:val="0074199A"/>
    <w:rsid w:val="00742A68"/>
    <w:rsid w:val="007500D4"/>
    <w:rsid w:val="00750D56"/>
    <w:rsid w:val="00752DEC"/>
    <w:rsid w:val="0078631A"/>
    <w:rsid w:val="00791279"/>
    <w:rsid w:val="007A27B1"/>
    <w:rsid w:val="007A29C8"/>
    <w:rsid w:val="007A7C1D"/>
    <w:rsid w:val="007B3F6D"/>
    <w:rsid w:val="007B79E6"/>
    <w:rsid w:val="007C179B"/>
    <w:rsid w:val="007D0845"/>
    <w:rsid w:val="007D0B3F"/>
    <w:rsid w:val="007D11CF"/>
    <w:rsid w:val="007F22DA"/>
    <w:rsid w:val="007F42E3"/>
    <w:rsid w:val="00823401"/>
    <w:rsid w:val="00865E3F"/>
    <w:rsid w:val="008808E3"/>
    <w:rsid w:val="00887C1E"/>
    <w:rsid w:val="008A30CC"/>
    <w:rsid w:val="008C3AEB"/>
    <w:rsid w:val="008D190E"/>
    <w:rsid w:val="008D3B44"/>
    <w:rsid w:val="008D59D8"/>
    <w:rsid w:val="008F1601"/>
    <w:rsid w:val="008F4854"/>
    <w:rsid w:val="00910127"/>
    <w:rsid w:val="00915180"/>
    <w:rsid w:val="0091618A"/>
    <w:rsid w:val="00920CF6"/>
    <w:rsid w:val="00930F73"/>
    <w:rsid w:val="009331CF"/>
    <w:rsid w:val="00935717"/>
    <w:rsid w:val="00957BE3"/>
    <w:rsid w:val="00973186"/>
    <w:rsid w:val="00976702"/>
    <w:rsid w:val="00980790"/>
    <w:rsid w:val="0099442E"/>
    <w:rsid w:val="009956F2"/>
    <w:rsid w:val="00996F01"/>
    <w:rsid w:val="009A3312"/>
    <w:rsid w:val="009A4640"/>
    <w:rsid w:val="009C01F5"/>
    <w:rsid w:val="009E7865"/>
    <w:rsid w:val="00A11621"/>
    <w:rsid w:val="00A15CDD"/>
    <w:rsid w:val="00A15D55"/>
    <w:rsid w:val="00A3423C"/>
    <w:rsid w:val="00A35C56"/>
    <w:rsid w:val="00A564EB"/>
    <w:rsid w:val="00A84924"/>
    <w:rsid w:val="00A90A86"/>
    <w:rsid w:val="00A94484"/>
    <w:rsid w:val="00A959EA"/>
    <w:rsid w:val="00AA0519"/>
    <w:rsid w:val="00AA31CE"/>
    <w:rsid w:val="00AA368E"/>
    <w:rsid w:val="00AA3CED"/>
    <w:rsid w:val="00AA7A5F"/>
    <w:rsid w:val="00AB515D"/>
    <w:rsid w:val="00AC1DAC"/>
    <w:rsid w:val="00AD3EE6"/>
    <w:rsid w:val="00B04A79"/>
    <w:rsid w:val="00B04F21"/>
    <w:rsid w:val="00B3729B"/>
    <w:rsid w:val="00B468CD"/>
    <w:rsid w:val="00B62998"/>
    <w:rsid w:val="00B74DFE"/>
    <w:rsid w:val="00B873E1"/>
    <w:rsid w:val="00B97CC7"/>
    <w:rsid w:val="00BA0CCF"/>
    <w:rsid w:val="00BB184B"/>
    <w:rsid w:val="00BB34AC"/>
    <w:rsid w:val="00BB61FD"/>
    <w:rsid w:val="00BB7405"/>
    <w:rsid w:val="00BC551F"/>
    <w:rsid w:val="00BE6A81"/>
    <w:rsid w:val="00BF0FE3"/>
    <w:rsid w:val="00BF3244"/>
    <w:rsid w:val="00BF6B4D"/>
    <w:rsid w:val="00C0790B"/>
    <w:rsid w:val="00C30C53"/>
    <w:rsid w:val="00C45499"/>
    <w:rsid w:val="00C564FB"/>
    <w:rsid w:val="00C56BFB"/>
    <w:rsid w:val="00C63E20"/>
    <w:rsid w:val="00C71B03"/>
    <w:rsid w:val="00CA152E"/>
    <w:rsid w:val="00CB3666"/>
    <w:rsid w:val="00CD3141"/>
    <w:rsid w:val="00CF3318"/>
    <w:rsid w:val="00D0705D"/>
    <w:rsid w:val="00D07B2D"/>
    <w:rsid w:val="00D114A5"/>
    <w:rsid w:val="00D44123"/>
    <w:rsid w:val="00D53122"/>
    <w:rsid w:val="00D754A1"/>
    <w:rsid w:val="00D81170"/>
    <w:rsid w:val="00D920D1"/>
    <w:rsid w:val="00DA5BC0"/>
    <w:rsid w:val="00DA714D"/>
    <w:rsid w:val="00DB3CA5"/>
    <w:rsid w:val="00DD0950"/>
    <w:rsid w:val="00DD32E2"/>
    <w:rsid w:val="00DD761E"/>
    <w:rsid w:val="00DF1A2C"/>
    <w:rsid w:val="00DF516D"/>
    <w:rsid w:val="00DF79E2"/>
    <w:rsid w:val="00E02AFE"/>
    <w:rsid w:val="00E16BE2"/>
    <w:rsid w:val="00E227F8"/>
    <w:rsid w:val="00E5697A"/>
    <w:rsid w:val="00E5791A"/>
    <w:rsid w:val="00E841E7"/>
    <w:rsid w:val="00E91A68"/>
    <w:rsid w:val="00E94D07"/>
    <w:rsid w:val="00EB0CD2"/>
    <w:rsid w:val="00EB2E36"/>
    <w:rsid w:val="00EC7F47"/>
    <w:rsid w:val="00ED215A"/>
    <w:rsid w:val="00F04E05"/>
    <w:rsid w:val="00F0647F"/>
    <w:rsid w:val="00F069FF"/>
    <w:rsid w:val="00F13D47"/>
    <w:rsid w:val="00F2015B"/>
    <w:rsid w:val="00F24EDF"/>
    <w:rsid w:val="00F46CEB"/>
    <w:rsid w:val="00F50D10"/>
    <w:rsid w:val="00F5370A"/>
    <w:rsid w:val="00F721B3"/>
    <w:rsid w:val="00F82573"/>
    <w:rsid w:val="00F875DE"/>
    <w:rsid w:val="00F925B4"/>
    <w:rsid w:val="00FA5877"/>
    <w:rsid w:val="00FC759B"/>
    <w:rsid w:val="00FD2A8B"/>
    <w:rsid w:val="00FD66FB"/>
    <w:rsid w:val="00FF00E5"/>
    <w:rsid w:val="00FF4ADE"/>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semiHidden/>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styleId="Descripcin">
    <w:name w:val="caption"/>
    <w:basedOn w:val="Normal"/>
    <w:next w:val="Normal"/>
    <w:uiPriority w:val="35"/>
    <w:unhideWhenUsed/>
    <w:qFormat/>
    <w:rsid w:val="00AA368E"/>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487600141">
      <w:bodyDiv w:val="1"/>
      <w:marLeft w:val="0"/>
      <w:marRight w:val="0"/>
      <w:marTop w:val="0"/>
      <w:marBottom w:val="0"/>
      <w:divBdr>
        <w:top w:val="none" w:sz="0" w:space="0" w:color="auto"/>
        <w:left w:val="none" w:sz="0" w:space="0" w:color="auto"/>
        <w:bottom w:val="none" w:sz="0" w:space="0" w:color="auto"/>
        <w:right w:val="none" w:sz="0" w:space="0" w:color="auto"/>
      </w:divBdr>
    </w:div>
    <w:div w:id="733896082">
      <w:bodyDiv w:val="1"/>
      <w:marLeft w:val="0"/>
      <w:marRight w:val="0"/>
      <w:marTop w:val="0"/>
      <w:marBottom w:val="0"/>
      <w:divBdr>
        <w:top w:val="none" w:sz="0" w:space="0" w:color="auto"/>
        <w:left w:val="none" w:sz="0" w:space="0" w:color="auto"/>
        <w:bottom w:val="none" w:sz="0" w:space="0" w:color="auto"/>
        <w:right w:val="none" w:sz="0" w:space="0" w:color="auto"/>
      </w:divBdr>
    </w:div>
    <w:div w:id="1052147485">
      <w:bodyDiv w:val="1"/>
      <w:marLeft w:val="0"/>
      <w:marRight w:val="0"/>
      <w:marTop w:val="0"/>
      <w:marBottom w:val="0"/>
      <w:divBdr>
        <w:top w:val="none" w:sz="0" w:space="0" w:color="auto"/>
        <w:left w:val="none" w:sz="0" w:space="0" w:color="auto"/>
        <w:bottom w:val="none" w:sz="0" w:space="0" w:color="auto"/>
        <w:right w:val="none" w:sz="0" w:space="0" w:color="auto"/>
      </w:divBdr>
    </w:div>
    <w:div w:id="1296789488">
      <w:bodyDiv w:val="1"/>
      <w:marLeft w:val="0"/>
      <w:marRight w:val="0"/>
      <w:marTop w:val="0"/>
      <w:marBottom w:val="0"/>
      <w:divBdr>
        <w:top w:val="none" w:sz="0" w:space="0" w:color="auto"/>
        <w:left w:val="none" w:sz="0" w:space="0" w:color="auto"/>
        <w:bottom w:val="none" w:sz="0" w:space="0" w:color="auto"/>
        <w:right w:val="none" w:sz="0" w:space="0" w:color="auto"/>
      </w:divBdr>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0A46953B534954CB4ADB919D5BF0A47" ma:contentTypeVersion="14" ma:contentTypeDescription="Crear nuevo documento." ma:contentTypeScope="" ma:versionID="9592a07d06d5040d91019aebcb24fdc6">
  <xsd:schema xmlns:xsd="http://www.w3.org/2001/XMLSchema" xmlns:xs="http://www.w3.org/2001/XMLSchema" xmlns:p="http://schemas.microsoft.com/office/2006/metadata/properties" xmlns:ns3="69493066-20bc-4cbc-a479-28a2c4be2038" xmlns:ns4="a6d9dae6-826d-4613-b943-f80b4024e1a4" targetNamespace="http://schemas.microsoft.com/office/2006/metadata/properties" ma:root="true" ma:fieldsID="c0be7978a10ff9e6b0b83ccc87fd6306" ns3:_="" ns4:_="">
    <xsd:import namespace="69493066-20bc-4cbc-a479-28a2c4be2038"/>
    <xsd:import namespace="a6d9dae6-826d-4613-b943-f80b4024e1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3066-20bc-4cbc-a479-28a2c4be203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9dae6-826d-4613-b943-f80b4024e1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80EA1-C57C-4D57-A3B5-6D7B4B9E1DE1}">
  <ds:schemaRefs>
    <ds:schemaRef ds:uri="http://schemas.microsoft.com/sharepoint/v3/contenttype/forms"/>
  </ds:schemaRefs>
</ds:datastoreItem>
</file>

<file path=customXml/itemProps2.xml><?xml version="1.0" encoding="utf-8"?>
<ds:datastoreItem xmlns:ds="http://schemas.openxmlformats.org/officeDocument/2006/customXml" ds:itemID="{BCEF0377-7E61-487C-A8C4-BFD028E600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4.xml><?xml version="1.0" encoding="utf-8"?>
<ds:datastoreItem xmlns:ds="http://schemas.openxmlformats.org/officeDocument/2006/customXml" ds:itemID="{AF1A160D-F9BA-4B54-82B0-0FE0FD06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93066-20bc-4cbc-a479-28a2c4be2038"/>
    <ds:schemaRef ds:uri="a6d9dae6-826d-4613-b943-f80b4024e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2</cp:revision>
  <cp:lastPrinted>2022-08-08T23:04:00Z</cp:lastPrinted>
  <dcterms:created xsi:type="dcterms:W3CDTF">2022-08-08T23:15:00Z</dcterms:created>
  <dcterms:modified xsi:type="dcterms:W3CDTF">2022-08-08T23:15:00Z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0x01010080A46953B534954CB4ADB919D5BF0A47</vt:lpwstr>
  </property>
</Properties>
</file>