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71" w:rsidRDefault="00057E71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:rsidR="00057E71" w:rsidRDefault="00057E71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>Bogotá, D. C.,</w:t>
      </w:r>
      <w:r w:rsidR="009C0DA8">
        <w:rPr>
          <w:rFonts w:ascii="Arial" w:hAnsi="Arial" w:cs="Arial"/>
          <w:sz w:val="22"/>
          <w:szCs w:val="22"/>
          <w:lang w:val="es-MX"/>
        </w:rPr>
        <w:t xml:space="preserve"> </w:t>
      </w:r>
      <w:r w:rsidR="00CA7BE9" w:rsidRPr="000048FC">
        <w:rPr>
          <w:rFonts w:ascii="Arial" w:hAnsi="Arial" w:cs="Arial"/>
          <w:sz w:val="22"/>
          <w:szCs w:val="22"/>
          <w:lang w:val="es-MX"/>
        </w:rPr>
        <w:t>19</w:t>
      </w:r>
      <w:r w:rsidR="009C0DA8" w:rsidRPr="00144F2D">
        <w:rPr>
          <w:rFonts w:ascii="Arial" w:hAnsi="Arial" w:cs="Arial"/>
          <w:sz w:val="22"/>
          <w:szCs w:val="22"/>
          <w:lang w:val="es-MX"/>
        </w:rPr>
        <w:t xml:space="preserve"> de </w:t>
      </w:r>
      <w:r w:rsidR="00CA7BE9">
        <w:rPr>
          <w:rFonts w:ascii="Arial" w:hAnsi="Arial" w:cs="Arial"/>
          <w:sz w:val="22"/>
          <w:szCs w:val="22"/>
          <w:lang w:val="es-MX"/>
        </w:rPr>
        <w:t>noviem</w:t>
      </w:r>
      <w:r w:rsidR="0028484A">
        <w:rPr>
          <w:rFonts w:ascii="Arial" w:hAnsi="Arial" w:cs="Arial"/>
          <w:sz w:val="22"/>
          <w:szCs w:val="22"/>
          <w:lang w:val="es-MX"/>
        </w:rPr>
        <w:t xml:space="preserve">bre </w:t>
      </w:r>
      <w:r w:rsidR="009C0DA8" w:rsidRPr="00144F2D">
        <w:rPr>
          <w:rFonts w:ascii="Arial" w:hAnsi="Arial" w:cs="Arial"/>
          <w:sz w:val="22"/>
          <w:szCs w:val="22"/>
          <w:lang w:val="es-MX"/>
        </w:rPr>
        <w:t>de 2019</w:t>
      </w:r>
      <w:r w:rsidR="000048FC">
        <w:rPr>
          <w:rFonts w:ascii="Arial" w:hAnsi="Arial" w:cs="Arial"/>
          <w:sz w:val="22"/>
          <w:szCs w:val="22"/>
          <w:lang w:val="es-MX"/>
        </w:rPr>
        <w:t>.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DB441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102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057E71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4411" w:rsidRDefault="007E16DF" w:rsidP="008C4672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8C4672" w:rsidRPr="009C0DA8">
        <w:rPr>
          <w:rFonts w:ascii="Arial" w:hAnsi="Arial" w:cs="Arial"/>
          <w:b/>
        </w:rPr>
        <w:t>INTERESADOS EN PARTICIPAR EN EL PROCESO DE SELECCIÓN DEL GESTOR DEL MERCADO DE GA</w:t>
      </w:r>
      <w:r w:rsidR="008C4672">
        <w:rPr>
          <w:rFonts w:ascii="Arial" w:hAnsi="Arial" w:cs="Arial"/>
          <w:b/>
        </w:rPr>
        <w:t>S EN COLOMBIA</w:t>
      </w:r>
    </w:p>
    <w:p w:rsidR="007E16DF" w:rsidRPr="009E4411" w:rsidRDefault="007E16DF" w:rsidP="008C4672">
      <w:pPr>
        <w:spacing w:line="216" w:lineRule="auto"/>
        <w:ind w:left="1410" w:hanging="1410"/>
        <w:jc w:val="both"/>
        <w:rPr>
          <w:rFonts w:ascii="Arial" w:hAnsi="Arial" w:cs="Arial"/>
          <w:b/>
        </w:rPr>
      </w:pPr>
    </w:p>
    <w:p w:rsidR="007E16DF" w:rsidRPr="009E4411" w:rsidRDefault="007E16DF" w:rsidP="008C4672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7E16DF" w:rsidRPr="009E4411" w:rsidRDefault="007E16DF" w:rsidP="008C4672">
      <w:pPr>
        <w:spacing w:line="216" w:lineRule="auto"/>
        <w:ind w:left="1410" w:hanging="1410"/>
        <w:jc w:val="both"/>
        <w:rPr>
          <w:rFonts w:ascii="Arial" w:hAnsi="Arial" w:cs="Arial"/>
          <w:b/>
        </w:rPr>
      </w:pPr>
    </w:p>
    <w:p w:rsidR="007E16DF" w:rsidRPr="009E4411" w:rsidRDefault="007E16DF" w:rsidP="008C4672">
      <w:pPr>
        <w:spacing w:line="216" w:lineRule="auto"/>
        <w:jc w:val="both"/>
        <w:rPr>
          <w:rFonts w:ascii="Arial" w:hAnsi="Arial" w:cs="Arial"/>
        </w:rPr>
      </w:pPr>
    </w:p>
    <w:p w:rsidR="007E16DF" w:rsidRPr="009E4411" w:rsidRDefault="007E16DF" w:rsidP="008C4672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A45674">
        <w:rPr>
          <w:rFonts w:ascii="Arial" w:hAnsi="Arial" w:cs="Arial"/>
          <w:b/>
        </w:rPr>
        <w:t>AJUSTE AL CRONOGRAMA</w:t>
      </w:r>
      <w:r w:rsidR="00474CC3">
        <w:rPr>
          <w:rFonts w:ascii="Arial" w:hAnsi="Arial" w:cs="Arial"/>
          <w:b/>
        </w:rPr>
        <w:t xml:space="preserve"> DEL PROCESO DE SELECCIÓN DEL GESTOR DEL MERCADO</w:t>
      </w:r>
    </w:p>
    <w:p w:rsidR="007E16DF" w:rsidRPr="00474CC3" w:rsidRDefault="007E16DF" w:rsidP="007E16DF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  <w:lang w:val="es-ES_tradnl"/>
        </w:rPr>
      </w:pPr>
    </w:p>
    <w:p w:rsidR="007E16DF" w:rsidRPr="009E0F14" w:rsidRDefault="007E16DF" w:rsidP="007E16DF">
      <w:pPr>
        <w:spacing w:before="120" w:after="120"/>
        <w:rPr>
          <w:rFonts w:ascii="Arial" w:hAnsi="Arial" w:cs="Arial"/>
          <w:sz w:val="22"/>
          <w:szCs w:val="22"/>
        </w:rPr>
      </w:pPr>
    </w:p>
    <w:p w:rsidR="007E16DF" w:rsidRPr="009E0F14" w:rsidRDefault="00B546C9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 acuerdo con lo establecido en </w:t>
      </w:r>
      <w:r w:rsidR="008C4672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os</w:t>
      </w:r>
      <w:r w:rsidR="008C4672">
        <w:rPr>
          <w:rFonts w:cs="Arial"/>
          <w:sz w:val="22"/>
          <w:szCs w:val="22"/>
        </w:rPr>
        <w:t xml:space="preserve"> artículo</w:t>
      </w:r>
      <w:r>
        <w:rPr>
          <w:rFonts w:cs="Arial"/>
          <w:sz w:val="22"/>
          <w:szCs w:val="22"/>
        </w:rPr>
        <w:t>s 7 y</w:t>
      </w:r>
      <w:r w:rsidR="008C4672">
        <w:rPr>
          <w:rFonts w:cs="Arial"/>
          <w:sz w:val="22"/>
          <w:szCs w:val="22"/>
        </w:rPr>
        <w:t xml:space="preserve"> 9 de la Resolución CREG 055 de 2019, se </w:t>
      </w:r>
      <w:r w:rsidR="00A45674">
        <w:rPr>
          <w:rFonts w:cs="Arial"/>
          <w:sz w:val="22"/>
          <w:szCs w:val="22"/>
        </w:rPr>
        <w:t>ajusta el cronograma de actividades del proceso de selección del gestor del mercado</w:t>
      </w:r>
      <w:r>
        <w:rPr>
          <w:rFonts w:cs="Arial"/>
          <w:sz w:val="22"/>
          <w:szCs w:val="22"/>
        </w:rPr>
        <w:t xml:space="preserve"> de gas natural</w:t>
      </w:r>
      <w:r w:rsidR="00A45674">
        <w:rPr>
          <w:rFonts w:cs="Arial"/>
          <w:sz w:val="22"/>
          <w:szCs w:val="22"/>
        </w:rPr>
        <w:t>, p</w:t>
      </w:r>
      <w:r w:rsidR="00CA7BE9">
        <w:rPr>
          <w:rFonts w:cs="Arial"/>
          <w:sz w:val="22"/>
          <w:szCs w:val="22"/>
        </w:rPr>
        <w:t>ublicado en la Circular CREG 088</w:t>
      </w:r>
      <w:r w:rsidR="00A45674">
        <w:rPr>
          <w:rFonts w:cs="Arial"/>
          <w:sz w:val="22"/>
          <w:szCs w:val="22"/>
        </w:rPr>
        <w:t xml:space="preserve"> de este año. El cronograma quedará así:</w:t>
      </w:r>
      <w:r w:rsidR="008C4672">
        <w:rPr>
          <w:rFonts w:cs="Arial"/>
          <w:sz w:val="22"/>
          <w:szCs w:val="22"/>
        </w:rPr>
        <w:t xml:space="preserve"> </w:t>
      </w: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473"/>
        <w:gridCol w:w="2693"/>
      </w:tblGrid>
      <w:tr w:rsidR="00E226CC" w:rsidRPr="00E226CC" w:rsidTr="000048FC">
        <w:trPr>
          <w:trHeight w:val="630"/>
          <w:tblHeader/>
        </w:trPr>
        <w:tc>
          <w:tcPr>
            <w:tcW w:w="63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26CC" w:rsidRPr="00E226CC" w:rsidRDefault="00E226CC" w:rsidP="000048F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lang w:val="es-CO" w:eastAsia="es-CO"/>
              </w:rPr>
            </w:pPr>
            <w:r w:rsidRPr="00E226CC">
              <w:rPr>
                <w:rFonts w:ascii="Arial" w:hAnsi="Arial" w:cs="Arial"/>
                <w:b/>
                <w:bCs/>
                <w:color w:val="000000" w:themeColor="text1"/>
                <w:sz w:val="22"/>
                <w:lang w:val="es-CO" w:eastAsia="es-CO"/>
              </w:rPr>
              <w:t>Actividad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226CC" w:rsidRPr="00E226CC" w:rsidRDefault="00E226CC" w:rsidP="000048F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lang w:val="es-CO" w:eastAsia="es-CO"/>
              </w:rPr>
              <w:t>Plazo</w:t>
            </w:r>
          </w:p>
        </w:tc>
      </w:tr>
      <w:tr w:rsidR="00E226CC" w:rsidRPr="00E226CC" w:rsidTr="000048FC">
        <w:trPr>
          <w:trHeight w:val="630"/>
        </w:trPr>
        <w:tc>
          <w:tcPr>
            <w:tcW w:w="631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6CC" w:rsidRPr="00E226CC" w:rsidRDefault="00E226CC" w:rsidP="000048F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E226CC">
              <w:rPr>
                <w:rFonts w:ascii="Arial" w:hAnsi="Arial" w:cs="Arial"/>
                <w:color w:val="000000"/>
                <w:sz w:val="22"/>
                <w:szCs w:val="24"/>
                <w:lang w:eastAsia="es-CO"/>
              </w:rPr>
              <w:t>Presentación de propuestas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26CC" w:rsidRPr="00E226CC" w:rsidRDefault="00E226CC" w:rsidP="000048FC">
            <w:pPr>
              <w:jc w:val="center"/>
              <w:rPr>
                <w:rFonts w:ascii="Arial" w:hAnsi="Arial" w:cs="Arial"/>
                <w:color w:val="000000"/>
                <w:sz w:val="22"/>
                <w:lang w:val="es-CO" w:eastAsia="es-CO"/>
              </w:rPr>
            </w:pPr>
          </w:p>
        </w:tc>
      </w:tr>
      <w:tr w:rsidR="00E226CC" w:rsidRPr="00E226CC" w:rsidTr="000048FC">
        <w:trPr>
          <w:trHeight w:val="630"/>
        </w:trPr>
        <w:tc>
          <w:tcPr>
            <w:tcW w:w="631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CC" w:rsidRPr="00E226CC" w:rsidRDefault="00E226CC" w:rsidP="000048FC">
            <w:pPr>
              <w:pStyle w:val="Prrafodelista"/>
              <w:numPr>
                <w:ilvl w:val="1"/>
                <w:numId w:val="1"/>
              </w:numPr>
              <w:ind w:left="579" w:hanging="430"/>
              <w:jc w:val="both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E226CC">
              <w:rPr>
                <w:rFonts w:ascii="Arial" w:hAnsi="Arial" w:cs="Arial"/>
                <w:color w:val="000000"/>
                <w:sz w:val="22"/>
                <w:szCs w:val="24"/>
                <w:lang w:eastAsia="es-CO"/>
              </w:rPr>
              <w:t>Presentación de propuestas por parte de los interesados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26CC" w:rsidRPr="00E226CC" w:rsidRDefault="00F31C1A" w:rsidP="000048FC">
            <w:pPr>
              <w:jc w:val="center"/>
              <w:rPr>
                <w:rFonts w:ascii="Arial" w:hAnsi="Arial" w:cs="Arial"/>
                <w:color w:val="000000"/>
                <w:sz w:val="22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lang w:val="es-CO" w:eastAsia="es-CO"/>
              </w:rPr>
              <w:t>20</w:t>
            </w:r>
            <w:r w:rsidR="00997A8E"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 de </w:t>
            </w:r>
            <w:r w:rsidR="00CA7BE9">
              <w:rPr>
                <w:rFonts w:ascii="Arial" w:hAnsi="Arial" w:cs="Arial"/>
                <w:color w:val="000000"/>
                <w:sz w:val="22"/>
                <w:lang w:val="es-CO" w:eastAsia="es-CO"/>
              </w:rPr>
              <w:t>enero de 2020</w:t>
            </w:r>
          </w:p>
        </w:tc>
      </w:tr>
      <w:tr w:rsidR="00E226CC" w:rsidRPr="00E226CC" w:rsidTr="000048FC">
        <w:trPr>
          <w:trHeight w:val="630"/>
        </w:trPr>
        <w:tc>
          <w:tcPr>
            <w:tcW w:w="631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CC" w:rsidRPr="00E226CC" w:rsidRDefault="00E226CC" w:rsidP="000048FC">
            <w:pPr>
              <w:pStyle w:val="Prrafodelista"/>
              <w:numPr>
                <w:ilvl w:val="1"/>
                <w:numId w:val="1"/>
              </w:numPr>
              <w:ind w:left="579" w:hanging="430"/>
              <w:jc w:val="both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E226CC">
              <w:rPr>
                <w:rFonts w:ascii="Arial" w:hAnsi="Arial" w:cs="Arial"/>
                <w:color w:val="000000"/>
                <w:sz w:val="22"/>
                <w:szCs w:val="24"/>
                <w:lang w:eastAsia="es-CO"/>
              </w:rPr>
              <w:t>Verificación de requisitos habilitantes y solicitud de aclaraciones y subsanaciones por parte de la CREG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26CC" w:rsidRPr="00E226CC" w:rsidRDefault="00997A8E" w:rsidP="000048FC">
            <w:pPr>
              <w:jc w:val="center"/>
              <w:rPr>
                <w:rFonts w:ascii="Arial" w:hAnsi="Arial" w:cs="Arial"/>
                <w:color w:val="000000"/>
                <w:sz w:val="22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lang w:val="es-CO" w:eastAsia="es-CO"/>
              </w:rPr>
              <w:t>Hasta el 2</w:t>
            </w:r>
            <w:r w:rsidR="00CA7BE9">
              <w:rPr>
                <w:rFonts w:ascii="Arial" w:hAnsi="Arial" w:cs="Arial"/>
                <w:color w:val="000000"/>
                <w:sz w:val="22"/>
                <w:lang w:val="es-CO" w:eastAsia="es-CO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 de e</w:t>
            </w:r>
            <w:r w:rsidR="00CA7BE9">
              <w:rPr>
                <w:rFonts w:ascii="Arial" w:hAnsi="Arial" w:cs="Arial"/>
                <w:color w:val="000000"/>
                <w:sz w:val="22"/>
                <w:lang w:val="es-CO" w:eastAsia="es-CO"/>
              </w:rPr>
              <w:t>nero de 2020</w:t>
            </w:r>
          </w:p>
        </w:tc>
      </w:tr>
      <w:tr w:rsidR="00E226CC" w:rsidRPr="00997A8E" w:rsidTr="000048FC">
        <w:trPr>
          <w:trHeight w:val="630"/>
        </w:trPr>
        <w:tc>
          <w:tcPr>
            <w:tcW w:w="631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6CC" w:rsidRPr="00E226CC" w:rsidDel="00935462" w:rsidRDefault="00E226CC" w:rsidP="000048FC">
            <w:pPr>
              <w:pStyle w:val="Prrafodelista"/>
              <w:numPr>
                <w:ilvl w:val="1"/>
                <w:numId w:val="1"/>
              </w:numPr>
              <w:ind w:left="579" w:hanging="430"/>
              <w:jc w:val="both"/>
              <w:rPr>
                <w:rFonts w:ascii="Arial" w:hAnsi="Arial" w:cs="Arial"/>
                <w:color w:val="000000"/>
                <w:sz w:val="22"/>
                <w:szCs w:val="24"/>
                <w:lang w:eastAsia="es-CO"/>
              </w:rPr>
            </w:pPr>
            <w:r w:rsidRPr="00E226CC">
              <w:rPr>
                <w:rFonts w:ascii="Arial" w:hAnsi="Arial" w:cs="Arial"/>
                <w:color w:val="000000"/>
                <w:sz w:val="22"/>
                <w:szCs w:val="24"/>
                <w:lang w:eastAsia="es-CO"/>
              </w:rPr>
              <w:t>Definición de interesados habilitados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26CC" w:rsidRPr="00E226CC" w:rsidRDefault="00C04130" w:rsidP="000048FC">
            <w:pPr>
              <w:jc w:val="center"/>
              <w:rPr>
                <w:rFonts w:ascii="Arial" w:hAnsi="Arial" w:cs="Arial"/>
                <w:color w:val="000000"/>
                <w:sz w:val="22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A más tardar el </w:t>
            </w:r>
            <w:r w:rsidR="00F31C1A">
              <w:rPr>
                <w:rFonts w:ascii="Arial" w:hAnsi="Arial" w:cs="Arial"/>
                <w:color w:val="000000"/>
                <w:sz w:val="22"/>
                <w:lang w:val="es-CO" w:eastAsia="es-CO"/>
              </w:rPr>
              <w:t>10</w:t>
            </w:r>
            <w:r w:rsidR="00997A8E"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 de </w:t>
            </w:r>
            <w:r w:rsidR="00F31C1A">
              <w:rPr>
                <w:rFonts w:ascii="Arial" w:hAnsi="Arial" w:cs="Arial"/>
                <w:color w:val="000000"/>
                <w:sz w:val="22"/>
                <w:lang w:val="es-CO" w:eastAsia="es-CO"/>
              </w:rPr>
              <w:t>febrero de 2020</w:t>
            </w:r>
          </w:p>
        </w:tc>
      </w:tr>
      <w:tr w:rsidR="00E226CC" w:rsidRPr="00E226CC" w:rsidTr="000048FC">
        <w:trPr>
          <w:trHeight w:val="630"/>
        </w:trPr>
        <w:tc>
          <w:tcPr>
            <w:tcW w:w="631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CC" w:rsidRPr="00E226CC" w:rsidRDefault="00E226CC" w:rsidP="000048FC">
            <w:pPr>
              <w:pStyle w:val="Prrafodelista"/>
              <w:numPr>
                <w:ilvl w:val="0"/>
                <w:numId w:val="1"/>
              </w:numPr>
              <w:ind w:left="487"/>
              <w:jc w:val="both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bookmarkStart w:id="1" w:name="_Ref526171701"/>
            <w:r w:rsidRPr="00E226CC">
              <w:rPr>
                <w:rFonts w:ascii="Arial" w:hAnsi="Arial" w:cs="Arial"/>
                <w:color w:val="000000"/>
                <w:sz w:val="22"/>
                <w:szCs w:val="24"/>
                <w:lang w:eastAsia="es-CO"/>
              </w:rPr>
              <w:t>Evaluación de las propuestas por parte de la CREG</w:t>
            </w:r>
            <w:bookmarkEnd w:id="1"/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26CC" w:rsidRPr="00E226CC" w:rsidRDefault="00E226CC" w:rsidP="000048FC">
            <w:pPr>
              <w:jc w:val="center"/>
              <w:rPr>
                <w:rFonts w:ascii="Arial" w:hAnsi="Arial" w:cs="Arial"/>
                <w:color w:val="000000"/>
                <w:sz w:val="22"/>
                <w:lang w:val="es-CO" w:eastAsia="es-CO"/>
              </w:rPr>
            </w:pPr>
          </w:p>
        </w:tc>
      </w:tr>
      <w:tr w:rsidR="00F31C1A" w:rsidRPr="00E226CC" w:rsidTr="000048FC">
        <w:trPr>
          <w:trHeight w:val="242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1C1A" w:rsidRPr="00E226CC" w:rsidDel="00935462" w:rsidRDefault="00F31C1A" w:rsidP="000048FC">
            <w:pPr>
              <w:pStyle w:val="Prrafodelista"/>
              <w:numPr>
                <w:ilvl w:val="1"/>
                <w:numId w:val="1"/>
              </w:numPr>
              <w:ind w:left="579" w:hanging="430"/>
              <w:jc w:val="both"/>
              <w:rPr>
                <w:rFonts w:ascii="Arial" w:hAnsi="Arial" w:cs="Arial"/>
                <w:color w:val="000000"/>
                <w:sz w:val="22"/>
                <w:szCs w:val="24"/>
                <w:lang w:eastAsia="es-CO"/>
              </w:rPr>
            </w:pPr>
          </w:p>
        </w:tc>
        <w:tc>
          <w:tcPr>
            <w:tcW w:w="5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1C1A" w:rsidRPr="00F31C1A" w:rsidDel="00935462" w:rsidRDefault="00F31C1A" w:rsidP="000048FC">
            <w:pPr>
              <w:ind w:left="149"/>
              <w:jc w:val="both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E226CC">
              <w:rPr>
                <w:rFonts w:ascii="Arial" w:hAnsi="Arial" w:cs="Arial"/>
                <w:color w:val="000000"/>
                <w:sz w:val="22"/>
                <w:lang w:eastAsia="es-CO"/>
              </w:rPr>
              <w:t xml:space="preserve">Evaluación del documento técnico 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1C1A" w:rsidRPr="00E226CC" w:rsidRDefault="000048FC" w:rsidP="000048FC">
            <w:pPr>
              <w:jc w:val="center"/>
              <w:rPr>
                <w:rFonts w:ascii="Arial" w:hAnsi="Arial" w:cs="Arial"/>
                <w:color w:val="000000"/>
                <w:sz w:val="22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Inicia una vez </w:t>
            </w:r>
            <w:r w:rsidR="00EC5F9D"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en firme la actividad 3.3 y </w:t>
            </w:r>
            <w:r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termina </w:t>
            </w:r>
            <w:r w:rsidR="00EC5F9D">
              <w:rPr>
                <w:rFonts w:ascii="Arial" w:hAnsi="Arial" w:cs="Arial"/>
                <w:color w:val="000000"/>
                <w:sz w:val="22"/>
                <w:lang w:val="es-CO" w:eastAsia="es-CO"/>
              </w:rPr>
              <w:t>a</w:t>
            </w:r>
            <w:r w:rsidR="00F31C1A"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 más tardar el </w:t>
            </w:r>
            <w:r w:rsidR="00EC5F9D">
              <w:rPr>
                <w:rFonts w:ascii="Arial" w:hAnsi="Arial" w:cs="Arial"/>
                <w:color w:val="000000"/>
                <w:sz w:val="22"/>
                <w:lang w:val="es-CO" w:eastAsia="es-CO"/>
              </w:rPr>
              <w:t>14</w:t>
            </w:r>
            <w:r w:rsidR="00F31C1A"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 de </w:t>
            </w:r>
            <w:r w:rsidR="00EC5F9D">
              <w:rPr>
                <w:rFonts w:ascii="Arial" w:hAnsi="Arial" w:cs="Arial"/>
                <w:color w:val="000000"/>
                <w:sz w:val="22"/>
                <w:lang w:val="es-CO" w:eastAsia="es-CO"/>
              </w:rPr>
              <w:t>febrero de 2020.</w:t>
            </w:r>
          </w:p>
        </w:tc>
      </w:tr>
      <w:tr w:rsidR="00F31C1A" w:rsidRPr="00E226CC" w:rsidTr="000048FC">
        <w:trPr>
          <w:trHeight w:val="242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1C1A" w:rsidRPr="00E226CC" w:rsidDel="00935462" w:rsidRDefault="00F31C1A" w:rsidP="000048FC">
            <w:pPr>
              <w:pStyle w:val="Prrafodelista"/>
              <w:numPr>
                <w:ilvl w:val="1"/>
                <w:numId w:val="1"/>
              </w:numPr>
              <w:ind w:left="579" w:hanging="430"/>
              <w:jc w:val="both"/>
              <w:rPr>
                <w:rFonts w:ascii="Arial" w:hAnsi="Arial" w:cs="Arial"/>
                <w:color w:val="000000"/>
                <w:sz w:val="22"/>
                <w:szCs w:val="24"/>
                <w:lang w:eastAsia="es-CO"/>
              </w:rPr>
            </w:pPr>
          </w:p>
        </w:tc>
        <w:tc>
          <w:tcPr>
            <w:tcW w:w="5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1C1A" w:rsidRPr="00E226CC" w:rsidRDefault="00F31C1A" w:rsidP="000048FC">
            <w:pPr>
              <w:ind w:left="149"/>
              <w:jc w:val="both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lang w:eastAsia="es-CO"/>
              </w:rPr>
              <w:t>Evaluación</w:t>
            </w:r>
            <w:r w:rsidRPr="00E226CC">
              <w:rPr>
                <w:rFonts w:ascii="Arial" w:hAnsi="Arial" w:cs="Arial"/>
                <w:color w:val="000000"/>
                <w:sz w:val="22"/>
                <w:lang w:eastAsia="es-CO"/>
              </w:rPr>
              <w:t xml:space="preserve"> de la demostración de los interesados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1C1A" w:rsidRDefault="000048FC" w:rsidP="000048FC">
            <w:pPr>
              <w:jc w:val="center"/>
              <w:rPr>
                <w:rFonts w:ascii="Arial" w:hAnsi="Arial" w:cs="Arial"/>
                <w:color w:val="000000"/>
                <w:sz w:val="22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lang w:val="es-CO" w:eastAsia="es-CO"/>
              </w:rPr>
              <w:t>Inicia u</w:t>
            </w:r>
            <w:r w:rsidR="00EC5F9D"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na vez finalizada la evaluación del </w:t>
            </w:r>
            <w:r w:rsidR="00EC5F9D">
              <w:rPr>
                <w:rFonts w:ascii="Arial" w:hAnsi="Arial" w:cs="Arial"/>
                <w:color w:val="000000"/>
                <w:sz w:val="22"/>
                <w:lang w:val="es-CO" w:eastAsia="es-CO"/>
              </w:rPr>
              <w:lastRenderedPageBreak/>
              <w:t xml:space="preserve">documento técnico y </w:t>
            </w:r>
            <w:r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termina </w:t>
            </w:r>
            <w:r w:rsidR="00EC5F9D">
              <w:rPr>
                <w:rFonts w:ascii="Arial" w:hAnsi="Arial" w:cs="Arial"/>
                <w:color w:val="000000"/>
                <w:sz w:val="22"/>
                <w:lang w:val="es-CO" w:eastAsia="es-CO"/>
              </w:rPr>
              <w:t>a más tardar el 18 de febrero de 2020.</w:t>
            </w:r>
          </w:p>
        </w:tc>
      </w:tr>
      <w:tr w:rsidR="00E226CC" w:rsidRPr="00E226CC" w:rsidTr="000048FC">
        <w:trPr>
          <w:trHeight w:val="630"/>
        </w:trPr>
        <w:tc>
          <w:tcPr>
            <w:tcW w:w="631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6CC" w:rsidRPr="00E226CC" w:rsidRDefault="00E226CC" w:rsidP="000048FC">
            <w:pPr>
              <w:pStyle w:val="Prrafodelista"/>
              <w:numPr>
                <w:ilvl w:val="1"/>
                <w:numId w:val="1"/>
              </w:numPr>
              <w:ind w:left="579" w:hanging="430"/>
              <w:jc w:val="both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bookmarkStart w:id="2" w:name="_Ref526171821"/>
            <w:r w:rsidRPr="00E226CC">
              <w:rPr>
                <w:rFonts w:ascii="Arial" w:hAnsi="Arial" w:cs="Arial"/>
                <w:color w:val="000000"/>
                <w:sz w:val="22"/>
                <w:szCs w:val="24"/>
                <w:lang w:eastAsia="es-CO"/>
              </w:rPr>
              <w:lastRenderedPageBreak/>
              <w:t>Evaluación de la experiencia específica por parte de la CREG</w:t>
            </w:r>
            <w:bookmarkEnd w:id="2"/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26CC" w:rsidRPr="00E226CC" w:rsidRDefault="000048FC" w:rsidP="000048FC">
            <w:pPr>
              <w:jc w:val="center"/>
              <w:rPr>
                <w:rFonts w:ascii="Arial" w:hAnsi="Arial" w:cs="Arial"/>
                <w:color w:val="000000"/>
                <w:sz w:val="22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lang w:val="es-CO" w:eastAsia="es-CO"/>
              </w:rPr>
              <w:t>Inicia u</w:t>
            </w:r>
            <w:r w:rsidR="00EC5F9D">
              <w:rPr>
                <w:rFonts w:ascii="Arial" w:hAnsi="Arial" w:cs="Arial"/>
                <w:color w:val="000000"/>
                <w:sz w:val="22"/>
                <w:lang w:val="es-CO" w:eastAsia="es-CO"/>
              </w:rPr>
              <w:t>na vez en firme la actividad 3.3 y a más tardar el 18 de febrero de 2020.</w:t>
            </w:r>
          </w:p>
        </w:tc>
      </w:tr>
      <w:tr w:rsidR="00E226CC" w:rsidRPr="00E226CC" w:rsidTr="000048FC">
        <w:trPr>
          <w:trHeight w:val="630"/>
        </w:trPr>
        <w:tc>
          <w:tcPr>
            <w:tcW w:w="631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6CC" w:rsidRPr="00E226CC" w:rsidDel="00935462" w:rsidRDefault="00E226CC" w:rsidP="000048FC">
            <w:pPr>
              <w:pStyle w:val="Prrafodelista"/>
              <w:numPr>
                <w:ilvl w:val="1"/>
                <w:numId w:val="1"/>
              </w:numPr>
              <w:ind w:left="579" w:hanging="430"/>
              <w:jc w:val="both"/>
              <w:rPr>
                <w:rFonts w:ascii="Arial" w:hAnsi="Arial" w:cs="Arial"/>
                <w:color w:val="000000"/>
                <w:sz w:val="22"/>
                <w:szCs w:val="24"/>
                <w:lang w:eastAsia="es-CO"/>
              </w:rPr>
            </w:pPr>
            <w:r w:rsidRPr="00E226CC">
              <w:rPr>
                <w:rFonts w:ascii="Arial" w:hAnsi="Arial" w:cs="Arial"/>
                <w:color w:val="000000"/>
                <w:sz w:val="22"/>
                <w:szCs w:val="24"/>
                <w:lang w:eastAsia="es-CO"/>
              </w:rPr>
              <w:t>Evaluación económica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26CC" w:rsidRPr="00E226CC" w:rsidRDefault="000048FC" w:rsidP="000048FC">
            <w:pPr>
              <w:jc w:val="center"/>
              <w:rPr>
                <w:rFonts w:ascii="Arial" w:hAnsi="Arial" w:cs="Arial"/>
                <w:color w:val="000000"/>
                <w:sz w:val="22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lang w:val="es-CO" w:eastAsia="es-CO"/>
              </w:rPr>
              <w:t>Inicia u</w:t>
            </w:r>
            <w:r w:rsidR="00EC5F9D">
              <w:rPr>
                <w:rFonts w:ascii="Arial" w:hAnsi="Arial" w:cs="Arial"/>
                <w:color w:val="000000"/>
                <w:sz w:val="22"/>
                <w:lang w:val="es-CO" w:eastAsia="es-CO"/>
              </w:rPr>
              <w:t>na vez finalizadas las actividades</w:t>
            </w:r>
            <w:r w:rsidR="00B546C9"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 4.1</w:t>
            </w:r>
            <w:r w:rsidR="00EC5F9D"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 y</w:t>
            </w:r>
            <w:r w:rsidR="00B546C9"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 4.2, y</w:t>
            </w:r>
            <w:r w:rsidR="00EC5F9D"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termina </w:t>
            </w:r>
            <w:r w:rsidR="00EC5F9D">
              <w:rPr>
                <w:rFonts w:ascii="Arial" w:hAnsi="Arial" w:cs="Arial"/>
                <w:color w:val="000000"/>
                <w:sz w:val="22"/>
                <w:lang w:val="es-CO" w:eastAsia="es-CO"/>
              </w:rPr>
              <w:t>a más tardar el 18 de febrero de 2020.</w:t>
            </w:r>
          </w:p>
        </w:tc>
      </w:tr>
      <w:tr w:rsidR="00E226CC" w:rsidRPr="00E226CC" w:rsidTr="000048FC">
        <w:trPr>
          <w:trHeight w:val="630"/>
        </w:trPr>
        <w:tc>
          <w:tcPr>
            <w:tcW w:w="631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CC" w:rsidRPr="00E226CC" w:rsidRDefault="00E226CC" w:rsidP="000048FC">
            <w:pPr>
              <w:pStyle w:val="Prrafodelista"/>
              <w:numPr>
                <w:ilvl w:val="1"/>
                <w:numId w:val="1"/>
              </w:numPr>
              <w:ind w:left="579" w:hanging="430"/>
              <w:jc w:val="both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E226CC">
              <w:rPr>
                <w:rFonts w:ascii="Arial" w:hAnsi="Arial" w:cs="Arial"/>
                <w:color w:val="000000"/>
                <w:sz w:val="22"/>
                <w:szCs w:val="24"/>
                <w:lang w:eastAsia="es-CO"/>
              </w:rPr>
              <w:t>Determinación orden de elegibilidad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26CC" w:rsidRPr="00E226CC" w:rsidRDefault="000048FC" w:rsidP="000048FC">
            <w:pPr>
              <w:jc w:val="center"/>
              <w:rPr>
                <w:rFonts w:ascii="Arial" w:hAnsi="Arial" w:cs="Arial"/>
                <w:color w:val="000000"/>
                <w:sz w:val="22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lang w:val="es-CO" w:eastAsia="es-CO"/>
              </w:rPr>
              <w:t>Termina a</w:t>
            </w:r>
            <w:r w:rsidR="00653BF3"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 más tardar el 2</w:t>
            </w:r>
            <w:r w:rsidR="00997A8E">
              <w:rPr>
                <w:rFonts w:ascii="Arial" w:hAnsi="Arial" w:cs="Arial"/>
                <w:color w:val="000000"/>
                <w:sz w:val="22"/>
                <w:lang w:val="es-CO" w:eastAsia="es-CO"/>
              </w:rPr>
              <w:t xml:space="preserve">0 de </w:t>
            </w:r>
            <w:r w:rsidR="00B546C9">
              <w:rPr>
                <w:rFonts w:ascii="Arial" w:hAnsi="Arial" w:cs="Arial"/>
                <w:color w:val="000000"/>
                <w:sz w:val="22"/>
                <w:lang w:val="es-CO" w:eastAsia="es-CO"/>
              </w:rPr>
              <w:t>febrero de 2020.</w:t>
            </w:r>
          </w:p>
        </w:tc>
      </w:tr>
      <w:tr w:rsidR="00E226CC" w:rsidRPr="00E226CC" w:rsidTr="000048FC">
        <w:trPr>
          <w:trHeight w:val="630"/>
        </w:trPr>
        <w:tc>
          <w:tcPr>
            <w:tcW w:w="631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6CC" w:rsidRPr="00E226CC" w:rsidRDefault="00E226CC" w:rsidP="000048FC">
            <w:pPr>
              <w:pStyle w:val="Prrafodelista"/>
              <w:numPr>
                <w:ilvl w:val="0"/>
                <w:numId w:val="1"/>
              </w:numPr>
              <w:ind w:left="487"/>
              <w:jc w:val="both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E226CC">
              <w:rPr>
                <w:rFonts w:ascii="Arial" w:hAnsi="Arial" w:cs="Arial"/>
                <w:color w:val="000000"/>
                <w:sz w:val="22"/>
                <w:szCs w:val="24"/>
                <w:lang w:eastAsia="es-CO"/>
              </w:rPr>
              <w:t>Selección del gestor del mercado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26CC" w:rsidRPr="00E226CC" w:rsidRDefault="00B546C9" w:rsidP="000048FC">
            <w:pPr>
              <w:jc w:val="center"/>
              <w:rPr>
                <w:rFonts w:ascii="Arial" w:hAnsi="Arial" w:cs="Arial"/>
                <w:color w:val="000000"/>
                <w:sz w:val="22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lang w:val="es-CO" w:eastAsia="es-CO"/>
              </w:rPr>
              <w:t>Una vez en firme la actividad 4.4</w:t>
            </w:r>
          </w:p>
        </w:tc>
      </w:tr>
    </w:tbl>
    <w:p w:rsidR="00E226CC" w:rsidRDefault="000048FC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textWrapping" w:clear="all"/>
      </w:r>
    </w:p>
    <w:p w:rsidR="00E83DD9" w:rsidRPr="009E0F14" w:rsidRDefault="00E83DD9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Default="00474CC3" w:rsidP="007E16DF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A91705" w:rsidRPr="009E0F14" w:rsidRDefault="00A91705" w:rsidP="007E16DF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  <w:sz w:val="24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sectPr w:rsidR="007E16DF" w:rsidSect="003F2F4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7DC" w:rsidRDefault="000427DC" w:rsidP="00AA0519">
      <w:r>
        <w:separator/>
      </w:r>
    </w:p>
  </w:endnote>
  <w:endnote w:type="continuationSeparator" w:id="0">
    <w:p w:rsidR="000427DC" w:rsidRDefault="000427DC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7DC" w:rsidRDefault="000427DC" w:rsidP="00AA0519">
      <w:r>
        <w:separator/>
      </w:r>
    </w:p>
  </w:footnote>
  <w:footnote w:type="continuationSeparator" w:id="0">
    <w:p w:rsidR="000427DC" w:rsidRDefault="000427DC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B201E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49690DD9" wp14:editId="5E45174B">
          <wp:simplePos x="0" y="0"/>
          <wp:positionH relativeFrom="column">
            <wp:posOffset>142875</wp:posOffset>
          </wp:positionH>
          <wp:positionV relativeFrom="paragraph">
            <wp:posOffset>-172085</wp:posOffset>
          </wp:positionV>
          <wp:extent cx="1104900" cy="6184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01CF2D9" wp14:editId="319D3C16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3073400" cy="58928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0519" w:rsidRDefault="00AA0519">
    <w:pPr>
      <w:pStyle w:val="Encabezado"/>
    </w:pPr>
  </w:p>
  <w:p w:rsidR="00B201E4" w:rsidRDefault="00B201E4">
    <w:pPr>
      <w:pStyle w:val="Encabezado"/>
    </w:pPr>
  </w:p>
  <w:p w:rsidR="00B201E4" w:rsidRPr="00B201E4" w:rsidRDefault="00B201E4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B201E4">
      <w:rPr>
        <w:rFonts w:ascii="Arial" w:hAnsi="Arial" w:cs="Arial"/>
        <w:i/>
        <w:sz w:val="18"/>
        <w:szCs w:val="18"/>
        <w:u w:val="single"/>
      </w:rPr>
      <w:t>Circular</w:t>
    </w:r>
    <w:r w:rsidR="00DB4419">
      <w:rPr>
        <w:rFonts w:ascii="Arial" w:hAnsi="Arial" w:cs="Arial"/>
        <w:i/>
        <w:sz w:val="18"/>
        <w:szCs w:val="18"/>
        <w:u w:val="single"/>
      </w:rPr>
      <w:t>102</w:t>
    </w:r>
  </w:p>
  <w:p w:rsidR="00B201E4" w:rsidRPr="00B201E4" w:rsidRDefault="000048FC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Noviem</w:t>
    </w:r>
    <w:r w:rsidR="00997A8E">
      <w:rPr>
        <w:rFonts w:ascii="Arial" w:hAnsi="Arial" w:cs="Arial"/>
        <w:i/>
        <w:sz w:val="18"/>
        <w:szCs w:val="18"/>
        <w:u w:val="single"/>
      </w:rPr>
      <w:t>bre</w:t>
    </w:r>
    <w:r w:rsidR="00B201E4" w:rsidRPr="00B201E4">
      <w:rPr>
        <w:rFonts w:ascii="Arial" w:hAnsi="Arial" w:cs="Arial"/>
        <w:i/>
        <w:sz w:val="18"/>
        <w:szCs w:val="18"/>
        <w:u w:val="single"/>
      </w:rPr>
      <w:t xml:space="preserve"> de 2019</w:t>
    </w:r>
  </w:p>
  <w:p w:rsidR="00B201E4" w:rsidRPr="00B201E4" w:rsidRDefault="00B201E4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instrText>PAGE  \* Arabic  \* MERGEFORMAT</w:instrTex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7C63B5" w:rsidRPr="007C63B5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  <w:r w:rsidRPr="00B201E4">
      <w:rPr>
        <w:rFonts w:ascii="Arial" w:hAnsi="Arial" w:cs="Arial"/>
        <w:i/>
        <w:sz w:val="18"/>
        <w:szCs w:val="18"/>
        <w:u w:val="single"/>
        <w:lang w:val="es-ES"/>
      </w:rPr>
      <w:t xml:space="preserve"> / </w: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instrText>NUMPAGES  \* Arabic  \* MERGEFORMAT</w:instrTex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7C63B5" w:rsidRPr="007C63B5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B201E4" w:rsidP="003F2F4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07AA3845" wp14:editId="283D58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04900" cy="618490"/>
          <wp:effectExtent l="0" t="0" r="0" b="0"/>
          <wp:wrapNone/>
          <wp:docPr id="449" name="Imagen 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22F3685" wp14:editId="784B60C2">
          <wp:simplePos x="0" y="0"/>
          <wp:positionH relativeFrom="column">
            <wp:posOffset>2943225</wp:posOffset>
          </wp:positionH>
          <wp:positionV relativeFrom="paragraph">
            <wp:posOffset>-153035</wp:posOffset>
          </wp:positionV>
          <wp:extent cx="3073400" cy="589280"/>
          <wp:effectExtent l="0" t="0" r="0" b="1270"/>
          <wp:wrapNone/>
          <wp:docPr id="448" name="Imagen 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4A14"/>
    <w:multiLevelType w:val="multilevel"/>
    <w:tmpl w:val="FA58C2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48FC"/>
    <w:rsid w:val="000427DC"/>
    <w:rsid w:val="00047A9C"/>
    <w:rsid w:val="00057E71"/>
    <w:rsid w:val="000D771B"/>
    <w:rsid w:val="00144F2D"/>
    <w:rsid w:val="001C25ED"/>
    <w:rsid w:val="00201608"/>
    <w:rsid w:val="0028484A"/>
    <w:rsid w:val="00311BCD"/>
    <w:rsid w:val="003C7E1C"/>
    <w:rsid w:val="003F2F4B"/>
    <w:rsid w:val="00474CC3"/>
    <w:rsid w:val="004C5915"/>
    <w:rsid w:val="005973AA"/>
    <w:rsid w:val="00653BF3"/>
    <w:rsid w:val="006D1E46"/>
    <w:rsid w:val="00735E1F"/>
    <w:rsid w:val="007477F1"/>
    <w:rsid w:val="007C63B5"/>
    <w:rsid w:val="007E16DF"/>
    <w:rsid w:val="00807FEE"/>
    <w:rsid w:val="00816448"/>
    <w:rsid w:val="008C4672"/>
    <w:rsid w:val="00997A8E"/>
    <w:rsid w:val="009A3312"/>
    <w:rsid w:val="009C0DA8"/>
    <w:rsid w:val="00A15CDD"/>
    <w:rsid w:val="00A45674"/>
    <w:rsid w:val="00A52D43"/>
    <w:rsid w:val="00A91705"/>
    <w:rsid w:val="00AA0519"/>
    <w:rsid w:val="00B201E4"/>
    <w:rsid w:val="00B546C9"/>
    <w:rsid w:val="00B84D24"/>
    <w:rsid w:val="00BE54EE"/>
    <w:rsid w:val="00C04130"/>
    <w:rsid w:val="00C95D08"/>
    <w:rsid w:val="00C96B13"/>
    <w:rsid w:val="00CA7BE9"/>
    <w:rsid w:val="00DB4419"/>
    <w:rsid w:val="00E226CC"/>
    <w:rsid w:val="00E83DD9"/>
    <w:rsid w:val="00E84849"/>
    <w:rsid w:val="00EC23AD"/>
    <w:rsid w:val="00EC5F9D"/>
    <w:rsid w:val="00F1459B"/>
    <w:rsid w:val="00F31C1A"/>
    <w:rsid w:val="00F348B3"/>
    <w:rsid w:val="00F41092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paragraph" w:styleId="Prrafodelista">
    <w:name w:val="List Paragraph"/>
    <w:aliases w:val="Párrafo de lista1"/>
    <w:basedOn w:val="Normal"/>
    <w:link w:val="PrrafodelistaCar"/>
    <w:uiPriority w:val="34"/>
    <w:qFormat/>
    <w:rsid w:val="00E226CC"/>
    <w:pPr>
      <w:ind w:left="708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customStyle="1" w:styleId="PrrafodelistaCar">
    <w:name w:val="Párrafo de lista Car"/>
    <w:aliases w:val="Párrafo de lista1 Car"/>
    <w:link w:val="Prrafodelista"/>
    <w:uiPriority w:val="34"/>
    <w:rsid w:val="00E226C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E83D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27BD1-507F-45BA-869F-C3AD697D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2019-07-10T20:32:00Z</cp:lastPrinted>
  <dcterms:created xsi:type="dcterms:W3CDTF">2019-11-20T00:00:00Z</dcterms:created>
  <dcterms:modified xsi:type="dcterms:W3CDTF">2019-11-20T00:00:00Z</dcterms:modified>
</cp:coreProperties>
</file>