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9DC2F" w14:textId="4F4ABF67" w:rsidR="007E16DF" w:rsidRDefault="002B43CA" w:rsidP="00913A83">
      <w:pPr>
        <w:contextualSpacing/>
        <w:rPr>
          <w:rFonts w:ascii="Arial" w:hAnsi="Arial" w:cs="Arial"/>
          <w:sz w:val="22"/>
          <w:szCs w:val="22"/>
          <w:lang w:val="es-MX"/>
        </w:rPr>
      </w:pPr>
      <w:bookmarkStart w:id="0" w:name="_GoBack"/>
      <w:bookmarkEnd w:id="0"/>
      <w:r>
        <w:rPr>
          <w:rFonts w:ascii="Arial" w:hAnsi="Arial" w:cs="Arial"/>
          <w:sz w:val="22"/>
          <w:szCs w:val="22"/>
          <w:lang w:val="es-MX"/>
        </w:rPr>
        <w:t xml:space="preserve">Bogotá, </w:t>
      </w:r>
      <w:r w:rsidRPr="00BF366B">
        <w:rPr>
          <w:rFonts w:ascii="Arial" w:hAnsi="Arial" w:cs="Arial"/>
          <w:sz w:val="22"/>
          <w:szCs w:val="22"/>
          <w:lang w:val="es-MX"/>
        </w:rPr>
        <w:t xml:space="preserve">D. C., </w:t>
      </w:r>
      <w:r w:rsidR="00C93496">
        <w:rPr>
          <w:rFonts w:ascii="Arial" w:hAnsi="Arial" w:cs="Arial"/>
          <w:sz w:val="22"/>
          <w:szCs w:val="22"/>
          <w:lang w:val="es-MX"/>
        </w:rPr>
        <w:t xml:space="preserve">octubre </w:t>
      </w:r>
      <w:r w:rsidR="000F5908">
        <w:rPr>
          <w:rFonts w:ascii="Arial" w:hAnsi="Arial" w:cs="Arial"/>
          <w:sz w:val="22"/>
          <w:szCs w:val="22"/>
          <w:lang w:val="es-MX"/>
        </w:rPr>
        <w:t>4</w:t>
      </w:r>
      <w:r w:rsidR="008D7D0F">
        <w:rPr>
          <w:rFonts w:ascii="Arial" w:hAnsi="Arial" w:cs="Arial"/>
          <w:sz w:val="22"/>
          <w:szCs w:val="22"/>
          <w:lang w:val="es-MX"/>
        </w:rPr>
        <w:t xml:space="preserve"> </w:t>
      </w:r>
      <w:r w:rsidR="00A7557C" w:rsidRPr="00BF366B">
        <w:rPr>
          <w:rFonts w:ascii="Arial" w:hAnsi="Arial" w:cs="Arial"/>
          <w:sz w:val="22"/>
          <w:szCs w:val="22"/>
          <w:lang w:val="es-MX"/>
        </w:rPr>
        <w:t xml:space="preserve">de </w:t>
      </w:r>
      <w:r w:rsidR="0047405B" w:rsidRPr="00BF366B">
        <w:rPr>
          <w:rFonts w:ascii="Arial" w:hAnsi="Arial" w:cs="Arial"/>
          <w:sz w:val="22"/>
          <w:szCs w:val="22"/>
          <w:lang w:val="es-MX"/>
        </w:rPr>
        <w:t>2019</w:t>
      </w:r>
    </w:p>
    <w:p w14:paraId="70E0E90A" w14:textId="77777777" w:rsidR="007E4684" w:rsidRDefault="007E4684" w:rsidP="00913A83">
      <w:pPr>
        <w:contextualSpacing/>
        <w:rPr>
          <w:rFonts w:ascii="Arial" w:hAnsi="Arial" w:cs="Arial"/>
          <w:sz w:val="22"/>
          <w:szCs w:val="22"/>
          <w:lang w:val="es-MX"/>
        </w:rPr>
      </w:pPr>
    </w:p>
    <w:p w14:paraId="7F59091C" w14:textId="77777777" w:rsidR="00117047" w:rsidRPr="00117047" w:rsidRDefault="00117047" w:rsidP="00913A83">
      <w:pPr>
        <w:pStyle w:val="Textoindependiente"/>
        <w:spacing w:after="0" w:line="240" w:lineRule="auto"/>
        <w:contextualSpacing/>
      </w:pPr>
    </w:p>
    <w:p w14:paraId="15BF6758" w14:textId="17170D74" w:rsidR="00D515F0" w:rsidRDefault="00D515F0" w:rsidP="00913A83">
      <w:pPr>
        <w:pStyle w:val="Ttulo5"/>
        <w:spacing w:line="240" w:lineRule="auto"/>
        <w:ind w:left="0"/>
        <w:contextualSpacing/>
        <w:jc w:val="center"/>
        <w:rPr>
          <w:rFonts w:ascii="Arial" w:hAnsi="Arial" w:cs="Arial"/>
          <w:b/>
          <w:bCs/>
          <w:i/>
          <w:iCs/>
          <w:kern w:val="60"/>
          <w:sz w:val="40"/>
          <w:szCs w:val="40"/>
        </w:rPr>
      </w:pPr>
      <w:r w:rsidRPr="001832EB">
        <w:rPr>
          <w:rFonts w:ascii="Arial" w:hAnsi="Arial" w:cs="Arial"/>
          <w:b/>
          <w:bCs/>
          <w:i/>
          <w:iCs/>
          <w:kern w:val="60"/>
          <w:sz w:val="40"/>
          <w:szCs w:val="40"/>
        </w:rPr>
        <w:t>CIRCULAR No.</w:t>
      </w:r>
      <w:r w:rsidR="0096598F">
        <w:rPr>
          <w:rFonts w:ascii="Arial" w:hAnsi="Arial" w:cs="Arial"/>
          <w:b/>
          <w:bCs/>
          <w:i/>
          <w:iCs/>
          <w:kern w:val="60"/>
          <w:sz w:val="40"/>
          <w:szCs w:val="40"/>
        </w:rPr>
        <w:t xml:space="preserve"> </w:t>
      </w:r>
      <w:r w:rsidR="008D7D0F">
        <w:rPr>
          <w:rFonts w:ascii="Arial" w:hAnsi="Arial" w:cs="Arial"/>
          <w:b/>
          <w:bCs/>
          <w:i/>
          <w:iCs/>
          <w:kern w:val="60"/>
          <w:sz w:val="40"/>
          <w:szCs w:val="40"/>
        </w:rPr>
        <w:t>0</w:t>
      </w:r>
      <w:r w:rsidR="000F5908">
        <w:rPr>
          <w:rFonts w:ascii="Arial" w:hAnsi="Arial" w:cs="Arial"/>
          <w:b/>
          <w:bCs/>
          <w:i/>
          <w:iCs/>
          <w:kern w:val="60"/>
          <w:sz w:val="40"/>
          <w:szCs w:val="40"/>
        </w:rPr>
        <w:t>83</w:t>
      </w:r>
    </w:p>
    <w:p w14:paraId="2B647A35" w14:textId="77777777" w:rsidR="008D7D0F" w:rsidRPr="008D7D0F" w:rsidRDefault="008D7D0F" w:rsidP="00913A83">
      <w:pPr>
        <w:pStyle w:val="Textoindependiente"/>
        <w:spacing w:after="0" w:line="240" w:lineRule="auto"/>
        <w:contextualSpacing/>
      </w:pPr>
    </w:p>
    <w:p w14:paraId="44C08C75" w14:textId="77777777" w:rsidR="00E209DF" w:rsidRDefault="00E209DF" w:rsidP="00C93496">
      <w:pPr>
        <w:pStyle w:val="Sangradetextonormal"/>
        <w:spacing w:after="0"/>
        <w:ind w:left="0"/>
        <w:contextualSpacing/>
        <w:jc w:val="both"/>
        <w:rPr>
          <w:rFonts w:ascii="Arial" w:hAnsi="Arial" w:cs="Arial"/>
          <w:b/>
          <w:sz w:val="22"/>
          <w:szCs w:val="22"/>
        </w:rPr>
      </w:pPr>
    </w:p>
    <w:p w14:paraId="06118285" w14:textId="1A5FD640" w:rsidR="007E16DF" w:rsidRDefault="007E16DF" w:rsidP="000F5908">
      <w:pPr>
        <w:pStyle w:val="Sangradetextonormal"/>
        <w:spacing w:after="0"/>
        <w:ind w:left="1418" w:hanging="1418"/>
        <w:contextualSpacing/>
        <w:jc w:val="both"/>
        <w:rPr>
          <w:rFonts w:ascii="Arial" w:hAnsi="Arial" w:cs="Arial"/>
          <w:b/>
          <w:sz w:val="22"/>
          <w:szCs w:val="22"/>
        </w:rPr>
      </w:pPr>
      <w:r w:rsidRPr="001832EB">
        <w:rPr>
          <w:rFonts w:ascii="Arial" w:hAnsi="Arial" w:cs="Arial"/>
          <w:b/>
          <w:sz w:val="22"/>
          <w:szCs w:val="22"/>
        </w:rPr>
        <w:t>PARA:</w:t>
      </w:r>
      <w:r w:rsidRPr="001832EB">
        <w:rPr>
          <w:rFonts w:ascii="Arial" w:hAnsi="Arial" w:cs="Arial"/>
          <w:b/>
          <w:sz w:val="22"/>
          <w:szCs w:val="22"/>
        </w:rPr>
        <w:tab/>
      </w:r>
      <w:r w:rsidR="0096598F" w:rsidRPr="0096598F">
        <w:rPr>
          <w:rFonts w:ascii="Arial" w:hAnsi="Arial" w:cs="Arial"/>
          <w:b/>
          <w:sz w:val="22"/>
          <w:szCs w:val="22"/>
        </w:rPr>
        <w:t>COMERCIALIZADORES MAYORISTAS, DISTRIBUIDORES</w:t>
      </w:r>
      <w:r w:rsidR="00B22764">
        <w:rPr>
          <w:rFonts w:ascii="Arial" w:hAnsi="Arial" w:cs="Arial"/>
          <w:b/>
          <w:sz w:val="22"/>
          <w:szCs w:val="22"/>
        </w:rPr>
        <w:t>, SUPERINTENDENCIA DE SERVICIOS PÚBLICOS DOMICILIARIOS</w:t>
      </w:r>
      <w:r w:rsidR="0096598F" w:rsidRPr="0096598F">
        <w:rPr>
          <w:rFonts w:ascii="Arial" w:hAnsi="Arial" w:cs="Arial"/>
          <w:b/>
          <w:sz w:val="22"/>
          <w:szCs w:val="22"/>
        </w:rPr>
        <w:t xml:space="preserve"> Y DEMÁS INTERESADOS</w:t>
      </w:r>
    </w:p>
    <w:p w14:paraId="2B749054" w14:textId="77777777" w:rsidR="00423CFD" w:rsidRPr="00CC2911" w:rsidRDefault="00423CFD" w:rsidP="00C93496">
      <w:pPr>
        <w:pStyle w:val="Sangradetextonormal"/>
        <w:spacing w:after="0"/>
        <w:ind w:left="0"/>
        <w:contextualSpacing/>
        <w:jc w:val="both"/>
        <w:rPr>
          <w:rFonts w:ascii="Arial" w:hAnsi="Arial" w:cs="Arial"/>
          <w:b/>
          <w:sz w:val="22"/>
          <w:szCs w:val="22"/>
        </w:rPr>
      </w:pPr>
    </w:p>
    <w:p w14:paraId="68C8EEF9" w14:textId="31785443" w:rsidR="007E16DF" w:rsidRDefault="007E16DF" w:rsidP="000F5908">
      <w:pPr>
        <w:pStyle w:val="Sangradetextonormal"/>
        <w:spacing w:after="0"/>
        <w:ind w:left="1418" w:hanging="1418"/>
        <w:contextualSpacing/>
        <w:rPr>
          <w:rFonts w:ascii="Arial" w:hAnsi="Arial" w:cs="Arial"/>
          <w:b/>
          <w:sz w:val="22"/>
          <w:szCs w:val="22"/>
        </w:rPr>
      </w:pPr>
      <w:r w:rsidRPr="00CC2911">
        <w:rPr>
          <w:rFonts w:ascii="Arial" w:hAnsi="Arial" w:cs="Arial"/>
          <w:b/>
          <w:sz w:val="22"/>
          <w:szCs w:val="22"/>
        </w:rPr>
        <w:t>DE:</w:t>
      </w:r>
      <w:r w:rsidRPr="00CC2911">
        <w:rPr>
          <w:rFonts w:ascii="Arial" w:hAnsi="Arial" w:cs="Arial"/>
          <w:b/>
          <w:sz w:val="22"/>
          <w:szCs w:val="22"/>
        </w:rPr>
        <w:tab/>
        <w:t>DIRECCIÓN EJECUTIVA</w:t>
      </w:r>
    </w:p>
    <w:p w14:paraId="470A8911" w14:textId="77777777" w:rsidR="00423CFD" w:rsidRPr="00CC2911" w:rsidRDefault="00423CFD" w:rsidP="00C93496">
      <w:pPr>
        <w:pStyle w:val="Sangradetextonormal"/>
        <w:spacing w:after="0"/>
        <w:ind w:left="0"/>
        <w:contextualSpacing/>
        <w:rPr>
          <w:rFonts w:ascii="Arial" w:hAnsi="Arial" w:cs="Arial"/>
          <w:b/>
          <w:sz w:val="22"/>
          <w:szCs w:val="22"/>
        </w:rPr>
      </w:pPr>
    </w:p>
    <w:p w14:paraId="7F84AB4F" w14:textId="3B09229D" w:rsidR="007E16DF" w:rsidRPr="004B119B" w:rsidRDefault="007E16DF" w:rsidP="00C93496">
      <w:pPr>
        <w:pStyle w:val="Sangradetextonormal"/>
        <w:spacing w:after="0"/>
        <w:ind w:left="0"/>
        <w:contextualSpacing/>
        <w:jc w:val="both"/>
        <w:rPr>
          <w:rFonts w:ascii="Arial" w:hAnsi="Arial" w:cs="Arial"/>
          <w:b/>
          <w:sz w:val="22"/>
          <w:szCs w:val="22"/>
        </w:rPr>
      </w:pPr>
      <w:r w:rsidRPr="00CC2911">
        <w:rPr>
          <w:rFonts w:ascii="Arial" w:hAnsi="Arial" w:cs="Arial"/>
          <w:b/>
          <w:sz w:val="22"/>
          <w:szCs w:val="22"/>
        </w:rPr>
        <w:t>ASUNTO:</w:t>
      </w:r>
      <w:r w:rsidRPr="00CC2911">
        <w:rPr>
          <w:rFonts w:ascii="Arial" w:hAnsi="Arial" w:cs="Arial"/>
          <w:b/>
          <w:sz w:val="22"/>
          <w:szCs w:val="22"/>
        </w:rPr>
        <w:tab/>
      </w:r>
      <w:r w:rsidR="00913A83">
        <w:rPr>
          <w:rFonts w:ascii="Arial" w:hAnsi="Arial" w:cs="Arial"/>
          <w:b/>
          <w:sz w:val="22"/>
          <w:szCs w:val="22"/>
        </w:rPr>
        <w:t>COMERCIALIZACIÓN DE GLP DE COMISIONAMIENTO DE CUPIAGUA</w:t>
      </w:r>
    </w:p>
    <w:p w14:paraId="1FACE246" w14:textId="6167177E" w:rsidR="00551461" w:rsidRDefault="00551461" w:rsidP="00C93496">
      <w:pPr>
        <w:pStyle w:val="Textoindependiente"/>
        <w:spacing w:after="0" w:line="240" w:lineRule="auto"/>
        <w:contextualSpacing/>
        <w:rPr>
          <w:rFonts w:cs="Arial"/>
          <w:sz w:val="24"/>
          <w:szCs w:val="24"/>
        </w:rPr>
      </w:pPr>
    </w:p>
    <w:p w14:paraId="4AFD2D17" w14:textId="77777777" w:rsidR="00423CFD" w:rsidRDefault="00423CFD" w:rsidP="00C93496">
      <w:pPr>
        <w:pStyle w:val="Textoindependiente"/>
        <w:spacing w:after="0" w:line="240" w:lineRule="auto"/>
        <w:contextualSpacing/>
        <w:rPr>
          <w:rFonts w:cs="Arial"/>
          <w:sz w:val="24"/>
          <w:szCs w:val="24"/>
        </w:rPr>
      </w:pPr>
    </w:p>
    <w:p w14:paraId="2A3193CC" w14:textId="77777777" w:rsidR="00560230" w:rsidRDefault="00913A83" w:rsidP="00913A83">
      <w:pPr>
        <w:pStyle w:val="Textoindependiente"/>
        <w:spacing w:after="0" w:line="240" w:lineRule="auto"/>
        <w:contextualSpacing/>
        <w:rPr>
          <w:rFonts w:cs="Arial"/>
          <w:sz w:val="22"/>
          <w:szCs w:val="22"/>
        </w:rPr>
      </w:pPr>
      <w:r>
        <w:rPr>
          <w:rFonts w:cs="Arial"/>
          <w:sz w:val="22"/>
          <w:szCs w:val="22"/>
        </w:rPr>
        <w:t>Considerando</w:t>
      </w:r>
      <w:r w:rsidR="00560230">
        <w:rPr>
          <w:rFonts w:cs="Arial"/>
          <w:sz w:val="22"/>
          <w:szCs w:val="22"/>
        </w:rPr>
        <w:t>:</w:t>
      </w:r>
    </w:p>
    <w:p w14:paraId="4914995E" w14:textId="77777777" w:rsidR="00560230" w:rsidRDefault="00560230" w:rsidP="00913A83">
      <w:pPr>
        <w:pStyle w:val="Textoindependiente"/>
        <w:spacing w:after="0" w:line="240" w:lineRule="auto"/>
        <w:contextualSpacing/>
        <w:rPr>
          <w:rFonts w:cs="Arial"/>
          <w:sz w:val="22"/>
          <w:szCs w:val="22"/>
        </w:rPr>
      </w:pPr>
    </w:p>
    <w:p w14:paraId="146C340A" w14:textId="0E1D9118" w:rsidR="00913A83" w:rsidRDefault="00560230" w:rsidP="00560230">
      <w:pPr>
        <w:pStyle w:val="Textoindependiente"/>
        <w:numPr>
          <w:ilvl w:val="0"/>
          <w:numId w:val="20"/>
        </w:numPr>
        <w:spacing w:after="0" w:line="240" w:lineRule="auto"/>
        <w:ind w:left="284" w:hanging="284"/>
        <w:contextualSpacing/>
        <w:rPr>
          <w:rFonts w:cs="Arial"/>
          <w:sz w:val="22"/>
          <w:szCs w:val="22"/>
        </w:rPr>
      </w:pPr>
      <w:r>
        <w:rPr>
          <w:rFonts w:cs="Arial"/>
          <w:sz w:val="22"/>
          <w:szCs w:val="22"/>
        </w:rPr>
        <w:t>Q</w:t>
      </w:r>
      <w:r w:rsidR="00913A83">
        <w:rPr>
          <w:rFonts w:cs="Arial"/>
          <w:sz w:val="22"/>
          <w:szCs w:val="22"/>
        </w:rPr>
        <w:t xml:space="preserve">ue </w:t>
      </w:r>
      <w:r>
        <w:rPr>
          <w:rFonts w:cs="Arial"/>
          <w:sz w:val="22"/>
          <w:szCs w:val="22"/>
        </w:rPr>
        <w:t xml:space="preserve">mediante el </w:t>
      </w:r>
      <w:r w:rsidR="00913A83">
        <w:rPr>
          <w:rFonts w:cs="Arial"/>
          <w:sz w:val="22"/>
          <w:szCs w:val="22"/>
        </w:rPr>
        <w:t xml:space="preserve">artículo 4 de la Resolución CREG 083 de 2019 </w:t>
      </w:r>
      <w:r>
        <w:rPr>
          <w:rFonts w:cs="Arial"/>
          <w:sz w:val="22"/>
          <w:szCs w:val="22"/>
        </w:rPr>
        <w:t>se dispuso</w:t>
      </w:r>
      <w:r w:rsidR="00913A83">
        <w:rPr>
          <w:rFonts w:cs="Arial"/>
          <w:sz w:val="22"/>
          <w:szCs w:val="22"/>
        </w:rPr>
        <w:t>:</w:t>
      </w:r>
    </w:p>
    <w:p w14:paraId="2DCF4B10" w14:textId="77777777" w:rsidR="00913A83" w:rsidRPr="00913A83" w:rsidRDefault="00913A83" w:rsidP="00913A83">
      <w:pPr>
        <w:pStyle w:val="Textoindependiente"/>
        <w:spacing w:after="0" w:line="240" w:lineRule="auto"/>
        <w:contextualSpacing/>
        <w:rPr>
          <w:rFonts w:cs="Arial"/>
          <w:sz w:val="22"/>
          <w:szCs w:val="22"/>
        </w:rPr>
      </w:pPr>
    </w:p>
    <w:p w14:paraId="5BE0E4F5" w14:textId="1B86CE89" w:rsidR="00913A83" w:rsidRPr="00BE0FD2" w:rsidRDefault="00BE0FD2" w:rsidP="00C93496">
      <w:pPr>
        <w:pStyle w:val="Textoindependiente"/>
        <w:spacing w:after="0" w:line="240" w:lineRule="auto"/>
        <w:ind w:left="567"/>
        <w:contextualSpacing/>
        <w:rPr>
          <w:rFonts w:cs="Arial"/>
          <w:i/>
        </w:rPr>
      </w:pPr>
      <w:r w:rsidRPr="00BE0FD2">
        <w:rPr>
          <w:rFonts w:cs="Arial"/>
          <w:i/>
        </w:rPr>
        <w:t xml:space="preserve">“(…) </w:t>
      </w:r>
      <w:r w:rsidR="00913A83" w:rsidRPr="00BE0FD2">
        <w:rPr>
          <w:rFonts w:cs="Arial"/>
          <w:b/>
          <w:i/>
          <w:u w:val="single"/>
        </w:rPr>
        <w:t>Este esquema se desarrollará a partir de ciclos de nominación de suministro</w:t>
      </w:r>
      <w:r w:rsidR="00913A83" w:rsidRPr="00BE0FD2">
        <w:rPr>
          <w:rFonts w:cs="Arial"/>
          <w:i/>
        </w:rPr>
        <w:t>. Para estos efectos Ecopetrol publicará en su página web el procedimiento y las actividades que componen el ciclo de nominación de suministro, el cual deberá contener como mínimo las siguientes actividades:</w:t>
      </w:r>
    </w:p>
    <w:p w14:paraId="5DBC6F42" w14:textId="77777777" w:rsidR="00913A83" w:rsidRPr="00BE0FD2" w:rsidRDefault="00913A83" w:rsidP="00C93496">
      <w:pPr>
        <w:pStyle w:val="Textoindependiente"/>
        <w:spacing w:after="0" w:line="240" w:lineRule="auto"/>
        <w:ind w:left="567"/>
        <w:contextualSpacing/>
        <w:rPr>
          <w:rFonts w:cs="Arial"/>
          <w:i/>
        </w:rPr>
      </w:pPr>
    </w:p>
    <w:p w14:paraId="2105122B" w14:textId="77777777" w:rsidR="00913A83" w:rsidRPr="00BE0FD2" w:rsidRDefault="00913A83" w:rsidP="00C93496">
      <w:pPr>
        <w:pStyle w:val="Textoindependiente"/>
        <w:spacing w:after="0" w:line="240" w:lineRule="auto"/>
        <w:ind w:left="993" w:hanging="425"/>
        <w:contextualSpacing/>
        <w:rPr>
          <w:rFonts w:cs="Arial"/>
          <w:b/>
          <w:i/>
          <w:u w:val="single"/>
        </w:rPr>
      </w:pPr>
      <w:r w:rsidRPr="00BE0FD2">
        <w:rPr>
          <w:rFonts w:cs="Arial"/>
          <w:i/>
        </w:rPr>
        <w:t>a)</w:t>
      </w:r>
      <w:r w:rsidRPr="00BE0FD2">
        <w:rPr>
          <w:rFonts w:cs="Arial"/>
          <w:i/>
        </w:rPr>
        <w:tab/>
      </w:r>
      <w:r w:rsidRPr="00BE0FD2">
        <w:rPr>
          <w:rFonts w:cs="Arial"/>
          <w:b/>
          <w:i/>
          <w:u w:val="single"/>
        </w:rPr>
        <w:t>Anuncio de las cantidades disponibles.</w:t>
      </w:r>
    </w:p>
    <w:p w14:paraId="5A96B145" w14:textId="77777777" w:rsidR="00913A83" w:rsidRPr="00BE0FD2" w:rsidRDefault="00913A83" w:rsidP="00C93496">
      <w:pPr>
        <w:pStyle w:val="Textoindependiente"/>
        <w:spacing w:after="0" w:line="240" w:lineRule="auto"/>
        <w:ind w:left="993" w:hanging="425"/>
        <w:contextualSpacing/>
        <w:rPr>
          <w:rFonts w:cs="Arial"/>
          <w:i/>
        </w:rPr>
      </w:pPr>
      <w:r w:rsidRPr="00BE0FD2">
        <w:rPr>
          <w:rFonts w:cs="Arial"/>
          <w:i/>
        </w:rPr>
        <w:t>b)</w:t>
      </w:r>
      <w:r w:rsidRPr="00BE0FD2">
        <w:rPr>
          <w:rFonts w:cs="Arial"/>
          <w:i/>
        </w:rPr>
        <w:tab/>
        <w:t>Recibo de solicitudes de compra.</w:t>
      </w:r>
    </w:p>
    <w:p w14:paraId="621B8000" w14:textId="77777777" w:rsidR="00913A83" w:rsidRPr="00BE0FD2" w:rsidRDefault="00913A83" w:rsidP="00C93496">
      <w:pPr>
        <w:pStyle w:val="Textoindependiente"/>
        <w:spacing w:after="0" w:line="240" w:lineRule="auto"/>
        <w:ind w:left="993" w:hanging="425"/>
        <w:contextualSpacing/>
        <w:rPr>
          <w:rFonts w:cs="Arial"/>
          <w:i/>
        </w:rPr>
      </w:pPr>
      <w:r w:rsidRPr="00BE0FD2">
        <w:rPr>
          <w:rFonts w:cs="Arial"/>
          <w:i/>
        </w:rPr>
        <w:t>c)</w:t>
      </w:r>
      <w:r w:rsidRPr="00BE0FD2">
        <w:rPr>
          <w:rFonts w:cs="Arial"/>
          <w:i/>
        </w:rPr>
        <w:tab/>
        <w:t>Asignación de cantidades.</w:t>
      </w:r>
    </w:p>
    <w:p w14:paraId="540A7B55" w14:textId="03B60881" w:rsidR="00913A83" w:rsidRPr="00BE0FD2" w:rsidRDefault="00913A83" w:rsidP="00C93496">
      <w:pPr>
        <w:pStyle w:val="Textoindependiente"/>
        <w:spacing w:after="0" w:line="240" w:lineRule="auto"/>
        <w:ind w:left="993" w:hanging="425"/>
        <w:contextualSpacing/>
        <w:rPr>
          <w:rFonts w:cs="Arial"/>
        </w:rPr>
      </w:pPr>
      <w:r w:rsidRPr="00BE0FD2">
        <w:rPr>
          <w:rFonts w:cs="Arial"/>
          <w:i/>
        </w:rPr>
        <w:t>d)</w:t>
      </w:r>
      <w:r w:rsidRPr="00BE0FD2">
        <w:rPr>
          <w:rFonts w:cs="Arial"/>
          <w:i/>
        </w:rPr>
        <w:tab/>
        <w:t>Confirmación del programa de entregas.</w:t>
      </w:r>
      <w:r w:rsidR="00BE0FD2" w:rsidRPr="00BE0FD2">
        <w:rPr>
          <w:rFonts w:cs="Arial"/>
          <w:i/>
        </w:rPr>
        <w:t xml:space="preserve"> (…)”</w:t>
      </w:r>
      <w:r w:rsidR="00BE0FD2">
        <w:rPr>
          <w:rFonts w:cs="Arial"/>
          <w:i/>
        </w:rPr>
        <w:t xml:space="preserve"> </w:t>
      </w:r>
      <w:r w:rsidR="00BE0FD2">
        <w:rPr>
          <w:rFonts w:cs="Arial"/>
        </w:rPr>
        <w:t>Resaltado y subrayado fuera de texto</w:t>
      </w:r>
    </w:p>
    <w:p w14:paraId="088EDC3E" w14:textId="77777777" w:rsidR="00913A83" w:rsidRDefault="00913A83" w:rsidP="00560230">
      <w:pPr>
        <w:pStyle w:val="Textoindependiente"/>
        <w:spacing w:after="0" w:line="240" w:lineRule="auto"/>
        <w:ind w:left="284"/>
        <w:contextualSpacing/>
        <w:rPr>
          <w:rFonts w:cs="Arial"/>
          <w:sz w:val="22"/>
          <w:szCs w:val="22"/>
        </w:rPr>
      </w:pPr>
    </w:p>
    <w:p w14:paraId="271D2C6F" w14:textId="72660D06" w:rsidR="00913A83" w:rsidRDefault="00BE0FD2" w:rsidP="00560230">
      <w:pPr>
        <w:pStyle w:val="Textoindependiente"/>
        <w:spacing w:after="0" w:line="240" w:lineRule="auto"/>
        <w:ind w:left="284"/>
        <w:contextualSpacing/>
        <w:rPr>
          <w:rFonts w:cs="Arial"/>
          <w:sz w:val="22"/>
          <w:szCs w:val="22"/>
        </w:rPr>
      </w:pPr>
      <w:r>
        <w:rPr>
          <w:rFonts w:cs="Arial"/>
          <w:sz w:val="22"/>
          <w:szCs w:val="22"/>
        </w:rPr>
        <w:t>Según el cual</w:t>
      </w:r>
      <w:r w:rsidR="00560230">
        <w:rPr>
          <w:rFonts w:cs="Arial"/>
          <w:sz w:val="22"/>
          <w:szCs w:val="22"/>
        </w:rPr>
        <w:t xml:space="preserve"> el esquema de comercialización del GLP de </w:t>
      </w:r>
      <w:r w:rsidR="00423CFD">
        <w:rPr>
          <w:rFonts w:cs="Arial"/>
          <w:sz w:val="22"/>
          <w:szCs w:val="22"/>
        </w:rPr>
        <w:t>c</w:t>
      </w:r>
      <w:r w:rsidR="00560230">
        <w:rPr>
          <w:rFonts w:cs="Arial"/>
          <w:sz w:val="22"/>
          <w:szCs w:val="22"/>
        </w:rPr>
        <w:t xml:space="preserve">omisionamiento se desarrolla a partir de ciclos de nominación y </w:t>
      </w:r>
      <w:r>
        <w:rPr>
          <w:rFonts w:cs="Arial"/>
          <w:sz w:val="22"/>
          <w:szCs w:val="22"/>
        </w:rPr>
        <w:t>el ciclo de nominación inicia con el anuncio de las cantidades disponibles</w:t>
      </w:r>
      <w:r w:rsidR="00560230">
        <w:rPr>
          <w:rFonts w:cs="Arial"/>
          <w:sz w:val="22"/>
          <w:szCs w:val="22"/>
        </w:rPr>
        <w:t>.</w:t>
      </w:r>
    </w:p>
    <w:p w14:paraId="40313690" w14:textId="09047EB1" w:rsidR="00913A83" w:rsidRDefault="00913A83" w:rsidP="00913A83">
      <w:pPr>
        <w:pStyle w:val="Textoindependiente"/>
        <w:spacing w:after="0" w:line="240" w:lineRule="auto"/>
        <w:contextualSpacing/>
        <w:rPr>
          <w:rFonts w:cs="Arial"/>
          <w:sz w:val="22"/>
          <w:szCs w:val="22"/>
        </w:rPr>
      </w:pPr>
    </w:p>
    <w:p w14:paraId="00367167" w14:textId="227C218E" w:rsidR="00560230" w:rsidRDefault="00560230" w:rsidP="00560230">
      <w:pPr>
        <w:pStyle w:val="Textoindependiente"/>
        <w:numPr>
          <w:ilvl w:val="0"/>
          <w:numId w:val="20"/>
        </w:numPr>
        <w:spacing w:after="0" w:line="240" w:lineRule="auto"/>
        <w:ind w:left="284" w:hanging="284"/>
        <w:contextualSpacing/>
        <w:rPr>
          <w:rFonts w:cs="Arial"/>
          <w:sz w:val="22"/>
          <w:szCs w:val="22"/>
        </w:rPr>
      </w:pPr>
      <w:r>
        <w:rPr>
          <w:rFonts w:cs="Arial"/>
          <w:sz w:val="22"/>
          <w:szCs w:val="22"/>
        </w:rPr>
        <w:t>Que mediante comunicación de radicado CREG E-2019-</w:t>
      </w:r>
      <w:r w:rsidR="008C57F4">
        <w:rPr>
          <w:rFonts w:cs="Arial"/>
          <w:sz w:val="22"/>
          <w:szCs w:val="22"/>
        </w:rPr>
        <w:t>009104</w:t>
      </w:r>
      <w:r>
        <w:rPr>
          <w:rFonts w:cs="Arial"/>
          <w:sz w:val="22"/>
          <w:szCs w:val="22"/>
        </w:rPr>
        <w:t xml:space="preserve"> Ecopetrol inform</w:t>
      </w:r>
      <w:r w:rsidR="008C57F4">
        <w:rPr>
          <w:rFonts w:cs="Arial"/>
          <w:sz w:val="22"/>
          <w:szCs w:val="22"/>
        </w:rPr>
        <w:t>ó a esta Comisión la publicación de la Circular No. 01 Oferta GPP-06-S22019-1</w:t>
      </w:r>
      <w:r>
        <w:rPr>
          <w:rFonts w:cs="Arial"/>
          <w:sz w:val="22"/>
          <w:szCs w:val="22"/>
        </w:rPr>
        <w:t xml:space="preserve"> </w:t>
      </w:r>
      <w:r w:rsidR="008C57F4">
        <w:rPr>
          <w:rFonts w:cs="Arial"/>
          <w:sz w:val="22"/>
          <w:szCs w:val="22"/>
        </w:rPr>
        <w:t xml:space="preserve">en la que se presentan las fechas del </w:t>
      </w:r>
      <w:r>
        <w:rPr>
          <w:rFonts w:cs="Arial"/>
          <w:sz w:val="22"/>
          <w:szCs w:val="22"/>
        </w:rPr>
        <w:t xml:space="preserve">cronograma </w:t>
      </w:r>
      <w:r w:rsidR="008C57F4">
        <w:rPr>
          <w:rFonts w:cs="Arial"/>
          <w:sz w:val="22"/>
          <w:szCs w:val="22"/>
        </w:rPr>
        <w:t>de la oferta con relación al primer periodo de entrega (12 de septiembre – 1º de octubre de 2019), indicando</w:t>
      </w:r>
      <w:r w:rsidR="002C5D3B">
        <w:rPr>
          <w:rFonts w:cs="Arial"/>
          <w:sz w:val="22"/>
          <w:szCs w:val="22"/>
        </w:rPr>
        <w:t>,</w:t>
      </w:r>
      <w:r w:rsidR="008C57F4">
        <w:rPr>
          <w:rFonts w:cs="Arial"/>
          <w:sz w:val="22"/>
          <w:szCs w:val="22"/>
        </w:rPr>
        <w:t xml:space="preserve"> entre otras cosas:</w:t>
      </w:r>
    </w:p>
    <w:p w14:paraId="7F522C0F" w14:textId="36F56E44" w:rsidR="00913A83" w:rsidRDefault="00913A83" w:rsidP="008C57F4">
      <w:pPr>
        <w:pStyle w:val="Textoindependiente"/>
        <w:spacing w:after="0" w:line="240" w:lineRule="auto"/>
        <w:ind w:left="284"/>
        <w:contextualSpacing/>
        <w:rPr>
          <w:rFonts w:cs="Arial"/>
          <w:sz w:val="22"/>
          <w:szCs w:val="22"/>
        </w:rPr>
      </w:pPr>
    </w:p>
    <w:tbl>
      <w:tblPr>
        <w:tblStyle w:val="Tablaconcuadrcula"/>
        <w:tblW w:w="8549" w:type="dxa"/>
        <w:tblInd w:w="562" w:type="dxa"/>
        <w:tblLook w:val="04A0" w:firstRow="1" w:lastRow="0" w:firstColumn="1" w:lastColumn="0" w:noHBand="0" w:noVBand="1"/>
      </w:tblPr>
      <w:tblGrid>
        <w:gridCol w:w="4820"/>
        <w:gridCol w:w="2126"/>
        <w:gridCol w:w="1603"/>
      </w:tblGrid>
      <w:tr w:rsidR="008C57F4" w:rsidRPr="008C57F4" w14:paraId="0EA61207" w14:textId="77777777" w:rsidTr="008C57F4">
        <w:trPr>
          <w:trHeight w:val="370"/>
        </w:trPr>
        <w:tc>
          <w:tcPr>
            <w:tcW w:w="4820" w:type="dxa"/>
            <w:vAlign w:val="center"/>
          </w:tcPr>
          <w:p w14:paraId="1E539080" w14:textId="77777777" w:rsidR="008C57F4" w:rsidRPr="008C57F4" w:rsidRDefault="008C57F4" w:rsidP="008C57F4">
            <w:pPr>
              <w:pStyle w:val="Textoindependiente"/>
              <w:spacing w:after="0" w:line="240" w:lineRule="auto"/>
              <w:contextualSpacing/>
              <w:jc w:val="center"/>
              <w:rPr>
                <w:rFonts w:cs="Arial"/>
                <w:i/>
              </w:rPr>
            </w:pPr>
            <w:r w:rsidRPr="008C57F4">
              <w:rPr>
                <w:rFonts w:cs="Arial"/>
                <w:i/>
              </w:rPr>
              <w:t>Etapa / Actividad</w:t>
            </w:r>
          </w:p>
        </w:tc>
        <w:tc>
          <w:tcPr>
            <w:tcW w:w="2126" w:type="dxa"/>
            <w:vAlign w:val="center"/>
          </w:tcPr>
          <w:p w14:paraId="06DB532D" w14:textId="77777777" w:rsidR="008C57F4" w:rsidRPr="008C57F4" w:rsidRDefault="008C57F4" w:rsidP="008C57F4">
            <w:pPr>
              <w:pStyle w:val="Textoindependiente"/>
              <w:spacing w:after="0" w:line="240" w:lineRule="auto"/>
              <w:contextualSpacing/>
              <w:jc w:val="center"/>
              <w:rPr>
                <w:rFonts w:cs="Arial"/>
                <w:i/>
              </w:rPr>
            </w:pPr>
            <w:r w:rsidRPr="008C57F4">
              <w:rPr>
                <w:rFonts w:cs="Arial"/>
                <w:i/>
              </w:rPr>
              <w:t>Períodos / Fechas</w:t>
            </w:r>
          </w:p>
        </w:tc>
        <w:tc>
          <w:tcPr>
            <w:tcW w:w="1603" w:type="dxa"/>
            <w:vAlign w:val="center"/>
          </w:tcPr>
          <w:p w14:paraId="27129335" w14:textId="77777777" w:rsidR="008C57F4" w:rsidRPr="008C57F4" w:rsidRDefault="008C57F4" w:rsidP="008C57F4">
            <w:pPr>
              <w:pStyle w:val="Textoindependiente"/>
              <w:spacing w:after="0" w:line="240" w:lineRule="auto"/>
              <w:contextualSpacing/>
              <w:jc w:val="center"/>
              <w:rPr>
                <w:rFonts w:cs="Arial"/>
                <w:i/>
              </w:rPr>
            </w:pPr>
            <w:r w:rsidRPr="008C57F4">
              <w:rPr>
                <w:rFonts w:cs="Arial"/>
                <w:i/>
              </w:rPr>
              <w:t>Responsable</w:t>
            </w:r>
          </w:p>
        </w:tc>
      </w:tr>
      <w:tr w:rsidR="008C57F4" w:rsidRPr="008C57F4" w14:paraId="6E42CA5C" w14:textId="77777777" w:rsidTr="008C57F4">
        <w:trPr>
          <w:trHeight w:val="559"/>
        </w:trPr>
        <w:tc>
          <w:tcPr>
            <w:tcW w:w="4820" w:type="dxa"/>
            <w:vAlign w:val="center"/>
          </w:tcPr>
          <w:p w14:paraId="140E4BBF" w14:textId="16C42DBB" w:rsidR="008C57F4" w:rsidRPr="008C57F4" w:rsidRDefault="008C57F4" w:rsidP="008C57F4">
            <w:pPr>
              <w:pStyle w:val="Textoindependiente"/>
              <w:spacing w:after="0" w:line="240" w:lineRule="auto"/>
              <w:contextualSpacing/>
              <w:rPr>
                <w:rFonts w:cs="Arial"/>
                <w:i/>
              </w:rPr>
            </w:pPr>
            <w:r w:rsidRPr="008C57F4">
              <w:rPr>
                <w:rFonts w:cs="Arial"/>
                <w:i/>
              </w:rPr>
              <w:t>Anuncio de cantidades disponibles de producto (Cantidad Total Disponible de Producción).</w:t>
            </w:r>
          </w:p>
        </w:tc>
        <w:tc>
          <w:tcPr>
            <w:tcW w:w="2126" w:type="dxa"/>
            <w:vAlign w:val="center"/>
          </w:tcPr>
          <w:p w14:paraId="037C9085" w14:textId="77777777" w:rsidR="008C57F4" w:rsidRPr="008C57F4" w:rsidRDefault="008C57F4" w:rsidP="008C57F4">
            <w:pPr>
              <w:pStyle w:val="Textoindependiente"/>
              <w:spacing w:after="0" w:line="240" w:lineRule="auto"/>
              <w:contextualSpacing/>
              <w:jc w:val="center"/>
              <w:rPr>
                <w:rFonts w:cs="Arial"/>
                <w:i/>
              </w:rPr>
            </w:pPr>
            <w:r w:rsidRPr="008C57F4">
              <w:rPr>
                <w:rFonts w:cs="Arial"/>
                <w:i/>
              </w:rPr>
              <w:t>28 de agosto de 2019</w:t>
            </w:r>
          </w:p>
        </w:tc>
        <w:tc>
          <w:tcPr>
            <w:tcW w:w="1603" w:type="dxa"/>
            <w:vAlign w:val="center"/>
          </w:tcPr>
          <w:p w14:paraId="5CC0DF49" w14:textId="77777777" w:rsidR="008C57F4" w:rsidRPr="008C57F4" w:rsidRDefault="008C57F4" w:rsidP="008C57F4">
            <w:pPr>
              <w:pStyle w:val="Textoindependiente"/>
              <w:spacing w:after="0" w:line="240" w:lineRule="auto"/>
              <w:contextualSpacing/>
              <w:jc w:val="center"/>
              <w:rPr>
                <w:rFonts w:cs="Arial"/>
                <w:i/>
              </w:rPr>
            </w:pPr>
            <w:r w:rsidRPr="008C57F4">
              <w:rPr>
                <w:rFonts w:cs="Arial"/>
                <w:i/>
              </w:rPr>
              <w:t>Ecopetrol S.A.</w:t>
            </w:r>
          </w:p>
        </w:tc>
      </w:tr>
    </w:tbl>
    <w:p w14:paraId="0CF1D08D" w14:textId="77777777" w:rsidR="00CC25A4" w:rsidRDefault="00CC25A4" w:rsidP="00913A83">
      <w:pPr>
        <w:pStyle w:val="Textoindependiente"/>
        <w:spacing w:after="0" w:line="240" w:lineRule="auto"/>
        <w:contextualSpacing/>
        <w:rPr>
          <w:rFonts w:cs="Arial"/>
          <w:sz w:val="22"/>
          <w:szCs w:val="22"/>
        </w:rPr>
      </w:pPr>
    </w:p>
    <w:p w14:paraId="29F757AF" w14:textId="52315F0B" w:rsidR="00CC25A4" w:rsidRDefault="00CC25A4" w:rsidP="00CC25A4">
      <w:pPr>
        <w:pStyle w:val="Textoindependiente"/>
        <w:numPr>
          <w:ilvl w:val="0"/>
          <w:numId w:val="20"/>
        </w:numPr>
        <w:spacing w:after="0" w:line="240" w:lineRule="auto"/>
        <w:ind w:left="284" w:hanging="284"/>
        <w:contextualSpacing/>
        <w:rPr>
          <w:rFonts w:cs="Arial"/>
          <w:sz w:val="22"/>
          <w:szCs w:val="22"/>
        </w:rPr>
      </w:pPr>
      <w:r>
        <w:rPr>
          <w:rFonts w:cs="Arial"/>
          <w:sz w:val="22"/>
          <w:szCs w:val="22"/>
        </w:rPr>
        <w:t>Que mediante el artículo 4 de la Resolución CREG 083 de 2019 se dispuso:</w:t>
      </w:r>
    </w:p>
    <w:p w14:paraId="10EB94CA" w14:textId="77777777" w:rsidR="00CC25A4" w:rsidRPr="00560230" w:rsidRDefault="00CC25A4" w:rsidP="00CC25A4">
      <w:pPr>
        <w:pStyle w:val="Textoindependiente"/>
        <w:contextualSpacing/>
        <w:rPr>
          <w:rFonts w:cs="Arial"/>
          <w:sz w:val="22"/>
          <w:szCs w:val="22"/>
        </w:rPr>
      </w:pPr>
    </w:p>
    <w:p w14:paraId="1C754E54" w14:textId="2AD7FF91" w:rsidR="00CC25A4" w:rsidRPr="00C93496" w:rsidRDefault="00CC25A4" w:rsidP="00CC25A4">
      <w:pPr>
        <w:pStyle w:val="Textoindependiente"/>
        <w:ind w:left="567"/>
        <w:contextualSpacing/>
        <w:rPr>
          <w:rFonts w:cs="Arial"/>
        </w:rPr>
      </w:pPr>
      <w:r w:rsidRPr="00C93496">
        <w:rPr>
          <w:rFonts w:cs="Arial"/>
          <w:i/>
        </w:rPr>
        <w:t xml:space="preserve">“(…) </w:t>
      </w:r>
      <w:r w:rsidRPr="00CC25A4">
        <w:rPr>
          <w:rFonts w:cs="Arial"/>
          <w:i/>
        </w:rPr>
        <w:t xml:space="preserve">El GLP producido durante el Comisionamiento se comercializará al precio máximo regulado de suministro que se encuentre vigente para la fuente </w:t>
      </w:r>
      <w:proofErr w:type="spellStart"/>
      <w:r w:rsidRPr="00CC25A4">
        <w:rPr>
          <w:rFonts w:cs="Arial"/>
          <w:i/>
        </w:rPr>
        <w:t>Cusiana</w:t>
      </w:r>
      <w:proofErr w:type="spellEnd"/>
      <w:r w:rsidRPr="00CC25A4">
        <w:rPr>
          <w:rFonts w:cs="Arial"/>
          <w:i/>
        </w:rPr>
        <w:t xml:space="preserve">. </w:t>
      </w:r>
      <w:r w:rsidRPr="002C5D3B">
        <w:rPr>
          <w:rFonts w:cs="Arial"/>
          <w:b/>
          <w:i/>
          <w:u w:val="single"/>
        </w:rPr>
        <w:t xml:space="preserve">Después de sesenta (60) días </w:t>
      </w:r>
      <w:r w:rsidRPr="002C5D3B">
        <w:rPr>
          <w:rFonts w:cs="Arial"/>
          <w:b/>
          <w:i/>
          <w:u w:val="single"/>
        </w:rPr>
        <w:lastRenderedPageBreak/>
        <w:t>calendario, contados desde la fecha de inicio del periodo de comisionamiento</w:t>
      </w:r>
      <w:r w:rsidRPr="00CC25A4">
        <w:rPr>
          <w:rFonts w:cs="Arial"/>
          <w:i/>
        </w:rPr>
        <w:t>, deberá aplicarse un descuento del 10% sobre dicho precio.</w:t>
      </w:r>
      <w:r>
        <w:rPr>
          <w:rFonts w:cs="Arial"/>
          <w:i/>
        </w:rPr>
        <w:t xml:space="preserve"> (…)”</w:t>
      </w:r>
      <w:r>
        <w:rPr>
          <w:rFonts w:cs="Arial"/>
        </w:rPr>
        <w:t xml:space="preserve"> </w:t>
      </w:r>
      <w:r w:rsidR="002C5D3B">
        <w:rPr>
          <w:rFonts w:cs="Arial"/>
        </w:rPr>
        <w:t>Resaltado y subrayado fuera de texto</w:t>
      </w:r>
    </w:p>
    <w:p w14:paraId="518C16BB" w14:textId="6C83D289" w:rsidR="00560230" w:rsidRDefault="00560230" w:rsidP="00913A83">
      <w:pPr>
        <w:pStyle w:val="Textoindependiente"/>
        <w:spacing w:after="0" w:line="240" w:lineRule="auto"/>
        <w:contextualSpacing/>
        <w:rPr>
          <w:rFonts w:cs="Arial"/>
          <w:sz w:val="22"/>
          <w:szCs w:val="22"/>
        </w:rPr>
      </w:pPr>
    </w:p>
    <w:p w14:paraId="53EB0735" w14:textId="6A146503" w:rsidR="00560230" w:rsidRDefault="00560230" w:rsidP="00560230">
      <w:pPr>
        <w:pStyle w:val="Textoindependiente"/>
        <w:numPr>
          <w:ilvl w:val="0"/>
          <w:numId w:val="20"/>
        </w:numPr>
        <w:spacing w:after="0" w:line="240" w:lineRule="auto"/>
        <w:ind w:left="284" w:hanging="284"/>
        <w:contextualSpacing/>
        <w:rPr>
          <w:rFonts w:cs="Arial"/>
          <w:sz w:val="22"/>
          <w:szCs w:val="22"/>
        </w:rPr>
      </w:pPr>
      <w:r>
        <w:rPr>
          <w:rFonts w:cs="Arial"/>
          <w:sz w:val="22"/>
          <w:szCs w:val="22"/>
        </w:rPr>
        <w:t xml:space="preserve">Que mediante el artículo </w:t>
      </w:r>
      <w:r w:rsidR="008C57F4">
        <w:rPr>
          <w:rFonts w:cs="Arial"/>
          <w:sz w:val="22"/>
          <w:szCs w:val="22"/>
        </w:rPr>
        <w:t xml:space="preserve">1 </w:t>
      </w:r>
      <w:r>
        <w:rPr>
          <w:rFonts w:cs="Arial"/>
          <w:sz w:val="22"/>
          <w:szCs w:val="22"/>
        </w:rPr>
        <w:t>de la Resolución CREG 083 de 2019 se dispuso:</w:t>
      </w:r>
    </w:p>
    <w:p w14:paraId="5356F6BA" w14:textId="77777777" w:rsidR="00560230" w:rsidRPr="00560230" w:rsidRDefault="00560230" w:rsidP="00560230">
      <w:pPr>
        <w:pStyle w:val="Textoindependiente"/>
        <w:contextualSpacing/>
        <w:rPr>
          <w:rFonts w:cs="Arial"/>
          <w:sz w:val="22"/>
          <w:szCs w:val="22"/>
        </w:rPr>
      </w:pPr>
    </w:p>
    <w:p w14:paraId="4A4431C9" w14:textId="2971DA70" w:rsidR="00560230" w:rsidRPr="00C93496" w:rsidRDefault="00560230" w:rsidP="00C93496">
      <w:pPr>
        <w:pStyle w:val="Textoindependiente"/>
        <w:ind w:left="567"/>
        <w:contextualSpacing/>
        <w:rPr>
          <w:rFonts w:cs="Arial"/>
          <w:i/>
        </w:rPr>
      </w:pPr>
      <w:r w:rsidRPr="00C93496">
        <w:rPr>
          <w:rFonts w:cs="Arial"/>
          <w:i/>
        </w:rPr>
        <w:t>“(…) Definiciones. Para interpretar y aplicar esta resolución se tendrán en cuenta las siguientes definiciones:</w:t>
      </w:r>
      <w:r w:rsidR="008C57F4">
        <w:rPr>
          <w:rFonts w:cs="Arial"/>
          <w:i/>
        </w:rPr>
        <w:t xml:space="preserve"> (…)</w:t>
      </w:r>
    </w:p>
    <w:p w14:paraId="3536BB4B" w14:textId="77777777" w:rsidR="00560230" w:rsidRPr="00C93496" w:rsidRDefault="00560230" w:rsidP="00C93496">
      <w:pPr>
        <w:pStyle w:val="Textoindependiente"/>
        <w:spacing w:after="0" w:line="240" w:lineRule="auto"/>
        <w:ind w:left="567"/>
        <w:contextualSpacing/>
        <w:rPr>
          <w:rFonts w:cs="Arial"/>
          <w:i/>
        </w:rPr>
      </w:pPr>
    </w:p>
    <w:p w14:paraId="0FBC0CD5" w14:textId="43A47D7A" w:rsidR="00560230" w:rsidRPr="00C93496" w:rsidRDefault="00560230" w:rsidP="00C93496">
      <w:pPr>
        <w:pStyle w:val="Textoindependiente"/>
        <w:spacing w:after="0" w:line="240" w:lineRule="auto"/>
        <w:ind w:left="567"/>
        <w:contextualSpacing/>
        <w:rPr>
          <w:rFonts w:cs="Arial"/>
        </w:rPr>
      </w:pPr>
      <w:r w:rsidRPr="00C93496">
        <w:rPr>
          <w:rFonts w:cs="Arial"/>
          <w:b/>
          <w:i/>
          <w:u w:val="single"/>
        </w:rPr>
        <w:t>Ciclo de nominación de suministro: Proceso estandarizado</w:t>
      </w:r>
      <w:r w:rsidRPr="00C93496">
        <w:rPr>
          <w:rFonts w:cs="Arial"/>
          <w:i/>
        </w:rPr>
        <w:t xml:space="preserve"> que se inicia con el anuncio de cantidades disponibles de producto por parte de Ecopetrol y que termina con la confirmación del respectivo programa de entregas.</w:t>
      </w:r>
      <w:r w:rsidR="00C93496">
        <w:rPr>
          <w:rFonts w:cs="Arial"/>
          <w:i/>
        </w:rPr>
        <w:t xml:space="preserve"> (…)”</w:t>
      </w:r>
      <w:r w:rsidR="00C93496">
        <w:rPr>
          <w:rFonts w:cs="Arial"/>
        </w:rPr>
        <w:t xml:space="preserve"> Resaltado y subrayado fuera de texto</w:t>
      </w:r>
    </w:p>
    <w:p w14:paraId="19A59506" w14:textId="56F6D603" w:rsidR="00560230" w:rsidRDefault="00560230" w:rsidP="00913A83">
      <w:pPr>
        <w:pStyle w:val="Textoindependiente"/>
        <w:spacing w:after="0" w:line="240" w:lineRule="auto"/>
        <w:contextualSpacing/>
        <w:rPr>
          <w:rFonts w:cs="Arial"/>
          <w:sz w:val="22"/>
          <w:szCs w:val="22"/>
        </w:rPr>
      </w:pPr>
    </w:p>
    <w:p w14:paraId="1F2445CA" w14:textId="439A7A2F" w:rsidR="00CC25A4" w:rsidRDefault="00CC25A4" w:rsidP="00CC25A4">
      <w:pPr>
        <w:pStyle w:val="Textoindependiente"/>
        <w:numPr>
          <w:ilvl w:val="0"/>
          <w:numId w:val="20"/>
        </w:numPr>
        <w:spacing w:after="0" w:line="240" w:lineRule="auto"/>
        <w:ind w:left="284" w:hanging="284"/>
        <w:contextualSpacing/>
        <w:rPr>
          <w:rFonts w:cs="Arial"/>
          <w:sz w:val="22"/>
          <w:szCs w:val="22"/>
        </w:rPr>
      </w:pPr>
      <w:r>
        <w:rPr>
          <w:rFonts w:cs="Arial"/>
          <w:sz w:val="22"/>
          <w:szCs w:val="22"/>
        </w:rPr>
        <w:t>Que mediante el artículo 6 de la Resolución CREG 083 de 2019 se dispuso:</w:t>
      </w:r>
    </w:p>
    <w:p w14:paraId="4D96110D" w14:textId="77777777" w:rsidR="00CC25A4" w:rsidRPr="00560230" w:rsidRDefault="00CC25A4" w:rsidP="00CC25A4">
      <w:pPr>
        <w:pStyle w:val="Textoindependiente"/>
        <w:contextualSpacing/>
        <w:rPr>
          <w:rFonts w:cs="Arial"/>
          <w:sz w:val="22"/>
          <w:szCs w:val="22"/>
        </w:rPr>
      </w:pPr>
    </w:p>
    <w:p w14:paraId="62723E2C" w14:textId="75FF1345" w:rsidR="00CC25A4" w:rsidRPr="00CC25A4" w:rsidRDefault="00CC25A4" w:rsidP="00CC25A4">
      <w:pPr>
        <w:pStyle w:val="Textoindependiente"/>
        <w:ind w:left="567"/>
        <w:contextualSpacing/>
        <w:rPr>
          <w:rFonts w:cs="Arial"/>
          <w:i/>
        </w:rPr>
      </w:pPr>
      <w:r w:rsidRPr="00C93496">
        <w:rPr>
          <w:rFonts w:cs="Arial"/>
          <w:i/>
        </w:rPr>
        <w:t>“(…)</w:t>
      </w:r>
      <w:r>
        <w:rPr>
          <w:rFonts w:cs="Arial"/>
          <w:i/>
        </w:rPr>
        <w:t xml:space="preserve"> </w:t>
      </w:r>
      <w:r w:rsidRPr="00CC25A4">
        <w:rPr>
          <w:rFonts w:cs="Arial"/>
          <w:i/>
        </w:rPr>
        <w:t>De los contratos y las obligaciones en la entrega del GLP de comisionamiento. En relación con estas materias se deberá tener en cuenta lo siguiente:</w:t>
      </w:r>
    </w:p>
    <w:p w14:paraId="53C8071C" w14:textId="77777777" w:rsidR="00CC25A4" w:rsidRPr="00CC25A4" w:rsidRDefault="00CC25A4" w:rsidP="00CC25A4">
      <w:pPr>
        <w:pStyle w:val="Textoindependiente"/>
        <w:ind w:left="567"/>
        <w:contextualSpacing/>
        <w:rPr>
          <w:rFonts w:cs="Arial"/>
          <w:i/>
        </w:rPr>
      </w:pPr>
    </w:p>
    <w:p w14:paraId="3BC590F1" w14:textId="77777777" w:rsidR="00CC25A4" w:rsidRPr="00CC25A4" w:rsidRDefault="00CC25A4" w:rsidP="00CC25A4">
      <w:pPr>
        <w:pStyle w:val="Textoindependiente"/>
        <w:ind w:left="851" w:hanging="284"/>
        <w:contextualSpacing/>
        <w:rPr>
          <w:rFonts w:cs="Arial"/>
          <w:i/>
        </w:rPr>
      </w:pPr>
      <w:r w:rsidRPr="00CC25A4">
        <w:rPr>
          <w:rFonts w:cs="Arial"/>
          <w:i/>
        </w:rPr>
        <w:t>a)</w:t>
      </w:r>
      <w:r w:rsidRPr="00CC25A4">
        <w:rPr>
          <w:rFonts w:cs="Arial"/>
          <w:i/>
        </w:rPr>
        <w:tab/>
        <w:t xml:space="preserve">Como requisito previo al envío de solicitudes de compra, dentro del esquema de comercialización de GLP producido durante el comisionamiento, los compradores deberán suscribir con el vendedor un contrato de suministro de GLP de comisionamiento. </w:t>
      </w:r>
      <w:r w:rsidRPr="00CC25A4">
        <w:rPr>
          <w:rFonts w:cs="Arial"/>
          <w:b/>
          <w:i/>
          <w:u w:val="single"/>
        </w:rPr>
        <w:t>Para la suscripción del contrato, el vendedor no podrá exigir a los compradores requisitos diferentes a los previstos en la Resolución CREG 053 de 2011.</w:t>
      </w:r>
      <w:r w:rsidRPr="00CC25A4">
        <w:rPr>
          <w:rFonts w:cs="Arial"/>
          <w:i/>
        </w:rPr>
        <w:t xml:space="preserve"> El vendedor deberá garantizar que todos los interesados en adquirir el producto puedan participar del esquema en igualdad de condiciones y oportunidades.</w:t>
      </w:r>
    </w:p>
    <w:p w14:paraId="25564A3D" w14:textId="77777777" w:rsidR="00CC25A4" w:rsidRPr="00CC25A4" w:rsidRDefault="00CC25A4" w:rsidP="00CC25A4">
      <w:pPr>
        <w:pStyle w:val="Textoindependiente"/>
        <w:ind w:left="851" w:hanging="284"/>
        <w:contextualSpacing/>
        <w:rPr>
          <w:rFonts w:cs="Arial"/>
          <w:i/>
        </w:rPr>
      </w:pPr>
    </w:p>
    <w:p w14:paraId="3EC1605D" w14:textId="72C93538" w:rsidR="00CC25A4" w:rsidRPr="00812A0C" w:rsidRDefault="00CC25A4" w:rsidP="00812A0C">
      <w:pPr>
        <w:pStyle w:val="Textoindependiente"/>
        <w:ind w:left="851" w:hanging="284"/>
        <w:contextualSpacing/>
        <w:rPr>
          <w:rFonts w:cs="Arial"/>
          <w:i/>
        </w:rPr>
      </w:pPr>
      <w:r w:rsidRPr="00CC25A4">
        <w:rPr>
          <w:rFonts w:cs="Arial"/>
          <w:i/>
        </w:rPr>
        <w:t>b)</w:t>
      </w:r>
      <w:r w:rsidRPr="00CC25A4">
        <w:rPr>
          <w:rFonts w:cs="Arial"/>
          <w:i/>
        </w:rPr>
        <w:tab/>
      </w:r>
      <w:r w:rsidRPr="00812A0C">
        <w:rPr>
          <w:rFonts w:cs="Arial"/>
          <w:b/>
          <w:i/>
          <w:u w:val="single"/>
        </w:rPr>
        <w:t>Solo será necesaria la suscripción de un contrato de suministro de GLP de comisionamiento, entre un comprador y el vendedor, para su participación en el esquema de comercialización del que trata esta resolución durante toda su duración.</w:t>
      </w:r>
      <w:r w:rsidRPr="00CC25A4">
        <w:rPr>
          <w:rFonts w:cs="Arial"/>
          <w:i/>
        </w:rPr>
        <w:t xml:space="preserve"> La vigencia de este contrato será hasta la fecha de terminación </w:t>
      </w:r>
      <w:r w:rsidR="00812A0C">
        <w:rPr>
          <w:rFonts w:cs="Arial"/>
          <w:i/>
        </w:rPr>
        <w:t xml:space="preserve">del periodo de Comisionamiento. </w:t>
      </w:r>
      <w:r>
        <w:rPr>
          <w:rFonts w:cs="Arial"/>
          <w:i/>
        </w:rPr>
        <w:t>(…)”</w:t>
      </w:r>
      <w:r>
        <w:rPr>
          <w:rFonts w:cs="Arial"/>
        </w:rPr>
        <w:t xml:space="preserve"> Resaltado y subrayado fuera de texto</w:t>
      </w:r>
    </w:p>
    <w:p w14:paraId="567D1053" w14:textId="58E3BCA4" w:rsidR="00CC25A4" w:rsidRDefault="00CC25A4" w:rsidP="00913A83">
      <w:pPr>
        <w:pStyle w:val="Textoindependiente"/>
        <w:spacing w:after="0" w:line="240" w:lineRule="auto"/>
        <w:contextualSpacing/>
        <w:rPr>
          <w:rFonts w:cs="Arial"/>
          <w:sz w:val="22"/>
          <w:szCs w:val="22"/>
        </w:rPr>
      </w:pPr>
    </w:p>
    <w:p w14:paraId="692A2882" w14:textId="7C310068" w:rsidR="00913A83" w:rsidRDefault="00C93496" w:rsidP="00913A83">
      <w:pPr>
        <w:pStyle w:val="Textoindependiente"/>
        <w:spacing w:after="0" w:line="240" w:lineRule="auto"/>
        <w:contextualSpacing/>
        <w:rPr>
          <w:rFonts w:cs="Arial"/>
          <w:sz w:val="22"/>
          <w:szCs w:val="22"/>
        </w:rPr>
      </w:pPr>
      <w:r w:rsidRPr="00FC704F">
        <w:rPr>
          <w:rFonts w:cs="Arial"/>
          <w:sz w:val="22"/>
          <w:szCs w:val="22"/>
        </w:rPr>
        <w:t xml:space="preserve">El Director Ejecutivo de la Comisión de Regulación de Energía y Gas – CREG </w:t>
      </w:r>
      <w:r>
        <w:rPr>
          <w:rFonts w:cs="Arial"/>
          <w:sz w:val="22"/>
          <w:szCs w:val="22"/>
        </w:rPr>
        <w:t>s</w:t>
      </w:r>
      <w:r w:rsidR="00913A83">
        <w:rPr>
          <w:rFonts w:cs="Arial"/>
          <w:sz w:val="22"/>
          <w:szCs w:val="22"/>
        </w:rPr>
        <w:t xml:space="preserve">e permite </w:t>
      </w:r>
      <w:r w:rsidR="00825C80">
        <w:rPr>
          <w:rFonts w:cs="Arial"/>
          <w:sz w:val="22"/>
          <w:szCs w:val="22"/>
        </w:rPr>
        <w:t>informar lo siguiente con respecto a</w:t>
      </w:r>
      <w:r w:rsidR="002C5D3B">
        <w:rPr>
          <w:rFonts w:cs="Arial"/>
          <w:sz w:val="22"/>
          <w:szCs w:val="22"/>
        </w:rPr>
        <w:t xml:space="preserve"> la Resolución CREG 083 de 2019, </w:t>
      </w:r>
      <w:r w:rsidR="00825C80">
        <w:rPr>
          <w:rFonts w:cs="Arial"/>
          <w:sz w:val="22"/>
          <w:szCs w:val="22"/>
        </w:rPr>
        <w:t>a efectos de orientar a los agentes en relación con el alcance y entendimiento de dicho acto administrativo</w:t>
      </w:r>
      <w:r w:rsidR="00913A83">
        <w:rPr>
          <w:rFonts w:cs="Arial"/>
          <w:sz w:val="22"/>
          <w:szCs w:val="22"/>
        </w:rPr>
        <w:t>:</w:t>
      </w:r>
    </w:p>
    <w:p w14:paraId="30EBBC14" w14:textId="373CDBB8" w:rsidR="00913A83" w:rsidRDefault="00913A83" w:rsidP="00913A83">
      <w:pPr>
        <w:pStyle w:val="Textoindependiente"/>
        <w:spacing w:after="0" w:line="240" w:lineRule="auto"/>
        <w:contextualSpacing/>
        <w:rPr>
          <w:rFonts w:cs="Arial"/>
          <w:sz w:val="22"/>
          <w:szCs w:val="22"/>
        </w:rPr>
      </w:pPr>
    </w:p>
    <w:p w14:paraId="4F61D3E2" w14:textId="3D1E5A43" w:rsidR="00936BB7" w:rsidRPr="00936BB7" w:rsidRDefault="00913A83" w:rsidP="000F5908">
      <w:pPr>
        <w:pStyle w:val="Textoindependiente"/>
        <w:numPr>
          <w:ilvl w:val="0"/>
          <w:numId w:val="19"/>
        </w:numPr>
        <w:spacing w:after="0" w:line="240" w:lineRule="auto"/>
        <w:ind w:left="426" w:hanging="426"/>
        <w:contextualSpacing/>
        <w:rPr>
          <w:rFonts w:cs="Arial"/>
          <w:sz w:val="22"/>
          <w:szCs w:val="22"/>
        </w:rPr>
      </w:pPr>
      <w:r w:rsidRPr="00936BB7">
        <w:rPr>
          <w:rFonts w:cs="Arial"/>
          <w:sz w:val="22"/>
          <w:szCs w:val="22"/>
        </w:rPr>
        <w:t xml:space="preserve">La fecha de inicio del periodo de </w:t>
      </w:r>
      <w:proofErr w:type="spellStart"/>
      <w:r w:rsidRPr="00936BB7">
        <w:rPr>
          <w:rFonts w:cs="Arial"/>
          <w:sz w:val="22"/>
          <w:szCs w:val="22"/>
        </w:rPr>
        <w:t>comisionamiento</w:t>
      </w:r>
      <w:proofErr w:type="spellEnd"/>
      <w:r w:rsidRPr="00936BB7">
        <w:rPr>
          <w:rFonts w:cs="Arial"/>
          <w:sz w:val="22"/>
          <w:szCs w:val="22"/>
        </w:rPr>
        <w:t xml:space="preserve"> es </w:t>
      </w:r>
      <w:r w:rsidR="001B5A36" w:rsidRPr="00936BB7">
        <w:rPr>
          <w:rFonts w:cs="Arial"/>
          <w:sz w:val="22"/>
          <w:szCs w:val="22"/>
        </w:rPr>
        <w:t>el</w:t>
      </w:r>
      <w:r w:rsidRPr="00936BB7">
        <w:rPr>
          <w:rFonts w:cs="Arial"/>
          <w:sz w:val="22"/>
          <w:szCs w:val="22"/>
        </w:rPr>
        <w:t xml:space="preserve"> </w:t>
      </w:r>
      <w:r w:rsidR="001B5A36" w:rsidRPr="00936BB7">
        <w:rPr>
          <w:rFonts w:cs="Arial"/>
          <w:sz w:val="22"/>
          <w:szCs w:val="22"/>
        </w:rPr>
        <w:t xml:space="preserve">28 </w:t>
      </w:r>
      <w:r w:rsidRPr="00936BB7">
        <w:rPr>
          <w:rFonts w:cs="Arial"/>
          <w:sz w:val="22"/>
          <w:szCs w:val="22"/>
        </w:rPr>
        <w:t xml:space="preserve">de </w:t>
      </w:r>
      <w:r w:rsidR="001B5A36" w:rsidRPr="00936BB7">
        <w:rPr>
          <w:rFonts w:cs="Arial"/>
          <w:sz w:val="22"/>
          <w:szCs w:val="22"/>
        </w:rPr>
        <w:t xml:space="preserve">agosto </w:t>
      </w:r>
      <w:r w:rsidRPr="00936BB7">
        <w:rPr>
          <w:rFonts w:cs="Arial"/>
          <w:sz w:val="22"/>
          <w:szCs w:val="22"/>
        </w:rPr>
        <w:t>de 2019</w:t>
      </w:r>
      <w:r w:rsidR="001B5A36" w:rsidRPr="00936BB7">
        <w:rPr>
          <w:rFonts w:cs="Arial"/>
          <w:sz w:val="22"/>
          <w:szCs w:val="22"/>
        </w:rPr>
        <w:t xml:space="preserve">, fecha </w:t>
      </w:r>
      <w:r w:rsidR="002C5D3B" w:rsidRPr="00936BB7">
        <w:rPr>
          <w:rFonts w:cs="Arial"/>
          <w:sz w:val="22"/>
          <w:szCs w:val="22"/>
        </w:rPr>
        <w:t>que corresponde</w:t>
      </w:r>
      <w:r w:rsidR="001B5A36" w:rsidRPr="00936BB7">
        <w:rPr>
          <w:rFonts w:cs="Arial"/>
          <w:sz w:val="22"/>
          <w:szCs w:val="22"/>
        </w:rPr>
        <w:t xml:space="preserve">, según el cronograma informado por Ecopetrol, </w:t>
      </w:r>
      <w:r w:rsidR="002C5D3B" w:rsidRPr="00936BB7">
        <w:rPr>
          <w:rFonts w:cs="Arial"/>
          <w:sz w:val="22"/>
          <w:szCs w:val="22"/>
        </w:rPr>
        <w:t xml:space="preserve">al </w:t>
      </w:r>
      <w:r w:rsidR="001B5A36" w:rsidRPr="00936BB7">
        <w:rPr>
          <w:rFonts w:cs="Arial"/>
          <w:sz w:val="22"/>
          <w:szCs w:val="22"/>
        </w:rPr>
        <w:t xml:space="preserve">inicio </w:t>
      </w:r>
      <w:r w:rsidR="002C5D3B" w:rsidRPr="00936BB7">
        <w:rPr>
          <w:rFonts w:cs="Arial"/>
          <w:sz w:val="22"/>
          <w:szCs w:val="22"/>
        </w:rPr>
        <w:t>de</w:t>
      </w:r>
      <w:r w:rsidR="001B5A36" w:rsidRPr="00936BB7">
        <w:rPr>
          <w:rFonts w:cs="Arial"/>
          <w:sz w:val="22"/>
          <w:szCs w:val="22"/>
        </w:rPr>
        <w:t>l primer ciclo de nominación de suministro</w:t>
      </w:r>
      <w:r w:rsidR="002C5D3B" w:rsidRPr="00936BB7">
        <w:rPr>
          <w:rFonts w:cs="Arial"/>
          <w:sz w:val="22"/>
          <w:szCs w:val="22"/>
        </w:rPr>
        <w:t>,</w:t>
      </w:r>
      <w:r w:rsidR="001B5A36" w:rsidRPr="00936BB7">
        <w:rPr>
          <w:rFonts w:cs="Arial"/>
          <w:sz w:val="22"/>
          <w:szCs w:val="22"/>
        </w:rPr>
        <w:t xml:space="preserve"> con el </w:t>
      </w:r>
      <w:r w:rsidR="002C5D3B" w:rsidRPr="00936BB7">
        <w:rPr>
          <w:rFonts w:cs="Arial"/>
          <w:sz w:val="22"/>
          <w:szCs w:val="22"/>
        </w:rPr>
        <w:t xml:space="preserve">respectivo </w:t>
      </w:r>
      <w:r w:rsidR="001B5A36" w:rsidRPr="00936BB7">
        <w:rPr>
          <w:rFonts w:cs="Arial"/>
          <w:sz w:val="22"/>
          <w:szCs w:val="22"/>
        </w:rPr>
        <w:t>anuncio de las cantidades disponibles.</w:t>
      </w:r>
      <w:r w:rsidR="00936BB7" w:rsidRPr="00936BB7">
        <w:rPr>
          <w:rFonts w:cs="Arial"/>
          <w:sz w:val="22"/>
          <w:szCs w:val="22"/>
        </w:rPr>
        <w:t xml:space="preserve"> Lo anterior, teniendo en cuenta lo dispuesto en</w:t>
      </w:r>
      <w:r w:rsidR="00936BB7">
        <w:rPr>
          <w:rFonts w:cs="Arial"/>
          <w:sz w:val="22"/>
          <w:szCs w:val="22"/>
        </w:rPr>
        <w:t xml:space="preserve"> el</w:t>
      </w:r>
      <w:r w:rsidR="00936BB7" w:rsidRPr="00936BB7">
        <w:rPr>
          <w:rFonts w:cs="Arial"/>
          <w:sz w:val="22"/>
          <w:szCs w:val="22"/>
        </w:rPr>
        <w:t xml:space="preserve"> literal a del artículo 2 de la Resolución CREG 083 de 2019.</w:t>
      </w:r>
    </w:p>
    <w:p w14:paraId="7E748BC1" w14:textId="77777777" w:rsidR="00C93496" w:rsidRDefault="00C93496" w:rsidP="000F5908">
      <w:pPr>
        <w:pStyle w:val="Textoindependiente"/>
        <w:spacing w:after="0" w:line="240" w:lineRule="auto"/>
        <w:contextualSpacing/>
        <w:rPr>
          <w:rFonts w:cs="Arial"/>
          <w:sz w:val="22"/>
          <w:szCs w:val="22"/>
        </w:rPr>
      </w:pPr>
    </w:p>
    <w:p w14:paraId="75952BD0" w14:textId="15578144" w:rsidR="00913A83" w:rsidRDefault="00913A83" w:rsidP="00913A83">
      <w:pPr>
        <w:pStyle w:val="Textoindependiente"/>
        <w:numPr>
          <w:ilvl w:val="0"/>
          <w:numId w:val="19"/>
        </w:numPr>
        <w:spacing w:after="0" w:line="240" w:lineRule="auto"/>
        <w:ind w:left="426" w:hanging="426"/>
        <w:contextualSpacing/>
        <w:rPr>
          <w:rFonts w:cs="Arial"/>
          <w:sz w:val="22"/>
          <w:szCs w:val="22"/>
        </w:rPr>
      </w:pPr>
      <w:r>
        <w:rPr>
          <w:rFonts w:cs="Arial"/>
          <w:sz w:val="22"/>
          <w:szCs w:val="22"/>
        </w:rPr>
        <w:t>La fecha a partir de la cual es aplicable el 10% de descuento</w:t>
      </w:r>
      <w:r w:rsidR="002C5D3B">
        <w:rPr>
          <w:rFonts w:cs="Arial"/>
          <w:sz w:val="22"/>
          <w:szCs w:val="22"/>
        </w:rPr>
        <w:t>,</w:t>
      </w:r>
      <w:r>
        <w:rPr>
          <w:rFonts w:cs="Arial"/>
          <w:sz w:val="22"/>
          <w:szCs w:val="22"/>
        </w:rPr>
        <w:t xml:space="preserve"> sobre el costo de referencia para la comercialización del GLP proveniente del proceso de comisionamiento de la planta de estabilización de condensados de </w:t>
      </w:r>
      <w:proofErr w:type="spellStart"/>
      <w:r>
        <w:rPr>
          <w:rFonts w:cs="Arial"/>
          <w:sz w:val="22"/>
          <w:szCs w:val="22"/>
        </w:rPr>
        <w:t>Cupiagua</w:t>
      </w:r>
      <w:proofErr w:type="spellEnd"/>
      <w:r w:rsidR="002C5D3B">
        <w:rPr>
          <w:rFonts w:cs="Arial"/>
          <w:sz w:val="22"/>
          <w:szCs w:val="22"/>
        </w:rPr>
        <w:t>,</w:t>
      </w:r>
      <w:r>
        <w:rPr>
          <w:rFonts w:cs="Arial"/>
          <w:sz w:val="22"/>
          <w:szCs w:val="22"/>
        </w:rPr>
        <w:t xml:space="preserve"> es </w:t>
      </w:r>
      <w:r w:rsidR="00CF4C0B">
        <w:rPr>
          <w:rFonts w:cs="Arial"/>
          <w:sz w:val="22"/>
          <w:szCs w:val="22"/>
        </w:rPr>
        <w:t>27</w:t>
      </w:r>
      <w:r>
        <w:rPr>
          <w:rFonts w:cs="Arial"/>
          <w:sz w:val="22"/>
          <w:szCs w:val="22"/>
        </w:rPr>
        <w:t xml:space="preserve"> de </w:t>
      </w:r>
      <w:r w:rsidR="00CF4C0B">
        <w:rPr>
          <w:rFonts w:cs="Arial"/>
          <w:sz w:val="22"/>
          <w:szCs w:val="22"/>
        </w:rPr>
        <w:t xml:space="preserve">octubre </w:t>
      </w:r>
      <w:r>
        <w:rPr>
          <w:rFonts w:cs="Arial"/>
          <w:sz w:val="22"/>
          <w:szCs w:val="22"/>
        </w:rPr>
        <w:t>de 2019.</w:t>
      </w:r>
      <w:r w:rsidR="00936BB7">
        <w:rPr>
          <w:rFonts w:cs="Arial"/>
          <w:sz w:val="22"/>
          <w:szCs w:val="22"/>
        </w:rPr>
        <w:t xml:space="preserve"> Lo anterior, de acuerdo con lo dispuesto en el inciso final del artículo 4 de la Resolución CREG 083 de 2019.</w:t>
      </w:r>
    </w:p>
    <w:p w14:paraId="30058EC3" w14:textId="06148C19" w:rsidR="00812A0C" w:rsidRDefault="00812A0C" w:rsidP="000F5908">
      <w:pPr>
        <w:pStyle w:val="Textoindependiente"/>
        <w:spacing w:after="0" w:line="240" w:lineRule="auto"/>
        <w:contextualSpacing/>
        <w:rPr>
          <w:rFonts w:cs="Arial"/>
          <w:sz w:val="22"/>
          <w:szCs w:val="22"/>
        </w:rPr>
      </w:pPr>
    </w:p>
    <w:p w14:paraId="5D4F44F7" w14:textId="32B2E648" w:rsidR="00812A0C" w:rsidRDefault="00812A0C" w:rsidP="00C93496">
      <w:pPr>
        <w:pStyle w:val="Textoindependiente"/>
        <w:spacing w:after="0" w:line="240" w:lineRule="auto"/>
        <w:ind w:left="426"/>
        <w:contextualSpacing/>
        <w:rPr>
          <w:rFonts w:cs="Arial"/>
          <w:sz w:val="22"/>
          <w:szCs w:val="22"/>
        </w:rPr>
      </w:pPr>
    </w:p>
    <w:p w14:paraId="15C80E99" w14:textId="4AE13E96" w:rsidR="00936BB7" w:rsidRPr="00936BB7" w:rsidRDefault="00560230" w:rsidP="000F5908">
      <w:pPr>
        <w:pStyle w:val="Textoindependiente"/>
        <w:numPr>
          <w:ilvl w:val="0"/>
          <w:numId w:val="19"/>
        </w:numPr>
        <w:spacing w:after="0" w:line="240" w:lineRule="auto"/>
        <w:ind w:left="426" w:hanging="426"/>
        <w:contextualSpacing/>
        <w:rPr>
          <w:rFonts w:cs="Arial"/>
          <w:sz w:val="22"/>
          <w:szCs w:val="22"/>
        </w:rPr>
      </w:pPr>
      <w:r w:rsidRPr="00936BB7">
        <w:rPr>
          <w:rFonts w:cs="Arial"/>
          <w:sz w:val="22"/>
          <w:szCs w:val="22"/>
        </w:rPr>
        <w:lastRenderedPageBreak/>
        <w:t>Una vez indicada la fecha de publicación de la disponibilidad de GLP o hecha la publicación de dicha disponibilidad, para un ciclo de nominación</w:t>
      </w:r>
      <w:r w:rsidR="002C5D3B" w:rsidRPr="00936BB7">
        <w:rPr>
          <w:rFonts w:cs="Arial"/>
          <w:sz w:val="22"/>
          <w:szCs w:val="22"/>
        </w:rPr>
        <w:t xml:space="preserve"> en particular</w:t>
      </w:r>
      <w:r w:rsidRPr="00936BB7">
        <w:rPr>
          <w:rFonts w:cs="Arial"/>
          <w:sz w:val="22"/>
          <w:szCs w:val="22"/>
        </w:rPr>
        <w:t>, las venta</w:t>
      </w:r>
      <w:r w:rsidR="00CC25A4" w:rsidRPr="00936BB7">
        <w:rPr>
          <w:rFonts w:cs="Arial"/>
          <w:sz w:val="22"/>
          <w:szCs w:val="22"/>
        </w:rPr>
        <w:t>n</w:t>
      </w:r>
      <w:r w:rsidRPr="00936BB7">
        <w:rPr>
          <w:rFonts w:cs="Arial"/>
          <w:sz w:val="22"/>
          <w:szCs w:val="22"/>
        </w:rPr>
        <w:t xml:space="preserve">as de tiempo para las demás actividades deberán ser las mismas que las indicadas </w:t>
      </w:r>
      <w:r w:rsidR="00CC25A4" w:rsidRPr="00936BB7">
        <w:rPr>
          <w:rFonts w:cs="Arial"/>
          <w:sz w:val="22"/>
          <w:szCs w:val="22"/>
        </w:rPr>
        <w:t xml:space="preserve">por Ecopetrol </w:t>
      </w:r>
      <w:r w:rsidRPr="00936BB7">
        <w:rPr>
          <w:rFonts w:cs="Arial"/>
          <w:sz w:val="22"/>
          <w:szCs w:val="22"/>
        </w:rPr>
        <w:t>para el primer ciclo de nominación.</w:t>
      </w:r>
      <w:r w:rsidR="00936BB7" w:rsidRPr="000F5908">
        <w:rPr>
          <w:rFonts w:cs="Arial"/>
          <w:sz w:val="22"/>
          <w:szCs w:val="22"/>
        </w:rPr>
        <w:t xml:space="preserve"> </w:t>
      </w:r>
      <w:r w:rsidR="00936BB7" w:rsidRPr="00936BB7">
        <w:rPr>
          <w:rFonts w:cs="Arial"/>
          <w:sz w:val="22"/>
          <w:szCs w:val="22"/>
        </w:rPr>
        <w:t>Lo anterior, de acuerdo con lo dispuesto en el artículo 4 de la Resolución CREG 083 de 2019.</w:t>
      </w:r>
    </w:p>
    <w:p w14:paraId="7E6BAF1E" w14:textId="77777777" w:rsidR="00C93496" w:rsidRDefault="00C93496" w:rsidP="000F5908">
      <w:pPr>
        <w:pStyle w:val="Textoindependiente"/>
        <w:spacing w:after="0" w:line="240" w:lineRule="auto"/>
        <w:contextualSpacing/>
        <w:rPr>
          <w:rFonts w:cs="Arial"/>
          <w:sz w:val="22"/>
          <w:szCs w:val="22"/>
        </w:rPr>
      </w:pPr>
    </w:p>
    <w:p w14:paraId="0403609E" w14:textId="7EE99EAC" w:rsidR="00382325" w:rsidRPr="00382325" w:rsidRDefault="00913A83" w:rsidP="00382325">
      <w:pPr>
        <w:pStyle w:val="Textoindependiente"/>
        <w:numPr>
          <w:ilvl w:val="0"/>
          <w:numId w:val="19"/>
        </w:numPr>
        <w:spacing w:after="0" w:line="240" w:lineRule="auto"/>
        <w:ind w:left="426" w:hanging="426"/>
        <w:contextualSpacing/>
        <w:rPr>
          <w:rFonts w:cs="Arial"/>
          <w:sz w:val="22"/>
          <w:szCs w:val="22"/>
        </w:rPr>
      </w:pPr>
      <w:r>
        <w:rPr>
          <w:rFonts w:cs="Arial"/>
          <w:sz w:val="22"/>
          <w:szCs w:val="22"/>
        </w:rPr>
        <w:t xml:space="preserve">En la Resolución CREG 083 de 2019 </w:t>
      </w:r>
      <w:r w:rsidR="00CC25A4">
        <w:rPr>
          <w:rFonts w:cs="Arial"/>
          <w:sz w:val="22"/>
          <w:szCs w:val="22"/>
        </w:rPr>
        <w:t>n</w:t>
      </w:r>
      <w:r>
        <w:rPr>
          <w:rFonts w:cs="Arial"/>
          <w:sz w:val="22"/>
          <w:szCs w:val="22"/>
        </w:rPr>
        <w:t xml:space="preserve">o se </w:t>
      </w:r>
      <w:r w:rsidR="00CC25A4">
        <w:rPr>
          <w:rFonts w:cs="Arial"/>
          <w:sz w:val="22"/>
          <w:szCs w:val="22"/>
        </w:rPr>
        <w:t xml:space="preserve">dispuso </w:t>
      </w:r>
      <w:r>
        <w:rPr>
          <w:rFonts w:cs="Arial"/>
          <w:sz w:val="22"/>
          <w:szCs w:val="22"/>
        </w:rPr>
        <w:t xml:space="preserve">ningún tipo de restricción para que un distribuidor </w:t>
      </w:r>
      <w:r w:rsidR="00CC25A4">
        <w:rPr>
          <w:rFonts w:cs="Arial"/>
          <w:sz w:val="22"/>
          <w:szCs w:val="22"/>
        </w:rPr>
        <w:t xml:space="preserve">de GLP </w:t>
      </w:r>
      <w:r>
        <w:rPr>
          <w:rFonts w:cs="Arial"/>
          <w:sz w:val="22"/>
          <w:szCs w:val="22"/>
        </w:rPr>
        <w:t>pueda ser representado por más de un comercializador mayorista durante la vigencia de</w:t>
      </w:r>
      <w:r w:rsidR="00CC25A4">
        <w:rPr>
          <w:rFonts w:cs="Arial"/>
          <w:sz w:val="22"/>
          <w:szCs w:val="22"/>
        </w:rPr>
        <w:t>l periodo de comisionamiento.</w:t>
      </w:r>
      <w:r w:rsidR="00382325">
        <w:rPr>
          <w:rFonts w:cs="Arial"/>
          <w:sz w:val="22"/>
          <w:szCs w:val="22"/>
        </w:rPr>
        <w:t xml:space="preserve"> Adicionalmente, el literal a del artículo 6 de la Resolución CREG 083 de 2019 establece que para </w:t>
      </w:r>
      <w:r w:rsidR="00382325" w:rsidRPr="00382325">
        <w:rPr>
          <w:rFonts w:cs="Arial"/>
          <w:sz w:val="22"/>
          <w:szCs w:val="22"/>
        </w:rPr>
        <w:t>la suscripción del contrato</w:t>
      </w:r>
      <w:r w:rsidR="00382325">
        <w:rPr>
          <w:rFonts w:cs="Arial"/>
          <w:sz w:val="22"/>
          <w:szCs w:val="22"/>
        </w:rPr>
        <w:t xml:space="preserve"> de suministro de GLP de comisionamiento</w:t>
      </w:r>
      <w:r w:rsidR="00382325" w:rsidRPr="00382325">
        <w:rPr>
          <w:rFonts w:cs="Arial"/>
          <w:sz w:val="22"/>
          <w:szCs w:val="22"/>
        </w:rPr>
        <w:t>, el vendedor no podrá exigir a los compradores requisitos diferentes a los previstos en la Resolución CREG 053 de 2011.</w:t>
      </w:r>
      <w:r w:rsidR="00382325">
        <w:rPr>
          <w:rFonts w:cs="Arial"/>
          <w:sz w:val="22"/>
          <w:szCs w:val="22"/>
        </w:rPr>
        <w:t xml:space="preserve"> En esta última no se ha consagrado alguna disposición que restrinja o limite la posibilidad que un distribuidor dentro del mecanismo de OPC pueda estar representado por uno o varios comercializadores mayoristas. </w:t>
      </w:r>
    </w:p>
    <w:p w14:paraId="0FF2E175" w14:textId="77777777" w:rsidR="00382325" w:rsidRPr="00382325" w:rsidRDefault="00382325" w:rsidP="000F5908">
      <w:pPr>
        <w:pStyle w:val="Textoindependiente"/>
        <w:spacing w:after="0" w:line="240" w:lineRule="auto"/>
        <w:contextualSpacing/>
        <w:rPr>
          <w:rFonts w:cs="Arial"/>
          <w:sz w:val="22"/>
          <w:szCs w:val="22"/>
        </w:rPr>
      </w:pPr>
    </w:p>
    <w:p w14:paraId="4ED3A0CB" w14:textId="08547655" w:rsidR="00560230" w:rsidRPr="00B22764" w:rsidRDefault="00382325" w:rsidP="000F5908">
      <w:pPr>
        <w:pStyle w:val="Textoindependiente"/>
        <w:numPr>
          <w:ilvl w:val="0"/>
          <w:numId w:val="19"/>
        </w:numPr>
        <w:spacing w:after="0" w:line="240" w:lineRule="auto"/>
        <w:ind w:left="426" w:hanging="426"/>
        <w:contextualSpacing/>
        <w:rPr>
          <w:rFonts w:cs="Arial"/>
          <w:sz w:val="22"/>
          <w:szCs w:val="22"/>
        </w:rPr>
      </w:pPr>
      <w:r>
        <w:rPr>
          <w:rFonts w:cs="Arial"/>
          <w:sz w:val="22"/>
          <w:szCs w:val="22"/>
        </w:rPr>
        <w:t xml:space="preserve">De acuerdo con lo previsto en </w:t>
      </w:r>
      <w:r w:rsidR="00B22764">
        <w:rPr>
          <w:rFonts w:cs="Arial"/>
          <w:sz w:val="22"/>
          <w:szCs w:val="22"/>
        </w:rPr>
        <w:t xml:space="preserve">el artículo 6 de </w:t>
      </w:r>
      <w:r>
        <w:rPr>
          <w:rFonts w:cs="Arial"/>
          <w:sz w:val="22"/>
          <w:szCs w:val="22"/>
        </w:rPr>
        <w:t xml:space="preserve">la Resolución CREG 083 de 2019 para la asignación de cantidades durante el período de comisionamiento se debe contar con un contrato de </w:t>
      </w:r>
      <w:r w:rsidRPr="00382325">
        <w:rPr>
          <w:rFonts w:cs="Arial"/>
          <w:sz w:val="22"/>
          <w:szCs w:val="22"/>
        </w:rPr>
        <w:t>suministro de GLP de comisionamiento</w:t>
      </w:r>
      <w:r w:rsidR="00B22764">
        <w:rPr>
          <w:rFonts w:cs="Arial"/>
          <w:sz w:val="22"/>
          <w:szCs w:val="22"/>
        </w:rPr>
        <w:t xml:space="preserve">. La solicitud para la suscripción de un contrato suministro de GLP de comisionamiento puede realizarse en cualquier momento durante dicho período, sin </w:t>
      </w:r>
      <w:r w:rsidR="00B22764" w:rsidRPr="00B22764">
        <w:rPr>
          <w:rFonts w:cs="Arial"/>
          <w:sz w:val="22"/>
          <w:szCs w:val="22"/>
        </w:rPr>
        <w:t xml:space="preserve">perjuicio de que haya un plazo mínimo para la formalización de la suscripción de contrato, antes de recibirle la solicitud de compra para un ciclo de nominación en particular. </w:t>
      </w:r>
    </w:p>
    <w:p w14:paraId="6FF3ED34" w14:textId="77777777" w:rsidR="00913A83" w:rsidRPr="00B22764" w:rsidRDefault="00913A83" w:rsidP="00913A83">
      <w:pPr>
        <w:pStyle w:val="Textoindependiente"/>
        <w:spacing w:after="0" w:line="240" w:lineRule="auto"/>
        <w:contextualSpacing/>
        <w:rPr>
          <w:rFonts w:cs="Arial"/>
          <w:sz w:val="22"/>
          <w:szCs w:val="22"/>
        </w:rPr>
      </w:pPr>
    </w:p>
    <w:p w14:paraId="4E5AC3FF" w14:textId="77777777" w:rsidR="0096598F" w:rsidRPr="00B22764" w:rsidRDefault="0096598F" w:rsidP="00913A83">
      <w:pPr>
        <w:pStyle w:val="Textoindependiente"/>
        <w:spacing w:after="0" w:line="240" w:lineRule="auto"/>
        <w:contextualSpacing/>
        <w:rPr>
          <w:rFonts w:cs="Arial"/>
          <w:sz w:val="22"/>
          <w:szCs w:val="22"/>
        </w:rPr>
      </w:pPr>
      <w:r w:rsidRPr="00B22764">
        <w:rPr>
          <w:rFonts w:cs="Arial"/>
          <w:sz w:val="22"/>
          <w:szCs w:val="22"/>
        </w:rPr>
        <w:t>Cordialmente,</w:t>
      </w:r>
    </w:p>
    <w:p w14:paraId="71B7BF3E" w14:textId="2C9D77C3" w:rsidR="00117047" w:rsidRPr="000F5908" w:rsidRDefault="00117047" w:rsidP="00913A83">
      <w:pPr>
        <w:pStyle w:val="Textoindependiente"/>
        <w:spacing w:after="0" w:line="240" w:lineRule="auto"/>
        <w:contextualSpacing/>
        <w:rPr>
          <w:rFonts w:cs="Arial"/>
          <w:sz w:val="22"/>
          <w:szCs w:val="22"/>
        </w:rPr>
      </w:pPr>
    </w:p>
    <w:p w14:paraId="7DE0B8AC" w14:textId="77777777" w:rsidR="00564908" w:rsidRPr="000F5908" w:rsidRDefault="00564908" w:rsidP="00913A83">
      <w:pPr>
        <w:pStyle w:val="Textoindependiente"/>
        <w:spacing w:after="0" w:line="240" w:lineRule="auto"/>
        <w:contextualSpacing/>
        <w:rPr>
          <w:rFonts w:cs="Arial"/>
          <w:sz w:val="22"/>
          <w:szCs w:val="22"/>
        </w:rPr>
      </w:pPr>
    </w:p>
    <w:p w14:paraId="30082E23" w14:textId="30A273BE" w:rsidR="009E2801" w:rsidRPr="000F5908" w:rsidRDefault="009E2801" w:rsidP="00913A83">
      <w:pPr>
        <w:pStyle w:val="Textoindependiente"/>
        <w:spacing w:after="0" w:line="240" w:lineRule="auto"/>
        <w:contextualSpacing/>
        <w:rPr>
          <w:rFonts w:cs="Arial"/>
          <w:sz w:val="22"/>
          <w:szCs w:val="22"/>
        </w:rPr>
      </w:pPr>
    </w:p>
    <w:p w14:paraId="633EFEE3" w14:textId="77777777" w:rsidR="009E2801" w:rsidRPr="000F5908" w:rsidRDefault="009E2801" w:rsidP="00913A83">
      <w:pPr>
        <w:pStyle w:val="Textoindependiente"/>
        <w:spacing w:after="0" w:line="240" w:lineRule="auto"/>
        <w:contextualSpacing/>
        <w:rPr>
          <w:rFonts w:cs="Arial"/>
          <w:sz w:val="22"/>
          <w:szCs w:val="22"/>
        </w:rPr>
      </w:pPr>
    </w:p>
    <w:p w14:paraId="5306AF2D" w14:textId="312F64B7" w:rsidR="00F36547" w:rsidRPr="000F5908" w:rsidRDefault="001E3D86" w:rsidP="00913A83">
      <w:pPr>
        <w:contextualSpacing/>
        <w:jc w:val="center"/>
        <w:rPr>
          <w:rFonts w:ascii="Arial" w:eastAsia="Times New Roman" w:hAnsi="Arial" w:cs="Arial"/>
          <w:spacing w:val="-5"/>
          <w:sz w:val="22"/>
          <w:szCs w:val="22"/>
          <w:lang w:val="es-CO"/>
        </w:rPr>
      </w:pPr>
      <w:r w:rsidRPr="000F5908">
        <w:rPr>
          <w:rFonts w:ascii="Arial" w:eastAsia="Times New Roman" w:hAnsi="Arial" w:cs="Arial"/>
          <w:spacing w:val="-5"/>
          <w:sz w:val="22"/>
          <w:szCs w:val="22"/>
          <w:lang w:val="es-CO"/>
        </w:rPr>
        <w:t>CHRISTIAN JARAMILLO HERRERA</w:t>
      </w:r>
    </w:p>
    <w:p w14:paraId="652D791B" w14:textId="77777777" w:rsidR="0096598F" w:rsidRDefault="0096598F" w:rsidP="00913A83">
      <w:pPr>
        <w:contextualSpacing/>
        <w:jc w:val="both"/>
        <w:rPr>
          <w:rFonts w:ascii="Arial" w:eastAsia="Times New Roman" w:hAnsi="Arial" w:cs="Arial"/>
          <w:spacing w:val="-5"/>
          <w:lang w:val="es-CO"/>
        </w:rPr>
      </w:pPr>
    </w:p>
    <w:sectPr w:rsidR="0096598F" w:rsidSect="001832EB">
      <w:headerReference w:type="default" r:id="rId8"/>
      <w:footerReference w:type="default" r:id="rId9"/>
      <w:headerReference w:type="first" r:id="rId10"/>
      <w:footerReference w:type="first" r:id="rId11"/>
      <w:pgSz w:w="12240" w:h="15840"/>
      <w:pgMar w:top="1417" w:right="1701" w:bottom="1417" w:left="1701"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70044" w14:textId="77777777" w:rsidR="00F53153" w:rsidRDefault="00F53153" w:rsidP="00AA0519">
      <w:r>
        <w:separator/>
      </w:r>
    </w:p>
  </w:endnote>
  <w:endnote w:type="continuationSeparator" w:id="0">
    <w:p w14:paraId="1A3223FA" w14:textId="77777777" w:rsidR="00F53153" w:rsidRDefault="00F53153"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9F76C" w14:textId="77777777" w:rsidR="00735E1F" w:rsidRDefault="00735E1F" w:rsidP="00735E1F">
    <w:pPr>
      <w:pStyle w:val="Piedepgina"/>
      <w:jc w:val="center"/>
    </w:pPr>
    <w:r>
      <w:rPr>
        <w:noProof/>
        <w:lang w:val="es-CO" w:eastAsia="es-CO"/>
      </w:rPr>
      <w:drawing>
        <wp:inline distT="0" distB="0" distL="0" distR="0" wp14:anchorId="364C371D" wp14:editId="24EB304C">
          <wp:extent cx="2695575" cy="561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3E07" w14:textId="77777777" w:rsidR="003F2F4B" w:rsidRDefault="003F2F4B" w:rsidP="003F2F4B">
    <w:pPr>
      <w:pStyle w:val="Piedepgina"/>
      <w:jc w:val="center"/>
    </w:pPr>
    <w:r>
      <w:rPr>
        <w:noProof/>
        <w:lang w:val="es-CO" w:eastAsia="es-CO"/>
      </w:rPr>
      <w:drawing>
        <wp:inline distT="0" distB="0" distL="0" distR="0" wp14:anchorId="30F85662" wp14:editId="4216C98A">
          <wp:extent cx="2695575" cy="5619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61E3B" w14:textId="77777777" w:rsidR="00F53153" w:rsidRDefault="00F53153" w:rsidP="00AA0519">
      <w:r>
        <w:separator/>
      </w:r>
    </w:p>
  </w:footnote>
  <w:footnote w:type="continuationSeparator" w:id="0">
    <w:p w14:paraId="10756726" w14:textId="77777777" w:rsidR="00F53153" w:rsidRDefault="00F53153"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109E5" w14:textId="77777777" w:rsidR="00AA0519" w:rsidRDefault="00F36547">
    <w:pPr>
      <w:pStyle w:val="Encabezado"/>
    </w:pPr>
    <w:r>
      <w:rPr>
        <w:noProof/>
        <w:lang w:val="es-CO" w:eastAsia="es-CO"/>
      </w:rPr>
      <w:drawing>
        <wp:inline distT="0" distB="0" distL="0" distR="0" wp14:anchorId="76F8F57F" wp14:editId="47EEFC27">
          <wp:extent cx="5612130" cy="591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91800"/>
                  </a:xfrm>
                  <a:prstGeom prst="rect">
                    <a:avLst/>
                  </a:prstGeom>
                  <a:noFill/>
                </pic:spPr>
              </pic:pic>
            </a:graphicData>
          </a:graphic>
        </wp:inline>
      </w:drawing>
    </w:r>
  </w:p>
  <w:p w14:paraId="16A581A4" w14:textId="77777777" w:rsidR="00F36547" w:rsidRDefault="00F36547">
    <w:pPr>
      <w:pStyle w:val="Encabezado"/>
      <w:rPr>
        <w:rFonts w:ascii="Arial" w:hAnsi="Arial" w:cs="Arial"/>
        <w:i/>
        <w:sz w:val="18"/>
        <w:szCs w:val="18"/>
        <w:u w:val="single"/>
      </w:rPr>
    </w:pPr>
  </w:p>
  <w:p w14:paraId="3A0A9F76" w14:textId="348D1AD7" w:rsidR="00B17648" w:rsidRDefault="00D515F0" w:rsidP="009E2801">
    <w:pPr>
      <w:pStyle w:val="Encabezado"/>
      <w:rPr>
        <w:rFonts w:ascii="Arial" w:hAnsi="Arial" w:cs="Arial"/>
        <w:i/>
        <w:sz w:val="18"/>
        <w:szCs w:val="18"/>
        <w:u w:val="single"/>
      </w:rPr>
    </w:pPr>
    <w:r>
      <w:rPr>
        <w:rFonts w:ascii="Arial" w:hAnsi="Arial" w:cs="Arial"/>
        <w:i/>
        <w:sz w:val="18"/>
        <w:szCs w:val="18"/>
        <w:u w:val="single"/>
      </w:rPr>
      <w:t>Circular</w:t>
    </w:r>
    <w:r w:rsidR="001E3D86">
      <w:rPr>
        <w:rFonts w:ascii="Arial" w:hAnsi="Arial" w:cs="Arial"/>
        <w:i/>
        <w:sz w:val="18"/>
        <w:szCs w:val="18"/>
        <w:u w:val="single"/>
      </w:rPr>
      <w:t xml:space="preserve"> </w:t>
    </w:r>
    <w:r w:rsidR="009E2801">
      <w:rPr>
        <w:rFonts w:ascii="Arial" w:hAnsi="Arial" w:cs="Arial"/>
        <w:i/>
        <w:sz w:val="18"/>
        <w:szCs w:val="18"/>
        <w:u w:val="single"/>
      </w:rPr>
      <w:t>0</w:t>
    </w:r>
    <w:r w:rsidR="000F5908">
      <w:rPr>
        <w:rFonts w:ascii="Arial" w:hAnsi="Arial" w:cs="Arial"/>
        <w:i/>
        <w:sz w:val="18"/>
        <w:szCs w:val="18"/>
        <w:u w:val="single"/>
      </w:rPr>
      <w:t>83</w:t>
    </w:r>
  </w:p>
  <w:p w14:paraId="35FB8834" w14:textId="60FAA886" w:rsidR="00E209DF" w:rsidRDefault="000F5908" w:rsidP="009E2801">
    <w:pPr>
      <w:pStyle w:val="Encabezado"/>
      <w:rPr>
        <w:rFonts w:ascii="Arial" w:hAnsi="Arial" w:cs="Arial"/>
        <w:i/>
        <w:sz w:val="18"/>
        <w:szCs w:val="18"/>
        <w:u w:val="single"/>
      </w:rPr>
    </w:pPr>
    <w:r>
      <w:rPr>
        <w:rFonts w:ascii="Arial" w:hAnsi="Arial" w:cs="Arial"/>
        <w:i/>
        <w:sz w:val="18"/>
        <w:szCs w:val="18"/>
        <w:u w:val="single"/>
      </w:rPr>
      <w:t>Octubre</w:t>
    </w:r>
    <w:r w:rsidR="00E209DF">
      <w:rPr>
        <w:rFonts w:ascii="Arial" w:hAnsi="Arial" w:cs="Arial"/>
        <w:i/>
        <w:sz w:val="18"/>
        <w:szCs w:val="18"/>
        <w:u w:val="single"/>
      </w:rPr>
      <w:t xml:space="preserve"> de 2019</w:t>
    </w:r>
  </w:p>
  <w:p w14:paraId="607D0333" w14:textId="2B071DFC" w:rsidR="009E2801" w:rsidRPr="00B17648" w:rsidRDefault="009E2801" w:rsidP="009E2801">
    <w:pPr>
      <w:pStyle w:val="Encabezado"/>
      <w:rPr>
        <w:rFonts w:ascii="Arial" w:hAnsi="Arial" w:cs="Arial"/>
        <w:i/>
        <w:sz w:val="18"/>
        <w:szCs w:val="18"/>
        <w:u w:val="single"/>
      </w:rPr>
    </w:pP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1B1C7D">
      <w:rPr>
        <w:noProof/>
        <w:sz w:val="18"/>
        <w:szCs w:val="18"/>
        <w:u w:val="single"/>
        <w:lang w:val="es-ES"/>
      </w:rPr>
      <w:t>3</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1B1C7D">
      <w:rPr>
        <w:noProof/>
        <w:sz w:val="18"/>
        <w:szCs w:val="18"/>
        <w:u w:val="single"/>
        <w:lang w:val="es-ES"/>
      </w:rPr>
      <w:t>3</w:t>
    </w:r>
    <w:r w:rsidRPr="00CC3B9D">
      <w:rPr>
        <w:sz w:val="18"/>
        <w:szCs w:val="18"/>
        <w:u w:val="single"/>
        <w:lang w:val="es-ES"/>
      </w:rPr>
      <w:fldChar w:fldCharType="end"/>
    </w:r>
  </w:p>
  <w:p w14:paraId="44944B68" w14:textId="77777777" w:rsidR="00B17648" w:rsidRDefault="00B1764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92FD" w14:textId="77777777" w:rsidR="00C33764" w:rsidRDefault="00C33764" w:rsidP="00C33764">
    <w:pPr>
      <w:pStyle w:val="Encabezado"/>
      <w:tabs>
        <w:tab w:val="clear" w:pos="4419"/>
        <w:tab w:val="clear" w:pos="8838"/>
        <w:tab w:val="left" w:pos="7274"/>
      </w:tabs>
      <w:ind w:left="-567"/>
      <w:rPr>
        <w:noProof/>
        <w:lang w:val="es-CO" w:eastAsia="es-CO"/>
      </w:rPr>
    </w:pPr>
    <w:r>
      <w:rPr>
        <w:noProof/>
        <w:lang w:val="es-CO" w:eastAsia="es-CO"/>
      </w:rPr>
      <w:t xml:space="preserve">          </w:t>
    </w:r>
  </w:p>
  <w:p w14:paraId="0AABEBF3" w14:textId="77777777" w:rsidR="00C33764" w:rsidRDefault="006F27CC" w:rsidP="00C33764">
    <w:pPr>
      <w:pStyle w:val="Encabezado"/>
      <w:tabs>
        <w:tab w:val="clear" w:pos="4419"/>
        <w:tab w:val="clear" w:pos="8838"/>
        <w:tab w:val="left" w:pos="7274"/>
      </w:tabs>
      <w:ind w:left="-567"/>
      <w:rPr>
        <w:noProof/>
        <w:lang w:val="es-CO" w:eastAsia="es-CO"/>
      </w:rPr>
    </w:pPr>
    <w:r>
      <w:rPr>
        <w:noProof/>
        <w:lang w:val="es-CO" w:eastAsia="es-CO"/>
      </w:rPr>
      <w:drawing>
        <wp:inline distT="0" distB="0" distL="0" distR="0" wp14:anchorId="6DA8A880" wp14:editId="7A552EFB">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00877C75" w14:textId="77777777" w:rsidR="00C33764" w:rsidRDefault="00C33764" w:rsidP="00C33764">
    <w:pPr>
      <w:pStyle w:val="Encabezado"/>
      <w:tabs>
        <w:tab w:val="clear" w:pos="4419"/>
        <w:tab w:val="clear" w:pos="8838"/>
        <w:tab w:val="left" w:pos="7274"/>
      </w:tabs>
      <w:ind w:left="-567"/>
      <w:rPr>
        <w:noProof/>
        <w:lang w:val="es-CO" w:eastAsia="es-CO"/>
      </w:rPr>
    </w:pPr>
  </w:p>
  <w:p w14:paraId="68BE4A4D" w14:textId="77777777" w:rsidR="003F2F4B" w:rsidRDefault="00C33764" w:rsidP="001832EB">
    <w:pPr>
      <w:pStyle w:val="Encabezado"/>
      <w:tabs>
        <w:tab w:val="clear" w:pos="4419"/>
        <w:tab w:val="clear" w:pos="8838"/>
        <w:tab w:val="left" w:pos="7274"/>
      </w:tabs>
      <w:ind w:left="-567"/>
    </w:pPr>
    <w:r>
      <w:rPr>
        <w:noProof/>
        <w:lang w:val="es-CO" w:eastAsia="es-CO"/>
      </w:rPr>
      <w:t xml:space="preserve">                                                   </w:t>
    </w:r>
    <w:r>
      <w:rPr>
        <w:noProof/>
        <w:lang w:val="es-CO" w:eastAsia="es-CO"/>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180"/>
    <w:multiLevelType w:val="hybridMultilevel"/>
    <w:tmpl w:val="9106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7158E"/>
    <w:multiLevelType w:val="hybridMultilevel"/>
    <w:tmpl w:val="4E8CA350"/>
    <w:lvl w:ilvl="0" w:tplc="03B240A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73418A3"/>
    <w:multiLevelType w:val="hybridMultilevel"/>
    <w:tmpl w:val="50703666"/>
    <w:lvl w:ilvl="0" w:tplc="0EBEE052">
      <w:start w:val="1"/>
      <w:numFmt w:val="upperLetter"/>
      <w:lvlText w:val="%1."/>
      <w:lvlJc w:val="left"/>
      <w:pPr>
        <w:ind w:left="708" w:firstLine="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80A187D"/>
    <w:multiLevelType w:val="hybridMultilevel"/>
    <w:tmpl w:val="64B87C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7D0D56"/>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114545B7"/>
    <w:multiLevelType w:val="hybridMultilevel"/>
    <w:tmpl w:val="818EA6D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17096415"/>
    <w:multiLevelType w:val="hybridMultilevel"/>
    <w:tmpl w:val="8E52570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187C7095"/>
    <w:multiLevelType w:val="hybridMultilevel"/>
    <w:tmpl w:val="B1046030"/>
    <w:lvl w:ilvl="0" w:tplc="A450072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A91780"/>
    <w:multiLevelType w:val="hybridMultilevel"/>
    <w:tmpl w:val="166A58C2"/>
    <w:lvl w:ilvl="0" w:tplc="60E23278">
      <w:start w:val="1"/>
      <w:numFmt w:val="decimal"/>
      <w:lvlText w:val="%1."/>
      <w:lvlJc w:val="left"/>
      <w:pPr>
        <w:ind w:left="360" w:hanging="360"/>
      </w:pPr>
      <w:rPr>
        <w:rFonts w:hint="default"/>
        <w:b/>
      </w:rPr>
    </w:lvl>
    <w:lvl w:ilvl="1" w:tplc="68F61AEA">
      <w:start w:val="1"/>
      <w:numFmt w:val="upperLetter"/>
      <w:lvlText w:val="%2."/>
      <w:lvlJc w:val="left"/>
      <w:pPr>
        <w:ind w:left="720" w:firstLine="0"/>
      </w:pPr>
      <w:rPr>
        <w:rFonts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467CBC"/>
    <w:multiLevelType w:val="hybridMultilevel"/>
    <w:tmpl w:val="C83A00FC"/>
    <w:lvl w:ilvl="0" w:tplc="38A2F358">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7E58A7"/>
    <w:multiLevelType w:val="hybridMultilevel"/>
    <w:tmpl w:val="94B2F5E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40F53AFE"/>
    <w:multiLevelType w:val="hybridMultilevel"/>
    <w:tmpl w:val="19927C70"/>
    <w:lvl w:ilvl="0" w:tplc="6A301E3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EF229F"/>
    <w:multiLevelType w:val="hybridMultilevel"/>
    <w:tmpl w:val="B7FAA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A51FB2"/>
    <w:multiLevelType w:val="hybridMultilevel"/>
    <w:tmpl w:val="67C2F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4B523D"/>
    <w:multiLevelType w:val="hybridMultilevel"/>
    <w:tmpl w:val="7F789DD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B53935"/>
    <w:multiLevelType w:val="hybridMultilevel"/>
    <w:tmpl w:val="AD507A7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F416A7"/>
    <w:multiLevelType w:val="hybridMultilevel"/>
    <w:tmpl w:val="8DD6EF64"/>
    <w:lvl w:ilvl="0" w:tplc="240A001B">
      <w:start w:val="1"/>
      <w:numFmt w:val="lowerRoman"/>
      <w:lvlText w:val="%1."/>
      <w:lvlJc w:val="right"/>
      <w:pPr>
        <w:ind w:left="1068" w:hanging="360"/>
      </w:pPr>
      <w:rPr>
        <w:rFonts w:hint="default"/>
      </w:rPr>
    </w:lvl>
    <w:lvl w:ilvl="1" w:tplc="240A000B">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697A3E88"/>
    <w:multiLevelType w:val="hybridMultilevel"/>
    <w:tmpl w:val="61402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D81CCA"/>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7A5C7DA9"/>
    <w:multiLevelType w:val="hybridMultilevel"/>
    <w:tmpl w:val="31840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9"/>
  </w:num>
  <w:num w:numId="4">
    <w:abstractNumId w:val="2"/>
  </w:num>
  <w:num w:numId="5">
    <w:abstractNumId w:val="8"/>
  </w:num>
  <w:num w:numId="6">
    <w:abstractNumId w:val="7"/>
  </w:num>
  <w:num w:numId="7">
    <w:abstractNumId w:val="11"/>
  </w:num>
  <w:num w:numId="8">
    <w:abstractNumId w:val="13"/>
  </w:num>
  <w:num w:numId="9">
    <w:abstractNumId w:val="12"/>
  </w:num>
  <w:num w:numId="10">
    <w:abstractNumId w:val="19"/>
  </w:num>
  <w:num w:numId="11">
    <w:abstractNumId w:val="14"/>
  </w:num>
  <w:num w:numId="12">
    <w:abstractNumId w:val="15"/>
  </w:num>
  <w:num w:numId="13">
    <w:abstractNumId w:val="1"/>
  </w:num>
  <w:num w:numId="14">
    <w:abstractNumId w:val="17"/>
  </w:num>
  <w:num w:numId="15">
    <w:abstractNumId w:val="6"/>
  </w:num>
  <w:num w:numId="16">
    <w:abstractNumId w:val="16"/>
  </w:num>
  <w:num w:numId="17">
    <w:abstractNumId w:val="10"/>
  </w:num>
  <w:num w:numId="18">
    <w:abstractNumId w:val="5"/>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15CD"/>
    <w:rsid w:val="0000423B"/>
    <w:rsid w:val="000108F7"/>
    <w:rsid w:val="00011361"/>
    <w:rsid w:val="00017782"/>
    <w:rsid w:val="00021B5E"/>
    <w:rsid w:val="000248FE"/>
    <w:rsid w:val="00032CCE"/>
    <w:rsid w:val="000367E6"/>
    <w:rsid w:val="00037CBA"/>
    <w:rsid w:val="000411B9"/>
    <w:rsid w:val="00050BD6"/>
    <w:rsid w:val="00063F70"/>
    <w:rsid w:val="000646BD"/>
    <w:rsid w:val="00072309"/>
    <w:rsid w:val="0007295F"/>
    <w:rsid w:val="00084C50"/>
    <w:rsid w:val="000854D5"/>
    <w:rsid w:val="00091BFB"/>
    <w:rsid w:val="000A0224"/>
    <w:rsid w:val="000A1ACD"/>
    <w:rsid w:val="000A3DCF"/>
    <w:rsid w:val="000A4870"/>
    <w:rsid w:val="000B2B35"/>
    <w:rsid w:val="000B2EE8"/>
    <w:rsid w:val="000B3F07"/>
    <w:rsid w:val="000B7638"/>
    <w:rsid w:val="000C0454"/>
    <w:rsid w:val="000C13CE"/>
    <w:rsid w:val="000D074C"/>
    <w:rsid w:val="000D1C16"/>
    <w:rsid w:val="000D41B7"/>
    <w:rsid w:val="000D76CE"/>
    <w:rsid w:val="000E1054"/>
    <w:rsid w:val="000E1564"/>
    <w:rsid w:val="000E1C7F"/>
    <w:rsid w:val="000E25DC"/>
    <w:rsid w:val="000E38FC"/>
    <w:rsid w:val="000E3DB4"/>
    <w:rsid w:val="000E7169"/>
    <w:rsid w:val="000F195B"/>
    <w:rsid w:val="000F4848"/>
    <w:rsid w:val="000F5908"/>
    <w:rsid w:val="00105958"/>
    <w:rsid w:val="001059A2"/>
    <w:rsid w:val="0011119A"/>
    <w:rsid w:val="001124F2"/>
    <w:rsid w:val="00114163"/>
    <w:rsid w:val="00117047"/>
    <w:rsid w:val="00136E87"/>
    <w:rsid w:val="00140D67"/>
    <w:rsid w:val="0015125B"/>
    <w:rsid w:val="0016058A"/>
    <w:rsid w:val="001747A9"/>
    <w:rsid w:val="00175D9E"/>
    <w:rsid w:val="00177F31"/>
    <w:rsid w:val="00180126"/>
    <w:rsid w:val="001832EB"/>
    <w:rsid w:val="00194973"/>
    <w:rsid w:val="001960BF"/>
    <w:rsid w:val="00196BFA"/>
    <w:rsid w:val="001A4960"/>
    <w:rsid w:val="001A5E28"/>
    <w:rsid w:val="001B1C7D"/>
    <w:rsid w:val="001B5A36"/>
    <w:rsid w:val="001B6E48"/>
    <w:rsid w:val="001C0BEB"/>
    <w:rsid w:val="001C1B32"/>
    <w:rsid w:val="001C33C0"/>
    <w:rsid w:val="001D31C4"/>
    <w:rsid w:val="001E3D86"/>
    <w:rsid w:val="001E52A5"/>
    <w:rsid w:val="001E769C"/>
    <w:rsid w:val="001F1284"/>
    <w:rsid w:val="001F4877"/>
    <w:rsid w:val="0020071D"/>
    <w:rsid w:val="00225C50"/>
    <w:rsid w:val="00230BED"/>
    <w:rsid w:val="0023632D"/>
    <w:rsid w:val="00247BEB"/>
    <w:rsid w:val="00261A48"/>
    <w:rsid w:val="00267DFD"/>
    <w:rsid w:val="00283AEC"/>
    <w:rsid w:val="002844B8"/>
    <w:rsid w:val="002974F5"/>
    <w:rsid w:val="002A55E1"/>
    <w:rsid w:val="002B4395"/>
    <w:rsid w:val="002B43CA"/>
    <w:rsid w:val="002C4E1E"/>
    <w:rsid w:val="002C5D3B"/>
    <w:rsid w:val="002D14DE"/>
    <w:rsid w:val="002D7E48"/>
    <w:rsid w:val="002F54B8"/>
    <w:rsid w:val="00300BAF"/>
    <w:rsid w:val="003018AD"/>
    <w:rsid w:val="0031133B"/>
    <w:rsid w:val="00326981"/>
    <w:rsid w:val="0034271A"/>
    <w:rsid w:val="00347B6D"/>
    <w:rsid w:val="0035227B"/>
    <w:rsid w:val="003554B2"/>
    <w:rsid w:val="00370E2A"/>
    <w:rsid w:val="003742E1"/>
    <w:rsid w:val="00382325"/>
    <w:rsid w:val="00386CB3"/>
    <w:rsid w:val="0039093C"/>
    <w:rsid w:val="003A3793"/>
    <w:rsid w:val="003B0DD1"/>
    <w:rsid w:val="003B6DC2"/>
    <w:rsid w:val="003C7E1C"/>
    <w:rsid w:val="003E7CBB"/>
    <w:rsid w:val="003F2F4B"/>
    <w:rsid w:val="00400DCE"/>
    <w:rsid w:val="00405D5C"/>
    <w:rsid w:val="00407D21"/>
    <w:rsid w:val="00413A69"/>
    <w:rsid w:val="00420A38"/>
    <w:rsid w:val="00421ED4"/>
    <w:rsid w:val="00423CFD"/>
    <w:rsid w:val="00432F38"/>
    <w:rsid w:val="00434DD6"/>
    <w:rsid w:val="004414CF"/>
    <w:rsid w:val="0046599B"/>
    <w:rsid w:val="004673FD"/>
    <w:rsid w:val="0047405B"/>
    <w:rsid w:val="00485817"/>
    <w:rsid w:val="00486F35"/>
    <w:rsid w:val="004A361B"/>
    <w:rsid w:val="004B119B"/>
    <w:rsid w:val="004B1D86"/>
    <w:rsid w:val="004B3410"/>
    <w:rsid w:val="004B3EDC"/>
    <w:rsid w:val="004B63D7"/>
    <w:rsid w:val="004D1A9D"/>
    <w:rsid w:val="004E1441"/>
    <w:rsid w:val="004E3359"/>
    <w:rsid w:val="004E3BCA"/>
    <w:rsid w:val="004F08FB"/>
    <w:rsid w:val="004F269B"/>
    <w:rsid w:val="004F452B"/>
    <w:rsid w:val="004F7ED5"/>
    <w:rsid w:val="00510A8D"/>
    <w:rsid w:val="00512327"/>
    <w:rsid w:val="005442A5"/>
    <w:rsid w:val="00551461"/>
    <w:rsid w:val="005514EA"/>
    <w:rsid w:val="00555C24"/>
    <w:rsid w:val="00560230"/>
    <w:rsid w:val="00564908"/>
    <w:rsid w:val="005775E5"/>
    <w:rsid w:val="00587508"/>
    <w:rsid w:val="005A3CF8"/>
    <w:rsid w:val="005A4FA1"/>
    <w:rsid w:val="005A7EDC"/>
    <w:rsid w:val="005B1B02"/>
    <w:rsid w:val="005B7E07"/>
    <w:rsid w:val="005C366E"/>
    <w:rsid w:val="005C4A73"/>
    <w:rsid w:val="005D15EC"/>
    <w:rsid w:val="005E44C0"/>
    <w:rsid w:val="005F4960"/>
    <w:rsid w:val="005F5F04"/>
    <w:rsid w:val="005F7541"/>
    <w:rsid w:val="006021F0"/>
    <w:rsid w:val="00602E0E"/>
    <w:rsid w:val="00617DEC"/>
    <w:rsid w:val="00621C5A"/>
    <w:rsid w:val="00623367"/>
    <w:rsid w:val="00625E10"/>
    <w:rsid w:val="006317FA"/>
    <w:rsid w:val="00635939"/>
    <w:rsid w:val="00647D7E"/>
    <w:rsid w:val="00656DA9"/>
    <w:rsid w:val="0066496B"/>
    <w:rsid w:val="006701E0"/>
    <w:rsid w:val="00672681"/>
    <w:rsid w:val="00672CF2"/>
    <w:rsid w:val="00674A39"/>
    <w:rsid w:val="00690A05"/>
    <w:rsid w:val="006965A9"/>
    <w:rsid w:val="006A2060"/>
    <w:rsid w:val="006B3AF9"/>
    <w:rsid w:val="006B58C7"/>
    <w:rsid w:val="006C6F80"/>
    <w:rsid w:val="006C7D01"/>
    <w:rsid w:val="006D48B3"/>
    <w:rsid w:val="006D53A1"/>
    <w:rsid w:val="006E20E7"/>
    <w:rsid w:val="006F0C55"/>
    <w:rsid w:val="006F27CC"/>
    <w:rsid w:val="00700EDF"/>
    <w:rsid w:val="00703F6C"/>
    <w:rsid w:val="00705B0F"/>
    <w:rsid w:val="00707EF2"/>
    <w:rsid w:val="007178E0"/>
    <w:rsid w:val="007313DB"/>
    <w:rsid w:val="007317CD"/>
    <w:rsid w:val="00731B89"/>
    <w:rsid w:val="00735E1F"/>
    <w:rsid w:val="00751F1A"/>
    <w:rsid w:val="00756323"/>
    <w:rsid w:val="007573D6"/>
    <w:rsid w:val="00757FBF"/>
    <w:rsid w:val="00767B49"/>
    <w:rsid w:val="00771ECB"/>
    <w:rsid w:val="00775647"/>
    <w:rsid w:val="00794A1F"/>
    <w:rsid w:val="0079652D"/>
    <w:rsid w:val="007A0CBF"/>
    <w:rsid w:val="007A24FE"/>
    <w:rsid w:val="007A736A"/>
    <w:rsid w:val="007B7F97"/>
    <w:rsid w:val="007D5339"/>
    <w:rsid w:val="007E16DF"/>
    <w:rsid w:val="007E4684"/>
    <w:rsid w:val="007E574B"/>
    <w:rsid w:val="007E61ED"/>
    <w:rsid w:val="007E6FA6"/>
    <w:rsid w:val="007F1047"/>
    <w:rsid w:val="007F2704"/>
    <w:rsid w:val="007F2A24"/>
    <w:rsid w:val="007F3DF3"/>
    <w:rsid w:val="008007E6"/>
    <w:rsid w:val="0080141F"/>
    <w:rsid w:val="0080462E"/>
    <w:rsid w:val="00812A0C"/>
    <w:rsid w:val="0081583D"/>
    <w:rsid w:val="00815B35"/>
    <w:rsid w:val="00816448"/>
    <w:rsid w:val="00821D5B"/>
    <w:rsid w:val="00822D86"/>
    <w:rsid w:val="00825C80"/>
    <w:rsid w:val="008306F0"/>
    <w:rsid w:val="008428C3"/>
    <w:rsid w:val="00852C36"/>
    <w:rsid w:val="008850FF"/>
    <w:rsid w:val="00895259"/>
    <w:rsid w:val="008A3BC1"/>
    <w:rsid w:val="008A4C96"/>
    <w:rsid w:val="008A5D13"/>
    <w:rsid w:val="008A6CE8"/>
    <w:rsid w:val="008B5286"/>
    <w:rsid w:val="008B6C8D"/>
    <w:rsid w:val="008C57F4"/>
    <w:rsid w:val="008D7D0F"/>
    <w:rsid w:val="008F578B"/>
    <w:rsid w:val="00900BC5"/>
    <w:rsid w:val="009020B3"/>
    <w:rsid w:val="00905165"/>
    <w:rsid w:val="009076A9"/>
    <w:rsid w:val="00913A83"/>
    <w:rsid w:val="009162B5"/>
    <w:rsid w:val="00936BB7"/>
    <w:rsid w:val="00953D2E"/>
    <w:rsid w:val="00955465"/>
    <w:rsid w:val="0095677C"/>
    <w:rsid w:val="009605D1"/>
    <w:rsid w:val="009638B4"/>
    <w:rsid w:val="0096598F"/>
    <w:rsid w:val="00970D09"/>
    <w:rsid w:val="00973345"/>
    <w:rsid w:val="009A3312"/>
    <w:rsid w:val="009B72A1"/>
    <w:rsid w:val="009C12FA"/>
    <w:rsid w:val="009C2D14"/>
    <w:rsid w:val="009C6402"/>
    <w:rsid w:val="009D13E0"/>
    <w:rsid w:val="009E160B"/>
    <w:rsid w:val="009E1B21"/>
    <w:rsid w:val="009E2801"/>
    <w:rsid w:val="009E786D"/>
    <w:rsid w:val="009F4954"/>
    <w:rsid w:val="009F50D7"/>
    <w:rsid w:val="00A13CBD"/>
    <w:rsid w:val="00A15CDD"/>
    <w:rsid w:val="00A16284"/>
    <w:rsid w:val="00A22AAF"/>
    <w:rsid w:val="00A34B29"/>
    <w:rsid w:val="00A44341"/>
    <w:rsid w:val="00A44984"/>
    <w:rsid w:val="00A579F8"/>
    <w:rsid w:val="00A60A30"/>
    <w:rsid w:val="00A72288"/>
    <w:rsid w:val="00A72F75"/>
    <w:rsid w:val="00A73EA7"/>
    <w:rsid w:val="00A7557C"/>
    <w:rsid w:val="00A85637"/>
    <w:rsid w:val="00A97267"/>
    <w:rsid w:val="00AA0519"/>
    <w:rsid w:val="00AA7609"/>
    <w:rsid w:val="00AB1924"/>
    <w:rsid w:val="00AC10D0"/>
    <w:rsid w:val="00AC1679"/>
    <w:rsid w:val="00AC5A07"/>
    <w:rsid w:val="00AD1D90"/>
    <w:rsid w:val="00AD4496"/>
    <w:rsid w:val="00AE3BD5"/>
    <w:rsid w:val="00AF00CF"/>
    <w:rsid w:val="00AF3B0D"/>
    <w:rsid w:val="00B11007"/>
    <w:rsid w:val="00B140E1"/>
    <w:rsid w:val="00B174CD"/>
    <w:rsid w:val="00B17648"/>
    <w:rsid w:val="00B22764"/>
    <w:rsid w:val="00B32C86"/>
    <w:rsid w:val="00B64170"/>
    <w:rsid w:val="00B70850"/>
    <w:rsid w:val="00B72E0A"/>
    <w:rsid w:val="00B7434A"/>
    <w:rsid w:val="00B812CA"/>
    <w:rsid w:val="00B900F2"/>
    <w:rsid w:val="00B91734"/>
    <w:rsid w:val="00B93B36"/>
    <w:rsid w:val="00B95479"/>
    <w:rsid w:val="00BA2D14"/>
    <w:rsid w:val="00BA7D1A"/>
    <w:rsid w:val="00BB07A4"/>
    <w:rsid w:val="00BB3A3E"/>
    <w:rsid w:val="00BC4067"/>
    <w:rsid w:val="00BD2313"/>
    <w:rsid w:val="00BD2A0F"/>
    <w:rsid w:val="00BE0FD2"/>
    <w:rsid w:val="00BE215A"/>
    <w:rsid w:val="00BE30F6"/>
    <w:rsid w:val="00BF1A1A"/>
    <w:rsid w:val="00BF366B"/>
    <w:rsid w:val="00BF5B14"/>
    <w:rsid w:val="00C03D7C"/>
    <w:rsid w:val="00C14B6D"/>
    <w:rsid w:val="00C24955"/>
    <w:rsid w:val="00C33764"/>
    <w:rsid w:val="00C42ED6"/>
    <w:rsid w:val="00C46EDF"/>
    <w:rsid w:val="00C47642"/>
    <w:rsid w:val="00C54981"/>
    <w:rsid w:val="00C57A0A"/>
    <w:rsid w:val="00C71FE5"/>
    <w:rsid w:val="00C7238A"/>
    <w:rsid w:val="00C72E21"/>
    <w:rsid w:val="00C75C34"/>
    <w:rsid w:val="00C80D5E"/>
    <w:rsid w:val="00C875CD"/>
    <w:rsid w:val="00C90288"/>
    <w:rsid w:val="00C906DD"/>
    <w:rsid w:val="00C93496"/>
    <w:rsid w:val="00C97991"/>
    <w:rsid w:val="00CA089B"/>
    <w:rsid w:val="00CA3F76"/>
    <w:rsid w:val="00CB159C"/>
    <w:rsid w:val="00CB309E"/>
    <w:rsid w:val="00CB3540"/>
    <w:rsid w:val="00CB6946"/>
    <w:rsid w:val="00CC25A4"/>
    <w:rsid w:val="00CC2911"/>
    <w:rsid w:val="00CE1AE5"/>
    <w:rsid w:val="00CE1EF3"/>
    <w:rsid w:val="00CF4C0B"/>
    <w:rsid w:val="00D01B8C"/>
    <w:rsid w:val="00D152CB"/>
    <w:rsid w:val="00D16292"/>
    <w:rsid w:val="00D26B7A"/>
    <w:rsid w:val="00D30410"/>
    <w:rsid w:val="00D322FA"/>
    <w:rsid w:val="00D515F0"/>
    <w:rsid w:val="00D5428B"/>
    <w:rsid w:val="00D60EAF"/>
    <w:rsid w:val="00D66856"/>
    <w:rsid w:val="00D72BD7"/>
    <w:rsid w:val="00D7403A"/>
    <w:rsid w:val="00D75BCB"/>
    <w:rsid w:val="00D8476A"/>
    <w:rsid w:val="00D87A08"/>
    <w:rsid w:val="00D91A9E"/>
    <w:rsid w:val="00D94ADC"/>
    <w:rsid w:val="00DA5C60"/>
    <w:rsid w:val="00DA74E3"/>
    <w:rsid w:val="00DB1167"/>
    <w:rsid w:val="00DC06A3"/>
    <w:rsid w:val="00DC28E6"/>
    <w:rsid w:val="00DC3B24"/>
    <w:rsid w:val="00DD6BC2"/>
    <w:rsid w:val="00DF0BB5"/>
    <w:rsid w:val="00E01D1C"/>
    <w:rsid w:val="00E0623E"/>
    <w:rsid w:val="00E06913"/>
    <w:rsid w:val="00E1065B"/>
    <w:rsid w:val="00E16A94"/>
    <w:rsid w:val="00E17FAB"/>
    <w:rsid w:val="00E209DF"/>
    <w:rsid w:val="00E351FC"/>
    <w:rsid w:val="00E455F1"/>
    <w:rsid w:val="00E7125D"/>
    <w:rsid w:val="00E77DD4"/>
    <w:rsid w:val="00E82569"/>
    <w:rsid w:val="00E903FB"/>
    <w:rsid w:val="00E94665"/>
    <w:rsid w:val="00E94B00"/>
    <w:rsid w:val="00EC1690"/>
    <w:rsid w:val="00EC229D"/>
    <w:rsid w:val="00EC66CD"/>
    <w:rsid w:val="00EC6F58"/>
    <w:rsid w:val="00EE3C7F"/>
    <w:rsid w:val="00F020BC"/>
    <w:rsid w:val="00F20C2F"/>
    <w:rsid w:val="00F20FA9"/>
    <w:rsid w:val="00F23403"/>
    <w:rsid w:val="00F245EA"/>
    <w:rsid w:val="00F329BC"/>
    <w:rsid w:val="00F35EB6"/>
    <w:rsid w:val="00F36547"/>
    <w:rsid w:val="00F365C2"/>
    <w:rsid w:val="00F51D0A"/>
    <w:rsid w:val="00F53153"/>
    <w:rsid w:val="00F63B7F"/>
    <w:rsid w:val="00F65964"/>
    <w:rsid w:val="00F65EB3"/>
    <w:rsid w:val="00F92E79"/>
    <w:rsid w:val="00FA535E"/>
    <w:rsid w:val="00FA5865"/>
    <w:rsid w:val="00FB504E"/>
    <w:rsid w:val="00FC072A"/>
    <w:rsid w:val="00FC168B"/>
    <w:rsid w:val="00FC5CE3"/>
    <w:rsid w:val="00FC60E8"/>
    <w:rsid w:val="00FD2A8B"/>
    <w:rsid w:val="00FE542C"/>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60728"/>
  <w15:chartTrackingRefBased/>
  <w15:docId w15:val="{7FE0C7BF-7BEA-4380-B533-A8A12F79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3">
    <w:name w:val="heading 3"/>
    <w:basedOn w:val="Normal"/>
    <w:next w:val="Normal"/>
    <w:link w:val="Ttulo3Car"/>
    <w:uiPriority w:val="9"/>
    <w:semiHidden/>
    <w:unhideWhenUsed/>
    <w:qFormat/>
    <w:rsid w:val="005E44C0"/>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F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1A"/>
    <w:rPr>
      <w:rFonts w:ascii="Segoe UI" w:eastAsiaTheme="minorEastAsia" w:hAnsi="Segoe UI" w:cs="Segoe UI"/>
      <w:sz w:val="18"/>
      <w:szCs w:val="18"/>
      <w:lang w:val="es-ES_tradnl"/>
    </w:rPr>
  </w:style>
  <w:style w:type="table" w:styleId="Tablaconcuadrcula">
    <w:name w:val="Table Grid"/>
    <w:basedOn w:val="Tablanormal"/>
    <w:uiPriority w:val="59"/>
    <w:rsid w:val="00C4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195B"/>
    <w:rPr>
      <w:sz w:val="16"/>
      <w:szCs w:val="16"/>
    </w:rPr>
  </w:style>
  <w:style w:type="paragraph" w:styleId="Textocomentario">
    <w:name w:val="annotation text"/>
    <w:basedOn w:val="Normal"/>
    <w:link w:val="TextocomentarioCar"/>
    <w:uiPriority w:val="99"/>
    <w:semiHidden/>
    <w:unhideWhenUsed/>
    <w:rsid w:val="000F195B"/>
    <w:rPr>
      <w:sz w:val="20"/>
      <w:szCs w:val="20"/>
    </w:rPr>
  </w:style>
  <w:style w:type="character" w:customStyle="1" w:styleId="TextocomentarioCar">
    <w:name w:val="Texto comentario Car"/>
    <w:basedOn w:val="Fuentedeprrafopredeter"/>
    <w:link w:val="Textocomentario"/>
    <w:uiPriority w:val="99"/>
    <w:semiHidden/>
    <w:rsid w:val="000F195B"/>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F195B"/>
    <w:rPr>
      <w:b/>
      <w:bCs/>
    </w:rPr>
  </w:style>
  <w:style w:type="character" w:customStyle="1" w:styleId="AsuntodelcomentarioCar">
    <w:name w:val="Asunto del comentario Car"/>
    <w:basedOn w:val="TextocomentarioCar"/>
    <w:link w:val="Asuntodelcomentario"/>
    <w:uiPriority w:val="99"/>
    <w:semiHidden/>
    <w:rsid w:val="000F195B"/>
    <w:rPr>
      <w:rFonts w:eastAsiaTheme="minorEastAsia"/>
      <w:b/>
      <w:bCs/>
      <w:sz w:val="20"/>
      <w:szCs w:val="20"/>
      <w:lang w:val="es-ES_tradnl"/>
    </w:rPr>
  </w:style>
  <w:style w:type="paragraph" w:styleId="Prrafodelista">
    <w:name w:val="List Paragraph"/>
    <w:basedOn w:val="Normal"/>
    <w:uiPriority w:val="34"/>
    <w:qFormat/>
    <w:rsid w:val="001960BF"/>
    <w:pPr>
      <w:ind w:left="720"/>
      <w:contextualSpacing/>
    </w:pPr>
  </w:style>
  <w:style w:type="character" w:customStyle="1" w:styleId="Ttulo3Car">
    <w:name w:val="Título 3 Car"/>
    <w:basedOn w:val="Fuentedeprrafopredeter"/>
    <w:link w:val="Ttulo3"/>
    <w:uiPriority w:val="9"/>
    <w:semiHidden/>
    <w:rsid w:val="005E44C0"/>
    <w:rPr>
      <w:rFonts w:asciiTheme="majorHAnsi" w:eastAsiaTheme="majorEastAsia" w:hAnsiTheme="majorHAnsi" w:cstheme="majorBidi"/>
      <w:color w:val="1F4D78" w:themeColor="accent1" w:themeShade="7F"/>
      <w:sz w:val="24"/>
      <w:szCs w:val="24"/>
      <w:lang w:val="es-ES_tradnl"/>
    </w:rPr>
  </w:style>
  <w:style w:type="paragraph" w:styleId="Textonotapie">
    <w:name w:val="footnote text"/>
    <w:basedOn w:val="Normal"/>
    <w:link w:val="TextonotapieCar"/>
    <w:uiPriority w:val="99"/>
    <w:semiHidden/>
    <w:unhideWhenUsed/>
    <w:rsid w:val="006B3AF9"/>
    <w:rPr>
      <w:sz w:val="20"/>
      <w:szCs w:val="20"/>
    </w:rPr>
  </w:style>
  <w:style w:type="character" w:customStyle="1" w:styleId="TextonotapieCar">
    <w:name w:val="Texto nota pie Car"/>
    <w:basedOn w:val="Fuentedeprrafopredeter"/>
    <w:link w:val="Textonotapie"/>
    <w:uiPriority w:val="99"/>
    <w:semiHidden/>
    <w:rsid w:val="006B3AF9"/>
    <w:rPr>
      <w:rFonts w:eastAsiaTheme="minorEastAsia"/>
      <w:sz w:val="20"/>
      <w:szCs w:val="20"/>
      <w:lang w:val="es-ES_tradnl"/>
    </w:rPr>
  </w:style>
  <w:style w:type="character" w:styleId="Refdenotaalpie">
    <w:name w:val="footnote reference"/>
    <w:basedOn w:val="Fuentedeprrafopredeter"/>
    <w:uiPriority w:val="99"/>
    <w:semiHidden/>
    <w:unhideWhenUsed/>
    <w:rsid w:val="006B3AF9"/>
    <w:rPr>
      <w:vertAlign w:val="superscript"/>
    </w:rPr>
  </w:style>
  <w:style w:type="table" w:styleId="Tabladecuadrcula4-nfasis5">
    <w:name w:val="Grid Table 4 Accent 5"/>
    <w:basedOn w:val="Tablanormal"/>
    <w:uiPriority w:val="49"/>
    <w:rsid w:val="00EC6F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8476A"/>
    <w:pPr>
      <w:spacing w:after="0" w:line="240" w:lineRule="auto"/>
    </w:pPr>
    <w:rPr>
      <w:rFonts w:eastAsiaTheme="minorEastAsia"/>
      <w:sz w:val="24"/>
      <w:szCs w:val="24"/>
      <w:lang w:val="es-ES_tradnl"/>
    </w:rPr>
  </w:style>
  <w:style w:type="table" w:styleId="Tabladelista2-nfasis5">
    <w:name w:val="List Table 2 Accent 5"/>
    <w:basedOn w:val="Tablanormal"/>
    <w:uiPriority w:val="47"/>
    <w:rsid w:val="0096598F"/>
    <w:pPr>
      <w:spacing w:after="0" w:line="240" w:lineRule="auto"/>
    </w:pPr>
    <w:rPr>
      <w:rFonts w:eastAsiaTheme="minorEastAsia"/>
      <w:sz w:val="24"/>
      <w:szCs w:val="24"/>
      <w:lang w:val="es-ES_tradn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0461">
      <w:bodyDiv w:val="1"/>
      <w:marLeft w:val="0"/>
      <w:marRight w:val="0"/>
      <w:marTop w:val="0"/>
      <w:marBottom w:val="0"/>
      <w:divBdr>
        <w:top w:val="none" w:sz="0" w:space="0" w:color="auto"/>
        <w:left w:val="none" w:sz="0" w:space="0" w:color="auto"/>
        <w:bottom w:val="none" w:sz="0" w:space="0" w:color="auto"/>
        <w:right w:val="none" w:sz="0" w:space="0" w:color="auto"/>
      </w:divBdr>
    </w:div>
    <w:div w:id="247006321">
      <w:bodyDiv w:val="1"/>
      <w:marLeft w:val="0"/>
      <w:marRight w:val="0"/>
      <w:marTop w:val="0"/>
      <w:marBottom w:val="0"/>
      <w:divBdr>
        <w:top w:val="none" w:sz="0" w:space="0" w:color="auto"/>
        <w:left w:val="none" w:sz="0" w:space="0" w:color="auto"/>
        <w:bottom w:val="none" w:sz="0" w:space="0" w:color="auto"/>
        <w:right w:val="none" w:sz="0" w:space="0" w:color="auto"/>
      </w:divBdr>
    </w:div>
    <w:div w:id="318047215">
      <w:bodyDiv w:val="1"/>
      <w:marLeft w:val="0"/>
      <w:marRight w:val="0"/>
      <w:marTop w:val="0"/>
      <w:marBottom w:val="0"/>
      <w:divBdr>
        <w:top w:val="none" w:sz="0" w:space="0" w:color="auto"/>
        <w:left w:val="none" w:sz="0" w:space="0" w:color="auto"/>
        <w:bottom w:val="none" w:sz="0" w:space="0" w:color="auto"/>
        <w:right w:val="none" w:sz="0" w:space="0" w:color="auto"/>
      </w:divBdr>
    </w:div>
    <w:div w:id="392972343">
      <w:bodyDiv w:val="1"/>
      <w:marLeft w:val="0"/>
      <w:marRight w:val="0"/>
      <w:marTop w:val="0"/>
      <w:marBottom w:val="0"/>
      <w:divBdr>
        <w:top w:val="none" w:sz="0" w:space="0" w:color="auto"/>
        <w:left w:val="none" w:sz="0" w:space="0" w:color="auto"/>
        <w:bottom w:val="none" w:sz="0" w:space="0" w:color="auto"/>
        <w:right w:val="none" w:sz="0" w:space="0" w:color="auto"/>
      </w:divBdr>
    </w:div>
    <w:div w:id="560363452">
      <w:bodyDiv w:val="1"/>
      <w:marLeft w:val="0"/>
      <w:marRight w:val="0"/>
      <w:marTop w:val="0"/>
      <w:marBottom w:val="0"/>
      <w:divBdr>
        <w:top w:val="none" w:sz="0" w:space="0" w:color="auto"/>
        <w:left w:val="none" w:sz="0" w:space="0" w:color="auto"/>
        <w:bottom w:val="none" w:sz="0" w:space="0" w:color="auto"/>
        <w:right w:val="none" w:sz="0" w:space="0" w:color="auto"/>
      </w:divBdr>
    </w:div>
    <w:div w:id="567810540">
      <w:bodyDiv w:val="1"/>
      <w:marLeft w:val="0"/>
      <w:marRight w:val="0"/>
      <w:marTop w:val="0"/>
      <w:marBottom w:val="0"/>
      <w:divBdr>
        <w:top w:val="none" w:sz="0" w:space="0" w:color="auto"/>
        <w:left w:val="none" w:sz="0" w:space="0" w:color="auto"/>
        <w:bottom w:val="none" w:sz="0" w:space="0" w:color="auto"/>
        <w:right w:val="none" w:sz="0" w:space="0" w:color="auto"/>
      </w:divBdr>
    </w:div>
    <w:div w:id="1182891746">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3030806">
      <w:bodyDiv w:val="1"/>
      <w:marLeft w:val="0"/>
      <w:marRight w:val="0"/>
      <w:marTop w:val="0"/>
      <w:marBottom w:val="0"/>
      <w:divBdr>
        <w:top w:val="none" w:sz="0" w:space="0" w:color="auto"/>
        <w:left w:val="none" w:sz="0" w:space="0" w:color="auto"/>
        <w:bottom w:val="none" w:sz="0" w:space="0" w:color="auto"/>
        <w:right w:val="none" w:sz="0" w:space="0" w:color="auto"/>
      </w:divBdr>
    </w:div>
    <w:div w:id="18773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7688-4A7F-4B92-857C-F1102F0A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2019-06-12T21:28:00Z</cp:lastPrinted>
  <dcterms:created xsi:type="dcterms:W3CDTF">2019-10-04T19:36:00Z</dcterms:created>
  <dcterms:modified xsi:type="dcterms:W3CDTF">2019-10-04T19:36:00Z</dcterms:modified>
</cp:coreProperties>
</file>