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A4CF24" w14:textId="604A3761" w:rsidR="00486572" w:rsidRDefault="00486572" w:rsidP="00486572">
      <w:pPr>
        <w:rPr>
          <w:rFonts w:ascii="Arial" w:hAnsi="Arial" w:cs="Arial"/>
          <w:sz w:val="22"/>
          <w:szCs w:val="22"/>
          <w:lang w:val="es-MX"/>
        </w:rPr>
      </w:pPr>
      <w:r>
        <w:rPr>
          <w:rFonts w:ascii="Arial" w:hAnsi="Arial" w:cs="Arial"/>
          <w:sz w:val="22"/>
          <w:szCs w:val="22"/>
          <w:lang w:val="es-MX"/>
        </w:rPr>
        <w:t xml:space="preserve">Bogotá, D. C., </w:t>
      </w:r>
      <w:r w:rsidR="00571E07">
        <w:rPr>
          <w:rFonts w:ascii="Arial" w:hAnsi="Arial" w:cs="Arial"/>
          <w:sz w:val="22"/>
          <w:szCs w:val="22"/>
          <w:lang w:val="es-MX"/>
        </w:rPr>
        <w:t>3</w:t>
      </w:r>
      <w:r w:rsidR="00F7294D">
        <w:rPr>
          <w:rFonts w:ascii="Arial" w:hAnsi="Arial" w:cs="Arial"/>
          <w:sz w:val="22"/>
          <w:szCs w:val="22"/>
          <w:lang w:val="es-MX"/>
        </w:rPr>
        <w:t>1</w:t>
      </w:r>
      <w:r w:rsidR="00880FBF">
        <w:rPr>
          <w:rFonts w:ascii="Arial" w:hAnsi="Arial" w:cs="Arial"/>
          <w:sz w:val="22"/>
          <w:szCs w:val="22"/>
          <w:lang w:val="es-MX"/>
        </w:rPr>
        <w:t xml:space="preserve"> de </w:t>
      </w:r>
      <w:r w:rsidR="00F7294D">
        <w:rPr>
          <w:rFonts w:ascii="Arial" w:hAnsi="Arial" w:cs="Arial"/>
          <w:sz w:val="22"/>
          <w:szCs w:val="22"/>
          <w:lang w:val="es-MX"/>
        </w:rPr>
        <w:t xml:space="preserve">enero </w:t>
      </w:r>
      <w:r w:rsidR="00880FBF">
        <w:rPr>
          <w:rFonts w:ascii="Arial" w:hAnsi="Arial" w:cs="Arial"/>
          <w:sz w:val="22"/>
          <w:szCs w:val="22"/>
          <w:lang w:val="es-MX"/>
        </w:rPr>
        <w:t>de 202</w:t>
      </w:r>
      <w:r w:rsidR="00F7294D">
        <w:rPr>
          <w:rFonts w:ascii="Arial" w:hAnsi="Arial" w:cs="Arial"/>
          <w:sz w:val="22"/>
          <w:szCs w:val="22"/>
          <w:lang w:val="es-MX"/>
        </w:rPr>
        <w:t>3</w:t>
      </w:r>
    </w:p>
    <w:p w14:paraId="25F8F43D" w14:textId="77777777" w:rsidR="00933A3A" w:rsidRDefault="00933A3A" w:rsidP="00880FBF">
      <w:pPr>
        <w:pStyle w:val="Asunto"/>
        <w:spacing w:before="480" w:after="480"/>
        <w:jc w:val="center"/>
        <w:rPr>
          <w:rFonts w:ascii="Arial" w:hAnsi="Arial" w:cs="Arial"/>
          <w:b/>
          <w:bCs/>
          <w:i/>
          <w:iCs/>
          <w:kern w:val="60"/>
          <w:sz w:val="40"/>
          <w:szCs w:val="40"/>
        </w:rPr>
      </w:pPr>
    </w:p>
    <w:p w14:paraId="7DAA0C15" w14:textId="13CFCD05" w:rsidR="00880FBF" w:rsidRDefault="00880FBF" w:rsidP="00880FBF">
      <w:pPr>
        <w:pStyle w:val="Asunto"/>
        <w:spacing w:before="480" w:after="480"/>
        <w:jc w:val="center"/>
        <w:rPr>
          <w:rFonts w:ascii="Arial" w:hAnsi="Arial" w:cs="Arial"/>
          <w:b/>
          <w:bCs/>
          <w:i/>
          <w:iCs/>
          <w:kern w:val="60"/>
          <w:sz w:val="40"/>
          <w:szCs w:val="40"/>
        </w:rPr>
      </w:pPr>
      <w:r w:rsidRPr="00C1339B">
        <w:rPr>
          <w:rFonts w:ascii="Arial" w:hAnsi="Arial" w:cs="Arial"/>
          <w:b/>
          <w:bCs/>
          <w:i/>
          <w:iCs/>
          <w:kern w:val="60"/>
          <w:sz w:val="40"/>
          <w:szCs w:val="40"/>
        </w:rPr>
        <w:t>CIRCULAR</w:t>
      </w:r>
      <w:r>
        <w:rPr>
          <w:rFonts w:ascii="Arial" w:hAnsi="Arial" w:cs="Arial"/>
          <w:b/>
          <w:bCs/>
          <w:i/>
          <w:iCs/>
          <w:kern w:val="60"/>
          <w:sz w:val="40"/>
          <w:szCs w:val="40"/>
        </w:rPr>
        <w:t xml:space="preserve"> </w:t>
      </w:r>
      <w:r w:rsidRPr="007E523E">
        <w:rPr>
          <w:rFonts w:ascii="Arial" w:hAnsi="Arial" w:cs="Arial"/>
          <w:b/>
          <w:bCs/>
          <w:i/>
          <w:iCs/>
          <w:kern w:val="60"/>
          <w:sz w:val="40"/>
          <w:szCs w:val="40"/>
        </w:rPr>
        <w:t>No.</w:t>
      </w:r>
      <w:r w:rsidR="00B738A1">
        <w:rPr>
          <w:rFonts w:ascii="Arial" w:hAnsi="Arial" w:cs="Arial"/>
          <w:b/>
          <w:bCs/>
          <w:i/>
          <w:iCs/>
          <w:kern w:val="60"/>
          <w:sz w:val="40"/>
          <w:szCs w:val="40"/>
        </w:rPr>
        <w:t xml:space="preserve"> </w:t>
      </w:r>
      <w:r w:rsidR="00933A3A">
        <w:rPr>
          <w:rFonts w:ascii="Arial" w:hAnsi="Arial" w:cs="Arial"/>
          <w:b/>
          <w:bCs/>
          <w:i/>
          <w:iCs/>
          <w:kern w:val="60"/>
          <w:sz w:val="40"/>
          <w:szCs w:val="40"/>
        </w:rPr>
        <w:t>007</w:t>
      </w:r>
    </w:p>
    <w:p w14:paraId="7F9E8533" w14:textId="77777777" w:rsidR="00880FBF" w:rsidRPr="00B45B5C" w:rsidRDefault="00880FBF" w:rsidP="00880FBF">
      <w:pPr>
        <w:pStyle w:val="Sangradetextonormal"/>
        <w:spacing w:before="240" w:after="0" w:line="360" w:lineRule="auto"/>
        <w:ind w:left="1412" w:hanging="1412"/>
        <w:jc w:val="both"/>
        <w:rPr>
          <w:rFonts w:asciiTheme="majorHAnsi" w:hAnsiTheme="majorHAnsi" w:cstheme="majorHAnsi"/>
          <w:b/>
        </w:rPr>
      </w:pPr>
      <w:r w:rsidRPr="00B45B5C">
        <w:rPr>
          <w:rFonts w:asciiTheme="majorHAnsi" w:hAnsiTheme="majorHAnsi" w:cstheme="majorHAnsi"/>
          <w:b/>
        </w:rPr>
        <w:t>PARA:</w:t>
      </w:r>
      <w:r w:rsidRPr="00B45B5C">
        <w:rPr>
          <w:rFonts w:asciiTheme="majorHAnsi" w:hAnsiTheme="majorHAnsi" w:cstheme="majorHAnsi"/>
          <w:b/>
        </w:rPr>
        <w:tab/>
        <w:t>GRUPOS DE VALOR Y PARTES INTERESADAS</w:t>
      </w:r>
    </w:p>
    <w:p w14:paraId="7F68F43A" w14:textId="77777777" w:rsidR="00880FBF" w:rsidRPr="00B45B5C" w:rsidRDefault="00880FBF" w:rsidP="00880FBF">
      <w:pPr>
        <w:pStyle w:val="Sangradetextonormal"/>
        <w:spacing w:before="240" w:after="0" w:line="360" w:lineRule="auto"/>
        <w:ind w:left="1412" w:hanging="1412"/>
        <w:jc w:val="both"/>
        <w:rPr>
          <w:rFonts w:asciiTheme="majorHAnsi" w:hAnsiTheme="majorHAnsi" w:cstheme="majorHAnsi"/>
          <w:b/>
        </w:rPr>
      </w:pPr>
      <w:r w:rsidRPr="00B45B5C">
        <w:rPr>
          <w:rFonts w:asciiTheme="majorHAnsi" w:hAnsiTheme="majorHAnsi" w:cstheme="majorHAnsi"/>
          <w:b/>
        </w:rPr>
        <w:t>DE:</w:t>
      </w:r>
      <w:r w:rsidRPr="00B45B5C">
        <w:rPr>
          <w:rFonts w:asciiTheme="majorHAnsi" w:hAnsiTheme="majorHAnsi" w:cstheme="majorHAnsi"/>
          <w:b/>
        </w:rPr>
        <w:tab/>
        <w:t>DIRECCIÓN EJECUTIVA</w:t>
      </w:r>
    </w:p>
    <w:p w14:paraId="786E5B44" w14:textId="77777777" w:rsidR="00880FBF" w:rsidRDefault="00880FBF" w:rsidP="00880FBF">
      <w:pPr>
        <w:pStyle w:val="Sangradetextonormal"/>
        <w:spacing w:before="240" w:after="0" w:line="360" w:lineRule="auto"/>
        <w:ind w:left="1412" w:hanging="1412"/>
        <w:jc w:val="both"/>
        <w:rPr>
          <w:rFonts w:asciiTheme="majorHAnsi" w:hAnsiTheme="majorHAnsi" w:cstheme="majorHAnsi"/>
          <w:b/>
        </w:rPr>
      </w:pPr>
      <w:r w:rsidRPr="00B45B5C">
        <w:rPr>
          <w:rFonts w:asciiTheme="majorHAnsi" w:hAnsiTheme="majorHAnsi" w:cstheme="majorHAnsi"/>
          <w:b/>
        </w:rPr>
        <w:t>ASUNTO:</w:t>
      </w:r>
      <w:r w:rsidRPr="00B45B5C">
        <w:rPr>
          <w:rFonts w:asciiTheme="majorHAnsi" w:hAnsiTheme="majorHAnsi" w:cstheme="majorHAnsi"/>
          <w:b/>
        </w:rPr>
        <w:tab/>
      </w:r>
      <w:r>
        <w:rPr>
          <w:rFonts w:asciiTheme="majorHAnsi" w:hAnsiTheme="majorHAnsi" w:cstheme="majorHAnsi"/>
          <w:b/>
        </w:rPr>
        <w:t xml:space="preserve">PUBLICACIÓN DE PRECIOS </w:t>
      </w:r>
      <w:r w:rsidRPr="00B92714">
        <w:rPr>
          <w:rFonts w:asciiTheme="majorHAnsi" w:hAnsiTheme="majorHAnsi" w:cstheme="majorHAnsi"/>
          <w:b/>
        </w:rPr>
        <w:t>DE REFERENCIA DE VENTA AL PÚBLICO DE LOS COMBUSTIBLES</w:t>
      </w:r>
    </w:p>
    <w:p w14:paraId="4CA82608" w14:textId="563CA9A3" w:rsidR="00880FBF" w:rsidRDefault="00880FBF" w:rsidP="005B6DDE">
      <w:pPr>
        <w:pStyle w:val="NormalWeb"/>
        <w:shd w:val="clear" w:color="auto" w:fill="FFFFFF"/>
        <w:spacing w:before="0" w:after="0" w:line="360" w:lineRule="auto"/>
        <w:rPr>
          <w:rFonts w:asciiTheme="majorHAnsi" w:hAnsiTheme="majorHAnsi" w:cstheme="majorHAnsi"/>
        </w:rPr>
      </w:pPr>
      <w:r w:rsidRPr="00B45B5C">
        <w:rPr>
          <w:rFonts w:asciiTheme="majorHAnsi" w:hAnsiTheme="majorHAnsi" w:cstheme="majorHAnsi"/>
        </w:rPr>
        <w:t xml:space="preserve">La Dirección Ejecutiva de la Comisión de Regulación de Energía y Gas, CREG, </w:t>
      </w:r>
      <w:r>
        <w:rPr>
          <w:rFonts w:asciiTheme="majorHAnsi" w:hAnsiTheme="majorHAnsi" w:cstheme="majorHAnsi"/>
        </w:rPr>
        <w:t xml:space="preserve">de conformidad con la Resolución CREG 104 001 de 2022 y las funciones delegadas por el Ministerio de Hacienda y Crédito Público y el Ministerio de Minas y Energía mediante la Resolución 40193 de 2021, hace pública la </w:t>
      </w:r>
      <w:r w:rsidRPr="00B477EE">
        <w:rPr>
          <w:rFonts w:asciiTheme="majorHAnsi" w:hAnsiTheme="majorHAnsi" w:cstheme="majorHAnsi"/>
        </w:rPr>
        <w:t>estimación</w:t>
      </w:r>
      <w:r>
        <w:rPr>
          <w:rFonts w:asciiTheme="majorHAnsi" w:hAnsiTheme="majorHAnsi" w:cstheme="majorHAnsi"/>
        </w:rPr>
        <w:t xml:space="preserve"> de los precios de referencia de venta al público de la </w:t>
      </w:r>
      <w:r w:rsidRPr="00EE77C5">
        <w:rPr>
          <w:rFonts w:asciiTheme="majorHAnsi" w:hAnsiTheme="majorHAnsi" w:cstheme="majorHAnsi"/>
        </w:rPr>
        <w:t>Gasolina Motor Corriente, la Gasolina Motor Corriente Oxigenada, el ACPM-Diésel y la mezcla de ACPM-Diésel y biodiésel</w:t>
      </w:r>
      <w:r>
        <w:rPr>
          <w:rFonts w:asciiTheme="majorHAnsi" w:hAnsiTheme="majorHAnsi" w:cstheme="majorHAnsi"/>
        </w:rPr>
        <w:t xml:space="preserve"> que rigen en el territorio nacional a partir del 1 de </w:t>
      </w:r>
      <w:r w:rsidR="0050758C">
        <w:rPr>
          <w:rFonts w:asciiTheme="majorHAnsi" w:hAnsiTheme="majorHAnsi" w:cstheme="majorHAnsi"/>
        </w:rPr>
        <w:t>febrero</w:t>
      </w:r>
      <w:r>
        <w:rPr>
          <w:rFonts w:asciiTheme="majorHAnsi" w:hAnsiTheme="majorHAnsi" w:cstheme="majorHAnsi"/>
        </w:rPr>
        <w:t xml:space="preserve"> de 202</w:t>
      </w:r>
      <w:r w:rsidR="00571E07">
        <w:rPr>
          <w:rFonts w:asciiTheme="majorHAnsi" w:hAnsiTheme="majorHAnsi" w:cstheme="majorHAnsi"/>
        </w:rPr>
        <w:t>3</w:t>
      </w:r>
      <w:r>
        <w:rPr>
          <w:rFonts w:asciiTheme="majorHAnsi" w:hAnsiTheme="majorHAnsi" w:cstheme="majorHAnsi"/>
        </w:rPr>
        <w:t>.</w:t>
      </w:r>
    </w:p>
    <w:p w14:paraId="69C7EFF3" w14:textId="61ED3E25" w:rsidR="00880FBF" w:rsidRDefault="00880FBF" w:rsidP="005B6DDE">
      <w:pPr>
        <w:pStyle w:val="NormalWeb"/>
        <w:shd w:val="clear" w:color="auto" w:fill="FFFFFF"/>
        <w:spacing w:before="0" w:after="0" w:line="360" w:lineRule="auto"/>
        <w:rPr>
          <w:rFonts w:asciiTheme="majorHAnsi" w:hAnsiTheme="majorHAnsi" w:cstheme="majorHAnsi"/>
        </w:rPr>
      </w:pPr>
      <w:r>
        <w:rPr>
          <w:rFonts w:asciiTheme="majorHAnsi" w:hAnsiTheme="majorHAnsi" w:cstheme="majorHAnsi"/>
        </w:rPr>
        <w:t xml:space="preserve">La presente publicación se efectúa considerando </w:t>
      </w:r>
      <w:r w:rsidRPr="006B4486">
        <w:rPr>
          <w:rFonts w:asciiTheme="majorHAnsi" w:hAnsiTheme="majorHAnsi" w:cstheme="majorHAnsi"/>
        </w:rPr>
        <w:t>el valor del ingreso al productor o importador de la Gasolina Motor Corriente, el ACPM</w:t>
      </w:r>
      <w:r>
        <w:rPr>
          <w:rFonts w:asciiTheme="majorHAnsi" w:hAnsiTheme="majorHAnsi" w:cstheme="majorHAnsi"/>
        </w:rPr>
        <w:t>-Diésel</w:t>
      </w:r>
      <w:r w:rsidRPr="006B4486">
        <w:rPr>
          <w:rFonts w:asciiTheme="majorHAnsi" w:hAnsiTheme="majorHAnsi" w:cstheme="majorHAnsi"/>
        </w:rPr>
        <w:t xml:space="preserve"> y de los</w:t>
      </w:r>
      <w:r>
        <w:rPr>
          <w:rFonts w:asciiTheme="majorHAnsi" w:hAnsiTheme="majorHAnsi" w:cstheme="majorHAnsi"/>
        </w:rPr>
        <w:t xml:space="preserve"> </w:t>
      </w:r>
      <w:r w:rsidRPr="006B4486">
        <w:rPr>
          <w:rFonts w:asciiTheme="majorHAnsi" w:hAnsiTheme="majorHAnsi" w:cstheme="majorHAnsi"/>
        </w:rPr>
        <w:t>biocombustibles destinados a la mezcla con combustibles fósiles</w:t>
      </w:r>
      <w:r>
        <w:rPr>
          <w:rFonts w:asciiTheme="majorHAnsi" w:hAnsiTheme="majorHAnsi" w:cstheme="majorHAnsi"/>
        </w:rPr>
        <w:t xml:space="preserve">, </w:t>
      </w:r>
      <w:r w:rsidRPr="006B4486">
        <w:rPr>
          <w:rFonts w:asciiTheme="majorHAnsi" w:hAnsiTheme="majorHAnsi" w:cstheme="majorHAnsi"/>
        </w:rPr>
        <w:t xml:space="preserve">fijado por </w:t>
      </w:r>
      <w:r w:rsidR="00B27A38">
        <w:rPr>
          <w:rFonts w:asciiTheme="majorHAnsi" w:hAnsiTheme="majorHAnsi" w:cstheme="majorHAnsi"/>
        </w:rPr>
        <w:t xml:space="preserve">los </w:t>
      </w:r>
      <w:r w:rsidRPr="006B4486">
        <w:rPr>
          <w:rFonts w:asciiTheme="majorHAnsi" w:hAnsiTheme="majorHAnsi" w:cstheme="majorHAnsi"/>
        </w:rPr>
        <w:t>Ministerio</w:t>
      </w:r>
      <w:r w:rsidR="00B27A38">
        <w:rPr>
          <w:rFonts w:asciiTheme="majorHAnsi" w:hAnsiTheme="majorHAnsi" w:cstheme="majorHAnsi"/>
        </w:rPr>
        <w:t>s</w:t>
      </w:r>
      <w:r w:rsidRPr="006B4486">
        <w:rPr>
          <w:rFonts w:asciiTheme="majorHAnsi" w:hAnsiTheme="majorHAnsi" w:cstheme="majorHAnsi"/>
        </w:rPr>
        <w:t xml:space="preserve"> de</w:t>
      </w:r>
      <w:r>
        <w:rPr>
          <w:rFonts w:asciiTheme="majorHAnsi" w:hAnsiTheme="majorHAnsi" w:cstheme="majorHAnsi"/>
        </w:rPr>
        <w:t xml:space="preserve"> </w:t>
      </w:r>
      <w:r w:rsidRPr="006B4486">
        <w:rPr>
          <w:rFonts w:asciiTheme="majorHAnsi" w:hAnsiTheme="majorHAnsi" w:cstheme="majorHAnsi"/>
        </w:rPr>
        <w:t>Hacienda y Crédito Público</w:t>
      </w:r>
      <w:r w:rsidR="00D65AB7">
        <w:rPr>
          <w:rFonts w:asciiTheme="majorHAnsi" w:hAnsiTheme="majorHAnsi" w:cstheme="majorHAnsi"/>
        </w:rPr>
        <w:t xml:space="preserve"> y </w:t>
      </w:r>
      <w:r w:rsidR="00D65AB7" w:rsidRPr="006B4486">
        <w:rPr>
          <w:rFonts w:asciiTheme="majorHAnsi" w:hAnsiTheme="majorHAnsi" w:cstheme="majorHAnsi"/>
        </w:rPr>
        <w:t>de</w:t>
      </w:r>
      <w:r w:rsidR="00D65AB7">
        <w:rPr>
          <w:rFonts w:asciiTheme="majorHAnsi" w:hAnsiTheme="majorHAnsi" w:cstheme="majorHAnsi"/>
        </w:rPr>
        <w:t xml:space="preserve"> </w:t>
      </w:r>
      <w:r w:rsidR="00D65AB7" w:rsidRPr="006B4486">
        <w:rPr>
          <w:rFonts w:asciiTheme="majorHAnsi" w:hAnsiTheme="majorHAnsi" w:cstheme="majorHAnsi"/>
        </w:rPr>
        <w:t>Minas y Energía</w:t>
      </w:r>
      <w:r>
        <w:rPr>
          <w:rFonts w:asciiTheme="majorHAnsi" w:hAnsiTheme="majorHAnsi" w:cstheme="majorHAnsi"/>
        </w:rPr>
        <w:t>. Lo anterior, de acuerdo con lo establecido en</w:t>
      </w:r>
      <w:r w:rsidRPr="006B4486">
        <w:rPr>
          <w:rFonts w:asciiTheme="majorHAnsi" w:hAnsiTheme="majorHAnsi" w:cstheme="majorHAnsi"/>
        </w:rPr>
        <w:t xml:space="preserve"> el</w:t>
      </w:r>
      <w:r>
        <w:rPr>
          <w:rFonts w:asciiTheme="majorHAnsi" w:hAnsiTheme="majorHAnsi" w:cstheme="majorHAnsi"/>
        </w:rPr>
        <w:t xml:space="preserve"> </w:t>
      </w:r>
      <w:r w:rsidRPr="006B4486">
        <w:rPr>
          <w:rFonts w:asciiTheme="majorHAnsi" w:hAnsiTheme="majorHAnsi" w:cstheme="majorHAnsi"/>
        </w:rPr>
        <w:t>numeral 4 de</w:t>
      </w:r>
      <w:r>
        <w:rPr>
          <w:rFonts w:asciiTheme="majorHAnsi" w:hAnsiTheme="majorHAnsi" w:cstheme="majorHAnsi"/>
        </w:rPr>
        <w:t>l</w:t>
      </w:r>
      <w:r w:rsidRPr="006B4486">
        <w:rPr>
          <w:rFonts w:asciiTheme="majorHAnsi" w:hAnsiTheme="majorHAnsi" w:cstheme="majorHAnsi"/>
        </w:rPr>
        <w:t xml:space="preserve"> artículo</w:t>
      </w:r>
      <w:r>
        <w:rPr>
          <w:rFonts w:asciiTheme="majorHAnsi" w:hAnsiTheme="majorHAnsi" w:cstheme="majorHAnsi"/>
        </w:rPr>
        <w:t xml:space="preserve"> 1 de la Resolución 40193 de 2021.</w:t>
      </w:r>
    </w:p>
    <w:p w14:paraId="4C703016" w14:textId="496572B1" w:rsidR="00880FBF" w:rsidRDefault="00880FBF" w:rsidP="005B6DDE">
      <w:pPr>
        <w:rPr>
          <w:lang w:eastAsia="es-CO"/>
        </w:rPr>
      </w:pPr>
      <w:r w:rsidRPr="00880FBF">
        <w:rPr>
          <w:lang w:eastAsia="es-CO"/>
        </w:rPr>
        <w:lastRenderedPageBreak/>
        <w:t>El documento técnico de la estructura de precios de gasolina motor corriente y ACPM-Diésel, así como de sus respectivas mezclas con biocombustibles</w:t>
      </w:r>
      <w:r w:rsidR="00891FE9">
        <w:rPr>
          <w:lang w:eastAsia="es-CO"/>
        </w:rPr>
        <w:t>,</w:t>
      </w:r>
      <w:r w:rsidRPr="00880FBF">
        <w:rPr>
          <w:lang w:eastAsia="es-CO"/>
        </w:rPr>
        <w:t xml:space="preserve"> y el de precios de referencia por ciudades</w:t>
      </w:r>
      <w:r w:rsidR="00891FE9">
        <w:rPr>
          <w:lang w:eastAsia="es-CO"/>
        </w:rPr>
        <w:t>,</w:t>
      </w:r>
      <w:r w:rsidRPr="00880FBF">
        <w:rPr>
          <w:lang w:eastAsia="es-CO"/>
        </w:rPr>
        <w:t xml:space="preserve"> se anexan a la presente circular</w:t>
      </w:r>
      <w:r w:rsidR="00891FE9">
        <w:rPr>
          <w:lang w:eastAsia="es-CO"/>
        </w:rPr>
        <w:t>,</w:t>
      </w:r>
      <w:r w:rsidRPr="00880FBF">
        <w:rPr>
          <w:lang w:eastAsia="es-CO"/>
        </w:rPr>
        <w:t xml:space="preserve"> y pueden ser consultados en el siguiente enlace: </w:t>
      </w:r>
      <w:hyperlink r:id="rId11" w:tgtFrame="_blank" w:tooltip="https://bit.ly/3nbl5ya" w:history="1">
        <w:r w:rsidRPr="003B064C">
          <w:rPr>
            <w:rFonts w:eastAsia="Times New Roman"/>
            <w:color w:val="4472C4" w:themeColor="accent5"/>
            <w:u w:val="single"/>
            <w:lang w:eastAsia="es-CO"/>
          </w:rPr>
          <w:t>https://bit.ly/3NBL5YA</w:t>
        </w:r>
      </w:hyperlink>
      <w:r w:rsidRPr="00880FBF">
        <w:rPr>
          <w:lang w:eastAsia="es-CO"/>
        </w:rPr>
        <w:t>.</w:t>
      </w:r>
    </w:p>
    <w:p w14:paraId="33A3B513" w14:textId="06F198D5" w:rsidR="00486572" w:rsidRPr="00880FBF" w:rsidRDefault="00486572" w:rsidP="00880FBF">
      <w:pPr>
        <w:pStyle w:val="Cordialmente"/>
        <w:rPr>
          <w:lang w:eastAsia="es-CO"/>
        </w:rPr>
      </w:pPr>
      <w:r w:rsidRPr="00880FBF">
        <w:rPr>
          <w:lang w:eastAsia="es-CO"/>
        </w:rPr>
        <w:t>Cordialmente,</w:t>
      </w:r>
    </w:p>
    <w:p w14:paraId="642E47FD" w14:textId="77777777" w:rsidR="00486572" w:rsidRDefault="00486572" w:rsidP="00486572">
      <w:pPr>
        <w:pStyle w:val="Textoindependiente"/>
        <w:spacing w:after="0" w:line="240" w:lineRule="auto"/>
        <w:rPr>
          <w:rFonts w:cs="Arial"/>
          <w:sz w:val="22"/>
          <w:szCs w:val="22"/>
        </w:rPr>
      </w:pPr>
    </w:p>
    <w:p w14:paraId="4D0B763E" w14:textId="62DBFCBC" w:rsidR="00880FBF" w:rsidRPr="00B45B5C" w:rsidRDefault="00E05F41" w:rsidP="00880FBF">
      <w:pPr>
        <w:spacing w:after="0"/>
        <w:jc w:val="center"/>
        <w:rPr>
          <w:rFonts w:asciiTheme="majorHAnsi" w:eastAsia="Times New Roman" w:hAnsiTheme="majorHAnsi" w:cstheme="majorHAnsi"/>
          <w:b/>
          <w:bCs/>
        </w:rPr>
      </w:pPr>
      <w:r>
        <w:rPr>
          <w:rFonts w:asciiTheme="majorHAnsi" w:eastAsia="Times New Roman" w:hAnsiTheme="majorHAnsi" w:cstheme="majorHAnsi"/>
          <w:b/>
          <w:bCs/>
        </w:rPr>
        <w:t>JOSÉ FERNANDO PRADA RÍOS</w:t>
      </w:r>
    </w:p>
    <w:p w14:paraId="2F87F549" w14:textId="77777777" w:rsidR="00486572" w:rsidRDefault="00486572" w:rsidP="00486572">
      <w:pPr>
        <w:pStyle w:val="Textoindependiente"/>
        <w:spacing w:after="0" w:line="240" w:lineRule="auto"/>
        <w:rPr>
          <w:rFonts w:cs="Arial"/>
        </w:rPr>
      </w:pPr>
    </w:p>
    <w:p w14:paraId="0DD9BA21" w14:textId="77777777" w:rsidR="00486572" w:rsidRDefault="00486572" w:rsidP="00486572">
      <w:pPr>
        <w:pStyle w:val="Textoindependiente"/>
        <w:spacing w:after="0" w:line="240" w:lineRule="auto"/>
        <w:rPr>
          <w:rFonts w:cs="Arial"/>
        </w:rPr>
      </w:pPr>
    </w:p>
    <w:p w14:paraId="74C637D6" w14:textId="77777777" w:rsidR="00486572" w:rsidRDefault="00486572" w:rsidP="00486572">
      <w:pPr>
        <w:pStyle w:val="Textoindependiente"/>
        <w:spacing w:after="0" w:line="240" w:lineRule="auto"/>
        <w:rPr>
          <w:rFonts w:cs="Arial"/>
        </w:rPr>
      </w:pPr>
    </w:p>
    <w:p w14:paraId="47C9DB92" w14:textId="5DF72D79" w:rsidR="00880FBF" w:rsidRDefault="00486572" w:rsidP="00486572">
      <w:pPr>
        <w:pStyle w:val="Textoindependiente"/>
        <w:spacing w:after="0" w:line="240" w:lineRule="auto"/>
        <w:rPr>
          <w:rFonts w:cs="Arial"/>
        </w:rPr>
      </w:pPr>
      <w:r>
        <w:rPr>
          <w:rFonts w:cs="Arial"/>
        </w:rPr>
        <w:t>Anexo</w:t>
      </w:r>
      <w:r w:rsidR="00880FBF">
        <w:rPr>
          <w:rFonts w:cs="Arial"/>
        </w:rPr>
        <w:t>s</w:t>
      </w:r>
      <w:r>
        <w:rPr>
          <w:rFonts w:cs="Arial"/>
        </w:rPr>
        <w:t xml:space="preserve">: </w:t>
      </w:r>
      <w:r w:rsidR="00880FBF">
        <w:rPr>
          <w:rFonts w:cs="Arial"/>
        </w:rPr>
        <w:t>Precios vigentes 13 ciudades principales</w:t>
      </w:r>
    </w:p>
    <w:p w14:paraId="656722DD" w14:textId="7DBF3157" w:rsidR="00555528" w:rsidRDefault="00555528" w:rsidP="00555528">
      <w:pPr>
        <w:pStyle w:val="Textoindependiente"/>
        <w:spacing w:after="0" w:line="240" w:lineRule="auto"/>
        <w:ind w:firstLine="709"/>
        <w:rPr>
          <w:rFonts w:cs="Arial"/>
        </w:rPr>
      </w:pPr>
      <w:r>
        <w:rPr>
          <w:rFonts w:cs="Arial"/>
        </w:rPr>
        <w:t>Documento soporte</w:t>
      </w:r>
    </w:p>
    <w:p w14:paraId="2AD4CC2B" w14:textId="77777777" w:rsidR="009F25D5" w:rsidRDefault="009F25D5" w:rsidP="00555528">
      <w:pPr>
        <w:pStyle w:val="Textoindependiente"/>
        <w:spacing w:after="0" w:line="240" w:lineRule="auto"/>
        <w:ind w:firstLine="709"/>
        <w:rPr>
          <w:rFonts w:cs="Arial"/>
        </w:rPr>
      </w:pPr>
    </w:p>
    <w:p w14:paraId="15BBCC6B" w14:textId="5B851DED" w:rsidR="00ED6229" w:rsidRDefault="00ED6229">
      <w:pPr>
        <w:spacing w:before="0" w:after="0"/>
        <w:rPr>
          <w:rFonts w:ascii="Arial" w:eastAsia="Times New Roman" w:hAnsi="Arial" w:cs="Arial"/>
          <w:spacing w:val="-5"/>
          <w:sz w:val="20"/>
          <w:szCs w:val="20"/>
        </w:rPr>
      </w:pPr>
      <w:r>
        <w:rPr>
          <w:rFonts w:cs="Arial"/>
        </w:rPr>
        <w:br w:type="page"/>
      </w:r>
    </w:p>
    <w:p w14:paraId="6671A354" w14:textId="77777777" w:rsidR="00253B70" w:rsidRPr="004A2351" w:rsidRDefault="00253B70" w:rsidP="00253B70">
      <w:pPr>
        <w:pStyle w:val="NormalWeb"/>
        <w:shd w:val="clear" w:color="auto" w:fill="FFFFFF"/>
        <w:spacing w:before="0" w:beforeAutospacing="0" w:after="150" w:afterAutospacing="0"/>
        <w:jc w:val="center"/>
        <w:rPr>
          <w:rFonts w:ascii="Arial" w:hAnsi="Arial" w:cs="Arial"/>
          <w:b/>
          <w:bCs/>
        </w:rPr>
      </w:pPr>
      <w:r w:rsidRPr="004A2351">
        <w:rPr>
          <w:rFonts w:ascii="Arial" w:hAnsi="Arial" w:cs="Arial"/>
          <w:b/>
          <w:bCs/>
        </w:rPr>
        <w:lastRenderedPageBreak/>
        <w:t xml:space="preserve">Precios vigentes a partir del </w:t>
      </w:r>
      <w:r>
        <w:rPr>
          <w:rFonts w:ascii="Arial" w:hAnsi="Arial" w:cs="Arial"/>
          <w:b/>
          <w:bCs/>
        </w:rPr>
        <w:t>1 de febrero del 2023</w:t>
      </w:r>
    </w:p>
    <w:p w14:paraId="3093C51A" w14:textId="042D3E60" w:rsidR="00253B70" w:rsidRPr="004A2351" w:rsidRDefault="00253B70" w:rsidP="00253B70">
      <w:pPr>
        <w:pStyle w:val="NormalWeb"/>
        <w:shd w:val="clear" w:color="auto" w:fill="FFFFFF"/>
        <w:spacing w:before="0" w:beforeAutospacing="0" w:after="150" w:afterAutospacing="0"/>
        <w:jc w:val="center"/>
        <w:rPr>
          <w:rFonts w:ascii="Arial" w:hAnsi="Arial" w:cs="Arial"/>
          <w:b/>
          <w:bCs/>
        </w:rPr>
      </w:pPr>
      <w:r w:rsidRPr="004A2351">
        <w:rPr>
          <w:rFonts w:ascii="Arial" w:hAnsi="Arial" w:cs="Arial"/>
          <w:b/>
          <w:bCs/>
        </w:rPr>
        <w:t>(13 ciudades Principales)</w:t>
      </w:r>
    </w:p>
    <w:tbl>
      <w:tblPr>
        <w:tblW w:w="8483" w:type="dxa"/>
        <w:jc w:val="center"/>
        <w:tblCellMar>
          <w:left w:w="70" w:type="dxa"/>
          <w:right w:w="70" w:type="dxa"/>
        </w:tblCellMar>
        <w:tblLook w:val="04A0" w:firstRow="1" w:lastRow="0" w:firstColumn="1" w:lastColumn="0" w:noHBand="0" w:noVBand="1"/>
      </w:tblPr>
      <w:tblGrid>
        <w:gridCol w:w="3402"/>
        <w:gridCol w:w="2552"/>
        <w:gridCol w:w="2529"/>
      </w:tblGrid>
      <w:tr w:rsidR="00253B70" w:rsidRPr="004A2351" w14:paraId="7527F8DF" w14:textId="77777777">
        <w:trPr>
          <w:trHeight w:val="340"/>
          <w:jc w:val="center"/>
        </w:trPr>
        <w:tc>
          <w:tcPr>
            <w:tcW w:w="3402"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2FFD4C64"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Precios de referencia por ciudades</w:t>
            </w:r>
          </w:p>
        </w:tc>
        <w:tc>
          <w:tcPr>
            <w:tcW w:w="5081" w:type="dxa"/>
            <w:gridSpan w:val="2"/>
            <w:tcBorders>
              <w:top w:val="single" w:sz="4" w:space="0" w:color="auto"/>
              <w:left w:val="nil"/>
              <w:bottom w:val="single" w:sz="4" w:space="0" w:color="auto"/>
              <w:right w:val="single" w:sz="4" w:space="0" w:color="auto"/>
            </w:tcBorders>
            <w:shd w:val="clear" w:color="000000" w:fill="002060"/>
            <w:noWrap/>
            <w:vAlign w:val="center"/>
            <w:hideMark/>
          </w:tcPr>
          <w:p w14:paraId="236858EB" w14:textId="77777777" w:rsidR="00253B70" w:rsidRPr="004A2351" w:rsidRDefault="00253B70">
            <w:pPr>
              <w:spacing w:before="0" w:after="0" w:line="240" w:lineRule="auto"/>
              <w:rPr>
                <w:rFonts w:eastAsia="Times New Roman" w:cs="Arial"/>
                <w:color w:val="FFFFFF"/>
                <w:sz w:val="18"/>
                <w:szCs w:val="18"/>
                <w:lang w:eastAsia="es-CO"/>
              </w:rPr>
            </w:pPr>
            <w:r w:rsidRPr="004A2351">
              <w:rPr>
                <w:rFonts w:eastAsia="Times New Roman" w:cs="Arial"/>
                <w:color w:val="FFFFFF"/>
                <w:sz w:val="18"/>
                <w:szCs w:val="18"/>
                <w:lang w:eastAsia="es-CO"/>
              </w:rPr>
              <w:t xml:space="preserve">Vigencia </w:t>
            </w:r>
            <w:r>
              <w:rPr>
                <w:rFonts w:eastAsia="Times New Roman" w:cs="Arial"/>
                <w:color w:val="FFFFFF"/>
                <w:sz w:val="18"/>
                <w:szCs w:val="18"/>
                <w:lang w:eastAsia="es-CO"/>
              </w:rPr>
              <w:t>1 de febrero del 2023</w:t>
            </w:r>
          </w:p>
        </w:tc>
      </w:tr>
      <w:tr w:rsidR="00253B70" w:rsidRPr="004A2351" w14:paraId="0E812759" w14:textId="77777777">
        <w:trPr>
          <w:trHeight w:val="340"/>
          <w:jc w:val="center"/>
        </w:trPr>
        <w:tc>
          <w:tcPr>
            <w:tcW w:w="3402" w:type="dxa"/>
            <w:vMerge/>
            <w:tcBorders>
              <w:top w:val="single" w:sz="4" w:space="0" w:color="auto"/>
              <w:left w:val="single" w:sz="4" w:space="0" w:color="auto"/>
              <w:bottom w:val="single" w:sz="4" w:space="0" w:color="auto"/>
              <w:right w:val="single" w:sz="4" w:space="0" w:color="auto"/>
            </w:tcBorders>
            <w:vAlign w:val="center"/>
            <w:hideMark/>
          </w:tcPr>
          <w:p w14:paraId="19838A7C" w14:textId="77777777" w:rsidR="00253B70" w:rsidRPr="004A2351" w:rsidRDefault="00253B70">
            <w:pPr>
              <w:spacing w:before="0" w:after="0" w:line="240" w:lineRule="auto"/>
              <w:rPr>
                <w:rFonts w:eastAsia="Times New Roman" w:cs="Arial"/>
                <w:color w:val="000000"/>
                <w:sz w:val="18"/>
                <w:szCs w:val="18"/>
                <w:lang w:eastAsia="es-CO"/>
              </w:rPr>
            </w:pPr>
          </w:p>
        </w:tc>
        <w:tc>
          <w:tcPr>
            <w:tcW w:w="2552" w:type="dxa"/>
            <w:tcBorders>
              <w:top w:val="nil"/>
              <w:left w:val="nil"/>
              <w:bottom w:val="single" w:sz="4" w:space="0" w:color="auto"/>
              <w:right w:val="single" w:sz="4" w:space="0" w:color="auto"/>
            </w:tcBorders>
            <w:shd w:val="clear" w:color="000000" w:fill="F2F2F2"/>
            <w:noWrap/>
            <w:vAlign w:val="center"/>
            <w:hideMark/>
          </w:tcPr>
          <w:p w14:paraId="66647A1B" w14:textId="77777777" w:rsidR="00253B70" w:rsidRPr="004A2351" w:rsidRDefault="00253B70">
            <w:pPr>
              <w:spacing w:before="0" w:after="0" w:line="240" w:lineRule="auto"/>
              <w:rPr>
                <w:rFonts w:eastAsia="Times New Roman" w:cs="Arial"/>
                <w:b/>
                <w:bCs/>
                <w:color w:val="000000"/>
                <w:sz w:val="18"/>
                <w:szCs w:val="18"/>
                <w:lang w:eastAsia="es-CO"/>
              </w:rPr>
            </w:pPr>
            <w:r w:rsidRPr="004A2351">
              <w:rPr>
                <w:rFonts w:eastAsia="Times New Roman" w:cs="Arial"/>
                <w:b/>
                <w:bCs/>
                <w:color w:val="000000"/>
                <w:sz w:val="18"/>
                <w:szCs w:val="18"/>
                <w:lang w:eastAsia="es-CO"/>
              </w:rPr>
              <w:t>Gasolina MC ($/gal)</w:t>
            </w:r>
          </w:p>
        </w:tc>
        <w:tc>
          <w:tcPr>
            <w:tcW w:w="2529" w:type="dxa"/>
            <w:tcBorders>
              <w:top w:val="nil"/>
              <w:left w:val="nil"/>
              <w:bottom w:val="single" w:sz="4" w:space="0" w:color="auto"/>
              <w:right w:val="single" w:sz="4" w:space="0" w:color="auto"/>
            </w:tcBorders>
            <w:shd w:val="clear" w:color="000000" w:fill="F2F2F2"/>
            <w:noWrap/>
            <w:vAlign w:val="center"/>
            <w:hideMark/>
          </w:tcPr>
          <w:p w14:paraId="37AD4D74" w14:textId="77777777" w:rsidR="00253B70" w:rsidRPr="004A2351" w:rsidRDefault="00253B70">
            <w:pPr>
              <w:spacing w:before="0" w:after="0" w:line="240" w:lineRule="auto"/>
              <w:rPr>
                <w:rFonts w:eastAsia="Times New Roman" w:cs="Arial"/>
                <w:b/>
                <w:bCs/>
                <w:color w:val="000000"/>
                <w:sz w:val="18"/>
                <w:szCs w:val="18"/>
                <w:lang w:eastAsia="es-CO"/>
              </w:rPr>
            </w:pPr>
            <w:r w:rsidRPr="004A2351">
              <w:rPr>
                <w:rFonts w:eastAsia="Times New Roman" w:cs="Arial"/>
                <w:b/>
                <w:bCs/>
                <w:color w:val="000000"/>
                <w:sz w:val="18"/>
                <w:szCs w:val="18"/>
                <w:lang w:eastAsia="es-CO"/>
              </w:rPr>
              <w:t>ACPM ($/gal)</w:t>
            </w:r>
          </w:p>
        </w:tc>
      </w:tr>
      <w:tr w:rsidR="00253B70" w:rsidRPr="004A2351" w14:paraId="62A86F75"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0BCF2A65"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Bogotá</w:t>
            </w:r>
          </w:p>
        </w:tc>
        <w:tc>
          <w:tcPr>
            <w:tcW w:w="2552" w:type="dxa"/>
            <w:tcBorders>
              <w:top w:val="nil"/>
              <w:left w:val="nil"/>
              <w:bottom w:val="single" w:sz="4" w:space="0" w:color="auto"/>
              <w:right w:val="single" w:sz="4" w:space="0" w:color="auto"/>
            </w:tcBorders>
            <w:shd w:val="clear" w:color="auto" w:fill="auto"/>
            <w:noWrap/>
            <w:vAlign w:val="center"/>
            <w:hideMark/>
          </w:tcPr>
          <w:p w14:paraId="259A2CD9"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10.773 </w:t>
            </w:r>
          </w:p>
        </w:tc>
        <w:tc>
          <w:tcPr>
            <w:tcW w:w="2529" w:type="dxa"/>
            <w:tcBorders>
              <w:top w:val="nil"/>
              <w:left w:val="nil"/>
              <w:bottom w:val="single" w:sz="4" w:space="0" w:color="auto"/>
              <w:right w:val="single" w:sz="4" w:space="0" w:color="auto"/>
            </w:tcBorders>
            <w:shd w:val="clear" w:color="auto" w:fill="auto"/>
            <w:noWrap/>
            <w:vAlign w:val="center"/>
            <w:hideMark/>
          </w:tcPr>
          <w:p w14:paraId="26B7579A"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9.357 </w:t>
            </w:r>
          </w:p>
        </w:tc>
      </w:tr>
      <w:tr w:rsidR="00253B70" w:rsidRPr="004A2351" w14:paraId="103B5EF3"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72C8C467"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Medellín</w:t>
            </w:r>
          </w:p>
        </w:tc>
        <w:tc>
          <w:tcPr>
            <w:tcW w:w="2552" w:type="dxa"/>
            <w:tcBorders>
              <w:top w:val="nil"/>
              <w:left w:val="nil"/>
              <w:bottom w:val="single" w:sz="4" w:space="0" w:color="auto"/>
              <w:right w:val="single" w:sz="4" w:space="0" w:color="auto"/>
            </w:tcBorders>
            <w:shd w:val="clear" w:color="auto" w:fill="auto"/>
            <w:noWrap/>
            <w:vAlign w:val="center"/>
            <w:hideMark/>
          </w:tcPr>
          <w:p w14:paraId="1B2388A6"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10.712 </w:t>
            </w:r>
          </w:p>
        </w:tc>
        <w:tc>
          <w:tcPr>
            <w:tcW w:w="2529" w:type="dxa"/>
            <w:tcBorders>
              <w:top w:val="nil"/>
              <w:left w:val="nil"/>
              <w:bottom w:val="single" w:sz="4" w:space="0" w:color="auto"/>
              <w:right w:val="single" w:sz="4" w:space="0" w:color="auto"/>
            </w:tcBorders>
            <w:shd w:val="clear" w:color="auto" w:fill="auto"/>
            <w:noWrap/>
            <w:vAlign w:val="center"/>
            <w:hideMark/>
          </w:tcPr>
          <w:p w14:paraId="3D3E0B11"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9.372 </w:t>
            </w:r>
          </w:p>
        </w:tc>
      </w:tr>
      <w:tr w:rsidR="00253B70" w:rsidRPr="004A2351" w14:paraId="30123E27"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50B6469A"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Cali</w:t>
            </w:r>
          </w:p>
        </w:tc>
        <w:tc>
          <w:tcPr>
            <w:tcW w:w="2552" w:type="dxa"/>
            <w:tcBorders>
              <w:top w:val="nil"/>
              <w:left w:val="nil"/>
              <w:bottom w:val="single" w:sz="4" w:space="0" w:color="auto"/>
              <w:right w:val="single" w:sz="4" w:space="0" w:color="auto"/>
            </w:tcBorders>
            <w:shd w:val="clear" w:color="auto" w:fill="auto"/>
            <w:noWrap/>
            <w:vAlign w:val="center"/>
            <w:hideMark/>
          </w:tcPr>
          <w:p w14:paraId="7BBF4FDE"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10.813 </w:t>
            </w:r>
          </w:p>
        </w:tc>
        <w:tc>
          <w:tcPr>
            <w:tcW w:w="2529" w:type="dxa"/>
            <w:tcBorders>
              <w:top w:val="nil"/>
              <w:left w:val="nil"/>
              <w:bottom w:val="single" w:sz="4" w:space="0" w:color="auto"/>
              <w:right w:val="single" w:sz="4" w:space="0" w:color="auto"/>
            </w:tcBorders>
            <w:shd w:val="clear" w:color="auto" w:fill="auto"/>
            <w:noWrap/>
            <w:vAlign w:val="center"/>
            <w:hideMark/>
          </w:tcPr>
          <w:p w14:paraId="7567F440"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9.484 </w:t>
            </w:r>
          </w:p>
        </w:tc>
      </w:tr>
      <w:tr w:rsidR="00253B70" w:rsidRPr="004A2351" w14:paraId="2F8D1DE4"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46E71E3B"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Barranquilla</w:t>
            </w:r>
          </w:p>
        </w:tc>
        <w:tc>
          <w:tcPr>
            <w:tcW w:w="2552" w:type="dxa"/>
            <w:tcBorders>
              <w:top w:val="nil"/>
              <w:left w:val="nil"/>
              <w:bottom w:val="single" w:sz="4" w:space="0" w:color="auto"/>
              <w:right w:val="single" w:sz="4" w:space="0" w:color="auto"/>
            </w:tcBorders>
            <w:shd w:val="clear" w:color="auto" w:fill="auto"/>
            <w:noWrap/>
            <w:vAlign w:val="center"/>
            <w:hideMark/>
          </w:tcPr>
          <w:p w14:paraId="2B7FA2E3"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10.449 </w:t>
            </w:r>
          </w:p>
        </w:tc>
        <w:tc>
          <w:tcPr>
            <w:tcW w:w="2529" w:type="dxa"/>
            <w:tcBorders>
              <w:top w:val="nil"/>
              <w:left w:val="nil"/>
              <w:bottom w:val="single" w:sz="4" w:space="0" w:color="auto"/>
              <w:right w:val="single" w:sz="4" w:space="0" w:color="auto"/>
            </w:tcBorders>
            <w:shd w:val="clear" w:color="auto" w:fill="auto"/>
            <w:noWrap/>
            <w:vAlign w:val="center"/>
            <w:hideMark/>
          </w:tcPr>
          <w:p w14:paraId="5A98B60E"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9.060 </w:t>
            </w:r>
          </w:p>
        </w:tc>
      </w:tr>
      <w:tr w:rsidR="00253B70" w:rsidRPr="004A2351" w14:paraId="7B200605"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53C06F65"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Cartagena</w:t>
            </w:r>
          </w:p>
        </w:tc>
        <w:tc>
          <w:tcPr>
            <w:tcW w:w="2552" w:type="dxa"/>
            <w:tcBorders>
              <w:top w:val="nil"/>
              <w:left w:val="nil"/>
              <w:bottom w:val="single" w:sz="4" w:space="0" w:color="auto"/>
              <w:right w:val="single" w:sz="4" w:space="0" w:color="auto"/>
            </w:tcBorders>
            <w:shd w:val="clear" w:color="auto" w:fill="auto"/>
            <w:noWrap/>
            <w:vAlign w:val="center"/>
            <w:hideMark/>
          </w:tcPr>
          <w:p w14:paraId="187E5F0B"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10.407 </w:t>
            </w:r>
          </w:p>
        </w:tc>
        <w:tc>
          <w:tcPr>
            <w:tcW w:w="2529" w:type="dxa"/>
            <w:tcBorders>
              <w:top w:val="nil"/>
              <w:left w:val="nil"/>
              <w:bottom w:val="single" w:sz="4" w:space="0" w:color="auto"/>
              <w:right w:val="single" w:sz="4" w:space="0" w:color="auto"/>
            </w:tcBorders>
            <w:shd w:val="clear" w:color="auto" w:fill="auto"/>
            <w:noWrap/>
            <w:vAlign w:val="center"/>
            <w:hideMark/>
          </w:tcPr>
          <w:p w14:paraId="4310EB4F"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9.028 </w:t>
            </w:r>
          </w:p>
        </w:tc>
      </w:tr>
      <w:tr w:rsidR="00253B70" w:rsidRPr="004A2351" w14:paraId="567D1664"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1693E33B"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Montería</w:t>
            </w:r>
          </w:p>
        </w:tc>
        <w:tc>
          <w:tcPr>
            <w:tcW w:w="2552" w:type="dxa"/>
            <w:tcBorders>
              <w:top w:val="nil"/>
              <w:left w:val="nil"/>
              <w:bottom w:val="single" w:sz="4" w:space="0" w:color="auto"/>
              <w:right w:val="single" w:sz="4" w:space="0" w:color="auto"/>
            </w:tcBorders>
            <w:shd w:val="clear" w:color="auto" w:fill="auto"/>
            <w:noWrap/>
            <w:vAlign w:val="center"/>
            <w:hideMark/>
          </w:tcPr>
          <w:p w14:paraId="42811A30"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10.657 </w:t>
            </w:r>
          </w:p>
        </w:tc>
        <w:tc>
          <w:tcPr>
            <w:tcW w:w="2529" w:type="dxa"/>
            <w:tcBorders>
              <w:top w:val="nil"/>
              <w:left w:val="nil"/>
              <w:bottom w:val="single" w:sz="4" w:space="0" w:color="auto"/>
              <w:right w:val="single" w:sz="4" w:space="0" w:color="auto"/>
            </w:tcBorders>
            <w:shd w:val="clear" w:color="auto" w:fill="auto"/>
            <w:noWrap/>
            <w:vAlign w:val="center"/>
            <w:hideMark/>
          </w:tcPr>
          <w:p w14:paraId="6DD66F6A"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9.278 </w:t>
            </w:r>
          </w:p>
        </w:tc>
      </w:tr>
      <w:tr w:rsidR="00253B70" w:rsidRPr="004A2351" w14:paraId="6F960A3E"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17D0CEED"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Bucaramanga</w:t>
            </w:r>
          </w:p>
        </w:tc>
        <w:tc>
          <w:tcPr>
            <w:tcW w:w="2552" w:type="dxa"/>
            <w:tcBorders>
              <w:top w:val="nil"/>
              <w:left w:val="nil"/>
              <w:bottom w:val="single" w:sz="4" w:space="0" w:color="auto"/>
              <w:right w:val="single" w:sz="4" w:space="0" w:color="auto"/>
            </w:tcBorders>
            <w:shd w:val="clear" w:color="auto" w:fill="auto"/>
            <w:noWrap/>
            <w:vAlign w:val="center"/>
            <w:hideMark/>
          </w:tcPr>
          <w:p w14:paraId="409F1059"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10.519 </w:t>
            </w:r>
          </w:p>
        </w:tc>
        <w:tc>
          <w:tcPr>
            <w:tcW w:w="2529" w:type="dxa"/>
            <w:tcBorders>
              <w:top w:val="nil"/>
              <w:left w:val="nil"/>
              <w:bottom w:val="single" w:sz="4" w:space="0" w:color="auto"/>
              <w:right w:val="single" w:sz="4" w:space="0" w:color="auto"/>
            </w:tcBorders>
            <w:shd w:val="clear" w:color="auto" w:fill="auto"/>
            <w:noWrap/>
            <w:vAlign w:val="center"/>
            <w:hideMark/>
          </w:tcPr>
          <w:p w14:paraId="3142ED4A"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9.125 </w:t>
            </w:r>
          </w:p>
        </w:tc>
      </w:tr>
      <w:tr w:rsidR="00253B70" w:rsidRPr="004A2351" w14:paraId="2007FB35"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6A13EEF9"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Villavicencio</w:t>
            </w:r>
          </w:p>
        </w:tc>
        <w:tc>
          <w:tcPr>
            <w:tcW w:w="2552" w:type="dxa"/>
            <w:tcBorders>
              <w:top w:val="nil"/>
              <w:left w:val="nil"/>
              <w:bottom w:val="single" w:sz="4" w:space="0" w:color="auto"/>
              <w:right w:val="single" w:sz="4" w:space="0" w:color="auto"/>
            </w:tcBorders>
            <w:shd w:val="clear" w:color="auto" w:fill="auto"/>
            <w:noWrap/>
            <w:vAlign w:val="center"/>
            <w:hideMark/>
          </w:tcPr>
          <w:p w14:paraId="19C3A971"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10.873 </w:t>
            </w:r>
          </w:p>
        </w:tc>
        <w:tc>
          <w:tcPr>
            <w:tcW w:w="2529" w:type="dxa"/>
            <w:tcBorders>
              <w:top w:val="nil"/>
              <w:left w:val="nil"/>
              <w:bottom w:val="single" w:sz="4" w:space="0" w:color="auto"/>
              <w:right w:val="single" w:sz="4" w:space="0" w:color="auto"/>
            </w:tcBorders>
            <w:shd w:val="clear" w:color="auto" w:fill="auto"/>
            <w:noWrap/>
            <w:vAlign w:val="center"/>
            <w:hideMark/>
          </w:tcPr>
          <w:p w14:paraId="02480582"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9.457 </w:t>
            </w:r>
          </w:p>
        </w:tc>
      </w:tr>
      <w:tr w:rsidR="00253B70" w:rsidRPr="004A2351" w14:paraId="5FFBFEF1"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6D3CF5D2"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Pereira</w:t>
            </w:r>
          </w:p>
        </w:tc>
        <w:tc>
          <w:tcPr>
            <w:tcW w:w="2552" w:type="dxa"/>
            <w:tcBorders>
              <w:top w:val="nil"/>
              <w:left w:val="nil"/>
              <w:bottom w:val="single" w:sz="4" w:space="0" w:color="auto"/>
              <w:right w:val="single" w:sz="4" w:space="0" w:color="auto"/>
            </w:tcBorders>
            <w:shd w:val="clear" w:color="auto" w:fill="auto"/>
            <w:noWrap/>
            <w:vAlign w:val="center"/>
            <w:hideMark/>
          </w:tcPr>
          <w:p w14:paraId="56AF7AC4"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10.756 </w:t>
            </w:r>
          </w:p>
        </w:tc>
        <w:tc>
          <w:tcPr>
            <w:tcW w:w="2529" w:type="dxa"/>
            <w:tcBorders>
              <w:top w:val="nil"/>
              <w:left w:val="nil"/>
              <w:bottom w:val="single" w:sz="4" w:space="0" w:color="auto"/>
              <w:right w:val="single" w:sz="4" w:space="0" w:color="auto"/>
            </w:tcBorders>
            <w:shd w:val="clear" w:color="auto" w:fill="auto"/>
            <w:noWrap/>
            <w:vAlign w:val="center"/>
            <w:hideMark/>
          </w:tcPr>
          <w:p w14:paraId="25058640"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9.429 </w:t>
            </w:r>
          </w:p>
        </w:tc>
      </w:tr>
      <w:tr w:rsidR="00253B70" w:rsidRPr="004A2351" w14:paraId="6883082D"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61705E82"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Manizales</w:t>
            </w:r>
          </w:p>
        </w:tc>
        <w:tc>
          <w:tcPr>
            <w:tcW w:w="2552" w:type="dxa"/>
            <w:tcBorders>
              <w:top w:val="nil"/>
              <w:left w:val="nil"/>
              <w:bottom w:val="single" w:sz="4" w:space="0" w:color="auto"/>
              <w:right w:val="single" w:sz="4" w:space="0" w:color="auto"/>
            </w:tcBorders>
            <w:shd w:val="clear" w:color="auto" w:fill="auto"/>
            <w:noWrap/>
            <w:vAlign w:val="center"/>
            <w:hideMark/>
          </w:tcPr>
          <w:p w14:paraId="2EE67DD7"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10.765 </w:t>
            </w:r>
          </w:p>
        </w:tc>
        <w:tc>
          <w:tcPr>
            <w:tcW w:w="2529" w:type="dxa"/>
            <w:tcBorders>
              <w:top w:val="nil"/>
              <w:left w:val="nil"/>
              <w:bottom w:val="single" w:sz="4" w:space="0" w:color="auto"/>
              <w:right w:val="single" w:sz="4" w:space="0" w:color="auto"/>
            </w:tcBorders>
            <w:shd w:val="clear" w:color="auto" w:fill="auto"/>
            <w:noWrap/>
            <w:vAlign w:val="center"/>
            <w:hideMark/>
          </w:tcPr>
          <w:p w14:paraId="5B766810"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9.417 </w:t>
            </w:r>
          </w:p>
        </w:tc>
      </w:tr>
      <w:tr w:rsidR="00253B70" w:rsidRPr="004A2351" w14:paraId="4A27A29F"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05DD8270"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Ibagué</w:t>
            </w:r>
          </w:p>
        </w:tc>
        <w:tc>
          <w:tcPr>
            <w:tcW w:w="2552" w:type="dxa"/>
            <w:tcBorders>
              <w:top w:val="nil"/>
              <w:left w:val="nil"/>
              <w:bottom w:val="single" w:sz="4" w:space="0" w:color="auto"/>
              <w:right w:val="single" w:sz="4" w:space="0" w:color="auto"/>
            </w:tcBorders>
            <w:shd w:val="clear" w:color="auto" w:fill="auto"/>
            <w:noWrap/>
            <w:vAlign w:val="center"/>
            <w:hideMark/>
          </w:tcPr>
          <w:p w14:paraId="1DE1BF3B"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10.720 </w:t>
            </w:r>
          </w:p>
        </w:tc>
        <w:tc>
          <w:tcPr>
            <w:tcW w:w="2529" w:type="dxa"/>
            <w:tcBorders>
              <w:top w:val="nil"/>
              <w:left w:val="nil"/>
              <w:bottom w:val="single" w:sz="4" w:space="0" w:color="auto"/>
              <w:right w:val="single" w:sz="4" w:space="0" w:color="auto"/>
            </w:tcBorders>
            <w:shd w:val="clear" w:color="auto" w:fill="auto"/>
            <w:noWrap/>
            <w:vAlign w:val="center"/>
            <w:hideMark/>
          </w:tcPr>
          <w:p w14:paraId="78720B47"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9.348 </w:t>
            </w:r>
          </w:p>
        </w:tc>
      </w:tr>
      <w:tr w:rsidR="00253B70" w:rsidRPr="004A2351" w14:paraId="4A1F252F"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6D96831A" w14:textId="17F27C53"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Pasto</w:t>
            </w:r>
            <w:r>
              <w:rPr>
                <w:rFonts w:eastAsia="Times New Roman" w:cs="Arial"/>
                <w:color w:val="000000"/>
                <w:sz w:val="18"/>
                <w:szCs w:val="18"/>
                <w:lang w:eastAsia="es-CO"/>
              </w:rPr>
              <w:t>**</w:t>
            </w:r>
          </w:p>
        </w:tc>
        <w:tc>
          <w:tcPr>
            <w:tcW w:w="2552" w:type="dxa"/>
            <w:tcBorders>
              <w:top w:val="nil"/>
              <w:left w:val="nil"/>
              <w:bottom w:val="single" w:sz="4" w:space="0" w:color="auto"/>
              <w:right w:val="single" w:sz="4" w:space="0" w:color="auto"/>
            </w:tcBorders>
            <w:shd w:val="clear" w:color="auto" w:fill="auto"/>
            <w:noWrap/>
            <w:vAlign w:val="center"/>
            <w:hideMark/>
          </w:tcPr>
          <w:p w14:paraId="42307860"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8.916 </w:t>
            </w:r>
          </w:p>
        </w:tc>
        <w:tc>
          <w:tcPr>
            <w:tcW w:w="2529" w:type="dxa"/>
            <w:tcBorders>
              <w:top w:val="nil"/>
              <w:left w:val="nil"/>
              <w:bottom w:val="single" w:sz="4" w:space="0" w:color="auto"/>
              <w:right w:val="single" w:sz="4" w:space="0" w:color="auto"/>
            </w:tcBorders>
            <w:shd w:val="clear" w:color="auto" w:fill="auto"/>
            <w:noWrap/>
            <w:vAlign w:val="center"/>
            <w:hideMark/>
          </w:tcPr>
          <w:p w14:paraId="5886E57F"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8.396 </w:t>
            </w:r>
          </w:p>
        </w:tc>
      </w:tr>
      <w:tr w:rsidR="00253B70" w:rsidRPr="004A2351" w14:paraId="3B41D177" w14:textId="77777777">
        <w:trPr>
          <w:trHeight w:val="340"/>
          <w:jc w:val="center"/>
        </w:trPr>
        <w:tc>
          <w:tcPr>
            <w:tcW w:w="3402" w:type="dxa"/>
            <w:tcBorders>
              <w:top w:val="nil"/>
              <w:left w:val="single" w:sz="4" w:space="0" w:color="auto"/>
              <w:bottom w:val="single" w:sz="4" w:space="0" w:color="auto"/>
              <w:right w:val="single" w:sz="4" w:space="0" w:color="auto"/>
            </w:tcBorders>
            <w:shd w:val="clear" w:color="auto" w:fill="auto"/>
            <w:noWrap/>
            <w:vAlign w:val="center"/>
            <w:hideMark/>
          </w:tcPr>
          <w:p w14:paraId="27E25311"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Cúcuta</w:t>
            </w:r>
          </w:p>
        </w:tc>
        <w:tc>
          <w:tcPr>
            <w:tcW w:w="2552" w:type="dxa"/>
            <w:tcBorders>
              <w:top w:val="nil"/>
              <w:left w:val="nil"/>
              <w:bottom w:val="single" w:sz="4" w:space="0" w:color="auto"/>
              <w:right w:val="single" w:sz="4" w:space="0" w:color="auto"/>
            </w:tcBorders>
            <w:shd w:val="clear" w:color="auto" w:fill="auto"/>
            <w:noWrap/>
            <w:vAlign w:val="center"/>
            <w:hideMark/>
          </w:tcPr>
          <w:p w14:paraId="30998898"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8.825 </w:t>
            </w:r>
          </w:p>
        </w:tc>
        <w:tc>
          <w:tcPr>
            <w:tcW w:w="2529" w:type="dxa"/>
            <w:tcBorders>
              <w:top w:val="nil"/>
              <w:left w:val="nil"/>
              <w:bottom w:val="single" w:sz="4" w:space="0" w:color="auto"/>
              <w:right w:val="single" w:sz="4" w:space="0" w:color="auto"/>
            </w:tcBorders>
            <w:shd w:val="clear" w:color="auto" w:fill="auto"/>
            <w:noWrap/>
            <w:vAlign w:val="center"/>
            <w:hideMark/>
          </w:tcPr>
          <w:p w14:paraId="0D1A0BC2" w14:textId="77777777" w:rsidR="00253B70" w:rsidRPr="004A2351" w:rsidRDefault="00253B70">
            <w:pPr>
              <w:spacing w:before="0" w:after="0" w:line="240" w:lineRule="auto"/>
              <w:rPr>
                <w:rFonts w:eastAsia="Times New Roman" w:cs="Arial"/>
                <w:color w:val="000000"/>
                <w:sz w:val="18"/>
                <w:szCs w:val="18"/>
                <w:lang w:eastAsia="es-CO"/>
              </w:rPr>
            </w:pPr>
            <w:r>
              <w:rPr>
                <w:rFonts w:eastAsia="Times New Roman" w:cs="Arial"/>
                <w:color w:val="000000"/>
                <w:sz w:val="18"/>
                <w:szCs w:val="18"/>
                <w:lang w:eastAsia="es-CO"/>
              </w:rPr>
              <w:t xml:space="preserve">7.089 </w:t>
            </w:r>
          </w:p>
        </w:tc>
      </w:tr>
      <w:tr w:rsidR="00253B70" w:rsidRPr="004A2351" w14:paraId="42B0C486" w14:textId="77777777">
        <w:trPr>
          <w:trHeight w:val="567"/>
          <w:jc w:val="center"/>
        </w:trPr>
        <w:tc>
          <w:tcPr>
            <w:tcW w:w="3402" w:type="dxa"/>
            <w:tcBorders>
              <w:top w:val="nil"/>
              <w:left w:val="single" w:sz="4" w:space="0" w:color="auto"/>
              <w:bottom w:val="single" w:sz="4" w:space="0" w:color="auto"/>
              <w:right w:val="single" w:sz="4" w:space="0" w:color="auto"/>
            </w:tcBorders>
            <w:shd w:val="clear" w:color="auto" w:fill="DEEAF6"/>
            <w:vAlign w:val="center"/>
            <w:hideMark/>
          </w:tcPr>
          <w:p w14:paraId="670DA0B7" w14:textId="77777777" w:rsidR="00253B70" w:rsidRPr="004A2351" w:rsidRDefault="00253B70">
            <w:pPr>
              <w:spacing w:before="0" w:after="0" w:line="240" w:lineRule="auto"/>
              <w:rPr>
                <w:rFonts w:eastAsia="Times New Roman" w:cs="Arial"/>
                <w:color w:val="000000"/>
                <w:sz w:val="18"/>
                <w:szCs w:val="18"/>
                <w:lang w:eastAsia="es-CO"/>
              </w:rPr>
            </w:pPr>
            <w:r w:rsidRPr="004A2351">
              <w:rPr>
                <w:rFonts w:eastAsia="Times New Roman" w:cs="Arial"/>
                <w:color w:val="000000"/>
                <w:sz w:val="18"/>
                <w:szCs w:val="18"/>
                <w:lang w:eastAsia="es-CO"/>
              </w:rPr>
              <w:t xml:space="preserve">Promedio PVP precio </w:t>
            </w:r>
            <w:r w:rsidRPr="004A2351">
              <w:rPr>
                <w:rFonts w:eastAsia="Times New Roman" w:cs="Arial"/>
                <w:color w:val="000000"/>
                <w:sz w:val="18"/>
                <w:szCs w:val="18"/>
                <w:lang w:eastAsia="es-CO"/>
              </w:rPr>
              <w:br/>
            </w:r>
            <w:r w:rsidRPr="004A2351">
              <w:rPr>
                <w:rFonts w:eastAsia="Times New Roman" w:cs="Arial"/>
                <w:b/>
                <w:bCs/>
                <w:color w:val="000000"/>
                <w:sz w:val="18"/>
                <w:szCs w:val="18"/>
                <w:lang w:eastAsia="es-CO"/>
              </w:rPr>
              <w:t>(13 ciudades principales)</w:t>
            </w:r>
          </w:p>
        </w:tc>
        <w:tc>
          <w:tcPr>
            <w:tcW w:w="2552" w:type="dxa"/>
            <w:tcBorders>
              <w:top w:val="nil"/>
              <w:left w:val="nil"/>
              <w:bottom w:val="single" w:sz="4" w:space="0" w:color="auto"/>
              <w:right w:val="single" w:sz="4" w:space="0" w:color="auto"/>
            </w:tcBorders>
            <w:shd w:val="clear" w:color="auto" w:fill="DEEAF6"/>
            <w:noWrap/>
            <w:vAlign w:val="center"/>
            <w:hideMark/>
          </w:tcPr>
          <w:p w14:paraId="10DB6832" w14:textId="77777777" w:rsidR="00253B70" w:rsidRPr="004A2351" w:rsidRDefault="00253B70">
            <w:pPr>
              <w:spacing w:before="0" w:after="0" w:line="240" w:lineRule="auto"/>
              <w:rPr>
                <w:rFonts w:eastAsia="Times New Roman" w:cs="Arial"/>
                <w:b/>
                <w:bCs/>
                <w:color w:val="000000"/>
                <w:sz w:val="18"/>
                <w:szCs w:val="18"/>
                <w:lang w:eastAsia="es-CO"/>
              </w:rPr>
            </w:pPr>
            <w:r>
              <w:rPr>
                <w:rFonts w:eastAsia="Times New Roman" w:cs="Arial"/>
                <w:b/>
                <w:bCs/>
                <w:color w:val="000000"/>
                <w:sz w:val="18"/>
                <w:szCs w:val="18"/>
                <w:lang w:eastAsia="es-CO"/>
              </w:rPr>
              <w:t xml:space="preserve">10.399 </w:t>
            </w:r>
          </w:p>
        </w:tc>
        <w:tc>
          <w:tcPr>
            <w:tcW w:w="2529" w:type="dxa"/>
            <w:tcBorders>
              <w:top w:val="nil"/>
              <w:left w:val="nil"/>
              <w:bottom w:val="single" w:sz="4" w:space="0" w:color="auto"/>
              <w:right w:val="single" w:sz="4" w:space="0" w:color="auto"/>
            </w:tcBorders>
            <w:shd w:val="clear" w:color="auto" w:fill="DEEAF6"/>
            <w:noWrap/>
            <w:vAlign w:val="center"/>
            <w:hideMark/>
          </w:tcPr>
          <w:p w14:paraId="4C39063A" w14:textId="77777777" w:rsidR="00253B70" w:rsidRPr="004A2351" w:rsidRDefault="00253B70">
            <w:pPr>
              <w:spacing w:before="0" w:after="0" w:line="240" w:lineRule="auto"/>
              <w:rPr>
                <w:rFonts w:eastAsia="Times New Roman" w:cs="Arial"/>
                <w:b/>
                <w:bCs/>
                <w:color w:val="000000"/>
                <w:sz w:val="18"/>
                <w:szCs w:val="18"/>
                <w:lang w:eastAsia="es-CO"/>
              </w:rPr>
            </w:pPr>
            <w:r>
              <w:rPr>
                <w:rFonts w:eastAsia="Times New Roman" w:cs="Arial"/>
                <w:b/>
                <w:bCs/>
                <w:color w:val="000000"/>
                <w:sz w:val="18"/>
                <w:szCs w:val="18"/>
                <w:lang w:eastAsia="es-CO"/>
              </w:rPr>
              <w:t xml:space="preserve">9.065 </w:t>
            </w:r>
          </w:p>
        </w:tc>
      </w:tr>
    </w:tbl>
    <w:p w14:paraId="12702046" w14:textId="77777777" w:rsidR="00253B70" w:rsidRPr="004A2351" w:rsidRDefault="00253B70" w:rsidP="00253B70">
      <w:pPr>
        <w:spacing w:before="0" w:after="0"/>
        <w:jc w:val="both"/>
        <w:rPr>
          <w:rFonts w:cs="Arial"/>
        </w:rPr>
      </w:pPr>
    </w:p>
    <w:p w14:paraId="52198E89" w14:textId="1E0AB56C" w:rsidR="006B267E" w:rsidRDefault="00253B70" w:rsidP="006B267E">
      <w:pPr>
        <w:spacing w:before="0" w:after="0"/>
        <w:rPr>
          <w:rFonts w:asciiTheme="majorHAnsi" w:hAnsiTheme="majorHAnsi" w:cstheme="majorHAnsi"/>
        </w:rPr>
      </w:pPr>
      <w:r>
        <w:rPr>
          <w:rFonts w:asciiTheme="majorHAnsi" w:hAnsiTheme="majorHAnsi" w:cstheme="majorHAnsi"/>
        </w:rPr>
        <w:t>**</w:t>
      </w:r>
      <w:r w:rsidR="005D0D1B">
        <w:rPr>
          <w:rFonts w:asciiTheme="majorHAnsi" w:hAnsiTheme="majorHAnsi" w:cstheme="majorHAnsi"/>
        </w:rPr>
        <w:t xml:space="preserve"> </w:t>
      </w:r>
      <w:r w:rsidR="005D0D1B" w:rsidRPr="005D0D1B">
        <w:rPr>
          <w:rFonts w:asciiTheme="majorHAnsi" w:hAnsiTheme="majorHAnsi" w:cstheme="majorHAnsi"/>
        </w:rPr>
        <w:t xml:space="preserve">Debido a la contingencia </w:t>
      </w:r>
      <w:r w:rsidR="00F27D7F">
        <w:rPr>
          <w:rFonts w:asciiTheme="majorHAnsi" w:hAnsiTheme="majorHAnsi" w:cstheme="majorHAnsi"/>
        </w:rPr>
        <w:t xml:space="preserve">presentada </w:t>
      </w:r>
      <w:r w:rsidR="00F27D7F" w:rsidRPr="005D0D1B">
        <w:rPr>
          <w:rFonts w:asciiTheme="majorHAnsi" w:hAnsiTheme="majorHAnsi" w:cstheme="majorHAnsi"/>
        </w:rPr>
        <w:t xml:space="preserve">en el sur del país </w:t>
      </w:r>
      <w:r w:rsidR="005D0D1B" w:rsidRPr="005D0D1B">
        <w:rPr>
          <w:rFonts w:asciiTheme="majorHAnsi" w:hAnsiTheme="majorHAnsi" w:cstheme="majorHAnsi"/>
        </w:rPr>
        <w:t>para el abastecimiento</w:t>
      </w:r>
      <w:r w:rsidR="00314F87">
        <w:rPr>
          <w:rFonts w:asciiTheme="majorHAnsi" w:hAnsiTheme="majorHAnsi" w:cstheme="majorHAnsi"/>
        </w:rPr>
        <w:t xml:space="preserve"> de combustibles líquidos</w:t>
      </w:r>
      <w:r w:rsidR="005D0D1B" w:rsidRPr="005D0D1B">
        <w:rPr>
          <w:rFonts w:asciiTheme="majorHAnsi" w:hAnsiTheme="majorHAnsi" w:cstheme="majorHAnsi"/>
        </w:rPr>
        <w:t xml:space="preserve">, los precios máximos de referencia fijados por el Gobierno Nacional y el Ministerio de Minas y Energía para la ciudad de Pasto son de ocho mil novecientos dieciséis pesos ($8.916) </w:t>
      </w:r>
      <w:r w:rsidR="007A4110" w:rsidRPr="00994228">
        <w:rPr>
          <w:rFonts w:asciiTheme="majorHAnsi" w:hAnsiTheme="majorHAnsi" w:cstheme="majorHAnsi"/>
        </w:rPr>
        <w:t xml:space="preserve">M/Cte. </w:t>
      </w:r>
      <w:r w:rsidR="005D0D1B" w:rsidRPr="005D0D1B">
        <w:rPr>
          <w:rFonts w:asciiTheme="majorHAnsi" w:hAnsiTheme="majorHAnsi" w:cstheme="majorHAnsi"/>
        </w:rPr>
        <w:t>por galón para la gasolina motor corriente y de ocho mil tre</w:t>
      </w:r>
      <w:r w:rsidR="00BA2FF6">
        <w:rPr>
          <w:rFonts w:asciiTheme="majorHAnsi" w:hAnsiTheme="majorHAnsi" w:cstheme="majorHAnsi"/>
        </w:rPr>
        <w:t>s</w:t>
      </w:r>
      <w:r w:rsidR="005D0D1B" w:rsidRPr="005D0D1B">
        <w:rPr>
          <w:rFonts w:asciiTheme="majorHAnsi" w:hAnsiTheme="majorHAnsi" w:cstheme="majorHAnsi"/>
        </w:rPr>
        <w:t xml:space="preserve">cientos noventa y seis pesos ($8.396) </w:t>
      </w:r>
      <w:r w:rsidR="007A4110" w:rsidRPr="00994228">
        <w:rPr>
          <w:rFonts w:asciiTheme="majorHAnsi" w:hAnsiTheme="majorHAnsi" w:cstheme="majorHAnsi"/>
        </w:rPr>
        <w:t xml:space="preserve">M/Cte. </w:t>
      </w:r>
      <w:r w:rsidR="00251D84" w:rsidRPr="005D0D1B">
        <w:rPr>
          <w:rFonts w:asciiTheme="majorHAnsi" w:hAnsiTheme="majorHAnsi" w:cstheme="majorHAnsi"/>
        </w:rPr>
        <w:t>por galón para el ACPM-Diésel</w:t>
      </w:r>
      <w:r w:rsidR="00251D84">
        <w:rPr>
          <w:rFonts w:asciiTheme="majorHAnsi" w:hAnsiTheme="majorHAnsi" w:cstheme="majorHAnsi"/>
        </w:rPr>
        <w:t>, de acuerdo con lo establecido en la Resolución MME 40164 de 2023.</w:t>
      </w:r>
    </w:p>
    <w:p w14:paraId="55DAC443" w14:textId="77777777" w:rsidR="005603E3" w:rsidRDefault="005603E3" w:rsidP="006B267E">
      <w:pPr>
        <w:spacing w:before="0" w:after="0"/>
        <w:rPr>
          <w:rFonts w:asciiTheme="majorHAnsi" w:hAnsiTheme="majorHAnsi" w:cstheme="majorHAnsi"/>
        </w:rPr>
      </w:pPr>
    </w:p>
    <w:p w14:paraId="75A99A29" w14:textId="77777777" w:rsidR="00284F91" w:rsidRDefault="00284F91">
      <w:pPr>
        <w:spacing w:before="0" w:after="0"/>
        <w:rPr>
          <w:rFonts w:asciiTheme="majorHAnsi" w:hAnsiTheme="majorHAnsi" w:cstheme="majorHAnsi"/>
          <w:b/>
          <w:bCs/>
        </w:rPr>
      </w:pPr>
      <w:r>
        <w:rPr>
          <w:rFonts w:asciiTheme="majorHAnsi" w:hAnsiTheme="majorHAnsi" w:cstheme="majorHAnsi"/>
          <w:b/>
          <w:bCs/>
        </w:rPr>
        <w:br w:type="page"/>
      </w:r>
    </w:p>
    <w:p w14:paraId="3609B57D" w14:textId="1F40026C" w:rsidR="0042602E" w:rsidRDefault="0042602E" w:rsidP="0042602E">
      <w:pPr>
        <w:autoSpaceDE w:val="0"/>
        <w:autoSpaceDN w:val="0"/>
        <w:adjustRightInd w:val="0"/>
        <w:spacing w:before="0" w:after="0"/>
        <w:rPr>
          <w:rFonts w:asciiTheme="majorHAnsi" w:hAnsiTheme="majorHAnsi" w:cstheme="majorHAnsi"/>
          <w:b/>
          <w:bCs/>
          <w:highlight w:val="yellow"/>
        </w:rPr>
      </w:pPr>
      <w:r>
        <w:rPr>
          <w:rFonts w:asciiTheme="majorHAnsi" w:hAnsiTheme="majorHAnsi" w:cstheme="majorHAnsi"/>
          <w:b/>
          <w:bCs/>
        </w:rPr>
        <w:lastRenderedPageBreak/>
        <w:t>Documento técnico de la estructura de precios de gasolina motor corriente y ACPM, así como de sus respectivas mezclas con biocombustibles, en virtud de lo establecido en la Resolución MME 40112 del 12 de abril de 2021, la Resolución CREG 104 001 de 2022 y demás modificatorias que regirán a partir del 1 de febrero del 2023.</w:t>
      </w:r>
    </w:p>
    <w:p w14:paraId="2D8454D4" w14:textId="01FAD41D" w:rsidR="0042602E" w:rsidRDefault="0042602E" w:rsidP="0042602E">
      <w:pPr>
        <w:autoSpaceDE w:val="0"/>
        <w:autoSpaceDN w:val="0"/>
        <w:adjustRightInd w:val="0"/>
        <w:spacing w:before="0" w:after="0"/>
        <w:rPr>
          <w:rFonts w:asciiTheme="majorHAnsi" w:hAnsiTheme="majorHAnsi" w:cstheme="majorHAnsi"/>
          <w:b/>
          <w:bCs/>
        </w:rPr>
      </w:pPr>
    </w:p>
    <w:p w14:paraId="48B70961" w14:textId="77777777" w:rsidR="0042602E" w:rsidRDefault="0042602E" w:rsidP="0042602E">
      <w:pPr>
        <w:autoSpaceDE w:val="0"/>
        <w:autoSpaceDN w:val="0"/>
        <w:adjustRightInd w:val="0"/>
        <w:spacing w:before="0" w:after="0"/>
        <w:rPr>
          <w:rFonts w:asciiTheme="majorHAnsi" w:hAnsiTheme="majorHAnsi" w:cstheme="majorHAnsi"/>
        </w:rPr>
      </w:pPr>
      <w:r>
        <w:rPr>
          <w:rFonts w:asciiTheme="majorHAnsi" w:hAnsiTheme="majorHAnsi" w:cstheme="majorHAnsi"/>
        </w:rPr>
        <w:t>La Comisión de Regulación de Energía y Gas (CREG) de conformidad con lo establecido en el artículo 1º de la Resolución 40161 de 2023, informa que, a partir del 1 de febrero del 2023, el Ingreso al Productor previsto en la estructura de precios de la gasolina motor corriente será de cinco mil novecientos dieciséis pesos con cincuenta centavos ($5.916,50) M/Cte. por galón.</w:t>
      </w:r>
    </w:p>
    <w:p w14:paraId="30EFA934" w14:textId="77777777" w:rsidR="0042602E" w:rsidRDefault="0042602E" w:rsidP="0042602E">
      <w:pPr>
        <w:autoSpaceDE w:val="0"/>
        <w:autoSpaceDN w:val="0"/>
        <w:adjustRightInd w:val="0"/>
        <w:spacing w:before="0" w:after="0"/>
        <w:rPr>
          <w:rFonts w:asciiTheme="majorHAnsi" w:hAnsiTheme="majorHAnsi" w:cstheme="majorHAnsi"/>
        </w:rPr>
      </w:pPr>
    </w:p>
    <w:p w14:paraId="753AF6FF" w14:textId="77777777" w:rsidR="0042602E" w:rsidRDefault="0042602E" w:rsidP="0042602E">
      <w:pPr>
        <w:autoSpaceDE w:val="0"/>
        <w:autoSpaceDN w:val="0"/>
        <w:adjustRightInd w:val="0"/>
        <w:spacing w:before="0" w:after="0"/>
        <w:rPr>
          <w:rFonts w:asciiTheme="majorHAnsi" w:hAnsiTheme="majorHAnsi" w:cstheme="majorHAnsi"/>
        </w:rPr>
      </w:pPr>
      <w:r>
        <w:rPr>
          <w:rFonts w:asciiTheme="majorHAnsi" w:hAnsiTheme="majorHAnsi" w:cstheme="majorHAnsi"/>
        </w:rPr>
        <w:t>Así mismo, y según lo establecido en el artículo 2º de la Resolución 40161 de 2023, se informa que, a partir del 1 de febrero del 2023, el Ingreso al Productor previsto en la estructura de precios del ACPM será de cuatro mil cuatrocientos veintiocho pesos con noventa y cinco centavos ($4.428,95) M/Cte. por galón.</w:t>
      </w:r>
    </w:p>
    <w:p w14:paraId="72227CEF" w14:textId="77777777" w:rsidR="0042602E" w:rsidRDefault="0042602E" w:rsidP="0042602E">
      <w:pPr>
        <w:autoSpaceDE w:val="0"/>
        <w:autoSpaceDN w:val="0"/>
        <w:adjustRightInd w:val="0"/>
        <w:spacing w:before="0" w:after="0"/>
        <w:rPr>
          <w:rFonts w:asciiTheme="majorHAnsi" w:hAnsiTheme="majorHAnsi" w:cstheme="majorHAnsi"/>
        </w:rPr>
      </w:pPr>
    </w:p>
    <w:p w14:paraId="301FD709" w14:textId="77777777" w:rsidR="0042602E" w:rsidRDefault="0042602E" w:rsidP="0042602E">
      <w:pPr>
        <w:autoSpaceDE w:val="0"/>
        <w:autoSpaceDN w:val="0"/>
        <w:adjustRightInd w:val="0"/>
        <w:spacing w:before="0" w:after="0"/>
        <w:rPr>
          <w:rFonts w:asciiTheme="majorHAnsi" w:hAnsiTheme="majorHAnsi" w:cstheme="majorHAnsi"/>
        </w:rPr>
      </w:pPr>
      <w:r>
        <w:rPr>
          <w:rFonts w:asciiTheme="majorHAnsi" w:hAnsiTheme="majorHAnsi" w:cstheme="majorHAnsi"/>
        </w:rPr>
        <w:t>Además, conforme la Resolución 40162 de 2023, el ingreso al productor del alcohol carburante que regirá a partir del 1 de febrero del 2023 será de trece mil setecientos veintinueve pesos con treinta y nueve centavos ($13.729,39) M/Cte. por galón. Por su parte, de acuerdo con la Resolución 40162 de 2023, el ingreso al productor del biocombustible para uso en motores diésel será de veinte mil trescientos tres pesos con treinta y cuatro centavos ($20.303,34) M/Cte. por galón para la misma vigencia.</w:t>
      </w:r>
    </w:p>
    <w:p w14:paraId="508931A3" w14:textId="77777777" w:rsidR="0042602E" w:rsidRDefault="0042602E" w:rsidP="0042602E">
      <w:pPr>
        <w:autoSpaceDE w:val="0"/>
        <w:autoSpaceDN w:val="0"/>
        <w:adjustRightInd w:val="0"/>
        <w:spacing w:before="0" w:after="0"/>
        <w:rPr>
          <w:rFonts w:asciiTheme="majorHAnsi" w:hAnsiTheme="majorHAnsi" w:cstheme="majorHAnsi"/>
        </w:rPr>
      </w:pPr>
    </w:p>
    <w:p w14:paraId="3A420AFD" w14:textId="77777777" w:rsidR="0042602E" w:rsidRDefault="0042602E" w:rsidP="0042602E">
      <w:pPr>
        <w:autoSpaceDE w:val="0"/>
        <w:autoSpaceDN w:val="0"/>
        <w:adjustRightInd w:val="0"/>
        <w:spacing w:before="0" w:after="0"/>
        <w:rPr>
          <w:rFonts w:asciiTheme="majorHAnsi" w:hAnsiTheme="majorHAnsi" w:cstheme="majorHAnsi"/>
        </w:rPr>
      </w:pPr>
      <w:r>
        <w:rPr>
          <w:rFonts w:asciiTheme="majorHAnsi" w:hAnsiTheme="majorHAnsi" w:cstheme="majorHAnsi"/>
        </w:rPr>
        <w:t xml:space="preserve">Por otra parte, y conforme con la Ley 2093 del 29 de junio de 2021, deben considerarse los valores allí señalados como base gravable y tarifa para el cálculo de la sobretasa de </w:t>
      </w:r>
      <w:r>
        <w:rPr>
          <w:rFonts w:asciiTheme="majorHAnsi" w:hAnsiTheme="majorHAnsi" w:cstheme="majorHAnsi"/>
        </w:rPr>
        <w:lastRenderedPageBreak/>
        <w:t>la gasolina motor corriente y del ACPM-Diésel. En dicho sentido, a continuación, se detallan los diferentes ítems que conforman la estructura de precios de referencia para la gasolina motor corriente, gasolina motor corriente oxigenada, ACPM y ACPM con mezcla de biocombustible para uso en motores diésel, bajo el régimen de libertad regulada y en virtud de la Resolución 40112 del 12 de abril del 2021.</w:t>
      </w:r>
    </w:p>
    <w:p w14:paraId="12AC5E69" w14:textId="77777777" w:rsidR="0042602E" w:rsidRDefault="0042602E" w:rsidP="0042602E">
      <w:pPr>
        <w:autoSpaceDE w:val="0"/>
        <w:autoSpaceDN w:val="0"/>
        <w:adjustRightInd w:val="0"/>
        <w:spacing w:before="0" w:after="0"/>
        <w:rPr>
          <w:rFonts w:asciiTheme="majorHAnsi" w:hAnsiTheme="majorHAnsi" w:cstheme="majorHAnsi"/>
        </w:rPr>
      </w:pPr>
    </w:p>
    <w:p w14:paraId="79AE9518" w14:textId="77777777" w:rsidR="0042602E" w:rsidRDefault="0042602E" w:rsidP="0042602E">
      <w:pPr>
        <w:autoSpaceDE w:val="0"/>
        <w:autoSpaceDN w:val="0"/>
        <w:adjustRightInd w:val="0"/>
        <w:spacing w:before="0" w:after="0"/>
        <w:rPr>
          <w:rFonts w:asciiTheme="majorHAnsi" w:hAnsiTheme="majorHAnsi" w:cstheme="majorHAnsi"/>
        </w:rPr>
      </w:pPr>
      <w:r>
        <w:rPr>
          <w:rFonts w:asciiTheme="majorHAnsi" w:hAnsiTheme="majorHAnsi" w:cstheme="majorHAnsi"/>
        </w:rPr>
        <w:t>Finalmente, según lo establecido en los artículos 183, 218, 219, 220, 221, 222 de la ley 1819 del 29 de diciembre de 2016, se incorporan componentes a la estructura de precios de la gasolina motor corriente, gasolina motor corriente oxigenada, ACPM y de la mezcla ACPM con biocombustible para uso en motores diésel.</w:t>
      </w:r>
    </w:p>
    <w:p w14:paraId="399AA757" w14:textId="77777777" w:rsidR="0042602E" w:rsidRDefault="0042602E" w:rsidP="0042602E">
      <w:pPr>
        <w:autoSpaceDE w:val="0"/>
        <w:autoSpaceDN w:val="0"/>
        <w:adjustRightInd w:val="0"/>
        <w:spacing w:before="0" w:after="0"/>
        <w:rPr>
          <w:rFonts w:asciiTheme="majorHAnsi" w:hAnsiTheme="majorHAnsi" w:cstheme="majorHAnsi"/>
        </w:rPr>
      </w:pPr>
    </w:p>
    <w:p w14:paraId="7D12848D" w14:textId="77777777" w:rsidR="0042602E" w:rsidRDefault="0042602E" w:rsidP="0042602E">
      <w:pPr>
        <w:pStyle w:val="Textoindependiente"/>
        <w:spacing w:after="0" w:line="360" w:lineRule="auto"/>
        <w:jc w:val="left"/>
        <w:rPr>
          <w:rFonts w:asciiTheme="majorHAnsi" w:hAnsiTheme="majorHAnsi" w:cstheme="majorHAnsi"/>
          <w:b/>
          <w:bCs/>
          <w:sz w:val="24"/>
          <w:szCs w:val="24"/>
          <w:u w:val="single"/>
        </w:rPr>
      </w:pPr>
      <w:r>
        <w:rPr>
          <w:rFonts w:asciiTheme="majorHAnsi" w:hAnsiTheme="majorHAnsi" w:cstheme="majorHAnsi"/>
          <w:b/>
          <w:bCs/>
          <w:sz w:val="24"/>
          <w:szCs w:val="24"/>
          <w:u w:val="single"/>
        </w:rPr>
        <w:t>GASOLINA MOTOR CORRIENTE</w:t>
      </w:r>
    </w:p>
    <w:p w14:paraId="4A740E28" w14:textId="77777777" w:rsidR="0042602E" w:rsidRDefault="0042602E" w:rsidP="0042602E">
      <w:pPr>
        <w:pStyle w:val="Textoindependiente"/>
        <w:spacing w:before="0" w:after="0"/>
        <w:jc w:val="left"/>
        <w:rPr>
          <w:rFonts w:asciiTheme="majorHAnsi" w:hAnsiTheme="majorHAnsi" w:cstheme="majorHAnsi"/>
          <w:b/>
          <w:bCs/>
        </w:rPr>
      </w:pPr>
    </w:p>
    <w:tbl>
      <w:tblPr>
        <w:tblStyle w:val="Tablaconcuadrcula"/>
        <w:tblW w:w="9375" w:type="dxa"/>
        <w:tblInd w:w="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6938"/>
        <w:gridCol w:w="2437"/>
      </w:tblGrid>
      <w:tr w:rsidR="0042602E" w14:paraId="3D7FAD4D" w14:textId="77777777" w:rsidTr="0042602E">
        <w:trPr>
          <w:trHeight w:val="567"/>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14:paraId="614FF4F6"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Estructura de precio gasolina motor corriente</w:t>
            </w:r>
          </w:p>
          <w:p w14:paraId="537578CD"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(Pesos por galón)</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002060"/>
            <w:vAlign w:val="center"/>
            <w:hideMark/>
          </w:tcPr>
          <w:p w14:paraId="5CA83ED7"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Componentes</w:t>
            </w:r>
          </w:p>
        </w:tc>
      </w:tr>
      <w:tr w:rsidR="0042602E" w14:paraId="78CB8D1D"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66282BBA"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1. Ingreso al productor</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2E2266B9"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 xml:space="preserve">5.916,50 </w:t>
            </w:r>
          </w:p>
        </w:tc>
      </w:tr>
      <w:tr w:rsidR="0042602E" w14:paraId="27916AE7"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3F17D6F"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2. Impuesto nacional </w:t>
            </w:r>
            <w:r>
              <w:rPr>
                <w:rFonts w:asciiTheme="majorHAnsi" w:hAnsiTheme="majorHAnsi" w:cstheme="majorHAnsi"/>
                <w:b/>
                <w:bCs/>
                <w:sz w:val="18"/>
                <w:szCs w:val="18"/>
              </w:rPr>
              <w:t>(a)</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5265D461"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663,16 </w:t>
            </w:r>
          </w:p>
        </w:tc>
      </w:tr>
      <w:tr w:rsidR="0042602E" w14:paraId="423BD955"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10BED558"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3. IVA del fósil</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040B5801"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(b)</w:t>
            </w:r>
          </w:p>
        </w:tc>
      </w:tr>
      <w:tr w:rsidR="0042602E" w14:paraId="2F4CA114"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0D0D69D9"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4. Impuesto al carbono </w:t>
            </w:r>
            <w:r>
              <w:rPr>
                <w:rFonts w:asciiTheme="majorHAnsi" w:hAnsiTheme="majorHAnsi" w:cstheme="majorHAnsi"/>
                <w:b/>
                <w:bCs/>
                <w:sz w:val="18"/>
                <w:szCs w:val="18"/>
              </w:rPr>
              <w:t>(c)</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56A266BF"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169,00 </w:t>
            </w:r>
          </w:p>
        </w:tc>
      </w:tr>
      <w:tr w:rsidR="0042602E" w14:paraId="2AF745B0"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9CC4120"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5. Tarifa de marcación</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1BEB3FB2"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8,89 </w:t>
            </w:r>
          </w:p>
        </w:tc>
      </w:tr>
      <w:tr w:rsidR="0042602E" w14:paraId="50445246"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6B39495A"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6. Tarifa de transporte por poliductos</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0FBFE86D"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(d)</w:t>
            </w:r>
          </w:p>
        </w:tc>
      </w:tr>
      <w:tr w:rsidR="0042602E" w14:paraId="3247AC37"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68151581"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7. Precio máximo de venta al distribuidor mayorista</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0BE6DA0C"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(f)</w:t>
            </w:r>
          </w:p>
        </w:tc>
      </w:tr>
      <w:tr w:rsidR="0042602E" w14:paraId="78896592"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02A69A1E"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8. Margen al distribuidor mayorista</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C732619"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(g)</w:t>
            </w:r>
          </w:p>
        </w:tc>
      </w:tr>
      <w:tr w:rsidR="0042602E" w14:paraId="70DED6DC"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A0A96BD"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9. IVA sobre el margen al distribuidor mayorista</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13459E84"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(h)</w:t>
            </w:r>
          </w:p>
        </w:tc>
      </w:tr>
      <w:tr w:rsidR="0042602E" w14:paraId="4F4A4607"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FE5BCDE"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10. Sobretasa</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1B8B6FBC"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1.429,00 </w:t>
            </w:r>
          </w:p>
        </w:tc>
      </w:tr>
      <w:tr w:rsidR="0042602E" w14:paraId="4B196DBA"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6F6D665D"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11. Precio máximo en planta de abastecimiento mayorista</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52FCE63C"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(i)</w:t>
            </w:r>
          </w:p>
        </w:tc>
      </w:tr>
      <w:tr w:rsidR="0042602E" w14:paraId="729E65AE"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99361EC"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12. Margen del distribuidor minorista</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16205D0C"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(j)</w:t>
            </w:r>
          </w:p>
        </w:tc>
      </w:tr>
      <w:tr w:rsidR="0042602E" w14:paraId="425555B7"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1AFB9A0"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13. Perdida por evaporación</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0D70FAE2"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(k)</w:t>
            </w:r>
          </w:p>
        </w:tc>
      </w:tr>
      <w:tr w:rsidR="0042602E" w14:paraId="7879D7FA"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5EC62E5C"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14. Transporte de la planta de abastecimiento mayorista a estación</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73ED7A4D"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(l)</w:t>
            </w:r>
          </w:p>
        </w:tc>
      </w:tr>
      <w:tr w:rsidR="0042602E" w14:paraId="2F406EF6" w14:textId="77777777" w:rsidTr="0042602E">
        <w:trPr>
          <w:trHeight w:val="283"/>
        </w:trPr>
        <w:tc>
          <w:tcPr>
            <w:tcW w:w="694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755F8355"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15. Precio máximo de venta por galón incluida la sobretasa</w:t>
            </w:r>
          </w:p>
        </w:tc>
        <w:tc>
          <w:tcPr>
            <w:tcW w:w="243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6C3E5B46"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(m)</w:t>
            </w:r>
          </w:p>
        </w:tc>
      </w:tr>
    </w:tbl>
    <w:p w14:paraId="55EDA7CF" w14:textId="77777777" w:rsidR="0042602E" w:rsidRDefault="0042602E" w:rsidP="0042602E">
      <w:pPr>
        <w:pStyle w:val="Textoindependiente"/>
        <w:spacing w:before="0" w:after="0"/>
        <w:jc w:val="left"/>
        <w:rPr>
          <w:rFonts w:asciiTheme="majorHAnsi" w:hAnsiTheme="majorHAnsi" w:cstheme="majorHAnsi"/>
          <w:b/>
          <w:bCs/>
        </w:rPr>
      </w:pPr>
    </w:p>
    <w:p w14:paraId="194BA53D" w14:textId="77777777" w:rsidR="0042602E" w:rsidRDefault="0042602E" w:rsidP="0042602E">
      <w:pPr>
        <w:pStyle w:val="Textoindependiente"/>
        <w:spacing w:before="0" w:after="0"/>
        <w:jc w:val="left"/>
        <w:rPr>
          <w:rFonts w:asciiTheme="majorHAnsi" w:hAnsiTheme="majorHAnsi" w:cstheme="majorHAnsi"/>
          <w:b/>
          <w:bCs/>
        </w:rPr>
      </w:pPr>
    </w:p>
    <w:tbl>
      <w:tblPr>
        <w:tblStyle w:val="Tablaconcuadrcula"/>
        <w:tblW w:w="4990" w:type="pct"/>
        <w:tblInd w:w="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6937"/>
        <w:gridCol w:w="2438"/>
      </w:tblGrid>
      <w:tr w:rsidR="0042602E" w14:paraId="47DB69CF" w14:textId="77777777" w:rsidTr="0042602E">
        <w:trPr>
          <w:trHeight w:val="567"/>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14:paraId="060EE45D" w14:textId="77777777" w:rsidR="0042602E" w:rsidRDefault="0042602E">
            <w:pPr>
              <w:pStyle w:val="Textoindependiente"/>
              <w:spacing w:before="0" w:after="0"/>
              <w:jc w:val="left"/>
              <w:rPr>
                <w:rFonts w:asciiTheme="majorHAnsi" w:hAnsiTheme="majorHAnsi" w:cstheme="majorHAnsi"/>
                <w:b/>
                <w:bCs/>
                <w:sz w:val="18"/>
                <w:szCs w:val="18"/>
              </w:rPr>
            </w:pPr>
            <w:r>
              <w:rPr>
                <w:rFonts w:asciiTheme="majorHAnsi" w:hAnsiTheme="majorHAnsi" w:cstheme="majorHAnsi"/>
                <w:b/>
                <w:bCs/>
                <w:sz w:val="18"/>
                <w:szCs w:val="18"/>
              </w:rPr>
              <w:t>Estructura de precio gasolina motor corriente oxigenada E4</w:t>
            </w:r>
          </w:p>
          <w:p w14:paraId="045B770A" w14:textId="77777777" w:rsidR="0042602E" w:rsidRDefault="0042602E">
            <w:pPr>
              <w:pStyle w:val="Textoindependiente"/>
              <w:spacing w:before="0" w:after="0"/>
              <w:jc w:val="left"/>
              <w:rPr>
                <w:rFonts w:asciiTheme="majorHAnsi" w:hAnsiTheme="majorHAnsi" w:cstheme="majorHAnsi"/>
                <w:b/>
                <w:bCs/>
                <w:sz w:val="18"/>
                <w:szCs w:val="18"/>
              </w:rPr>
            </w:pPr>
            <w:r>
              <w:rPr>
                <w:rFonts w:asciiTheme="majorHAnsi" w:hAnsiTheme="majorHAnsi" w:cstheme="majorHAnsi"/>
                <w:b/>
                <w:bCs/>
                <w:sz w:val="18"/>
                <w:szCs w:val="18"/>
              </w:rPr>
              <w:t>(Pesos por Galón)</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002060"/>
            <w:vAlign w:val="center"/>
            <w:hideMark/>
          </w:tcPr>
          <w:p w14:paraId="43F27766" w14:textId="77777777" w:rsidR="0042602E" w:rsidRDefault="0042602E">
            <w:pPr>
              <w:pStyle w:val="Textoindependiente"/>
              <w:spacing w:before="0" w:after="0"/>
              <w:jc w:val="left"/>
              <w:rPr>
                <w:rFonts w:asciiTheme="majorHAnsi" w:hAnsiTheme="majorHAnsi" w:cstheme="majorHAnsi"/>
                <w:b/>
                <w:bCs/>
                <w:sz w:val="18"/>
                <w:szCs w:val="18"/>
              </w:rPr>
            </w:pPr>
            <w:r>
              <w:rPr>
                <w:rFonts w:asciiTheme="majorHAnsi" w:hAnsiTheme="majorHAnsi" w:cstheme="majorHAnsi"/>
                <w:b/>
                <w:bCs/>
                <w:sz w:val="18"/>
                <w:szCs w:val="18"/>
              </w:rPr>
              <w:t>Componentes</w:t>
            </w:r>
          </w:p>
        </w:tc>
      </w:tr>
      <w:tr w:rsidR="0042602E" w14:paraId="4AF5C950"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776F74D"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1. Proporción - Ingreso al productor de la Gasolina Motor Corriente (96%)</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9FA1B4A" w14:textId="77777777" w:rsidR="0042602E" w:rsidRDefault="0042602E">
            <w:pPr>
              <w:pStyle w:val="Textoindependiente"/>
              <w:spacing w:before="0" w:after="0"/>
              <w:jc w:val="left"/>
              <w:rPr>
                <w:rFonts w:asciiTheme="majorHAnsi" w:hAnsiTheme="majorHAnsi" w:cstheme="majorHAnsi"/>
                <w:sz w:val="18"/>
                <w:szCs w:val="18"/>
              </w:rPr>
            </w:pPr>
            <w:r>
              <w:rPr>
                <w:sz w:val="18"/>
                <w:szCs w:val="18"/>
              </w:rPr>
              <w:t xml:space="preserve">5.679,84 </w:t>
            </w:r>
          </w:p>
        </w:tc>
      </w:tr>
      <w:tr w:rsidR="0042602E" w14:paraId="22659C2B"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5238DD53"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2. Proporción - Ingreso al productor del Alcohol Carburante (4%)</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6A8F9C21" w14:textId="77777777" w:rsidR="0042602E" w:rsidRDefault="0042602E">
            <w:pPr>
              <w:pStyle w:val="Textoindependiente"/>
              <w:spacing w:before="0" w:after="0"/>
              <w:jc w:val="left"/>
              <w:rPr>
                <w:rFonts w:asciiTheme="majorHAnsi" w:hAnsiTheme="majorHAnsi" w:cstheme="majorHAnsi"/>
                <w:sz w:val="18"/>
                <w:szCs w:val="18"/>
              </w:rPr>
            </w:pPr>
            <w:r>
              <w:rPr>
                <w:sz w:val="18"/>
                <w:szCs w:val="18"/>
              </w:rPr>
              <w:t xml:space="preserve">549,18 </w:t>
            </w:r>
          </w:p>
        </w:tc>
      </w:tr>
      <w:tr w:rsidR="0042602E" w14:paraId="3B162515"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2F24F2F7" w14:textId="77777777" w:rsidR="0042602E" w:rsidRDefault="0042602E">
            <w:pPr>
              <w:pStyle w:val="Textoindependiente"/>
              <w:spacing w:before="0" w:after="0"/>
              <w:jc w:val="left"/>
              <w:rPr>
                <w:rFonts w:asciiTheme="majorHAnsi" w:hAnsiTheme="majorHAnsi" w:cstheme="majorHAnsi"/>
                <w:b/>
                <w:bCs/>
                <w:sz w:val="18"/>
                <w:szCs w:val="18"/>
              </w:rPr>
            </w:pPr>
            <w:r>
              <w:rPr>
                <w:rFonts w:asciiTheme="majorHAnsi" w:hAnsiTheme="majorHAnsi" w:cstheme="majorHAnsi"/>
                <w:b/>
                <w:bCs/>
                <w:sz w:val="18"/>
                <w:szCs w:val="18"/>
              </w:rPr>
              <w:t>3. Ingreso al productor de la Gasolina Motor Corriente Oxigenada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3789C34D" w14:textId="77777777" w:rsidR="0042602E" w:rsidRDefault="0042602E">
            <w:pPr>
              <w:pStyle w:val="Textoindependiente"/>
              <w:spacing w:before="0" w:after="0"/>
              <w:jc w:val="left"/>
              <w:rPr>
                <w:rFonts w:asciiTheme="majorHAnsi" w:hAnsiTheme="majorHAnsi" w:cstheme="majorHAnsi"/>
                <w:b/>
                <w:bCs/>
                <w:sz w:val="18"/>
                <w:szCs w:val="18"/>
              </w:rPr>
            </w:pPr>
            <w:r>
              <w:rPr>
                <w:b/>
                <w:bCs/>
                <w:sz w:val="18"/>
                <w:szCs w:val="18"/>
              </w:rPr>
              <w:t xml:space="preserve">6.229,02 </w:t>
            </w:r>
          </w:p>
        </w:tc>
      </w:tr>
      <w:tr w:rsidR="0042602E" w14:paraId="588C06DC"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5B9974BD"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4. Impuesto nacional (a)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92055E5" w14:textId="77777777" w:rsidR="0042602E" w:rsidRDefault="0042602E">
            <w:pPr>
              <w:pStyle w:val="Textoindependiente"/>
              <w:spacing w:before="0" w:after="0"/>
              <w:jc w:val="left"/>
              <w:rPr>
                <w:rFonts w:asciiTheme="majorHAnsi" w:hAnsiTheme="majorHAnsi" w:cstheme="majorHAnsi"/>
                <w:sz w:val="18"/>
                <w:szCs w:val="18"/>
              </w:rPr>
            </w:pPr>
            <w:r>
              <w:rPr>
                <w:sz w:val="18"/>
                <w:szCs w:val="18"/>
              </w:rPr>
              <w:t xml:space="preserve">636,63 </w:t>
            </w:r>
          </w:p>
        </w:tc>
      </w:tr>
      <w:tr w:rsidR="0042602E" w14:paraId="615619C4"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0EF00981"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 xml:space="preserve">5. IVA del fósil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9A95CB3"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(b)</w:t>
            </w:r>
          </w:p>
        </w:tc>
      </w:tr>
      <w:tr w:rsidR="0042602E" w14:paraId="0ED6EA5F"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F274CC5"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 xml:space="preserve">6. Impuesto al carbono (c)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61B8EFDD" w14:textId="77777777" w:rsidR="0042602E" w:rsidRDefault="0042602E">
            <w:pPr>
              <w:pStyle w:val="Textoindependiente"/>
              <w:spacing w:before="0" w:after="0"/>
              <w:jc w:val="left"/>
              <w:rPr>
                <w:rFonts w:asciiTheme="majorHAnsi" w:hAnsiTheme="majorHAnsi" w:cstheme="majorHAnsi"/>
                <w:sz w:val="18"/>
                <w:szCs w:val="18"/>
              </w:rPr>
            </w:pPr>
            <w:r>
              <w:rPr>
                <w:sz w:val="18"/>
                <w:szCs w:val="18"/>
              </w:rPr>
              <w:t xml:space="preserve">162,24 </w:t>
            </w:r>
          </w:p>
        </w:tc>
      </w:tr>
      <w:tr w:rsidR="0042602E" w14:paraId="39BED7C8"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65EA065E"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7. Tarifa de marcación</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5E032567"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 xml:space="preserve">8,89 </w:t>
            </w:r>
          </w:p>
        </w:tc>
      </w:tr>
      <w:tr w:rsidR="0042602E" w14:paraId="2843DEC8"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6968D4B1" w14:textId="131F0B4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8. Proporción-Tarifa Transporte por poliductos Gasolina Motor Corriente (9</w:t>
            </w:r>
            <w:r w:rsidR="00B90126">
              <w:rPr>
                <w:rFonts w:asciiTheme="majorHAnsi" w:hAnsiTheme="majorHAnsi" w:cstheme="majorHAnsi"/>
                <w:sz w:val="18"/>
                <w:szCs w:val="18"/>
              </w:rPr>
              <w:t>6</w:t>
            </w:r>
            <w:r>
              <w:rPr>
                <w:rFonts w:asciiTheme="majorHAnsi" w:hAnsiTheme="majorHAnsi" w:cstheme="majorHAnsi"/>
                <w:sz w:val="18"/>
                <w:szCs w:val="18"/>
              </w:rPr>
              <w:t xml:space="preserve">%)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75B47D9D"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(d)</w:t>
            </w:r>
          </w:p>
        </w:tc>
      </w:tr>
      <w:tr w:rsidR="0042602E" w14:paraId="6D8F6953"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EC6641D" w14:textId="0BAFD59D"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9. Proporción-Tarifa Transporte por poliductos del Alcohol Carburante (</w:t>
            </w:r>
            <w:r w:rsidR="00B90126">
              <w:rPr>
                <w:rFonts w:asciiTheme="majorHAnsi" w:hAnsiTheme="majorHAnsi" w:cstheme="majorHAnsi"/>
                <w:sz w:val="18"/>
                <w:szCs w:val="18"/>
              </w:rPr>
              <w:t>4</w:t>
            </w:r>
            <w:r>
              <w:rPr>
                <w:rFonts w:asciiTheme="majorHAnsi" w:hAnsiTheme="majorHAnsi" w:cstheme="majorHAnsi"/>
                <w:sz w:val="18"/>
                <w:szCs w:val="18"/>
              </w:rPr>
              <w:t xml:space="preserve">%)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BFB94FD"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(e)</w:t>
            </w:r>
          </w:p>
        </w:tc>
      </w:tr>
      <w:tr w:rsidR="0042602E" w14:paraId="4441B007"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31C896EE" w14:textId="77777777" w:rsidR="0042602E" w:rsidRDefault="0042602E">
            <w:pPr>
              <w:pStyle w:val="Textoindependiente"/>
              <w:spacing w:before="0" w:after="0"/>
              <w:jc w:val="left"/>
              <w:rPr>
                <w:rFonts w:asciiTheme="majorHAnsi" w:hAnsiTheme="majorHAnsi" w:cstheme="majorHAnsi"/>
                <w:b/>
                <w:bCs/>
                <w:sz w:val="18"/>
                <w:szCs w:val="18"/>
              </w:rPr>
            </w:pPr>
            <w:r>
              <w:rPr>
                <w:rFonts w:asciiTheme="majorHAnsi" w:hAnsiTheme="majorHAnsi" w:cstheme="majorHAnsi"/>
                <w:b/>
                <w:bCs/>
                <w:sz w:val="18"/>
                <w:szCs w:val="18"/>
              </w:rPr>
              <w:t xml:space="preserve">10. Precio máximo de venta al distribuidor mayorista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7752F303" w14:textId="77777777" w:rsidR="0042602E" w:rsidRDefault="0042602E">
            <w:pPr>
              <w:pStyle w:val="Textoindependiente"/>
              <w:spacing w:before="0" w:after="0"/>
              <w:jc w:val="left"/>
              <w:rPr>
                <w:rFonts w:asciiTheme="majorHAnsi" w:hAnsiTheme="majorHAnsi" w:cstheme="majorHAnsi"/>
                <w:b/>
                <w:bCs/>
                <w:sz w:val="18"/>
                <w:szCs w:val="18"/>
              </w:rPr>
            </w:pPr>
            <w:r>
              <w:rPr>
                <w:rFonts w:asciiTheme="majorHAnsi" w:hAnsiTheme="majorHAnsi" w:cstheme="majorHAnsi"/>
                <w:b/>
                <w:bCs/>
                <w:sz w:val="18"/>
                <w:szCs w:val="18"/>
              </w:rPr>
              <w:t>(f)</w:t>
            </w:r>
          </w:p>
        </w:tc>
      </w:tr>
      <w:tr w:rsidR="0042602E" w14:paraId="2D875F12"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70AD2CA"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11. Margen al distribuidor mayorista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6545457B"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(g)</w:t>
            </w:r>
          </w:p>
        </w:tc>
      </w:tr>
      <w:tr w:rsidR="0042602E" w14:paraId="7D43DA38"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D56F1C8"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12. IVA sobre el margen al distribuidor mayorista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B8660FE"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(h)</w:t>
            </w:r>
          </w:p>
        </w:tc>
      </w:tr>
      <w:tr w:rsidR="0042602E" w14:paraId="756811A1"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F179067"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13. Sobretasa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60B9536"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 xml:space="preserve">1.371,84 </w:t>
            </w:r>
          </w:p>
        </w:tc>
      </w:tr>
      <w:tr w:rsidR="0042602E" w14:paraId="7DCB6D86"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34794599" w14:textId="77777777" w:rsidR="0042602E" w:rsidRDefault="0042602E">
            <w:pPr>
              <w:pStyle w:val="Textoindependiente"/>
              <w:spacing w:before="0" w:after="0"/>
              <w:jc w:val="left"/>
              <w:rPr>
                <w:rFonts w:asciiTheme="majorHAnsi" w:hAnsiTheme="majorHAnsi" w:cstheme="majorHAnsi"/>
                <w:b/>
                <w:bCs/>
                <w:sz w:val="18"/>
                <w:szCs w:val="18"/>
              </w:rPr>
            </w:pPr>
            <w:r>
              <w:rPr>
                <w:rFonts w:asciiTheme="majorHAnsi" w:hAnsiTheme="majorHAnsi" w:cstheme="majorHAnsi"/>
                <w:b/>
                <w:bCs/>
                <w:sz w:val="18"/>
                <w:szCs w:val="18"/>
              </w:rPr>
              <w:t>14. Precio máximo en planta de abastecimiento mayorista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2B6FDF04" w14:textId="77777777" w:rsidR="0042602E" w:rsidRDefault="0042602E">
            <w:pPr>
              <w:pStyle w:val="Textoindependiente"/>
              <w:spacing w:before="0" w:after="0"/>
              <w:jc w:val="left"/>
              <w:rPr>
                <w:rFonts w:asciiTheme="majorHAnsi" w:hAnsiTheme="majorHAnsi" w:cstheme="majorHAnsi"/>
                <w:b/>
                <w:bCs/>
                <w:sz w:val="18"/>
                <w:szCs w:val="18"/>
              </w:rPr>
            </w:pPr>
            <w:r>
              <w:rPr>
                <w:rFonts w:asciiTheme="majorHAnsi" w:hAnsiTheme="majorHAnsi" w:cstheme="majorHAnsi"/>
                <w:b/>
                <w:bCs/>
                <w:sz w:val="18"/>
                <w:szCs w:val="18"/>
              </w:rPr>
              <w:t>(i)</w:t>
            </w:r>
          </w:p>
        </w:tc>
      </w:tr>
      <w:tr w:rsidR="0042602E" w14:paraId="41845B37"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00359C0E"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 xml:space="preserve">15. Margen del distribuidor minorista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3B067A1"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(j)</w:t>
            </w:r>
          </w:p>
        </w:tc>
      </w:tr>
      <w:tr w:rsidR="0042602E" w14:paraId="78B9F5DF"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0DAC1909"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 xml:space="preserve">16. Perdida por evaporación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1E492FC2"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(k)</w:t>
            </w:r>
          </w:p>
        </w:tc>
      </w:tr>
      <w:tr w:rsidR="0042602E" w14:paraId="1D7A06A3"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111A6865"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 xml:space="preserve">17. Transporte de la planta de abastecimiento mayorista a estación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D23B240" w14:textId="77777777" w:rsidR="0042602E" w:rsidRDefault="0042602E">
            <w:pPr>
              <w:pStyle w:val="Textoindependiente"/>
              <w:spacing w:before="0" w:after="0"/>
              <w:jc w:val="left"/>
              <w:rPr>
                <w:rFonts w:asciiTheme="majorHAnsi" w:hAnsiTheme="majorHAnsi" w:cstheme="majorHAnsi"/>
                <w:sz w:val="18"/>
                <w:szCs w:val="18"/>
              </w:rPr>
            </w:pPr>
            <w:r>
              <w:rPr>
                <w:rFonts w:asciiTheme="majorHAnsi" w:hAnsiTheme="majorHAnsi" w:cstheme="majorHAnsi"/>
                <w:sz w:val="18"/>
                <w:szCs w:val="18"/>
              </w:rPr>
              <w:t>(l)</w:t>
            </w:r>
          </w:p>
        </w:tc>
      </w:tr>
      <w:tr w:rsidR="0042602E" w14:paraId="324D33B2"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6D5D5655" w14:textId="77777777" w:rsidR="0042602E" w:rsidRDefault="0042602E">
            <w:pPr>
              <w:pStyle w:val="Textoindependiente"/>
              <w:spacing w:before="0" w:after="0"/>
              <w:jc w:val="left"/>
              <w:rPr>
                <w:rFonts w:asciiTheme="majorHAnsi" w:hAnsiTheme="majorHAnsi" w:cstheme="majorHAnsi"/>
                <w:b/>
                <w:bCs/>
                <w:sz w:val="18"/>
                <w:szCs w:val="18"/>
              </w:rPr>
            </w:pPr>
            <w:r>
              <w:rPr>
                <w:rFonts w:asciiTheme="majorHAnsi" w:hAnsiTheme="majorHAnsi" w:cstheme="majorHAnsi"/>
                <w:b/>
                <w:bCs/>
                <w:sz w:val="18"/>
                <w:szCs w:val="18"/>
              </w:rPr>
              <w:t>18. Precio máximo de venta por galón incluida la sobretasa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30C5E0C8" w14:textId="77777777" w:rsidR="0042602E" w:rsidRDefault="0042602E">
            <w:pPr>
              <w:pStyle w:val="Textoindependiente"/>
              <w:spacing w:before="0" w:after="0"/>
              <w:jc w:val="left"/>
              <w:rPr>
                <w:rFonts w:asciiTheme="majorHAnsi" w:hAnsiTheme="majorHAnsi" w:cstheme="majorHAnsi"/>
                <w:b/>
                <w:bCs/>
                <w:sz w:val="18"/>
                <w:szCs w:val="18"/>
              </w:rPr>
            </w:pPr>
            <w:r>
              <w:rPr>
                <w:rFonts w:asciiTheme="majorHAnsi" w:hAnsiTheme="majorHAnsi" w:cstheme="majorHAnsi"/>
                <w:b/>
                <w:bCs/>
                <w:sz w:val="18"/>
                <w:szCs w:val="18"/>
              </w:rPr>
              <w:t>(m)</w:t>
            </w:r>
          </w:p>
        </w:tc>
      </w:tr>
    </w:tbl>
    <w:p w14:paraId="56C501BD" w14:textId="77777777" w:rsidR="0042602E" w:rsidRDefault="0042602E" w:rsidP="0042602E">
      <w:pPr>
        <w:pStyle w:val="Textoindependiente"/>
        <w:spacing w:after="0" w:line="360" w:lineRule="auto"/>
        <w:jc w:val="left"/>
        <w:rPr>
          <w:rFonts w:asciiTheme="majorHAnsi" w:hAnsiTheme="majorHAnsi" w:cstheme="majorHAnsi"/>
          <w:b/>
          <w:bCs/>
          <w:sz w:val="24"/>
          <w:szCs w:val="24"/>
          <w:u w:val="single"/>
        </w:rPr>
      </w:pPr>
    </w:p>
    <w:p w14:paraId="5EE093D6" w14:textId="77777777" w:rsidR="0042602E" w:rsidRDefault="0042602E" w:rsidP="0042602E">
      <w:pPr>
        <w:pStyle w:val="Textoindependiente"/>
        <w:tabs>
          <w:tab w:val="left" w:pos="7088"/>
        </w:tabs>
        <w:spacing w:after="0" w:line="360" w:lineRule="auto"/>
        <w:jc w:val="left"/>
        <w:rPr>
          <w:rFonts w:asciiTheme="majorHAnsi" w:hAnsiTheme="majorHAnsi" w:cstheme="majorHAnsi"/>
          <w:b/>
          <w:bCs/>
          <w:sz w:val="24"/>
          <w:szCs w:val="24"/>
          <w:u w:val="single"/>
        </w:rPr>
      </w:pPr>
      <w:r>
        <w:rPr>
          <w:rFonts w:asciiTheme="majorHAnsi" w:hAnsiTheme="majorHAnsi" w:cstheme="majorHAnsi"/>
          <w:b/>
          <w:bCs/>
          <w:sz w:val="24"/>
          <w:szCs w:val="24"/>
          <w:u w:val="single"/>
        </w:rPr>
        <w:t>ACPM</w:t>
      </w:r>
    </w:p>
    <w:p w14:paraId="68947353" w14:textId="77777777" w:rsidR="0042602E" w:rsidRDefault="0042602E" w:rsidP="0042602E">
      <w:pPr>
        <w:pStyle w:val="Textoindependiente"/>
        <w:spacing w:before="0" w:after="0"/>
        <w:jc w:val="left"/>
        <w:rPr>
          <w:rFonts w:asciiTheme="majorHAnsi" w:hAnsiTheme="majorHAnsi" w:cstheme="majorHAnsi"/>
          <w:b/>
          <w:bCs/>
        </w:rPr>
      </w:pPr>
    </w:p>
    <w:tbl>
      <w:tblPr>
        <w:tblStyle w:val="Tablaconcuadrcula"/>
        <w:tblW w:w="4991" w:type="pct"/>
        <w:tblInd w:w="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6939"/>
        <w:gridCol w:w="2438"/>
      </w:tblGrid>
      <w:tr w:rsidR="0042602E" w14:paraId="14555199" w14:textId="77777777" w:rsidTr="0042602E">
        <w:trPr>
          <w:trHeight w:val="567"/>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14:paraId="2219174A"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Componentes de la estructura de precio del ACPM</w:t>
            </w:r>
          </w:p>
          <w:p w14:paraId="379F2715"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(Pesos por Galón)</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002060"/>
            <w:vAlign w:val="center"/>
            <w:hideMark/>
          </w:tcPr>
          <w:p w14:paraId="6FAB291E"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Componentes</w:t>
            </w:r>
          </w:p>
        </w:tc>
      </w:tr>
      <w:tr w:rsidR="0042602E" w14:paraId="7CD91E05"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28280B10"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1. Ingreso al productor</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233D2C4C"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 xml:space="preserve">4.428,95 </w:t>
            </w:r>
          </w:p>
        </w:tc>
      </w:tr>
      <w:tr w:rsidR="0042602E" w14:paraId="01FB88A3"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061B1C9"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2. Impuesto nacional </w:t>
            </w:r>
            <w:r>
              <w:rPr>
                <w:rFonts w:asciiTheme="majorHAnsi" w:hAnsiTheme="majorHAnsi" w:cstheme="majorHAnsi"/>
                <w:b/>
                <w:bCs/>
                <w:sz w:val="18"/>
                <w:szCs w:val="18"/>
              </w:rPr>
              <w:t>(a)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EEE2B2F"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634,74 </w:t>
            </w:r>
          </w:p>
        </w:tc>
      </w:tr>
      <w:tr w:rsidR="0042602E" w14:paraId="60CB72F2"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9B59189"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3. IVA del fósil</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59CF0B7"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(b)</w:t>
            </w:r>
          </w:p>
        </w:tc>
      </w:tr>
      <w:tr w:rsidR="0042602E" w14:paraId="77C28213"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78059F47"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4. Impuesto al carbono </w:t>
            </w:r>
            <w:r>
              <w:rPr>
                <w:rFonts w:asciiTheme="majorHAnsi" w:hAnsiTheme="majorHAnsi" w:cstheme="majorHAnsi"/>
                <w:b/>
                <w:bCs/>
                <w:sz w:val="18"/>
                <w:szCs w:val="18"/>
              </w:rPr>
              <w:t>(c)</w:t>
            </w:r>
            <w:r>
              <w:rPr>
                <w:rFonts w:asciiTheme="majorHAnsi" w:hAnsiTheme="majorHAnsi" w:cstheme="majorHAnsi"/>
                <w:sz w:val="18"/>
                <w:szCs w:val="18"/>
              </w:rPr>
              <w:t xml:space="preserve">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0ABC602E"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191,00 </w:t>
            </w:r>
          </w:p>
        </w:tc>
      </w:tr>
      <w:tr w:rsidR="0042602E" w14:paraId="1DCE2F1F"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7C050A09"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5. Tarifa de marcación</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685EF447"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8,89 </w:t>
            </w:r>
          </w:p>
        </w:tc>
      </w:tr>
      <w:tr w:rsidR="0042602E" w14:paraId="17A8D844"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09F27E40"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6. Tarifa de transporte por poliductos</w:t>
            </w:r>
            <w:r>
              <w:rPr>
                <w:rFonts w:asciiTheme="majorHAnsi" w:hAnsiTheme="majorHAnsi" w:cstheme="majorHAnsi"/>
                <w:b/>
                <w:bCs/>
                <w:sz w:val="18"/>
                <w:szCs w:val="18"/>
              </w:rPr>
              <w:t xml:space="preserve">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6E20364"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(d)</w:t>
            </w:r>
          </w:p>
        </w:tc>
      </w:tr>
      <w:tr w:rsidR="0042602E" w14:paraId="2C090CDF"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437D6060"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 xml:space="preserve">7. Precio máximo de venta al distribuidor mayorista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3BE71B24"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(f)</w:t>
            </w:r>
          </w:p>
        </w:tc>
      </w:tr>
      <w:tr w:rsidR="0042602E" w14:paraId="13BEB66E"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723F83DA"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8. Margen al distribuidor mayorista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09B22EEB"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(g)</w:t>
            </w:r>
          </w:p>
        </w:tc>
      </w:tr>
      <w:tr w:rsidR="0042602E" w14:paraId="1B45223D"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16695143"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9. IVA sobre el margen al distribuidor mayorista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615F2CC3"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(h)</w:t>
            </w:r>
          </w:p>
        </w:tc>
      </w:tr>
      <w:tr w:rsidR="0042602E" w14:paraId="703639EB"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463F3921"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lastRenderedPageBreak/>
              <w:t xml:space="preserve">10. Precio máximo en planta de abastecimiento mayorista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027F7EF5"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(i)</w:t>
            </w:r>
          </w:p>
        </w:tc>
      </w:tr>
      <w:tr w:rsidR="0042602E" w14:paraId="398217CB"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6B58E00F"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11. Margen del distribuidor minorista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B98A1C0"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(j)</w:t>
            </w:r>
          </w:p>
        </w:tc>
      </w:tr>
      <w:tr w:rsidR="0042602E" w14:paraId="6D6EB592"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ED7A6CE"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12. Transporte de la planta de abastecimiento mayorista a estación</w:t>
            </w:r>
            <w:r>
              <w:rPr>
                <w:rFonts w:asciiTheme="majorHAnsi" w:hAnsiTheme="majorHAnsi" w:cstheme="majorHAnsi"/>
                <w:b/>
                <w:bCs/>
                <w:sz w:val="18"/>
                <w:szCs w:val="18"/>
              </w:rPr>
              <w:t xml:space="preserve">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227016E"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(l)</w:t>
            </w:r>
          </w:p>
        </w:tc>
      </w:tr>
      <w:tr w:rsidR="0042602E" w14:paraId="6A0858FA"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B388F5C"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13. Sobretasa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53E096DC"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339,00 </w:t>
            </w:r>
          </w:p>
        </w:tc>
      </w:tr>
      <w:tr w:rsidR="0042602E" w14:paraId="5E0AAB59"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5D4A4D9A"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14. Precio máximo de venta por galón incluida la sobretasa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06900489"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(m)</w:t>
            </w:r>
          </w:p>
        </w:tc>
      </w:tr>
    </w:tbl>
    <w:p w14:paraId="5A5C5C48" w14:textId="77777777" w:rsidR="0042602E" w:rsidRDefault="0042602E" w:rsidP="0042602E">
      <w:pPr>
        <w:pStyle w:val="Textoindependiente"/>
        <w:spacing w:before="0" w:after="0"/>
        <w:jc w:val="left"/>
        <w:rPr>
          <w:rFonts w:asciiTheme="majorHAnsi" w:hAnsiTheme="majorHAnsi" w:cstheme="majorHAnsi"/>
          <w:b/>
          <w:bCs/>
        </w:rPr>
      </w:pPr>
    </w:p>
    <w:p w14:paraId="244D2607" w14:textId="77777777" w:rsidR="0042602E" w:rsidRDefault="0042602E" w:rsidP="0042602E">
      <w:pPr>
        <w:pStyle w:val="Textoindependiente"/>
        <w:spacing w:before="0" w:after="0"/>
        <w:jc w:val="left"/>
        <w:rPr>
          <w:rFonts w:asciiTheme="majorHAnsi" w:hAnsiTheme="majorHAnsi" w:cstheme="majorHAnsi"/>
          <w:b/>
          <w:bCs/>
        </w:rPr>
      </w:pPr>
    </w:p>
    <w:tbl>
      <w:tblPr>
        <w:tblStyle w:val="Tablaconcuadrcula"/>
        <w:tblW w:w="4991" w:type="pct"/>
        <w:tblInd w:w="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6939"/>
        <w:gridCol w:w="2438"/>
      </w:tblGrid>
      <w:tr w:rsidR="0042602E" w14:paraId="48C54D5E" w14:textId="77777777" w:rsidTr="0042602E">
        <w:trPr>
          <w:trHeight w:val="567"/>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hideMark/>
          </w:tcPr>
          <w:p w14:paraId="3EB8954A" w14:textId="70CC0DC8"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Estructura de precio de la mezcla ACPM y biocombustible (B1</w:t>
            </w:r>
            <w:r w:rsidR="000962ED">
              <w:rPr>
                <w:rFonts w:asciiTheme="majorHAnsi" w:hAnsiTheme="majorHAnsi" w:cstheme="majorHAnsi"/>
                <w:b/>
                <w:bCs/>
                <w:sz w:val="18"/>
                <w:szCs w:val="18"/>
              </w:rPr>
              <w:t>0</w:t>
            </w:r>
            <w:r>
              <w:rPr>
                <w:rFonts w:asciiTheme="majorHAnsi" w:hAnsiTheme="majorHAnsi" w:cstheme="majorHAnsi"/>
                <w:b/>
                <w:bCs/>
                <w:sz w:val="18"/>
                <w:szCs w:val="18"/>
              </w:rPr>
              <w:t>)</w:t>
            </w:r>
          </w:p>
          <w:p w14:paraId="4A43FAF1"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(Pesos por Galón)</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002060"/>
            <w:vAlign w:val="center"/>
            <w:hideMark/>
          </w:tcPr>
          <w:p w14:paraId="2CFEDF32"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Componentes</w:t>
            </w:r>
          </w:p>
        </w:tc>
      </w:tr>
      <w:tr w:rsidR="0042602E" w14:paraId="26B2C5B8"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5435DE92"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 Proporción - Ingreso al productor del ACPM (90%)</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1A8758F"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3.986,06 </w:t>
            </w:r>
          </w:p>
        </w:tc>
      </w:tr>
      <w:tr w:rsidR="0042602E" w14:paraId="33CE1F3C"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3357E45C"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2. Proporción - Ingreso al productor del biocombustible (10%)</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DE05FF5"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2.030,33 </w:t>
            </w:r>
          </w:p>
        </w:tc>
      </w:tr>
      <w:tr w:rsidR="0042602E" w14:paraId="490BFDA4"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hideMark/>
          </w:tcPr>
          <w:p w14:paraId="0591037D"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3. Ingreso al productor de la mezcla ACPM - biocombustible (B10)</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273F78DA"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 xml:space="preserve">6.016,39 </w:t>
            </w:r>
          </w:p>
        </w:tc>
      </w:tr>
      <w:tr w:rsidR="0042602E" w14:paraId="2E9C8FF8"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6C0E4A20"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4. Impuesto nacional </w:t>
            </w:r>
            <w:r>
              <w:rPr>
                <w:rFonts w:asciiTheme="majorHAnsi" w:hAnsiTheme="majorHAnsi" w:cstheme="majorHAnsi"/>
                <w:b/>
                <w:bCs/>
                <w:sz w:val="18"/>
                <w:szCs w:val="18"/>
              </w:rPr>
              <w:t>(a)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7B3EADC0"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571,27 </w:t>
            </w:r>
          </w:p>
        </w:tc>
      </w:tr>
      <w:tr w:rsidR="0042602E" w14:paraId="692EB7B3"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474BE241"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5. IVA del fósil</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4533A431"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(b)</w:t>
            </w:r>
          </w:p>
        </w:tc>
      </w:tr>
      <w:tr w:rsidR="0042602E" w14:paraId="1F38F217"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404A4E4E"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6. Impuesto al carbono </w:t>
            </w:r>
            <w:r>
              <w:rPr>
                <w:rFonts w:asciiTheme="majorHAnsi" w:hAnsiTheme="majorHAnsi" w:cstheme="majorHAnsi"/>
                <w:b/>
                <w:bCs/>
                <w:sz w:val="18"/>
                <w:szCs w:val="18"/>
              </w:rPr>
              <w:t>(c)</w:t>
            </w:r>
            <w:r>
              <w:rPr>
                <w:rFonts w:asciiTheme="majorHAnsi" w:hAnsiTheme="majorHAnsi" w:cstheme="majorHAnsi"/>
                <w:sz w:val="18"/>
                <w:szCs w:val="18"/>
              </w:rPr>
              <w:t xml:space="preserve">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7DAADEF9"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171,90 </w:t>
            </w:r>
          </w:p>
        </w:tc>
      </w:tr>
      <w:tr w:rsidR="0042602E" w14:paraId="3FA6CC50"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66AC2B1A"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7. Tarifa de marcación</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75FE80F9"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8,89 </w:t>
            </w:r>
          </w:p>
        </w:tc>
      </w:tr>
      <w:tr w:rsidR="0042602E" w14:paraId="7DBA9507"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7CF8FCA4"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8. Proporción - Tarifa de transporte por poliductos del ACPM (90%)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770108C6"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(d)</w:t>
            </w:r>
          </w:p>
        </w:tc>
      </w:tr>
      <w:tr w:rsidR="0042602E" w14:paraId="546FBC88"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79F42C8B"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9. Proporción - Tarifa de transporte del biocombustible (10%) </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75DCC34"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(e)</w:t>
            </w:r>
          </w:p>
        </w:tc>
      </w:tr>
      <w:tr w:rsidR="0042602E" w14:paraId="305D8BE6"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hideMark/>
          </w:tcPr>
          <w:p w14:paraId="5DA09ED9"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10. Precio máximo de venta al distribuidor mayorista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75FAC4D1"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(f)</w:t>
            </w:r>
          </w:p>
        </w:tc>
      </w:tr>
      <w:tr w:rsidR="0042602E" w14:paraId="6FF1C1DB"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0FCCC7B5"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11. Margen al distribuidor mayorista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E16135E"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(g)</w:t>
            </w:r>
          </w:p>
        </w:tc>
      </w:tr>
      <w:tr w:rsidR="0042602E" w14:paraId="6252BD5C"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28A6DE0E"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12. IVA sobre el margen al distribuidor mayorista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24A17D5A"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(h)</w:t>
            </w:r>
          </w:p>
        </w:tc>
      </w:tr>
      <w:tr w:rsidR="0042602E" w14:paraId="51B3EB65"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hideMark/>
          </w:tcPr>
          <w:p w14:paraId="1B376032"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13. Precio máximo en planta de abastecimiento mayorista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3672159D"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(i)</w:t>
            </w:r>
          </w:p>
        </w:tc>
      </w:tr>
      <w:tr w:rsidR="0042602E" w14:paraId="3E5A4838"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7E5A66D7"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14. Margen del distribuidor minorista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6D284E8C"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(j)</w:t>
            </w:r>
          </w:p>
        </w:tc>
      </w:tr>
      <w:tr w:rsidR="0042602E" w14:paraId="168EC2E1"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289173D2"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15. Transporte de la planta de abastecimiento mayorista a estación</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6F151335"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(l)</w:t>
            </w:r>
          </w:p>
        </w:tc>
      </w:tr>
      <w:tr w:rsidR="0042602E" w14:paraId="7CEE0D87"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hideMark/>
          </w:tcPr>
          <w:p w14:paraId="7DD6F77E"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16. Sobretasa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center"/>
            <w:hideMark/>
          </w:tcPr>
          <w:p w14:paraId="3AE1A119" w14:textId="77777777" w:rsidR="0042602E" w:rsidRDefault="0042602E">
            <w:pPr>
              <w:spacing w:before="0" w:after="0"/>
              <w:rPr>
                <w:rFonts w:asciiTheme="majorHAnsi" w:hAnsiTheme="majorHAnsi" w:cstheme="majorHAnsi"/>
                <w:sz w:val="18"/>
                <w:szCs w:val="18"/>
              </w:rPr>
            </w:pPr>
            <w:r>
              <w:rPr>
                <w:rFonts w:asciiTheme="majorHAnsi" w:hAnsiTheme="majorHAnsi" w:cstheme="majorHAnsi"/>
                <w:sz w:val="18"/>
                <w:szCs w:val="18"/>
              </w:rPr>
              <w:t xml:space="preserve">339,00 </w:t>
            </w:r>
          </w:p>
        </w:tc>
      </w:tr>
      <w:tr w:rsidR="0042602E" w14:paraId="781AB23D" w14:textId="77777777" w:rsidTr="0042602E">
        <w:trPr>
          <w:trHeight w:val="283"/>
        </w:trPr>
        <w:tc>
          <w:tcPr>
            <w:tcW w:w="37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hideMark/>
          </w:tcPr>
          <w:p w14:paraId="5389DEE4"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17. Precio máximo de venta por galón incluida la sobretasa</w:t>
            </w:r>
          </w:p>
        </w:tc>
        <w:tc>
          <w:tcPr>
            <w:tcW w:w="13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E2F3" w:themeFill="accent5" w:themeFillTint="33"/>
            <w:noWrap/>
            <w:vAlign w:val="center"/>
            <w:hideMark/>
          </w:tcPr>
          <w:p w14:paraId="6B38AB90" w14:textId="77777777" w:rsidR="0042602E" w:rsidRDefault="0042602E">
            <w:pPr>
              <w:spacing w:before="0" w:after="0"/>
              <w:rPr>
                <w:rFonts w:asciiTheme="majorHAnsi" w:hAnsiTheme="majorHAnsi" w:cstheme="majorHAnsi"/>
                <w:b/>
                <w:bCs/>
                <w:sz w:val="18"/>
                <w:szCs w:val="18"/>
              </w:rPr>
            </w:pPr>
            <w:r>
              <w:rPr>
                <w:rFonts w:asciiTheme="majorHAnsi" w:hAnsiTheme="majorHAnsi" w:cstheme="majorHAnsi"/>
                <w:b/>
                <w:bCs/>
                <w:sz w:val="18"/>
                <w:szCs w:val="18"/>
              </w:rPr>
              <w:t>(m)</w:t>
            </w:r>
          </w:p>
        </w:tc>
      </w:tr>
    </w:tbl>
    <w:p w14:paraId="3334C2F9" w14:textId="77777777" w:rsidR="0042602E" w:rsidRDefault="0042602E" w:rsidP="0042602E">
      <w:pPr>
        <w:spacing w:before="0" w:after="0"/>
        <w:rPr>
          <w:rFonts w:asciiTheme="majorHAnsi" w:hAnsiTheme="majorHAnsi" w:cstheme="majorHAnsi"/>
        </w:rPr>
      </w:pPr>
    </w:p>
    <w:p w14:paraId="0A28AB31" w14:textId="1AD75CF3" w:rsidR="0042602E" w:rsidRDefault="0042602E" w:rsidP="0042602E">
      <w:pPr>
        <w:spacing w:before="0" w:after="0"/>
        <w:rPr>
          <w:rFonts w:asciiTheme="majorHAnsi" w:hAnsiTheme="majorHAnsi" w:cstheme="majorHAnsi"/>
        </w:rPr>
      </w:pPr>
      <w:r>
        <w:rPr>
          <w:rFonts w:asciiTheme="majorHAnsi" w:hAnsiTheme="majorHAnsi" w:cstheme="majorHAnsi"/>
        </w:rPr>
        <w:t>Nota: Para estructuras de precios diferentes a E</w:t>
      </w:r>
      <w:r w:rsidR="002F33FE">
        <w:rPr>
          <w:rFonts w:asciiTheme="majorHAnsi" w:hAnsiTheme="majorHAnsi" w:cstheme="majorHAnsi"/>
        </w:rPr>
        <w:t>4</w:t>
      </w:r>
      <w:r>
        <w:rPr>
          <w:rFonts w:asciiTheme="majorHAnsi" w:hAnsiTheme="majorHAnsi" w:cstheme="majorHAnsi"/>
        </w:rPr>
        <w:t xml:space="preserve"> y B10, se deberá calcular, según corresponda, el porcentaje del ingreso al productor de gasolina motor corriente o de ACPM, y su respectivo complemento del ingreso al productor de alcohol carburante o del biocombustible para uso en motores diésel, así como del impuesto nacional, al carbono y de la sobretasa si procede. En particular, las estructuras de precios deberán </w:t>
      </w:r>
      <w:r>
        <w:rPr>
          <w:rFonts w:asciiTheme="majorHAnsi" w:hAnsiTheme="majorHAnsi" w:cstheme="majorHAnsi"/>
        </w:rPr>
        <w:lastRenderedPageBreak/>
        <w:t>contener las disposiciones plasmadas por medio de la resolución</w:t>
      </w:r>
      <w:r w:rsidR="004E5EB5">
        <w:rPr>
          <w:rFonts w:asciiTheme="majorHAnsi" w:hAnsiTheme="majorHAnsi" w:cstheme="majorHAnsi"/>
        </w:rPr>
        <w:t xml:space="preserve"> MME</w:t>
      </w:r>
      <w:r>
        <w:rPr>
          <w:rFonts w:asciiTheme="majorHAnsi" w:hAnsiTheme="majorHAnsi" w:cstheme="majorHAnsi"/>
        </w:rPr>
        <w:t xml:space="preserve"> 40447 del 2022</w:t>
      </w:r>
      <w:r w:rsidR="00F6671D">
        <w:rPr>
          <w:rFonts w:asciiTheme="majorHAnsi" w:hAnsiTheme="majorHAnsi" w:cstheme="majorHAnsi"/>
        </w:rPr>
        <w:t xml:space="preserve"> y la</w:t>
      </w:r>
      <w:r w:rsidR="00EF5292">
        <w:rPr>
          <w:rFonts w:asciiTheme="majorHAnsi" w:hAnsiTheme="majorHAnsi" w:cstheme="majorHAnsi"/>
        </w:rPr>
        <w:t>s</w:t>
      </w:r>
      <w:r w:rsidR="00F6671D">
        <w:rPr>
          <w:rFonts w:asciiTheme="majorHAnsi" w:hAnsiTheme="majorHAnsi" w:cstheme="majorHAnsi"/>
        </w:rPr>
        <w:t xml:space="preserve"> resoluci</w:t>
      </w:r>
      <w:r w:rsidR="00EF5292">
        <w:rPr>
          <w:rFonts w:asciiTheme="majorHAnsi" w:hAnsiTheme="majorHAnsi" w:cstheme="majorHAnsi"/>
        </w:rPr>
        <w:t>o</w:t>
      </w:r>
      <w:r w:rsidR="00F6671D">
        <w:rPr>
          <w:rFonts w:asciiTheme="majorHAnsi" w:hAnsiTheme="majorHAnsi" w:cstheme="majorHAnsi"/>
        </w:rPr>
        <w:t>n</w:t>
      </w:r>
      <w:r w:rsidR="00EF5292">
        <w:rPr>
          <w:rFonts w:asciiTheme="majorHAnsi" w:hAnsiTheme="majorHAnsi" w:cstheme="majorHAnsi"/>
        </w:rPr>
        <w:t>es</w:t>
      </w:r>
      <w:r w:rsidR="00F6671D">
        <w:rPr>
          <w:rFonts w:asciiTheme="majorHAnsi" w:hAnsiTheme="majorHAnsi" w:cstheme="majorHAnsi"/>
        </w:rPr>
        <w:t xml:space="preserve"> MME </w:t>
      </w:r>
      <w:r w:rsidR="009E2C48">
        <w:rPr>
          <w:rFonts w:asciiTheme="majorHAnsi" w:hAnsiTheme="majorHAnsi" w:cstheme="majorHAnsi"/>
        </w:rPr>
        <w:t>40144</w:t>
      </w:r>
      <w:r w:rsidR="00EF5292">
        <w:rPr>
          <w:rFonts w:asciiTheme="majorHAnsi" w:hAnsiTheme="majorHAnsi" w:cstheme="majorHAnsi"/>
        </w:rPr>
        <w:t xml:space="preserve"> y 40158</w:t>
      </w:r>
      <w:r w:rsidR="00F6671D">
        <w:rPr>
          <w:rFonts w:asciiTheme="majorHAnsi" w:hAnsiTheme="majorHAnsi" w:cstheme="majorHAnsi"/>
        </w:rPr>
        <w:t xml:space="preserve"> de 2023</w:t>
      </w:r>
      <w:r>
        <w:rPr>
          <w:rFonts w:asciiTheme="majorHAnsi" w:hAnsiTheme="majorHAnsi" w:cstheme="majorHAnsi"/>
        </w:rPr>
        <w:t>.</w:t>
      </w:r>
    </w:p>
    <w:p w14:paraId="553C3D62" w14:textId="77777777" w:rsidR="0042602E" w:rsidRDefault="0042602E" w:rsidP="0042602E">
      <w:pPr>
        <w:spacing w:before="0" w:after="0"/>
        <w:rPr>
          <w:rFonts w:asciiTheme="majorHAnsi" w:hAnsiTheme="majorHAnsi" w:cstheme="majorHAnsi"/>
        </w:rPr>
      </w:pPr>
    </w:p>
    <w:p w14:paraId="030BB67E" w14:textId="77777777" w:rsidR="0042602E" w:rsidRDefault="0042602E" w:rsidP="0042602E">
      <w:pPr>
        <w:spacing w:before="0" w:after="0"/>
        <w:rPr>
          <w:rFonts w:asciiTheme="majorHAnsi" w:hAnsiTheme="majorHAnsi" w:cstheme="majorHAnsi"/>
        </w:rPr>
      </w:pPr>
      <w:r>
        <w:rPr>
          <w:rFonts w:asciiTheme="majorHAnsi" w:hAnsiTheme="majorHAnsi" w:cstheme="majorHAnsi"/>
        </w:rPr>
        <w:t>Así mismo, se tienen las siguientes aclaraciones:</w:t>
      </w:r>
    </w:p>
    <w:p w14:paraId="7364A3BC" w14:textId="77777777" w:rsidR="0042602E" w:rsidRDefault="0042602E" w:rsidP="0042602E">
      <w:pPr>
        <w:spacing w:before="0" w:after="0"/>
        <w:rPr>
          <w:rFonts w:asciiTheme="majorHAnsi" w:hAnsiTheme="majorHAnsi" w:cstheme="majorHAnsi"/>
        </w:rPr>
      </w:pPr>
    </w:p>
    <w:p w14:paraId="76EA6AB1"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Será el valor correspondiente al pago del impuesto nacional a la gasolina y al ACPM, expresado en pesos por galón, establecido los artículos 167, 168 y 173 de la ley 1607 de 2012, modificados por los artículos 218, 219 y 220 de la ley 1819 del 29 de diciembre de 2016, o las normas que lo modifiquen o sustituyan. De este impuesto se excluye el porcentaje de mezcla de alcohol carburante y el porcentaje de mezcla de biocombustible para uso en motores diésel.</w:t>
      </w:r>
    </w:p>
    <w:p w14:paraId="1A0C01C3" w14:textId="77777777" w:rsidR="0042602E" w:rsidRDefault="0042602E" w:rsidP="0042602E">
      <w:pPr>
        <w:spacing w:before="0" w:after="0"/>
        <w:rPr>
          <w:rFonts w:asciiTheme="majorHAnsi" w:hAnsiTheme="majorHAnsi" w:cstheme="majorHAnsi"/>
        </w:rPr>
      </w:pPr>
    </w:p>
    <w:p w14:paraId="59AC5A40"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Es el valor que se obtiene conforme se establece el artículo 467 del Estatuto Tributario, modificado por los artículos 183, de la ley 1819 del 29 de diciembre de 2016 y articulo 74, de la ley 1955 del 25 de mayo de 2019, o las normas que lo modifiquen o sustituyan, considerando que dentro de los bienes gravados con la tarifa del cinco por ciento (5%) prevista en el artículo 468-1 del Estatuto Tributario, se incluyó el ingreso al productor en la venta de Gasolina y ACPM. El valor final se obtiene aplicando dicha tarifa sobre el valor del IP Fósil considerando el nivel de mezcla con biocombustible respectivo, si hay lugar.</w:t>
      </w:r>
    </w:p>
    <w:p w14:paraId="440F1CDF" w14:textId="77777777" w:rsidR="0042602E" w:rsidRDefault="0042602E" w:rsidP="0042602E">
      <w:pPr>
        <w:spacing w:before="0" w:after="0"/>
        <w:rPr>
          <w:rFonts w:asciiTheme="majorHAnsi" w:hAnsiTheme="majorHAnsi" w:cstheme="majorHAnsi"/>
        </w:rPr>
      </w:pPr>
    </w:p>
    <w:p w14:paraId="12D365C4"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 xml:space="preserve">Será el valor correspondiente al pago del impuesto del carbono a la gasolina y al ACPM, expresado en pesos por galón, establecido en los artículos 221 y 222 de la Ley 1819 de 2016 o las normas que lo modifiquen o sustituyan. Como lo señala el parágrafo 2 del artículo 222 de la Ley 1819 de 2016 la tarifa del impuesto al carbono por unidad de combustible de la que trata dicho artículo, en </w:t>
      </w:r>
      <w:r>
        <w:rPr>
          <w:rFonts w:asciiTheme="majorHAnsi" w:hAnsiTheme="majorHAnsi" w:cstheme="majorHAnsi"/>
        </w:rPr>
        <w:lastRenderedPageBreak/>
        <w:t xml:space="preserve">Amazonas, Caquetá, Guainía, Guaviare, Putumayo, Vaupés, Vichada y los municipios de </w:t>
      </w:r>
      <w:proofErr w:type="spellStart"/>
      <w:r>
        <w:rPr>
          <w:rFonts w:asciiTheme="majorHAnsi" w:hAnsiTheme="majorHAnsi" w:cstheme="majorHAnsi"/>
        </w:rPr>
        <w:t>Sipí</w:t>
      </w:r>
      <w:proofErr w:type="spellEnd"/>
      <w:r>
        <w:rPr>
          <w:rFonts w:asciiTheme="majorHAnsi" w:hAnsiTheme="majorHAnsi" w:cstheme="majorHAnsi"/>
        </w:rPr>
        <w:t xml:space="preserve">, Río Sucio, Alto Baudó, Bajo Baudó, Acandí, </w:t>
      </w:r>
      <w:proofErr w:type="spellStart"/>
      <w:r>
        <w:rPr>
          <w:rFonts w:asciiTheme="majorHAnsi" w:hAnsiTheme="majorHAnsi" w:cstheme="majorHAnsi"/>
        </w:rPr>
        <w:t>Unguía</w:t>
      </w:r>
      <w:proofErr w:type="spellEnd"/>
      <w:r>
        <w:rPr>
          <w:rFonts w:asciiTheme="majorHAnsi" w:hAnsiTheme="majorHAnsi" w:cstheme="majorHAnsi"/>
        </w:rPr>
        <w:t xml:space="preserve">, Litoral de San Juan, Bojayá, Medio Atrato, </w:t>
      </w:r>
      <w:proofErr w:type="spellStart"/>
      <w:r>
        <w:rPr>
          <w:rFonts w:asciiTheme="majorHAnsi" w:hAnsiTheme="majorHAnsi" w:cstheme="majorHAnsi"/>
        </w:rPr>
        <w:t>Iró</w:t>
      </w:r>
      <w:proofErr w:type="spellEnd"/>
      <w:r>
        <w:rPr>
          <w:rFonts w:asciiTheme="majorHAnsi" w:hAnsiTheme="majorHAnsi" w:cstheme="majorHAnsi"/>
        </w:rPr>
        <w:t xml:space="preserve">, Bahía Solano, </w:t>
      </w:r>
      <w:proofErr w:type="spellStart"/>
      <w:r>
        <w:rPr>
          <w:rFonts w:asciiTheme="majorHAnsi" w:hAnsiTheme="majorHAnsi" w:cstheme="majorHAnsi"/>
        </w:rPr>
        <w:t>Juradó</w:t>
      </w:r>
      <w:proofErr w:type="spellEnd"/>
      <w:r>
        <w:rPr>
          <w:rFonts w:asciiTheme="majorHAnsi" w:hAnsiTheme="majorHAnsi" w:cstheme="majorHAnsi"/>
        </w:rPr>
        <w:t xml:space="preserve"> y Carmen del Darién del departamento del Chocó, para los combustibles enlistados en el inciso 1 este artículo referido será de cero pesos ($0).</w:t>
      </w:r>
    </w:p>
    <w:p w14:paraId="52F3C002" w14:textId="77777777" w:rsidR="0042602E" w:rsidRDefault="0042602E" w:rsidP="0042602E">
      <w:pPr>
        <w:spacing w:before="0" w:after="0"/>
        <w:rPr>
          <w:rFonts w:asciiTheme="majorHAnsi" w:hAnsiTheme="majorHAnsi" w:cstheme="majorHAnsi"/>
        </w:rPr>
      </w:pPr>
    </w:p>
    <w:p w14:paraId="6C19E238"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Se calculará en cada sitio de entrega como el 90%, 91%, 92%, 94%, 96%, 98% o 100%, según corresponda, del costo máximo de transporte de biocombustibles en la resolución 18 0088 del 30 de enero de 2003, modificada por las resoluciones 18 1701, 18 0230, 18 1300 y 18 0989, del 22 de diciembre de 2003, 27 de febrero de 2006, 23 de agosto de 2007 y 17 de junio de 2011, respectivamente y en particular por la 41276 del 30 de diciembre de 2016.</w:t>
      </w:r>
    </w:p>
    <w:p w14:paraId="380861D9" w14:textId="77777777" w:rsidR="0042602E" w:rsidRDefault="0042602E" w:rsidP="0042602E">
      <w:pPr>
        <w:spacing w:before="0" w:after="0"/>
        <w:rPr>
          <w:rFonts w:asciiTheme="majorHAnsi" w:hAnsiTheme="majorHAnsi" w:cstheme="majorHAnsi"/>
        </w:rPr>
      </w:pPr>
    </w:p>
    <w:p w14:paraId="349EA410"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Se calculará como el 2%, 6%, 8%, 9% o 10%, según corresponda la proporción de la mezcla de biocombustible, al computar por el valor máximo a ser reconocido en la estructura de precio de venta de los combustibles por concepto de transporte terrestre entre las plantas destiladoras y/o productoras de dichos productos o puntos de importación, y las plantas de abastecimiento mayorista en las cuales se realizará la mezcla, en los términos definidos por la Resolución 40079 del 1 de febrero de 2018, para el caso del alcohol carburante, o según lo definido por la Resolución 41277 del 30 de diciembre de 2016, para el caso del biocombustible para uso en motores diésel.</w:t>
      </w:r>
    </w:p>
    <w:p w14:paraId="4508D8AC" w14:textId="77777777" w:rsidR="0042602E" w:rsidRDefault="0042602E" w:rsidP="0042602E">
      <w:pPr>
        <w:spacing w:before="0" w:after="0"/>
        <w:rPr>
          <w:rFonts w:asciiTheme="majorHAnsi" w:hAnsiTheme="majorHAnsi" w:cstheme="majorHAnsi"/>
        </w:rPr>
      </w:pPr>
    </w:p>
    <w:p w14:paraId="7F6D16AC"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 xml:space="preserve">Se calculará en cada sitio de entrega habilitado dependiendo de la tarifa por poliductos que le corresponda, y las tarifas de transporte del biocombustible si aplica. En particular, debe considerarse lo establecido por los artículos 4, 8, 12 o </w:t>
      </w:r>
      <w:r>
        <w:rPr>
          <w:rFonts w:asciiTheme="majorHAnsi" w:hAnsiTheme="majorHAnsi" w:cstheme="majorHAnsi"/>
        </w:rPr>
        <w:lastRenderedPageBreak/>
        <w:t>16 de la resolución 40112 del 12 de abril del 2021, según corresponda al tipo de producto.</w:t>
      </w:r>
    </w:p>
    <w:p w14:paraId="170BBCAC" w14:textId="77777777" w:rsidR="0042602E" w:rsidRDefault="0042602E" w:rsidP="0042602E">
      <w:pPr>
        <w:spacing w:before="0" w:after="0"/>
        <w:rPr>
          <w:rFonts w:asciiTheme="majorHAnsi" w:hAnsiTheme="majorHAnsi" w:cstheme="majorHAnsi"/>
        </w:rPr>
      </w:pPr>
    </w:p>
    <w:p w14:paraId="3851D373"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Se calculará y ajustará a lo señalado en la resolución 41278 del 30 de diciembre de 2016, o las disposiciones que lo modifiquen o sustituyan.</w:t>
      </w:r>
    </w:p>
    <w:p w14:paraId="3629A8C3" w14:textId="77777777" w:rsidR="0042602E" w:rsidRDefault="0042602E" w:rsidP="0042602E">
      <w:pPr>
        <w:spacing w:before="0" w:after="0"/>
        <w:rPr>
          <w:rFonts w:asciiTheme="majorHAnsi" w:hAnsiTheme="majorHAnsi" w:cstheme="majorHAnsi"/>
        </w:rPr>
      </w:pPr>
    </w:p>
    <w:p w14:paraId="773C0D57"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Es el valor establecido según lo definido por el artículo 467 del Estatuto Tributario, modificado por el artículo 183 de la ley 1819 del 29 de diciembre de 2016 o las demás normas que lo modifiquen o sustituyan, considerando la tarifa general del impuesto sobre las ventas que corresponde al 19%. El valor final se obtiene aplicando dicha tarifa sobre el valor del Margen de Distribución del Mayorista correspondiente.</w:t>
      </w:r>
    </w:p>
    <w:p w14:paraId="55D8ADE7" w14:textId="77777777" w:rsidR="0042602E" w:rsidRDefault="0042602E" w:rsidP="0042602E">
      <w:pPr>
        <w:spacing w:before="0" w:after="0"/>
        <w:rPr>
          <w:rFonts w:asciiTheme="majorHAnsi" w:hAnsiTheme="majorHAnsi" w:cstheme="majorHAnsi"/>
        </w:rPr>
      </w:pPr>
    </w:p>
    <w:p w14:paraId="749454F3"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Se calculará en cada sitio de entrega habilitado dependiendo del margen de distribuidor mayorista a considerar. En particular, debe considerarse lo establecido por los artículos 5, 9, 13 o 17 de la resolución 40112 del 12 de abril del 2021, según corresponda al tipo de producto.</w:t>
      </w:r>
    </w:p>
    <w:p w14:paraId="798BECE7" w14:textId="77777777" w:rsidR="0042602E" w:rsidRDefault="0042602E" w:rsidP="0042602E">
      <w:pPr>
        <w:spacing w:before="0" w:after="0"/>
        <w:rPr>
          <w:rFonts w:asciiTheme="majorHAnsi" w:hAnsiTheme="majorHAnsi" w:cstheme="majorHAnsi"/>
        </w:rPr>
      </w:pPr>
    </w:p>
    <w:p w14:paraId="080C593A"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Es el valor establecido por la Resolución 40222 del 22 de febrero de 2015, y las demás que la modifiquen o sustituyan. Debe considerarse, además, lo respectivo en cuanto al régimen de libertad vigilada o régimen de libertad regulada aplicable según lo establecido por la resolución 181254 del 30 de julio de 2012, o las demás que la modifiquen o sustituyan</w:t>
      </w:r>
    </w:p>
    <w:p w14:paraId="5CC7AA8F" w14:textId="77777777" w:rsidR="0042602E" w:rsidRDefault="0042602E" w:rsidP="0042602E">
      <w:pPr>
        <w:spacing w:before="0" w:after="0"/>
        <w:rPr>
          <w:rFonts w:asciiTheme="majorHAnsi" w:hAnsiTheme="majorHAnsi" w:cstheme="majorHAnsi"/>
        </w:rPr>
      </w:pPr>
    </w:p>
    <w:p w14:paraId="72E71B65"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lastRenderedPageBreak/>
        <w:t>Se calculará de acuerdo con lo señalado en el artículo 3 del Decreto 3322 del 25 de septiembre de 2006 y en el artículo 6 de la Resolución 18 1088 del 23 de agosto de 2005.</w:t>
      </w:r>
    </w:p>
    <w:p w14:paraId="2712DDAA" w14:textId="77777777" w:rsidR="0042602E" w:rsidRDefault="0042602E" w:rsidP="0042602E">
      <w:pPr>
        <w:spacing w:before="0" w:after="0"/>
        <w:rPr>
          <w:rFonts w:asciiTheme="majorHAnsi" w:hAnsiTheme="majorHAnsi" w:cstheme="majorHAnsi"/>
        </w:rPr>
      </w:pPr>
    </w:p>
    <w:p w14:paraId="19CE92DC"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Se calcularán y ajustarán a lo señalado en la resolución 90664 de 2014, y en la resolución modificatoria 41280 del 30 de diciembre de 2016.</w:t>
      </w:r>
    </w:p>
    <w:p w14:paraId="24E4BC11" w14:textId="77777777" w:rsidR="0042602E" w:rsidRDefault="0042602E" w:rsidP="0042602E">
      <w:pPr>
        <w:spacing w:before="0" w:after="0"/>
        <w:rPr>
          <w:rFonts w:asciiTheme="majorHAnsi" w:hAnsiTheme="majorHAnsi" w:cstheme="majorHAnsi"/>
        </w:rPr>
      </w:pPr>
    </w:p>
    <w:p w14:paraId="760FB037" w14:textId="77777777" w:rsidR="0042602E" w:rsidRDefault="0042602E" w:rsidP="0042602E">
      <w:pPr>
        <w:pStyle w:val="Prrafodelista"/>
        <w:numPr>
          <w:ilvl w:val="0"/>
          <w:numId w:val="1"/>
        </w:numPr>
        <w:spacing w:before="0" w:after="0"/>
        <w:ind w:left="720"/>
        <w:rPr>
          <w:rFonts w:asciiTheme="majorHAnsi" w:hAnsiTheme="majorHAnsi" w:cstheme="majorHAnsi"/>
        </w:rPr>
      </w:pPr>
      <w:r>
        <w:rPr>
          <w:rFonts w:asciiTheme="majorHAnsi" w:hAnsiTheme="majorHAnsi" w:cstheme="majorHAnsi"/>
        </w:rPr>
        <w:t>Se calculará en cada sitio de entrega habilitado dependiendo del margen de distribuidor minorista, los costos de transporte desde el sitio de abastecimiento a la estación de servicio y demás. En particular, debe considerarse lo establecido por los artículos 6, 10, 14 o 18 de la resolución 40112 del 12 de abril del 2021, según corresponda al tipo de producto.</w:t>
      </w:r>
    </w:p>
    <w:p w14:paraId="52E8183A" w14:textId="77777777" w:rsidR="0042602E" w:rsidRDefault="0042602E" w:rsidP="0042602E">
      <w:pPr>
        <w:spacing w:before="0" w:after="0"/>
        <w:rPr>
          <w:rFonts w:asciiTheme="majorHAnsi" w:hAnsiTheme="majorHAnsi" w:cstheme="majorHAnsi"/>
        </w:rPr>
      </w:pPr>
    </w:p>
    <w:p w14:paraId="2CF658CA" w14:textId="742643AA" w:rsidR="0042602E" w:rsidRDefault="00D03913" w:rsidP="0042602E">
      <w:pPr>
        <w:spacing w:before="0" w:after="0"/>
        <w:rPr>
          <w:rFonts w:asciiTheme="majorHAnsi" w:hAnsiTheme="majorHAnsi" w:cstheme="majorHAnsi"/>
        </w:rPr>
      </w:pPr>
      <w:r>
        <w:rPr>
          <w:rFonts w:asciiTheme="majorHAnsi" w:hAnsiTheme="majorHAnsi" w:cstheme="majorHAnsi"/>
        </w:rPr>
        <w:t>Finalmente, se destaca que d</w:t>
      </w:r>
      <w:r w:rsidR="0026395E" w:rsidRPr="005D0D1B">
        <w:rPr>
          <w:rFonts w:asciiTheme="majorHAnsi" w:hAnsiTheme="majorHAnsi" w:cstheme="majorHAnsi"/>
        </w:rPr>
        <w:t xml:space="preserve">ebido a la contingencia </w:t>
      </w:r>
      <w:r w:rsidR="0026395E">
        <w:rPr>
          <w:rFonts w:asciiTheme="majorHAnsi" w:hAnsiTheme="majorHAnsi" w:cstheme="majorHAnsi"/>
        </w:rPr>
        <w:t xml:space="preserve">presentada </w:t>
      </w:r>
      <w:r w:rsidR="0026395E" w:rsidRPr="005D0D1B">
        <w:rPr>
          <w:rFonts w:asciiTheme="majorHAnsi" w:hAnsiTheme="majorHAnsi" w:cstheme="majorHAnsi"/>
        </w:rPr>
        <w:t>en el sur del país para el abastecimiento</w:t>
      </w:r>
      <w:r w:rsidR="0026395E">
        <w:rPr>
          <w:rFonts w:asciiTheme="majorHAnsi" w:hAnsiTheme="majorHAnsi" w:cstheme="majorHAnsi"/>
        </w:rPr>
        <w:t xml:space="preserve"> de combustibles líquidos</w:t>
      </w:r>
      <w:r w:rsidR="0026395E" w:rsidRPr="005D0D1B">
        <w:rPr>
          <w:rFonts w:asciiTheme="majorHAnsi" w:hAnsiTheme="majorHAnsi" w:cstheme="majorHAnsi"/>
        </w:rPr>
        <w:t xml:space="preserve">, los precios máximos de referencia fijados por el Gobierno Nacional y el Ministerio de Minas y Energía para la ciudad de Pasto son de ocho mil novecientos dieciséis pesos ($8.916) </w:t>
      </w:r>
      <w:r w:rsidR="00EC6D63" w:rsidRPr="00994228">
        <w:rPr>
          <w:rFonts w:asciiTheme="majorHAnsi" w:hAnsiTheme="majorHAnsi" w:cstheme="majorHAnsi"/>
        </w:rPr>
        <w:t xml:space="preserve">M/Cte. </w:t>
      </w:r>
      <w:r w:rsidR="0026395E" w:rsidRPr="005D0D1B">
        <w:rPr>
          <w:rFonts w:asciiTheme="majorHAnsi" w:hAnsiTheme="majorHAnsi" w:cstheme="majorHAnsi"/>
        </w:rPr>
        <w:t>por galón para la gasolina motor corriente y de ocho mil tre</w:t>
      </w:r>
      <w:r w:rsidR="00EF3DAB">
        <w:rPr>
          <w:rFonts w:asciiTheme="majorHAnsi" w:hAnsiTheme="majorHAnsi" w:cstheme="majorHAnsi"/>
        </w:rPr>
        <w:t>s</w:t>
      </w:r>
      <w:r w:rsidR="0026395E" w:rsidRPr="005D0D1B">
        <w:rPr>
          <w:rFonts w:asciiTheme="majorHAnsi" w:hAnsiTheme="majorHAnsi" w:cstheme="majorHAnsi"/>
        </w:rPr>
        <w:t xml:space="preserve">cientos noventa y seis pesos ($8.396) </w:t>
      </w:r>
      <w:r w:rsidR="00EC6D63" w:rsidRPr="00994228">
        <w:rPr>
          <w:rFonts w:asciiTheme="majorHAnsi" w:hAnsiTheme="majorHAnsi" w:cstheme="majorHAnsi"/>
        </w:rPr>
        <w:t xml:space="preserve">M/Cte. </w:t>
      </w:r>
      <w:r w:rsidR="0026395E" w:rsidRPr="005D0D1B">
        <w:rPr>
          <w:rFonts w:asciiTheme="majorHAnsi" w:hAnsiTheme="majorHAnsi" w:cstheme="majorHAnsi"/>
        </w:rPr>
        <w:t>por galón para el ACPM-Diésel</w:t>
      </w:r>
      <w:r w:rsidR="002B6BE4">
        <w:rPr>
          <w:rFonts w:asciiTheme="majorHAnsi" w:hAnsiTheme="majorHAnsi" w:cstheme="majorHAnsi"/>
        </w:rPr>
        <w:t>, de acuerdo con lo establecido en la Resolución MME 40164 de 2023.</w:t>
      </w:r>
    </w:p>
    <w:p w14:paraId="773F4779" w14:textId="77777777" w:rsidR="004F3A58" w:rsidRDefault="004F3A58" w:rsidP="004F3A58">
      <w:pPr>
        <w:spacing w:before="0" w:after="0"/>
        <w:rPr>
          <w:rFonts w:asciiTheme="majorHAnsi" w:hAnsiTheme="majorHAnsi" w:cstheme="majorHAnsi"/>
        </w:rPr>
      </w:pPr>
    </w:p>
    <w:p w14:paraId="2F0CDECE" w14:textId="77777777" w:rsidR="006B267E" w:rsidRPr="006B267E" w:rsidRDefault="006B267E" w:rsidP="006B267E">
      <w:pPr>
        <w:spacing w:before="0" w:after="0"/>
        <w:rPr>
          <w:rFonts w:asciiTheme="majorHAnsi" w:hAnsiTheme="majorHAnsi" w:cstheme="majorHAnsi"/>
        </w:rPr>
      </w:pPr>
      <w:r w:rsidRPr="006B267E">
        <w:rPr>
          <w:rFonts w:asciiTheme="majorHAnsi" w:hAnsiTheme="majorHAnsi" w:cstheme="majorHAnsi"/>
        </w:rPr>
        <w:t>FIN DEL ANEXO</w:t>
      </w:r>
    </w:p>
    <w:p w14:paraId="370F039F" w14:textId="5F185BA3" w:rsidR="00EC5847" w:rsidRPr="00DA6DB5" w:rsidRDefault="00EC5847" w:rsidP="006B267E">
      <w:pPr>
        <w:spacing w:before="0" w:after="0"/>
        <w:rPr>
          <w:rFonts w:asciiTheme="majorHAnsi" w:hAnsiTheme="majorHAnsi" w:cstheme="majorHAnsi"/>
        </w:rPr>
      </w:pPr>
    </w:p>
    <w:sectPr w:rsidR="00EC5847" w:rsidRPr="00DA6DB5" w:rsidSect="00933A3A">
      <w:headerReference w:type="default" r:id="rId12"/>
      <w:footerReference w:type="default" r:id="rId13"/>
      <w:headerReference w:type="first" r:id="rId14"/>
      <w:footerReference w:type="first" r:id="rId15"/>
      <w:pgSz w:w="12240" w:h="15840"/>
      <w:pgMar w:top="1979" w:right="1418" w:bottom="2269" w:left="1418" w:header="156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CE9EE6" w14:textId="77777777" w:rsidR="006568A4" w:rsidRDefault="006568A4" w:rsidP="00AA0519">
      <w:r>
        <w:separator/>
      </w:r>
    </w:p>
  </w:endnote>
  <w:endnote w:type="continuationSeparator" w:id="0">
    <w:p w14:paraId="71601645" w14:textId="77777777" w:rsidR="006568A4" w:rsidRDefault="006568A4" w:rsidP="00AA0519">
      <w:r>
        <w:continuationSeparator/>
      </w:r>
    </w:p>
  </w:endnote>
  <w:endnote w:type="continuationNotice" w:id="1">
    <w:p w14:paraId="49057FFC" w14:textId="77777777" w:rsidR="006568A4" w:rsidRDefault="006568A4">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B656D" w14:textId="3481B366" w:rsidR="00735E1F" w:rsidRDefault="003B1FEC" w:rsidP="00735E1F">
    <w:pPr>
      <w:jc w:val="center"/>
    </w:pPr>
    <w:r>
      <w:rPr>
        <w:noProof/>
      </w:rPr>
      <w:drawing>
        <wp:anchor distT="0" distB="0" distL="114300" distR="114300" simplePos="0" relativeHeight="251658241" behindDoc="1" locked="0" layoutInCell="1" allowOverlap="1" wp14:anchorId="6ECC2AB7" wp14:editId="1949C643">
          <wp:simplePos x="0" y="0"/>
          <wp:positionH relativeFrom="margin">
            <wp:posOffset>-905789</wp:posOffset>
          </wp:positionH>
          <wp:positionV relativeFrom="paragraph">
            <wp:posOffset>-401320</wp:posOffset>
          </wp:positionV>
          <wp:extent cx="7750098" cy="1248555"/>
          <wp:effectExtent l="0" t="0" r="3810" b="8890"/>
          <wp:wrapNone/>
          <wp:docPr id="11" name="Imagen 11" descr="Form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Forma&#10;&#10;Descripción generada automáticamente con confianza baja"/>
                  <pic:cNvPicPr/>
                </pic:nvPicPr>
                <pic:blipFill>
                  <a:blip r:embed="rId1">
                    <a:extLst>
                      <a:ext uri="{28A0092B-C50C-407E-A947-70E740481C1C}">
                        <a14:useLocalDpi xmlns:a14="http://schemas.microsoft.com/office/drawing/2010/main" val="0"/>
                      </a:ext>
                    </a:extLst>
                  </a:blip>
                  <a:stretch>
                    <a:fillRect/>
                  </a:stretch>
                </pic:blipFill>
                <pic:spPr>
                  <a:xfrm>
                    <a:off x="0" y="0"/>
                    <a:ext cx="7750098" cy="1248555"/>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A889B" w14:textId="1ED06985" w:rsidR="003F2F4B" w:rsidRDefault="003B1FEC" w:rsidP="003F2F4B">
    <w:pPr>
      <w:jc w:val="center"/>
    </w:pPr>
    <w:r>
      <w:rPr>
        <w:noProof/>
      </w:rPr>
      <w:drawing>
        <wp:anchor distT="0" distB="0" distL="114300" distR="114300" simplePos="0" relativeHeight="251658240" behindDoc="1" locked="0" layoutInCell="1" allowOverlap="1" wp14:anchorId="7CCCAF8A" wp14:editId="5E0A0A50">
          <wp:simplePos x="0" y="0"/>
          <wp:positionH relativeFrom="page">
            <wp:align>right</wp:align>
          </wp:positionH>
          <wp:positionV relativeFrom="paragraph">
            <wp:posOffset>-401247</wp:posOffset>
          </wp:positionV>
          <wp:extent cx="7750098" cy="1248555"/>
          <wp:effectExtent l="0" t="0" r="3810" b="8890"/>
          <wp:wrapNone/>
          <wp:docPr id="14" name="Imagen 14" descr="Form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Forma&#10;&#10;Descripción generada automáticamente con confianza baja"/>
                  <pic:cNvPicPr/>
                </pic:nvPicPr>
                <pic:blipFill>
                  <a:blip r:embed="rId1">
                    <a:extLst>
                      <a:ext uri="{28A0092B-C50C-407E-A947-70E740481C1C}">
                        <a14:useLocalDpi xmlns:a14="http://schemas.microsoft.com/office/drawing/2010/main" val="0"/>
                      </a:ext>
                    </a:extLst>
                  </a:blip>
                  <a:stretch>
                    <a:fillRect/>
                  </a:stretch>
                </pic:blipFill>
                <pic:spPr>
                  <a:xfrm>
                    <a:off x="0" y="0"/>
                    <a:ext cx="7750098" cy="124855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897DA2" w14:textId="77777777" w:rsidR="006568A4" w:rsidRDefault="006568A4" w:rsidP="00AA0519">
      <w:r>
        <w:separator/>
      </w:r>
    </w:p>
  </w:footnote>
  <w:footnote w:type="continuationSeparator" w:id="0">
    <w:p w14:paraId="0F3EE3E7" w14:textId="77777777" w:rsidR="006568A4" w:rsidRDefault="006568A4" w:rsidP="00AA0519">
      <w:r>
        <w:continuationSeparator/>
      </w:r>
    </w:p>
  </w:footnote>
  <w:footnote w:type="continuationNotice" w:id="1">
    <w:p w14:paraId="4623E706" w14:textId="77777777" w:rsidR="006568A4" w:rsidRDefault="006568A4">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E16EF" w14:textId="45FD0B8C" w:rsidR="00933A3A" w:rsidRDefault="00933A3A" w:rsidP="00933A3A">
    <w:pPr>
      <w:pStyle w:val="Encabezado"/>
      <w:spacing w:before="0" w:after="0" w:line="240" w:lineRule="auto"/>
      <w:rPr>
        <w:sz w:val="20"/>
        <w:szCs w:val="20"/>
        <w:u w:val="single"/>
      </w:rPr>
    </w:pPr>
    <w:r w:rsidRPr="00933A3A">
      <w:rPr>
        <w:noProof/>
        <w:sz w:val="20"/>
        <w:szCs w:val="20"/>
        <w:u w:val="single"/>
      </w:rPr>
      <w:drawing>
        <wp:anchor distT="0" distB="0" distL="114300" distR="114300" simplePos="0" relativeHeight="251658244" behindDoc="1" locked="0" layoutInCell="1" allowOverlap="1" wp14:anchorId="26D757D5" wp14:editId="251160BA">
          <wp:simplePos x="0" y="0"/>
          <wp:positionH relativeFrom="column">
            <wp:posOffset>-245745</wp:posOffset>
          </wp:positionH>
          <wp:positionV relativeFrom="paragraph">
            <wp:posOffset>-542290</wp:posOffset>
          </wp:positionV>
          <wp:extent cx="1104900" cy="618490"/>
          <wp:effectExtent l="0" t="0" r="0" b="0"/>
          <wp:wrapNone/>
          <wp:docPr id="10" name="Imagen 10" descr="Logo de la Comisión de Regulación de Energía y Gas, CR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Logo de la Comisión de Regulación de Energía y Gas, CR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4900" cy="618490"/>
                  </a:xfrm>
                  <a:prstGeom prst="rect">
                    <a:avLst/>
                  </a:prstGeom>
                  <a:noFill/>
                </pic:spPr>
              </pic:pic>
            </a:graphicData>
          </a:graphic>
          <wp14:sizeRelH relativeFrom="page">
            <wp14:pctWidth>0</wp14:pctWidth>
          </wp14:sizeRelH>
          <wp14:sizeRelV relativeFrom="page">
            <wp14:pctHeight>0</wp14:pctHeight>
          </wp14:sizeRelV>
        </wp:anchor>
      </w:drawing>
    </w:r>
  </w:p>
  <w:p w14:paraId="064FABAE" w14:textId="43DB0FE1" w:rsidR="00A77E4A" w:rsidRPr="00933A3A" w:rsidRDefault="00880FBF" w:rsidP="00933A3A">
    <w:pPr>
      <w:pStyle w:val="Encabezado"/>
      <w:spacing w:before="0" w:after="0" w:line="240" w:lineRule="auto"/>
      <w:rPr>
        <w:sz w:val="20"/>
        <w:szCs w:val="20"/>
        <w:u w:val="single"/>
      </w:rPr>
    </w:pPr>
    <w:r w:rsidRPr="00933A3A">
      <w:rPr>
        <w:sz w:val="20"/>
        <w:szCs w:val="20"/>
        <w:u w:val="single"/>
      </w:rPr>
      <w:t>Circular</w:t>
    </w:r>
    <w:r w:rsidR="00B738A1" w:rsidRPr="00933A3A">
      <w:rPr>
        <w:sz w:val="20"/>
        <w:szCs w:val="20"/>
        <w:u w:val="single"/>
      </w:rPr>
      <w:t xml:space="preserve"> </w:t>
    </w:r>
    <w:r w:rsidR="00933A3A" w:rsidRPr="00933A3A">
      <w:rPr>
        <w:sz w:val="20"/>
        <w:szCs w:val="20"/>
        <w:u w:val="single"/>
      </w:rPr>
      <w:t>007</w:t>
    </w:r>
  </w:p>
  <w:p w14:paraId="4EECF732" w14:textId="70A7C2B2" w:rsidR="00A77E4A" w:rsidRPr="00933A3A" w:rsidRDefault="00933A3A" w:rsidP="00933A3A">
    <w:pPr>
      <w:pStyle w:val="Encabezado"/>
      <w:spacing w:before="0" w:after="0" w:line="240" w:lineRule="auto"/>
      <w:rPr>
        <w:sz w:val="20"/>
        <w:szCs w:val="20"/>
        <w:u w:val="single"/>
      </w:rPr>
    </w:pPr>
    <w:r w:rsidRPr="00933A3A">
      <w:rPr>
        <w:sz w:val="20"/>
        <w:szCs w:val="20"/>
        <w:u w:val="single"/>
      </w:rPr>
      <w:t>31</w:t>
    </w:r>
    <w:r w:rsidR="006D77ED">
      <w:rPr>
        <w:sz w:val="20"/>
        <w:szCs w:val="20"/>
        <w:u w:val="single"/>
      </w:rPr>
      <w:t xml:space="preserve"> de enero</w:t>
    </w:r>
    <w:r w:rsidR="00880FBF" w:rsidRPr="00933A3A">
      <w:rPr>
        <w:sz w:val="20"/>
        <w:szCs w:val="20"/>
        <w:u w:val="single"/>
      </w:rPr>
      <w:t xml:space="preserve"> de 20</w:t>
    </w:r>
    <w:r w:rsidR="00A77E4A" w:rsidRPr="00933A3A">
      <w:rPr>
        <w:sz w:val="20"/>
        <w:szCs w:val="20"/>
        <w:u w:val="single"/>
      </w:rPr>
      <w:t>23</w:t>
    </w:r>
    <w:r w:rsidR="00252C12" w:rsidRPr="00933A3A">
      <w:rPr>
        <w:sz w:val="20"/>
        <w:szCs w:val="20"/>
        <w:u w:val="single"/>
      </w:rPr>
      <w:t xml:space="preserve">                                </w:t>
    </w:r>
  </w:p>
  <w:p w14:paraId="4B188324" w14:textId="4A6D5B98" w:rsidR="003F2F4B" w:rsidRDefault="003F2F4B" w:rsidP="00933A3A">
    <w:pPr>
      <w:pStyle w:val="Destinario"/>
      <w:spacing w:before="0" w:after="0"/>
      <w:rPr>
        <w:sz w:val="20"/>
        <w:szCs w:val="20"/>
        <w:u w:val="single"/>
        <w:lang w:val="es-ES"/>
      </w:rPr>
    </w:pPr>
    <w:r w:rsidRPr="00933A3A">
      <w:rPr>
        <w:sz w:val="20"/>
        <w:szCs w:val="20"/>
        <w:u w:val="single"/>
        <w:lang w:val="es-ES"/>
      </w:rPr>
      <w:fldChar w:fldCharType="begin"/>
    </w:r>
    <w:r w:rsidRPr="00933A3A">
      <w:rPr>
        <w:sz w:val="20"/>
        <w:szCs w:val="20"/>
        <w:u w:val="single"/>
        <w:lang w:val="es-ES"/>
      </w:rPr>
      <w:instrText xml:space="preserve"> PAGE </w:instrText>
    </w:r>
    <w:r w:rsidRPr="00933A3A">
      <w:rPr>
        <w:sz w:val="20"/>
        <w:szCs w:val="20"/>
        <w:u w:val="single"/>
        <w:lang w:val="es-ES"/>
      </w:rPr>
      <w:fldChar w:fldCharType="separate"/>
    </w:r>
    <w:r w:rsidR="00930F73" w:rsidRPr="00933A3A">
      <w:rPr>
        <w:noProof/>
        <w:sz w:val="20"/>
        <w:szCs w:val="20"/>
        <w:u w:val="single"/>
        <w:lang w:val="es-ES"/>
      </w:rPr>
      <w:t>2</w:t>
    </w:r>
    <w:r w:rsidRPr="00933A3A">
      <w:rPr>
        <w:sz w:val="20"/>
        <w:szCs w:val="20"/>
        <w:u w:val="single"/>
        <w:lang w:val="es-ES"/>
      </w:rPr>
      <w:fldChar w:fldCharType="end"/>
    </w:r>
    <w:r w:rsidRPr="00933A3A">
      <w:rPr>
        <w:sz w:val="20"/>
        <w:szCs w:val="20"/>
        <w:u w:val="single"/>
        <w:lang w:val="es-ES"/>
      </w:rPr>
      <w:t xml:space="preserve"> / </w:t>
    </w:r>
    <w:r w:rsidRPr="00933A3A">
      <w:rPr>
        <w:sz w:val="20"/>
        <w:szCs w:val="20"/>
        <w:u w:val="single"/>
        <w:lang w:val="es-ES"/>
      </w:rPr>
      <w:fldChar w:fldCharType="begin"/>
    </w:r>
    <w:r w:rsidRPr="00933A3A">
      <w:rPr>
        <w:sz w:val="20"/>
        <w:szCs w:val="20"/>
        <w:u w:val="single"/>
        <w:lang w:val="es-ES"/>
      </w:rPr>
      <w:instrText xml:space="preserve"> NUMPAGES  </w:instrText>
    </w:r>
    <w:r w:rsidRPr="00933A3A">
      <w:rPr>
        <w:sz w:val="20"/>
        <w:szCs w:val="20"/>
        <w:u w:val="single"/>
        <w:lang w:val="es-ES"/>
      </w:rPr>
      <w:fldChar w:fldCharType="separate"/>
    </w:r>
    <w:r w:rsidR="00930F73" w:rsidRPr="00933A3A">
      <w:rPr>
        <w:noProof/>
        <w:sz w:val="20"/>
        <w:szCs w:val="20"/>
        <w:u w:val="single"/>
        <w:lang w:val="es-ES"/>
      </w:rPr>
      <w:t>2</w:t>
    </w:r>
    <w:r w:rsidRPr="00933A3A">
      <w:rPr>
        <w:sz w:val="20"/>
        <w:szCs w:val="20"/>
        <w:u w:val="single"/>
        <w:lang w:val="es-ES"/>
      </w:rPr>
      <w:fldChar w:fldCharType="end"/>
    </w:r>
  </w:p>
  <w:p w14:paraId="605FA51E" w14:textId="77777777" w:rsidR="00933A3A" w:rsidRPr="00933A3A" w:rsidRDefault="00933A3A" w:rsidP="00933A3A">
    <w:pPr>
      <w:pStyle w:val="Destinario"/>
      <w:spacing w:before="0" w:after="0"/>
      <w:rPr>
        <w:sz w:val="20"/>
        <w:szCs w:val="20"/>
        <w:u w:val="single"/>
        <w:lang w:val="es-E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C63DE" w14:textId="7C70C000" w:rsidR="00F82573" w:rsidRDefault="00BA0BE0" w:rsidP="005B5736">
    <w:pPr>
      <w:pStyle w:val="Encabezado"/>
      <w:tabs>
        <w:tab w:val="clear" w:pos="4419"/>
        <w:tab w:val="left" w:pos="7274"/>
      </w:tabs>
      <w:ind w:right="-1369"/>
    </w:pPr>
    <w:r>
      <w:rPr>
        <w:noProof/>
      </w:rPr>
      <w:drawing>
        <wp:anchor distT="0" distB="0" distL="114300" distR="114300" simplePos="0" relativeHeight="251658242" behindDoc="1" locked="0" layoutInCell="1" allowOverlap="1" wp14:anchorId="7ADF0160" wp14:editId="74BFF297">
          <wp:simplePos x="0" y="0"/>
          <wp:positionH relativeFrom="column">
            <wp:posOffset>-470535</wp:posOffset>
          </wp:positionH>
          <wp:positionV relativeFrom="paragraph">
            <wp:posOffset>-582295</wp:posOffset>
          </wp:positionV>
          <wp:extent cx="1104900" cy="618490"/>
          <wp:effectExtent l="0" t="0" r="0" b="0"/>
          <wp:wrapNone/>
          <wp:docPr id="12" name="Imagen 12" descr="Logo de la Comisión de Regulación de Energía y Gas, CR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Logo de la Comisión de Regulación de Energía y Gas, CR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4900" cy="61849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3" behindDoc="1" locked="0" layoutInCell="1" allowOverlap="1" wp14:anchorId="5EF7231E" wp14:editId="5FD11FDB">
          <wp:simplePos x="0" y="0"/>
          <wp:positionH relativeFrom="column">
            <wp:posOffset>3260211</wp:posOffset>
          </wp:positionH>
          <wp:positionV relativeFrom="paragraph">
            <wp:posOffset>-522355</wp:posOffset>
          </wp:positionV>
          <wp:extent cx="3346234" cy="527857"/>
          <wp:effectExtent l="0" t="0" r="6985" b="5715"/>
          <wp:wrapNone/>
          <wp:docPr id="13" name="Imagen 13" descr="Texto&#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Texto&#10;&#10;Descripción generada automáticamente con confianza baja"/>
                  <pic:cNvPicPr/>
                </pic:nvPicPr>
                <pic:blipFill>
                  <a:blip r:embed="rId2">
                    <a:extLst>
                      <a:ext uri="{28A0092B-C50C-407E-A947-70E740481C1C}">
                        <a14:useLocalDpi xmlns:a14="http://schemas.microsoft.com/office/drawing/2010/main" val="0"/>
                      </a:ext>
                    </a:extLst>
                  </a:blip>
                  <a:stretch>
                    <a:fillRect/>
                  </a:stretch>
                </pic:blipFill>
                <pic:spPr>
                  <a:xfrm>
                    <a:off x="0" y="0"/>
                    <a:ext cx="3346234" cy="5278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C736D"/>
    <w:multiLevelType w:val="hybridMultilevel"/>
    <w:tmpl w:val="C6B218FA"/>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27523940"/>
    <w:multiLevelType w:val="hybridMultilevel"/>
    <w:tmpl w:val="15B40908"/>
    <w:lvl w:ilvl="0" w:tplc="240A0019">
      <w:start w:val="1"/>
      <w:numFmt w:val="lowerLetter"/>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num w:numId="1" w16cid:durableId="35797346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83304329">
    <w:abstractNumId w:val="1"/>
  </w:num>
  <w:num w:numId="3" w16cid:durableId="18530586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519"/>
    <w:rsid w:val="00002C6E"/>
    <w:rsid w:val="00011EC2"/>
    <w:rsid w:val="00020274"/>
    <w:rsid w:val="000246F5"/>
    <w:rsid w:val="00042CD1"/>
    <w:rsid w:val="00046BDF"/>
    <w:rsid w:val="00055689"/>
    <w:rsid w:val="0006062D"/>
    <w:rsid w:val="0006499E"/>
    <w:rsid w:val="0007021C"/>
    <w:rsid w:val="00071899"/>
    <w:rsid w:val="00071BA7"/>
    <w:rsid w:val="00074D17"/>
    <w:rsid w:val="00080F1B"/>
    <w:rsid w:val="000962ED"/>
    <w:rsid w:val="00096C84"/>
    <w:rsid w:val="000A0F93"/>
    <w:rsid w:val="000B439A"/>
    <w:rsid w:val="000C0F22"/>
    <w:rsid w:val="000F11F6"/>
    <w:rsid w:val="000F38B4"/>
    <w:rsid w:val="001017A9"/>
    <w:rsid w:val="00104749"/>
    <w:rsid w:val="001215BB"/>
    <w:rsid w:val="00124C31"/>
    <w:rsid w:val="0014353D"/>
    <w:rsid w:val="00150FC9"/>
    <w:rsid w:val="00153BE7"/>
    <w:rsid w:val="00161A22"/>
    <w:rsid w:val="00166CAE"/>
    <w:rsid w:val="00167A6C"/>
    <w:rsid w:val="00171037"/>
    <w:rsid w:val="001A7EBE"/>
    <w:rsid w:val="001B4367"/>
    <w:rsid w:val="001C0D1E"/>
    <w:rsid w:val="001E2DD2"/>
    <w:rsid w:val="001F303A"/>
    <w:rsid w:val="001F47AB"/>
    <w:rsid w:val="002241A4"/>
    <w:rsid w:val="002328A6"/>
    <w:rsid w:val="0024085D"/>
    <w:rsid w:val="0024369F"/>
    <w:rsid w:val="00251D84"/>
    <w:rsid w:val="00252C12"/>
    <w:rsid w:val="002534AB"/>
    <w:rsid w:val="00253B70"/>
    <w:rsid w:val="002635AF"/>
    <w:rsid w:val="0026395E"/>
    <w:rsid w:val="00284F91"/>
    <w:rsid w:val="002B328C"/>
    <w:rsid w:val="002B6BE4"/>
    <w:rsid w:val="002C26C3"/>
    <w:rsid w:val="002C7D57"/>
    <w:rsid w:val="002D2694"/>
    <w:rsid w:val="002F1997"/>
    <w:rsid w:val="002F33FE"/>
    <w:rsid w:val="0030393A"/>
    <w:rsid w:val="00314F87"/>
    <w:rsid w:val="003165D8"/>
    <w:rsid w:val="00324760"/>
    <w:rsid w:val="003270A1"/>
    <w:rsid w:val="00343C29"/>
    <w:rsid w:val="00353D1D"/>
    <w:rsid w:val="0035481A"/>
    <w:rsid w:val="00361DFF"/>
    <w:rsid w:val="0038014E"/>
    <w:rsid w:val="003930F8"/>
    <w:rsid w:val="003A7FC9"/>
    <w:rsid w:val="003B064C"/>
    <w:rsid w:val="003B1FEC"/>
    <w:rsid w:val="003B5931"/>
    <w:rsid w:val="003C7E1C"/>
    <w:rsid w:val="003F2F4B"/>
    <w:rsid w:val="003F3544"/>
    <w:rsid w:val="00401C2A"/>
    <w:rsid w:val="00406E58"/>
    <w:rsid w:val="00407716"/>
    <w:rsid w:val="004170AF"/>
    <w:rsid w:val="00421B38"/>
    <w:rsid w:val="0042602E"/>
    <w:rsid w:val="00442468"/>
    <w:rsid w:val="00456720"/>
    <w:rsid w:val="00457CC2"/>
    <w:rsid w:val="0047422F"/>
    <w:rsid w:val="00483D6B"/>
    <w:rsid w:val="00486572"/>
    <w:rsid w:val="004A6C13"/>
    <w:rsid w:val="004A6CAB"/>
    <w:rsid w:val="004C0855"/>
    <w:rsid w:val="004C69B7"/>
    <w:rsid w:val="004E5EB5"/>
    <w:rsid w:val="004F2CF5"/>
    <w:rsid w:val="004F3A58"/>
    <w:rsid w:val="004F6403"/>
    <w:rsid w:val="0050758C"/>
    <w:rsid w:val="00512795"/>
    <w:rsid w:val="00515BEF"/>
    <w:rsid w:val="00555528"/>
    <w:rsid w:val="00556AFA"/>
    <w:rsid w:val="005603E3"/>
    <w:rsid w:val="00571E07"/>
    <w:rsid w:val="005723D7"/>
    <w:rsid w:val="00587F12"/>
    <w:rsid w:val="005A4453"/>
    <w:rsid w:val="005B4F83"/>
    <w:rsid w:val="005B53D9"/>
    <w:rsid w:val="005B5736"/>
    <w:rsid w:val="005B6DDE"/>
    <w:rsid w:val="005B7C5E"/>
    <w:rsid w:val="005C287A"/>
    <w:rsid w:val="005C42EC"/>
    <w:rsid w:val="005D0D1B"/>
    <w:rsid w:val="005D7D66"/>
    <w:rsid w:val="005E366C"/>
    <w:rsid w:val="005F539C"/>
    <w:rsid w:val="005F6877"/>
    <w:rsid w:val="00602072"/>
    <w:rsid w:val="00651863"/>
    <w:rsid w:val="006568A4"/>
    <w:rsid w:val="006629AD"/>
    <w:rsid w:val="006821A6"/>
    <w:rsid w:val="00683190"/>
    <w:rsid w:val="0068696F"/>
    <w:rsid w:val="006B267E"/>
    <w:rsid w:val="006B4075"/>
    <w:rsid w:val="006B597B"/>
    <w:rsid w:val="006D300D"/>
    <w:rsid w:val="006D57EA"/>
    <w:rsid w:val="006D77ED"/>
    <w:rsid w:val="007107B3"/>
    <w:rsid w:val="00717096"/>
    <w:rsid w:val="00723357"/>
    <w:rsid w:val="00735E1F"/>
    <w:rsid w:val="0074199A"/>
    <w:rsid w:val="00752DEC"/>
    <w:rsid w:val="00762CBD"/>
    <w:rsid w:val="0078062A"/>
    <w:rsid w:val="00782E51"/>
    <w:rsid w:val="0078631A"/>
    <w:rsid w:val="00795960"/>
    <w:rsid w:val="007A4110"/>
    <w:rsid w:val="007A7C1D"/>
    <w:rsid w:val="007B3A45"/>
    <w:rsid w:val="007B3D24"/>
    <w:rsid w:val="007B62E7"/>
    <w:rsid w:val="007C5C9C"/>
    <w:rsid w:val="007D3EDE"/>
    <w:rsid w:val="007D646C"/>
    <w:rsid w:val="007E547D"/>
    <w:rsid w:val="007F3681"/>
    <w:rsid w:val="007F42E3"/>
    <w:rsid w:val="007F4E31"/>
    <w:rsid w:val="00806E3F"/>
    <w:rsid w:val="00813D8F"/>
    <w:rsid w:val="00814AE9"/>
    <w:rsid w:val="0082076E"/>
    <w:rsid w:val="00823401"/>
    <w:rsid w:val="008376DE"/>
    <w:rsid w:val="00847FE4"/>
    <w:rsid w:val="008776E3"/>
    <w:rsid w:val="00880FBF"/>
    <w:rsid w:val="008847C9"/>
    <w:rsid w:val="0089113D"/>
    <w:rsid w:val="00891FE9"/>
    <w:rsid w:val="008A2856"/>
    <w:rsid w:val="008B0943"/>
    <w:rsid w:val="008E5975"/>
    <w:rsid w:val="008F0B11"/>
    <w:rsid w:val="00930F73"/>
    <w:rsid w:val="0093338B"/>
    <w:rsid w:val="00933A3A"/>
    <w:rsid w:val="0094082D"/>
    <w:rsid w:val="00944F26"/>
    <w:rsid w:val="00951D42"/>
    <w:rsid w:val="00957BE3"/>
    <w:rsid w:val="00973D1E"/>
    <w:rsid w:val="00976702"/>
    <w:rsid w:val="00997712"/>
    <w:rsid w:val="009A3312"/>
    <w:rsid w:val="009B5B3B"/>
    <w:rsid w:val="009C78DB"/>
    <w:rsid w:val="009E2C48"/>
    <w:rsid w:val="009E484D"/>
    <w:rsid w:val="009E7865"/>
    <w:rsid w:val="009F25D5"/>
    <w:rsid w:val="009F3478"/>
    <w:rsid w:val="009F5428"/>
    <w:rsid w:val="00A14394"/>
    <w:rsid w:val="00A15CDD"/>
    <w:rsid w:val="00A15D55"/>
    <w:rsid w:val="00A23C64"/>
    <w:rsid w:val="00A272CF"/>
    <w:rsid w:val="00A3368E"/>
    <w:rsid w:val="00A378DE"/>
    <w:rsid w:val="00A65A82"/>
    <w:rsid w:val="00A77786"/>
    <w:rsid w:val="00A77E4A"/>
    <w:rsid w:val="00A84924"/>
    <w:rsid w:val="00A90A86"/>
    <w:rsid w:val="00A92B44"/>
    <w:rsid w:val="00AA0519"/>
    <w:rsid w:val="00AA7A5F"/>
    <w:rsid w:val="00AB7C99"/>
    <w:rsid w:val="00AC62CA"/>
    <w:rsid w:val="00AD64E1"/>
    <w:rsid w:val="00AE3ED7"/>
    <w:rsid w:val="00AF7CEA"/>
    <w:rsid w:val="00B00BDC"/>
    <w:rsid w:val="00B01C9C"/>
    <w:rsid w:val="00B1669B"/>
    <w:rsid w:val="00B21D67"/>
    <w:rsid w:val="00B27A38"/>
    <w:rsid w:val="00B536A9"/>
    <w:rsid w:val="00B54C11"/>
    <w:rsid w:val="00B738A1"/>
    <w:rsid w:val="00B74DFE"/>
    <w:rsid w:val="00B90126"/>
    <w:rsid w:val="00B95236"/>
    <w:rsid w:val="00BA0BE0"/>
    <w:rsid w:val="00BA2FF6"/>
    <w:rsid w:val="00BB35F9"/>
    <w:rsid w:val="00BE0884"/>
    <w:rsid w:val="00BF1E4E"/>
    <w:rsid w:val="00C30D89"/>
    <w:rsid w:val="00C47154"/>
    <w:rsid w:val="00C54B02"/>
    <w:rsid w:val="00C72454"/>
    <w:rsid w:val="00C81E1F"/>
    <w:rsid w:val="00C8578B"/>
    <w:rsid w:val="00C9169C"/>
    <w:rsid w:val="00C9760D"/>
    <w:rsid w:val="00CA71BD"/>
    <w:rsid w:val="00CA78CC"/>
    <w:rsid w:val="00CB3666"/>
    <w:rsid w:val="00CB504F"/>
    <w:rsid w:val="00CD2FDD"/>
    <w:rsid w:val="00CD6394"/>
    <w:rsid w:val="00CE40F0"/>
    <w:rsid w:val="00CE66F4"/>
    <w:rsid w:val="00D03913"/>
    <w:rsid w:val="00D05EC0"/>
    <w:rsid w:val="00D31768"/>
    <w:rsid w:val="00D6137A"/>
    <w:rsid w:val="00D65AB7"/>
    <w:rsid w:val="00D722E9"/>
    <w:rsid w:val="00D754A1"/>
    <w:rsid w:val="00D87556"/>
    <w:rsid w:val="00D90A68"/>
    <w:rsid w:val="00D915DC"/>
    <w:rsid w:val="00DA03D7"/>
    <w:rsid w:val="00DA6DB5"/>
    <w:rsid w:val="00DC1B59"/>
    <w:rsid w:val="00DC1DE4"/>
    <w:rsid w:val="00DC57BD"/>
    <w:rsid w:val="00DD5D6A"/>
    <w:rsid w:val="00DF79E2"/>
    <w:rsid w:val="00E035CC"/>
    <w:rsid w:val="00E05F41"/>
    <w:rsid w:val="00E22C7F"/>
    <w:rsid w:val="00E44A7E"/>
    <w:rsid w:val="00E56853"/>
    <w:rsid w:val="00E63B05"/>
    <w:rsid w:val="00E77923"/>
    <w:rsid w:val="00EA106E"/>
    <w:rsid w:val="00EA4C17"/>
    <w:rsid w:val="00EC5291"/>
    <w:rsid w:val="00EC5847"/>
    <w:rsid w:val="00EC6D63"/>
    <w:rsid w:val="00ED2E59"/>
    <w:rsid w:val="00ED6229"/>
    <w:rsid w:val="00EF3DAB"/>
    <w:rsid w:val="00EF5292"/>
    <w:rsid w:val="00F02D43"/>
    <w:rsid w:val="00F13D47"/>
    <w:rsid w:val="00F20272"/>
    <w:rsid w:val="00F27D7F"/>
    <w:rsid w:val="00F32303"/>
    <w:rsid w:val="00F35EFC"/>
    <w:rsid w:val="00F5642A"/>
    <w:rsid w:val="00F6671D"/>
    <w:rsid w:val="00F66BF3"/>
    <w:rsid w:val="00F7294D"/>
    <w:rsid w:val="00F738CD"/>
    <w:rsid w:val="00F80B1D"/>
    <w:rsid w:val="00F82573"/>
    <w:rsid w:val="00F832F2"/>
    <w:rsid w:val="00FA3735"/>
    <w:rsid w:val="00FA6661"/>
    <w:rsid w:val="00FB07C1"/>
    <w:rsid w:val="00FC759B"/>
    <w:rsid w:val="00FD2A8B"/>
    <w:rsid w:val="00FE44D5"/>
    <w:rsid w:val="00FF72A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84B9A0"/>
  <w15:chartTrackingRefBased/>
  <w15:docId w15:val="{F6372D80-2AD1-44B8-A9FA-C464C82DF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CO" w:eastAsia="en-U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4924"/>
    <w:pPr>
      <w:spacing w:before="120" w:after="120"/>
    </w:pPr>
  </w:style>
  <w:style w:type="paragraph" w:styleId="Ttulo2">
    <w:name w:val="heading 2"/>
    <w:basedOn w:val="Normal"/>
    <w:next w:val="Normal"/>
    <w:link w:val="Ttulo2Car"/>
    <w:uiPriority w:val="9"/>
    <w:unhideWhenUsed/>
    <w:rsid w:val="005A445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rsid w:val="005A4453"/>
    <w:pPr>
      <w:keepNext/>
      <w:keepLines/>
      <w:spacing w:before="40" w:after="0"/>
      <w:outlineLvl w:val="2"/>
    </w:pPr>
    <w:rPr>
      <w:rFonts w:asciiTheme="majorHAnsi" w:eastAsiaTheme="majorEastAsia" w:hAnsiTheme="majorHAnsi" w:cstheme="majorBidi"/>
      <w:color w:val="1F4D78" w:themeColor="accent1" w:themeShade="7F"/>
    </w:rPr>
  </w:style>
  <w:style w:type="paragraph" w:styleId="Ttulo5">
    <w:name w:val="heading 5"/>
    <w:basedOn w:val="Normal"/>
    <w:next w:val="Normal"/>
    <w:link w:val="Ttulo5Car"/>
    <w:uiPriority w:val="9"/>
    <w:semiHidden/>
    <w:unhideWhenUsed/>
    <w:qFormat/>
    <w:rsid w:val="00486572"/>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semiHidden/>
    <w:rsid w:val="00AA0519"/>
    <w:pPr>
      <w:spacing w:after="220" w:line="220" w:lineRule="atLeast"/>
      <w:jc w:val="both"/>
    </w:pPr>
    <w:rPr>
      <w:rFonts w:ascii="Arial" w:eastAsia="Times New Roman" w:hAnsi="Arial" w:cs="Times New Roman"/>
      <w:spacing w:val="-5"/>
      <w:sz w:val="20"/>
      <w:szCs w:val="20"/>
    </w:rPr>
  </w:style>
  <w:style w:type="character" w:customStyle="1" w:styleId="TextoindependienteCar">
    <w:name w:val="Texto independiente Car"/>
    <w:basedOn w:val="Fuentedeprrafopredeter"/>
    <w:link w:val="Textoindependiente"/>
    <w:semiHidden/>
    <w:rsid w:val="00AA0519"/>
    <w:rPr>
      <w:rFonts w:ascii="Arial" w:eastAsia="Times New Roman" w:hAnsi="Arial" w:cs="Times New Roman"/>
      <w:spacing w:val="-5"/>
      <w:sz w:val="20"/>
      <w:szCs w:val="20"/>
    </w:rPr>
  </w:style>
  <w:style w:type="paragraph" w:customStyle="1" w:styleId="doctor">
    <w:name w:val="doctor"/>
    <w:basedOn w:val="Textoindependiente"/>
    <w:rsid w:val="00AA0519"/>
    <w:pPr>
      <w:spacing w:after="0" w:line="240" w:lineRule="auto"/>
    </w:pPr>
    <w:rPr>
      <w:rFonts w:cs="Arial"/>
      <w:sz w:val="24"/>
    </w:rPr>
  </w:style>
  <w:style w:type="paragraph" w:styleId="Encabezado">
    <w:name w:val="header"/>
    <w:basedOn w:val="Normal"/>
    <w:link w:val="EncabezadoCar"/>
    <w:uiPriority w:val="99"/>
    <w:unhideWhenUsed/>
    <w:rsid w:val="00AA0519"/>
    <w:pPr>
      <w:tabs>
        <w:tab w:val="center" w:pos="4419"/>
        <w:tab w:val="right" w:pos="8838"/>
      </w:tabs>
    </w:pPr>
  </w:style>
  <w:style w:type="character" w:customStyle="1" w:styleId="EncabezadoCar">
    <w:name w:val="Encabezado Car"/>
    <w:basedOn w:val="Fuentedeprrafopredeter"/>
    <w:link w:val="Encabezado"/>
    <w:uiPriority w:val="99"/>
    <w:rsid w:val="00AA0519"/>
    <w:rPr>
      <w:rFonts w:eastAsiaTheme="minorEastAsia"/>
      <w:sz w:val="24"/>
      <w:szCs w:val="24"/>
      <w:lang w:val="es-ES_tradnl"/>
    </w:rPr>
  </w:style>
  <w:style w:type="paragraph" w:styleId="Piedepgina">
    <w:name w:val="footer"/>
    <w:basedOn w:val="Normal"/>
    <w:link w:val="PiedepginaCar"/>
    <w:uiPriority w:val="99"/>
    <w:unhideWhenUsed/>
    <w:rsid w:val="00957BE3"/>
    <w:pPr>
      <w:tabs>
        <w:tab w:val="center" w:pos="4419"/>
        <w:tab w:val="right" w:pos="8838"/>
      </w:tabs>
      <w:spacing w:before="0" w:after="0" w:line="240" w:lineRule="auto"/>
    </w:pPr>
  </w:style>
  <w:style w:type="character" w:customStyle="1" w:styleId="PiedepginaCar">
    <w:name w:val="Pie de página Car"/>
    <w:basedOn w:val="Fuentedeprrafopredeter"/>
    <w:link w:val="Piedepgina"/>
    <w:uiPriority w:val="99"/>
    <w:rsid w:val="00957BE3"/>
  </w:style>
  <w:style w:type="paragraph" w:styleId="Textodeglobo">
    <w:name w:val="Balloon Text"/>
    <w:basedOn w:val="Normal"/>
    <w:link w:val="TextodegloboCar"/>
    <w:uiPriority w:val="99"/>
    <w:semiHidden/>
    <w:unhideWhenUsed/>
    <w:rsid w:val="00457CC2"/>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57CC2"/>
    <w:rPr>
      <w:rFonts w:ascii="Segoe UI" w:eastAsiaTheme="minorEastAsia" w:hAnsi="Segoe UI" w:cs="Segoe UI"/>
      <w:sz w:val="18"/>
      <w:szCs w:val="18"/>
      <w:lang w:val="es-ES_tradnl"/>
    </w:rPr>
  </w:style>
  <w:style w:type="paragraph" w:customStyle="1" w:styleId="Ciudad">
    <w:name w:val="Ciudad"/>
    <w:basedOn w:val="Normal"/>
    <w:qFormat/>
    <w:rsid w:val="007F4E31"/>
    <w:pPr>
      <w:spacing w:before="240" w:after="360"/>
    </w:pPr>
  </w:style>
  <w:style w:type="paragraph" w:customStyle="1" w:styleId="Asunto">
    <w:name w:val="Asunto"/>
    <w:basedOn w:val="Normal"/>
    <w:qFormat/>
    <w:rsid w:val="004C69B7"/>
    <w:pPr>
      <w:spacing w:before="360" w:after="360"/>
      <w:contextualSpacing/>
    </w:pPr>
  </w:style>
  <w:style w:type="paragraph" w:customStyle="1" w:styleId="Informacindestinatario">
    <w:name w:val="Información destinatario"/>
    <w:basedOn w:val="Normal"/>
    <w:rsid w:val="004C69B7"/>
  </w:style>
  <w:style w:type="paragraph" w:customStyle="1" w:styleId="Expediente">
    <w:name w:val="Expediente"/>
    <w:basedOn w:val="Asunto"/>
    <w:qFormat/>
    <w:rsid w:val="005F6877"/>
    <w:pPr>
      <w:spacing w:before="0"/>
    </w:pPr>
  </w:style>
  <w:style w:type="paragraph" w:customStyle="1" w:styleId="Destinario">
    <w:name w:val="Destinario"/>
    <w:basedOn w:val="Normal"/>
    <w:link w:val="DestinarioCar"/>
    <w:qFormat/>
    <w:rsid w:val="00A84924"/>
    <w:pPr>
      <w:contextualSpacing/>
    </w:pPr>
  </w:style>
  <w:style w:type="paragraph" w:customStyle="1" w:styleId="Cordialmente">
    <w:name w:val="Cordialmente"/>
    <w:basedOn w:val="Normal"/>
    <w:qFormat/>
    <w:rsid w:val="005F6877"/>
    <w:pPr>
      <w:spacing w:after="480"/>
    </w:pPr>
  </w:style>
  <w:style w:type="paragraph" w:customStyle="1" w:styleId="Director">
    <w:name w:val="Director"/>
    <w:basedOn w:val="Normal"/>
    <w:qFormat/>
    <w:rsid w:val="00FC759B"/>
    <w:pPr>
      <w:spacing w:after="360"/>
      <w:contextualSpacing/>
    </w:pPr>
  </w:style>
  <w:style w:type="character" w:styleId="Referenciasutil">
    <w:name w:val="Subtle Reference"/>
    <w:basedOn w:val="Fuentedeprrafopredeter"/>
    <w:uiPriority w:val="31"/>
    <w:rsid w:val="005A4453"/>
    <w:rPr>
      <w:smallCaps/>
      <w:color w:val="5A5A5A" w:themeColor="text1" w:themeTint="A5"/>
    </w:rPr>
  </w:style>
  <w:style w:type="paragraph" w:styleId="Citadestacada">
    <w:name w:val="Intense Quote"/>
    <w:basedOn w:val="Normal"/>
    <w:next w:val="Normal"/>
    <w:link w:val="CitadestacadaCar"/>
    <w:uiPriority w:val="30"/>
    <w:rsid w:val="005A4453"/>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CitadestacadaCar">
    <w:name w:val="Cita destacada Car"/>
    <w:basedOn w:val="Fuentedeprrafopredeter"/>
    <w:link w:val="Citadestacada"/>
    <w:uiPriority w:val="30"/>
    <w:rsid w:val="005A4453"/>
    <w:rPr>
      <w:i/>
      <w:iCs/>
      <w:color w:val="5B9BD5" w:themeColor="accent1"/>
    </w:rPr>
  </w:style>
  <w:style w:type="character" w:styleId="Textoennegrita">
    <w:name w:val="Strong"/>
    <w:basedOn w:val="Fuentedeprrafopredeter"/>
    <w:uiPriority w:val="22"/>
    <w:rsid w:val="005A4453"/>
    <w:rPr>
      <w:b/>
      <w:bCs/>
    </w:rPr>
  </w:style>
  <w:style w:type="character" w:customStyle="1" w:styleId="Ttulo2Car">
    <w:name w:val="Título 2 Car"/>
    <w:basedOn w:val="Fuentedeprrafopredeter"/>
    <w:link w:val="Ttulo2"/>
    <w:uiPriority w:val="9"/>
    <w:rsid w:val="005A4453"/>
    <w:rPr>
      <w:rFonts w:asciiTheme="majorHAnsi" w:eastAsiaTheme="majorEastAsia" w:hAnsiTheme="majorHAnsi" w:cstheme="majorBidi"/>
      <w:color w:val="2E74B5" w:themeColor="accent1" w:themeShade="BF"/>
      <w:sz w:val="26"/>
      <w:szCs w:val="26"/>
    </w:rPr>
  </w:style>
  <w:style w:type="character" w:customStyle="1" w:styleId="Ttulo3Car">
    <w:name w:val="Título 3 Car"/>
    <w:basedOn w:val="Fuentedeprrafopredeter"/>
    <w:link w:val="Ttulo3"/>
    <w:uiPriority w:val="9"/>
    <w:rsid w:val="005A4453"/>
    <w:rPr>
      <w:rFonts w:asciiTheme="majorHAnsi" w:eastAsiaTheme="majorEastAsia" w:hAnsiTheme="majorHAnsi" w:cstheme="majorBidi"/>
      <w:color w:val="1F4D78" w:themeColor="accent1" w:themeShade="7F"/>
    </w:rPr>
  </w:style>
  <w:style w:type="paragraph" w:customStyle="1" w:styleId="Destinatariosegundapgina">
    <w:name w:val="Destinatario segunda página"/>
    <w:basedOn w:val="Destinario"/>
    <w:link w:val="DestinatariosegundapginaCar"/>
    <w:autoRedefine/>
    <w:qFormat/>
    <w:rsid w:val="008B0943"/>
    <w:pPr>
      <w:spacing w:before="840" w:line="480" w:lineRule="auto"/>
    </w:pPr>
  </w:style>
  <w:style w:type="character" w:customStyle="1" w:styleId="DestinarioCar">
    <w:name w:val="Destinario Car"/>
    <w:basedOn w:val="Fuentedeprrafopredeter"/>
    <w:link w:val="Destinario"/>
    <w:rsid w:val="00EC5291"/>
  </w:style>
  <w:style w:type="character" w:customStyle="1" w:styleId="DestinatariosegundapginaCar">
    <w:name w:val="Destinatario segunda página Car"/>
    <w:basedOn w:val="DestinarioCar"/>
    <w:link w:val="Destinatariosegundapgina"/>
    <w:rsid w:val="008B0943"/>
  </w:style>
  <w:style w:type="character" w:customStyle="1" w:styleId="Ttulo5Car">
    <w:name w:val="Título 5 Car"/>
    <w:basedOn w:val="Fuentedeprrafopredeter"/>
    <w:link w:val="Ttulo5"/>
    <w:uiPriority w:val="9"/>
    <w:semiHidden/>
    <w:rsid w:val="00486572"/>
    <w:rPr>
      <w:rFonts w:asciiTheme="majorHAnsi" w:eastAsiaTheme="majorEastAsia" w:hAnsiTheme="majorHAnsi" w:cstheme="majorBidi"/>
      <w:color w:val="2E74B5" w:themeColor="accent1" w:themeShade="BF"/>
    </w:rPr>
  </w:style>
  <w:style w:type="paragraph" w:styleId="Sangradetextonormal">
    <w:name w:val="Body Text Indent"/>
    <w:basedOn w:val="Normal"/>
    <w:link w:val="SangradetextonormalCar"/>
    <w:uiPriority w:val="99"/>
    <w:unhideWhenUsed/>
    <w:rsid w:val="00486572"/>
    <w:pPr>
      <w:spacing w:before="0" w:line="240" w:lineRule="auto"/>
      <w:ind w:left="283"/>
    </w:pPr>
    <w:rPr>
      <w:rFonts w:eastAsiaTheme="minorEastAsia"/>
      <w:lang w:val="es-ES_tradnl"/>
    </w:rPr>
  </w:style>
  <w:style w:type="character" w:customStyle="1" w:styleId="SangradetextonormalCar">
    <w:name w:val="Sangría de texto normal Car"/>
    <w:basedOn w:val="Fuentedeprrafopredeter"/>
    <w:link w:val="Sangradetextonormal"/>
    <w:uiPriority w:val="99"/>
    <w:rsid w:val="00486572"/>
    <w:rPr>
      <w:rFonts w:eastAsiaTheme="minorEastAsia"/>
      <w:lang w:val="es-ES_tradnl"/>
    </w:rPr>
  </w:style>
  <w:style w:type="character" w:styleId="Hipervnculo">
    <w:name w:val="Hyperlink"/>
    <w:basedOn w:val="Fuentedeprrafopredeter"/>
    <w:uiPriority w:val="99"/>
    <w:unhideWhenUsed/>
    <w:rsid w:val="00880FBF"/>
    <w:rPr>
      <w:color w:val="0000FF"/>
      <w:u w:val="single"/>
    </w:rPr>
  </w:style>
  <w:style w:type="paragraph" w:styleId="NormalWeb">
    <w:name w:val="Normal (Web)"/>
    <w:basedOn w:val="Normal"/>
    <w:uiPriority w:val="99"/>
    <w:unhideWhenUsed/>
    <w:rsid w:val="00880FBF"/>
    <w:pPr>
      <w:spacing w:before="100" w:beforeAutospacing="1" w:after="100" w:afterAutospacing="1" w:line="240" w:lineRule="auto"/>
    </w:pPr>
    <w:rPr>
      <w:rFonts w:ascii="Times New Roman" w:eastAsia="Times New Roman" w:hAnsi="Times New Roman" w:cs="Times New Roman"/>
      <w:lang w:eastAsia="es-CO"/>
    </w:rPr>
  </w:style>
  <w:style w:type="paragraph" w:styleId="Prrafodelista">
    <w:name w:val="List Paragraph"/>
    <w:basedOn w:val="Normal"/>
    <w:uiPriority w:val="34"/>
    <w:qFormat/>
    <w:rsid w:val="00AB7C99"/>
    <w:pPr>
      <w:ind w:left="720"/>
      <w:contextualSpacing/>
    </w:pPr>
  </w:style>
  <w:style w:type="table" w:styleId="Tablaconcuadrcula">
    <w:name w:val="Table Grid"/>
    <w:basedOn w:val="Tablanormal"/>
    <w:uiPriority w:val="39"/>
    <w:rsid w:val="00AB7C99"/>
    <w:pPr>
      <w:spacing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escripcin">
    <w:name w:val="caption"/>
    <w:basedOn w:val="Normal"/>
    <w:next w:val="Normal"/>
    <w:uiPriority w:val="35"/>
    <w:unhideWhenUsed/>
    <w:qFormat/>
    <w:rsid w:val="004F6403"/>
    <w:pPr>
      <w:spacing w:before="0" w:after="200" w:line="240" w:lineRule="auto"/>
    </w:pPr>
    <w:rPr>
      <w:i/>
      <w:iCs/>
      <w:color w:val="44546A" w:themeColor="text2"/>
      <w:sz w:val="18"/>
      <w:szCs w:val="18"/>
    </w:rPr>
  </w:style>
  <w:style w:type="paragraph" w:styleId="Revisin">
    <w:name w:val="Revision"/>
    <w:hidden/>
    <w:uiPriority w:val="99"/>
    <w:semiHidden/>
    <w:rsid w:val="00DA03D7"/>
    <w:pPr>
      <w:spacing w:line="240" w:lineRule="auto"/>
    </w:pPr>
  </w:style>
  <w:style w:type="character" w:styleId="Refdecomentario">
    <w:name w:val="annotation reference"/>
    <w:basedOn w:val="Fuentedeprrafopredeter"/>
    <w:uiPriority w:val="99"/>
    <w:semiHidden/>
    <w:unhideWhenUsed/>
    <w:rsid w:val="00DA03D7"/>
    <w:rPr>
      <w:sz w:val="16"/>
      <w:szCs w:val="16"/>
    </w:rPr>
  </w:style>
  <w:style w:type="paragraph" w:styleId="Textocomentario">
    <w:name w:val="annotation text"/>
    <w:basedOn w:val="Normal"/>
    <w:link w:val="TextocomentarioCar"/>
    <w:uiPriority w:val="99"/>
    <w:unhideWhenUsed/>
    <w:rsid w:val="00DA03D7"/>
    <w:pPr>
      <w:spacing w:line="240" w:lineRule="auto"/>
    </w:pPr>
    <w:rPr>
      <w:sz w:val="20"/>
      <w:szCs w:val="20"/>
    </w:rPr>
  </w:style>
  <w:style w:type="character" w:customStyle="1" w:styleId="TextocomentarioCar">
    <w:name w:val="Texto comentario Car"/>
    <w:basedOn w:val="Fuentedeprrafopredeter"/>
    <w:link w:val="Textocomentario"/>
    <w:uiPriority w:val="99"/>
    <w:rsid w:val="00DA03D7"/>
    <w:rPr>
      <w:sz w:val="20"/>
      <w:szCs w:val="20"/>
    </w:rPr>
  </w:style>
  <w:style w:type="paragraph" w:styleId="Asuntodelcomentario">
    <w:name w:val="annotation subject"/>
    <w:basedOn w:val="Textocomentario"/>
    <w:next w:val="Textocomentario"/>
    <w:link w:val="AsuntodelcomentarioCar"/>
    <w:uiPriority w:val="99"/>
    <w:semiHidden/>
    <w:unhideWhenUsed/>
    <w:rsid w:val="00DA03D7"/>
    <w:rPr>
      <w:b/>
      <w:bCs/>
    </w:rPr>
  </w:style>
  <w:style w:type="character" w:customStyle="1" w:styleId="AsuntodelcomentarioCar">
    <w:name w:val="Asunto del comentario Car"/>
    <w:basedOn w:val="TextocomentarioCar"/>
    <w:link w:val="Asuntodelcomentario"/>
    <w:uiPriority w:val="99"/>
    <w:semiHidden/>
    <w:rsid w:val="00DA03D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948226">
      <w:bodyDiv w:val="1"/>
      <w:marLeft w:val="0"/>
      <w:marRight w:val="0"/>
      <w:marTop w:val="0"/>
      <w:marBottom w:val="0"/>
      <w:divBdr>
        <w:top w:val="none" w:sz="0" w:space="0" w:color="auto"/>
        <w:left w:val="none" w:sz="0" w:space="0" w:color="auto"/>
        <w:bottom w:val="none" w:sz="0" w:space="0" w:color="auto"/>
        <w:right w:val="none" w:sz="0" w:space="0" w:color="auto"/>
      </w:divBdr>
    </w:div>
    <w:div w:id="298729686">
      <w:bodyDiv w:val="1"/>
      <w:marLeft w:val="0"/>
      <w:marRight w:val="0"/>
      <w:marTop w:val="0"/>
      <w:marBottom w:val="0"/>
      <w:divBdr>
        <w:top w:val="none" w:sz="0" w:space="0" w:color="auto"/>
        <w:left w:val="none" w:sz="0" w:space="0" w:color="auto"/>
        <w:bottom w:val="none" w:sz="0" w:space="0" w:color="auto"/>
        <w:right w:val="none" w:sz="0" w:space="0" w:color="auto"/>
      </w:divBdr>
    </w:div>
    <w:div w:id="675425458">
      <w:bodyDiv w:val="1"/>
      <w:marLeft w:val="0"/>
      <w:marRight w:val="0"/>
      <w:marTop w:val="0"/>
      <w:marBottom w:val="0"/>
      <w:divBdr>
        <w:top w:val="none" w:sz="0" w:space="0" w:color="auto"/>
        <w:left w:val="none" w:sz="0" w:space="0" w:color="auto"/>
        <w:bottom w:val="none" w:sz="0" w:space="0" w:color="auto"/>
        <w:right w:val="none" w:sz="0" w:space="0" w:color="auto"/>
      </w:divBdr>
    </w:div>
    <w:div w:id="753017030">
      <w:bodyDiv w:val="1"/>
      <w:marLeft w:val="0"/>
      <w:marRight w:val="0"/>
      <w:marTop w:val="0"/>
      <w:marBottom w:val="0"/>
      <w:divBdr>
        <w:top w:val="none" w:sz="0" w:space="0" w:color="auto"/>
        <w:left w:val="none" w:sz="0" w:space="0" w:color="auto"/>
        <w:bottom w:val="none" w:sz="0" w:space="0" w:color="auto"/>
        <w:right w:val="none" w:sz="0" w:space="0" w:color="auto"/>
      </w:divBdr>
    </w:div>
    <w:div w:id="899169403">
      <w:bodyDiv w:val="1"/>
      <w:marLeft w:val="0"/>
      <w:marRight w:val="0"/>
      <w:marTop w:val="0"/>
      <w:marBottom w:val="0"/>
      <w:divBdr>
        <w:top w:val="none" w:sz="0" w:space="0" w:color="auto"/>
        <w:left w:val="none" w:sz="0" w:space="0" w:color="auto"/>
        <w:bottom w:val="none" w:sz="0" w:space="0" w:color="auto"/>
        <w:right w:val="none" w:sz="0" w:space="0" w:color="auto"/>
      </w:divBdr>
    </w:div>
    <w:div w:id="1025331253">
      <w:bodyDiv w:val="1"/>
      <w:marLeft w:val="0"/>
      <w:marRight w:val="0"/>
      <w:marTop w:val="0"/>
      <w:marBottom w:val="0"/>
      <w:divBdr>
        <w:top w:val="none" w:sz="0" w:space="0" w:color="auto"/>
        <w:left w:val="none" w:sz="0" w:space="0" w:color="auto"/>
        <w:bottom w:val="none" w:sz="0" w:space="0" w:color="auto"/>
        <w:right w:val="none" w:sz="0" w:space="0" w:color="auto"/>
      </w:divBdr>
    </w:div>
    <w:div w:id="1998456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NBL5YA"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5e352c5-a0a5-4aff-9101-fc8c076df9f7" xsi:nil="true"/>
    <lcf76f155ced4ddcb4097134ff3c332f xmlns="52f50d89-700a-49c3-acb1-cc45863f80d1">
      <Terms xmlns="http://schemas.microsoft.com/office/infopath/2007/PartnerControls"/>
    </lcf76f155ced4ddcb4097134ff3c332f>
    <SharedWithUsers xmlns="c5e352c5-a0a5-4aff-9101-fc8c076df9f7">
      <UserInfo>
        <DisplayName>German Leonardo Camacho Ahumada</DisplayName>
        <AccountId>36</AccountId>
        <AccountType/>
      </UserInfo>
      <UserInfo>
        <DisplayName>Cindy Carolina Lugo Rozo</DisplayName>
        <AccountId>39</AccountId>
        <AccountType/>
      </UserInfo>
      <UserInfo>
        <DisplayName>Monica Andrea Perez Ferro</DisplayName>
        <AccountId>15</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DCDD0B26ABEDD0459BD4267A57D8442E" ma:contentTypeVersion="16" ma:contentTypeDescription="Crear nuevo documento." ma:contentTypeScope="" ma:versionID="1efd105a0a22d8a5dbf8c5fd8ddb6060">
  <xsd:schema xmlns:xsd="http://www.w3.org/2001/XMLSchema" xmlns:xs="http://www.w3.org/2001/XMLSchema" xmlns:p="http://schemas.microsoft.com/office/2006/metadata/properties" xmlns:ns2="52f50d89-700a-49c3-acb1-cc45863f80d1" xmlns:ns3="c5e352c5-a0a5-4aff-9101-fc8c076df9f7" targetNamespace="http://schemas.microsoft.com/office/2006/metadata/properties" ma:root="true" ma:fieldsID="0e3bea99d24e93341967b08a477f55f9" ns2:_="" ns3:_="">
    <xsd:import namespace="52f50d89-700a-49c3-acb1-cc45863f80d1"/>
    <xsd:import namespace="c5e352c5-a0a5-4aff-9101-fc8c076df9f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DateTake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f50d89-700a-49c3-acb1-cc45863f80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Etiquetas de imagen" ma:readOnly="false" ma:fieldId="{5cf76f15-5ced-4ddc-b409-7134ff3c332f}" ma:taxonomyMulti="true" ma:sspId="42cdfcee-ca2d-46b2-8159-5b17d2d80cf8"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5e352c5-a0a5-4aff-9101-fc8c076df9f7" elementFormDefault="qualified">
    <xsd:import namespace="http://schemas.microsoft.com/office/2006/documentManagement/types"/>
    <xsd:import namespace="http://schemas.microsoft.com/office/infopath/2007/PartnerControls"/>
    <xsd:element name="SharedWithUsers" ma:index="15"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talles de uso compartido" ma:internalName="SharedWithDetails" ma:readOnly="true">
      <xsd:simpleType>
        <xsd:restriction base="dms:Note">
          <xsd:maxLength value="255"/>
        </xsd:restriction>
      </xsd:simpleType>
    </xsd:element>
    <xsd:element name="TaxCatchAll" ma:index="19" nillable="true" ma:displayName="Taxonomy Catch All Column" ma:hidden="true" ma:list="{c4049abc-2a9a-43b8-8608-fb390d17ff38}" ma:internalName="TaxCatchAll" ma:showField="CatchAllData" ma:web="c5e352c5-a0a5-4aff-9101-fc8c076df9f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55FD29A-D23C-421E-BC1C-A91EA13FC377}">
  <ds:schemaRefs>
    <ds:schemaRef ds:uri="http://schemas.microsoft.com/office/2006/metadata/properties"/>
    <ds:schemaRef ds:uri="http://schemas.microsoft.com/office/infopath/2007/PartnerControls"/>
    <ds:schemaRef ds:uri="c5e352c5-a0a5-4aff-9101-fc8c076df9f7"/>
    <ds:schemaRef ds:uri="52f50d89-700a-49c3-acb1-cc45863f80d1"/>
  </ds:schemaRefs>
</ds:datastoreItem>
</file>

<file path=customXml/itemProps2.xml><?xml version="1.0" encoding="utf-8"?>
<ds:datastoreItem xmlns:ds="http://schemas.openxmlformats.org/officeDocument/2006/customXml" ds:itemID="{E09882A4-6231-4B7C-BFEB-BCBED7A7549C}">
  <ds:schemaRefs>
    <ds:schemaRef ds:uri="http://schemas.openxmlformats.org/officeDocument/2006/bibliography"/>
  </ds:schemaRefs>
</ds:datastoreItem>
</file>

<file path=customXml/itemProps3.xml><?xml version="1.0" encoding="utf-8"?>
<ds:datastoreItem xmlns:ds="http://schemas.openxmlformats.org/officeDocument/2006/customXml" ds:itemID="{189DA8D9-32FF-4863-AA19-F73925709B34}">
  <ds:schemaRefs>
    <ds:schemaRef ds:uri="http://schemas.microsoft.com/sharepoint/v3/contenttype/forms"/>
  </ds:schemaRefs>
</ds:datastoreItem>
</file>

<file path=customXml/itemProps4.xml><?xml version="1.0" encoding="utf-8"?>
<ds:datastoreItem xmlns:ds="http://schemas.openxmlformats.org/officeDocument/2006/customXml" ds:itemID="{2F075348-0F90-4673-9472-05E7BB726E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f50d89-700a-49c3-acb1-cc45863f80d1"/>
    <ds:schemaRef ds:uri="c5e352c5-a0a5-4aff-9101-fc8c076df9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2301</Words>
  <Characters>12656</Characters>
  <Application>Microsoft Office Word</Application>
  <DocSecurity>0</DocSecurity>
  <Lines>105</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14928</CharactersWithSpaces>
  <SharedDoc>false</SharedDoc>
  <HLinks>
    <vt:vector size="6" baseType="variant">
      <vt:variant>
        <vt:i4>2752622</vt:i4>
      </vt:variant>
      <vt:variant>
        <vt:i4>0</vt:i4>
      </vt:variant>
      <vt:variant>
        <vt:i4>0</vt:i4>
      </vt:variant>
      <vt:variant>
        <vt:i4>5</vt:i4>
      </vt:variant>
      <vt:variant>
        <vt:lpwstr>https://bit.ly/3NBL5YA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EQUIPOS DE COMUNICACIONES E IT</dc:creator>
  <cp:keywords>PLANTILLA CARTA CREG</cp:keywords>
  <dc:description/>
  <cp:lastModifiedBy>Aura Yamira Gomez Pulido</cp:lastModifiedBy>
  <cp:revision>2</cp:revision>
  <cp:lastPrinted>2023-02-01T00:50:00Z</cp:lastPrinted>
  <dcterms:created xsi:type="dcterms:W3CDTF">2023-02-01T00:54:00Z</dcterms:created>
  <dcterms:modified xsi:type="dcterms:W3CDTF">2023-02-01T00:54:00Z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0x010100DCDD0B26ABEDD0459BD4267A57D8442E</vt:lpwstr>
  </property>
  <property fmtid="{D5CDD505-2E9C-101B-9397-08002B2CF9AE}" pid="3" name="MediaServiceImageTags">
    <vt:lpwstr/>
  </property>
</Properties>
</file>