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29B7" w14:textId="04DF7695" w:rsidR="001B4401" w:rsidRDefault="001B4401" w:rsidP="001B440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0578F7">
        <w:rPr>
          <w:rFonts w:ascii="Arial" w:hAnsi="Arial" w:cs="Arial"/>
          <w:sz w:val="22"/>
          <w:szCs w:val="22"/>
          <w:lang w:val="es-MX"/>
        </w:rPr>
        <w:t>noviembre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0578F7">
        <w:rPr>
          <w:rFonts w:ascii="Arial" w:hAnsi="Arial" w:cs="Arial"/>
          <w:sz w:val="22"/>
          <w:szCs w:val="22"/>
          <w:lang w:val="es-MX"/>
        </w:rPr>
        <w:t>5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14:paraId="23F7337D" w14:textId="77777777" w:rsidR="001B4401" w:rsidRPr="009E0F14" w:rsidRDefault="001B4401" w:rsidP="001B4401">
      <w:pPr>
        <w:rPr>
          <w:rFonts w:ascii="Arial" w:hAnsi="Arial" w:cs="Arial"/>
          <w:sz w:val="22"/>
          <w:szCs w:val="22"/>
          <w:lang w:val="es-MX"/>
        </w:rPr>
      </w:pPr>
    </w:p>
    <w:p w14:paraId="5D7F0C5D" w14:textId="77777777" w:rsidR="001B4401" w:rsidRDefault="001B4401" w:rsidP="001B4401">
      <w:pPr>
        <w:rPr>
          <w:rFonts w:ascii="Arial" w:hAnsi="Arial" w:cs="Arial"/>
          <w:sz w:val="22"/>
          <w:szCs w:val="22"/>
          <w:lang w:val="es-MX"/>
        </w:rPr>
      </w:pPr>
    </w:p>
    <w:p w14:paraId="6E0A3056" w14:textId="77777777" w:rsidR="001B4401" w:rsidRPr="009E0F14" w:rsidRDefault="001B4401" w:rsidP="001B4401">
      <w:pPr>
        <w:rPr>
          <w:rFonts w:ascii="Arial" w:hAnsi="Arial" w:cs="Arial"/>
          <w:sz w:val="22"/>
          <w:szCs w:val="22"/>
          <w:lang w:val="es-MX"/>
        </w:rPr>
      </w:pPr>
    </w:p>
    <w:p w14:paraId="17ED4A4E" w14:textId="1B8C7165" w:rsidR="001B4401" w:rsidRDefault="001B4401" w:rsidP="001B440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0578F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95</w:t>
      </w:r>
    </w:p>
    <w:p w14:paraId="05485DF1" w14:textId="77777777" w:rsidR="001B4401" w:rsidRPr="00D37D5C" w:rsidRDefault="001B4401" w:rsidP="001B4401">
      <w:pPr>
        <w:pStyle w:val="Textoindependiente"/>
      </w:pPr>
    </w:p>
    <w:p w14:paraId="4448A497" w14:textId="77777777" w:rsidR="001B4401" w:rsidRPr="009E0F14" w:rsidRDefault="001B4401" w:rsidP="001B4401">
      <w:pPr>
        <w:rPr>
          <w:rFonts w:ascii="Arial" w:hAnsi="Arial" w:cs="Arial"/>
          <w:sz w:val="22"/>
          <w:szCs w:val="22"/>
          <w:lang w:val="es-MX"/>
        </w:rPr>
      </w:pPr>
    </w:p>
    <w:p w14:paraId="31DF1DFB" w14:textId="77777777" w:rsidR="001B4401" w:rsidRPr="00743287" w:rsidRDefault="001B4401" w:rsidP="001B4401">
      <w:pPr>
        <w:pStyle w:val="Sangradetextonormal"/>
        <w:ind w:left="1410" w:hanging="1410"/>
        <w:rPr>
          <w:rFonts w:ascii="Arial" w:hAnsi="Arial" w:cs="Arial"/>
          <w:b/>
        </w:rPr>
      </w:pPr>
      <w:r w:rsidRPr="00743287">
        <w:rPr>
          <w:rFonts w:ascii="Arial" w:hAnsi="Arial" w:cs="Arial"/>
          <w:b/>
        </w:rPr>
        <w:t>PARA:</w:t>
      </w:r>
      <w:r w:rsidRPr="00743287">
        <w:rPr>
          <w:rFonts w:ascii="Arial" w:hAnsi="Arial" w:cs="Arial"/>
          <w:b/>
        </w:rPr>
        <w:tab/>
      </w:r>
      <w:r w:rsidRPr="00743287">
        <w:rPr>
          <w:rFonts w:ascii="Arial" w:hAnsi="Arial" w:cs="Arial"/>
          <w:b/>
        </w:rPr>
        <w:tab/>
        <w:t>EMPRESAS COMERCIALIZADORAS DE GAS NATURAL QUE ATIENDEN USUARIOS REGULADOS</w:t>
      </w:r>
    </w:p>
    <w:p w14:paraId="578DF9F4" w14:textId="77777777" w:rsidR="001B4401" w:rsidRDefault="001B4401" w:rsidP="001B4401">
      <w:pPr>
        <w:tabs>
          <w:tab w:val="left" w:pos="993"/>
        </w:tabs>
        <w:ind w:left="1418" w:hanging="1418"/>
        <w:rPr>
          <w:rFonts w:cs="Arial"/>
          <w:b/>
        </w:rPr>
      </w:pPr>
    </w:p>
    <w:p w14:paraId="7CBAE253" w14:textId="77777777" w:rsidR="001B4401" w:rsidRPr="00743287" w:rsidRDefault="001B4401" w:rsidP="001B4401">
      <w:pPr>
        <w:pStyle w:val="Sangradetextonormal"/>
        <w:ind w:left="1410" w:hanging="1410"/>
        <w:rPr>
          <w:rFonts w:ascii="Arial" w:hAnsi="Arial" w:cs="Arial"/>
          <w:b/>
        </w:rPr>
      </w:pPr>
      <w:r w:rsidRPr="00743287">
        <w:rPr>
          <w:rFonts w:ascii="Arial" w:hAnsi="Arial" w:cs="Arial"/>
          <w:b/>
        </w:rPr>
        <w:t>DE:</w:t>
      </w:r>
      <w:r w:rsidRPr="00743287">
        <w:rPr>
          <w:rFonts w:ascii="Arial" w:hAnsi="Arial" w:cs="Arial"/>
          <w:b/>
        </w:rPr>
        <w:tab/>
      </w:r>
      <w:r w:rsidRPr="00743287">
        <w:rPr>
          <w:rFonts w:ascii="Arial" w:hAnsi="Arial" w:cs="Arial"/>
          <w:b/>
        </w:rPr>
        <w:tab/>
        <w:t>DIRECCIÓN EJECUTIVA</w:t>
      </w:r>
    </w:p>
    <w:p w14:paraId="28897E71" w14:textId="77777777" w:rsidR="001B4401" w:rsidRPr="00743287" w:rsidRDefault="001B4401" w:rsidP="001B4401">
      <w:pPr>
        <w:pStyle w:val="Sangradetextonormal"/>
        <w:ind w:left="1410" w:hanging="1410"/>
        <w:rPr>
          <w:rFonts w:ascii="Arial" w:hAnsi="Arial" w:cs="Arial"/>
          <w:b/>
        </w:rPr>
      </w:pPr>
    </w:p>
    <w:p w14:paraId="3DC48B4B" w14:textId="77777777" w:rsidR="001B4401" w:rsidRPr="00847553" w:rsidRDefault="001B4401" w:rsidP="001B4401">
      <w:pPr>
        <w:pStyle w:val="Sangradetextonormal"/>
        <w:ind w:left="1410" w:hanging="1410"/>
        <w:jc w:val="both"/>
        <w:rPr>
          <w:rFonts w:cs="Arial"/>
          <w:bCs/>
        </w:rPr>
      </w:pPr>
      <w:r w:rsidRPr="00743287">
        <w:rPr>
          <w:rFonts w:ascii="Arial" w:hAnsi="Arial" w:cs="Arial"/>
          <w:b/>
        </w:rPr>
        <w:t>ASUNTO:</w:t>
      </w:r>
      <w:r w:rsidRPr="00743287">
        <w:rPr>
          <w:rFonts w:ascii="Arial" w:hAnsi="Arial" w:cs="Arial"/>
          <w:b/>
        </w:rPr>
        <w:tab/>
        <w:t xml:space="preserve">PUBLICACIÓN DE LOS VALORES DE </w:t>
      </w:r>
      <m:oMath>
        <m:sSub>
          <m:sSubPr>
            <m:ctrlPr>
              <w:rPr>
                <w:rFonts w:ascii="Cambria Math" w:hAnsi="Cambria Math" w:cs="Arial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  <m:r>
              <m:rPr>
                <m:sty m:val="b"/>
              </m:rPr>
              <w:rPr>
                <w:rFonts w:ascii="Cambria Math" w:hAnsi="Cambria Math" w:cs="Arial"/>
              </w:rPr>
              <m:t>,</m:t>
            </m:r>
            <m:r>
              <m:rPr>
                <m:sty m:val="bi"/>
              </m:rPr>
              <w:rPr>
                <w:rFonts w:ascii="Cambria Math" w:hAnsi="Cambria Math" w:cs="Arial"/>
              </w:rPr>
              <m:t>i</m:t>
            </m:r>
            <m:r>
              <m:rPr>
                <m:sty m:val="b"/>
              </m:rPr>
              <w:rPr>
                <w:rFonts w:ascii="Cambria Math" w:hAnsi="Cambria Math" w:cs="Arial"/>
              </w:rPr>
              <m:t>,</m:t>
            </m:r>
            <m:r>
              <m:rPr>
                <m:sty m:val="bi"/>
              </m:rPr>
              <w:rPr>
                <w:rFonts w:ascii="Cambria Math" w:hAnsi="Cambria Math" w:cs="Arial"/>
              </w:rPr>
              <m:t>j</m:t>
            </m:r>
          </m:sub>
        </m:sSub>
      </m:oMath>
      <w:r w:rsidRPr="00743287">
        <w:rPr>
          <w:rFonts w:ascii="Arial" w:hAnsi="Arial" w:cs="Arial"/>
          <w:b/>
        </w:rPr>
        <w:t xml:space="preserve"> PARA LA APLICACIÓN DEL RANGO DE COMPRAS DE GAS DE LAS FÓRMULAS TARIFARIAS GENERALES, CONFORME A LO ESTABLECIDO EN LA RESOLUCIÓN CREG 137 DE 2013.</w:t>
      </w:r>
    </w:p>
    <w:p w14:paraId="382098B5" w14:textId="77777777" w:rsidR="001B4401" w:rsidRPr="00847553" w:rsidRDefault="001B4401" w:rsidP="001B4401">
      <w:pPr>
        <w:ind w:left="1418" w:hanging="1418"/>
        <w:rPr>
          <w:rFonts w:cs="Arial"/>
          <w:bCs/>
        </w:rPr>
      </w:pPr>
    </w:p>
    <w:p w14:paraId="72431C51" w14:textId="041A2827" w:rsidR="001B4401" w:rsidRPr="00743287" w:rsidRDefault="001B4401" w:rsidP="001B4401">
      <w:pPr>
        <w:pStyle w:val="Textoindependiente"/>
        <w:spacing w:after="0"/>
        <w:rPr>
          <w:rFonts w:cs="Arial"/>
          <w:sz w:val="22"/>
          <w:szCs w:val="22"/>
        </w:rPr>
      </w:pPr>
      <w:r w:rsidRPr="00743287">
        <w:rPr>
          <w:rFonts w:cs="Arial"/>
          <w:sz w:val="22"/>
          <w:szCs w:val="22"/>
        </w:rPr>
        <w:t xml:space="preserve">De conformidad con lo establecido en el </w:t>
      </w:r>
      <w:r w:rsidR="00A92FBE">
        <w:rPr>
          <w:rFonts w:cs="Arial"/>
          <w:sz w:val="22"/>
          <w:szCs w:val="22"/>
        </w:rPr>
        <w:t xml:space="preserve">punto </w:t>
      </w:r>
      <w:r w:rsidRPr="00743287">
        <w:rPr>
          <w:rFonts w:cs="Arial"/>
          <w:sz w:val="22"/>
          <w:szCs w:val="22"/>
        </w:rPr>
        <w:t xml:space="preserve">5 del literal C, del numeral 5.1.1. del artículo 5 de la </w:t>
      </w:r>
      <w:r>
        <w:rPr>
          <w:rFonts w:cs="Arial"/>
          <w:sz w:val="22"/>
          <w:szCs w:val="22"/>
        </w:rPr>
        <w:t>R</w:t>
      </w:r>
      <w:r w:rsidRPr="00743287">
        <w:rPr>
          <w:rFonts w:cs="Arial"/>
          <w:sz w:val="22"/>
          <w:szCs w:val="22"/>
        </w:rPr>
        <w:t xml:space="preserve">esolución CREG 137 de 2013, por medio de la cual se establecen las fórmulas tarifarias generales para la prestación del servicio público domiciliario de gas combustible por redes de tubería a usuarios regulados, la Dirección Ejecutiva de la CREG se permite publicar los valores correspondientes a la variable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y,i,j</m:t>
            </m:r>
          </m:sub>
        </m:sSub>
      </m:oMath>
      <w:r w:rsidRPr="00743287">
        <w:rPr>
          <w:rFonts w:cs="Arial"/>
          <w:sz w:val="22"/>
          <w:szCs w:val="22"/>
        </w:rPr>
        <w:t xml:space="preserve"> </w:t>
      </w:r>
      <w:r w:rsidR="001E2BB6">
        <w:rPr>
          <w:rFonts w:cs="Arial"/>
          <w:sz w:val="22"/>
          <w:szCs w:val="22"/>
        </w:rPr>
        <w:t>,</w:t>
      </w:r>
      <w:r w:rsidR="00947926">
        <w:rPr>
          <w:rFonts w:cs="Arial"/>
          <w:sz w:val="22"/>
          <w:szCs w:val="22"/>
        </w:rPr>
        <w:t xml:space="preserve"> </w:t>
      </w:r>
      <w:r w:rsidR="00C33760">
        <w:rPr>
          <w:rFonts w:cs="Arial"/>
          <w:sz w:val="22"/>
          <w:szCs w:val="22"/>
        </w:rPr>
        <w:t xml:space="preserve">determinadas </w:t>
      </w:r>
      <w:r w:rsidR="00947926">
        <w:rPr>
          <w:rFonts w:cs="Arial"/>
          <w:sz w:val="22"/>
          <w:szCs w:val="22"/>
        </w:rPr>
        <w:t xml:space="preserve">en </w:t>
      </w:r>
      <w:r w:rsidR="001E2BB6">
        <w:rPr>
          <w:rFonts w:cs="Arial"/>
          <w:sz w:val="22"/>
          <w:szCs w:val="22"/>
        </w:rPr>
        <w:t xml:space="preserve">la </w:t>
      </w:r>
      <w:r w:rsidR="00683A9A" w:rsidRPr="00B423A2">
        <w:rPr>
          <w:rFonts w:cs="Arial"/>
          <w:b/>
          <w:sz w:val="22"/>
          <w:szCs w:val="22"/>
        </w:rPr>
        <w:t>T</w:t>
      </w:r>
      <w:r w:rsidR="001E2BB6" w:rsidRPr="00B423A2">
        <w:rPr>
          <w:rFonts w:cs="Arial"/>
          <w:b/>
          <w:sz w:val="22"/>
          <w:szCs w:val="22"/>
        </w:rPr>
        <w:t>abla 2</w:t>
      </w:r>
      <w:r w:rsidR="001E2BB6">
        <w:rPr>
          <w:rFonts w:cs="Arial"/>
          <w:sz w:val="22"/>
          <w:szCs w:val="22"/>
        </w:rPr>
        <w:t xml:space="preserve">  de esta circular,</w:t>
      </w:r>
      <w:r w:rsidR="00947926">
        <w:rPr>
          <w:rFonts w:cs="Arial"/>
          <w:sz w:val="22"/>
          <w:szCs w:val="22"/>
        </w:rPr>
        <w:t xml:space="preserve"> </w:t>
      </w:r>
      <w:r w:rsidRPr="00743287">
        <w:rPr>
          <w:rFonts w:cs="Arial"/>
          <w:sz w:val="22"/>
          <w:szCs w:val="22"/>
        </w:rPr>
        <w:t>que se debe utilizar desde el 1 de diciembre del año 201</w:t>
      </w:r>
      <w:r>
        <w:rPr>
          <w:rFonts w:cs="Arial"/>
          <w:sz w:val="22"/>
          <w:szCs w:val="22"/>
        </w:rPr>
        <w:t>9</w:t>
      </w:r>
      <w:r w:rsidRPr="00743287">
        <w:rPr>
          <w:rFonts w:cs="Arial"/>
          <w:sz w:val="22"/>
          <w:szCs w:val="22"/>
        </w:rPr>
        <w:t xml:space="preserve"> hasta el 30 de noviembre del año 20</w:t>
      </w:r>
      <w:r>
        <w:rPr>
          <w:rFonts w:cs="Arial"/>
          <w:sz w:val="22"/>
          <w:szCs w:val="22"/>
        </w:rPr>
        <w:t>20</w:t>
      </w:r>
      <w:r w:rsidRPr="00743287">
        <w:rPr>
          <w:rFonts w:cs="Arial"/>
          <w:sz w:val="22"/>
          <w:szCs w:val="22"/>
        </w:rPr>
        <w:t>, para la definición del rango de cantidades de compras de gas natural para cada uno de los mercados relevantes de comercialización con consumos mayores o iguales a siete millones de metros cúbicos (≥ 7.000.000 m3).</w:t>
      </w:r>
    </w:p>
    <w:p w14:paraId="13A25121" w14:textId="77777777" w:rsidR="001B4401" w:rsidRDefault="001B4401" w:rsidP="001B4401">
      <w:pPr>
        <w:widowControl w:val="0"/>
        <w:adjustRightInd w:val="0"/>
        <w:textAlignment w:val="baseline"/>
        <w:rPr>
          <w:rFonts w:cs="Arial"/>
        </w:rPr>
      </w:pPr>
    </w:p>
    <w:p w14:paraId="550F22A6" w14:textId="04E22727" w:rsidR="001B4401" w:rsidRPr="00743287" w:rsidRDefault="001B4401" w:rsidP="001B4401">
      <w:pPr>
        <w:pStyle w:val="Textoindependiente"/>
        <w:spacing w:after="0"/>
        <w:rPr>
          <w:rFonts w:cs="Arial"/>
          <w:sz w:val="22"/>
          <w:szCs w:val="22"/>
        </w:rPr>
      </w:pPr>
      <w:r w:rsidRPr="00743287">
        <w:rPr>
          <w:rFonts w:cs="Arial"/>
          <w:sz w:val="22"/>
          <w:szCs w:val="22"/>
        </w:rPr>
        <w:t xml:space="preserve">Los valores que se publican resultan de la aplicación de las fórmulas contenidas en la </w:t>
      </w:r>
      <w:r>
        <w:rPr>
          <w:rFonts w:cs="Arial"/>
          <w:sz w:val="22"/>
          <w:szCs w:val="22"/>
        </w:rPr>
        <w:t>R</w:t>
      </w:r>
      <w:r w:rsidRPr="00743287">
        <w:rPr>
          <w:rFonts w:cs="Arial"/>
          <w:sz w:val="22"/>
          <w:szCs w:val="22"/>
        </w:rPr>
        <w:t>esolución 137 de 2013</w:t>
      </w:r>
      <w:r w:rsidR="00AB1A6C">
        <w:rPr>
          <w:rFonts w:cs="Arial"/>
          <w:sz w:val="22"/>
          <w:szCs w:val="22"/>
        </w:rPr>
        <w:t xml:space="preserve">, considerando la siguiente </w:t>
      </w:r>
      <w:r w:rsidRPr="00743287">
        <w:rPr>
          <w:rFonts w:cs="Arial"/>
          <w:sz w:val="22"/>
          <w:szCs w:val="22"/>
        </w:rPr>
        <w:t>información:</w:t>
      </w:r>
    </w:p>
    <w:p w14:paraId="40B114F8" w14:textId="77777777" w:rsidR="001B4401" w:rsidRDefault="001B4401" w:rsidP="001B4401">
      <w:pPr>
        <w:ind w:right="-1"/>
        <w:rPr>
          <w:rFonts w:cs="Arial"/>
        </w:rPr>
      </w:pPr>
    </w:p>
    <w:p w14:paraId="647E3FB0" w14:textId="4B66E023" w:rsidR="001B4401" w:rsidRPr="00743287" w:rsidRDefault="001B4401" w:rsidP="00B423A2">
      <w:pPr>
        <w:pStyle w:val="Prrafodelista"/>
        <w:numPr>
          <w:ilvl w:val="0"/>
          <w:numId w:val="21"/>
        </w:numPr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  <w:r w:rsidRPr="00743287">
        <w:rPr>
          <w:rFonts w:ascii="Arial" w:hAnsi="Arial" w:cs="Arial"/>
          <w:sz w:val="22"/>
          <w:szCs w:val="22"/>
        </w:rPr>
        <w:t>Valores de los datos históricos de consumo diario de usuarios regulados en el mercado relevante donde atienden</w:t>
      </w:r>
      <w:r w:rsidR="00C51384">
        <w:rPr>
          <w:rFonts w:ascii="Arial" w:hAnsi="Arial" w:cs="Arial"/>
          <w:sz w:val="22"/>
          <w:szCs w:val="22"/>
        </w:rPr>
        <w:t xml:space="preserve"> y que han sido</w:t>
      </w:r>
      <w:r w:rsidRPr="00743287">
        <w:rPr>
          <w:rFonts w:ascii="Arial" w:hAnsi="Arial" w:cs="Arial"/>
          <w:sz w:val="22"/>
          <w:szCs w:val="22"/>
        </w:rPr>
        <w:t xml:space="preserve"> remitidos</w:t>
      </w:r>
      <w:r w:rsidR="00C51384">
        <w:rPr>
          <w:rFonts w:ascii="Arial" w:hAnsi="Arial" w:cs="Arial"/>
          <w:sz w:val="22"/>
          <w:szCs w:val="22"/>
        </w:rPr>
        <w:t xml:space="preserve"> por las empresas</w:t>
      </w:r>
      <w:r w:rsidRPr="00743287">
        <w:rPr>
          <w:rFonts w:ascii="Arial" w:hAnsi="Arial" w:cs="Arial"/>
          <w:sz w:val="22"/>
          <w:szCs w:val="22"/>
        </w:rPr>
        <w:t xml:space="preserve"> mediante los radicados: </w:t>
      </w:r>
      <w:r w:rsidR="008127AE" w:rsidRPr="008127AE">
        <w:rPr>
          <w:rFonts w:ascii="Arial" w:hAnsi="Arial" w:cs="Arial"/>
          <w:sz w:val="22"/>
          <w:szCs w:val="22"/>
        </w:rPr>
        <w:t>E-2019-006272</w:t>
      </w:r>
      <w:r w:rsidRPr="00743287">
        <w:rPr>
          <w:rFonts w:ascii="Arial" w:hAnsi="Arial" w:cs="Arial"/>
          <w:sz w:val="22"/>
          <w:szCs w:val="22"/>
        </w:rPr>
        <w:t xml:space="preserve"> de Gas </w:t>
      </w:r>
      <w:proofErr w:type="spellStart"/>
      <w:r w:rsidRPr="00743287">
        <w:rPr>
          <w:rFonts w:ascii="Arial" w:hAnsi="Arial" w:cs="Arial"/>
          <w:sz w:val="22"/>
          <w:szCs w:val="22"/>
        </w:rPr>
        <w:t>Cundiboyacense</w:t>
      </w:r>
      <w:proofErr w:type="spellEnd"/>
      <w:r w:rsidRPr="00743287">
        <w:rPr>
          <w:rFonts w:ascii="Arial" w:hAnsi="Arial" w:cs="Arial"/>
          <w:sz w:val="22"/>
          <w:szCs w:val="22"/>
        </w:rPr>
        <w:t xml:space="preserve"> S.A.</w:t>
      </w:r>
      <w:r w:rsidR="00E4480B">
        <w:rPr>
          <w:rFonts w:ascii="Arial" w:hAnsi="Arial" w:cs="Arial"/>
          <w:sz w:val="22"/>
          <w:szCs w:val="22"/>
        </w:rPr>
        <w:t xml:space="preserve"> </w:t>
      </w:r>
      <w:r w:rsidRPr="00743287">
        <w:rPr>
          <w:rFonts w:ascii="Arial" w:hAnsi="Arial" w:cs="Arial"/>
          <w:sz w:val="22"/>
          <w:szCs w:val="22"/>
        </w:rPr>
        <w:t xml:space="preserve">E.S.P., </w:t>
      </w:r>
      <w:r w:rsidR="008127AE" w:rsidRPr="008127AE">
        <w:rPr>
          <w:rFonts w:ascii="Arial" w:hAnsi="Arial" w:cs="Arial"/>
          <w:sz w:val="22"/>
          <w:szCs w:val="22"/>
        </w:rPr>
        <w:t>E-2019-006271</w:t>
      </w:r>
      <w:r w:rsidRPr="00743287">
        <w:rPr>
          <w:rFonts w:ascii="Arial" w:hAnsi="Arial" w:cs="Arial"/>
          <w:sz w:val="22"/>
          <w:szCs w:val="22"/>
        </w:rPr>
        <w:t xml:space="preserve"> de Gas Natural S.A. E.S.P</w:t>
      </w:r>
      <w:r w:rsidR="00E4480B">
        <w:rPr>
          <w:rFonts w:ascii="Arial" w:hAnsi="Arial" w:cs="Arial"/>
          <w:sz w:val="22"/>
          <w:szCs w:val="22"/>
        </w:rPr>
        <w:t>.</w:t>
      </w:r>
      <w:r w:rsidRPr="00743287">
        <w:rPr>
          <w:rFonts w:ascii="Arial" w:hAnsi="Arial" w:cs="Arial"/>
          <w:sz w:val="22"/>
          <w:szCs w:val="22"/>
        </w:rPr>
        <w:t xml:space="preserve">, </w:t>
      </w:r>
      <w:r w:rsidR="008127AE" w:rsidRPr="008127AE">
        <w:rPr>
          <w:rFonts w:ascii="Arial" w:hAnsi="Arial" w:cs="Arial"/>
          <w:sz w:val="22"/>
          <w:szCs w:val="22"/>
        </w:rPr>
        <w:t>E-2019-009413</w:t>
      </w:r>
      <w:r w:rsidRPr="00743287">
        <w:rPr>
          <w:rFonts w:ascii="Arial" w:hAnsi="Arial" w:cs="Arial"/>
          <w:sz w:val="22"/>
          <w:szCs w:val="22"/>
        </w:rPr>
        <w:t xml:space="preserve"> de Gases de Occidente S.A. E.S.P., </w:t>
      </w:r>
      <w:r w:rsidR="008127AE" w:rsidRPr="008127AE">
        <w:rPr>
          <w:rFonts w:ascii="Arial" w:hAnsi="Arial" w:cs="Arial"/>
          <w:sz w:val="22"/>
          <w:szCs w:val="22"/>
        </w:rPr>
        <w:t>E-2019-006262</w:t>
      </w:r>
      <w:r w:rsidR="008127AE">
        <w:rPr>
          <w:rFonts w:ascii="Arial" w:hAnsi="Arial" w:cs="Arial"/>
          <w:sz w:val="22"/>
          <w:szCs w:val="22"/>
        </w:rPr>
        <w:t xml:space="preserve"> </w:t>
      </w:r>
      <w:r w:rsidRPr="00743287">
        <w:rPr>
          <w:rFonts w:ascii="Arial" w:hAnsi="Arial" w:cs="Arial"/>
          <w:sz w:val="22"/>
          <w:szCs w:val="22"/>
        </w:rPr>
        <w:t xml:space="preserve">de Gases del Caribe S.A. E.S.P., </w:t>
      </w:r>
      <w:r w:rsidR="001D77BC" w:rsidRPr="001D77BC">
        <w:rPr>
          <w:rFonts w:ascii="Arial" w:hAnsi="Arial" w:cs="Arial"/>
          <w:sz w:val="22"/>
          <w:szCs w:val="22"/>
        </w:rPr>
        <w:t>E-2019-009425</w:t>
      </w:r>
      <w:r w:rsidR="001D77BC">
        <w:rPr>
          <w:rFonts w:ascii="Arial" w:hAnsi="Arial" w:cs="Arial"/>
          <w:sz w:val="22"/>
          <w:szCs w:val="22"/>
        </w:rPr>
        <w:t xml:space="preserve"> </w:t>
      </w:r>
      <w:r w:rsidRPr="00743287">
        <w:rPr>
          <w:rFonts w:ascii="Arial" w:hAnsi="Arial" w:cs="Arial"/>
          <w:sz w:val="22"/>
          <w:szCs w:val="22"/>
        </w:rPr>
        <w:t xml:space="preserve">de Surtidora de Gas del Caribe S.A. E.S.P, </w:t>
      </w:r>
      <w:r w:rsidR="001D77BC" w:rsidRPr="001D77BC">
        <w:rPr>
          <w:rFonts w:ascii="Arial" w:hAnsi="Arial" w:cs="Arial"/>
          <w:sz w:val="22"/>
          <w:szCs w:val="22"/>
        </w:rPr>
        <w:t>E-2019-009592</w:t>
      </w:r>
      <w:r w:rsidRPr="00743287">
        <w:rPr>
          <w:rFonts w:ascii="Arial" w:hAnsi="Arial" w:cs="Arial"/>
          <w:sz w:val="22"/>
          <w:szCs w:val="22"/>
        </w:rPr>
        <w:t xml:space="preserve"> de Empresas Públicas de Medellín</w:t>
      </w:r>
      <w:r w:rsidR="00F30E92">
        <w:rPr>
          <w:rFonts w:ascii="Arial" w:hAnsi="Arial" w:cs="Arial"/>
          <w:sz w:val="22"/>
          <w:szCs w:val="22"/>
        </w:rPr>
        <w:t xml:space="preserve"> </w:t>
      </w:r>
      <w:r w:rsidR="00F30E92" w:rsidRPr="00743287">
        <w:rPr>
          <w:rFonts w:ascii="Arial" w:hAnsi="Arial" w:cs="Arial"/>
          <w:sz w:val="22"/>
          <w:szCs w:val="22"/>
        </w:rPr>
        <w:t>E.S.P.</w:t>
      </w:r>
      <w:r w:rsidRPr="00743287">
        <w:rPr>
          <w:rFonts w:ascii="Arial" w:hAnsi="Arial" w:cs="Arial"/>
          <w:sz w:val="22"/>
          <w:szCs w:val="22"/>
        </w:rPr>
        <w:t xml:space="preserve"> y </w:t>
      </w:r>
      <w:r w:rsidR="001D77BC" w:rsidRPr="001D77BC">
        <w:rPr>
          <w:rFonts w:ascii="Arial" w:hAnsi="Arial" w:cs="Arial"/>
          <w:sz w:val="22"/>
          <w:szCs w:val="22"/>
        </w:rPr>
        <w:t>E-2019-006335</w:t>
      </w:r>
      <w:r w:rsidRPr="00743287">
        <w:rPr>
          <w:rFonts w:ascii="Arial" w:hAnsi="Arial" w:cs="Arial"/>
          <w:sz w:val="22"/>
          <w:szCs w:val="22"/>
        </w:rPr>
        <w:t xml:space="preserve"> de Alcanos de Colombia S.A. E.S.P.</w:t>
      </w:r>
    </w:p>
    <w:p w14:paraId="5A5E3BB8" w14:textId="77777777" w:rsidR="001B4401" w:rsidRPr="00743287" w:rsidRDefault="001B4401" w:rsidP="001B4401">
      <w:pPr>
        <w:ind w:right="-1"/>
        <w:rPr>
          <w:rFonts w:ascii="Arial" w:hAnsi="Arial" w:cs="Arial"/>
          <w:sz w:val="22"/>
          <w:szCs w:val="22"/>
        </w:rPr>
      </w:pPr>
    </w:p>
    <w:p w14:paraId="6C25FA8D" w14:textId="3548DEC0" w:rsidR="001B4401" w:rsidRDefault="001B4401" w:rsidP="00B423A2">
      <w:pPr>
        <w:pStyle w:val="Prrafodelista"/>
        <w:numPr>
          <w:ilvl w:val="0"/>
          <w:numId w:val="21"/>
        </w:numPr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  <w:r w:rsidRPr="00743287">
        <w:rPr>
          <w:rFonts w:ascii="Arial" w:hAnsi="Arial" w:cs="Arial"/>
          <w:sz w:val="22"/>
          <w:szCs w:val="22"/>
        </w:rPr>
        <w:t xml:space="preserve">Valores de </w:t>
      </w:r>
      <w:r w:rsidR="001D77BC">
        <w:rPr>
          <w:rFonts w:ascii="Arial" w:hAnsi="Arial" w:cs="Arial"/>
          <w:sz w:val="22"/>
          <w:szCs w:val="22"/>
        </w:rPr>
        <w:t xml:space="preserve">los </w:t>
      </w:r>
      <w:r w:rsidRPr="00743287">
        <w:rPr>
          <w:rFonts w:ascii="Arial" w:hAnsi="Arial" w:cs="Arial"/>
          <w:sz w:val="22"/>
          <w:szCs w:val="22"/>
        </w:rPr>
        <w:t xml:space="preserve">consumos reales mensuales históricos </w:t>
      </w:r>
      <w:r w:rsidR="001D77BC">
        <w:rPr>
          <w:rFonts w:ascii="Arial" w:hAnsi="Arial" w:cs="Arial"/>
          <w:sz w:val="22"/>
          <w:szCs w:val="22"/>
        </w:rPr>
        <w:t>que se encuentran reportados en el</w:t>
      </w:r>
      <w:r w:rsidRPr="00743287">
        <w:rPr>
          <w:rFonts w:ascii="Arial" w:hAnsi="Arial" w:cs="Arial"/>
          <w:sz w:val="22"/>
          <w:szCs w:val="22"/>
        </w:rPr>
        <w:t xml:space="preserve"> Sistema Único de Información, SUI, administrado por la Superintendencia de Servicios Públicos Domiciliarios.</w:t>
      </w:r>
    </w:p>
    <w:p w14:paraId="0809E4F8" w14:textId="77777777" w:rsidR="001B4401" w:rsidRPr="00440398" w:rsidRDefault="001B4401" w:rsidP="00B423A2">
      <w:pPr>
        <w:pStyle w:val="Prrafodelista"/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3678186" w14:textId="364F95C9" w:rsidR="001B4401" w:rsidRPr="008B33F1" w:rsidRDefault="00E61510" w:rsidP="00AB1A6C">
      <w:pPr>
        <w:pStyle w:val="Prrafodelista"/>
        <w:numPr>
          <w:ilvl w:val="0"/>
          <w:numId w:val="21"/>
        </w:numPr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Para el cálculo de la variable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y,i,j</m:t>
            </m:r>
          </m:sub>
        </m:sSub>
      </m:oMath>
      <w:r>
        <w:rPr>
          <w:rFonts w:ascii="Arial" w:hAnsi="Arial" w:cs="Arial"/>
          <w:sz w:val="22"/>
          <w:szCs w:val="22"/>
        </w:rPr>
        <w:t>, s</w:t>
      </w:r>
      <w:proofErr w:type="spellStart"/>
      <w:r w:rsidR="003E60FE" w:rsidRPr="00E570E6">
        <w:rPr>
          <w:rFonts w:ascii="Arial" w:hAnsi="Arial" w:cs="Arial"/>
          <w:sz w:val="22"/>
          <w:szCs w:val="22"/>
        </w:rPr>
        <w:t>e</w:t>
      </w:r>
      <w:proofErr w:type="spellEnd"/>
      <w:r w:rsidR="003E60FE" w:rsidRPr="00E570E6">
        <w:rPr>
          <w:rFonts w:ascii="Arial" w:hAnsi="Arial" w:cs="Arial"/>
          <w:sz w:val="22"/>
          <w:szCs w:val="22"/>
        </w:rPr>
        <w:t xml:space="preserve"> </w:t>
      </w:r>
      <w:r w:rsidR="008C498C">
        <w:rPr>
          <w:rFonts w:ascii="Arial" w:hAnsi="Arial" w:cs="Arial"/>
          <w:sz w:val="22"/>
          <w:szCs w:val="22"/>
        </w:rPr>
        <w:t>tienen en cuenta los cargos de distribución</w:t>
      </w:r>
      <w:r>
        <w:rPr>
          <w:rFonts w:ascii="Arial" w:hAnsi="Arial" w:cs="Arial"/>
          <w:sz w:val="22"/>
          <w:szCs w:val="22"/>
        </w:rPr>
        <w:t xml:space="preserve"> de gas natural</w:t>
      </w:r>
      <w:r w:rsidR="008C498C">
        <w:rPr>
          <w:rFonts w:ascii="Arial" w:hAnsi="Arial" w:cs="Arial"/>
          <w:sz w:val="22"/>
          <w:szCs w:val="22"/>
        </w:rPr>
        <w:t xml:space="preserve"> de carácter transitorio</w:t>
      </w:r>
      <w:r>
        <w:rPr>
          <w:rFonts w:ascii="Arial" w:hAnsi="Arial" w:cs="Arial"/>
          <w:sz w:val="22"/>
          <w:szCs w:val="22"/>
        </w:rPr>
        <w:t xml:space="preserve"> para mercados relevantes</w:t>
      </w:r>
      <w:r w:rsidR="008C49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expedidos con base en la Circular CREG 034 de 2017 y que se relacionan en la </w:t>
      </w:r>
      <w:r w:rsidR="00683A9A" w:rsidRPr="000578F7">
        <w:rPr>
          <w:rFonts w:ascii="Arial" w:hAnsi="Arial" w:cs="Arial"/>
          <w:b/>
          <w:sz w:val="22"/>
          <w:szCs w:val="22"/>
        </w:rPr>
        <w:t xml:space="preserve">Tabla </w:t>
      </w:r>
      <w:r w:rsidR="00947926" w:rsidRPr="000578F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la presente circular</w:t>
      </w:r>
      <w:r w:rsidR="00947926">
        <w:rPr>
          <w:rFonts w:ascii="Arial" w:hAnsi="Arial" w:cs="Arial"/>
          <w:sz w:val="22"/>
          <w:szCs w:val="22"/>
        </w:rPr>
        <w:t>.</w:t>
      </w:r>
    </w:p>
    <w:p w14:paraId="3890F456" w14:textId="629851E4" w:rsidR="00463396" w:rsidRDefault="00947926" w:rsidP="00B423A2">
      <w:pPr>
        <w:ind w:left="72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B423A2">
        <w:rPr>
          <w:rFonts w:ascii="Arial" w:hAnsi="Arial" w:cs="Arial"/>
          <w:b/>
          <w:sz w:val="22"/>
          <w:szCs w:val="22"/>
        </w:rPr>
        <w:t>Tabla</w:t>
      </w:r>
      <w:r w:rsidR="007D32DA">
        <w:rPr>
          <w:rFonts w:ascii="Arial" w:hAnsi="Arial" w:cs="Arial"/>
          <w:b/>
          <w:sz w:val="22"/>
          <w:szCs w:val="22"/>
        </w:rPr>
        <w:t xml:space="preserve"> </w:t>
      </w:r>
      <w:r w:rsidRPr="00B423A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Mercados transitorios que integran mercados </w:t>
      </w:r>
    </w:p>
    <w:p w14:paraId="7F9B7883" w14:textId="3F79A3E2" w:rsidR="00947926" w:rsidRDefault="00947926" w:rsidP="00B423A2">
      <w:pPr>
        <w:ind w:left="72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conformados con base en la Resolución CREG 011 de 2003.</w:t>
      </w:r>
    </w:p>
    <w:p w14:paraId="291008FC" w14:textId="77777777" w:rsidR="00947926" w:rsidRDefault="00947926" w:rsidP="00947926">
      <w:pPr>
        <w:ind w:right="-1"/>
        <w:jc w:val="center"/>
        <w:rPr>
          <w:rFonts w:ascii="Arial" w:hAnsi="Arial" w:cs="Arial"/>
          <w:sz w:val="22"/>
          <w:szCs w:val="22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8"/>
        <w:gridCol w:w="3800"/>
      </w:tblGrid>
      <w:tr w:rsidR="001B4401" w:rsidRPr="004D53D2" w14:paraId="2CF9993D" w14:textId="77777777" w:rsidTr="00AB1A6C">
        <w:trPr>
          <w:trHeight w:val="288"/>
          <w:jc w:val="center"/>
        </w:trPr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13226E7E" w14:textId="77777777" w:rsidR="001B4401" w:rsidRPr="004D53D2" w:rsidRDefault="001B4401" w:rsidP="00913B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Empresa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2AF5A64D" w14:textId="77777777" w:rsidR="001B4401" w:rsidRPr="004D53D2" w:rsidRDefault="001B4401" w:rsidP="00913B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  <w:t>Cargo  Transitorio</w:t>
            </w:r>
          </w:p>
        </w:tc>
      </w:tr>
      <w:tr w:rsidR="001B4401" w:rsidRPr="004D53D2" w14:paraId="5EA1723B" w14:textId="77777777" w:rsidTr="00AB1A6C">
        <w:trPr>
          <w:trHeight w:val="288"/>
          <w:jc w:val="center"/>
        </w:trPr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7E7874A6" w14:textId="33546F54" w:rsidR="001B4401" w:rsidRPr="004D53D2" w:rsidRDefault="001B4401" w:rsidP="00F30E92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Empresas P</w:t>
            </w: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ú</w:t>
            </w: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blicas de Medellín E.S.P.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6E200D0C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CREG 175 de 2017 / CREG 013 de 2018</w:t>
            </w:r>
          </w:p>
        </w:tc>
      </w:tr>
      <w:tr w:rsidR="001B4401" w:rsidRPr="004D53D2" w14:paraId="50BAECFD" w14:textId="77777777" w:rsidTr="00AB1A6C">
        <w:trPr>
          <w:trHeight w:val="288"/>
          <w:jc w:val="center"/>
        </w:trPr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72A8186C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Gases de Occidente S.A. E.S.P.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35BDE304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CREG 197 de 2017</w:t>
            </w:r>
          </w:p>
        </w:tc>
      </w:tr>
      <w:tr w:rsidR="001B4401" w:rsidRPr="004D53D2" w14:paraId="076AAE5E" w14:textId="77777777" w:rsidTr="00AB1A6C">
        <w:trPr>
          <w:trHeight w:val="288"/>
          <w:jc w:val="center"/>
        </w:trPr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2E228C43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Gases del Caribe S.A.  E.S.P.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7E6BC4D2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CREG 198 de 2017/ CREG 018 de 2018</w:t>
            </w:r>
          </w:p>
        </w:tc>
      </w:tr>
      <w:tr w:rsidR="001B4401" w:rsidRPr="004D53D2" w14:paraId="3852DF22" w14:textId="77777777" w:rsidTr="00AB1A6C">
        <w:trPr>
          <w:trHeight w:val="288"/>
          <w:jc w:val="center"/>
        </w:trPr>
        <w:tc>
          <w:tcPr>
            <w:tcW w:w="3708" w:type="dxa"/>
            <w:shd w:val="clear" w:color="auto" w:fill="auto"/>
            <w:noWrap/>
            <w:vAlign w:val="bottom"/>
            <w:hideMark/>
          </w:tcPr>
          <w:p w14:paraId="22B00C37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Surtidora de Gas del Caribe S.A. E.S.P</w:t>
            </w:r>
          </w:p>
        </w:tc>
        <w:tc>
          <w:tcPr>
            <w:tcW w:w="3800" w:type="dxa"/>
            <w:shd w:val="clear" w:color="auto" w:fill="auto"/>
            <w:noWrap/>
            <w:vAlign w:val="bottom"/>
            <w:hideMark/>
          </w:tcPr>
          <w:p w14:paraId="56D15912" w14:textId="77777777" w:rsidR="001B4401" w:rsidRPr="004D53D2" w:rsidRDefault="001B4401" w:rsidP="00913B11">
            <w:pP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4D53D2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CREG 174 de 2017 / CREG 006 de 2018</w:t>
            </w:r>
          </w:p>
        </w:tc>
      </w:tr>
    </w:tbl>
    <w:p w14:paraId="5E46DBCA" w14:textId="3FE4C2D8" w:rsidR="001B4401" w:rsidRDefault="001B4401" w:rsidP="001B440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1D8F2C5" w14:textId="77777777" w:rsidR="00947926" w:rsidRPr="004D53D2" w:rsidRDefault="00947926" w:rsidP="001B440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E1ED1AC" w14:textId="1B9EE7FA" w:rsidR="00155509" w:rsidRPr="000578F7" w:rsidRDefault="00155509" w:rsidP="000578F7">
      <w:pPr>
        <w:pStyle w:val="Prrafodelista"/>
        <w:numPr>
          <w:ilvl w:val="0"/>
          <w:numId w:val="21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0578F7">
        <w:rPr>
          <w:rFonts w:ascii="Arial" w:hAnsi="Arial" w:cs="Arial"/>
          <w:sz w:val="22"/>
          <w:szCs w:val="22"/>
        </w:rPr>
        <w:t xml:space="preserve">Para el cálculo de la variable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y,i,j</m:t>
            </m:r>
          </m:sub>
        </m:sSub>
      </m:oMath>
      <w:r w:rsidRPr="000578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 acuerdo con lo dispuesto en la </w:t>
      </w:r>
      <w:r w:rsidRPr="000578F7">
        <w:rPr>
          <w:rFonts w:ascii="Arial" w:hAnsi="Arial" w:cs="Arial"/>
          <w:sz w:val="22"/>
          <w:szCs w:val="22"/>
        </w:rPr>
        <w:t>Resolución CREG 002 de 2018, se tienen en cuenta los nuevo</w:t>
      </w:r>
      <w:r w:rsidR="006707EA">
        <w:rPr>
          <w:rFonts w:ascii="Arial" w:hAnsi="Arial" w:cs="Arial"/>
          <w:sz w:val="22"/>
          <w:szCs w:val="22"/>
        </w:rPr>
        <w:t>s</w:t>
      </w:r>
      <w:r w:rsidRPr="000578F7">
        <w:rPr>
          <w:rFonts w:ascii="Arial" w:hAnsi="Arial" w:cs="Arial"/>
          <w:sz w:val="22"/>
          <w:szCs w:val="22"/>
        </w:rPr>
        <w:t xml:space="preserve"> mercado</w:t>
      </w:r>
      <w:r w:rsidR="006707EA">
        <w:rPr>
          <w:rFonts w:ascii="Arial" w:hAnsi="Arial" w:cs="Arial"/>
          <w:sz w:val="22"/>
          <w:szCs w:val="22"/>
        </w:rPr>
        <w:t>s</w:t>
      </w:r>
      <w:r w:rsidRPr="000578F7">
        <w:rPr>
          <w:rFonts w:ascii="Arial" w:hAnsi="Arial" w:cs="Arial"/>
          <w:sz w:val="22"/>
          <w:szCs w:val="22"/>
        </w:rPr>
        <w:t xml:space="preserve"> relevante</w:t>
      </w:r>
      <w:r w:rsidR="006707EA">
        <w:rPr>
          <w:rFonts w:ascii="Arial" w:hAnsi="Arial" w:cs="Arial"/>
          <w:sz w:val="22"/>
          <w:szCs w:val="22"/>
        </w:rPr>
        <w:t>s</w:t>
      </w:r>
      <w:r w:rsidRPr="000578F7">
        <w:rPr>
          <w:rFonts w:ascii="Arial" w:hAnsi="Arial" w:cs="Arial"/>
          <w:sz w:val="22"/>
          <w:szCs w:val="22"/>
        </w:rPr>
        <w:t xml:space="preserve"> de comercialización en virtud de la aprobación de los cargos de distribución transitorios.</w:t>
      </w:r>
    </w:p>
    <w:p w14:paraId="740AD9D8" w14:textId="77777777" w:rsidR="00155509" w:rsidRDefault="00155509" w:rsidP="000578F7">
      <w:pPr>
        <w:pStyle w:val="Prrafodelista"/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BE1046A" w14:textId="7C1F4992" w:rsidR="001B4401" w:rsidRPr="00400223" w:rsidRDefault="00A925CF" w:rsidP="000578F7">
      <w:pPr>
        <w:pStyle w:val="Prrafodelista"/>
        <w:numPr>
          <w:ilvl w:val="0"/>
          <w:numId w:val="21"/>
        </w:numPr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Así mismo, se incluyó dentro del cálculo del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y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 xml:space="preserve"> </m:t>
        </m:r>
      </m:oMath>
      <w:r w:rsidR="001B4401">
        <w:rPr>
          <w:rFonts w:ascii="Arial" w:hAnsi="Arial" w:cs="Arial"/>
          <w:sz w:val="22"/>
          <w:szCs w:val="22"/>
        </w:rPr>
        <w:t xml:space="preserve">La empresa </w:t>
      </w:r>
      <w:r w:rsidR="001B4401" w:rsidRPr="00400223">
        <w:rPr>
          <w:rFonts w:ascii="Arial" w:hAnsi="Arial" w:cs="Arial"/>
          <w:sz w:val="22"/>
          <w:szCs w:val="22"/>
        </w:rPr>
        <w:t>Alcanos De Colombia S.A. E.S.P.</w:t>
      </w:r>
      <w:r w:rsidR="001B4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 cual a</w:t>
      </w:r>
      <w:r w:rsidR="001B4401">
        <w:rPr>
          <w:rFonts w:ascii="Arial" w:hAnsi="Arial" w:cs="Arial"/>
          <w:sz w:val="22"/>
          <w:szCs w:val="22"/>
        </w:rPr>
        <w:t>l unificar sus mercados</w:t>
      </w:r>
      <w:r>
        <w:rPr>
          <w:rFonts w:ascii="Arial" w:hAnsi="Arial" w:cs="Arial"/>
          <w:sz w:val="22"/>
          <w:szCs w:val="22"/>
        </w:rPr>
        <w:t>, tal y</w:t>
      </w:r>
      <w:r w:rsidR="001B4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como se aprobó en la </w:t>
      </w:r>
      <w:r w:rsidR="001B4401">
        <w:rPr>
          <w:rFonts w:ascii="Arial" w:hAnsi="Arial" w:cs="Arial"/>
          <w:sz w:val="22"/>
          <w:szCs w:val="22"/>
        </w:rPr>
        <w:t xml:space="preserve">Resolución CREG </w:t>
      </w:r>
      <w:r w:rsidR="001B4401" w:rsidRPr="00400223">
        <w:rPr>
          <w:rFonts w:ascii="Arial" w:hAnsi="Arial" w:cs="Arial"/>
          <w:sz w:val="22"/>
          <w:szCs w:val="22"/>
        </w:rPr>
        <w:t>011 de 2018,</w:t>
      </w:r>
      <w:r w:rsidR="001B4401">
        <w:rPr>
          <w:rFonts w:ascii="Arial" w:hAnsi="Arial" w:cs="Arial"/>
          <w:sz w:val="22"/>
          <w:szCs w:val="22"/>
        </w:rPr>
        <w:t xml:space="preserve"> </w:t>
      </w:r>
      <w:r w:rsidR="001B4401" w:rsidRPr="00400223">
        <w:rPr>
          <w:rFonts w:ascii="Arial" w:hAnsi="Arial" w:cs="Arial"/>
          <w:sz w:val="22"/>
          <w:szCs w:val="22"/>
        </w:rPr>
        <w:t xml:space="preserve"> </w:t>
      </w:r>
      <w:r w:rsidR="00F93811">
        <w:rPr>
          <w:rFonts w:ascii="Arial" w:hAnsi="Arial" w:cs="Arial"/>
          <w:sz w:val="22"/>
          <w:szCs w:val="22"/>
        </w:rPr>
        <w:t>s</w:t>
      </w:r>
      <w:r w:rsidR="00F93811" w:rsidRPr="00400223">
        <w:rPr>
          <w:rFonts w:ascii="Arial" w:hAnsi="Arial" w:cs="Arial"/>
          <w:sz w:val="22"/>
          <w:szCs w:val="22"/>
        </w:rPr>
        <w:t>uper</w:t>
      </w:r>
      <w:r w:rsidR="00F93811">
        <w:rPr>
          <w:rFonts w:ascii="Arial" w:hAnsi="Arial" w:cs="Arial"/>
          <w:sz w:val="22"/>
          <w:szCs w:val="22"/>
        </w:rPr>
        <w:t>a</w:t>
      </w:r>
      <w:r w:rsidR="00F93811" w:rsidRPr="00400223">
        <w:rPr>
          <w:rFonts w:ascii="Arial" w:hAnsi="Arial" w:cs="Arial"/>
          <w:sz w:val="22"/>
          <w:szCs w:val="22"/>
        </w:rPr>
        <w:t xml:space="preserve"> </w:t>
      </w:r>
      <w:r w:rsidR="001B4401" w:rsidRPr="00400223">
        <w:rPr>
          <w:rFonts w:ascii="Arial" w:hAnsi="Arial" w:cs="Arial"/>
          <w:sz w:val="22"/>
          <w:szCs w:val="22"/>
        </w:rPr>
        <w:t>el consumo de s</w:t>
      </w:r>
      <w:r>
        <w:rPr>
          <w:rFonts w:ascii="Arial" w:hAnsi="Arial" w:cs="Arial"/>
          <w:sz w:val="22"/>
          <w:szCs w:val="22"/>
        </w:rPr>
        <w:t xml:space="preserve">iete millones de metros cúbicos, aplicándole ahora lo definido en el numeral 5 del literal C, del numeral 5.1.1 del </w:t>
      </w:r>
      <w:r w:rsidR="00EB2DF6">
        <w:rPr>
          <w:rFonts w:ascii="Arial" w:hAnsi="Arial" w:cs="Arial"/>
          <w:sz w:val="22"/>
          <w:szCs w:val="22"/>
        </w:rPr>
        <w:t xml:space="preserve">Artículo </w:t>
      </w:r>
      <w:r>
        <w:rPr>
          <w:rFonts w:ascii="Arial" w:hAnsi="Arial" w:cs="Arial"/>
          <w:sz w:val="22"/>
          <w:szCs w:val="22"/>
        </w:rPr>
        <w:t>5 de la Resolución CREG 137 de 2013.</w:t>
      </w:r>
    </w:p>
    <w:p w14:paraId="227318D2" w14:textId="77777777" w:rsidR="001B4401" w:rsidRDefault="001B4401" w:rsidP="001B4401">
      <w:pPr>
        <w:pStyle w:val="Prrafodelista"/>
        <w:ind w:right="-1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2A8C93F" w14:textId="1187ECF7" w:rsidR="00AB1A6C" w:rsidRPr="00AB1A6C" w:rsidRDefault="00AB1A6C" w:rsidP="00AB1A6C">
      <w:pPr>
        <w:pStyle w:val="Textoindependiente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s-ES_tradnl"/>
        </w:rPr>
        <w:t>Finalmente, e</w:t>
      </w:r>
      <w:r>
        <w:rPr>
          <w:rFonts w:cs="Arial"/>
          <w:sz w:val="22"/>
          <w:szCs w:val="22"/>
        </w:rPr>
        <w:t xml:space="preserve">n la </w:t>
      </w:r>
      <w:r w:rsidRPr="00AB1A6C">
        <w:rPr>
          <w:rFonts w:cs="Arial"/>
          <w:b/>
          <w:sz w:val="22"/>
          <w:szCs w:val="22"/>
        </w:rPr>
        <w:t>Tabla 2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 presenta el c</w:t>
      </w:r>
      <w:r w:rsidRPr="00743287">
        <w:rPr>
          <w:rFonts w:cs="Arial"/>
          <w:sz w:val="22"/>
          <w:szCs w:val="22"/>
        </w:rPr>
        <w:t xml:space="preserve">álculo de  la variable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y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sub>
        </m:sSub>
      </m:oMath>
      <w:r w:rsidRPr="00743287">
        <w:rPr>
          <w:rFonts w:cs="Arial"/>
          <w:sz w:val="22"/>
          <w:szCs w:val="22"/>
        </w:rPr>
        <w:t xml:space="preserve"> para la definición del </w:t>
      </w:r>
      <w:r>
        <w:rPr>
          <w:rFonts w:cs="Arial"/>
          <w:sz w:val="22"/>
          <w:szCs w:val="22"/>
        </w:rPr>
        <w:t>r</w:t>
      </w:r>
      <w:r w:rsidRPr="00743287">
        <w:rPr>
          <w:rFonts w:cs="Arial"/>
          <w:sz w:val="22"/>
          <w:szCs w:val="22"/>
        </w:rPr>
        <w:t xml:space="preserve">ango de </w:t>
      </w:r>
      <w:r>
        <w:rPr>
          <w:rFonts w:cs="Arial"/>
          <w:sz w:val="22"/>
          <w:szCs w:val="22"/>
        </w:rPr>
        <w:t>c</w:t>
      </w:r>
      <w:r w:rsidRPr="00743287">
        <w:rPr>
          <w:rFonts w:cs="Arial"/>
          <w:sz w:val="22"/>
          <w:szCs w:val="22"/>
        </w:rPr>
        <w:t xml:space="preserve">ompras de </w:t>
      </w:r>
      <w:r>
        <w:rPr>
          <w:rFonts w:cs="Arial"/>
          <w:sz w:val="22"/>
          <w:szCs w:val="22"/>
        </w:rPr>
        <w:t>g</w:t>
      </w:r>
      <w:r w:rsidRPr="00743287">
        <w:rPr>
          <w:rFonts w:cs="Arial"/>
          <w:sz w:val="22"/>
          <w:szCs w:val="22"/>
        </w:rPr>
        <w:t>as</w:t>
      </w:r>
      <w:r>
        <w:rPr>
          <w:rFonts w:cs="Arial"/>
          <w:sz w:val="22"/>
          <w:szCs w:val="22"/>
        </w:rPr>
        <w:t>,</w:t>
      </w:r>
      <w:r w:rsidRPr="00743287">
        <w:rPr>
          <w:rFonts w:cs="Arial"/>
          <w:sz w:val="22"/>
          <w:szCs w:val="22"/>
        </w:rPr>
        <w:t xml:space="preserve"> aplicable en el próximo año</w:t>
      </w:r>
      <w:r>
        <w:rPr>
          <w:rFonts w:cs="Arial"/>
          <w:sz w:val="22"/>
          <w:szCs w:val="22"/>
        </w:rPr>
        <w:t>,</w:t>
      </w:r>
      <w:r w:rsidRPr="00743287">
        <w:rPr>
          <w:rFonts w:cs="Arial"/>
          <w:sz w:val="22"/>
          <w:szCs w:val="22"/>
        </w:rPr>
        <w:t xml:space="preserve"> comprendido entre el 1 de diciembre de 201</w:t>
      </w:r>
      <w:r>
        <w:rPr>
          <w:rFonts w:cs="Arial"/>
          <w:sz w:val="22"/>
          <w:szCs w:val="22"/>
        </w:rPr>
        <w:t>9</w:t>
      </w:r>
      <w:r w:rsidRPr="00743287">
        <w:rPr>
          <w:rFonts w:cs="Arial"/>
          <w:sz w:val="22"/>
          <w:szCs w:val="22"/>
        </w:rPr>
        <w:t xml:space="preserve"> hasta el 30 de noviembre de 20</w:t>
      </w:r>
      <w:r>
        <w:rPr>
          <w:rFonts w:cs="Arial"/>
          <w:sz w:val="22"/>
          <w:szCs w:val="22"/>
        </w:rPr>
        <w:t>20.</w:t>
      </w:r>
    </w:p>
    <w:p w14:paraId="463CF997" w14:textId="77777777" w:rsidR="00AB1A6C" w:rsidRDefault="00AB1A6C" w:rsidP="00B423A2">
      <w:pPr>
        <w:ind w:left="1418" w:right="1324"/>
        <w:rPr>
          <w:rFonts w:ascii="Arial" w:hAnsi="Arial" w:cs="Arial"/>
          <w:b/>
          <w:sz w:val="22"/>
          <w:szCs w:val="22"/>
        </w:rPr>
      </w:pPr>
    </w:p>
    <w:p w14:paraId="348C009D" w14:textId="2CE4C8A7" w:rsidR="001B4401" w:rsidRPr="00743287" w:rsidRDefault="001E2BB6" w:rsidP="00AB1A6C">
      <w:pPr>
        <w:ind w:left="1418" w:right="13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Tabla 2</w:t>
      </w:r>
      <w:r w:rsidR="001B4401" w:rsidRPr="00743287">
        <w:rPr>
          <w:rFonts w:ascii="Arial" w:hAnsi="Arial" w:cs="Arial"/>
          <w:b/>
          <w:sz w:val="22"/>
          <w:szCs w:val="22"/>
        </w:rPr>
        <w:t>.</w:t>
      </w:r>
      <w:r w:rsidR="001B4401" w:rsidRPr="00743287">
        <w:rPr>
          <w:rFonts w:ascii="Arial" w:hAnsi="Arial" w:cs="Arial"/>
          <w:sz w:val="22"/>
          <w:szCs w:val="22"/>
        </w:rPr>
        <w:t xml:space="preserve">  Cálculo de la variable </w:t>
      </w:r>
      <m:oMath>
        <m:sSub>
          <m:sSubPr>
            <m:ctrlPr>
              <w:rPr>
                <w:rFonts w:ascii="Cambria Math" w:hAnsi="Cambria Math" w:cs="Arial"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y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,</m:t>
            </m:r>
            <m:r>
              <w:rPr>
                <w:rFonts w:ascii="Cambria Math" w:hAnsi="Cambria Math" w:cs="Arial"/>
                <w:sz w:val="22"/>
                <w:szCs w:val="22"/>
              </w:rPr>
              <m:t>j</m:t>
            </m:r>
          </m:sub>
        </m:sSub>
      </m:oMath>
      <w:r w:rsidR="001B4401" w:rsidRPr="00743287">
        <w:rPr>
          <w:rFonts w:ascii="Arial" w:hAnsi="Arial" w:cs="Arial"/>
          <w:color w:val="FF0000"/>
          <w:sz w:val="22"/>
          <w:szCs w:val="22"/>
        </w:rPr>
        <w:t>.</w:t>
      </w:r>
    </w:p>
    <w:p w14:paraId="7A005615" w14:textId="77777777" w:rsidR="001B4401" w:rsidRDefault="001B4401" w:rsidP="001B4401">
      <w:pPr>
        <w:ind w:right="-1"/>
        <w:jc w:val="center"/>
        <w:rPr>
          <w:rFonts w:cs="Aria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9"/>
        <w:gridCol w:w="1559"/>
        <w:gridCol w:w="992"/>
        <w:gridCol w:w="992"/>
        <w:gridCol w:w="993"/>
        <w:gridCol w:w="920"/>
        <w:gridCol w:w="567"/>
        <w:gridCol w:w="567"/>
        <w:gridCol w:w="567"/>
      </w:tblGrid>
      <w:tr w:rsidR="001B4401" w:rsidRPr="00743287" w14:paraId="2A329430" w14:textId="77777777" w:rsidTr="00EE5F1A">
        <w:trPr>
          <w:trHeight w:val="420"/>
          <w:tblHeader/>
        </w:trPr>
        <w:tc>
          <w:tcPr>
            <w:tcW w:w="2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355AB" w14:textId="77777777" w:rsidR="001B4401" w:rsidRPr="00743287" w:rsidRDefault="001B4401" w:rsidP="00913B11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A6CA6" w14:textId="77777777" w:rsidR="001B4401" w:rsidRPr="00743287" w:rsidRDefault="001B4401" w:rsidP="00913B11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96C299" w14:textId="77777777" w:rsidR="001B4401" w:rsidRPr="00743287" w:rsidRDefault="00FE0125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  <w:lang w:val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/>
                      </w:rPr>
                      <m:t>Qmaxh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16"/>
                            <w:szCs w:val="16"/>
                            <w:lang w:val="es-C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  <w:lang w:val="es-CO"/>
                          </w:rPr>
                          <m:t>t-a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/>
                      </w:rPr>
                      <m:t>i,j</m:t>
                    </m:r>
                  </m:sub>
                </m:sSub>
              </m:oMath>
            </m:oMathPara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B41418" w14:textId="77777777" w:rsidR="001B4401" w:rsidRPr="00743287" w:rsidRDefault="00FE0125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16"/>
                        <w:szCs w:val="16"/>
                        <w:lang w:val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/>
                      </w:rPr>
                      <m:t>Qminh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16"/>
                            <w:szCs w:val="16"/>
                            <w:lang w:val="es-C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  <w:lang w:val="es-CO"/>
                          </w:rPr>
                          <m:t>t-a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/>
                      </w:rPr>
                      <m:t>i,j</m:t>
                    </m:r>
                  </m:sub>
                </m:sSub>
              </m:oMath>
            </m:oMathPara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738C27" w14:textId="77777777" w:rsidR="001B4401" w:rsidRPr="00743287" w:rsidRDefault="00FE0125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16"/>
                        <w:szCs w:val="16"/>
                        <w:lang w:val="es-CO"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 w:eastAsia="es-CO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 w:eastAsia="es-CO"/>
                      </w:rPr>
                      <m:t>(t-a),i,j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D47253" w14:textId="77777777" w:rsidR="001B4401" w:rsidRPr="00743287" w:rsidRDefault="00FE0125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16"/>
                        <w:szCs w:val="16"/>
                        <w:lang w:val="es-CO"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 w:eastAsia="es-CO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16"/>
                        <w:szCs w:val="16"/>
                        <w:lang w:val="es-CO" w:eastAsia="es-CO"/>
                      </w:rPr>
                      <m:t>y,i,j</m:t>
                    </m:r>
                  </m:sub>
                </m:sSub>
              </m:oMath>
            </m:oMathPara>
          </w:p>
        </w:tc>
      </w:tr>
      <w:tr w:rsidR="001B4401" w:rsidRPr="00743287" w14:paraId="6D116408" w14:textId="77777777" w:rsidTr="00EE5F1A">
        <w:trPr>
          <w:trHeight w:val="270"/>
          <w:tblHeader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BAFD7" w14:textId="77777777" w:rsidR="001B4401" w:rsidRPr="00743287" w:rsidRDefault="001B4401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EMPRESA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5CEB7" w14:textId="0BD0B3F3" w:rsidR="001B4401" w:rsidRPr="00743287" w:rsidRDefault="001B4401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MERCADO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199" w14:textId="1D0A4100" w:rsidR="001B4401" w:rsidRPr="00743287" w:rsidRDefault="00F92701" w:rsidP="00F927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3A2BB" w14:textId="2D6C57F9" w:rsidR="001B4401" w:rsidRPr="00743287" w:rsidRDefault="00F92701" w:rsidP="007D79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F6CC35" w14:textId="3077A890" w:rsidR="001B4401" w:rsidRPr="00743287" w:rsidRDefault="00F92701" w:rsidP="007D79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4D2CA" w14:textId="798A67E0" w:rsidR="001B4401" w:rsidRPr="00743287" w:rsidRDefault="00F92701" w:rsidP="007D79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7586F" w14:textId="4DBFF07A" w:rsidR="001B4401" w:rsidRPr="00743287" w:rsidRDefault="00F92701" w:rsidP="007D79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89E5A" w14:textId="5779505C" w:rsidR="001B4401" w:rsidRPr="00743287" w:rsidRDefault="00F92701" w:rsidP="007D79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201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F9845" w14:textId="77777777" w:rsidR="001B4401" w:rsidRPr="00743287" w:rsidRDefault="001B4401" w:rsidP="00913B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Final</w:t>
            </w:r>
          </w:p>
        </w:tc>
      </w:tr>
      <w:tr w:rsidR="00F92701" w:rsidRPr="00743287" w14:paraId="68BB3218" w14:textId="77777777" w:rsidTr="00EE5F1A">
        <w:trPr>
          <w:trHeight w:val="562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7865C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Empresas Públicas De Medellín E.S.P.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A5037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Antioquia - Medellín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AD3" w14:textId="640CC3AB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25,041,608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00703" w14:textId="58BB66B0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24,996,168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9C711" w14:textId="285F5989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19,889,848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6D43C" w14:textId="6CFAB050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20,786,017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8BB6C" w14:textId="684ADB34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AC580" w14:textId="1AC85AB2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6779DF" w14:textId="134C1B5C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0.79 </w:t>
            </w:r>
          </w:p>
        </w:tc>
      </w:tr>
      <w:tr w:rsidR="00F92701" w:rsidRPr="00743287" w14:paraId="58A73DCD" w14:textId="77777777" w:rsidTr="00EE5F1A">
        <w:trPr>
          <w:trHeight w:val="255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DAF36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Gas Natural </w:t>
            </w:r>
            <w:proofErr w:type="spellStart"/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Cundiboyacense</w:t>
            </w:r>
            <w:proofErr w:type="spellEnd"/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 S.A. E.S.P.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7AB6C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proofErr w:type="spellStart"/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Cundiboyacense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B00" w14:textId="69C250D7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12,489,283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AE4C1" w14:textId="5EA43FB1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11,764,818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68D37" w14:textId="5E2C3F3E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9,223,545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944D4C" w14:textId="62831479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9,769,935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6400A" w14:textId="59B555D3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B39AE5" w14:textId="1CAA60C3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4A262D" w14:textId="4F4EDBE6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0.74 </w:t>
            </w:r>
          </w:p>
        </w:tc>
      </w:tr>
      <w:tr w:rsidR="00F92701" w:rsidRPr="00743287" w14:paraId="12AF5E4B" w14:textId="77777777" w:rsidTr="00EE5F1A">
        <w:trPr>
          <w:trHeight w:val="510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AB6D1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Gas Natural S.A  E.S.P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4457F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Bogotá-centro Cundinamarca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DD3F" w14:textId="1F56F633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60,343,586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697FF" w14:textId="662FCEBA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59,239,155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1F0E0" w14:textId="531AAB5B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46,054,515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726FAF" w14:textId="412CB094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46,789,959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349CB" w14:textId="6A7EF488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0.76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A2B394" w14:textId="2377EC49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035DF" w14:textId="4AB06F0E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0.76 </w:t>
            </w:r>
          </w:p>
        </w:tc>
      </w:tr>
      <w:tr w:rsidR="00F92701" w:rsidRPr="00743287" w14:paraId="6D346080" w14:textId="77777777" w:rsidTr="00EE5F1A">
        <w:trPr>
          <w:trHeight w:val="510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1226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Gases De Occidente S.A. E.S.P.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230C5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Valle Del Cauca - Cali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DE0" w14:textId="6DA15150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22,930,445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1F8B7" w14:textId="60B9531C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18,590,733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F631D" w14:textId="40B64C7D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15,715,205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7A3943" w14:textId="2CA11FCB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14,669,937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37E35" w14:textId="3C4D740E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0.69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D79F1" w14:textId="026A179A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0.79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7BDF5B" w14:textId="3B18329B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0.69 </w:t>
            </w:r>
          </w:p>
        </w:tc>
      </w:tr>
      <w:tr w:rsidR="00F92701" w:rsidRPr="00743287" w14:paraId="46754A66" w14:textId="77777777" w:rsidTr="00EE5F1A">
        <w:trPr>
          <w:trHeight w:val="510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7026B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lastRenderedPageBreak/>
              <w:t>Gases Del Caribe S.A. E.S.P.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47659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Barranquilla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601" w14:textId="2A5A3EFA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20,730,777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C2DC0" w14:textId="632EBF0E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21,506,072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41356" w14:textId="13646BCF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17,355,348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6BC5C" w14:textId="0E889102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17,561,311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4E166" w14:textId="282FC508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7E6F0" w14:textId="4BA68C70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0.82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359B4" w14:textId="4F6677EF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0.82 </w:t>
            </w:r>
          </w:p>
        </w:tc>
      </w:tr>
      <w:tr w:rsidR="00F92701" w:rsidRPr="00743287" w14:paraId="5B5F56D6" w14:textId="77777777" w:rsidTr="00EE5F1A">
        <w:trPr>
          <w:trHeight w:val="460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3F623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Surtidora De Gas Del Caribe S.A. E.S.P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65057" w14:textId="77777777" w:rsidR="00F92701" w:rsidRPr="00743287" w:rsidRDefault="00F92701" w:rsidP="00F92701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43287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Bolívar - Cartagena De Indias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F938" w14:textId="2913DE19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14,130,320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898421" w14:textId="7A3C297D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14,105,904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EB4F6" w14:textId="71109A64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12,091,840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912C70" w14:textId="24FFE371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12,168,308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2B42F" w14:textId="07C53C4C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0.86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2D58" w14:textId="34A6E5B5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0.86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833A46" w14:textId="01C73024" w:rsidR="00F92701" w:rsidRPr="007D797D" w:rsidRDefault="00F92701" w:rsidP="007D797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D797D">
              <w:rPr>
                <w:b/>
                <w:sz w:val="16"/>
              </w:rPr>
              <w:t xml:space="preserve">0.86 </w:t>
            </w:r>
          </w:p>
        </w:tc>
      </w:tr>
      <w:tr w:rsidR="00F92701" w:rsidRPr="00EA7650" w14:paraId="090BC8BB" w14:textId="77777777" w:rsidTr="00EE5F1A">
        <w:trPr>
          <w:trHeight w:val="460"/>
        </w:trPr>
        <w:tc>
          <w:tcPr>
            <w:tcW w:w="21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32D8D" w14:textId="77777777" w:rsidR="00F92701" w:rsidRPr="00EA7650" w:rsidRDefault="00F92701" w:rsidP="00F92701">
            <w:pP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EA7650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Alcanos De Colombia S.A. E.S.P.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763F2" w14:textId="77777777" w:rsidR="00F92701" w:rsidRPr="00EA7650" w:rsidRDefault="00F92701" w:rsidP="00F92701">
            <w:pP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EA7650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Huila - Neiva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2024" w14:textId="518E9152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10,928,015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7EE35" w14:textId="6569D221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11,207,146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A14BC" w14:textId="27AF1694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9,903,969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A53F3" w14:textId="0301F666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10,085,985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38CFC" w14:textId="7D56573B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0.91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47531" w14:textId="745D6AC5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0.90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0A3E0" w14:textId="3ED5ED8B" w:rsidR="00F92701" w:rsidRPr="00B72DE1" w:rsidRDefault="00F92701" w:rsidP="007D797D">
            <w:pPr>
              <w:jc w:val="right"/>
              <w:rPr>
                <w:b/>
                <w:sz w:val="16"/>
              </w:rPr>
            </w:pPr>
            <w:r w:rsidRPr="00B72DE1">
              <w:rPr>
                <w:b/>
                <w:sz w:val="16"/>
              </w:rPr>
              <w:t xml:space="preserve">0.90 </w:t>
            </w:r>
          </w:p>
        </w:tc>
      </w:tr>
    </w:tbl>
    <w:p w14:paraId="24206741" w14:textId="77777777" w:rsidR="001B4401" w:rsidRDefault="001B4401" w:rsidP="001B4401">
      <w:pPr>
        <w:rPr>
          <w:rFonts w:cs="Arial"/>
        </w:rPr>
      </w:pPr>
    </w:p>
    <w:p w14:paraId="5422D3D0" w14:textId="7C8FC88A" w:rsidR="00DB4B19" w:rsidRPr="00930ED3" w:rsidRDefault="00DB4B19" w:rsidP="00930ED3">
      <w:pPr>
        <w:pStyle w:val="Prrafodelista"/>
        <w:ind w:left="0"/>
        <w:rPr>
          <w:rFonts w:cs="Arial"/>
          <w:sz w:val="22"/>
          <w:szCs w:val="22"/>
        </w:rPr>
      </w:pPr>
    </w:p>
    <w:p w14:paraId="1876DB8B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C615C4">
        <w:rPr>
          <w:rFonts w:cs="Arial"/>
          <w:sz w:val="22"/>
          <w:szCs w:val="22"/>
        </w:rPr>
        <w:t>Cordialmente,</w:t>
      </w:r>
    </w:p>
    <w:p w14:paraId="22D10F2E" w14:textId="77777777" w:rsidR="001F1362" w:rsidRPr="00C615C4" w:rsidRDefault="001F1362" w:rsidP="001F1362">
      <w:pPr>
        <w:jc w:val="center"/>
        <w:rPr>
          <w:rFonts w:ascii="Arial" w:hAnsi="Arial" w:cs="Arial"/>
          <w:sz w:val="22"/>
          <w:szCs w:val="22"/>
        </w:rPr>
      </w:pPr>
    </w:p>
    <w:p w14:paraId="49402D94" w14:textId="77777777" w:rsidR="001F1362" w:rsidRPr="00C615C4" w:rsidRDefault="001F1362" w:rsidP="001F1362">
      <w:pPr>
        <w:jc w:val="center"/>
        <w:rPr>
          <w:rFonts w:ascii="Arial" w:hAnsi="Arial" w:cs="Arial"/>
          <w:sz w:val="22"/>
          <w:szCs w:val="22"/>
        </w:rPr>
      </w:pPr>
    </w:p>
    <w:p w14:paraId="2F8EC09C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27FE742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FD7867F" w14:textId="77777777" w:rsidR="001F1362" w:rsidRPr="000578F7" w:rsidRDefault="001F1362" w:rsidP="001F136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0578F7">
        <w:rPr>
          <w:rFonts w:cs="Arial"/>
          <w:sz w:val="22"/>
          <w:szCs w:val="22"/>
        </w:rPr>
        <w:t>CHRISTIAN JARAMILLO HERRERA</w:t>
      </w:r>
    </w:p>
    <w:p w14:paraId="3FE5883E" w14:textId="77777777" w:rsidR="0094166A" w:rsidRPr="00930ED3" w:rsidRDefault="0094166A" w:rsidP="008B33F1">
      <w:pPr>
        <w:pStyle w:val="Prrafodelista"/>
        <w:ind w:left="0"/>
        <w:contextualSpacing w:val="0"/>
        <w:jc w:val="center"/>
        <w:rPr>
          <w:rFonts w:cs="Arial"/>
          <w:b/>
          <w:sz w:val="22"/>
          <w:szCs w:val="22"/>
        </w:rPr>
      </w:pPr>
    </w:p>
    <w:sectPr w:rsidR="0094166A" w:rsidRPr="00930ED3" w:rsidSect="00B74DF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F8697A" w16cid:durableId="21237DD4"/>
  <w16cid:commentId w16cid:paraId="19F3193B" w16cid:durableId="21237DD5"/>
  <w16cid:commentId w16cid:paraId="4333564D" w16cid:durableId="212384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A0D8" w14:textId="77777777" w:rsidR="0015077B" w:rsidRDefault="0015077B" w:rsidP="00AA0519">
      <w:r>
        <w:separator/>
      </w:r>
    </w:p>
  </w:endnote>
  <w:endnote w:type="continuationSeparator" w:id="0">
    <w:p w14:paraId="48C6D83D" w14:textId="77777777" w:rsidR="0015077B" w:rsidRDefault="0015077B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F103" w14:textId="77777777" w:rsidR="0094166A" w:rsidRDefault="0094166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4319237" wp14:editId="7CC2FBC1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410D" w14:textId="5542D4E5" w:rsidR="0094166A" w:rsidRDefault="0094166A" w:rsidP="003F2F4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1B1DF" w14:textId="77777777" w:rsidR="0015077B" w:rsidRDefault="0015077B" w:rsidP="00AA0519">
      <w:r>
        <w:separator/>
      </w:r>
    </w:p>
  </w:footnote>
  <w:footnote w:type="continuationSeparator" w:id="0">
    <w:p w14:paraId="6CC580E2" w14:textId="77777777" w:rsidR="0015077B" w:rsidRDefault="0015077B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9E821" w14:textId="60E6D92B" w:rsidR="0094166A" w:rsidRDefault="0094166A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081F188C" wp14:editId="2BFD74B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3573AA16" wp14:editId="3150CF68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14:paraId="00EB18B4" w14:textId="77777777" w:rsidR="0094166A" w:rsidRDefault="0094166A">
    <w:pPr>
      <w:pStyle w:val="Encabezado"/>
    </w:pPr>
  </w:p>
  <w:p w14:paraId="0B17853A" w14:textId="7AB12051" w:rsidR="0094166A" w:rsidRDefault="0094166A">
    <w:pPr>
      <w:pStyle w:val="Encabezado"/>
      <w:rPr>
        <w:rFonts w:ascii="Arial" w:hAnsi="Arial" w:cs="Arial"/>
        <w:sz w:val="18"/>
        <w:szCs w:val="18"/>
        <w:u w:val="single"/>
      </w:rPr>
    </w:pPr>
    <w:r w:rsidRPr="00930ED3">
      <w:rPr>
        <w:rFonts w:ascii="Arial" w:hAnsi="Arial" w:cs="Arial"/>
        <w:sz w:val="18"/>
        <w:szCs w:val="18"/>
        <w:u w:val="single"/>
      </w:rPr>
      <w:t>Circular</w:t>
    </w:r>
    <w:r w:rsidR="000578F7">
      <w:rPr>
        <w:rFonts w:ascii="Arial" w:hAnsi="Arial" w:cs="Arial"/>
        <w:sz w:val="18"/>
        <w:szCs w:val="18"/>
        <w:u w:val="single"/>
      </w:rPr>
      <w:t>095</w:t>
    </w:r>
  </w:p>
  <w:p w14:paraId="7831BDDB" w14:textId="5F984C3C" w:rsidR="000578F7" w:rsidRPr="00930ED3" w:rsidRDefault="000578F7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Noviembre de 2019</w:t>
    </w:r>
  </w:p>
  <w:p w14:paraId="205EA763" w14:textId="3DEDC08B" w:rsidR="0094166A" w:rsidRPr="00570E5D" w:rsidRDefault="0094166A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930ED3">
      <w:rPr>
        <w:rFonts w:ascii="Arial" w:hAnsi="Arial" w:cs="Arial"/>
        <w:bCs/>
        <w:sz w:val="18"/>
        <w:szCs w:val="18"/>
        <w:u w:val="single"/>
      </w:rPr>
      <w:fldChar w:fldCharType="begin"/>
    </w:r>
    <w:r w:rsidRPr="00930ED3">
      <w:rPr>
        <w:rFonts w:ascii="Arial" w:hAnsi="Arial" w:cs="Arial"/>
        <w:bCs/>
        <w:sz w:val="18"/>
        <w:szCs w:val="18"/>
        <w:u w:val="single"/>
      </w:rPr>
      <w:instrText>PAGE  \* Arabic  \* MERGEFORMAT</w:instrText>
    </w:r>
    <w:r w:rsidRPr="00930ED3">
      <w:rPr>
        <w:rFonts w:ascii="Arial" w:hAnsi="Arial" w:cs="Arial"/>
        <w:bCs/>
        <w:sz w:val="18"/>
        <w:szCs w:val="18"/>
        <w:u w:val="single"/>
      </w:rPr>
      <w:fldChar w:fldCharType="separate"/>
    </w:r>
    <w:r w:rsidR="00FE0125" w:rsidRPr="00FE0125">
      <w:rPr>
        <w:rFonts w:ascii="Arial" w:hAnsi="Arial" w:cs="Arial"/>
        <w:bCs/>
        <w:noProof/>
        <w:sz w:val="18"/>
        <w:szCs w:val="18"/>
        <w:u w:val="single"/>
        <w:lang w:val="es-ES"/>
      </w:rPr>
      <w:t>3</w:t>
    </w:r>
    <w:r w:rsidRPr="00930ED3">
      <w:rPr>
        <w:rFonts w:ascii="Arial" w:hAnsi="Arial" w:cs="Arial"/>
        <w:bCs/>
        <w:sz w:val="18"/>
        <w:szCs w:val="18"/>
        <w:u w:val="single"/>
      </w:rPr>
      <w:fldChar w:fldCharType="end"/>
    </w:r>
    <w:r w:rsidRPr="00930ED3">
      <w:rPr>
        <w:rFonts w:ascii="Arial" w:hAnsi="Arial" w:cs="Arial"/>
        <w:sz w:val="18"/>
        <w:szCs w:val="18"/>
        <w:u w:val="single"/>
        <w:lang w:val="es-ES"/>
      </w:rPr>
      <w:t>/</w:t>
    </w:r>
    <w:r w:rsidRPr="00930ED3">
      <w:rPr>
        <w:rFonts w:ascii="Arial" w:hAnsi="Arial" w:cs="Arial"/>
        <w:bCs/>
        <w:sz w:val="18"/>
        <w:szCs w:val="18"/>
        <w:u w:val="single"/>
      </w:rPr>
      <w:fldChar w:fldCharType="begin"/>
    </w:r>
    <w:r w:rsidRPr="00930ED3">
      <w:rPr>
        <w:rFonts w:ascii="Arial" w:hAnsi="Arial" w:cs="Arial"/>
        <w:bCs/>
        <w:sz w:val="18"/>
        <w:szCs w:val="18"/>
        <w:u w:val="single"/>
      </w:rPr>
      <w:instrText>NUMPAGES  \* Arabic  \* MERGEFORMAT</w:instrText>
    </w:r>
    <w:r w:rsidRPr="00930ED3">
      <w:rPr>
        <w:rFonts w:ascii="Arial" w:hAnsi="Arial" w:cs="Arial"/>
        <w:bCs/>
        <w:sz w:val="18"/>
        <w:szCs w:val="18"/>
        <w:u w:val="single"/>
      </w:rPr>
      <w:fldChar w:fldCharType="separate"/>
    </w:r>
    <w:r w:rsidR="00FE0125" w:rsidRPr="00FE0125">
      <w:rPr>
        <w:rFonts w:ascii="Arial" w:hAnsi="Arial" w:cs="Arial"/>
        <w:bCs/>
        <w:noProof/>
        <w:sz w:val="18"/>
        <w:szCs w:val="18"/>
        <w:u w:val="single"/>
        <w:lang w:val="es-ES"/>
      </w:rPr>
      <w:t>3</w:t>
    </w:r>
    <w:r w:rsidRPr="00930ED3">
      <w:rPr>
        <w:rFonts w:ascii="Arial" w:hAnsi="Arial" w:cs="Arial"/>
        <w:bCs/>
        <w:sz w:val="18"/>
        <w:szCs w:val="18"/>
        <w:u w:val="single"/>
      </w:rPr>
      <w:fldChar w:fldCharType="end"/>
    </w:r>
  </w:p>
  <w:p w14:paraId="6A4845F9" w14:textId="77777777" w:rsidR="0094166A" w:rsidRDefault="009416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522A" w14:textId="5E6E2B41" w:rsidR="0094166A" w:rsidRDefault="0094166A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F4108A8" wp14:editId="5CF60473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5158D70" wp14:editId="06DFDD7A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3A450F9E" w14:textId="77777777" w:rsidR="0094166A" w:rsidRDefault="0094166A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BE4"/>
    <w:multiLevelType w:val="hybridMultilevel"/>
    <w:tmpl w:val="F2540B18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1EA67D85"/>
    <w:multiLevelType w:val="hybridMultilevel"/>
    <w:tmpl w:val="775A3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51E5"/>
    <w:multiLevelType w:val="hybridMultilevel"/>
    <w:tmpl w:val="0E507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25D9F"/>
    <w:multiLevelType w:val="hybridMultilevel"/>
    <w:tmpl w:val="B43291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37411"/>
    <w:multiLevelType w:val="hybridMultilevel"/>
    <w:tmpl w:val="1AF21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464"/>
    <w:multiLevelType w:val="hybridMultilevel"/>
    <w:tmpl w:val="59B86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565A"/>
    <w:multiLevelType w:val="hybridMultilevel"/>
    <w:tmpl w:val="F38862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2375A"/>
    <w:multiLevelType w:val="hybridMultilevel"/>
    <w:tmpl w:val="84DE9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5D37"/>
    <w:multiLevelType w:val="hybridMultilevel"/>
    <w:tmpl w:val="AA5C241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FA72886"/>
    <w:multiLevelType w:val="hybridMultilevel"/>
    <w:tmpl w:val="BB5A0FB2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8571BB"/>
    <w:multiLevelType w:val="hybridMultilevel"/>
    <w:tmpl w:val="D312D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5E03"/>
    <w:multiLevelType w:val="hybridMultilevel"/>
    <w:tmpl w:val="E70EA8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8739E"/>
    <w:multiLevelType w:val="hybridMultilevel"/>
    <w:tmpl w:val="3406444E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154" w:hanging="360"/>
      </w:pPr>
      <w:rPr>
        <w:rFonts w:hint="default"/>
      </w:rPr>
    </w:lvl>
    <w:lvl w:ilvl="2" w:tplc="53FEC88A">
      <w:start w:val="1"/>
      <w:numFmt w:val="decimal"/>
      <w:lvlText w:val="%3."/>
      <w:lvlJc w:val="left"/>
      <w:pPr>
        <w:ind w:left="1874" w:hanging="360"/>
      </w:pPr>
      <w:rPr>
        <w:rFonts w:hint="default"/>
      </w:rPr>
    </w:lvl>
    <w:lvl w:ilvl="3" w:tplc="ED821744">
      <w:start w:val="1"/>
      <w:numFmt w:val="decimal"/>
      <w:lvlText w:val="(%4)"/>
      <w:lvlJc w:val="left"/>
      <w:pPr>
        <w:ind w:left="2594" w:hanging="360"/>
      </w:pPr>
      <w:rPr>
        <w:rFonts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3" w15:restartNumberingAfterBreak="0">
    <w:nsid w:val="6142696B"/>
    <w:multiLevelType w:val="hybridMultilevel"/>
    <w:tmpl w:val="9A08966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4F863738"/>
    <w:lvl w:ilvl="0" w:tplc="C81666E2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5" w15:restartNumberingAfterBreak="0">
    <w:nsid w:val="6D744312"/>
    <w:multiLevelType w:val="hybridMultilevel"/>
    <w:tmpl w:val="51909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F5C1D"/>
    <w:multiLevelType w:val="hybridMultilevel"/>
    <w:tmpl w:val="1376FA0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5D5078"/>
    <w:multiLevelType w:val="hybridMultilevel"/>
    <w:tmpl w:val="9A08966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10D1"/>
    <w:multiLevelType w:val="hybridMultilevel"/>
    <w:tmpl w:val="87CAE0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95D4E"/>
    <w:multiLevelType w:val="hybridMultilevel"/>
    <w:tmpl w:val="716A92C2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154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0" w15:restartNumberingAfterBreak="0">
    <w:nsid w:val="7C7D0BCA"/>
    <w:multiLevelType w:val="hybridMultilevel"/>
    <w:tmpl w:val="D9563A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1"/>
  </w:num>
  <w:num w:numId="5">
    <w:abstractNumId w:val="6"/>
  </w:num>
  <w:num w:numId="6">
    <w:abstractNumId w:val="5"/>
  </w:num>
  <w:num w:numId="7">
    <w:abstractNumId w:val="16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4"/>
  </w:num>
  <w:num w:numId="14">
    <w:abstractNumId w:val="14"/>
    <w:lvlOverride w:ilvl="0">
      <w:lvl w:ilvl="0" w:tplc="C81666E2">
        <w:start w:val="1"/>
        <w:numFmt w:val="lowerRoman"/>
        <w:lvlText w:val="%1."/>
        <w:lvlJc w:val="right"/>
        <w:pPr>
          <w:ind w:left="434" w:hanging="360"/>
        </w:pPr>
        <w:rPr>
          <w:rFonts w:hint="default"/>
        </w:rPr>
      </w:lvl>
    </w:lvlOverride>
    <w:lvlOverride w:ilvl="1">
      <w:lvl w:ilvl="1" w:tplc="240A000B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9"/>
  </w:num>
  <w:num w:numId="17">
    <w:abstractNumId w:val="12"/>
  </w:num>
  <w:num w:numId="18">
    <w:abstractNumId w:val="9"/>
  </w:num>
  <w:num w:numId="19">
    <w:abstractNumId w:val="20"/>
  </w:num>
  <w:num w:numId="20">
    <w:abstractNumId w:val="15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3983"/>
    <w:rsid w:val="0003132C"/>
    <w:rsid w:val="00032C21"/>
    <w:rsid w:val="000344B2"/>
    <w:rsid w:val="00054B79"/>
    <w:rsid w:val="000578F7"/>
    <w:rsid w:val="00062D4C"/>
    <w:rsid w:val="0006582B"/>
    <w:rsid w:val="00071142"/>
    <w:rsid w:val="00082C3A"/>
    <w:rsid w:val="000C34CA"/>
    <w:rsid w:val="000C4B8B"/>
    <w:rsid w:val="000C79DB"/>
    <w:rsid w:val="000D1E80"/>
    <w:rsid w:val="000F3270"/>
    <w:rsid w:val="000F38B4"/>
    <w:rsid w:val="000F660F"/>
    <w:rsid w:val="001215BB"/>
    <w:rsid w:val="00134F37"/>
    <w:rsid w:val="00135060"/>
    <w:rsid w:val="0014353D"/>
    <w:rsid w:val="00147181"/>
    <w:rsid w:val="0015077B"/>
    <w:rsid w:val="00153BE7"/>
    <w:rsid w:val="00155509"/>
    <w:rsid w:val="00160DB4"/>
    <w:rsid w:val="00177429"/>
    <w:rsid w:val="001A429D"/>
    <w:rsid w:val="001B1023"/>
    <w:rsid w:val="001B4401"/>
    <w:rsid w:val="001C0A2C"/>
    <w:rsid w:val="001C0EDF"/>
    <w:rsid w:val="001D7513"/>
    <w:rsid w:val="001D77BC"/>
    <w:rsid w:val="001E2BB6"/>
    <w:rsid w:val="001E2FA9"/>
    <w:rsid w:val="001F1362"/>
    <w:rsid w:val="001F3477"/>
    <w:rsid w:val="00207ED3"/>
    <w:rsid w:val="002308CB"/>
    <w:rsid w:val="00232717"/>
    <w:rsid w:val="002A25D8"/>
    <w:rsid w:val="002C26C3"/>
    <w:rsid w:val="002D1A6D"/>
    <w:rsid w:val="002E25F1"/>
    <w:rsid w:val="003007B9"/>
    <w:rsid w:val="00302564"/>
    <w:rsid w:val="00304136"/>
    <w:rsid w:val="003067BE"/>
    <w:rsid w:val="00311A91"/>
    <w:rsid w:val="003173E8"/>
    <w:rsid w:val="00317FC0"/>
    <w:rsid w:val="00346544"/>
    <w:rsid w:val="00353D1D"/>
    <w:rsid w:val="00355779"/>
    <w:rsid w:val="00363E22"/>
    <w:rsid w:val="0039297C"/>
    <w:rsid w:val="003B27AA"/>
    <w:rsid w:val="003C01C1"/>
    <w:rsid w:val="003C7E1C"/>
    <w:rsid w:val="003E60FE"/>
    <w:rsid w:val="003F2F4B"/>
    <w:rsid w:val="003F52AB"/>
    <w:rsid w:val="003F61FC"/>
    <w:rsid w:val="004036FD"/>
    <w:rsid w:val="00407B59"/>
    <w:rsid w:val="00413D5D"/>
    <w:rsid w:val="004170AF"/>
    <w:rsid w:val="0042269D"/>
    <w:rsid w:val="00437882"/>
    <w:rsid w:val="00454CED"/>
    <w:rsid w:val="00457CC2"/>
    <w:rsid w:val="00463396"/>
    <w:rsid w:val="004742FE"/>
    <w:rsid w:val="00474DC1"/>
    <w:rsid w:val="00483E27"/>
    <w:rsid w:val="0049387F"/>
    <w:rsid w:val="00496476"/>
    <w:rsid w:val="004A3039"/>
    <w:rsid w:val="004C6E45"/>
    <w:rsid w:val="004D2BDC"/>
    <w:rsid w:val="004F030B"/>
    <w:rsid w:val="004F07EE"/>
    <w:rsid w:val="004F7560"/>
    <w:rsid w:val="0050029D"/>
    <w:rsid w:val="005216F1"/>
    <w:rsid w:val="00537A27"/>
    <w:rsid w:val="005419DF"/>
    <w:rsid w:val="00544A1A"/>
    <w:rsid w:val="005451AE"/>
    <w:rsid w:val="005464DE"/>
    <w:rsid w:val="00555ADD"/>
    <w:rsid w:val="005605F6"/>
    <w:rsid w:val="00564F13"/>
    <w:rsid w:val="00570E48"/>
    <w:rsid w:val="00570E5D"/>
    <w:rsid w:val="005723D7"/>
    <w:rsid w:val="00592041"/>
    <w:rsid w:val="00592AE7"/>
    <w:rsid w:val="0059400B"/>
    <w:rsid w:val="005A5C53"/>
    <w:rsid w:val="005B29BE"/>
    <w:rsid w:val="005D03D3"/>
    <w:rsid w:val="005E366C"/>
    <w:rsid w:val="006003FB"/>
    <w:rsid w:val="006218FB"/>
    <w:rsid w:val="00626241"/>
    <w:rsid w:val="0063398E"/>
    <w:rsid w:val="00647B90"/>
    <w:rsid w:val="006707EA"/>
    <w:rsid w:val="00677266"/>
    <w:rsid w:val="00683A9A"/>
    <w:rsid w:val="006849B7"/>
    <w:rsid w:val="006A238A"/>
    <w:rsid w:val="006A6968"/>
    <w:rsid w:val="006B115E"/>
    <w:rsid w:val="006C21AC"/>
    <w:rsid w:val="006D61F5"/>
    <w:rsid w:val="006E23C5"/>
    <w:rsid w:val="006E2616"/>
    <w:rsid w:val="00717096"/>
    <w:rsid w:val="00725A24"/>
    <w:rsid w:val="00735E1F"/>
    <w:rsid w:val="0074199A"/>
    <w:rsid w:val="00753394"/>
    <w:rsid w:val="007729A6"/>
    <w:rsid w:val="007762F6"/>
    <w:rsid w:val="0078167E"/>
    <w:rsid w:val="007841A1"/>
    <w:rsid w:val="00785D9E"/>
    <w:rsid w:val="00796B01"/>
    <w:rsid w:val="00797C42"/>
    <w:rsid w:val="007D26B3"/>
    <w:rsid w:val="007D32DA"/>
    <w:rsid w:val="007D797D"/>
    <w:rsid w:val="007E25A7"/>
    <w:rsid w:val="007F42E3"/>
    <w:rsid w:val="008127AE"/>
    <w:rsid w:val="00826A58"/>
    <w:rsid w:val="00827A4D"/>
    <w:rsid w:val="00836F8C"/>
    <w:rsid w:val="00845D47"/>
    <w:rsid w:val="00857D7B"/>
    <w:rsid w:val="00873BF7"/>
    <w:rsid w:val="00875402"/>
    <w:rsid w:val="00886768"/>
    <w:rsid w:val="00887C89"/>
    <w:rsid w:val="008942F3"/>
    <w:rsid w:val="008B17A8"/>
    <w:rsid w:val="008B2B16"/>
    <w:rsid w:val="008B33F1"/>
    <w:rsid w:val="008C29A1"/>
    <w:rsid w:val="008C498C"/>
    <w:rsid w:val="008C5CB2"/>
    <w:rsid w:val="008C5F61"/>
    <w:rsid w:val="008E6674"/>
    <w:rsid w:val="00901888"/>
    <w:rsid w:val="009030E0"/>
    <w:rsid w:val="00910301"/>
    <w:rsid w:val="009252F7"/>
    <w:rsid w:val="00930ED3"/>
    <w:rsid w:val="0093331B"/>
    <w:rsid w:val="00935FF9"/>
    <w:rsid w:val="0094166A"/>
    <w:rsid w:val="00947926"/>
    <w:rsid w:val="009659E5"/>
    <w:rsid w:val="00967EE1"/>
    <w:rsid w:val="009724B8"/>
    <w:rsid w:val="009847AC"/>
    <w:rsid w:val="009A3312"/>
    <w:rsid w:val="009A4CAA"/>
    <w:rsid w:val="009A50BA"/>
    <w:rsid w:val="009B0617"/>
    <w:rsid w:val="009E4DCD"/>
    <w:rsid w:val="009E69FA"/>
    <w:rsid w:val="009F3678"/>
    <w:rsid w:val="00A106E2"/>
    <w:rsid w:val="00A11145"/>
    <w:rsid w:val="00A15CDD"/>
    <w:rsid w:val="00A24E61"/>
    <w:rsid w:val="00A42447"/>
    <w:rsid w:val="00A64919"/>
    <w:rsid w:val="00A663A9"/>
    <w:rsid w:val="00A67ADD"/>
    <w:rsid w:val="00A90A86"/>
    <w:rsid w:val="00A91927"/>
    <w:rsid w:val="00A925CF"/>
    <w:rsid w:val="00A92FBE"/>
    <w:rsid w:val="00AA0519"/>
    <w:rsid w:val="00AA27FE"/>
    <w:rsid w:val="00AA7A5F"/>
    <w:rsid w:val="00AA7AA9"/>
    <w:rsid w:val="00AB1A6C"/>
    <w:rsid w:val="00AB231B"/>
    <w:rsid w:val="00AB5EDB"/>
    <w:rsid w:val="00AB6028"/>
    <w:rsid w:val="00AC15ED"/>
    <w:rsid w:val="00AE4937"/>
    <w:rsid w:val="00AF6758"/>
    <w:rsid w:val="00B17BE3"/>
    <w:rsid w:val="00B40690"/>
    <w:rsid w:val="00B423A2"/>
    <w:rsid w:val="00B61D27"/>
    <w:rsid w:val="00B72DE1"/>
    <w:rsid w:val="00B74DFE"/>
    <w:rsid w:val="00B806BA"/>
    <w:rsid w:val="00B833F5"/>
    <w:rsid w:val="00B95FE7"/>
    <w:rsid w:val="00BA3CF6"/>
    <w:rsid w:val="00BA66EC"/>
    <w:rsid w:val="00BB21D0"/>
    <w:rsid w:val="00BD3528"/>
    <w:rsid w:val="00BE6336"/>
    <w:rsid w:val="00C04FE2"/>
    <w:rsid w:val="00C07CAA"/>
    <w:rsid w:val="00C14C6D"/>
    <w:rsid w:val="00C33760"/>
    <w:rsid w:val="00C51384"/>
    <w:rsid w:val="00C5529F"/>
    <w:rsid w:val="00C615C4"/>
    <w:rsid w:val="00C70030"/>
    <w:rsid w:val="00C80C93"/>
    <w:rsid w:val="00C868F4"/>
    <w:rsid w:val="00CA688E"/>
    <w:rsid w:val="00CB064C"/>
    <w:rsid w:val="00CB4C8F"/>
    <w:rsid w:val="00CC02E5"/>
    <w:rsid w:val="00CC1FDC"/>
    <w:rsid w:val="00CC5418"/>
    <w:rsid w:val="00CC67FB"/>
    <w:rsid w:val="00CC7E02"/>
    <w:rsid w:val="00CD3523"/>
    <w:rsid w:val="00CF415C"/>
    <w:rsid w:val="00CF7C71"/>
    <w:rsid w:val="00D059F9"/>
    <w:rsid w:val="00D1042A"/>
    <w:rsid w:val="00D13558"/>
    <w:rsid w:val="00D23BD1"/>
    <w:rsid w:val="00D24350"/>
    <w:rsid w:val="00D55361"/>
    <w:rsid w:val="00D568A8"/>
    <w:rsid w:val="00D61312"/>
    <w:rsid w:val="00D74770"/>
    <w:rsid w:val="00D754A1"/>
    <w:rsid w:val="00D75E86"/>
    <w:rsid w:val="00D8065C"/>
    <w:rsid w:val="00D87387"/>
    <w:rsid w:val="00DA6045"/>
    <w:rsid w:val="00DB0F8F"/>
    <w:rsid w:val="00DB4B19"/>
    <w:rsid w:val="00DD4864"/>
    <w:rsid w:val="00DE1F06"/>
    <w:rsid w:val="00DF08A3"/>
    <w:rsid w:val="00DF6140"/>
    <w:rsid w:val="00E02C73"/>
    <w:rsid w:val="00E21731"/>
    <w:rsid w:val="00E27120"/>
    <w:rsid w:val="00E27414"/>
    <w:rsid w:val="00E4480B"/>
    <w:rsid w:val="00E45C8C"/>
    <w:rsid w:val="00E53150"/>
    <w:rsid w:val="00E55009"/>
    <w:rsid w:val="00E570E6"/>
    <w:rsid w:val="00E61510"/>
    <w:rsid w:val="00E7713A"/>
    <w:rsid w:val="00E918CF"/>
    <w:rsid w:val="00E963C3"/>
    <w:rsid w:val="00EA2BD9"/>
    <w:rsid w:val="00EA7650"/>
    <w:rsid w:val="00EB2DF6"/>
    <w:rsid w:val="00EC195E"/>
    <w:rsid w:val="00EC6B5C"/>
    <w:rsid w:val="00EE5F1A"/>
    <w:rsid w:val="00EF348F"/>
    <w:rsid w:val="00F07A3B"/>
    <w:rsid w:val="00F13D47"/>
    <w:rsid w:val="00F16064"/>
    <w:rsid w:val="00F16EED"/>
    <w:rsid w:val="00F30E92"/>
    <w:rsid w:val="00F539D0"/>
    <w:rsid w:val="00F61712"/>
    <w:rsid w:val="00F65158"/>
    <w:rsid w:val="00F7086A"/>
    <w:rsid w:val="00F74ADA"/>
    <w:rsid w:val="00F74C4C"/>
    <w:rsid w:val="00F92701"/>
    <w:rsid w:val="00F93811"/>
    <w:rsid w:val="00F95B2C"/>
    <w:rsid w:val="00FC317A"/>
    <w:rsid w:val="00FD0BEC"/>
    <w:rsid w:val="00FD2A8B"/>
    <w:rsid w:val="00FD6748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71FB881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2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2E5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C02E5"/>
    <w:rPr>
      <w:vertAlign w:val="superscript"/>
    </w:rPr>
  </w:style>
  <w:style w:type="paragraph" w:customStyle="1" w:styleId="Default">
    <w:name w:val="Default"/>
    <w:rsid w:val="00392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A5C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C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C53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C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C53"/>
    <w:rPr>
      <w:rFonts w:eastAsiaTheme="minorEastAsia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306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067BE"/>
    <w:pPr>
      <w:ind w:left="720"/>
      <w:contextualSpacing/>
    </w:pPr>
  </w:style>
  <w:style w:type="paragraph" w:styleId="Revisin">
    <w:name w:val="Revision"/>
    <w:hidden/>
    <w:uiPriority w:val="99"/>
    <w:semiHidden/>
    <w:rsid w:val="00D059F9"/>
    <w:pPr>
      <w:spacing w:after="0" w:line="240" w:lineRule="auto"/>
    </w:pPr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DF1A-D3E8-4D35-8234-B262F599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2019-11-05T19:12:00Z</dcterms:created>
  <dcterms:modified xsi:type="dcterms:W3CDTF">2019-11-05T19:12:00Z</dcterms:modified>
</cp:coreProperties>
</file>