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337" w:rsidRPr="0050266C" w:rsidRDefault="00B74337" w:rsidP="00B74337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  <w:bookmarkStart w:id="0" w:name="_GoBack"/>
      <w:bookmarkEnd w:id="0"/>
      <w:r w:rsidRPr="0050266C">
        <w:rPr>
          <w:rFonts w:ascii="Arial" w:eastAsia="Times New Roman" w:hAnsi="Arial" w:cs="Arial"/>
          <w:lang w:val="es-ES_tradnl" w:eastAsia="es-ES"/>
        </w:rPr>
        <w:t xml:space="preserve">Bogotá, </w:t>
      </w:r>
      <w:r>
        <w:rPr>
          <w:rFonts w:ascii="Arial" w:eastAsia="Times New Roman" w:hAnsi="Arial" w:cs="Arial"/>
          <w:lang w:val="es-ES_tradnl" w:eastAsia="es-ES"/>
        </w:rPr>
        <w:t>agosto</w:t>
      </w:r>
      <w:r w:rsidRPr="0050266C">
        <w:rPr>
          <w:rFonts w:ascii="Arial" w:eastAsia="Times New Roman" w:hAnsi="Arial" w:cs="Arial"/>
          <w:lang w:val="es-ES_tradnl" w:eastAsia="es-ES"/>
        </w:rPr>
        <w:t xml:space="preserve"> </w:t>
      </w:r>
      <w:r w:rsidR="006D107B">
        <w:rPr>
          <w:rFonts w:ascii="Arial" w:eastAsia="Times New Roman" w:hAnsi="Arial" w:cs="Arial"/>
          <w:lang w:val="es-ES_tradnl" w:eastAsia="es-ES"/>
        </w:rPr>
        <w:t xml:space="preserve">21 </w:t>
      </w:r>
      <w:r w:rsidRPr="0050266C">
        <w:rPr>
          <w:rFonts w:ascii="Arial" w:eastAsia="Times New Roman" w:hAnsi="Arial" w:cs="Arial"/>
          <w:lang w:val="es-ES_tradnl" w:eastAsia="es-ES"/>
        </w:rPr>
        <w:t>de 2013</w:t>
      </w:r>
    </w:p>
    <w:p w:rsidR="00B74337" w:rsidRPr="0050266C" w:rsidRDefault="00B74337" w:rsidP="00B74337">
      <w:pPr>
        <w:spacing w:after="0" w:line="240" w:lineRule="auto"/>
        <w:ind w:left="1440"/>
        <w:jc w:val="center"/>
        <w:rPr>
          <w:rFonts w:ascii="Arial" w:eastAsia="Times New Roman" w:hAnsi="Arial" w:cs="Arial"/>
          <w:lang w:val="es-ES_tradnl" w:eastAsia="es-ES"/>
        </w:rPr>
      </w:pPr>
    </w:p>
    <w:p w:rsidR="00B74337" w:rsidRPr="0050266C" w:rsidRDefault="00B74337" w:rsidP="00B74337">
      <w:pPr>
        <w:spacing w:after="0" w:line="240" w:lineRule="auto"/>
        <w:ind w:left="1440"/>
        <w:jc w:val="center"/>
        <w:rPr>
          <w:rFonts w:ascii="Arial" w:eastAsia="Times New Roman" w:hAnsi="Arial" w:cs="Arial"/>
          <w:lang w:val="es-ES_tradnl" w:eastAsia="es-ES"/>
        </w:rPr>
      </w:pPr>
    </w:p>
    <w:p w:rsidR="00B74337" w:rsidRPr="0050266C" w:rsidRDefault="00B74337" w:rsidP="00B74337">
      <w:pPr>
        <w:spacing w:after="0" w:line="240" w:lineRule="auto"/>
        <w:ind w:left="1440"/>
        <w:jc w:val="center"/>
        <w:rPr>
          <w:rFonts w:ascii="Arial" w:eastAsia="Times New Roman" w:hAnsi="Arial" w:cs="Arial"/>
          <w:lang w:val="es-ES_tradnl" w:eastAsia="es-ES"/>
        </w:rPr>
      </w:pPr>
    </w:p>
    <w:p w:rsidR="00B74337" w:rsidRPr="0050266C" w:rsidRDefault="00B74337" w:rsidP="00B74337">
      <w:pPr>
        <w:keepNext/>
        <w:spacing w:after="0" w:line="0" w:lineRule="atLeast"/>
        <w:jc w:val="center"/>
        <w:outlineLvl w:val="1"/>
        <w:rPr>
          <w:rFonts w:ascii="Arial" w:eastAsia="Times New Roman" w:hAnsi="Arial" w:cs="Arial"/>
          <w:b/>
          <w:bCs/>
          <w:i/>
          <w:iCs/>
          <w:sz w:val="40"/>
          <w:szCs w:val="40"/>
          <w:lang w:val="es-ES" w:eastAsia="es-ES"/>
        </w:rPr>
      </w:pPr>
      <w:r w:rsidRPr="0050266C">
        <w:rPr>
          <w:rFonts w:ascii="Arial" w:eastAsia="Times New Roman" w:hAnsi="Arial" w:cs="Arial"/>
          <w:b/>
          <w:bCs/>
          <w:i/>
          <w:iCs/>
          <w:sz w:val="40"/>
          <w:szCs w:val="40"/>
          <w:lang w:val="es-ES" w:eastAsia="es-ES"/>
        </w:rPr>
        <w:t xml:space="preserve">CIRCULAR No. </w:t>
      </w:r>
      <w:r w:rsidR="006D107B">
        <w:rPr>
          <w:rFonts w:ascii="Arial" w:eastAsia="Times New Roman" w:hAnsi="Arial" w:cs="Arial"/>
          <w:b/>
          <w:bCs/>
          <w:i/>
          <w:iCs/>
          <w:sz w:val="40"/>
          <w:szCs w:val="40"/>
          <w:lang w:val="es-ES" w:eastAsia="es-ES"/>
        </w:rPr>
        <w:t>042</w:t>
      </w:r>
    </w:p>
    <w:p w:rsidR="00B74337" w:rsidRPr="0050266C" w:rsidRDefault="00B74337" w:rsidP="00B74337">
      <w:pPr>
        <w:spacing w:after="0" w:line="240" w:lineRule="auto"/>
        <w:rPr>
          <w:rFonts w:ascii="CG Times" w:eastAsia="Times New Roman" w:hAnsi="CG Times" w:cs="Times New Roman"/>
          <w:lang w:val="es-ES" w:eastAsia="es-ES"/>
        </w:rPr>
      </w:pPr>
    </w:p>
    <w:p w:rsidR="00B74337" w:rsidRDefault="00B74337" w:rsidP="00B74337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:rsidR="006D107B" w:rsidRPr="0050266C" w:rsidRDefault="006D107B" w:rsidP="00B74337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:rsidR="00B74337" w:rsidRPr="0050266C" w:rsidRDefault="00B74337" w:rsidP="00B74337">
      <w:pPr>
        <w:keepLines/>
        <w:spacing w:after="0" w:line="240" w:lineRule="auto"/>
        <w:ind w:left="1418" w:hanging="1418"/>
        <w:jc w:val="both"/>
        <w:rPr>
          <w:rFonts w:ascii="Arial" w:eastAsia="Times New Roman" w:hAnsi="Arial" w:cs="Arial"/>
          <w:lang w:val="es-ES_tradnl" w:eastAsia="es-ES"/>
        </w:rPr>
      </w:pPr>
      <w:r w:rsidRPr="0050266C">
        <w:rPr>
          <w:rFonts w:ascii="Arial" w:eastAsia="Times New Roman" w:hAnsi="Arial" w:cs="Arial"/>
          <w:bCs/>
          <w:lang w:val="es-ES_tradnl" w:eastAsia="es-ES"/>
        </w:rPr>
        <w:t>PARA:</w:t>
      </w:r>
      <w:r w:rsidRPr="0050266C">
        <w:rPr>
          <w:rFonts w:ascii="Arial" w:eastAsia="Times New Roman" w:hAnsi="Arial" w:cs="Arial"/>
          <w:lang w:val="es-ES_tradnl" w:eastAsia="es-ES"/>
        </w:rPr>
        <w:t xml:space="preserve"> </w:t>
      </w:r>
      <w:r w:rsidRPr="0050266C">
        <w:rPr>
          <w:rFonts w:ascii="Arial" w:eastAsia="Times New Roman" w:hAnsi="Arial" w:cs="Arial"/>
          <w:lang w:val="es-ES_tradnl" w:eastAsia="es-ES"/>
        </w:rPr>
        <w:tab/>
      </w:r>
      <w:r w:rsidRPr="0050266C">
        <w:rPr>
          <w:rFonts w:ascii="Arial" w:eastAsia="Times New Roman" w:hAnsi="Arial" w:cs="Arial"/>
          <w:bCs/>
          <w:lang w:val="es-ES_tradnl" w:eastAsia="es-ES"/>
        </w:rPr>
        <w:t>TERCEROS INTERESADOS</w:t>
      </w:r>
    </w:p>
    <w:p w:rsidR="00B74337" w:rsidRPr="0050266C" w:rsidRDefault="00B74337" w:rsidP="00B74337">
      <w:pPr>
        <w:keepLines/>
        <w:spacing w:after="0" w:line="240" w:lineRule="auto"/>
        <w:ind w:left="1418" w:hanging="1418"/>
        <w:rPr>
          <w:rFonts w:ascii="Arial" w:eastAsia="Times New Roman" w:hAnsi="Arial" w:cs="Arial"/>
          <w:bCs/>
          <w:lang w:val="es-ES_tradnl" w:eastAsia="es-ES"/>
        </w:rPr>
      </w:pPr>
    </w:p>
    <w:p w:rsidR="00B74337" w:rsidRPr="0050266C" w:rsidRDefault="00B74337" w:rsidP="00B74337">
      <w:pPr>
        <w:keepLines/>
        <w:spacing w:after="0" w:line="240" w:lineRule="auto"/>
        <w:ind w:left="1418" w:hanging="1418"/>
        <w:jc w:val="both"/>
        <w:rPr>
          <w:rFonts w:ascii="Arial" w:eastAsia="Times New Roman" w:hAnsi="Arial" w:cs="Arial"/>
          <w:bCs/>
          <w:lang w:val="es-ES_tradnl" w:eastAsia="es-ES"/>
        </w:rPr>
      </w:pPr>
      <w:r w:rsidRPr="0050266C">
        <w:rPr>
          <w:rFonts w:ascii="Arial" w:eastAsia="Times New Roman" w:hAnsi="Arial" w:cs="Arial"/>
          <w:bCs/>
          <w:lang w:val="es-ES_tradnl" w:eastAsia="es-ES"/>
        </w:rPr>
        <w:t>DE:</w:t>
      </w:r>
      <w:r w:rsidRPr="0050266C">
        <w:rPr>
          <w:rFonts w:ascii="Arial" w:eastAsia="Times New Roman" w:hAnsi="Arial" w:cs="Arial"/>
          <w:bCs/>
          <w:lang w:val="es-ES_tradnl" w:eastAsia="es-ES"/>
        </w:rPr>
        <w:tab/>
        <w:t>DIRECCIÓN EJECUTIVA COMISIÓN DE REGULACIÓN DE ENERGÍA Y GAS - CREG</w:t>
      </w:r>
    </w:p>
    <w:p w:rsidR="00B74337" w:rsidRPr="0050266C" w:rsidRDefault="00B74337" w:rsidP="00B74337">
      <w:pPr>
        <w:keepLines/>
        <w:spacing w:after="0" w:line="240" w:lineRule="auto"/>
        <w:jc w:val="both"/>
        <w:rPr>
          <w:rFonts w:ascii="Arial" w:eastAsia="Times New Roman" w:hAnsi="Arial" w:cs="Arial"/>
          <w:bCs/>
          <w:lang w:val="es-ES_tradnl" w:eastAsia="es-ES"/>
        </w:rPr>
      </w:pPr>
    </w:p>
    <w:p w:rsidR="00B74337" w:rsidRPr="0050266C" w:rsidRDefault="00B74337" w:rsidP="00B74337">
      <w:pPr>
        <w:keepLines/>
        <w:spacing w:after="0" w:line="240" w:lineRule="auto"/>
        <w:ind w:left="1418" w:hanging="1418"/>
        <w:jc w:val="both"/>
        <w:rPr>
          <w:rFonts w:ascii="Arial" w:eastAsia="Times New Roman" w:hAnsi="Arial" w:cs="Arial"/>
          <w:bCs/>
          <w:lang w:val="es-ES_tradnl" w:eastAsia="es-ES"/>
        </w:rPr>
      </w:pPr>
      <w:r w:rsidRPr="0050266C">
        <w:rPr>
          <w:rFonts w:ascii="Arial" w:eastAsia="Times New Roman" w:hAnsi="Arial" w:cs="Arial"/>
          <w:bCs/>
          <w:lang w:val="es-ES_tradnl" w:eastAsia="es-ES"/>
        </w:rPr>
        <w:t xml:space="preserve">ASUNTO: </w:t>
      </w:r>
      <w:r w:rsidRPr="0050266C">
        <w:rPr>
          <w:rFonts w:ascii="Arial" w:eastAsia="Times New Roman" w:hAnsi="Arial" w:cs="Arial"/>
          <w:bCs/>
          <w:lang w:val="es-ES_tradnl" w:eastAsia="es-ES"/>
        </w:rPr>
        <w:tab/>
        <w:t xml:space="preserve">PUBLICACIÓN DE LAS DEMANDAS ESPERADAS DE CAPACIDAD Y DE VOLUMEN REPORTADAS POR </w:t>
      </w:r>
      <w:r>
        <w:rPr>
          <w:rFonts w:ascii="Arial" w:eastAsia="Times New Roman" w:hAnsi="Arial" w:cs="Arial"/>
          <w:bCs/>
          <w:lang w:val="es-ES_tradnl" w:eastAsia="es-ES"/>
        </w:rPr>
        <w:t>PROGASUR</w:t>
      </w:r>
      <w:r w:rsidRPr="0050266C">
        <w:rPr>
          <w:rFonts w:ascii="Arial" w:eastAsia="Times New Roman" w:hAnsi="Arial" w:cs="Arial"/>
          <w:bCs/>
          <w:lang w:val="es-ES_tradnl" w:eastAsia="es-ES"/>
        </w:rPr>
        <w:t xml:space="preserve"> S.A. E.S.P. PARA EL </w:t>
      </w:r>
      <w:r>
        <w:rPr>
          <w:rFonts w:ascii="Arial" w:eastAsia="Times New Roman" w:hAnsi="Arial" w:cs="Arial"/>
          <w:bCs/>
          <w:lang w:val="es-ES_tradnl" w:eastAsia="es-ES"/>
        </w:rPr>
        <w:t>GASODUCTO</w:t>
      </w:r>
      <w:r w:rsidRPr="0050266C">
        <w:rPr>
          <w:rFonts w:ascii="Arial" w:eastAsia="Times New Roman" w:hAnsi="Arial" w:cs="Arial"/>
          <w:bCs/>
          <w:lang w:val="es-ES_tradnl" w:eastAsia="es-ES"/>
        </w:rPr>
        <w:t xml:space="preserve"> </w:t>
      </w:r>
      <w:r>
        <w:rPr>
          <w:rFonts w:ascii="Arial" w:eastAsia="Times New Roman" w:hAnsi="Arial" w:cs="Arial"/>
          <w:bCs/>
          <w:lang w:val="es-ES_tradnl" w:eastAsia="es-ES"/>
        </w:rPr>
        <w:t>GUANDO-FUSAGASUG</w:t>
      </w:r>
      <w:r w:rsidR="00482E6E">
        <w:rPr>
          <w:rFonts w:ascii="Arial" w:eastAsia="Times New Roman" w:hAnsi="Arial" w:cs="Arial"/>
          <w:bCs/>
          <w:lang w:val="es-ES_tradnl" w:eastAsia="es-ES"/>
        </w:rPr>
        <w:t>Á</w:t>
      </w:r>
      <w:r w:rsidRPr="0050266C">
        <w:rPr>
          <w:rFonts w:ascii="Arial" w:eastAsia="Times New Roman" w:hAnsi="Arial" w:cs="Arial"/>
          <w:bCs/>
          <w:lang w:val="es-ES_tradnl" w:eastAsia="es-ES"/>
        </w:rPr>
        <w:t>, DE ACUERDO CON EL PROCEDIMIENTO PREVISTO EN LA RESOLUCIÓN CREG 126 DE 2010. (Expediente 201</w:t>
      </w:r>
      <w:r>
        <w:rPr>
          <w:rFonts w:ascii="Arial" w:eastAsia="Times New Roman" w:hAnsi="Arial" w:cs="Arial"/>
          <w:bCs/>
          <w:lang w:val="es-ES_tradnl" w:eastAsia="es-ES"/>
        </w:rPr>
        <w:t>3</w:t>
      </w:r>
      <w:r w:rsidRPr="0050266C">
        <w:rPr>
          <w:rFonts w:ascii="Arial" w:eastAsia="Times New Roman" w:hAnsi="Arial" w:cs="Arial"/>
          <w:bCs/>
          <w:lang w:val="es-ES_tradnl" w:eastAsia="es-ES"/>
        </w:rPr>
        <w:t xml:space="preserve"> – 0</w:t>
      </w:r>
      <w:r>
        <w:rPr>
          <w:rFonts w:ascii="Arial" w:eastAsia="Times New Roman" w:hAnsi="Arial" w:cs="Arial"/>
          <w:bCs/>
          <w:lang w:val="es-ES_tradnl" w:eastAsia="es-ES"/>
        </w:rPr>
        <w:t>063</w:t>
      </w:r>
      <w:r w:rsidRPr="0050266C">
        <w:rPr>
          <w:rFonts w:ascii="Arial" w:eastAsia="Times New Roman" w:hAnsi="Arial" w:cs="Arial"/>
          <w:bCs/>
          <w:lang w:val="es-ES_tradnl" w:eastAsia="es-ES"/>
        </w:rPr>
        <w:t>)</w:t>
      </w:r>
    </w:p>
    <w:p w:rsidR="00B74337" w:rsidRDefault="00B74337" w:rsidP="00B74337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6D107B" w:rsidRPr="0050266C" w:rsidRDefault="006D107B" w:rsidP="00B74337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B74337" w:rsidRPr="00B212F7" w:rsidRDefault="00B74337" w:rsidP="00B74337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B212F7">
        <w:rPr>
          <w:rFonts w:ascii="Arial" w:eastAsia="Times New Roman" w:hAnsi="Arial" w:cs="Arial"/>
          <w:lang w:val="es-ES_tradnl" w:eastAsia="es-ES"/>
        </w:rPr>
        <w:t xml:space="preserve">De conformidad con el literal b) del artículo 9 de la Resolución CREG 126 de 2010, la Dirección Ejecutiva de la Comisión de Regulación de Energía y Gas hace público, en el anexo de esta Circular, el reporte de las demandas esperadas de capacidad y de volumen presentado por la empresa </w:t>
      </w:r>
      <w:proofErr w:type="spellStart"/>
      <w:r>
        <w:rPr>
          <w:rFonts w:ascii="Arial" w:eastAsia="Times New Roman" w:hAnsi="Arial" w:cs="Arial"/>
          <w:lang w:val="es-ES_tradnl" w:eastAsia="es-ES"/>
        </w:rPr>
        <w:t>Progasur</w:t>
      </w:r>
      <w:proofErr w:type="spellEnd"/>
      <w:r w:rsidRPr="00B212F7">
        <w:rPr>
          <w:rFonts w:ascii="Arial" w:eastAsia="Times New Roman" w:hAnsi="Arial" w:cs="Arial"/>
          <w:lang w:val="es-ES_tradnl" w:eastAsia="es-ES"/>
        </w:rPr>
        <w:t xml:space="preserve"> S.A. E.S.P.</w:t>
      </w:r>
    </w:p>
    <w:p w:rsidR="00B74337" w:rsidRPr="00B212F7" w:rsidRDefault="00B74337" w:rsidP="00B74337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B74337" w:rsidRPr="00B212F7" w:rsidRDefault="00B74337" w:rsidP="00B74337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B212F7">
        <w:rPr>
          <w:rFonts w:ascii="Arial" w:eastAsia="Times New Roman" w:hAnsi="Arial" w:cs="Arial"/>
          <w:lang w:val="es-ES_tradnl" w:eastAsia="es-ES"/>
        </w:rPr>
        <w:t xml:space="preserve">Adicionalmente, por considerarlo relevante dentro del análisis tarifario, también se hace público el reporte de las capacidades máximas de mediano plazo presentado por </w:t>
      </w:r>
      <w:proofErr w:type="spellStart"/>
      <w:r>
        <w:rPr>
          <w:rFonts w:ascii="Arial" w:eastAsia="Times New Roman" w:hAnsi="Arial" w:cs="Arial"/>
          <w:lang w:val="es-ES_tradnl" w:eastAsia="es-ES"/>
        </w:rPr>
        <w:t>Progasur</w:t>
      </w:r>
      <w:proofErr w:type="spellEnd"/>
      <w:r w:rsidRPr="00B212F7">
        <w:rPr>
          <w:rFonts w:ascii="Arial" w:eastAsia="Times New Roman" w:hAnsi="Arial" w:cs="Arial"/>
          <w:lang w:val="es-ES_tradnl" w:eastAsia="es-ES"/>
        </w:rPr>
        <w:t xml:space="preserve"> S.A. E.S.P.</w:t>
      </w:r>
    </w:p>
    <w:p w:rsidR="00B74337" w:rsidRPr="00B212F7" w:rsidRDefault="00B74337" w:rsidP="00B74337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B74337" w:rsidRPr="0050266C" w:rsidRDefault="00B74337" w:rsidP="00B74337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B212F7">
        <w:rPr>
          <w:rFonts w:ascii="Arial" w:eastAsia="Times New Roman" w:hAnsi="Arial" w:cs="Arial"/>
          <w:lang w:val="es-ES_tradnl" w:eastAsia="es-ES"/>
        </w:rPr>
        <w:t xml:space="preserve">Durante los quince (15) días hábiles siguientes a la publicación de esta Circular, los </w:t>
      </w:r>
      <w:proofErr w:type="gramStart"/>
      <w:r w:rsidRPr="00B212F7">
        <w:rPr>
          <w:rFonts w:ascii="Arial" w:eastAsia="Times New Roman" w:hAnsi="Arial" w:cs="Arial"/>
          <w:lang w:val="es-ES_tradnl" w:eastAsia="es-ES"/>
        </w:rPr>
        <w:t>terceros</w:t>
      </w:r>
      <w:proofErr w:type="gramEnd"/>
      <w:r w:rsidRPr="00B212F7">
        <w:rPr>
          <w:rFonts w:ascii="Arial" w:eastAsia="Times New Roman" w:hAnsi="Arial" w:cs="Arial"/>
          <w:lang w:val="es-ES_tradnl" w:eastAsia="es-ES"/>
        </w:rPr>
        <w:t xml:space="preserve"> interesados podrán enviar preguntas y comentarios a la CREG en relación con las proyecciones de demandas presentadas por </w:t>
      </w:r>
      <w:proofErr w:type="spellStart"/>
      <w:r>
        <w:rPr>
          <w:rFonts w:ascii="Arial" w:eastAsia="Times New Roman" w:hAnsi="Arial" w:cs="Arial"/>
          <w:lang w:val="es-ES_tradnl" w:eastAsia="es-ES"/>
        </w:rPr>
        <w:t>Progasur</w:t>
      </w:r>
      <w:proofErr w:type="spellEnd"/>
      <w:r w:rsidRPr="00B212F7">
        <w:rPr>
          <w:rFonts w:ascii="Arial" w:eastAsia="Times New Roman" w:hAnsi="Arial" w:cs="Arial"/>
          <w:lang w:val="es-ES_tradnl" w:eastAsia="es-ES"/>
        </w:rPr>
        <w:t xml:space="preserve"> S.A. E.S.P. De acuerdo con el literal c) del artículo 9 de la Resolución CREG 126 de 2010 se dará traslado de </w:t>
      </w:r>
      <w:r w:rsidR="00482E6E" w:rsidRPr="00B212F7">
        <w:rPr>
          <w:rFonts w:ascii="Arial" w:eastAsia="Times New Roman" w:hAnsi="Arial" w:cs="Arial"/>
          <w:lang w:val="es-ES_tradnl" w:eastAsia="es-ES"/>
        </w:rPr>
        <w:t>aqu</w:t>
      </w:r>
      <w:r w:rsidR="00482E6E">
        <w:rPr>
          <w:rFonts w:ascii="Arial" w:eastAsia="Times New Roman" w:hAnsi="Arial" w:cs="Arial"/>
          <w:lang w:val="es-ES_tradnl" w:eastAsia="es-ES"/>
        </w:rPr>
        <w:t>e</w:t>
      </w:r>
      <w:r w:rsidR="00482E6E" w:rsidRPr="00B212F7">
        <w:rPr>
          <w:rFonts w:ascii="Arial" w:eastAsia="Times New Roman" w:hAnsi="Arial" w:cs="Arial"/>
          <w:lang w:val="es-ES_tradnl" w:eastAsia="es-ES"/>
        </w:rPr>
        <w:t xml:space="preserve">llas </w:t>
      </w:r>
      <w:r w:rsidRPr="00B212F7">
        <w:rPr>
          <w:rFonts w:ascii="Arial" w:eastAsia="Times New Roman" w:hAnsi="Arial" w:cs="Arial"/>
          <w:lang w:val="es-ES_tradnl" w:eastAsia="es-ES"/>
        </w:rPr>
        <w:t>al transportador para que, en un término máximo de (15) días hábiles siguientes a su recibo, responda las preguntas y se pronuncie sobre los comentarios.</w:t>
      </w:r>
    </w:p>
    <w:p w:rsidR="00B74337" w:rsidRDefault="00B74337" w:rsidP="00B74337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6D107B" w:rsidRDefault="006D107B" w:rsidP="00B74337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B74337" w:rsidRPr="0050266C" w:rsidRDefault="00B74337" w:rsidP="00B74337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  <w:r w:rsidRPr="0050266C">
        <w:rPr>
          <w:rFonts w:ascii="Arial" w:eastAsia="Times New Roman" w:hAnsi="Arial" w:cs="Arial"/>
          <w:lang w:val="es-ES_tradnl" w:eastAsia="es-ES"/>
        </w:rPr>
        <w:t>Cordialmente,</w:t>
      </w:r>
    </w:p>
    <w:p w:rsidR="00B74337" w:rsidRPr="0050266C" w:rsidRDefault="00B74337" w:rsidP="00B74337">
      <w:pPr>
        <w:spacing w:after="0" w:line="240" w:lineRule="auto"/>
        <w:rPr>
          <w:rFonts w:ascii="CG Times" w:eastAsia="Times New Roman" w:hAnsi="CG Times" w:cs="Arial"/>
          <w:lang w:val="es-ES_tradnl" w:eastAsia="es-ES"/>
        </w:rPr>
      </w:pPr>
    </w:p>
    <w:p w:rsidR="00B74337" w:rsidRPr="0050266C" w:rsidRDefault="00B74337" w:rsidP="00B74337">
      <w:pPr>
        <w:spacing w:after="0" w:line="240" w:lineRule="auto"/>
        <w:rPr>
          <w:rFonts w:ascii="CG Times" w:eastAsia="Times New Roman" w:hAnsi="CG Times" w:cs="Arial"/>
          <w:lang w:val="es-ES_tradnl" w:eastAsia="es-ES"/>
        </w:rPr>
      </w:pPr>
    </w:p>
    <w:p w:rsidR="00B74337" w:rsidRPr="0050266C" w:rsidRDefault="00B74337" w:rsidP="00B74337">
      <w:pPr>
        <w:spacing w:after="0" w:line="240" w:lineRule="auto"/>
        <w:rPr>
          <w:rFonts w:ascii="CG Times" w:eastAsia="Times New Roman" w:hAnsi="CG Times" w:cs="Arial"/>
          <w:lang w:val="es-ES_tradnl" w:eastAsia="es-ES"/>
        </w:rPr>
      </w:pPr>
    </w:p>
    <w:p w:rsidR="00B74337" w:rsidRPr="0050266C" w:rsidRDefault="00B74337" w:rsidP="00B74337">
      <w:pPr>
        <w:spacing w:after="0" w:line="240" w:lineRule="auto"/>
        <w:jc w:val="center"/>
        <w:rPr>
          <w:rFonts w:ascii="Arial" w:eastAsia="Times New Roman" w:hAnsi="Arial" w:cs="Arial"/>
          <w:spacing w:val="-5"/>
        </w:rPr>
      </w:pPr>
      <w:r w:rsidRPr="0050266C">
        <w:rPr>
          <w:rFonts w:ascii="Arial" w:eastAsia="Times New Roman" w:hAnsi="Arial" w:cs="Arial"/>
          <w:spacing w:val="-5"/>
        </w:rPr>
        <w:t>GERMÁN CASTRO FERREIRA</w:t>
      </w:r>
    </w:p>
    <w:p w:rsidR="00B74337" w:rsidRDefault="00B74337" w:rsidP="00B74337">
      <w:pPr>
        <w:spacing w:after="0" w:line="240" w:lineRule="auto"/>
        <w:rPr>
          <w:rFonts w:ascii="Arial" w:eastAsia="Times New Roman" w:hAnsi="Arial" w:cs="Arial"/>
          <w:spacing w:val="-5"/>
        </w:rPr>
      </w:pPr>
    </w:p>
    <w:p w:rsidR="006D107B" w:rsidRPr="0050266C" w:rsidRDefault="006D107B" w:rsidP="00B74337">
      <w:pPr>
        <w:spacing w:after="0" w:line="240" w:lineRule="auto"/>
        <w:rPr>
          <w:rFonts w:ascii="CG Times" w:eastAsia="Times New Roman" w:hAnsi="CG Times" w:cs="Times New Roman"/>
          <w:sz w:val="24"/>
          <w:szCs w:val="24"/>
          <w:lang w:eastAsia="es-ES"/>
        </w:rPr>
      </w:pPr>
    </w:p>
    <w:p w:rsidR="00B74337" w:rsidRDefault="00B74337" w:rsidP="00B74337"/>
    <w:p w:rsidR="00991713" w:rsidRDefault="00991713"/>
    <w:sectPr w:rsidR="00991713" w:rsidSect="00812AAC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430" w:right="1701" w:bottom="1418" w:left="1985" w:header="709" w:footer="86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562" w:rsidRDefault="00482E6E">
      <w:pPr>
        <w:spacing w:after="0" w:line="240" w:lineRule="auto"/>
      </w:pPr>
      <w:r>
        <w:separator/>
      </w:r>
    </w:p>
  </w:endnote>
  <w:endnote w:type="continuationSeparator" w:id="0">
    <w:p w:rsidR="003D1562" w:rsidRDefault="00482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48" w:rsidRPr="0027586D" w:rsidRDefault="00B74337" w:rsidP="0027586D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</w:t>
    </w:r>
    <w:proofErr w:type="gramStart"/>
    <w:r w:rsidRPr="0027586D">
      <w:rPr>
        <w:rFonts w:ascii="Arial" w:hAnsi="Arial" w:cs="Arial"/>
        <w:b/>
        <w:sz w:val="14"/>
      </w:rPr>
      <w:t>FAX :</w:t>
    </w:r>
    <w:proofErr w:type="gramEnd"/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C37948" w:rsidRDefault="00B74337" w:rsidP="008344B0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 xml:space="preserve">Calle 116 No.7-15 Int.2 Piso 9 Ofi.901, Edif. </w:t>
    </w:r>
    <w:proofErr w:type="spellStart"/>
    <w:r w:rsidRPr="0027586D">
      <w:rPr>
        <w:rFonts w:ascii="Arial" w:hAnsi="Arial" w:cs="Arial"/>
        <w:sz w:val="14"/>
      </w:rPr>
      <w:t>Cusezar</w:t>
    </w:r>
    <w:proofErr w:type="spellEnd"/>
    <w:r w:rsidRPr="0027586D">
      <w:rPr>
        <w:rFonts w:ascii="Arial" w:hAnsi="Arial" w:cs="Arial"/>
        <w:sz w:val="14"/>
      </w:rPr>
      <w:t xml:space="preserve"> Bogotá, D.C. Colombia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48" w:rsidRPr="0027586D" w:rsidRDefault="00B74337" w:rsidP="00735F2F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</w:t>
    </w:r>
    <w:proofErr w:type="gramStart"/>
    <w:r w:rsidRPr="0027586D">
      <w:rPr>
        <w:rFonts w:ascii="Arial" w:hAnsi="Arial" w:cs="Arial"/>
        <w:b/>
        <w:sz w:val="14"/>
      </w:rPr>
      <w:t>FAX :</w:t>
    </w:r>
    <w:proofErr w:type="gramEnd"/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C37948" w:rsidRDefault="00B74337" w:rsidP="00735F2F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 xml:space="preserve">Calle 116 No.7-15 Int.2 Piso 9 Ofi.901, Edif. </w:t>
    </w:r>
    <w:proofErr w:type="spellStart"/>
    <w:r w:rsidRPr="0027586D">
      <w:rPr>
        <w:rFonts w:ascii="Arial" w:hAnsi="Arial" w:cs="Arial"/>
        <w:sz w:val="14"/>
      </w:rPr>
      <w:t>Cusezar</w:t>
    </w:r>
    <w:proofErr w:type="spellEnd"/>
    <w:r w:rsidRPr="0027586D">
      <w:rPr>
        <w:rFonts w:ascii="Arial" w:hAnsi="Arial" w:cs="Arial"/>
        <w:sz w:val="14"/>
      </w:rPr>
      <w:t xml:space="preserve"> Bogotá, D.C. Colombia</w:t>
    </w:r>
  </w:p>
  <w:p w:rsidR="00C37948" w:rsidRDefault="00226A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562" w:rsidRDefault="00482E6E">
      <w:pPr>
        <w:spacing w:after="0" w:line="240" w:lineRule="auto"/>
      </w:pPr>
      <w:r>
        <w:separator/>
      </w:r>
    </w:p>
  </w:footnote>
  <w:footnote w:type="continuationSeparator" w:id="0">
    <w:p w:rsidR="003D1562" w:rsidRDefault="00482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48" w:rsidRDefault="00B74337">
    <w:pPr>
      <w:pStyle w:val="Encabezado"/>
      <w:rPr>
        <w:rFonts w:ascii="Arial" w:hAnsi="Arial" w:cs="Arial"/>
        <w:sz w:val="18"/>
        <w:szCs w:val="18"/>
        <w:u w:val="single"/>
      </w:rPr>
    </w:pPr>
    <w:r>
      <w:rPr>
        <w:rFonts w:ascii="Arial" w:hAnsi="Arial" w:cs="Arial"/>
        <w:noProof/>
        <w:sz w:val="18"/>
        <w:szCs w:val="18"/>
        <w:u w:val="single"/>
        <w:lang w:eastAsia="es-CO"/>
      </w:rPr>
      <w:drawing>
        <wp:anchor distT="0" distB="0" distL="114300" distR="114300" simplePos="0" relativeHeight="251659264" behindDoc="0" locked="0" layoutInCell="1" allowOverlap="1" wp14:anchorId="2FB1ED9D" wp14:editId="57F57201">
          <wp:simplePos x="0" y="0"/>
          <wp:positionH relativeFrom="column">
            <wp:posOffset>4368165</wp:posOffset>
          </wp:positionH>
          <wp:positionV relativeFrom="paragraph">
            <wp:posOffset>-83820</wp:posOffset>
          </wp:positionV>
          <wp:extent cx="1463040" cy="671830"/>
          <wp:effectExtent l="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8"/>
        <w:szCs w:val="18"/>
        <w:u w:val="single"/>
      </w:rPr>
      <w:t>CIRCULAR-042</w:t>
    </w:r>
    <w:r w:rsidRPr="00735F2F">
      <w:rPr>
        <w:rFonts w:ascii="Arial" w:hAnsi="Arial" w:cs="Arial"/>
        <w:sz w:val="18"/>
        <w:szCs w:val="18"/>
        <w:u w:val="single"/>
      </w:rPr>
      <w:t>-2010</w:t>
    </w:r>
  </w:p>
  <w:p w:rsidR="00C37948" w:rsidRPr="00735F2F" w:rsidRDefault="00B74337">
    <w:pPr>
      <w:rPr>
        <w:rFonts w:ascii="Arial" w:hAnsi="Arial" w:cs="Arial"/>
        <w:sz w:val="18"/>
        <w:szCs w:val="18"/>
        <w:u w:val="single"/>
        <w:lang w:val="es-ES"/>
      </w:rPr>
    </w:pPr>
    <w:r w:rsidRPr="00735F2F">
      <w:rPr>
        <w:rFonts w:ascii="Arial" w:hAnsi="Arial" w:cs="Arial"/>
        <w:sz w:val="18"/>
        <w:szCs w:val="18"/>
        <w:u w:val="single"/>
        <w:lang w:val="es-ES"/>
      </w:rPr>
      <w:t xml:space="preserve">  </w:t>
    </w:r>
    <w:r>
      <w:rPr>
        <w:rFonts w:ascii="Arial" w:hAnsi="Arial" w:cs="Arial"/>
        <w:sz w:val="18"/>
        <w:szCs w:val="18"/>
        <w:u w:val="single"/>
        <w:lang w:val="es-ES"/>
      </w:rPr>
      <w:t xml:space="preserve">                        </w:t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PAGE </w:instrTex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 w:rsidR="006D107B">
      <w:rPr>
        <w:rFonts w:ascii="Arial" w:hAnsi="Arial" w:cs="Arial"/>
        <w:noProof/>
        <w:sz w:val="18"/>
        <w:szCs w:val="18"/>
        <w:u w:val="single"/>
        <w:lang w:val="es-ES"/>
      </w:rPr>
      <w:t>2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/ 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NUMPAGES  </w:instrTex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 w:rsidR="00B804E5">
      <w:rPr>
        <w:rFonts w:ascii="Arial" w:hAnsi="Arial" w:cs="Arial"/>
        <w:noProof/>
        <w:sz w:val="18"/>
        <w:szCs w:val="18"/>
        <w:u w:val="single"/>
        <w:lang w:val="es-ES"/>
      </w:rPr>
      <w:t>1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</w:p>
  <w:p w:rsidR="00C37948" w:rsidRPr="00735F2F" w:rsidRDefault="00226A6E">
    <w:pPr>
      <w:pStyle w:val="Encabezado"/>
      <w:rPr>
        <w:rFonts w:ascii="Arial" w:hAnsi="Arial" w:cs="Arial"/>
        <w:sz w:val="18"/>
        <w:szCs w:val="18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48" w:rsidRDefault="00B74337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206AC87F" wp14:editId="3B9A7645">
          <wp:simplePos x="0" y="0"/>
          <wp:positionH relativeFrom="column">
            <wp:posOffset>4520565</wp:posOffset>
          </wp:positionH>
          <wp:positionV relativeFrom="paragraph">
            <wp:posOffset>68580</wp:posOffset>
          </wp:positionV>
          <wp:extent cx="1463040" cy="671830"/>
          <wp:effectExtent l="0" t="0" r="3810" b="0"/>
          <wp:wrapTopAndBottom/>
          <wp:docPr id="2" name="Imagen 2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337"/>
    <w:rsid w:val="00221E88"/>
    <w:rsid w:val="00226A6E"/>
    <w:rsid w:val="00361FF8"/>
    <w:rsid w:val="003D1562"/>
    <w:rsid w:val="00482E6E"/>
    <w:rsid w:val="00513468"/>
    <w:rsid w:val="006B3346"/>
    <w:rsid w:val="006D107B"/>
    <w:rsid w:val="008A2849"/>
    <w:rsid w:val="00991713"/>
    <w:rsid w:val="00B463A8"/>
    <w:rsid w:val="00B667A4"/>
    <w:rsid w:val="00B74337"/>
    <w:rsid w:val="00B804E5"/>
    <w:rsid w:val="00BC1027"/>
    <w:rsid w:val="00DD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3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743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74337"/>
  </w:style>
  <w:style w:type="paragraph" w:styleId="Piedepgina">
    <w:name w:val="footer"/>
    <w:basedOn w:val="Normal"/>
    <w:link w:val="PiedepginaCar"/>
    <w:uiPriority w:val="99"/>
    <w:semiHidden/>
    <w:unhideWhenUsed/>
    <w:rsid w:val="00B743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74337"/>
  </w:style>
  <w:style w:type="paragraph" w:styleId="Textodeglobo">
    <w:name w:val="Balloon Text"/>
    <w:basedOn w:val="Normal"/>
    <w:link w:val="TextodegloboCar"/>
    <w:uiPriority w:val="99"/>
    <w:semiHidden/>
    <w:unhideWhenUsed/>
    <w:rsid w:val="00221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1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3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743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74337"/>
  </w:style>
  <w:style w:type="paragraph" w:styleId="Piedepgina">
    <w:name w:val="footer"/>
    <w:basedOn w:val="Normal"/>
    <w:link w:val="PiedepginaCar"/>
    <w:uiPriority w:val="99"/>
    <w:semiHidden/>
    <w:unhideWhenUsed/>
    <w:rsid w:val="00B743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74337"/>
  </w:style>
  <w:style w:type="paragraph" w:styleId="Textodeglobo">
    <w:name w:val="Balloon Text"/>
    <w:basedOn w:val="Normal"/>
    <w:link w:val="TextodegloboCar"/>
    <w:uiPriority w:val="99"/>
    <w:semiHidden/>
    <w:unhideWhenUsed/>
    <w:rsid w:val="00221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1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Fernando León Granados</dc:creator>
  <cp:lastModifiedBy>Luz Stella Rojas Macias</cp:lastModifiedBy>
  <cp:revision>2</cp:revision>
  <cp:lastPrinted>2013-08-21T17:02:00Z</cp:lastPrinted>
  <dcterms:created xsi:type="dcterms:W3CDTF">2013-08-21T17:10:00Z</dcterms:created>
  <dcterms:modified xsi:type="dcterms:W3CDTF">2013-08-21T17:10:00Z</dcterms:modified>
</cp:coreProperties>
</file>