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359E" w14:textId="1AB462AF" w:rsidR="00242A5A" w:rsidRDefault="00DE381D" w:rsidP="001857D8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Bogotá, D.C., </w:t>
      </w:r>
      <w:r w:rsidR="000849B5">
        <w:rPr>
          <w:rFonts w:ascii="Arial" w:hAnsi="Arial" w:cs="Arial"/>
          <w:sz w:val="22"/>
          <w:szCs w:val="22"/>
          <w:lang w:val="es-MX"/>
        </w:rPr>
        <w:t>1</w:t>
      </w:r>
      <w:r w:rsidR="00F60124">
        <w:rPr>
          <w:rFonts w:ascii="Arial" w:hAnsi="Arial" w:cs="Arial"/>
          <w:sz w:val="22"/>
          <w:szCs w:val="22"/>
          <w:lang w:val="es-MX"/>
        </w:rPr>
        <w:t>2</w:t>
      </w:r>
      <w:r w:rsidR="007223B5">
        <w:rPr>
          <w:rFonts w:ascii="Arial" w:hAnsi="Arial" w:cs="Arial"/>
          <w:sz w:val="22"/>
          <w:szCs w:val="22"/>
          <w:lang w:val="es-MX"/>
        </w:rPr>
        <w:t xml:space="preserve"> </w:t>
      </w:r>
      <w:r w:rsidR="002A2AF1">
        <w:rPr>
          <w:rFonts w:ascii="Arial" w:hAnsi="Arial" w:cs="Arial"/>
          <w:sz w:val="22"/>
          <w:szCs w:val="22"/>
          <w:lang w:val="es-MX"/>
        </w:rPr>
        <w:t xml:space="preserve">de </w:t>
      </w:r>
      <w:r w:rsidR="0052203C">
        <w:rPr>
          <w:rFonts w:ascii="Arial" w:hAnsi="Arial" w:cs="Arial"/>
          <w:sz w:val="22"/>
          <w:szCs w:val="22"/>
          <w:lang w:val="es-MX"/>
        </w:rPr>
        <w:t>octu</w:t>
      </w:r>
      <w:r w:rsidR="007223B5">
        <w:rPr>
          <w:rFonts w:ascii="Arial" w:hAnsi="Arial" w:cs="Arial"/>
          <w:sz w:val="22"/>
          <w:szCs w:val="22"/>
          <w:lang w:val="es-MX"/>
        </w:rPr>
        <w:t>bre de 2022</w:t>
      </w:r>
    </w:p>
    <w:p w14:paraId="37E5588D" w14:textId="77777777" w:rsidR="001857D8" w:rsidRDefault="001857D8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48F6C692" w14:textId="3CFB3478" w:rsidR="00DE381D" w:rsidRDefault="00DE381D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DE381D">
        <w:rPr>
          <w:rFonts w:ascii="Arial" w:hAnsi="Arial" w:cs="Arial"/>
          <w:b/>
          <w:bCs/>
          <w:i/>
          <w:iCs/>
          <w:kern w:val="60"/>
          <w:sz w:val="40"/>
          <w:szCs w:val="40"/>
        </w:rPr>
        <w:t>CIRCULAR No.</w:t>
      </w:r>
      <w:r w:rsidR="005B674F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 </w:t>
      </w:r>
      <w:r w:rsidR="006D2C06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</w:t>
      </w:r>
      <w:r w:rsidR="00985FF3">
        <w:rPr>
          <w:rFonts w:ascii="Arial" w:hAnsi="Arial" w:cs="Arial"/>
          <w:b/>
          <w:bCs/>
          <w:i/>
          <w:iCs/>
          <w:kern w:val="60"/>
          <w:sz w:val="40"/>
          <w:szCs w:val="40"/>
        </w:rPr>
        <w:t>96</w:t>
      </w:r>
    </w:p>
    <w:p w14:paraId="5AEDA9F0" w14:textId="77777777" w:rsidR="001857D8" w:rsidRPr="00316A01" w:rsidRDefault="001857D8" w:rsidP="001857D8">
      <w:pPr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</w:p>
    <w:p w14:paraId="7A351F92" w14:textId="6D32B584" w:rsidR="00DE381D" w:rsidRPr="00223349" w:rsidRDefault="00DE381D" w:rsidP="001B134D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PARA:</w:t>
      </w:r>
      <w:r w:rsidRPr="00223349">
        <w:rPr>
          <w:rFonts w:ascii="Arial" w:hAnsi="Arial" w:cs="Arial"/>
          <w:b/>
        </w:rPr>
        <w:tab/>
      </w:r>
      <w:r w:rsidR="000849B5">
        <w:rPr>
          <w:rFonts w:ascii="Arial" w:hAnsi="Arial" w:cs="Arial"/>
          <w:b/>
        </w:rPr>
        <w:t xml:space="preserve">USUARIOS FINALES, </w:t>
      </w:r>
      <w:r w:rsidR="00EB3DC1">
        <w:rPr>
          <w:rFonts w:ascii="Arial" w:hAnsi="Arial" w:cs="Arial"/>
          <w:b/>
        </w:rPr>
        <w:t>PRESTADORES DEL SERVICIO</w:t>
      </w:r>
      <w:r w:rsidR="000849B5">
        <w:rPr>
          <w:rFonts w:ascii="Arial" w:hAnsi="Arial" w:cs="Arial"/>
          <w:b/>
        </w:rPr>
        <w:t>, ENTIDADES DE VIGILANCIA CONTROL DEL SERVICIO PÚBLICO DOMICILIARIO DE ENERGÍA ELÉCTRICO Y TERCEROS INTERESADOS.</w:t>
      </w:r>
    </w:p>
    <w:p w14:paraId="510BB146" w14:textId="77777777" w:rsidR="0027152F" w:rsidRDefault="0027152F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6F4D6107" w14:textId="674EB1E6" w:rsidR="00DE381D" w:rsidRPr="00223349" w:rsidRDefault="00DE381D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DE:</w:t>
      </w:r>
      <w:r w:rsidRPr="00223349">
        <w:rPr>
          <w:rFonts w:ascii="Arial" w:hAnsi="Arial" w:cs="Arial"/>
          <w:b/>
        </w:rPr>
        <w:tab/>
        <w:t>DIRECCIÓN EJECUTIVA</w:t>
      </w:r>
    </w:p>
    <w:p w14:paraId="3F8FB79F" w14:textId="77777777" w:rsidR="0027152F" w:rsidRDefault="0027152F" w:rsidP="001857D8">
      <w:pPr>
        <w:pStyle w:val="Sangradetextonormal"/>
        <w:spacing w:line="360" w:lineRule="auto"/>
        <w:ind w:left="1412" w:hanging="1412"/>
        <w:rPr>
          <w:rFonts w:ascii="Arial" w:hAnsi="Arial" w:cs="Arial"/>
          <w:b/>
        </w:rPr>
      </w:pPr>
    </w:p>
    <w:p w14:paraId="63DDCA95" w14:textId="332D7E7C" w:rsidR="00DE381D" w:rsidRDefault="00DE381D" w:rsidP="000849B5">
      <w:pPr>
        <w:pStyle w:val="Sangradetextonormal"/>
        <w:spacing w:line="360" w:lineRule="auto"/>
        <w:ind w:left="1412" w:hanging="1412"/>
        <w:jc w:val="both"/>
        <w:rPr>
          <w:rFonts w:ascii="Arial" w:hAnsi="Arial" w:cs="Arial"/>
          <w:b/>
        </w:rPr>
      </w:pPr>
      <w:r w:rsidRPr="00223349">
        <w:rPr>
          <w:rFonts w:ascii="Arial" w:hAnsi="Arial" w:cs="Arial"/>
          <w:b/>
        </w:rPr>
        <w:t>ASUNTO:</w:t>
      </w:r>
      <w:r w:rsidRPr="00223349">
        <w:rPr>
          <w:rFonts w:ascii="Arial" w:hAnsi="Arial" w:cs="Arial"/>
          <w:b/>
        </w:rPr>
        <w:tab/>
      </w:r>
      <w:r w:rsidR="00611F77">
        <w:rPr>
          <w:rFonts w:ascii="Arial" w:hAnsi="Arial" w:cs="Arial"/>
          <w:b/>
        </w:rPr>
        <w:t>INFORME</w:t>
      </w:r>
      <w:r w:rsidR="005B674F">
        <w:rPr>
          <w:rFonts w:ascii="Arial" w:hAnsi="Arial" w:cs="Arial"/>
          <w:b/>
        </w:rPr>
        <w:t xml:space="preserve"> CONSOLIDAD</w:t>
      </w:r>
      <w:r w:rsidR="00DF1FA9">
        <w:rPr>
          <w:rFonts w:ascii="Arial" w:hAnsi="Arial" w:cs="Arial"/>
          <w:b/>
        </w:rPr>
        <w:t>O</w:t>
      </w:r>
      <w:r w:rsidR="000849B5">
        <w:rPr>
          <w:rFonts w:ascii="Arial" w:hAnsi="Arial" w:cs="Arial"/>
          <w:b/>
        </w:rPr>
        <w:t xml:space="preserve"> DE </w:t>
      </w:r>
      <w:r w:rsidR="005B674F">
        <w:rPr>
          <w:rFonts w:ascii="Arial" w:hAnsi="Arial" w:cs="Arial"/>
          <w:b/>
        </w:rPr>
        <w:t>MODIFICACIONES</w:t>
      </w:r>
      <w:r w:rsidR="000849B5">
        <w:rPr>
          <w:rFonts w:ascii="Arial" w:hAnsi="Arial" w:cs="Arial"/>
          <w:b/>
        </w:rPr>
        <w:t xml:space="preserve"> DE </w:t>
      </w:r>
      <w:r w:rsidR="003C5844">
        <w:rPr>
          <w:rFonts w:ascii="Arial" w:hAnsi="Arial" w:cs="Arial"/>
          <w:b/>
        </w:rPr>
        <w:t>CONTRATOS</w:t>
      </w:r>
      <w:r w:rsidR="000849B5">
        <w:rPr>
          <w:rFonts w:ascii="Arial" w:hAnsi="Arial" w:cs="Arial"/>
          <w:b/>
        </w:rPr>
        <w:t xml:space="preserve"> DE</w:t>
      </w:r>
      <w:r w:rsidR="00387BFA">
        <w:rPr>
          <w:rFonts w:ascii="Arial" w:hAnsi="Arial" w:cs="Arial"/>
          <w:b/>
        </w:rPr>
        <w:t xml:space="preserve"> SUMINISTRO DE</w:t>
      </w:r>
      <w:r w:rsidR="000849B5">
        <w:rPr>
          <w:rFonts w:ascii="Arial" w:hAnsi="Arial" w:cs="Arial"/>
          <w:b/>
        </w:rPr>
        <w:t xml:space="preserve"> ENERGÍA ELÉCTRICA DERIVADOS DE LAS </w:t>
      </w:r>
      <w:r w:rsidR="00387BFA">
        <w:rPr>
          <w:rFonts w:ascii="Arial" w:hAnsi="Arial" w:cs="Arial"/>
          <w:b/>
        </w:rPr>
        <w:t xml:space="preserve">MEDIDAS </w:t>
      </w:r>
      <w:r w:rsidR="005B674F">
        <w:rPr>
          <w:rFonts w:ascii="Arial" w:hAnsi="Arial" w:cs="Arial"/>
          <w:b/>
        </w:rPr>
        <w:t>CONTENIDAS</w:t>
      </w:r>
      <w:r w:rsidR="000849B5">
        <w:rPr>
          <w:rFonts w:ascii="Arial" w:hAnsi="Arial" w:cs="Arial"/>
          <w:b/>
        </w:rPr>
        <w:t xml:space="preserve"> EN LA</w:t>
      </w:r>
      <w:r w:rsidR="000849B5" w:rsidRPr="000849B5">
        <w:rPr>
          <w:rFonts w:ascii="Arial" w:hAnsi="Arial" w:cs="Arial"/>
          <w:b/>
        </w:rPr>
        <w:t xml:space="preserve"> </w:t>
      </w:r>
      <w:r w:rsidR="000849B5">
        <w:rPr>
          <w:rFonts w:ascii="Arial" w:hAnsi="Arial" w:cs="Arial"/>
          <w:b/>
        </w:rPr>
        <w:t>RESOLUCIÓN CREG 101 029 DE 2022</w:t>
      </w:r>
    </w:p>
    <w:p w14:paraId="62B48615" w14:textId="77777777" w:rsidR="001857D8" w:rsidRDefault="001857D8" w:rsidP="001857D8">
      <w:pPr>
        <w:pStyle w:val="Textoindependiente"/>
        <w:spacing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5531088F" w14:textId="61B97655" w:rsidR="00611F77" w:rsidRDefault="000849B5" w:rsidP="00611F77">
      <w:pPr>
        <w:pStyle w:val="Textoindependiente"/>
        <w:spacing w:after="0"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En cumplimiento de lo señalado en el artículo 4 de la Resolución</w:t>
      </w:r>
      <w:r w:rsidRPr="00FE7A6C">
        <w:rPr>
          <w:rFonts w:cs="Arial"/>
          <w:spacing w:val="0"/>
          <w:sz w:val="24"/>
          <w:szCs w:val="24"/>
        </w:rPr>
        <w:t xml:space="preserve"> CREG 101 029 de 2022</w:t>
      </w:r>
      <w:r>
        <w:rPr>
          <w:rFonts w:cs="Arial"/>
          <w:spacing w:val="0"/>
          <w:sz w:val="24"/>
          <w:szCs w:val="24"/>
        </w:rPr>
        <w:t xml:space="preserve">, la </w:t>
      </w:r>
      <w:r w:rsidR="001D3064">
        <w:rPr>
          <w:rFonts w:cs="Arial"/>
          <w:spacing w:val="0"/>
          <w:sz w:val="24"/>
          <w:szCs w:val="24"/>
        </w:rPr>
        <w:t xml:space="preserve">Comisión </w:t>
      </w:r>
      <w:r w:rsidR="00F50E5D">
        <w:rPr>
          <w:rFonts w:cs="Arial"/>
          <w:spacing w:val="0"/>
          <w:sz w:val="24"/>
          <w:szCs w:val="24"/>
        </w:rPr>
        <w:t>da</w:t>
      </w:r>
      <w:r>
        <w:rPr>
          <w:rFonts w:cs="Arial"/>
          <w:spacing w:val="0"/>
          <w:sz w:val="24"/>
          <w:szCs w:val="24"/>
        </w:rPr>
        <w:t xml:space="preserve"> a conocer </w:t>
      </w:r>
      <w:r w:rsidR="00611F77">
        <w:rPr>
          <w:rFonts w:cs="Arial"/>
          <w:spacing w:val="0"/>
          <w:sz w:val="24"/>
          <w:szCs w:val="24"/>
        </w:rPr>
        <w:t xml:space="preserve">en el Anexo de la presente Circular, </w:t>
      </w:r>
      <w:r>
        <w:rPr>
          <w:rFonts w:cs="Arial"/>
          <w:spacing w:val="0"/>
          <w:sz w:val="24"/>
          <w:szCs w:val="24"/>
        </w:rPr>
        <w:t xml:space="preserve">el </w:t>
      </w:r>
      <w:r w:rsidR="00611F77">
        <w:rPr>
          <w:rFonts w:cs="Arial"/>
          <w:spacing w:val="0"/>
          <w:sz w:val="24"/>
          <w:szCs w:val="24"/>
        </w:rPr>
        <w:t xml:space="preserve">informe </w:t>
      </w:r>
      <w:r w:rsidR="00F50E5D">
        <w:rPr>
          <w:rFonts w:cs="Arial"/>
          <w:spacing w:val="0"/>
          <w:sz w:val="24"/>
          <w:szCs w:val="24"/>
        </w:rPr>
        <w:t>consolidado</w:t>
      </w:r>
      <w:r>
        <w:rPr>
          <w:rFonts w:cs="Arial"/>
          <w:spacing w:val="0"/>
          <w:sz w:val="24"/>
          <w:szCs w:val="24"/>
        </w:rPr>
        <w:t xml:space="preserve"> de las negociaciones de la modificación de los contratos de energía eléctrica</w:t>
      </w:r>
      <w:r w:rsidR="00002F9E">
        <w:rPr>
          <w:rFonts w:cs="Arial"/>
          <w:spacing w:val="0"/>
          <w:sz w:val="24"/>
          <w:szCs w:val="24"/>
        </w:rPr>
        <w:t xml:space="preserve"> por parte de agentes registrados ante el Administrador del Sistema de Intercambios Comerciales – ASIC</w:t>
      </w:r>
      <w:r>
        <w:rPr>
          <w:rFonts w:cs="Arial"/>
          <w:spacing w:val="0"/>
          <w:sz w:val="24"/>
          <w:szCs w:val="24"/>
        </w:rPr>
        <w:t>,</w:t>
      </w:r>
      <w:r w:rsidR="00611F77">
        <w:rPr>
          <w:rFonts w:cs="Arial"/>
          <w:spacing w:val="0"/>
          <w:sz w:val="24"/>
          <w:szCs w:val="24"/>
        </w:rPr>
        <w:t xml:space="preserve"> </w:t>
      </w:r>
      <w:r>
        <w:rPr>
          <w:rFonts w:cs="Arial"/>
          <w:spacing w:val="0"/>
          <w:sz w:val="24"/>
          <w:szCs w:val="24"/>
        </w:rPr>
        <w:t xml:space="preserve">con base en </w:t>
      </w:r>
      <w:r w:rsidR="00611F77">
        <w:rPr>
          <w:rFonts w:cs="Arial"/>
          <w:spacing w:val="0"/>
          <w:sz w:val="24"/>
          <w:szCs w:val="24"/>
        </w:rPr>
        <w:t>la información presentada</w:t>
      </w:r>
      <w:r>
        <w:rPr>
          <w:rFonts w:cs="Arial"/>
          <w:spacing w:val="0"/>
          <w:sz w:val="24"/>
          <w:szCs w:val="24"/>
        </w:rPr>
        <w:t xml:space="preserve"> por </w:t>
      </w:r>
      <w:r w:rsidR="003C5844">
        <w:rPr>
          <w:rFonts w:cs="Arial"/>
          <w:spacing w:val="0"/>
          <w:sz w:val="24"/>
          <w:szCs w:val="24"/>
        </w:rPr>
        <w:t xml:space="preserve">los </w:t>
      </w:r>
      <w:r w:rsidR="001B134D">
        <w:rPr>
          <w:rFonts w:cs="Arial"/>
          <w:spacing w:val="0"/>
          <w:sz w:val="24"/>
          <w:szCs w:val="24"/>
        </w:rPr>
        <w:t xml:space="preserve">agentes </w:t>
      </w:r>
      <w:r w:rsidR="003C5844">
        <w:rPr>
          <w:rFonts w:cs="Arial"/>
          <w:spacing w:val="0"/>
          <w:sz w:val="24"/>
          <w:szCs w:val="24"/>
        </w:rPr>
        <w:t>comercializadores que atienden usuarios finales, los demás comercializadores y los</w:t>
      </w:r>
      <w:r w:rsidR="00CB5D3D">
        <w:rPr>
          <w:rFonts w:cs="Arial"/>
          <w:spacing w:val="0"/>
          <w:sz w:val="24"/>
          <w:szCs w:val="24"/>
        </w:rPr>
        <w:t xml:space="preserve"> generadores</w:t>
      </w:r>
      <w:r>
        <w:rPr>
          <w:rFonts w:cs="Arial"/>
          <w:spacing w:val="0"/>
          <w:sz w:val="24"/>
          <w:szCs w:val="24"/>
        </w:rPr>
        <w:t>.</w:t>
      </w:r>
    </w:p>
    <w:p w14:paraId="52F3CEC2" w14:textId="77777777" w:rsidR="0031372E" w:rsidRDefault="0031372E" w:rsidP="00611F77">
      <w:pPr>
        <w:pStyle w:val="Textoindependiente"/>
        <w:spacing w:after="0" w:line="360" w:lineRule="auto"/>
        <w:rPr>
          <w:rFonts w:cs="Arial"/>
          <w:spacing w:val="0"/>
          <w:sz w:val="24"/>
          <w:szCs w:val="24"/>
        </w:rPr>
      </w:pPr>
    </w:p>
    <w:p w14:paraId="063D1F53" w14:textId="763F0538" w:rsidR="0031372E" w:rsidRDefault="0002244C" w:rsidP="00611F77">
      <w:pPr>
        <w:pStyle w:val="Textoindependiente"/>
        <w:spacing w:after="0"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Esta Comisión resalta que el fin regulatorio de las medidas contenidas en la Resolución</w:t>
      </w:r>
      <w:r w:rsidRPr="00FE7A6C">
        <w:rPr>
          <w:rFonts w:cs="Arial"/>
          <w:spacing w:val="0"/>
          <w:sz w:val="24"/>
          <w:szCs w:val="24"/>
        </w:rPr>
        <w:t xml:space="preserve"> CREG 101 029 de 2022</w:t>
      </w:r>
      <w:r w:rsidR="0000080A">
        <w:rPr>
          <w:rFonts w:cs="Arial"/>
          <w:spacing w:val="0"/>
          <w:sz w:val="24"/>
          <w:szCs w:val="24"/>
        </w:rPr>
        <w:t xml:space="preserve"> para el ajuste de precios, indexadores y plazos de pago, es el </w:t>
      </w:r>
      <w:r w:rsidR="009B5752">
        <w:rPr>
          <w:rFonts w:cs="Arial"/>
          <w:spacing w:val="0"/>
          <w:sz w:val="24"/>
          <w:szCs w:val="24"/>
        </w:rPr>
        <w:t>traslado</w:t>
      </w:r>
      <w:r w:rsidR="00A83E15">
        <w:rPr>
          <w:rFonts w:cs="Arial"/>
          <w:spacing w:val="0"/>
          <w:sz w:val="24"/>
          <w:szCs w:val="24"/>
        </w:rPr>
        <w:t xml:space="preserve"> de</w:t>
      </w:r>
      <w:r w:rsidR="004B5211">
        <w:rPr>
          <w:rFonts w:cs="Arial"/>
          <w:spacing w:val="0"/>
          <w:sz w:val="24"/>
          <w:szCs w:val="24"/>
        </w:rPr>
        <w:t xml:space="preserve"> las reducciones </w:t>
      </w:r>
      <w:r w:rsidR="00D73EB6">
        <w:rPr>
          <w:rFonts w:cs="Arial"/>
          <w:spacing w:val="0"/>
          <w:sz w:val="24"/>
          <w:szCs w:val="24"/>
        </w:rPr>
        <w:t>resultantes</w:t>
      </w:r>
      <w:r w:rsidR="004B5211">
        <w:rPr>
          <w:rFonts w:cs="Arial"/>
          <w:spacing w:val="0"/>
          <w:sz w:val="24"/>
          <w:szCs w:val="24"/>
        </w:rPr>
        <w:t xml:space="preserve"> en el costo de la energía</w:t>
      </w:r>
      <w:r w:rsidR="00A83E15">
        <w:rPr>
          <w:rFonts w:cs="Arial"/>
          <w:spacing w:val="0"/>
          <w:sz w:val="24"/>
          <w:szCs w:val="24"/>
        </w:rPr>
        <w:t xml:space="preserve"> a los usuarios finales</w:t>
      </w:r>
      <w:r w:rsidR="00D73EB6">
        <w:rPr>
          <w:rFonts w:cs="Arial"/>
          <w:spacing w:val="0"/>
          <w:sz w:val="24"/>
          <w:szCs w:val="24"/>
        </w:rPr>
        <w:t>.</w:t>
      </w:r>
    </w:p>
    <w:p w14:paraId="4B8F98EA" w14:textId="77777777" w:rsidR="00611F77" w:rsidRDefault="00611F77" w:rsidP="001857D8">
      <w:pPr>
        <w:pStyle w:val="Textoindependiente"/>
        <w:spacing w:after="0" w:line="360" w:lineRule="auto"/>
        <w:jc w:val="left"/>
        <w:rPr>
          <w:rFonts w:cs="Arial"/>
          <w:spacing w:val="0"/>
          <w:sz w:val="24"/>
          <w:szCs w:val="24"/>
        </w:rPr>
      </w:pPr>
    </w:p>
    <w:p w14:paraId="4D7DFC1E" w14:textId="3ACAF3F6" w:rsidR="0027152F" w:rsidRDefault="00DE381D" w:rsidP="00D97C0D">
      <w:pPr>
        <w:pStyle w:val="Textoindependiente"/>
        <w:spacing w:after="0" w:line="360" w:lineRule="auto"/>
        <w:rPr>
          <w:rFonts w:cs="Arial"/>
          <w:b/>
          <w:bCs/>
          <w:sz w:val="24"/>
          <w:szCs w:val="24"/>
        </w:rPr>
      </w:pPr>
      <w:r w:rsidRPr="00223349">
        <w:rPr>
          <w:rFonts w:cs="Arial"/>
          <w:spacing w:val="0"/>
          <w:sz w:val="24"/>
          <w:szCs w:val="24"/>
        </w:rPr>
        <w:t>Cordialmente,</w:t>
      </w:r>
    </w:p>
    <w:p w14:paraId="255F74F0" w14:textId="77777777" w:rsidR="003514BC" w:rsidRDefault="003514BC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43CBFF14" w14:textId="336EEBC0" w:rsidR="00F33BF5" w:rsidRDefault="00DE381D" w:rsidP="00830ED7">
      <w:pPr>
        <w:pStyle w:val="Textoindependiente"/>
        <w:spacing w:after="0" w:line="360" w:lineRule="auto"/>
        <w:jc w:val="center"/>
        <w:rPr>
          <w:rFonts w:cs="Arial"/>
          <w:b/>
          <w:bCs/>
        </w:rPr>
      </w:pPr>
      <w:r w:rsidRPr="00242A5A">
        <w:rPr>
          <w:rFonts w:cs="Arial"/>
          <w:b/>
          <w:bCs/>
          <w:sz w:val="24"/>
          <w:szCs w:val="24"/>
        </w:rPr>
        <w:t>JORGE ALBERTO VALENCIA MAR</w:t>
      </w:r>
      <w:r w:rsidR="00242A5A">
        <w:rPr>
          <w:rFonts w:cs="Arial"/>
          <w:b/>
          <w:bCs/>
          <w:sz w:val="24"/>
          <w:szCs w:val="24"/>
        </w:rPr>
        <w:t>Í</w:t>
      </w:r>
      <w:r w:rsidRPr="00242A5A">
        <w:rPr>
          <w:rFonts w:cs="Arial"/>
          <w:b/>
          <w:bCs/>
          <w:sz w:val="24"/>
          <w:szCs w:val="24"/>
        </w:rPr>
        <w:t>N</w:t>
      </w:r>
      <w:r w:rsidR="00F33BF5">
        <w:rPr>
          <w:rFonts w:cs="Arial"/>
          <w:b/>
          <w:bCs/>
          <w:sz w:val="24"/>
          <w:szCs w:val="24"/>
        </w:rPr>
        <w:br w:type="page"/>
      </w:r>
    </w:p>
    <w:p w14:paraId="2293F0EC" w14:textId="1DA0D45D" w:rsidR="00275C77" w:rsidRDefault="00275C77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>ANEXO</w:t>
      </w:r>
    </w:p>
    <w:p w14:paraId="18219494" w14:textId="77777777" w:rsidR="00275C77" w:rsidRDefault="00275C77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2EE72EE8" w14:textId="45349CC1" w:rsidR="003B57E4" w:rsidRDefault="00D27ADD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 xml:space="preserve">Tabla 1. </w:t>
      </w:r>
      <w:r w:rsidR="00DD54FB">
        <w:rPr>
          <w:rFonts w:cs="Arial"/>
          <w:b/>
          <w:bCs/>
          <w:sz w:val="24"/>
          <w:szCs w:val="24"/>
        </w:rPr>
        <w:t>Resumen de contratos modificados y agentes</w:t>
      </w:r>
    </w:p>
    <w:tbl>
      <w:tblPr>
        <w:tblW w:w="73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0"/>
        <w:gridCol w:w="1120"/>
        <w:gridCol w:w="760"/>
      </w:tblGrid>
      <w:tr w:rsidR="002147A0" w14:paraId="1CF8D8C7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FD17711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reportados con negociación concluida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01D1C15A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1,385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66F3405B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147A0" w14:paraId="116433FD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FC20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modificados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0315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952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23F5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</w:tr>
      <w:tr w:rsidR="002147A0" w14:paraId="769BED41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3D69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no modificados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D071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433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C5D15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31%</w:t>
            </w:r>
          </w:p>
        </w:tc>
      </w:tr>
      <w:tr w:rsidR="002147A0" w14:paraId="59875D23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9D5EA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6339" w14:textId="77777777" w:rsidR="002147A0" w:rsidRDefault="002147A0">
            <w:pPr>
              <w:ind w:firstLineChars="400" w:firstLine="800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6D27" w14:textId="77777777" w:rsidR="002147A0" w:rsidRDefault="002147A0">
            <w:pPr>
              <w:rPr>
                <w:sz w:val="20"/>
                <w:szCs w:val="20"/>
              </w:rPr>
            </w:pPr>
          </w:p>
        </w:tc>
      </w:tr>
      <w:tr w:rsidR="002147A0" w14:paraId="7C41F0A0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90CFE1A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modificados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427D04FC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952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13513B5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147A0" w14:paraId="3CEDDBC2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91D38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regulado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A0D2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513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69F6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54%</w:t>
            </w:r>
          </w:p>
        </w:tc>
      </w:tr>
      <w:tr w:rsidR="002147A0" w14:paraId="03795CC2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6FB5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no regulado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1826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439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0F6B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46%</w:t>
            </w:r>
          </w:p>
        </w:tc>
      </w:tr>
      <w:tr w:rsidR="002147A0" w14:paraId="58AE96F8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2CA1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187F" w14:textId="77777777" w:rsidR="002147A0" w:rsidRDefault="002147A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8B38" w14:textId="77777777" w:rsidR="002147A0" w:rsidRDefault="002147A0">
            <w:pPr>
              <w:rPr>
                <w:sz w:val="20"/>
                <w:szCs w:val="20"/>
              </w:rPr>
            </w:pPr>
          </w:p>
        </w:tc>
      </w:tr>
      <w:tr w:rsidR="002147A0" w14:paraId="460D9CE2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CE287B4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Contratos no modificados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597CD589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433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2518DE1C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147A0" w14:paraId="10D49A18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533C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regulado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DE310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220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B47B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51%</w:t>
            </w:r>
          </w:p>
        </w:tc>
      </w:tr>
      <w:tr w:rsidR="002147A0" w14:paraId="74901D78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422A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Mercado no regulado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2EFB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213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A3857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49%</w:t>
            </w:r>
          </w:p>
        </w:tc>
      </w:tr>
      <w:tr w:rsidR="002147A0" w14:paraId="2A7C04F4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89D1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EF45" w14:textId="77777777" w:rsidR="002147A0" w:rsidRDefault="002147A0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E375" w14:textId="77777777" w:rsidR="002147A0" w:rsidRDefault="002147A0">
            <w:pPr>
              <w:rPr>
                <w:sz w:val="20"/>
                <w:szCs w:val="20"/>
              </w:rPr>
            </w:pPr>
          </w:p>
        </w:tc>
      </w:tr>
      <w:tr w:rsidR="002147A0" w14:paraId="4FD91880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72D6CB72" w14:textId="0E6E84C3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Agentes con contratos reportados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3547C735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110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bottom"/>
            <w:hideMark/>
          </w:tcPr>
          <w:p w14:paraId="1DB1FA39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2147A0" w14:paraId="0B2AD008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E64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Agentes ASIC con contratos modificados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DEA5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78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B06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</w:tr>
      <w:tr w:rsidR="002147A0" w14:paraId="336CDDF3" w14:textId="77777777" w:rsidTr="002147A0">
        <w:trPr>
          <w:trHeight w:val="312"/>
          <w:jc w:val="center"/>
        </w:trPr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7749" w14:textId="77777777" w:rsidR="002147A0" w:rsidRDefault="002147A0">
            <w:pPr>
              <w:ind w:firstLineChars="200" w:firstLine="48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No. Agentes ASIC que no modificaron contratos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DDBA" w14:textId="77777777" w:rsidR="002147A0" w:rsidRDefault="002147A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32 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081" w14:textId="77777777" w:rsidR="002147A0" w:rsidRDefault="002147A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</w:tr>
    </w:tbl>
    <w:p w14:paraId="611AED9E" w14:textId="00574463" w:rsidR="00F33BF5" w:rsidRDefault="00F33BF5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3E1D5C08" w14:textId="02768FD5" w:rsidR="00433B00" w:rsidRDefault="00433B00">
      <w:pPr>
        <w:rPr>
          <w:rFonts w:ascii="Arial" w:hAnsi="Arial" w:cs="Arial"/>
          <w:b/>
          <w:bCs/>
          <w:spacing w:val="-5"/>
        </w:rPr>
      </w:pPr>
      <w:r>
        <w:rPr>
          <w:rFonts w:cs="Arial"/>
          <w:b/>
          <w:bCs/>
        </w:rPr>
        <w:br w:type="page"/>
      </w:r>
    </w:p>
    <w:p w14:paraId="0A6E2389" w14:textId="634FA61F" w:rsidR="001573D9" w:rsidRDefault="001573D9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Tabla 2. </w:t>
      </w:r>
      <w:r w:rsidR="00624B69">
        <w:rPr>
          <w:rFonts w:cs="Arial"/>
          <w:b/>
          <w:bCs/>
          <w:sz w:val="24"/>
          <w:szCs w:val="24"/>
        </w:rPr>
        <w:t>A</w:t>
      </w:r>
      <w:r>
        <w:rPr>
          <w:rFonts w:cs="Arial"/>
          <w:b/>
          <w:bCs/>
          <w:sz w:val="24"/>
          <w:szCs w:val="24"/>
        </w:rPr>
        <w:t>gentes que modificaron contratos</w:t>
      </w:r>
    </w:p>
    <w:tbl>
      <w:tblPr>
        <w:tblW w:w="10808" w:type="dxa"/>
        <w:tblInd w:w="-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3820"/>
        <w:gridCol w:w="1175"/>
        <w:gridCol w:w="1332"/>
        <w:gridCol w:w="1405"/>
        <w:gridCol w:w="1281"/>
        <w:gridCol w:w="1362"/>
      </w:tblGrid>
      <w:tr w:rsidR="00005BE9" w:rsidRPr="00433B00" w14:paraId="20A79AAE" w14:textId="77777777" w:rsidTr="00B55EC1">
        <w:trPr>
          <w:trHeight w:val="864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58D61F2" w14:textId="77777777" w:rsidR="00005BE9" w:rsidRPr="00005BE9" w:rsidRDefault="00005BE9" w:rsidP="00005B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F34DDD" w14:textId="63B28702" w:rsidR="00005BE9" w:rsidRPr="00005BE9" w:rsidRDefault="00005BE9" w:rsidP="00005B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AGENTE</w:t>
            </w:r>
            <w:r w:rsidR="00F6502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ASIC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FFF060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CONTRATOS MERCADO REGULADO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597263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CONTRATOS MERCADO NO REGULADO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2A1E67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CONTRATOS MODIFICADOS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81459C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TOTAL</w:t>
            </w:r>
            <w:proofErr w:type="gramEnd"/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CONTRATOS REPORTADOS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FC5C1C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% CONTRATOS MODIFICADOS</w:t>
            </w:r>
          </w:p>
        </w:tc>
      </w:tr>
      <w:tr w:rsidR="003116F3" w:rsidRPr="00433B00" w14:paraId="124EF796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5BF34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51E5D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AES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A7B8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298A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8231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778C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07BE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</w:tr>
      <w:tr w:rsidR="003116F3" w:rsidRPr="00433B00" w14:paraId="14B092FC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CE9B7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F0279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AIRE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EB28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2AA7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2B2D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45FA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6CA0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72%</w:t>
            </w:r>
          </w:p>
        </w:tc>
      </w:tr>
      <w:tr w:rsidR="003116F3" w:rsidRPr="00433B00" w14:paraId="1CA8F3EA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3825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D5287" w14:textId="4F988431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AMERICANA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3BA9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B145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94A3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1FC2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4010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39%</w:t>
            </w:r>
          </w:p>
        </w:tc>
      </w:tr>
      <w:tr w:rsidR="003116F3" w:rsidRPr="00433B00" w14:paraId="6EBF909C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22796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55539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CARIBEMAR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333A3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DD11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A0E4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3A8B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C615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69%</w:t>
            </w:r>
          </w:p>
        </w:tc>
      </w:tr>
      <w:tr w:rsidR="003116F3" w:rsidRPr="00433B00" w14:paraId="5F90E39F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BA57C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866C8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CCG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BCD3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D7B0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645B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C51F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1798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6C123C32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93CF4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42F96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CEDENAR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26A4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3148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6915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2E02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EAD7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81%</w:t>
            </w:r>
          </w:p>
        </w:tc>
      </w:tr>
      <w:tr w:rsidR="003116F3" w:rsidRPr="00433B00" w14:paraId="6AA9FA08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C3551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60E50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CELSIA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FDB2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6EA3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5112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0140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E45D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84%</w:t>
            </w:r>
          </w:p>
        </w:tc>
      </w:tr>
      <w:tr w:rsidR="003116F3" w:rsidRPr="00433B00" w14:paraId="59967DED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9F647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9AE7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CENS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6558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B2D0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A2B7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3807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3A96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73%</w:t>
            </w:r>
          </w:p>
        </w:tc>
      </w:tr>
      <w:tr w:rsidR="003116F3" w:rsidRPr="00433B00" w14:paraId="19B91056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9DF0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F4D3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CEO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2201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67F9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92D7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1891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4276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70%</w:t>
            </w:r>
          </w:p>
        </w:tc>
      </w:tr>
      <w:tr w:rsidR="003116F3" w:rsidRPr="00433B00" w14:paraId="61F76A4E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46C43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A28F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CETSA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1A74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A2C3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E743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D846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E1BA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54B47860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6195C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D542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CHEC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D221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283E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B3F2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2E69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5928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52%</w:t>
            </w:r>
          </w:p>
        </w:tc>
      </w:tr>
      <w:tr w:rsidR="003116F3" w:rsidRPr="00433B00" w14:paraId="56B0483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AE19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DABE8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COENERSA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8D0C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D3E0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24C9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03A5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A98A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16%</w:t>
            </w:r>
          </w:p>
        </w:tc>
      </w:tr>
      <w:tr w:rsidR="003116F3" w:rsidRPr="00433B00" w14:paraId="28CB08C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E58BE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F3BCD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COLENERGIA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60BF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5595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D2612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63EF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A076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38053236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1CBEF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7E40D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COLOMBINA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48F0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FE44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4238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38EF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077E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3116F3" w:rsidRPr="00433B00" w14:paraId="248D8648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4122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9B93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COMERCIALIZADORA DEL CAFE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3324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D53B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27A7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0E3E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4B3A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20%</w:t>
            </w:r>
          </w:p>
        </w:tc>
      </w:tr>
      <w:tr w:rsidR="003116F3" w:rsidRPr="00433B00" w14:paraId="31222AC8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545DB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5CA4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DEPI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D2EC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94CB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18F1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BCB3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0A12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45%</w:t>
            </w:r>
          </w:p>
        </w:tc>
      </w:tr>
      <w:tr w:rsidR="003116F3" w:rsidRPr="00433B00" w14:paraId="1CE1341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0128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4612B" w14:textId="0571936E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DICEL</w:t>
            </w:r>
            <w:r w:rsidR="007D4DF9">
              <w:rPr>
                <w:rFonts w:ascii="Calibri" w:hAnsi="Calibri" w:cs="Calibri"/>
                <w:color w:val="000000"/>
                <w:sz w:val="20"/>
                <w:szCs w:val="20"/>
              </w:rPr>
              <w:t>/DICELER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0A66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DB4E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123A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1D0E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804E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44%</w:t>
            </w:r>
          </w:p>
        </w:tc>
      </w:tr>
      <w:tr w:rsidR="003116F3" w:rsidRPr="00433B00" w14:paraId="32F81BE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7265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70AAE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DISTRIBUIDORA DEL PACIFICO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1BA0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BAD3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1C44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34D0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DF33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116F3" w:rsidRPr="00433B00" w14:paraId="1C1FDCB2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538399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C6922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ECOMMERCIAL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A349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F51C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1147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BC70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FBD5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3F88B3E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2589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CFD49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EGECOL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D92F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CD9F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29B7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4049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2050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03811EA6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A0871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D2D65A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ELECTRIFICADORA DE SANTANDER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62BE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F751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BDF5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3698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4ACA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76%</w:t>
            </w:r>
          </w:p>
        </w:tc>
      </w:tr>
      <w:tr w:rsidR="003116F3" w:rsidRPr="00433B00" w14:paraId="015DCA35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189F8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6A366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ELECTRIFICADORA DEL CAQUETA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72B4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4884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DEAA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106F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48E2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3A8A729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2FF8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2120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ELECTRIFICADORA DEL HUILA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A3AB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A6FF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58C8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DDDC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306D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26%</w:t>
            </w:r>
          </w:p>
        </w:tc>
      </w:tr>
      <w:tr w:rsidR="003116F3" w:rsidRPr="00433B00" w14:paraId="1269153B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B2129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409F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ELECTRIFICADORA DEL META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F547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876A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CD69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0096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4E1D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54%</w:t>
            </w:r>
          </w:p>
        </w:tc>
      </w:tr>
      <w:tr w:rsidR="003116F3" w:rsidRPr="00433B00" w14:paraId="7515192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03247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5B05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EMCALI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A348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DC06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A694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5EEC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56F2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31%</w:t>
            </w:r>
          </w:p>
        </w:tc>
      </w:tr>
      <w:tr w:rsidR="003116F3" w:rsidRPr="00433B00" w14:paraId="53E68C7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20697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3B595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 CARTAGENA DEL CHAIRA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9F01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C8FD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7A0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4395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9379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690B8F8F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7D80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71E65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ARAUCA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5D5B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4C33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1165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355B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CDB7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116F3" w:rsidRPr="00433B00" w14:paraId="651768E5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F5768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937A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BOYACA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8D9B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4DF0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BF2B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B501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C54A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65%</w:t>
            </w:r>
          </w:p>
        </w:tc>
      </w:tr>
      <w:tr w:rsidR="003116F3" w:rsidRPr="00433B00" w14:paraId="33D35D13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0132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C7419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CASANARE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EB94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5A1B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BAD98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7F24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6464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0CCD695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673B9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26788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 PEREIRA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AB8C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E909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EC26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4F4D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2770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87%</w:t>
            </w:r>
          </w:p>
        </w:tc>
      </w:tr>
      <w:tr w:rsidR="003116F3" w:rsidRPr="00433B00" w14:paraId="64AA10D7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E021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433DB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DEL BAJO PUTUMAYO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6352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29FF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EBAE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57F1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99EB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116F3" w:rsidRPr="00433B00" w14:paraId="2D1A3B6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503C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01822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DE ENERGIA DEL QUINDIO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A949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410B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239D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19C2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0AD6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80%</w:t>
            </w:r>
          </w:p>
        </w:tc>
      </w:tr>
      <w:tr w:rsidR="003116F3" w:rsidRPr="00433B00" w14:paraId="783AF962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52A6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92276" w14:textId="3596C00D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ENERGIA VALLE DE SIBUNDOY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BEFA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6550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9BD1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7443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0C24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18%</w:t>
            </w:r>
          </w:p>
        </w:tc>
      </w:tr>
      <w:tr w:rsidR="003116F3" w:rsidRPr="00433B00" w14:paraId="70CE543D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E16A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77D1A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ENERGIA PUTUMAYO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71B0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4811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8DC9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4791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5F2B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80%</w:t>
            </w:r>
          </w:p>
        </w:tc>
      </w:tr>
      <w:tr w:rsidR="003116F3" w:rsidRPr="00433B00" w14:paraId="464B186A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293A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86D3A" w14:textId="73528118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EMPRESA MUNICIPAL ENERGIA ELECTRICA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31CF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A1F5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14BF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8CD44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9219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48942802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F483EE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6311B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6A50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5338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6171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163F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3EC1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84%</w:t>
            </w:r>
          </w:p>
        </w:tc>
      </w:tr>
      <w:tr w:rsidR="003116F3" w:rsidRPr="00433B00" w14:paraId="44B99BBF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FBAC7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D4D45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ENERCO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A15F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9DD5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DB51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9F73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D14F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59%</w:t>
            </w:r>
          </w:p>
        </w:tc>
      </w:tr>
      <w:tr w:rsidR="003116F3" w:rsidRPr="00433B00" w14:paraId="1516BE32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98D6B0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0F1C8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ENERGETICOS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8695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ECEBD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17A4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C5BA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493C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94%</w:t>
            </w:r>
          </w:p>
        </w:tc>
      </w:tr>
      <w:tr w:rsidR="003116F3" w:rsidRPr="00433B00" w14:paraId="7232D72D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B49E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FC0B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ENERGIA LIMPIA Y EFICIENTE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03DF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5E34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CFD9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AAD0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BE87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</w:p>
        </w:tc>
      </w:tr>
      <w:tr w:rsidR="003116F3" w:rsidRPr="00433B00" w14:paraId="7832C7FC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5DC66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5030D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ENERGIA Y AGUA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30D4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1F4F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EEE0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EAE8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95F8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116F3" w:rsidRPr="00433B00" w14:paraId="7A9023A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EF7B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33520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ENERGUAVIARE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9E53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A571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C532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F607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509A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048C5A65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3E123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0A2C1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ENERMAS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091F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B9D8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5EDE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4657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4BEE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56%</w:t>
            </w:r>
          </w:p>
        </w:tc>
      </w:tr>
      <w:tr w:rsidR="003116F3" w:rsidRPr="00433B00" w14:paraId="7C3B8E8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48A31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647CC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ENERTOTAL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D60A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2F1E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77DC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0A77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64486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90%</w:t>
            </w:r>
          </w:p>
        </w:tc>
      </w:tr>
      <w:tr w:rsidR="003116F3" w:rsidRPr="00433B00" w14:paraId="04DFC76D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6F64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3E986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ENERVISA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295B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5833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8902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1B1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1A6F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11B576BB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244B7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2E916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EPM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4CB3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47E6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2209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82AC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DCE7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3116F3" w:rsidRPr="00433B00" w14:paraId="751E089A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8A7D1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AEC7E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ESPACIO PRODUCTIVO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F897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8B50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4B1F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D33D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9AAE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84%</w:t>
            </w:r>
          </w:p>
        </w:tc>
      </w:tr>
      <w:tr w:rsidR="003116F3" w:rsidRPr="00433B00" w14:paraId="34A3C82F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CEDF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2C811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FORCEFUL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2271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375C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B137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6757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59A7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738BB31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437DB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A38EE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FRANCA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6FAC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0330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1B7D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633A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78BD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116F3" w:rsidRPr="00433B00" w14:paraId="1676ED68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2048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43EB4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FUENTES DE ENERGIAS RENOVABLES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657C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3609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C4F4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A1DE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9E8D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</w:tr>
      <w:tr w:rsidR="003116F3" w:rsidRPr="00433B00" w14:paraId="16AD3206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E6C12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4DEB4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GAP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09C7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EA16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293A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85AF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5BC8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4283C67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4DA83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F8E42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GECELCA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5C6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3DBE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6FA2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701C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C332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92%</w:t>
            </w:r>
          </w:p>
        </w:tc>
      </w:tr>
      <w:tr w:rsidR="003116F3" w:rsidRPr="00433B00" w14:paraId="1408FBC5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1DF3B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DBB04" w14:textId="3F2F75C6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GENERADORA COLOMBIANA ELECTRICIDAD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C677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D9FFF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3EA33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85D3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C872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31BDB3F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F74EE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5A96C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GENERARCO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181B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9BEB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5602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64F2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281BC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30%</w:t>
            </w:r>
          </w:p>
        </w:tc>
      </w:tr>
      <w:tr w:rsidR="003116F3" w:rsidRPr="00433B00" w14:paraId="6A4F427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E30C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1E330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GENERSYS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5784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560A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A3E3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273E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4C17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20%</w:t>
            </w:r>
          </w:p>
        </w:tc>
      </w:tr>
      <w:tr w:rsidR="003116F3" w:rsidRPr="00433B00" w14:paraId="0BCAD739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553D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F9C41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GESTION ENERGETICA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A486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8424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373B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BDA4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092C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62%</w:t>
            </w:r>
          </w:p>
        </w:tc>
      </w:tr>
      <w:tr w:rsidR="003116F3" w:rsidRPr="00433B00" w14:paraId="1BE10515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F68C4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316DA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GREENYELLOW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04F3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A9B7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9D79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1067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1BCB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4AAF7F1F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CB964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1051A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HIDROELECTRICA ALTO PORCE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D6CC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28F7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AB0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894E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5BFE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757C0D0E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C9450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2A8E9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HZ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6E96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510E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52FE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B722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8309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67%</w:t>
            </w:r>
          </w:p>
        </w:tc>
      </w:tr>
      <w:tr w:rsidR="003116F3" w:rsidRPr="00433B00" w14:paraId="5C1B506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DBEE2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0B40D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IA ENERGIA Y GESTION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8294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5028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EDE8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C4AB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C497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70%</w:t>
            </w:r>
          </w:p>
        </w:tc>
      </w:tr>
      <w:tr w:rsidR="003116F3" w:rsidRPr="00433B00" w14:paraId="1085E333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7F754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813AD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ISAGEN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7BC9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B10E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32C4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C7786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255E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99%</w:t>
            </w:r>
          </w:p>
        </w:tc>
      </w:tr>
      <w:tr w:rsidR="003116F3" w:rsidRPr="00433B00" w14:paraId="3581DDA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69C70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678BF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ITALCOL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2F94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0D92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6886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BA0D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67EF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31D9EA7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0A57C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955C5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LA CASCADA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C4A9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695D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027A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594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405A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3DB82D67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4379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642DA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MESSER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F5D3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8E84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3633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3735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C38B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63%</w:t>
            </w:r>
          </w:p>
        </w:tc>
      </w:tr>
      <w:tr w:rsidR="003116F3" w:rsidRPr="00433B00" w14:paraId="1260C4AB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A45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80C0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NEU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241A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2CBC9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AE2E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FF57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9850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</w:p>
        </w:tc>
      </w:tr>
      <w:tr w:rsidR="003116F3" w:rsidRPr="00433B00" w14:paraId="6F68FC9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5A246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F1C3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NITRO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A3A1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F1C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210F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1E45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1CD2C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53%</w:t>
            </w:r>
          </w:p>
        </w:tc>
      </w:tr>
      <w:tr w:rsidR="003116F3" w:rsidRPr="00433B00" w14:paraId="41E5499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EB3A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FBBB5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PROENERGY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0C9A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4B64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28F7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602B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2514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77%</w:t>
            </w:r>
          </w:p>
        </w:tc>
      </w:tr>
      <w:tr w:rsidR="003116F3" w:rsidRPr="00433B00" w14:paraId="49125628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416AC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6738B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PROFESIONALES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B51A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8F37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1477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E95C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4404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62%</w:t>
            </w:r>
          </w:p>
        </w:tc>
      </w:tr>
      <w:tr w:rsidR="003116F3" w:rsidRPr="00433B00" w14:paraId="391859C7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0141F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0D010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PROYECTOS ENERGETICOS DEL CAUCA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AD7B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837D5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D8E3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4A33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6AF1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2E4B12DB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8FF55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84A22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RIOPAILA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09D5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10C2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B8C6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5542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96F9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1A640057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F1FF9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A40B6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RISARALDA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17B3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15CA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D356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5D6F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A42D2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271965F4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DC9AC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E8A9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RUITOQUE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700F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DF71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C75D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155B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2A96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58%</w:t>
            </w:r>
          </w:p>
        </w:tc>
      </w:tr>
      <w:tr w:rsidR="003116F3" w:rsidRPr="00433B00" w14:paraId="031C2AE1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9089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BAFF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SOUTH 32 ENERGY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9B30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F4E9E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3A2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C8DD7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48056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44%</w:t>
            </w:r>
          </w:p>
        </w:tc>
      </w:tr>
      <w:tr w:rsidR="003116F3" w:rsidRPr="00433B00" w14:paraId="3018020A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59FBA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D7FEE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SPECTRUM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1CAB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BA979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1679D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0D80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BCD1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29%</w:t>
            </w:r>
          </w:p>
        </w:tc>
      </w:tr>
      <w:tr w:rsidR="003116F3" w:rsidRPr="00433B00" w14:paraId="28CFDC82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30ED4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CA2A7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TERPEL ENERGIA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886A7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2B86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8BAC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1639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E5894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44%</w:t>
            </w:r>
          </w:p>
        </w:tc>
      </w:tr>
      <w:tr w:rsidR="003116F3" w:rsidRPr="00433B00" w14:paraId="62F3DDDD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B22CB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2AF18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TRANSACCIONES ENERGETICAS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4146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F370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E638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FC178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F482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  <w:tr w:rsidR="003116F3" w:rsidRPr="00433B00" w14:paraId="2470BEE0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361CB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B81E8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URRA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3A75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719B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20694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31CBA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1F7EB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83%</w:t>
            </w:r>
          </w:p>
        </w:tc>
      </w:tr>
      <w:tr w:rsidR="003116F3" w:rsidRPr="00433B00" w14:paraId="2AB8A91D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75C50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D20BB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VATIA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DA49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F0140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FE56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011CF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7FBE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78%</w:t>
            </w:r>
          </w:p>
        </w:tc>
      </w:tr>
      <w:tr w:rsidR="003116F3" w:rsidRPr="00433B00" w14:paraId="5AE78256" w14:textId="77777777" w:rsidTr="00B55EC1">
        <w:trPr>
          <w:trHeight w:val="312"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C743D" w14:textId="77777777" w:rsidR="00005BE9" w:rsidRPr="00005BE9" w:rsidRDefault="00005BE9" w:rsidP="00005BE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3EC33" w14:textId="77777777" w:rsidR="00005BE9" w:rsidRPr="00005BE9" w:rsidRDefault="00005BE9" w:rsidP="00005B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VOLTAJE EMPRESARIAL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94888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04161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8F405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605C3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7C82E" w14:textId="77777777" w:rsidR="00005BE9" w:rsidRPr="00005BE9" w:rsidRDefault="00005BE9" w:rsidP="007D4DF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05BE9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</w:p>
        </w:tc>
      </w:tr>
    </w:tbl>
    <w:p w14:paraId="3E4FBCC9" w14:textId="1AA06265" w:rsidR="00B55EC1" w:rsidRDefault="00B55EC1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15EB7318" w14:textId="77777777" w:rsidR="00B55EC1" w:rsidRDefault="00B55EC1">
      <w:pPr>
        <w:rPr>
          <w:rFonts w:ascii="Arial" w:hAnsi="Arial" w:cs="Arial"/>
          <w:b/>
          <w:bCs/>
          <w:spacing w:val="-5"/>
        </w:rPr>
      </w:pPr>
      <w:r>
        <w:rPr>
          <w:rFonts w:cs="Arial"/>
          <w:b/>
          <w:bCs/>
        </w:rPr>
        <w:br w:type="page"/>
      </w:r>
    </w:p>
    <w:p w14:paraId="04AB0E41" w14:textId="56AF7A11" w:rsidR="00B55EC1" w:rsidRDefault="00B55EC1" w:rsidP="00B55EC1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lastRenderedPageBreak/>
        <w:t xml:space="preserve">Tabla 3. </w:t>
      </w:r>
      <w:r w:rsidR="00624B69">
        <w:rPr>
          <w:rFonts w:cs="Arial"/>
          <w:b/>
          <w:bCs/>
          <w:sz w:val="24"/>
          <w:szCs w:val="24"/>
        </w:rPr>
        <w:t>A</w:t>
      </w:r>
      <w:r>
        <w:rPr>
          <w:rFonts w:cs="Arial"/>
          <w:b/>
          <w:bCs/>
          <w:sz w:val="24"/>
          <w:szCs w:val="24"/>
        </w:rPr>
        <w:t xml:space="preserve">gentes que </w:t>
      </w:r>
      <w:r w:rsidR="00624B69">
        <w:rPr>
          <w:rFonts w:cs="Arial"/>
          <w:b/>
          <w:bCs/>
          <w:sz w:val="24"/>
          <w:szCs w:val="24"/>
        </w:rPr>
        <w:t>no</w:t>
      </w:r>
      <w:r>
        <w:rPr>
          <w:rFonts w:cs="Arial"/>
          <w:b/>
          <w:bCs/>
          <w:sz w:val="24"/>
          <w:szCs w:val="24"/>
        </w:rPr>
        <w:t xml:space="preserve"> modificaron contratos</w:t>
      </w:r>
    </w:p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4420"/>
        <w:gridCol w:w="1278"/>
        <w:gridCol w:w="1460"/>
        <w:gridCol w:w="1278"/>
      </w:tblGrid>
      <w:tr w:rsidR="007D4DF9" w14:paraId="50004ECF" w14:textId="77777777" w:rsidTr="007D4DF9">
        <w:trPr>
          <w:trHeight w:val="86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1A96ED4" w14:textId="77777777" w:rsidR="007D4DF9" w:rsidRDefault="007D4DF9" w:rsidP="00D262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C0D995A" w14:textId="40A17C09" w:rsidR="007D4DF9" w:rsidRDefault="007D4DF9" w:rsidP="00D262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AGENTE</w:t>
            </w:r>
            <w:r w:rsidR="00F650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ASIC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0C0EAF9" w14:textId="77777777" w:rsidR="007D4DF9" w:rsidRDefault="007D4DF9" w:rsidP="00D262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CONTRATOS MERCADO REGULADO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4032960" w14:textId="77777777" w:rsidR="007D4DF9" w:rsidRDefault="007D4DF9" w:rsidP="00D262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CONTRATOS MERCADO NO REGULADO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8571653" w14:textId="77777777" w:rsidR="007D4DF9" w:rsidRDefault="007D4DF9" w:rsidP="00D2623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CONTRATOS</w:t>
            </w:r>
          </w:p>
        </w:tc>
      </w:tr>
      <w:tr w:rsidR="007D4DF9" w14:paraId="45AEBE1B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412D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D3D5B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AGENTE EXPERTO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960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D5A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EBA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4DF9" w14:paraId="115DFB16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FEF3E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A0AC4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 ENERGY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FAF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8FA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EBCCD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0151D952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64312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FB4" w14:textId="68E89C70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BTG PACTUAL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610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0BB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E13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4DF9" w14:paraId="044E690C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AC634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28134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CEE ENERGY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4B5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D27F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2B1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1FCED3D7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0AF79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A50D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HIDROELECTRICA CONCORDIA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0B35F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2093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71CF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34D3C369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19713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A80B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HIDROELECTRICA ZEUS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764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4CA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677B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50299113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51EF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01FE7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COMPAÑIA ELECTRICA DE SOCHAGOTA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D83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2353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2F83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D4DF9" w14:paraId="36039C3D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F7518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08D7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COMPAÑIA INTEGRAL ENERGETICA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E1E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D419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AEFB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68B9AB3B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DADD2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2D14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ENERGETICA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1F4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87F2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008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D4DF9" w14:paraId="20165889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AEA20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927D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ENERGIA RENOVABLE COLOMBIA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761D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12E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C02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66209613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F345F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8E79F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ENERSUA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A80B3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826DE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1CA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7F7CDC77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A3B76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C833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FOTOVOLTAICO ARRAYANES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3E6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6C4E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D9A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7D4DF9" w14:paraId="57FF1B17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2CAA5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5213C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GENERADORA ALEJANDRIA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006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F76F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47DF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049A05CD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F1C77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3FCA3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FD95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206F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78E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20AE63E6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D3A54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6C79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GENERSOL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547E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4D6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23F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4DF9" w14:paraId="42A015E3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B30DD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84F9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GENMAS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01383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92DE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2E24B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4DF9" w14:paraId="575B3B53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4799D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2ED7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HIDROENERGIA LA MONTAÑA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A76E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D8B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AF5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4DF9" w14:paraId="1F108554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FCB46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1A64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IAC ENERGY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3FA1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BA0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5CE1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00660B7B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79EBD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18D7C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JEMEIWAA KA 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D72D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5CB3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1A8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7D4DF9" w14:paraId="3BDD069E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312C5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0C65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PARQUE SOLAR LOS GIRASOLES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7E71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A9B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A44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29E23084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3B88A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4826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PCH SAN BARTOLOME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8E40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D332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0310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7D4DF9" w14:paraId="781C89D3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6BF82A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56A5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SANTAFE ENERGY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4EDA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074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AA1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7D4DF9" w14:paraId="391DDA30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05072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1BBA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 DE CIENAGAS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813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023B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76D1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7D4DF9" w14:paraId="0C55E412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827FF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4331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SOLARPACK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9BAB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EC79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D9D1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7D4DF9" w14:paraId="20E74A1F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B4268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EA3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461C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7947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76129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7D4DF9" w14:paraId="6B2CBB69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35423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FAA7D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SUBA SOLAR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6D3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3E0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801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D4DF9" w14:paraId="522F2544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E88CE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22C5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TECHNOELITE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DAE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82A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CCA9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7D4DF9" w14:paraId="3681F52B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5928B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CD77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TERMOMECHERO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288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4B70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C859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7D4DF9" w14:paraId="6D5F6051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74F9C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D71B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TERMOTASAJERO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12EF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126C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8A8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</w:tr>
      <w:tr w:rsidR="007D4DF9" w14:paraId="3BE14161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EE641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3BEF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TERMOYOPAL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FE1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900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FD97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7D4DF9" w14:paraId="16309DE4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5F091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CBB5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TRINA SOLAR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5C136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020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445A5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7D4DF9" w14:paraId="1CE89192" w14:textId="77777777" w:rsidTr="007D4DF9">
        <w:trPr>
          <w:trHeight w:val="31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5EA39" w14:textId="77777777" w:rsidR="007D4DF9" w:rsidRDefault="007D4DF9" w:rsidP="00D2623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87F6" w14:textId="77777777" w:rsidR="007D4DF9" w:rsidRDefault="007D4DF9" w:rsidP="00D2623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VIENTOS DEL NORTE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E0DA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9E808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6C4" w14:textId="77777777" w:rsidR="007D4DF9" w:rsidRDefault="007D4DF9" w:rsidP="00D2623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</w:tbl>
    <w:p w14:paraId="043FB21B" w14:textId="6A4D06F6" w:rsidR="00CF0DCB" w:rsidRDefault="00CF0DCB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</w:p>
    <w:p w14:paraId="42E51B17" w14:textId="3E1E1CF8" w:rsidR="00955CB8" w:rsidRDefault="00CF0DCB" w:rsidP="00FB0C79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br w:type="page"/>
      </w:r>
      <w:r>
        <w:rPr>
          <w:rFonts w:cs="Arial"/>
          <w:b/>
          <w:bCs/>
          <w:sz w:val="24"/>
          <w:szCs w:val="24"/>
        </w:rPr>
        <w:lastRenderedPageBreak/>
        <w:t>Tabla 4. Agentes sin reporte de información</w:t>
      </w:r>
    </w:p>
    <w:tbl>
      <w:tblPr>
        <w:tblW w:w="7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6558"/>
      </w:tblGrid>
      <w:tr w:rsidR="00FB0C79" w14:paraId="2642FCDE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C21343A" w14:textId="77777777" w:rsidR="00FB0C79" w:rsidRDefault="00FB0C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0DD5642" w14:textId="14C4D517" w:rsidR="00FB0C79" w:rsidRDefault="00FB0C7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AGENTE</w:t>
            </w:r>
            <w:r w:rsidR="00F650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ASIC</w:t>
            </w:r>
          </w:p>
        </w:tc>
      </w:tr>
      <w:tr w:rsidR="00FB0C79" w14:paraId="71A6D198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B90C9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E5B71" w14:textId="654F48C8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ASC INGENIERIA</w:t>
            </w:r>
          </w:p>
        </w:tc>
      </w:tr>
      <w:tr w:rsidR="00FB0C79" w14:paraId="730101C2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3A25D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8A43A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AMPERIA</w:t>
            </w:r>
          </w:p>
        </w:tc>
      </w:tr>
      <w:tr w:rsidR="00FB0C79" w14:paraId="5870DF25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D74A1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FEF6D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APH SERVICIOS ELECTRICOS SA ESP</w:t>
            </w:r>
          </w:p>
        </w:tc>
      </w:tr>
      <w:tr w:rsidR="00FB0C79" w14:paraId="0CEA0493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D7145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F5FC6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ATLÁNTICA COLOMBIA</w:t>
            </w:r>
          </w:p>
        </w:tc>
      </w:tr>
      <w:tr w:rsidR="00FB0C79" w14:paraId="2B46C418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E467C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B6AD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AURES BAJO</w:t>
            </w:r>
          </w:p>
        </w:tc>
      </w:tr>
      <w:tr w:rsidR="00FB0C79" w14:paraId="339CEAD6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D9DDD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E1C9F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AXIA ENERGIA</w:t>
            </w:r>
          </w:p>
        </w:tc>
      </w:tr>
      <w:tr w:rsidR="00FB0C79" w14:paraId="6ABBDA3E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9DCE0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B3BA5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BEAM ENERGY INNOVATION</w:t>
            </w:r>
          </w:p>
        </w:tc>
      </w:tr>
      <w:tr w:rsidR="00FB0C79" w14:paraId="00980BD0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06A4B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A9D0E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BIOGAS COLOMBIA</w:t>
            </w:r>
          </w:p>
        </w:tc>
      </w:tr>
      <w:tr w:rsidR="00FB0C79" w14:paraId="117FC5AF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9E95A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A03C6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BIOGER</w:t>
            </w:r>
          </w:p>
        </w:tc>
      </w:tr>
      <w:tr w:rsidR="00FB0C79" w14:paraId="498DAC0C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F7CB3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FCCB9" w14:textId="4F6F8A63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CARBOENERGY </w:t>
            </w:r>
          </w:p>
        </w:tc>
      </w:tr>
      <w:tr w:rsidR="00FB0C79" w14:paraId="49AA7EB9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E3634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24DAB" w14:textId="3C8A2A71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CEE ENERGY</w:t>
            </w:r>
          </w:p>
        </w:tc>
      </w:tr>
      <w:tr w:rsidR="00FB0C79" w14:paraId="3EE0DA3D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C64BD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15EDB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HIDROELECTRICA EL EDEN</w:t>
            </w:r>
          </w:p>
        </w:tc>
      </w:tr>
      <w:tr w:rsidR="00FB0C79" w14:paraId="1867FA86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13877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0130F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 HIDROELECTRICA TZ II</w:t>
            </w:r>
          </w:p>
        </w:tc>
      </w:tr>
      <w:tr w:rsidR="00FB0C79" w14:paraId="4778ED6F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29283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B8F65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CENTRALES ELECTRICAS DEL CAUCA</w:t>
            </w:r>
          </w:p>
        </w:tc>
      </w:tr>
      <w:tr w:rsidR="00FB0C79" w14:paraId="276B6395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989B4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471B8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COMPAÑIA DE LUZ INTELIGENTE DE COLOMBIA - CLIC</w:t>
            </w:r>
          </w:p>
        </w:tc>
      </w:tr>
      <w:tr w:rsidR="00FB0C79" w14:paraId="44A3E834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80665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A4488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CONSULTORES EN ENERGIA</w:t>
            </w:r>
          </w:p>
        </w:tc>
      </w:tr>
      <w:tr w:rsidR="00FB0C79" w14:paraId="2F31ACC6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FE1B7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3069D" w14:textId="20614A63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COX ENERGY COMERCIALIZADORA</w:t>
            </w:r>
          </w:p>
        </w:tc>
      </w:tr>
      <w:tr w:rsidR="00FB0C79" w14:paraId="3CE1DAA9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DE599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DE4DD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E2 ENERGIA EFICIENTE</w:t>
            </w:r>
          </w:p>
        </w:tc>
      </w:tr>
      <w:tr w:rsidR="00FB0C79" w14:paraId="2C43FF90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E6035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DB0C9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EDN COLOMBIA</w:t>
            </w:r>
          </w:p>
        </w:tc>
      </w:tr>
      <w:tr w:rsidR="00FB0C79" w14:paraId="66139555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00A68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C227B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ELECTRIFICADORA DEL MUNICIPIO DE RIOSUCIO CHOCO</w:t>
            </w:r>
          </w:p>
        </w:tc>
      </w:tr>
      <w:tr w:rsidR="00FB0C79" w14:paraId="2382F488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4D71E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D4955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 DE ENERGIA DE GUAPI</w:t>
            </w:r>
          </w:p>
        </w:tc>
      </w:tr>
      <w:tr w:rsidR="00FB0C79" w14:paraId="3124AC4C" w14:textId="77777777" w:rsidTr="00FB0C79">
        <w:trPr>
          <w:trHeight w:val="312"/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BD726" w14:textId="77777777" w:rsidR="00FB0C79" w:rsidRDefault="00FB0C7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A9D386" w14:textId="77777777" w:rsidR="00FB0C79" w:rsidRDefault="00FB0C7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EMPRESA DE ENERGIA ELECTRICA DEL DEPARTAMENTO DEL VICHADA</w:t>
            </w:r>
          </w:p>
        </w:tc>
      </w:tr>
    </w:tbl>
    <w:p w14:paraId="10DDA185" w14:textId="01328509" w:rsidR="00CF0DCB" w:rsidRPr="00242A5A" w:rsidRDefault="00985FF3" w:rsidP="001857D8">
      <w:pPr>
        <w:pStyle w:val="Textoindependiente"/>
        <w:spacing w:after="0" w:line="360" w:lineRule="auto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FIN DEL ANEXO</w:t>
      </w:r>
    </w:p>
    <w:sectPr w:rsidR="00CF0DCB" w:rsidRPr="00242A5A" w:rsidSect="008B094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9" w:right="1418" w:bottom="1985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136B" w14:textId="77777777" w:rsidR="00F01210" w:rsidRDefault="00F01210" w:rsidP="00AA0519">
      <w:r>
        <w:separator/>
      </w:r>
    </w:p>
  </w:endnote>
  <w:endnote w:type="continuationSeparator" w:id="0">
    <w:p w14:paraId="0EDE8385" w14:textId="77777777" w:rsidR="00F01210" w:rsidRDefault="00F01210" w:rsidP="00AA0519">
      <w:r>
        <w:continuationSeparator/>
      </w:r>
    </w:p>
  </w:endnote>
  <w:endnote w:type="continuationNotice" w:id="1">
    <w:p w14:paraId="7F012DC9" w14:textId="77777777" w:rsidR="00F01210" w:rsidRDefault="00F012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4CF4E285">
          <wp:simplePos x="0" y="0"/>
          <wp:positionH relativeFrom="margin">
            <wp:posOffset>-905510</wp:posOffset>
          </wp:positionH>
          <wp:positionV relativeFrom="paragraph">
            <wp:posOffset>-629920</wp:posOffset>
          </wp:positionV>
          <wp:extent cx="7750098" cy="1248555"/>
          <wp:effectExtent l="0" t="0" r="3810" b="8890"/>
          <wp:wrapNone/>
          <wp:docPr id="2" name="Imagen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01D65A66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1" name="Imagen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477B" w14:textId="77777777" w:rsidR="00F01210" w:rsidRDefault="00F01210" w:rsidP="00AA0519">
      <w:r>
        <w:separator/>
      </w:r>
    </w:p>
  </w:footnote>
  <w:footnote w:type="continuationSeparator" w:id="0">
    <w:p w14:paraId="50FF49AC" w14:textId="77777777" w:rsidR="00F01210" w:rsidRDefault="00F01210" w:rsidP="00AA0519">
      <w:r>
        <w:continuationSeparator/>
      </w:r>
    </w:p>
  </w:footnote>
  <w:footnote w:type="continuationNotice" w:id="1">
    <w:p w14:paraId="3F2AB0D0" w14:textId="77777777" w:rsidR="00F01210" w:rsidRDefault="00F012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445631C7" w:rsidR="003F2F4B" w:rsidRPr="00C9169C" w:rsidRDefault="008B0943" w:rsidP="002E0B21">
    <w:pPr>
      <w:pStyle w:val="Destinario"/>
      <w:spacing w:before="240"/>
      <w:rPr>
        <w:sz w:val="22"/>
        <w:szCs w:val="22"/>
        <w:lang w:val="es-ES"/>
      </w:rPr>
    </w:pPr>
    <w:r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739D8723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30" name="Imagen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n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6A377C77">
          <wp:simplePos x="0" y="0"/>
          <wp:positionH relativeFrom="column">
            <wp:posOffset>3276600</wp:posOffset>
          </wp:positionH>
          <wp:positionV relativeFrom="paragraph">
            <wp:posOffset>-419735</wp:posOffset>
          </wp:positionV>
          <wp:extent cx="3346234" cy="527857"/>
          <wp:effectExtent l="0" t="0" r="6985" b="5715"/>
          <wp:wrapNone/>
          <wp:docPr id="4" name="Imagen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227128D0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33" name="Imagen 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F2"/>
    <w:multiLevelType w:val="hybridMultilevel"/>
    <w:tmpl w:val="46440D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4CB5"/>
    <w:multiLevelType w:val="hybridMultilevel"/>
    <w:tmpl w:val="EE26B080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E5FB4"/>
    <w:multiLevelType w:val="hybridMultilevel"/>
    <w:tmpl w:val="3BDA8C22"/>
    <w:lvl w:ilvl="0" w:tplc="B1429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198491">
    <w:abstractNumId w:val="0"/>
  </w:num>
  <w:num w:numId="2" w16cid:durableId="1944025544">
    <w:abstractNumId w:val="1"/>
  </w:num>
  <w:num w:numId="3" w16cid:durableId="122186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0080A"/>
    <w:rsid w:val="00002F9E"/>
    <w:rsid w:val="00004C45"/>
    <w:rsid w:val="00005BE9"/>
    <w:rsid w:val="00011EC2"/>
    <w:rsid w:val="0001281F"/>
    <w:rsid w:val="0002244C"/>
    <w:rsid w:val="0004025C"/>
    <w:rsid w:val="00043891"/>
    <w:rsid w:val="00046BDF"/>
    <w:rsid w:val="00053206"/>
    <w:rsid w:val="00060AD6"/>
    <w:rsid w:val="00060CBB"/>
    <w:rsid w:val="000626A9"/>
    <w:rsid w:val="0006325B"/>
    <w:rsid w:val="00063856"/>
    <w:rsid w:val="00071BA7"/>
    <w:rsid w:val="00074D17"/>
    <w:rsid w:val="00080736"/>
    <w:rsid w:val="0008168D"/>
    <w:rsid w:val="00082470"/>
    <w:rsid w:val="000849B5"/>
    <w:rsid w:val="00091ACC"/>
    <w:rsid w:val="000A66D0"/>
    <w:rsid w:val="000B1623"/>
    <w:rsid w:val="000B439A"/>
    <w:rsid w:val="000C3B47"/>
    <w:rsid w:val="000C626F"/>
    <w:rsid w:val="000F0227"/>
    <w:rsid w:val="000F11F6"/>
    <w:rsid w:val="000F38B4"/>
    <w:rsid w:val="001019AE"/>
    <w:rsid w:val="00110F53"/>
    <w:rsid w:val="001215BB"/>
    <w:rsid w:val="00121DAE"/>
    <w:rsid w:val="00124C31"/>
    <w:rsid w:val="00137991"/>
    <w:rsid w:val="0014353D"/>
    <w:rsid w:val="00153BE7"/>
    <w:rsid w:val="001573D9"/>
    <w:rsid w:val="00157A19"/>
    <w:rsid w:val="0016467A"/>
    <w:rsid w:val="0017389A"/>
    <w:rsid w:val="00180792"/>
    <w:rsid w:val="001857D8"/>
    <w:rsid w:val="00194797"/>
    <w:rsid w:val="001B03B6"/>
    <w:rsid w:val="001B134D"/>
    <w:rsid w:val="001C3EC4"/>
    <w:rsid w:val="001D3064"/>
    <w:rsid w:val="001E2DD2"/>
    <w:rsid w:val="001E4179"/>
    <w:rsid w:val="001F303A"/>
    <w:rsid w:val="001F47AB"/>
    <w:rsid w:val="0020116C"/>
    <w:rsid w:val="00201D41"/>
    <w:rsid w:val="002147A0"/>
    <w:rsid w:val="002273CB"/>
    <w:rsid w:val="002302DC"/>
    <w:rsid w:val="0024085D"/>
    <w:rsid w:val="00242A5A"/>
    <w:rsid w:val="002647D6"/>
    <w:rsid w:val="00270D74"/>
    <w:rsid w:val="0027152F"/>
    <w:rsid w:val="00275C77"/>
    <w:rsid w:val="002945FA"/>
    <w:rsid w:val="002A2AF1"/>
    <w:rsid w:val="002A3070"/>
    <w:rsid w:val="002A4B2F"/>
    <w:rsid w:val="002B341D"/>
    <w:rsid w:val="002C26C3"/>
    <w:rsid w:val="002C4D4F"/>
    <w:rsid w:val="002C7284"/>
    <w:rsid w:val="002C7D5C"/>
    <w:rsid w:val="002D2144"/>
    <w:rsid w:val="002E0B21"/>
    <w:rsid w:val="002F440B"/>
    <w:rsid w:val="002F7974"/>
    <w:rsid w:val="003060E4"/>
    <w:rsid w:val="003116F3"/>
    <w:rsid w:val="0031372E"/>
    <w:rsid w:val="00316A01"/>
    <w:rsid w:val="00317D0E"/>
    <w:rsid w:val="00324760"/>
    <w:rsid w:val="003269A3"/>
    <w:rsid w:val="00327B2C"/>
    <w:rsid w:val="00327B59"/>
    <w:rsid w:val="00331D17"/>
    <w:rsid w:val="00337663"/>
    <w:rsid w:val="003514BC"/>
    <w:rsid w:val="00353D1D"/>
    <w:rsid w:val="00354BBC"/>
    <w:rsid w:val="00361DFF"/>
    <w:rsid w:val="0036515D"/>
    <w:rsid w:val="00365889"/>
    <w:rsid w:val="00374514"/>
    <w:rsid w:val="0038014E"/>
    <w:rsid w:val="00387BFA"/>
    <w:rsid w:val="003923BE"/>
    <w:rsid w:val="003976B6"/>
    <w:rsid w:val="003A1C0D"/>
    <w:rsid w:val="003A7FC9"/>
    <w:rsid w:val="003B1FEC"/>
    <w:rsid w:val="003B57E4"/>
    <w:rsid w:val="003C1E8E"/>
    <w:rsid w:val="003C5844"/>
    <w:rsid w:val="003C7E1C"/>
    <w:rsid w:val="003E01AB"/>
    <w:rsid w:val="003F2F4B"/>
    <w:rsid w:val="003F5358"/>
    <w:rsid w:val="00402539"/>
    <w:rsid w:val="00402AC6"/>
    <w:rsid w:val="004170AF"/>
    <w:rsid w:val="004204C6"/>
    <w:rsid w:val="004323B3"/>
    <w:rsid w:val="00433B00"/>
    <w:rsid w:val="0045064D"/>
    <w:rsid w:val="004524EB"/>
    <w:rsid w:val="00456720"/>
    <w:rsid w:val="00457CC2"/>
    <w:rsid w:val="00462012"/>
    <w:rsid w:val="00463831"/>
    <w:rsid w:val="004737D9"/>
    <w:rsid w:val="00475840"/>
    <w:rsid w:val="00477A2A"/>
    <w:rsid w:val="00483D6B"/>
    <w:rsid w:val="00487754"/>
    <w:rsid w:val="004963BD"/>
    <w:rsid w:val="004A077E"/>
    <w:rsid w:val="004A5A88"/>
    <w:rsid w:val="004A6CAB"/>
    <w:rsid w:val="004B5211"/>
    <w:rsid w:val="004C0855"/>
    <w:rsid w:val="004C69B7"/>
    <w:rsid w:val="004C6A03"/>
    <w:rsid w:val="004F23D6"/>
    <w:rsid w:val="005031B8"/>
    <w:rsid w:val="00506D02"/>
    <w:rsid w:val="005154E7"/>
    <w:rsid w:val="00515BEF"/>
    <w:rsid w:val="0052203C"/>
    <w:rsid w:val="005313B5"/>
    <w:rsid w:val="005663FE"/>
    <w:rsid w:val="00566D4E"/>
    <w:rsid w:val="005723D7"/>
    <w:rsid w:val="00587F12"/>
    <w:rsid w:val="00591394"/>
    <w:rsid w:val="00595F3A"/>
    <w:rsid w:val="005A400D"/>
    <w:rsid w:val="005A4453"/>
    <w:rsid w:val="005B4F83"/>
    <w:rsid w:val="005B53D9"/>
    <w:rsid w:val="005B5736"/>
    <w:rsid w:val="005B674F"/>
    <w:rsid w:val="005B6AE1"/>
    <w:rsid w:val="005C18DF"/>
    <w:rsid w:val="005C287A"/>
    <w:rsid w:val="005C42EC"/>
    <w:rsid w:val="005C4D3B"/>
    <w:rsid w:val="005D7D66"/>
    <w:rsid w:val="005E366C"/>
    <w:rsid w:val="005F670C"/>
    <w:rsid w:val="005F6877"/>
    <w:rsid w:val="005F7B53"/>
    <w:rsid w:val="00602072"/>
    <w:rsid w:val="0060443C"/>
    <w:rsid w:val="00611DF0"/>
    <w:rsid w:val="00611F77"/>
    <w:rsid w:val="00624B69"/>
    <w:rsid w:val="00626C4A"/>
    <w:rsid w:val="006328E6"/>
    <w:rsid w:val="0064307E"/>
    <w:rsid w:val="00651863"/>
    <w:rsid w:val="00662539"/>
    <w:rsid w:val="006629AD"/>
    <w:rsid w:val="006713CA"/>
    <w:rsid w:val="0067213E"/>
    <w:rsid w:val="00675C96"/>
    <w:rsid w:val="00681ED2"/>
    <w:rsid w:val="006922E6"/>
    <w:rsid w:val="00696252"/>
    <w:rsid w:val="006A4BBC"/>
    <w:rsid w:val="006A68C7"/>
    <w:rsid w:val="006C6A2B"/>
    <w:rsid w:val="006C740D"/>
    <w:rsid w:val="006D2C06"/>
    <w:rsid w:val="006E386A"/>
    <w:rsid w:val="006E7CD3"/>
    <w:rsid w:val="006F6650"/>
    <w:rsid w:val="006F76F8"/>
    <w:rsid w:val="0070319F"/>
    <w:rsid w:val="0070716E"/>
    <w:rsid w:val="00710981"/>
    <w:rsid w:val="00717096"/>
    <w:rsid w:val="007223B5"/>
    <w:rsid w:val="00735E1F"/>
    <w:rsid w:val="0074199A"/>
    <w:rsid w:val="007427AF"/>
    <w:rsid w:val="007434B6"/>
    <w:rsid w:val="007436ED"/>
    <w:rsid w:val="00752DEC"/>
    <w:rsid w:val="007619F8"/>
    <w:rsid w:val="00762CBD"/>
    <w:rsid w:val="007653FD"/>
    <w:rsid w:val="0076765C"/>
    <w:rsid w:val="00771FCE"/>
    <w:rsid w:val="00781B91"/>
    <w:rsid w:val="007854A3"/>
    <w:rsid w:val="0078631A"/>
    <w:rsid w:val="00793A25"/>
    <w:rsid w:val="007A7C1D"/>
    <w:rsid w:val="007B25F4"/>
    <w:rsid w:val="007B4171"/>
    <w:rsid w:val="007D4DF9"/>
    <w:rsid w:val="007D718A"/>
    <w:rsid w:val="007E292C"/>
    <w:rsid w:val="007E3FF7"/>
    <w:rsid w:val="007F1D13"/>
    <w:rsid w:val="007F42E3"/>
    <w:rsid w:val="007F4E31"/>
    <w:rsid w:val="00823401"/>
    <w:rsid w:val="0082725B"/>
    <w:rsid w:val="00830B93"/>
    <w:rsid w:val="00830ED7"/>
    <w:rsid w:val="00840192"/>
    <w:rsid w:val="00840DFC"/>
    <w:rsid w:val="00847FE4"/>
    <w:rsid w:val="00851F86"/>
    <w:rsid w:val="008622F2"/>
    <w:rsid w:val="00866957"/>
    <w:rsid w:val="00866EB5"/>
    <w:rsid w:val="00875AA3"/>
    <w:rsid w:val="008776E3"/>
    <w:rsid w:val="00884D22"/>
    <w:rsid w:val="008B0943"/>
    <w:rsid w:val="008B5FCD"/>
    <w:rsid w:val="008B64C6"/>
    <w:rsid w:val="008C5BF5"/>
    <w:rsid w:val="008C6E4E"/>
    <w:rsid w:val="008D2801"/>
    <w:rsid w:val="008E191D"/>
    <w:rsid w:val="008E24E2"/>
    <w:rsid w:val="008E6288"/>
    <w:rsid w:val="008E6DBB"/>
    <w:rsid w:val="00920858"/>
    <w:rsid w:val="00921E06"/>
    <w:rsid w:val="00930F73"/>
    <w:rsid w:val="00945F49"/>
    <w:rsid w:val="00951EAD"/>
    <w:rsid w:val="00952B9A"/>
    <w:rsid w:val="00953B40"/>
    <w:rsid w:val="00955CB8"/>
    <w:rsid w:val="00957BE3"/>
    <w:rsid w:val="0096122C"/>
    <w:rsid w:val="00964109"/>
    <w:rsid w:val="00976702"/>
    <w:rsid w:val="009818F7"/>
    <w:rsid w:val="00983534"/>
    <w:rsid w:val="00985FF3"/>
    <w:rsid w:val="009A3312"/>
    <w:rsid w:val="009A6CC5"/>
    <w:rsid w:val="009B5752"/>
    <w:rsid w:val="009D665E"/>
    <w:rsid w:val="009E2D49"/>
    <w:rsid w:val="009E6AAB"/>
    <w:rsid w:val="009E7865"/>
    <w:rsid w:val="009F302D"/>
    <w:rsid w:val="009F3478"/>
    <w:rsid w:val="009F5428"/>
    <w:rsid w:val="00A10F8C"/>
    <w:rsid w:val="00A15CDD"/>
    <w:rsid w:val="00A15D55"/>
    <w:rsid w:val="00A2676F"/>
    <w:rsid w:val="00A33CFC"/>
    <w:rsid w:val="00A43C3E"/>
    <w:rsid w:val="00A46716"/>
    <w:rsid w:val="00A47B7F"/>
    <w:rsid w:val="00A61018"/>
    <w:rsid w:val="00A61B06"/>
    <w:rsid w:val="00A6743F"/>
    <w:rsid w:val="00A67D65"/>
    <w:rsid w:val="00A72850"/>
    <w:rsid w:val="00A83E15"/>
    <w:rsid w:val="00A84924"/>
    <w:rsid w:val="00A87C5D"/>
    <w:rsid w:val="00A90A86"/>
    <w:rsid w:val="00A92B44"/>
    <w:rsid w:val="00AA0519"/>
    <w:rsid w:val="00AA3A21"/>
    <w:rsid w:val="00AA7A5F"/>
    <w:rsid w:val="00AC01D4"/>
    <w:rsid w:val="00AC23D0"/>
    <w:rsid w:val="00AD3723"/>
    <w:rsid w:val="00AF5D39"/>
    <w:rsid w:val="00B10B6C"/>
    <w:rsid w:val="00B14080"/>
    <w:rsid w:val="00B14AE9"/>
    <w:rsid w:val="00B179C5"/>
    <w:rsid w:val="00B20658"/>
    <w:rsid w:val="00B35E2E"/>
    <w:rsid w:val="00B50EDE"/>
    <w:rsid w:val="00B532EB"/>
    <w:rsid w:val="00B55EC1"/>
    <w:rsid w:val="00B74C8C"/>
    <w:rsid w:val="00B74DFE"/>
    <w:rsid w:val="00B768BC"/>
    <w:rsid w:val="00B82814"/>
    <w:rsid w:val="00B84933"/>
    <w:rsid w:val="00B86AA8"/>
    <w:rsid w:val="00BA56E2"/>
    <w:rsid w:val="00BC03F7"/>
    <w:rsid w:val="00BD021F"/>
    <w:rsid w:val="00BD1584"/>
    <w:rsid w:val="00BD438A"/>
    <w:rsid w:val="00BD7625"/>
    <w:rsid w:val="00BF2331"/>
    <w:rsid w:val="00C024D7"/>
    <w:rsid w:val="00C2348E"/>
    <w:rsid w:val="00C32181"/>
    <w:rsid w:val="00C3302D"/>
    <w:rsid w:val="00C339B2"/>
    <w:rsid w:val="00C354FC"/>
    <w:rsid w:val="00C41EE0"/>
    <w:rsid w:val="00C4439A"/>
    <w:rsid w:val="00C51BCA"/>
    <w:rsid w:val="00C6145C"/>
    <w:rsid w:val="00C712DF"/>
    <w:rsid w:val="00C75549"/>
    <w:rsid w:val="00C81AE5"/>
    <w:rsid w:val="00C81E1F"/>
    <w:rsid w:val="00C82382"/>
    <w:rsid w:val="00C82A04"/>
    <w:rsid w:val="00C87CC1"/>
    <w:rsid w:val="00C9169C"/>
    <w:rsid w:val="00C95E87"/>
    <w:rsid w:val="00CA29DB"/>
    <w:rsid w:val="00CA36E9"/>
    <w:rsid w:val="00CB3588"/>
    <w:rsid w:val="00CB3666"/>
    <w:rsid w:val="00CB5D3D"/>
    <w:rsid w:val="00CC2A52"/>
    <w:rsid w:val="00CD6394"/>
    <w:rsid w:val="00CE66F4"/>
    <w:rsid w:val="00CF0DCB"/>
    <w:rsid w:val="00D014FA"/>
    <w:rsid w:val="00D0150C"/>
    <w:rsid w:val="00D22084"/>
    <w:rsid w:val="00D26233"/>
    <w:rsid w:val="00D27ADD"/>
    <w:rsid w:val="00D45002"/>
    <w:rsid w:val="00D47B87"/>
    <w:rsid w:val="00D568E7"/>
    <w:rsid w:val="00D6219A"/>
    <w:rsid w:val="00D666BB"/>
    <w:rsid w:val="00D6681D"/>
    <w:rsid w:val="00D73EB6"/>
    <w:rsid w:val="00D7490C"/>
    <w:rsid w:val="00D754A1"/>
    <w:rsid w:val="00D76C05"/>
    <w:rsid w:val="00D83B7A"/>
    <w:rsid w:val="00D915DC"/>
    <w:rsid w:val="00D93A1A"/>
    <w:rsid w:val="00D97C0D"/>
    <w:rsid w:val="00DA3385"/>
    <w:rsid w:val="00DA741F"/>
    <w:rsid w:val="00DD54FB"/>
    <w:rsid w:val="00DE32E6"/>
    <w:rsid w:val="00DE381D"/>
    <w:rsid w:val="00DE72E5"/>
    <w:rsid w:val="00DE7969"/>
    <w:rsid w:val="00DF1FA9"/>
    <w:rsid w:val="00DF79E2"/>
    <w:rsid w:val="00E00364"/>
    <w:rsid w:val="00E035CC"/>
    <w:rsid w:val="00E062E9"/>
    <w:rsid w:val="00E30CF9"/>
    <w:rsid w:val="00E32FD6"/>
    <w:rsid w:val="00E56853"/>
    <w:rsid w:val="00E607F4"/>
    <w:rsid w:val="00E66726"/>
    <w:rsid w:val="00E77923"/>
    <w:rsid w:val="00E83817"/>
    <w:rsid w:val="00E87D6C"/>
    <w:rsid w:val="00E91BB2"/>
    <w:rsid w:val="00E96665"/>
    <w:rsid w:val="00EA1A7B"/>
    <w:rsid w:val="00EA6EBF"/>
    <w:rsid w:val="00EB3DC1"/>
    <w:rsid w:val="00EB5047"/>
    <w:rsid w:val="00EC5291"/>
    <w:rsid w:val="00ED012B"/>
    <w:rsid w:val="00ED61F0"/>
    <w:rsid w:val="00EF04C4"/>
    <w:rsid w:val="00EF1DF2"/>
    <w:rsid w:val="00EF7F58"/>
    <w:rsid w:val="00F01210"/>
    <w:rsid w:val="00F02D43"/>
    <w:rsid w:val="00F02DC7"/>
    <w:rsid w:val="00F13D47"/>
    <w:rsid w:val="00F22CBF"/>
    <w:rsid w:val="00F23CDC"/>
    <w:rsid w:val="00F32F00"/>
    <w:rsid w:val="00F33BF5"/>
    <w:rsid w:val="00F35EFC"/>
    <w:rsid w:val="00F36C2A"/>
    <w:rsid w:val="00F44686"/>
    <w:rsid w:val="00F50E5D"/>
    <w:rsid w:val="00F60124"/>
    <w:rsid w:val="00F6502A"/>
    <w:rsid w:val="00F67B0A"/>
    <w:rsid w:val="00F80B1D"/>
    <w:rsid w:val="00F82573"/>
    <w:rsid w:val="00F8792A"/>
    <w:rsid w:val="00F9333F"/>
    <w:rsid w:val="00FA0CDB"/>
    <w:rsid w:val="00FA15BA"/>
    <w:rsid w:val="00FA6661"/>
    <w:rsid w:val="00FB0C79"/>
    <w:rsid w:val="00FC0727"/>
    <w:rsid w:val="00FC339A"/>
    <w:rsid w:val="00FC759B"/>
    <w:rsid w:val="00FD2A8B"/>
    <w:rsid w:val="00FE1054"/>
    <w:rsid w:val="00FE351A"/>
    <w:rsid w:val="00FE7A6C"/>
    <w:rsid w:val="083A7F0E"/>
    <w:rsid w:val="13F86C00"/>
    <w:rsid w:val="2BDC00CE"/>
    <w:rsid w:val="2C40F5EF"/>
    <w:rsid w:val="3184AFB2"/>
    <w:rsid w:val="45ED78E0"/>
    <w:rsid w:val="57AA85B3"/>
    <w:rsid w:val="6537D4BF"/>
    <w:rsid w:val="6F8E1A81"/>
    <w:rsid w:val="75F98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5E299E56-CE6F-4BC2-BE63-BCF7553F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F9"/>
    <w:pPr>
      <w:spacing w:line="240" w:lineRule="auto"/>
    </w:pPr>
    <w:rPr>
      <w:rFonts w:ascii="Times New Roman" w:eastAsia="Times New Roman" w:hAnsi="Times New Roman" w:cs="Times New Roman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81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semiHidden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DE381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DE381D"/>
    <w:pPr>
      <w:ind w:left="283"/>
    </w:pPr>
    <w:rPr>
      <w:rFonts w:eastAsiaTheme="minorEastAsia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DE381D"/>
    <w:rPr>
      <w:rFonts w:eastAsiaTheme="minorEastAsia"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6765C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765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765C"/>
    <w:rPr>
      <w:vertAlign w:val="superscript"/>
    </w:rPr>
  </w:style>
  <w:style w:type="paragraph" w:styleId="Prrafodelista">
    <w:name w:val="List Paragraph"/>
    <w:basedOn w:val="Normal"/>
    <w:uiPriority w:val="34"/>
    <w:rsid w:val="00110F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C18D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18DF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062E9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Luz Stella Rojas Macias</cp:lastModifiedBy>
  <cp:revision>2</cp:revision>
  <cp:lastPrinted>2019-03-28T17:24:00Z</cp:lastPrinted>
  <dcterms:created xsi:type="dcterms:W3CDTF">2022-10-12T16:14:00Z</dcterms:created>
  <dcterms:modified xsi:type="dcterms:W3CDTF">2022-10-12T16:14:00Z</dcterms:modified>
</cp:coreProperties>
</file>