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F05F11" w:rsidRDefault="00777E7A" w:rsidP="00777E7A">
      <w:pPr>
        <w:rPr>
          <w:szCs w:val="24"/>
          <w:lang w:val="es-MX"/>
        </w:rPr>
      </w:pPr>
      <w:r w:rsidRPr="00F05F11">
        <w:rPr>
          <w:szCs w:val="24"/>
          <w:lang w:val="es-MX"/>
        </w:rPr>
        <w:t xml:space="preserve">Bogotá, D. C., </w:t>
      </w:r>
      <w:r w:rsidR="00950563">
        <w:rPr>
          <w:szCs w:val="24"/>
          <w:lang w:val="es-MX"/>
        </w:rPr>
        <w:t>abril</w:t>
      </w:r>
      <w:r w:rsidR="00CF21A6">
        <w:rPr>
          <w:szCs w:val="24"/>
          <w:lang w:val="es-MX"/>
        </w:rPr>
        <w:t xml:space="preserve"> </w:t>
      </w:r>
      <w:r w:rsidR="00FE7C3B">
        <w:rPr>
          <w:szCs w:val="24"/>
          <w:lang w:val="es-MX"/>
        </w:rPr>
        <w:t xml:space="preserve"> </w:t>
      </w:r>
      <w:r w:rsidR="00A13B04">
        <w:rPr>
          <w:szCs w:val="24"/>
          <w:lang w:val="es-MX"/>
        </w:rPr>
        <w:t>22</w:t>
      </w:r>
      <w:r w:rsidR="00950563">
        <w:rPr>
          <w:szCs w:val="24"/>
          <w:lang w:val="es-MX"/>
        </w:rPr>
        <w:t xml:space="preserve"> </w:t>
      </w:r>
      <w:r w:rsidR="00B2348F">
        <w:rPr>
          <w:szCs w:val="24"/>
          <w:lang w:val="es-MX"/>
        </w:rPr>
        <w:t xml:space="preserve"> </w:t>
      </w:r>
      <w:r w:rsidR="00FE7C3B">
        <w:rPr>
          <w:szCs w:val="24"/>
          <w:lang w:val="es-MX"/>
        </w:rPr>
        <w:t>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A13B04">
        <w:rPr>
          <w:rFonts w:ascii="Arial" w:hAnsi="Arial" w:cs="Arial"/>
          <w:b/>
          <w:bCs/>
          <w:i/>
          <w:iCs/>
          <w:kern w:val="60"/>
          <w:sz w:val="40"/>
          <w:szCs w:val="40"/>
        </w:rPr>
        <w:t>045</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9F3D43" w:rsidRPr="009F3D43">
        <w:rPr>
          <w:b/>
          <w:szCs w:val="24"/>
        </w:rPr>
        <w:t>RAYOGAS S.A.  E.S.P.</w:t>
      </w:r>
      <w:r w:rsidR="00893274">
        <w:rPr>
          <w:b/>
          <w:szCs w:val="24"/>
        </w:rPr>
        <w:t xml:space="preserve">, </w:t>
      </w:r>
      <w:r w:rsidR="00601335">
        <w:rPr>
          <w:b/>
          <w:szCs w:val="24"/>
        </w:rPr>
        <w:t xml:space="preserve">SUPERINTENDENCIA DE SERVICIOS </w:t>
      </w:r>
      <w:r w:rsidR="009F3D43">
        <w:rPr>
          <w:b/>
          <w:szCs w:val="24"/>
        </w:rPr>
        <w:t xml:space="preserve">PÚBLICOS DOMICILIARIOS, </w:t>
      </w:r>
      <w:r w:rsidR="009F3D43" w:rsidRPr="005274DA">
        <w:rPr>
          <w:b/>
          <w:szCs w:val="24"/>
        </w:rPr>
        <w:t>ALCALDE MUNICIPAL</w:t>
      </w:r>
      <w:r w:rsidR="00601335" w:rsidRPr="005274DA">
        <w:rPr>
          <w:b/>
          <w:szCs w:val="24"/>
        </w:rPr>
        <w:t xml:space="preserve"> DE </w:t>
      </w:r>
      <w:r w:rsidR="009F3D43" w:rsidRPr="005274DA">
        <w:rPr>
          <w:b/>
          <w:szCs w:val="24"/>
        </w:rPr>
        <w:t>SOACHA</w:t>
      </w:r>
      <w:r w:rsidR="00601335" w:rsidRPr="005274DA">
        <w:rPr>
          <w:b/>
          <w:szCs w:val="24"/>
        </w:rPr>
        <w:t>,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B609E7">
        <w:rPr>
          <w:b/>
          <w:szCs w:val="24"/>
        </w:rPr>
        <w:t xml:space="preserve">INFORMACIÓN </w:t>
      </w:r>
      <w:r w:rsidR="00CF21A6">
        <w:rPr>
          <w:b/>
          <w:szCs w:val="24"/>
        </w:rPr>
        <w:t xml:space="preserve">DE </w:t>
      </w:r>
      <w:r w:rsidR="00B609E7">
        <w:rPr>
          <w:b/>
          <w:szCs w:val="24"/>
        </w:rPr>
        <w:t xml:space="preserve">DESTRUCCIÓN DE </w:t>
      </w:r>
      <w:r w:rsidR="00CF21A6">
        <w:rPr>
          <w:b/>
          <w:szCs w:val="24"/>
        </w:rPr>
        <w:t>C</w:t>
      </w:r>
      <w:r w:rsidR="00B609E7">
        <w:rPr>
          <w:b/>
          <w:szCs w:val="24"/>
        </w:rPr>
        <w:t>ILINDROS UNIVERSALES REMANENTES</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Default="00601335" w:rsidP="00476452">
      <w:pPr>
        <w:pStyle w:val="Textoindependiente"/>
        <w:spacing w:after="0" w:line="240" w:lineRule="auto"/>
        <w:rPr>
          <w:szCs w:val="24"/>
        </w:rPr>
      </w:pPr>
      <w:r>
        <w:rPr>
          <w:szCs w:val="24"/>
        </w:rPr>
        <w:t xml:space="preserve">La CREG expidió mediante </w:t>
      </w:r>
      <w:r w:rsidRPr="00601335">
        <w:rPr>
          <w:szCs w:val="24"/>
        </w:rPr>
        <w:t>la Resolución CREG 164 de 2014 las medidas regulatorias dentro de las actividades de distribución y/o comercialización minorista de GLP enfocadas a reforzar la aplicación del esquema de responsabilidad de marcas en cilindros.</w:t>
      </w:r>
      <w:r>
        <w:rPr>
          <w:szCs w:val="24"/>
        </w:rPr>
        <w:t xml:space="preserve"> Dentro de dicha resolución se estableció la destrucción de los cilindros universales remanentes que se encuentren en poder de las empresas prestadoras del servicio de GLP e</w:t>
      </w:r>
      <w:r w:rsidR="00476452">
        <w:rPr>
          <w:szCs w:val="24"/>
        </w:rPr>
        <w:t>n cilindros, siendo los Cilindros Universales Remanentes “</w:t>
      </w:r>
      <w:r w:rsidR="00476452" w:rsidRPr="00476452">
        <w:rPr>
          <w:i/>
          <w:szCs w:val="24"/>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Pr>
          <w:szCs w:val="24"/>
        </w:rPr>
        <w:t>”</w:t>
      </w:r>
    </w:p>
    <w:p w:rsidR="00601335" w:rsidRDefault="00601335" w:rsidP="0025603A">
      <w:pPr>
        <w:pStyle w:val="Textoindependiente"/>
        <w:spacing w:after="0" w:line="240" w:lineRule="auto"/>
        <w:rPr>
          <w:szCs w:val="24"/>
        </w:rPr>
      </w:pPr>
    </w:p>
    <w:p w:rsidR="00476452" w:rsidRDefault="00476452" w:rsidP="0025603A">
      <w:pPr>
        <w:pStyle w:val="Textoindependiente"/>
        <w:spacing w:after="0" w:line="240" w:lineRule="auto"/>
        <w:rPr>
          <w:szCs w:val="24"/>
        </w:rPr>
      </w:pPr>
      <w:r>
        <w:rPr>
          <w:szCs w:val="24"/>
        </w:rPr>
        <w:t>Para llevar a cabo la destrucción de estos cilindros en el artículo 5 de la Resolución CREG 164 de 2014 se estableció la obligación de las empresas distribuidoras y comercializadoras minori</w:t>
      </w:r>
      <w:r w:rsidR="00893274">
        <w:rPr>
          <w:szCs w:val="24"/>
        </w:rPr>
        <w:t>st</w:t>
      </w:r>
      <w:r>
        <w:rPr>
          <w:szCs w:val="24"/>
        </w:rPr>
        <w:t xml:space="preserve">as de GLP de </w:t>
      </w:r>
      <w:r w:rsidRPr="00476452">
        <w:rPr>
          <w:szCs w:val="24"/>
        </w:rPr>
        <w:t xml:space="preserve">informar a la CREG la cantidad de cilindros universales remanentes que tiene en su poder y el lugar </w:t>
      </w:r>
      <w:r>
        <w:rPr>
          <w:szCs w:val="24"/>
        </w:rPr>
        <w:t>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9F3D43" w:rsidRDefault="00476452" w:rsidP="009F3D43">
      <w:pPr>
        <w:pStyle w:val="Textoindependiente"/>
        <w:spacing w:after="0" w:line="240" w:lineRule="auto"/>
        <w:rPr>
          <w:szCs w:val="24"/>
        </w:rPr>
      </w:pPr>
      <w:r>
        <w:rPr>
          <w:szCs w:val="24"/>
        </w:rPr>
        <w:t xml:space="preserve">En respuesta a la anterior disposición regulatoria, la empresa </w:t>
      </w:r>
      <w:r w:rsidR="009F3D43" w:rsidRPr="009F3D43">
        <w:rPr>
          <w:b/>
          <w:szCs w:val="24"/>
        </w:rPr>
        <w:t>RAYOGAS S.A.  E.S.P.</w:t>
      </w:r>
      <w:r>
        <w:rPr>
          <w:szCs w:val="24"/>
        </w:rPr>
        <w:t xml:space="preserve">, que realiza las actividades de distribución y comercialización minorista, </w:t>
      </w:r>
      <w:r w:rsidR="009F3D43">
        <w:rPr>
          <w:szCs w:val="24"/>
        </w:rPr>
        <w:t>en el</w:t>
      </w:r>
      <w:r>
        <w:rPr>
          <w:szCs w:val="24"/>
        </w:rPr>
        <w:t xml:space="preserve"> departamento de </w:t>
      </w:r>
      <w:r w:rsidR="009F3D43">
        <w:rPr>
          <w:szCs w:val="24"/>
        </w:rPr>
        <w:t>Cundinamarca</w:t>
      </w:r>
      <w:r w:rsidR="00A27F7B">
        <w:rPr>
          <w:szCs w:val="24"/>
        </w:rPr>
        <w:t xml:space="preserve">, </w:t>
      </w:r>
      <w:r w:rsidR="00CF5BE9">
        <w:rPr>
          <w:szCs w:val="24"/>
        </w:rPr>
        <w:t xml:space="preserve">entre otros, mediante comunicaciones con números </w:t>
      </w:r>
      <w:r w:rsidR="00CF5BE9">
        <w:rPr>
          <w:szCs w:val="24"/>
        </w:rPr>
        <w:lastRenderedPageBreak/>
        <w:t>de radicado E-2015-</w:t>
      </w:r>
      <w:r w:rsidR="009F3D43">
        <w:rPr>
          <w:szCs w:val="24"/>
        </w:rPr>
        <w:t xml:space="preserve">001763 </w:t>
      </w:r>
      <w:r w:rsidR="00CF5BE9">
        <w:rPr>
          <w:szCs w:val="24"/>
        </w:rPr>
        <w:t>y E-2015-</w:t>
      </w:r>
      <w:r w:rsidR="009F3D43">
        <w:rPr>
          <w:szCs w:val="24"/>
        </w:rPr>
        <w:t>002947</w:t>
      </w:r>
      <w:r w:rsidR="00CF5BE9">
        <w:rPr>
          <w:szCs w:val="24"/>
        </w:rPr>
        <w:t xml:space="preserve"> informó la cantidad de cilindros universales remanentes en su poder y la programación de </w:t>
      </w:r>
      <w:r w:rsidR="009F3D43">
        <w:rPr>
          <w:szCs w:val="24"/>
        </w:rPr>
        <w:t xml:space="preserve">destrucción de los mismos, </w:t>
      </w:r>
      <w:r w:rsidR="007104DD">
        <w:rPr>
          <w:szCs w:val="24"/>
        </w:rPr>
        <w:t>informando</w:t>
      </w:r>
      <w:r w:rsidR="009F3D43">
        <w:rPr>
          <w:szCs w:val="24"/>
        </w:rPr>
        <w:t xml:space="preserve"> que los cilindros se encuentran ubicados en las mismas instalaciones en las cuales se encuentra el taller o fábrica en donde se procederá con su destrucción</w:t>
      </w:r>
      <w:r w:rsidR="007104DD">
        <w:rPr>
          <w:szCs w:val="24"/>
        </w:rPr>
        <w:t xml:space="preserve"> por lo que no </w:t>
      </w:r>
      <w:r w:rsidR="009F3D43">
        <w:rPr>
          <w:szCs w:val="24"/>
        </w:rPr>
        <w:t>r</w:t>
      </w:r>
      <w:r w:rsidR="007104DD">
        <w:rPr>
          <w:szCs w:val="24"/>
        </w:rPr>
        <w:t>equieren</w:t>
      </w:r>
      <w:r w:rsidR="009F3D43">
        <w:rPr>
          <w:szCs w:val="24"/>
        </w:rPr>
        <w:t xml:space="preserve"> ser movilizados dentro del territorio nacional</w:t>
      </w:r>
      <w:r w:rsidR="007104DD">
        <w:rPr>
          <w:szCs w:val="24"/>
        </w:rPr>
        <w:t xml:space="preserve">. Por lo anterior, la </w:t>
      </w:r>
      <w:r w:rsidR="009F3D43">
        <w:rPr>
          <w:szCs w:val="24"/>
        </w:rPr>
        <w:t xml:space="preserve"> </w:t>
      </w:r>
      <w:r w:rsidR="007104DD" w:rsidRPr="007104DD">
        <w:rPr>
          <w:szCs w:val="24"/>
        </w:rPr>
        <w:t>empresa RAYOGAS S.A.  E.S.P.</w:t>
      </w:r>
      <w:r w:rsidR="007104DD">
        <w:rPr>
          <w:szCs w:val="24"/>
        </w:rPr>
        <w:t xml:space="preserve"> no </w:t>
      </w:r>
      <w:r w:rsidR="009F3D43">
        <w:rPr>
          <w:szCs w:val="24"/>
        </w:rPr>
        <w:t>precisa de la autorización de movilización de que trata el artículo 8 de la Resolución CREG 164 de 2014.</w:t>
      </w:r>
    </w:p>
    <w:p w:rsidR="00476452" w:rsidRDefault="00476452" w:rsidP="0025603A">
      <w:pPr>
        <w:pStyle w:val="Textoindependiente"/>
        <w:spacing w:after="0" w:line="240" w:lineRule="auto"/>
        <w:rPr>
          <w:szCs w:val="24"/>
        </w:rPr>
      </w:pPr>
    </w:p>
    <w:p w:rsidR="00CF5BE9" w:rsidRDefault="009F3D43" w:rsidP="0025603A">
      <w:pPr>
        <w:pStyle w:val="Textoindependiente"/>
        <w:spacing w:after="0" w:line="240" w:lineRule="auto"/>
        <w:rPr>
          <w:szCs w:val="24"/>
        </w:rPr>
      </w:pPr>
      <w:r>
        <w:rPr>
          <w:szCs w:val="24"/>
        </w:rPr>
        <w:t>Sin embargo, para efectos informar a los interesados sobre las cantidades y fechas de destrucción de cilindros universales remanentes y se pueda dar aplicación a lo previsto en el artículo 5 de la Resolución CREG 164 de 2014, esta entidad se permite informar lo siguiente:</w:t>
      </w:r>
    </w:p>
    <w:p w:rsidR="00CF5BE9" w:rsidRDefault="007104DD" w:rsidP="005C0B9C">
      <w:pPr>
        <w:pStyle w:val="Textoindependiente"/>
        <w:numPr>
          <w:ilvl w:val="0"/>
          <w:numId w:val="25"/>
        </w:numPr>
        <w:spacing w:after="0" w:line="240" w:lineRule="auto"/>
        <w:ind w:left="284" w:hanging="284"/>
        <w:rPr>
          <w:szCs w:val="24"/>
        </w:rPr>
      </w:pPr>
      <w:r>
        <w:rPr>
          <w:szCs w:val="24"/>
        </w:rPr>
        <w:t>L</w:t>
      </w:r>
      <w:r w:rsidR="00CF5BE9">
        <w:rPr>
          <w:szCs w:val="24"/>
        </w:rPr>
        <w:t xml:space="preserve">a empresa </w:t>
      </w:r>
      <w:r w:rsidRPr="009F3D43">
        <w:rPr>
          <w:b/>
          <w:szCs w:val="24"/>
        </w:rPr>
        <w:t>RAYOGAS S.A. E.S.P.</w:t>
      </w:r>
      <w:r w:rsidR="00CF5BE9">
        <w:rPr>
          <w:szCs w:val="24"/>
        </w:rPr>
        <w:t xml:space="preserve"> </w:t>
      </w:r>
      <w:r>
        <w:rPr>
          <w:szCs w:val="24"/>
        </w:rPr>
        <w:t>procederá con la</w:t>
      </w:r>
      <w:r w:rsidR="00CF5BE9">
        <w:rPr>
          <w:szCs w:val="24"/>
        </w:rPr>
        <w:t xml:space="preserve"> destrucción de los cilindros universales remanentes que se enlistan a continuación</w:t>
      </w:r>
      <w:r>
        <w:rPr>
          <w:szCs w:val="24"/>
        </w:rPr>
        <w:t>:</w:t>
      </w:r>
    </w:p>
    <w:p w:rsidR="004A1F17" w:rsidRDefault="004A1F17" w:rsidP="00206FCE">
      <w:pPr>
        <w:pStyle w:val="Textoindependiente"/>
        <w:spacing w:after="0" w:line="240" w:lineRule="auto"/>
        <w:ind w:left="284"/>
        <w:rPr>
          <w:szCs w:val="24"/>
        </w:rPr>
      </w:pPr>
    </w:p>
    <w:tbl>
      <w:tblPr>
        <w:tblStyle w:val="Tablaconcuadrcula"/>
        <w:tblW w:w="9084" w:type="dxa"/>
        <w:jc w:val="center"/>
        <w:tblLayout w:type="fixed"/>
        <w:tblLook w:val="04A0" w:firstRow="1" w:lastRow="0" w:firstColumn="1" w:lastColumn="0" w:noHBand="0" w:noVBand="1"/>
      </w:tblPr>
      <w:tblGrid>
        <w:gridCol w:w="1275"/>
        <w:gridCol w:w="1243"/>
        <w:gridCol w:w="1985"/>
        <w:gridCol w:w="654"/>
        <w:gridCol w:w="654"/>
        <w:gridCol w:w="655"/>
        <w:gridCol w:w="654"/>
        <w:gridCol w:w="655"/>
        <w:gridCol w:w="654"/>
        <w:gridCol w:w="655"/>
      </w:tblGrid>
      <w:tr w:rsidR="007104DD" w:rsidRPr="00B95598" w:rsidTr="007104DD">
        <w:trPr>
          <w:trHeight w:val="413"/>
          <w:jc w:val="center"/>
        </w:trPr>
        <w:tc>
          <w:tcPr>
            <w:tcW w:w="1275" w:type="dxa"/>
            <w:vMerge w:val="restart"/>
            <w:shd w:val="clear" w:color="auto" w:fill="D9D9D9" w:themeFill="background1" w:themeFillShade="D9"/>
            <w:vAlign w:val="center"/>
          </w:tcPr>
          <w:p w:rsidR="007104DD" w:rsidRPr="00B95598" w:rsidRDefault="007104DD" w:rsidP="007104DD">
            <w:pPr>
              <w:jc w:val="center"/>
              <w:rPr>
                <w:rFonts w:cs="Arial"/>
                <w:b/>
                <w:bCs/>
                <w:color w:val="000000"/>
                <w:spacing w:val="0"/>
                <w:sz w:val="18"/>
                <w:lang w:eastAsia="es-CO"/>
              </w:rPr>
            </w:pPr>
            <w:r>
              <w:rPr>
                <w:szCs w:val="24"/>
              </w:rPr>
              <w:br w:type="page"/>
            </w:r>
            <w:r w:rsidRPr="00B95598">
              <w:rPr>
                <w:rFonts w:cs="Arial"/>
                <w:b/>
                <w:bCs/>
                <w:color w:val="000000"/>
                <w:spacing w:val="0"/>
                <w:sz w:val="18"/>
                <w:lang w:eastAsia="es-CO"/>
              </w:rPr>
              <w:t xml:space="preserve">Fecha de </w:t>
            </w:r>
            <w:r>
              <w:rPr>
                <w:rFonts w:cs="Arial"/>
                <w:b/>
                <w:bCs/>
                <w:color w:val="000000"/>
                <w:spacing w:val="0"/>
                <w:sz w:val="18"/>
                <w:lang w:eastAsia="es-CO"/>
              </w:rPr>
              <w:t>Destrucción</w:t>
            </w:r>
          </w:p>
        </w:tc>
        <w:tc>
          <w:tcPr>
            <w:tcW w:w="1243" w:type="dxa"/>
            <w:vMerge w:val="restart"/>
            <w:shd w:val="clear" w:color="auto" w:fill="D9D9D9" w:themeFill="background1" w:themeFillShade="D9"/>
            <w:vAlign w:val="center"/>
          </w:tcPr>
          <w:p w:rsidR="007104DD" w:rsidRPr="00B95598" w:rsidRDefault="007104DD" w:rsidP="00E8431D">
            <w:pPr>
              <w:jc w:val="center"/>
              <w:rPr>
                <w:rFonts w:cs="Arial"/>
                <w:b/>
                <w:bCs/>
                <w:color w:val="000000"/>
                <w:spacing w:val="0"/>
                <w:sz w:val="18"/>
                <w:lang w:eastAsia="es-CO"/>
              </w:rPr>
            </w:pPr>
            <w:r>
              <w:rPr>
                <w:rFonts w:cs="Arial"/>
                <w:b/>
                <w:bCs/>
                <w:color w:val="000000"/>
                <w:spacing w:val="0"/>
                <w:sz w:val="18"/>
                <w:lang w:eastAsia="es-CO"/>
              </w:rPr>
              <w:t>Taller de destrucción</w:t>
            </w:r>
          </w:p>
        </w:tc>
        <w:tc>
          <w:tcPr>
            <w:tcW w:w="1985" w:type="dxa"/>
            <w:vMerge w:val="restart"/>
            <w:shd w:val="clear" w:color="auto" w:fill="D9D9D9" w:themeFill="background1" w:themeFillShade="D9"/>
            <w:vAlign w:val="center"/>
          </w:tcPr>
          <w:p w:rsidR="007104DD" w:rsidRPr="00B95598" w:rsidRDefault="007104DD" w:rsidP="007104DD">
            <w:pPr>
              <w:jc w:val="center"/>
              <w:rPr>
                <w:rFonts w:cs="Arial"/>
                <w:b/>
                <w:bCs/>
                <w:color w:val="000000"/>
                <w:spacing w:val="0"/>
                <w:sz w:val="18"/>
                <w:lang w:eastAsia="es-CO"/>
              </w:rPr>
            </w:pPr>
            <w:r>
              <w:rPr>
                <w:rFonts w:cs="Arial"/>
                <w:b/>
                <w:bCs/>
                <w:color w:val="000000"/>
                <w:spacing w:val="0"/>
                <w:sz w:val="18"/>
                <w:lang w:eastAsia="es-CO"/>
              </w:rPr>
              <w:t>Dirección</w:t>
            </w:r>
          </w:p>
        </w:tc>
        <w:tc>
          <w:tcPr>
            <w:tcW w:w="4576" w:type="dxa"/>
            <w:gridSpan w:val="7"/>
            <w:shd w:val="clear" w:color="auto" w:fill="D9D9D9" w:themeFill="background1" w:themeFillShade="D9"/>
            <w:vAlign w:val="center"/>
          </w:tcPr>
          <w:p w:rsidR="007104DD" w:rsidRPr="00B95598" w:rsidRDefault="007104DD" w:rsidP="00E8431D">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7104DD" w:rsidRPr="00B95598" w:rsidTr="007104DD">
        <w:trPr>
          <w:trHeight w:val="264"/>
          <w:jc w:val="center"/>
        </w:trPr>
        <w:tc>
          <w:tcPr>
            <w:tcW w:w="1275" w:type="dxa"/>
            <w:vMerge/>
            <w:shd w:val="clear" w:color="auto" w:fill="D9D9D9" w:themeFill="background1" w:themeFillShade="D9"/>
            <w:vAlign w:val="center"/>
          </w:tcPr>
          <w:p w:rsidR="007104DD" w:rsidRPr="00B95598" w:rsidRDefault="007104DD" w:rsidP="00E8431D">
            <w:pPr>
              <w:jc w:val="center"/>
              <w:rPr>
                <w:rFonts w:cs="Arial"/>
                <w:b/>
                <w:bCs/>
                <w:color w:val="000000"/>
                <w:spacing w:val="0"/>
                <w:sz w:val="18"/>
                <w:lang w:eastAsia="es-CO"/>
              </w:rPr>
            </w:pPr>
          </w:p>
        </w:tc>
        <w:tc>
          <w:tcPr>
            <w:tcW w:w="1243" w:type="dxa"/>
            <w:vMerge/>
            <w:shd w:val="clear" w:color="auto" w:fill="D9D9D9" w:themeFill="background1" w:themeFillShade="D9"/>
            <w:vAlign w:val="center"/>
          </w:tcPr>
          <w:p w:rsidR="007104DD" w:rsidRPr="00B95598" w:rsidRDefault="007104DD" w:rsidP="00E8431D">
            <w:pPr>
              <w:jc w:val="center"/>
              <w:rPr>
                <w:rFonts w:cs="Arial"/>
                <w:b/>
                <w:bCs/>
                <w:color w:val="000000"/>
                <w:spacing w:val="0"/>
                <w:sz w:val="18"/>
                <w:lang w:eastAsia="es-CO"/>
              </w:rPr>
            </w:pPr>
          </w:p>
        </w:tc>
        <w:tc>
          <w:tcPr>
            <w:tcW w:w="1985" w:type="dxa"/>
            <w:vMerge/>
            <w:shd w:val="clear" w:color="auto" w:fill="D9D9D9" w:themeFill="background1" w:themeFillShade="D9"/>
          </w:tcPr>
          <w:p w:rsidR="007104DD" w:rsidRDefault="007104DD" w:rsidP="00A04B09">
            <w:pPr>
              <w:jc w:val="center"/>
              <w:rPr>
                <w:rFonts w:cs="Arial"/>
                <w:b/>
                <w:bCs/>
                <w:color w:val="000000"/>
                <w:spacing w:val="0"/>
                <w:sz w:val="18"/>
                <w:lang w:eastAsia="es-CO"/>
              </w:rPr>
            </w:pPr>
          </w:p>
        </w:tc>
        <w:tc>
          <w:tcPr>
            <w:tcW w:w="654" w:type="dxa"/>
            <w:shd w:val="clear" w:color="auto" w:fill="D9D9D9" w:themeFill="background1" w:themeFillShade="D9"/>
            <w:vAlign w:val="center"/>
          </w:tcPr>
          <w:p w:rsidR="007104DD" w:rsidRPr="007104DD" w:rsidRDefault="007104DD" w:rsidP="00A04B09">
            <w:pPr>
              <w:jc w:val="center"/>
              <w:rPr>
                <w:rFonts w:cs="Arial"/>
                <w:b/>
                <w:bCs/>
                <w:color w:val="000000"/>
                <w:spacing w:val="0"/>
                <w:sz w:val="16"/>
                <w:lang w:eastAsia="es-CO"/>
              </w:rPr>
            </w:pPr>
            <w:r w:rsidRPr="007104DD">
              <w:rPr>
                <w:rFonts w:cs="Arial"/>
                <w:b/>
                <w:bCs/>
                <w:color w:val="000000"/>
                <w:spacing w:val="0"/>
                <w:sz w:val="16"/>
                <w:lang w:eastAsia="es-CO"/>
              </w:rPr>
              <w:t>10 Lb</w:t>
            </w:r>
          </w:p>
        </w:tc>
        <w:tc>
          <w:tcPr>
            <w:tcW w:w="654" w:type="dxa"/>
            <w:shd w:val="clear" w:color="auto" w:fill="D9D9D9" w:themeFill="background1" w:themeFillShade="D9"/>
            <w:vAlign w:val="center"/>
          </w:tcPr>
          <w:p w:rsidR="007104DD" w:rsidRPr="007104DD" w:rsidRDefault="007104DD" w:rsidP="00A04B09">
            <w:pPr>
              <w:jc w:val="center"/>
              <w:rPr>
                <w:rFonts w:cs="Arial"/>
                <w:b/>
                <w:bCs/>
                <w:color w:val="000000"/>
                <w:spacing w:val="0"/>
                <w:sz w:val="16"/>
                <w:lang w:eastAsia="es-CO"/>
              </w:rPr>
            </w:pPr>
            <w:r w:rsidRPr="007104DD">
              <w:rPr>
                <w:rFonts w:cs="Arial"/>
                <w:b/>
                <w:bCs/>
                <w:color w:val="000000"/>
                <w:spacing w:val="0"/>
                <w:sz w:val="16"/>
                <w:lang w:eastAsia="es-CO"/>
              </w:rPr>
              <w:t>20 Lb</w:t>
            </w:r>
          </w:p>
        </w:tc>
        <w:tc>
          <w:tcPr>
            <w:tcW w:w="655" w:type="dxa"/>
            <w:shd w:val="clear" w:color="auto" w:fill="D9D9D9" w:themeFill="background1" w:themeFillShade="D9"/>
            <w:vAlign w:val="center"/>
          </w:tcPr>
          <w:p w:rsidR="007104DD" w:rsidRPr="007104DD" w:rsidRDefault="007104DD" w:rsidP="00157737">
            <w:pPr>
              <w:jc w:val="center"/>
              <w:rPr>
                <w:rFonts w:cs="Arial"/>
                <w:b/>
                <w:bCs/>
                <w:color w:val="000000"/>
                <w:spacing w:val="0"/>
                <w:sz w:val="16"/>
                <w:lang w:eastAsia="es-CO"/>
              </w:rPr>
            </w:pPr>
            <w:r w:rsidRPr="007104DD">
              <w:rPr>
                <w:rFonts w:cs="Arial"/>
                <w:b/>
                <w:bCs/>
                <w:color w:val="000000"/>
                <w:spacing w:val="0"/>
                <w:sz w:val="16"/>
                <w:lang w:eastAsia="es-CO"/>
              </w:rPr>
              <w:t>33 Lb</w:t>
            </w:r>
          </w:p>
        </w:tc>
        <w:tc>
          <w:tcPr>
            <w:tcW w:w="654" w:type="dxa"/>
            <w:shd w:val="clear" w:color="auto" w:fill="D9D9D9" w:themeFill="background1" w:themeFillShade="D9"/>
            <w:vAlign w:val="center"/>
          </w:tcPr>
          <w:p w:rsidR="007104DD" w:rsidRPr="007104DD" w:rsidRDefault="007104DD" w:rsidP="00157737">
            <w:pPr>
              <w:jc w:val="center"/>
              <w:rPr>
                <w:rFonts w:cs="Arial"/>
                <w:b/>
                <w:bCs/>
                <w:color w:val="000000"/>
                <w:spacing w:val="0"/>
                <w:sz w:val="16"/>
                <w:lang w:eastAsia="es-CO"/>
              </w:rPr>
            </w:pPr>
            <w:r w:rsidRPr="007104DD">
              <w:rPr>
                <w:rFonts w:cs="Arial"/>
                <w:b/>
                <w:bCs/>
                <w:color w:val="000000"/>
                <w:sz w:val="16"/>
              </w:rPr>
              <w:t>40 Lb</w:t>
            </w:r>
          </w:p>
        </w:tc>
        <w:tc>
          <w:tcPr>
            <w:tcW w:w="655" w:type="dxa"/>
            <w:shd w:val="clear" w:color="auto" w:fill="D9D9D9" w:themeFill="background1" w:themeFillShade="D9"/>
            <w:vAlign w:val="center"/>
          </w:tcPr>
          <w:p w:rsidR="007104DD" w:rsidRPr="007104DD" w:rsidRDefault="007104DD" w:rsidP="007104DD">
            <w:pPr>
              <w:jc w:val="center"/>
              <w:rPr>
                <w:rFonts w:cs="Arial"/>
                <w:b/>
                <w:bCs/>
                <w:color w:val="000000"/>
                <w:spacing w:val="0"/>
                <w:sz w:val="16"/>
                <w:lang w:eastAsia="es-CO"/>
              </w:rPr>
            </w:pPr>
            <w:r w:rsidRPr="007104DD">
              <w:rPr>
                <w:rFonts w:cs="Arial"/>
                <w:b/>
                <w:bCs/>
                <w:color w:val="000000"/>
                <w:spacing w:val="0"/>
                <w:sz w:val="16"/>
                <w:lang w:eastAsia="es-CO"/>
              </w:rPr>
              <w:t>77 Lb</w:t>
            </w:r>
          </w:p>
        </w:tc>
        <w:tc>
          <w:tcPr>
            <w:tcW w:w="654" w:type="dxa"/>
            <w:shd w:val="clear" w:color="auto" w:fill="D9D9D9" w:themeFill="background1" w:themeFillShade="D9"/>
            <w:vAlign w:val="center"/>
          </w:tcPr>
          <w:p w:rsidR="007104DD" w:rsidRPr="007104DD" w:rsidRDefault="007104DD" w:rsidP="007104DD">
            <w:pPr>
              <w:ind w:left="-80" w:right="-49"/>
              <w:jc w:val="center"/>
              <w:rPr>
                <w:rFonts w:cs="Arial"/>
                <w:b/>
                <w:bCs/>
                <w:color w:val="000000"/>
                <w:sz w:val="16"/>
              </w:rPr>
            </w:pPr>
            <w:r w:rsidRPr="007104DD">
              <w:rPr>
                <w:rFonts w:cs="Arial"/>
                <w:b/>
                <w:bCs/>
                <w:color w:val="000000"/>
                <w:sz w:val="16"/>
              </w:rPr>
              <w:t>100 Lb</w:t>
            </w:r>
          </w:p>
        </w:tc>
        <w:tc>
          <w:tcPr>
            <w:tcW w:w="655" w:type="dxa"/>
            <w:shd w:val="clear" w:color="auto" w:fill="D9D9D9" w:themeFill="background1" w:themeFillShade="D9"/>
            <w:vAlign w:val="center"/>
          </w:tcPr>
          <w:p w:rsidR="007104DD" w:rsidRPr="007104DD" w:rsidRDefault="007104DD" w:rsidP="00157737">
            <w:pPr>
              <w:jc w:val="center"/>
              <w:rPr>
                <w:rFonts w:cs="Arial"/>
                <w:b/>
                <w:bCs/>
                <w:color w:val="000000"/>
                <w:spacing w:val="0"/>
                <w:sz w:val="16"/>
                <w:lang w:eastAsia="es-CO"/>
              </w:rPr>
            </w:pPr>
            <w:r w:rsidRPr="007104DD">
              <w:rPr>
                <w:rFonts w:cs="Arial"/>
                <w:b/>
                <w:bCs/>
                <w:color w:val="000000"/>
                <w:spacing w:val="0"/>
                <w:sz w:val="16"/>
                <w:lang w:eastAsia="es-CO"/>
              </w:rPr>
              <w:t>Total</w:t>
            </w:r>
          </w:p>
        </w:tc>
      </w:tr>
      <w:tr w:rsidR="007104DD" w:rsidRPr="00B95598" w:rsidTr="007104DD">
        <w:trPr>
          <w:trHeight w:val="275"/>
          <w:jc w:val="center"/>
        </w:trPr>
        <w:tc>
          <w:tcPr>
            <w:tcW w:w="1275" w:type="dxa"/>
            <w:vAlign w:val="center"/>
          </w:tcPr>
          <w:p w:rsidR="007104DD" w:rsidRPr="00A04B09" w:rsidRDefault="007104DD" w:rsidP="007104DD">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24</w:t>
            </w:r>
            <w:r w:rsidRPr="00A04B09">
              <w:rPr>
                <w:rFonts w:asciiTheme="minorHAnsi" w:hAnsiTheme="minorHAnsi" w:cs="Arial"/>
                <w:color w:val="000000"/>
                <w:spacing w:val="0"/>
                <w:sz w:val="18"/>
                <w:lang w:eastAsia="es-CO"/>
              </w:rPr>
              <w:t>-abr-15</w:t>
            </w:r>
          </w:p>
        </w:tc>
        <w:tc>
          <w:tcPr>
            <w:tcW w:w="1243" w:type="dxa"/>
            <w:vAlign w:val="center"/>
          </w:tcPr>
          <w:p w:rsidR="007104DD" w:rsidRPr="00A04B09" w:rsidRDefault="007104DD" w:rsidP="007104DD">
            <w:pPr>
              <w:jc w:val="center"/>
              <w:rPr>
                <w:rFonts w:ascii="Calibri" w:hAnsi="Calibri"/>
                <w:color w:val="000000"/>
                <w:sz w:val="18"/>
                <w:szCs w:val="22"/>
              </w:rPr>
            </w:pPr>
            <w:r w:rsidRPr="007104DD">
              <w:rPr>
                <w:rFonts w:ascii="Calibri" w:hAnsi="Calibri"/>
                <w:color w:val="000000"/>
                <w:sz w:val="18"/>
                <w:szCs w:val="22"/>
              </w:rPr>
              <w:t>CIDEGAS</w:t>
            </w:r>
          </w:p>
        </w:tc>
        <w:tc>
          <w:tcPr>
            <w:tcW w:w="1985" w:type="dxa"/>
            <w:vAlign w:val="center"/>
          </w:tcPr>
          <w:p w:rsidR="007104DD" w:rsidRPr="007104DD" w:rsidRDefault="007104DD" w:rsidP="007104DD">
            <w:pPr>
              <w:jc w:val="center"/>
              <w:rPr>
                <w:rFonts w:ascii="Calibri" w:hAnsi="Calibri"/>
                <w:color w:val="000000"/>
                <w:sz w:val="18"/>
                <w:szCs w:val="22"/>
              </w:rPr>
            </w:pPr>
            <w:r w:rsidRPr="007104DD">
              <w:rPr>
                <w:rFonts w:ascii="Calibri" w:hAnsi="Calibri"/>
                <w:color w:val="000000"/>
                <w:sz w:val="18"/>
                <w:szCs w:val="22"/>
              </w:rPr>
              <w:t>Cra</w:t>
            </w:r>
            <w:r>
              <w:rPr>
                <w:rFonts w:ascii="Calibri" w:hAnsi="Calibri"/>
                <w:color w:val="000000"/>
                <w:sz w:val="18"/>
                <w:szCs w:val="22"/>
              </w:rPr>
              <w:t>.</w:t>
            </w:r>
            <w:r w:rsidRPr="007104DD">
              <w:rPr>
                <w:rFonts w:ascii="Calibri" w:hAnsi="Calibri"/>
                <w:color w:val="000000"/>
                <w:sz w:val="18"/>
                <w:szCs w:val="22"/>
              </w:rPr>
              <w:t xml:space="preserve"> 2 No. 48-98</w:t>
            </w:r>
            <w:r>
              <w:rPr>
                <w:rFonts w:ascii="Calibri" w:hAnsi="Calibri"/>
                <w:color w:val="000000"/>
                <w:sz w:val="18"/>
                <w:szCs w:val="22"/>
              </w:rPr>
              <w:t>, Soacha</w:t>
            </w:r>
          </w:p>
        </w:tc>
        <w:tc>
          <w:tcPr>
            <w:tcW w:w="654" w:type="dxa"/>
            <w:vAlign w:val="center"/>
          </w:tcPr>
          <w:p w:rsidR="007104DD" w:rsidRPr="007104DD" w:rsidRDefault="007104DD" w:rsidP="007104DD">
            <w:pPr>
              <w:jc w:val="right"/>
              <w:rPr>
                <w:rFonts w:ascii="Calibri" w:hAnsi="Calibri"/>
                <w:color w:val="000000"/>
                <w:sz w:val="18"/>
                <w:szCs w:val="22"/>
              </w:rPr>
            </w:pPr>
            <w:r w:rsidRPr="007104DD">
              <w:rPr>
                <w:rFonts w:ascii="Calibri" w:hAnsi="Calibri"/>
                <w:color w:val="000000"/>
                <w:sz w:val="18"/>
                <w:szCs w:val="22"/>
              </w:rPr>
              <w:t>15</w:t>
            </w:r>
          </w:p>
        </w:tc>
        <w:tc>
          <w:tcPr>
            <w:tcW w:w="654" w:type="dxa"/>
            <w:vAlign w:val="center"/>
          </w:tcPr>
          <w:p w:rsidR="007104DD" w:rsidRPr="007104DD" w:rsidRDefault="007104DD" w:rsidP="007104DD">
            <w:pPr>
              <w:jc w:val="right"/>
              <w:rPr>
                <w:rFonts w:ascii="Calibri" w:hAnsi="Calibri"/>
                <w:color w:val="000000"/>
                <w:sz w:val="18"/>
                <w:szCs w:val="22"/>
              </w:rPr>
            </w:pPr>
            <w:r w:rsidRPr="007104DD">
              <w:rPr>
                <w:rFonts w:ascii="Calibri" w:hAnsi="Calibri"/>
                <w:color w:val="000000"/>
                <w:sz w:val="18"/>
                <w:szCs w:val="22"/>
              </w:rPr>
              <w:t>304</w:t>
            </w:r>
          </w:p>
        </w:tc>
        <w:tc>
          <w:tcPr>
            <w:tcW w:w="655" w:type="dxa"/>
            <w:vAlign w:val="center"/>
          </w:tcPr>
          <w:p w:rsidR="007104DD" w:rsidRPr="007104DD" w:rsidRDefault="007104DD" w:rsidP="007104DD">
            <w:pPr>
              <w:jc w:val="right"/>
              <w:rPr>
                <w:rFonts w:ascii="Calibri" w:hAnsi="Calibri"/>
                <w:color w:val="000000"/>
                <w:sz w:val="18"/>
                <w:szCs w:val="22"/>
              </w:rPr>
            </w:pPr>
            <w:r w:rsidRPr="007104DD">
              <w:rPr>
                <w:rFonts w:ascii="Calibri" w:hAnsi="Calibri"/>
                <w:color w:val="000000"/>
                <w:sz w:val="18"/>
                <w:szCs w:val="22"/>
              </w:rPr>
              <w:t>1.170</w:t>
            </w:r>
          </w:p>
        </w:tc>
        <w:tc>
          <w:tcPr>
            <w:tcW w:w="654" w:type="dxa"/>
            <w:vAlign w:val="center"/>
          </w:tcPr>
          <w:p w:rsidR="007104DD" w:rsidRPr="007104DD" w:rsidRDefault="007104DD" w:rsidP="007104DD">
            <w:pPr>
              <w:jc w:val="right"/>
              <w:rPr>
                <w:rFonts w:ascii="Calibri" w:hAnsi="Calibri"/>
                <w:color w:val="000000"/>
                <w:sz w:val="18"/>
                <w:szCs w:val="22"/>
              </w:rPr>
            </w:pPr>
            <w:r w:rsidRPr="007104DD">
              <w:rPr>
                <w:rFonts w:ascii="Calibri" w:hAnsi="Calibri"/>
                <w:color w:val="000000"/>
                <w:sz w:val="18"/>
                <w:szCs w:val="22"/>
              </w:rPr>
              <w:t>3.163</w:t>
            </w:r>
          </w:p>
        </w:tc>
        <w:tc>
          <w:tcPr>
            <w:tcW w:w="655" w:type="dxa"/>
            <w:vAlign w:val="center"/>
          </w:tcPr>
          <w:p w:rsidR="007104DD" w:rsidRPr="007104DD" w:rsidRDefault="007104DD" w:rsidP="007104DD">
            <w:pPr>
              <w:jc w:val="right"/>
              <w:rPr>
                <w:rFonts w:ascii="Calibri" w:hAnsi="Calibri"/>
                <w:color w:val="000000"/>
                <w:sz w:val="18"/>
                <w:szCs w:val="22"/>
              </w:rPr>
            </w:pPr>
            <w:r w:rsidRPr="007104DD">
              <w:rPr>
                <w:rFonts w:ascii="Calibri" w:hAnsi="Calibri"/>
                <w:color w:val="000000"/>
                <w:sz w:val="18"/>
                <w:szCs w:val="22"/>
              </w:rPr>
              <w:t>22</w:t>
            </w:r>
          </w:p>
        </w:tc>
        <w:tc>
          <w:tcPr>
            <w:tcW w:w="654" w:type="dxa"/>
            <w:vAlign w:val="center"/>
          </w:tcPr>
          <w:p w:rsidR="007104DD" w:rsidRPr="007104DD" w:rsidRDefault="007104DD" w:rsidP="007104DD">
            <w:pPr>
              <w:ind w:left="-80" w:right="-49"/>
              <w:jc w:val="right"/>
              <w:rPr>
                <w:rFonts w:ascii="Calibri" w:hAnsi="Calibri"/>
                <w:color w:val="000000"/>
                <w:sz w:val="18"/>
                <w:szCs w:val="22"/>
              </w:rPr>
            </w:pPr>
            <w:r w:rsidRPr="007104DD">
              <w:rPr>
                <w:rFonts w:ascii="Calibri" w:hAnsi="Calibri"/>
                <w:color w:val="000000"/>
                <w:sz w:val="18"/>
                <w:szCs w:val="22"/>
              </w:rPr>
              <w:t>129</w:t>
            </w:r>
          </w:p>
        </w:tc>
        <w:tc>
          <w:tcPr>
            <w:tcW w:w="655" w:type="dxa"/>
            <w:vAlign w:val="center"/>
          </w:tcPr>
          <w:p w:rsidR="007104DD" w:rsidRPr="007104DD" w:rsidRDefault="007104DD" w:rsidP="007104DD">
            <w:pPr>
              <w:jc w:val="right"/>
              <w:rPr>
                <w:rFonts w:ascii="Calibri" w:hAnsi="Calibri"/>
                <w:color w:val="000000"/>
                <w:sz w:val="18"/>
                <w:szCs w:val="22"/>
              </w:rPr>
            </w:pPr>
            <w:r w:rsidRPr="007104DD">
              <w:rPr>
                <w:rFonts w:ascii="Calibri" w:hAnsi="Calibri"/>
                <w:color w:val="000000"/>
                <w:sz w:val="18"/>
                <w:szCs w:val="22"/>
              </w:rPr>
              <w:t>4.803</w:t>
            </w:r>
          </w:p>
        </w:tc>
      </w:tr>
    </w:tbl>
    <w:p w:rsidR="002E54D2" w:rsidRDefault="002E54D2" w:rsidP="00CF5BE9">
      <w:pPr>
        <w:pStyle w:val="Textoindependiente"/>
        <w:spacing w:after="0" w:line="240" w:lineRule="auto"/>
        <w:ind w:left="720"/>
        <w:rPr>
          <w:szCs w:val="24"/>
        </w:rPr>
      </w:pPr>
    </w:p>
    <w:p w:rsidR="004F4B37" w:rsidRDefault="004F4B37" w:rsidP="004F4B37">
      <w:pPr>
        <w:pStyle w:val="Textoindependiente"/>
        <w:numPr>
          <w:ilvl w:val="0"/>
          <w:numId w:val="25"/>
        </w:numPr>
        <w:spacing w:before="120" w:after="120" w:line="240" w:lineRule="auto"/>
        <w:ind w:left="284" w:hanging="284"/>
        <w:rPr>
          <w:szCs w:val="24"/>
        </w:rPr>
      </w:pPr>
      <w:r w:rsidRPr="0048357E">
        <w:rPr>
          <w:szCs w:val="24"/>
        </w:rPr>
        <w:t xml:space="preserve">La destrucción de los </w:t>
      </w:r>
      <w:r w:rsidRPr="003E00EE">
        <w:rPr>
          <w:szCs w:val="24"/>
        </w:rPr>
        <w:t xml:space="preserve">cilindros </w:t>
      </w:r>
      <w:r>
        <w:rPr>
          <w:szCs w:val="24"/>
        </w:rPr>
        <w:t xml:space="preserve">universales remanentes </w:t>
      </w:r>
      <w:r w:rsidRPr="003E00EE">
        <w:rPr>
          <w:szCs w:val="24"/>
        </w:rPr>
        <w:t>se realizará en los talleres autorizados listados en el numeral anterior</w:t>
      </w:r>
      <w:r w:rsidR="007104DD">
        <w:rPr>
          <w:szCs w:val="24"/>
        </w:rPr>
        <w:t xml:space="preserve"> y</w:t>
      </w:r>
      <w:r w:rsidR="007104DD" w:rsidRPr="00AE0A0D">
        <w:rPr>
          <w:szCs w:val="24"/>
        </w:rPr>
        <w:t xml:space="preserve"> en las fechas allí establecidas</w:t>
      </w:r>
      <w:r w:rsidRPr="003E00EE">
        <w:rPr>
          <w:szCs w:val="24"/>
        </w:rPr>
        <w:t>.</w:t>
      </w:r>
    </w:p>
    <w:p w:rsidR="005C0B9C" w:rsidRDefault="005C0B9C" w:rsidP="004F4B37">
      <w:pPr>
        <w:pStyle w:val="Textoindependiente"/>
        <w:numPr>
          <w:ilvl w:val="0"/>
          <w:numId w:val="25"/>
        </w:numPr>
        <w:spacing w:before="120" w:after="120" w:line="240" w:lineRule="auto"/>
        <w:ind w:left="284" w:hanging="284"/>
        <w:rPr>
          <w:szCs w:val="24"/>
        </w:rPr>
      </w:pPr>
      <w:r>
        <w:rPr>
          <w:szCs w:val="24"/>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F32ED2" w:rsidRDefault="00F32ED2" w:rsidP="00B85FDD">
      <w:pPr>
        <w:pStyle w:val="Textoindependiente"/>
        <w:spacing w:before="120" w:after="120" w:line="240" w:lineRule="auto"/>
        <w:rPr>
          <w:szCs w:val="24"/>
        </w:rPr>
      </w:pPr>
    </w:p>
    <w:p w:rsidR="005C0B9C" w:rsidRDefault="00B85FDD" w:rsidP="00B85FDD">
      <w:pPr>
        <w:pStyle w:val="Textoindependiente"/>
        <w:spacing w:before="120" w:after="120" w:line="240" w:lineRule="auto"/>
        <w:rPr>
          <w:szCs w:val="24"/>
        </w:rPr>
      </w:pPr>
      <w:r>
        <w:rPr>
          <w:szCs w:val="24"/>
        </w:rPr>
        <w:t xml:space="preserve">Fuera de las fechas contenidas en esta circular la empresa </w:t>
      </w:r>
      <w:r w:rsidR="007104DD" w:rsidRPr="009F3D43">
        <w:rPr>
          <w:b/>
          <w:szCs w:val="24"/>
        </w:rPr>
        <w:t>RAYOGAS S.A. E.S.P.</w:t>
      </w:r>
      <w:r w:rsidR="007104DD">
        <w:rPr>
          <w:szCs w:val="24"/>
        </w:rPr>
        <w:t xml:space="preserve"> </w:t>
      </w:r>
      <w:r>
        <w:rPr>
          <w:szCs w:val="24"/>
        </w:rPr>
        <w:t>no podrá por ningún motivo movilizar ni tener en su poder cilindros universales remanentes salvo medie otro pronunciamiento de esta Comisión en los términos previstos en la Resolución CREG 164 de 2014.</w:t>
      </w:r>
    </w:p>
    <w:p w:rsidR="00476452" w:rsidRDefault="00476452" w:rsidP="0025603A">
      <w:pPr>
        <w:pStyle w:val="Textoindependiente"/>
        <w:spacing w:after="0" w:line="240" w:lineRule="auto"/>
        <w:rPr>
          <w:szCs w:val="24"/>
        </w:rPr>
      </w:pPr>
    </w:p>
    <w:p w:rsidR="00777E7A" w:rsidRDefault="00777E7A" w:rsidP="0025603A">
      <w:pPr>
        <w:pStyle w:val="Textoindependiente"/>
        <w:spacing w:after="0" w:line="240" w:lineRule="auto"/>
        <w:rPr>
          <w:szCs w:val="24"/>
        </w:rPr>
      </w:pPr>
      <w:r w:rsidRPr="00F05F11">
        <w:rPr>
          <w:szCs w:val="24"/>
        </w:rPr>
        <w:t>Cordialmente,</w:t>
      </w:r>
    </w:p>
    <w:p w:rsidR="00B2348F" w:rsidRDefault="00B2348F" w:rsidP="00777E7A">
      <w:pPr>
        <w:jc w:val="center"/>
        <w:rPr>
          <w:szCs w:val="24"/>
        </w:rPr>
      </w:pPr>
    </w:p>
    <w:p w:rsidR="00B2348F" w:rsidRDefault="00B2348F" w:rsidP="00777E7A">
      <w:pPr>
        <w:jc w:val="center"/>
        <w:rPr>
          <w:szCs w:val="24"/>
        </w:rPr>
      </w:pPr>
    </w:p>
    <w:p w:rsidR="002D500C" w:rsidRPr="00F05F11" w:rsidRDefault="002D500C" w:rsidP="00777E7A">
      <w:pPr>
        <w:jc w:val="center"/>
        <w:rPr>
          <w:szCs w:val="24"/>
        </w:rPr>
      </w:pPr>
    </w:p>
    <w:p w:rsidR="00777E7A" w:rsidRPr="00794DDB" w:rsidRDefault="00080848" w:rsidP="00777E7A">
      <w:pPr>
        <w:jc w:val="center"/>
        <w:rPr>
          <w:rFonts w:cs="Arial"/>
          <w:szCs w:val="24"/>
        </w:rPr>
      </w:pPr>
      <w:r>
        <w:rPr>
          <w:rFonts w:cs="Arial"/>
          <w:szCs w:val="24"/>
        </w:rPr>
        <w:t>JORGE PINTO NOLLA</w:t>
      </w:r>
    </w:p>
    <w:sectPr w:rsidR="00777E7A" w:rsidRPr="00794DDB" w:rsidSect="00794DDB">
      <w:headerReference w:type="default" r:id="rId8"/>
      <w:footerReference w:type="even" r:id="rId9"/>
      <w:footerReference w:type="default" r:id="rId10"/>
      <w:headerReference w:type="first" r:id="rId11"/>
      <w:footerReference w:type="first" r:id="rId12"/>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D1F" w:rsidRDefault="00865D1F">
      <w:r>
        <w:separator/>
      </w:r>
    </w:p>
  </w:endnote>
  <w:endnote w:type="continuationSeparator" w:id="0">
    <w:p w:rsidR="00865D1F" w:rsidRDefault="00865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1D" w:rsidRDefault="00E8431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8431D" w:rsidRDefault="00E8431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1D" w:rsidRDefault="00E8431D">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1D" w:rsidRDefault="00E8431D">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D1F" w:rsidRDefault="00865D1F">
      <w:r>
        <w:separator/>
      </w:r>
    </w:p>
  </w:footnote>
  <w:footnote w:type="continuationSeparator" w:id="0">
    <w:p w:rsidR="00865D1F" w:rsidRDefault="00865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1D" w:rsidRPr="00794DDB" w:rsidRDefault="00E8431D">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07528FA1" wp14:editId="055CCE89">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Circular0</w:t>
    </w:r>
    <w:r w:rsidR="00A13B04">
      <w:rPr>
        <w:i/>
        <w:sz w:val="18"/>
        <w:szCs w:val="18"/>
        <w:u w:val="single"/>
      </w:rPr>
      <w:t>45</w:t>
    </w:r>
  </w:p>
  <w:p w:rsidR="00E8431D" w:rsidRPr="00794DDB" w:rsidRDefault="00A13B04">
    <w:pPr>
      <w:pStyle w:val="Encabezado"/>
      <w:rPr>
        <w:i/>
        <w:sz w:val="18"/>
        <w:szCs w:val="18"/>
        <w:u w:val="single"/>
      </w:rPr>
    </w:pPr>
    <w:r>
      <w:rPr>
        <w:i/>
        <w:sz w:val="18"/>
        <w:szCs w:val="18"/>
        <w:u w:val="single"/>
      </w:rPr>
      <w:t>Abril</w:t>
    </w:r>
    <w:r w:rsidR="00E8431D">
      <w:rPr>
        <w:i/>
        <w:sz w:val="18"/>
        <w:szCs w:val="18"/>
        <w:u w:val="single"/>
      </w:rPr>
      <w:t xml:space="preserve"> </w:t>
    </w:r>
    <w:r w:rsidR="00E8431D" w:rsidRPr="00794DDB">
      <w:rPr>
        <w:i/>
        <w:sz w:val="18"/>
        <w:szCs w:val="18"/>
        <w:u w:val="single"/>
      </w:rPr>
      <w:t>de 201</w:t>
    </w:r>
    <w:r w:rsidR="00E8431D">
      <w:rPr>
        <w:i/>
        <w:sz w:val="18"/>
        <w:szCs w:val="18"/>
        <w:u w:val="single"/>
      </w:rPr>
      <w:t>5</w:t>
    </w:r>
  </w:p>
  <w:p w:rsidR="00E8431D" w:rsidRDefault="00E8431D">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C226F3" w:rsidRPr="00C226F3">
      <w:rPr>
        <w:b/>
        <w:i/>
        <w:noProof/>
        <w:sz w:val="18"/>
        <w:szCs w:val="18"/>
        <w:u w:val="single"/>
        <w:lang w:val="es-ES"/>
      </w:rPr>
      <w:t>2</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C226F3" w:rsidRPr="00C226F3">
      <w:rPr>
        <w:b/>
        <w:i/>
        <w:noProof/>
        <w:sz w:val="18"/>
        <w:szCs w:val="18"/>
        <w:u w:val="single"/>
        <w:lang w:val="es-ES"/>
      </w:rPr>
      <w:t>2</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31D" w:rsidRDefault="00E8431D">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A14C9"/>
    <w:rsid w:val="000C64E4"/>
    <w:rsid w:val="000D777E"/>
    <w:rsid w:val="000E7AF5"/>
    <w:rsid w:val="000F30A3"/>
    <w:rsid w:val="00121012"/>
    <w:rsid w:val="00126596"/>
    <w:rsid w:val="0012789F"/>
    <w:rsid w:val="00147733"/>
    <w:rsid w:val="001506D8"/>
    <w:rsid w:val="00155662"/>
    <w:rsid w:val="00157737"/>
    <w:rsid w:val="00161D6B"/>
    <w:rsid w:val="00183683"/>
    <w:rsid w:val="001844DC"/>
    <w:rsid w:val="00193789"/>
    <w:rsid w:val="00194974"/>
    <w:rsid w:val="001963FA"/>
    <w:rsid w:val="001A2EF4"/>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2BBF"/>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0D19"/>
    <w:rsid w:val="003755E4"/>
    <w:rsid w:val="00380ED3"/>
    <w:rsid w:val="00391CAB"/>
    <w:rsid w:val="0039291E"/>
    <w:rsid w:val="00393355"/>
    <w:rsid w:val="00397A12"/>
    <w:rsid w:val="003A25E8"/>
    <w:rsid w:val="003A4F0B"/>
    <w:rsid w:val="003A6907"/>
    <w:rsid w:val="003A7179"/>
    <w:rsid w:val="003B4526"/>
    <w:rsid w:val="003B5F3A"/>
    <w:rsid w:val="003D03AD"/>
    <w:rsid w:val="003D0BFC"/>
    <w:rsid w:val="003D2D29"/>
    <w:rsid w:val="003D3AAC"/>
    <w:rsid w:val="003D4956"/>
    <w:rsid w:val="003D5335"/>
    <w:rsid w:val="003E0B27"/>
    <w:rsid w:val="00404E02"/>
    <w:rsid w:val="00440A51"/>
    <w:rsid w:val="00445385"/>
    <w:rsid w:val="00453823"/>
    <w:rsid w:val="0046297F"/>
    <w:rsid w:val="00463488"/>
    <w:rsid w:val="004636AA"/>
    <w:rsid w:val="00470846"/>
    <w:rsid w:val="00473947"/>
    <w:rsid w:val="00476452"/>
    <w:rsid w:val="00487BB2"/>
    <w:rsid w:val="004A1F17"/>
    <w:rsid w:val="004A3201"/>
    <w:rsid w:val="004C15FE"/>
    <w:rsid w:val="004C18CF"/>
    <w:rsid w:val="004C585D"/>
    <w:rsid w:val="004D1799"/>
    <w:rsid w:val="004E1229"/>
    <w:rsid w:val="004E3B14"/>
    <w:rsid w:val="004F2266"/>
    <w:rsid w:val="004F4B37"/>
    <w:rsid w:val="00504DE4"/>
    <w:rsid w:val="005274DA"/>
    <w:rsid w:val="005310B2"/>
    <w:rsid w:val="00532B07"/>
    <w:rsid w:val="00541B23"/>
    <w:rsid w:val="0054303A"/>
    <w:rsid w:val="0055349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6E6827"/>
    <w:rsid w:val="007104DD"/>
    <w:rsid w:val="00710553"/>
    <w:rsid w:val="00721BAC"/>
    <w:rsid w:val="00722BCC"/>
    <w:rsid w:val="00733367"/>
    <w:rsid w:val="007447A6"/>
    <w:rsid w:val="00744C2E"/>
    <w:rsid w:val="007502CE"/>
    <w:rsid w:val="00752210"/>
    <w:rsid w:val="007620D2"/>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2E70"/>
    <w:rsid w:val="00836B73"/>
    <w:rsid w:val="00846213"/>
    <w:rsid w:val="00855EA7"/>
    <w:rsid w:val="008560F0"/>
    <w:rsid w:val="00856126"/>
    <w:rsid w:val="0086375F"/>
    <w:rsid w:val="00864E1B"/>
    <w:rsid w:val="00865D1F"/>
    <w:rsid w:val="00870BFD"/>
    <w:rsid w:val="0087201C"/>
    <w:rsid w:val="0087611F"/>
    <w:rsid w:val="008930E3"/>
    <w:rsid w:val="00893274"/>
    <w:rsid w:val="008A308C"/>
    <w:rsid w:val="008B5202"/>
    <w:rsid w:val="008C47A6"/>
    <w:rsid w:val="008C66A8"/>
    <w:rsid w:val="008E311B"/>
    <w:rsid w:val="008E732F"/>
    <w:rsid w:val="008F5D0A"/>
    <w:rsid w:val="00901D25"/>
    <w:rsid w:val="00913C48"/>
    <w:rsid w:val="00914A65"/>
    <w:rsid w:val="00917711"/>
    <w:rsid w:val="00921DD7"/>
    <w:rsid w:val="00924F6A"/>
    <w:rsid w:val="00926E8C"/>
    <w:rsid w:val="00933E17"/>
    <w:rsid w:val="00941B4D"/>
    <w:rsid w:val="00942B3A"/>
    <w:rsid w:val="00946019"/>
    <w:rsid w:val="00950563"/>
    <w:rsid w:val="00951B89"/>
    <w:rsid w:val="009574A2"/>
    <w:rsid w:val="0096745A"/>
    <w:rsid w:val="00967626"/>
    <w:rsid w:val="00976833"/>
    <w:rsid w:val="00977757"/>
    <w:rsid w:val="009808B5"/>
    <w:rsid w:val="00982E79"/>
    <w:rsid w:val="009902AE"/>
    <w:rsid w:val="009911D6"/>
    <w:rsid w:val="00996334"/>
    <w:rsid w:val="009A5AA0"/>
    <w:rsid w:val="009B3EC4"/>
    <w:rsid w:val="009B7AF0"/>
    <w:rsid w:val="009C41FA"/>
    <w:rsid w:val="009E1D40"/>
    <w:rsid w:val="009E30DB"/>
    <w:rsid w:val="009F3D43"/>
    <w:rsid w:val="009F6F93"/>
    <w:rsid w:val="00A00662"/>
    <w:rsid w:val="00A04B09"/>
    <w:rsid w:val="00A069D6"/>
    <w:rsid w:val="00A07404"/>
    <w:rsid w:val="00A13992"/>
    <w:rsid w:val="00A13B04"/>
    <w:rsid w:val="00A1691F"/>
    <w:rsid w:val="00A20856"/>
    <w:rsid w:val="00A24F55"/>
    <w:rsid w:val="00A265A0"/>
    <w:rsid w:val="00A27F7B"/>
    <w:rsid w:val="00A300CF"/>
    <w:rsid w:val="00A31B79"/>
    <w:rsid w:val="00A4260E"/>
    <w:rsid w:val="00A4273C"/>
    <w:rsid w:val="00A436E3"/>
    <w:rsid w:val="00A63F1E"/>
    <w:rsid w:val="00A80324"/>
    <w:rsid w:val="00AB1B74"/>
    <w:rsid w:val="00AC2DE8"/>
    <w:rsid w:val="00AD483D"/>
    <w:rsid w:val="00AE0A0D"/>
    <w:rsid w:val="00AE242A"/>
    <w:rsid w:val="00AE3543"/>
    <w:rsid w:val="00AF06E7"/>
    <w:rsid w:val="00AF15ED"/>
    <w:rsid w:val="00AF3AEC"/>
    <w:rsid w:val="00B02334"/>
    <w:rsid w:val="00B2348F"/>
    <w:rsid w:val="00B34027"/>
    <w:rsid w:val="00B57F26"/>
    <w:rsid w:val="00B609E7"/>
    <w:rsid w:val="00B85FDD"/>
    <w:rsid w:val="00B9514E"/>
    <w:rsid w:val="00B95598"/>
    <w:rsid w:val="00BA35DD"/>
    <w:rsid w:val="00BB269D"/>
    <w:rsid w:val="00BC6670"/>
    <w:rsid w:val="00BD20AE"/>
    <w:rsid w:val="00BF3BD3"/>
    <w:rsid w:val="00C030AC"/>
    <w:rsid w:val="00C07A6E"/>
    <w:rsid w:val="00C20B10"/>
    <w:rsid w:val="00C226F3"/>
    <w:rsid w:val="00C24911"/>
    <w:rsid w:val="00C276BB"/>
    <w:rsid w:val="00C34133"/>
    <w:rsid w:val="00C43CCD"/>
    <w:rsid w:val="00C46330"/>
    <w:rsid w:val="00C46AAF"/>
    <w:rsid w:val="00C63190"/>
    <w:rsid w:val="00C6591A"/>
    <w:rsid w:val="00C671D4"/>
    <w:rsid w:val="00C728C7"/>
    <w:rsid w:val="00C77034"/>
    <w:rsid w:val="00CA6BC8"/>
    <w:rsid w:val="00CA7C8D"/>
    <w:rsid w:val="00CB282C"/>
    <w:rsid w:val="00CB3C2B"/>
    <w:rsid w:val="00CC6A4E"/>
    <w:rsid w:val="00CC7AA7"/>
    <w:rsid w:val="00CD7923"/>
    <w:rsid w:val="00CE5ABA"/>
    <w:rsid w:val="00CE60E4"/>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5E63"/>
    <w:rsid w:val="00D55437"/>
    <w:rsid w:val="00D57A36"/>
    <w:rsid w:val="00D625B3"/>
    <w:rsid w:val="00D81758"/>
    <w:rsid w:val="00D8358D"/>
    <w:rsid w:val="00D86AD1"/>
    <w:rsid w:val="00D876DB"/>
    <w:rsid w:val="00D95754"/>
    <w:rsid w:val="00DA28E2"/>
    <w:rsid w:val="00DA5BBB"/>
    <w:rsid w:val="00DB2C48"/>
    <w:rsid w:val="00DB3E8A"/>
    <w:rsid w:val="00DD6A0B"/>
    <w:rsid w:val="00DE29EE"/>
    <w:rsid w:val="00DE6A2D"/>
    <w:rsid w:val="00DF1F09"/>
    <w:rsid w:val="00E031A4"/>
    <w:rsid w:val="00E13B94"/>
    <w:rsid w:val="00E235C9"/>
    <w:rsid w:val="00E239CE"/>
    <w:rsid w:val="00E2482E"/>
    <w:rsid w:val="00E26AC9"/>
    <w:rsid w:val="00E30E1A"/>
    <w:rsid w:val="00E32931"/>
    <w:rsid w:val="00E34947"/>
    <w:rsid w:val="00E412A6"/>
    <w:rsid w:val="00E465D2"/>
    <w:rsid w:val="00E47A73"/>
    <w:rsid w:val="00E55A86"/>
    <w:rsid w:val="00E6185E"/>
    <w:rsid w:val="00E747D2"/>
    <w:rsid w:val="00E8431D"/>
    <w:rsid w:val="00E87B34"/>
    <w:rsid w:val="00E92FED"/>
    <w:rsid w:val="00E95775"/>
    <w:rsid w:val="00EA121E"/>
    <w:rsid w:val="00EA1B54"/>
    <w:rsid w:val="00EB261C"/>
    <w:rsid w:val="00EB5230"/>
    <w:rsid w:val="00EC1A7E"/>
    <w:rsid w:val="00EC1C42"/>
    <w:rsid w:val="00EC470B"/>
    <w:rsid w:val="00EE3AA8"/>
    <w:rsid w:val="00EE61AB"/>
    <w:rsid w:val="00F02C54"/>
    <w:rsid w:val="00F05F11"/>
    <w:rsid w:val="00F061F6"/>
    <w:rsid w:val="00F1504B"/>
    <w:rsid w:val="00F32068"/>
    <w:rsid w:val="00F32ED2"/>
    <w:rsid w:val="00F32F50"/>
    <w:rsid w:val="00F4008C"/>
    <w:rsid w:val="00F52EAB"/>
    <w:rsid w:val="00F54062"/>
    <w:rsid w:val="00F6776F"/>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741221621">
      <w:bodyDiv w:val="1"/>
      <w:marLeft w:val="0"/>
      <w:marRight w:val="0"/>
      <w:marTop w:val="0"/>
      <w:marBottom w:val="0"/>
      <w:divBdr>
        <w:top w:val="none" w:sz="0" w:space="0" w:color="auto"/>
        <w:left w:val="none" w:sz="0" w:space="0" w:color="auto"/>
        <w:bottom w:val="none" w:sz="0" w:space="0" w:color="auto"/>
        <w:right w:val="none" w:sz="0" w:space="0" w:color="auto"/>
      </w:divBdr>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0</TotalTime>
  <Pages>2</Pages>
  <Words>604</Words>
  <Characters>3328</Characters>
  <Application>Microsoft Office Word</Application>
  <DocSecurity>0</DocSecurity>
  <PresentationFormat/>
  <Lines>27</Lines>
  <Paragraphs>7</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3925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2015-04-21T21:00:00Z</cp:lastPrinted>
  <dcterms:created xsi:type="dcterms:W3CDTF">2015-04-22T19:18:00Z</dcterms:created>
  <dcterms:modified xsi:type="dcterms:W3CDTF">2015-04-22T19:18:00Z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