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22ECAF10" w:rsidR="00486572" w:rsidRDefault="00486572" w:rsidP="00486572">
      <w:pPr>
        <w:rPr>
          <w:rFonts w:ascii="Arial" w:hAnsi="Arial" w:cs="Arial"/>
          <w:sz w:val="22"/>
          <w:szCs w:val="22"/>
          <w:lang w:val="es-MX"/>
        </w:rPr>
      </w:pPr>
      <w:r>
        <w:rPr>
          <w:rFonts w:ascii="Arial" w:hAnsi="Arial" w:cs="Arial"/>
          <w:sz w:val="22"/>
          <w:szCs w:val="22"/>
          <w:lang w:val="es-MX"/>
        </w:rPr>
        <w:t xml:space="preserve">Bogotá, D. C., </w:t>
      </w:r>
      <w:r w:rsidR="001243FE">
        <w:rPr>
          <w:rFonts w:ascii="Arial" w:hAnsi="Arial" w:cs="Arial"/>
          <w:sz w:val="22"/>
          <w:szCs w:val="22"/>
          <w:lang w:val="es-MX"/>
        </w:rPr>
        <w:t>2</w:t>
      </w:r>
      <w:r w:rsidR="00880FBF">
        <w:rPr>
          <w:rFonts w:ascii="Arial" w:hAnsi="Arial" w:cs="Arial"/>
          <w:sz w:val="22"/>
          <w:szCs w:val="22"/>
          <w:lang w:val="es-MX"/>
        </w:rPr>
        <w:t xml:space="preserve"> de </w:t>
      </w:r>
      <w:r w:rsidR="00F45C6F">
        <w:rPr>
          <w:rFonts w:ascii="Arial" w:hAnsi="Arial" w:cs="Arial"/>
          <w:sz w:val="22"/>
          <w:szCs w:val="22"/>
          <w:lang w:val="es-MX"/>
        </w:rPr>
        <w:t>ma</w:t>
      </w:r>
      <w:r w:rsidR="001243FE">
        <w:rPr>
          <w:rFonts w:ascii="Arial" w:hAnsi="Arial" w:cs="Arial"/>
          <w:sz w:val="22"/>
          <w:szCs w:val="22"/>
          <w:lang w:val="es-MX"/>
        </w:rPr>
        <w:t>y</w:t>
      </w:r>
      <w:r w:rsidR="00F45C6F">
        <w:rPr>
          <w:rFonts w:ascii="Arial" w:hAnsi="Arial" w:cs="Arial"/>
          <w:sz w:val="22"/>
          <w:szCs w:val="22"/>
          <w:lang w:val="es-MX"/>
        </w:rPr>
        <w:t>o</w:t>
      </w:r>
      <w:r w:rsidR="00F7294D">
        <w:rPr>
          <w:rFonts w:ascii="Arial" w:hAnsi="Arial" w:cs="Arial"/>
          <w:sz w:val="22"/>
          <w:szCs w:val="22"/>
          <w:lang w:val="es-MX"/>
        </w:rPr>
        <w:t xml:space="preserve"> </w:t>
      </w:r>
      <w:r w:rsidR="00880FBF">
        <w:rPr>
          <w:rFonts w:ascii="Arial" w:hAnsi="Arial" w:cs="Arial"/>
          <w:sz w:val="22"/>
          <w:szCs w:val="22"/>
          <w:lang w:val="es-MX"/>
        </w:rPr>
        <w:t>de 202</w:t>
      </w:r>
      <w:r w:rsidR="00F7294D">
        <w:rPr>
          <w:rFonts w:ascii="Arial" w:hAnsi="Arial" w:cs="Arial"/>
          <w:sz w:val="22"/>
          <w:szCs w:val="22"/>
          <w:lang w:val="es-MX"/>
        </w:rPr>
        <w:t>3</w:t>
      </w:r>
    </w:p>
    <w:p w14:paraId="660E8620" w14:textId="77777777" w:rsidR="00891FE9" w:rsidRDefault="00891FE9" w:rsidP="00E97238">
      <w:pPr>
        <w:pStyle w:val="Asunto"/>
        <w:spacing w:before="120" w:after="480"/>
        <w:jc w:val="center"/>
        <w:rPr>
          <w:rFonts w:ascii="Arial" w:hAnsi="Arial" w:cs="Arial"/>
          <w:b/>
          <w:bCs/>
          <w:i/>
          <w:iCs/>
          <w:kern w:val="60"/>
          <w:sz w:val="40"/>
          <w:szCs w:val="40"/>
        </w:rPr>
      </w:pPr>
    </w:p>
    <w:p w14:paraId="7DAA0C15" w14:textId="159AB61F" w:rsidR="00880FBF" w:rsidRDefault="00880FBF" w:rsidP="00880FBF">
      <w:pPr>
        <w:pStyle w:val="Asunto"/>
        <w:spacing w:before="480" w:after="480"/>
        <w:jc w:val="center"/>
        <w:rPr>
          <w:rFonts w:ascii="Arial" w:hAnsi="Arial" w:cs="Arial"/>
          <w:b/>
          <w:bCs/>
          <w:i/>
          <w:iCs/>
          <w:kern w:val="60"/>
          <w:sz w:val="40"/>
          <w:szCs w:val="40"/>
        </w:rPr>
      </w:pPr>
      <w:r w:rsidRPr="00C1339B">
        <w:rPr>
          <w:rFonts w:ascii="Arial" w:hAnsi="Arial" w:cs="Arial"/>
          <w:b/>
          <w:bCs/>
          <w:i/>
          <w:iCs/>
          <w:kern w:val="60"/>
          <w:sz w:val="40"/>
          <w:szCs w:val="40"/>
        </w:rPr>
        <w:t>CIRCULAR</w:t>
      </w:r>
      <w:r>
        <w:rPr>
          <w:rFonts w:ascii="Arial" w:hAnsi="Arial" w:cs="Arial"/>
          <w:b/>
          <w:bCs/>
          <w:i/>
          <w:iCs/>
          <w:kern w:val="60"/>
          <w:sz w:val="40"/>
          <w:szCs w:val="40"/>
        </w:rPr>
        <w:t xml:space="preserve"> </w:t>
      </w:r>
      <w:r w:rsidRPr="007E523E">
        <w:rPr>
          <w:rFonts w:ascii="Arial" w:hAnsi="Arial" w:cs="Arial"/>
          <w:b/>
          <w:bCs/>
          <w:i/>
          <w:iCs/>
          <w:kern w:val="60"/>
          <w:sz w:val="40"/>
          <w:szCs w:val="40"/>
        </w:rPr>
        <w:t>No.</w:t>
      </w:r>
      <w:r w:rsidR="00B738A1">
        <w:rPr>
          <w:rFonts w:ascii="Arial" w:hAnsi="Arial" w:cs="Arial"/>
          <w:b/>
          <w:bCs/>
          <w:i/>
          <w:iCs/>
          <w:kern w:val="60"/>
          <w:sz w:val="40"/>
          <w:szCs w:val="40"/>
        </w:rPr>
        <w:t xml:space="preserve"> </w:t>
      </w:r>
      <w:r w:rsidR="008E1EF3">
        <w:rPr>
          <w:rFonts w:ascii="Arial" w:hAnsi="Arial" w:cs="Arial"/>
          <w:b/>
          <w:bCs/>
          <w:i/>
          <w:iCs/>
          <w:kern w:val="60"/>
          <w:sz w:val="40"/>
          <w:szCs w:val="40"/>
        </w:rPr>
        <w:t>037</w:t>
      </w:r>
    </w:p>
    <w:p w14:paraId="66576B80" w14:textId="77777777" w:rsidR="00891FE9" w:rsidRPr="007E523E" w:rsidRDefault="00891FE9" w:rsidP="00E97238">
      <w:pPr>
        <w:pStyle w:val="Asunto"/>
        <w:spacing w:before="480" w:after="240"/>
        <w:jc w:val="center"/>
        <w:rPr>
          <w:rFonts w:ascii="Arial" w:hAnsi="Arial" w:cs="Arial"/>
          <w:b/>
          <w:bCs/>
          <w:i/>
          <w:iCs/>
          <w:kern w:val="60"/>
          <w:sz w:val="40"/>
          <w:szCs w:val="40"/>
        </w:rPr>
      </w:pPr>
    </w:p>
    <w:p w14:paraId="7F9E8533" w14:textId="77777777" w:rsidR="00880FBF" w:rsidRPr="00B45B5C" w:rsidRDefault="00880FBF" w:rsidP="00E97238">
      <w:pPr>
        <w:pStyle w:val="Sangradetextonormal"/>
        <w:spacing w:before="240" w:after="0" w:line="360" w:lineRule="auto"/>
        <w:ind w:left="1276" w:hanging="1276"/>
        <w:jc w:val="both"/>
        <w:rPr>
          <w:rFonts w:asciiTheme="majorHAnsi" w:hAnsiTheme="majorHAnsi" w:cstheme="majorHAnsi"/>
          <w:b/>
        </w:rPr>
      </w:pPr>
      <w:r w:rsidRPr="00B45B5C">
        <w:rPr>
          <w:rFonts w:asciiTheme="majorHAnsi" w:hAnsiTheme="majorHAnsi" w:cstheme="majorHAnsi"/>
          <w:b/>
        </w:rPr>
        <w:t>PARA:</w:t>
      </w:r>
      <w:r w:rsidRPr="00B45B5C">
        <w:rPr>
          <w:rFonts w:asciiTheme="majorHAnsi" w:hAnsiTheme="majorHAnsi" w:cstheme="majorHAnsi"/>
          <w:b/>
        </w:rPr>
        <w:tab/>
        <w:t>GRUPOS DE VALOR Y PARTES INTERESADAS</w:t>
      </w:r>
    </w:p>
    <w:p w14:paraId="7F68F43A" w14:textId="77777777" w:rsidR="00880FBF" w:rsidRPr="00B45B5C" w:rsidRDefault="00880FBF" w:rsidP="00E97238">
      <w:pPr>
        <w:pStyle w:val="Sangradetextonormal"/>
        <w:spacing w:before="240" w:after="0" w:line="360" w:lineRule="auto"/>
        <w:ind w:left="1276" w:hanging="1276"/>
        <w:jc w:val="both"/>
        <w:rPr>
          <w:rFonts w:asciiTheme="majorHAnsi" w:hAnsiTheme="majorHAnsi" w:cstheme="majorHAnsi"/>
          <w:b/>
        </w:rPr>
      </w:pPr>
      <w:r w:rsidRPr="00B45B5C">
        <w:rPr>
          <w:rFonts w:asciiTheme="majorHAnsi" w:hAnsiTheme="majorHAnsi" w:cstheme="majorHAnsi"/>
          <w:b/>
        </w:rPr>
        <w:t>DE:</w:t>
      </w:r>
      <w:r w:rsidRPr="00B45B5C">
        <w:rPr>
          <w:rFonts w:asciiTheme="majorHAnsi" w:hAnsiTheme="majorHAnsi" w:cstheme="majorHAnsi"/>
          <w:b/>
        </w:rPr>
        <w:tab/>
        <w:t>DIRECCIÓN EJECUTIVA</w:t>
      </w:r>
    </w:p>
    <w:p w14:paraId="786E5B44" w14:textId="77777777" w:rsidR="00880FBF" w:rsidRDefault="00880FBF" w:rsidP="00E97238">
      <w:pPr>
        <w:pStyle w:val="Sangradetextonormal"/>
        <w:spacing w:before="240" w:after="0" w:line="360" w:lineRule="auto"/>
        <w:ind w:left="1276" w:hanging="1276"/>
        <w:jc w:val="both"/>
        <w:rPr>
          <w:rFonts w:asciiTheme="majorHAnsi" w:hAnsiTheme="majorHAnsi" w:cstheme="majorHAnsi"/>
          <w:b/>
        </w:rPr>
      </w:pPr>
      <w:r w:rsidRPr="00B45B5C">
        <w:rPr>
          <w:rFonts w:asciiTheme="majorHAnsi" w:hAnsiTheme="majorHAnsi" w:cstheme="majorHAnsi"/>
          <w:b/>
        </w:rPr>
        <w:t>ASUNTO:</w:t>
      </w:r>
      <w:r w:rsidRPr="00B45B5C">
        <w:rPr>
          <w:rFonts w:asciiTheme="majorHAnsi" w:hAnsiTheme="majorHAnsi" w:cstheme="majorHAnsi"/>
          <w:b/>
        </w:rPr>
        <w:tab/>
      </w:r>
      <w:r>
        <w:rPr>
          <w:rFonts w:asciiTheme="majorHAnsi" w:hAnsiTheme="majorHAnsi" w:cstheme="majorHAnsi"/>
          <w:b/>
        </w:rPr>
        <w:t xml:space="preserve">PUBLICACIÓN DE PRECIOS </w:t>
      </w:r>
      <w:r w:rsidRPr="00B92714">
        <w:rPr>
          <w:rFonts w:asciiTheme="majorHAnsi" w:hAnsiTheme="majorHAnsi" w:cstheme="majorHAnsi"/>
          <w:b/>
        </w:rPr>
        <w:t>DE REFERENCIA DE VENTA AL PÚBLICO DE LOS COMBUSTIBLES</w:t>
      </w:r>
    </w:p>
    <w:p w14:paraId="4CA82608" w14:textId="4131CE74" w:rsidR="00880FBF" w:rsidRDefault="00880FBF" w:rsidP="00E97238">
      <w:pPr>
        <w:pStyle w:val="NormalWeb"/>
        <w:shd w:val="clear" w:color="auto" w:fill="FFFFFF"/>
        <w:spacing w:before="240" w:beforeAutospacing="0" w:after="120" w:afterAutospacing="0" w:line="360" w:lineRule="auto"/>
        <w:rPr>
          <w:rFonts w:asciiTheme="majorHAnsi" w:hAnsiTheme="majorHAnsi" w:cstheme="majorHAnsi"/>
        </w:rPr>
      </w:pPr>
      <w:r w:rsidRPr="00B45B5C">
        <w:rPr>
          <w:rFonts w:asciiTheme="majorHAnsi" w:hAnsiTheme="majorHAnsi" w:cstheme="majorHAnsi"/>
        </w:rPr>
        <w:t xml:space="preserve">La Dirección Ejecutiva de la Comisión de Regulación de Energía y Gas, CREG, </w:t>
      </w:r>
      <w:r>
        <w:rPr>
          <w:rFonts w:asciiTheme="majorHAnsi" w:hAnsiTheme="majorHAnsi" w:cstheme="majorHAnsi"/>
        </w:rPr>
        <w:t>de conformidad con la Resolución CREG 104 001 de 2022 y las funciones delegadas por el Ministerio de Hacienda y Crédito Público y el Ministerio de Minas y Energía</w:t>
      </w:r>
      <w:r w:rsidR="00E97238">
        <w:rPr>
          <w:rFonts w:asciiTheme="majorHAnsi" w:hAnsiTheme="majorHAnsi" w:cstheme="majorHAnsi"/>
        </w:rPr>
        <w:t>,</w:t>
      </w:r>
      <w:r>
        <w:rPr>
          <w:rFonts w:asciiTheme="majorHAnsi" w:hAnsiTheme="majorHAnsi" w:cstheme="majorHAnsi"/>
        </w:rPr>
        <w:t xml:space="preserve"> mediante la Resolución 40193 de 2021, hace pública la </w:t>
      </w:r>
      <w:r w:rsidRPr="00B477EE">
        <w:rPr>
          <w:rFonts w:asciiTheme="majorHAnsi" w:hAnsiTheme="majorHAnsi" w:cstheme="majorHAnsi"/>
        </w:rPr>
        <w:t>estimación</w:t>
      </w:r>
      <w:r>
        <w:rPr>
          <w:rFonts w:asciiTheme="majorHAnsi" w:hAnsiTheme="majorHAnsi" w:cstheme="majorHAnsi"/>
        </w:rPr>
        <w:t xml:space="preserve"> de los precios de referencia de venta al público de la </w:t>
      </w:r>
      <w:r w:rsidRPr="00EE77C5">
        <w:rPr>
          <w:rFonts w:asciiTheme="majorHAnsi" w:hAnsiTheme="majorHAnsi" w:cstheme="majorHAnsi"/>
        </w:rPr>
        <w:t>Gasolina Motor Corriente, la Gasolina Motor Corriente Oxigenada, el ACPM-Diésel y la mezcla de ACPM-Diésel y biodiésel</w:t>
      </w:r>
      <w:r>
        <w:rPr>
          <w:rFonts w:asciiTheme="majorHAnsi" w:hAnsiTheme="majorHAnsi" w:cstheme="majorHAnsi"/>
        </w:rPr>
        <w:t xml:space="preserve"> que rigen en el territorio nacional a partir del </w:t>
      </w:r>
      <w:r w:rsidR="001243FE">
        <w:rPr>
          <w:rFonts w:asciiTheme="majorHAnsi" w:hAnsiTheme="majorHAnsi" w:cstheme="majorHAnsi"/>
        </w:rPr>
        <w:t>3</w:t>
      </w:r>
      <w:r>
        <w:rPr>
          <w:rFonts w:asciiTheme="majorHAnsi" w:hAnsiTheme="majorHAnsi" w:cstheme="majorHAnsi"/>
        </w:rPr>
        <w:t xml:space="preserve"> de </w:t>
      </w:r>
      <w:r w:rsidR="001243FE">
        <w:rPr>
          <w:rFonts w:asciiTheme="majorHAnsi" w:hAnsiTheme="majorHAnsi" w:cstheme="majorHAnsi"/>
        </w:rPr>
        <w:t>mayo</w:t>
      </w:r>
      <w:r>
        <w:rPr>
          <w:rFonts w:asciiTheme="majorHAnsi" w:hAnsiTheme="majorHAnsi" w:cstheme="majorHAnsi"/>
        </w:rPr>
        <w:t xml:space="preserve"> de 202</w:t>
      </w:r>
      <w:r w:rsidR="00571E07">
        <w:rPr>
          <w:rFonts w:asciiTheme="majorHAnsi" w:hAnsiTheme="majorHAnsi" w:cstheme="majorHAnsi"/>
        </w:rPr>
        <w:t>3</w:t>
      </w:r>
      <w:r>
        <w:rPr>
          <w:rFonts w:asciiTheme="majorHAnsi" w:hAnsiTheme="majorHAnsi" w:cstheme="majorHAnsi"/>
        </w:rPr>
        <w:t>.</w:t>
      </w:r>
    </w:p>
    <w:p w14:paraId="69C7EFF3" w14:textId="61ED3E25" w:rsidR="00880FBF" w:rsidRDefault="00880FBF" w:rsidP="00E97238">
      <w:pPr>
        <w:pStyle w:val="NormalWeb"/>
        <w:shd w:val="clear" w:color="auto" w:fill="FFFFFF"/>
        <w:spacing w:before="240" w:beforeAutospacing="0" w:after="120" w:afterAutospacing="0" w:line="360" w:lineRule="auto"/>
        <w:rPr>
          <w:rFonts w:asciiTheme="majorHAnsi" w:hAnsiTheme="majorHAnsi" w:cstheme="majorHAnsi"/>
        </w:rPr>
      </w:pPr>
      <w:r>
        <w:rPr>
          <w:rFonts w:asciiTheme="majorHAnsi" w:hAnsiTheme="majorHAnsi" w:cstheme="majorHAnsi"/>
        </w:rPr>
        <w:t xml:space="preserve">La presente publicación se efectúa considerando </w:t>
      </w:r>
      <w:r w:rsidRPr="006B4486">
        <w:rPr>
          <w:rFonts w:asciiTheme="majorHAnsi" w:hAnsiTheme="majorHAnsi" w:cstheme="majorHAnsi"/>
        </w:rPr>
        <w:t>el valor del ingreso al productor o importador de la Gasolina Motor Corriente, el ACPM</w:t>
      </w:r>
      <w:r>
        <w:rPr>
          <w:rFonts w:asciiTheme="majorHAnsi" w:hAnsiTheme="majorHAnsi" w:cstheme="majorHAnsi"/>
        </w:rPr>
        <w:t>-Diésel</w:t>
      </w:r>
      <w:r w:rsidRPr="006B4486">
        <w:rPr>
          <w:rFonts w:asciiTheme="majorHAnsi" w:hAnsiTheme="majorHAnsi" w:cstheme="majorHAnsi"/>
        </w:rPr>
        <w:t xml:space="preserve"> y de los</w:t>
      </w:r>
      <w:r>
        <w:rPr>
          <w:rFonts w:asciiTheme="majorHAnsi" w:hAnsiTheme="majorHAnsi" w:cstheme="majorHAnsi"/>
        </w:rPr>
        <w:t xml:space="preserve"> </w:t>
      </w:r>
      <w:r w:rsidRPr="006B4486">
        <w:rPr>
          <w:rFonts w:asciiTheme="majorHAnsi" w:hAnsiTheme="majorHAnsi" w:cstheme="majorHAnsi"/>
        </w:rPr>
        <w:t>biocombustibles destinados a la mezcla con combustibles fósiles</w:t>
      </w:r>
      <w:r>
        <w:rPr>
          <w:rFonts w:asciiTheme="majorHAnsi" w:hAnsiTheme="majorHAnsi" w:cstheme="majorHAnsi"/>
        </w:rPr>
        <w:t xml:space="preserve">, </w:t>
      </w:r>
      <w:r w:rsidRPr="006B4486">
        <w:rPr>
          <w:rFonts w:asciiTheme="majorHAnsi" w:hAnsiTheme="majorHAnsi" w:cstheme="majorHAnsi"/>
        </w:rPr>
        <w:t xml:space="preserve">fijado por </w:t>
      </w:r>
      <w:r w:rsidR="00B27A38">
        <w:rPr>
          <w:rFonts w:asciiTheme="majorHAnsi" w:hAnsiTheme="majorHAnsi" w:cstheme="majorHAnsi"/>
        </w:rPr>
        <w:t xml:space="preserve">los </w:t>
      </w:r>
      <w:r w:rsidRPr="006B4486">
        <w:rPr>
          <w:rFonts w:asciiTheme="majorHAnsi" w:hAnsiTheme="majorHAnsi" w:cstheme="majorHAnsi"/>
        </w:rPr>
        <w:t>Ministerio</w:t>
      </w:r>
      <w:r w:rsidR="00B27A38">
        <w:rPr>
          <w:rFonts w:asciiTheme="majorHAnsi" w:hAnsiTheme="majorHAnsi" w:cstheme="majorHAnsi"/>
        </w:rPr>
        <w:t>s</w:t>
      </w:r>
      <w:r w:rsidRPr="006B4486">
        <w:rPr>
          <w:rFonts w:asciiTheme="majorHAnsi" w:hAnsiTheme="majorHAnsi" w:cstheme="majorHAnsi"/>
        </w:rPr>
        <w:t xml:space="preserve"> de</w:t>
      </w:r>
      <w:r>
        <w:rPr>
          <w:rFonts w:asciiTheme="majorHAnsi" w:hAnsiTheme="majorHAnsi" w:cstheme="majorHAnsi"/>
        </w:rPr>
        <w:t xml:space="preserve"> </w:t>
      </w:r>
      <w:r w:rsidRPr="006B4486">
        <w:rPr>
          <w:rFonts w:asciiTheme="majorHAnsi" w:hAnsiTheme="majorHAnsi" w:cstheme="majorHAnsi"/>
        </w:rPr>
        <w:t>Hacienda y Crédito Público</w:t>
      </w:r>
      <w:r w:rsidR="00D65AB7">
        <w:rPr>
          <w:rFonts w:asciiTheme="majorHAnsi" w:hAnsiTheme="majorHAnsi" w:cstheme="majorHAnsi"/>
        </w:rPr>
        <w:t xml:space="preserve"> y </w:t>
      </w:r>
      <w:r w:rsidR="00D65AB7" w:rsidRPr="006B4486">
        <w:rPr>
          <w:rFonts w:asciiTheme="majorHAnsi" w:hAnsiTheme="majorHAnsi" w:cstheme="majorHAnsi"/>
        </w:rPr>
        <w:t>de</w:t>
      </w:r>
      <w:r w:rsidR="00D65AB7">
        <w:rPr>
          <w:rFonts w:asciiTheme="majorHAnsi" w:hAnsiTheme="majorHAnsi" w:cstheme="majorHAnsi"/>
        </w:rPr>
        <w:t xml:space="preserve"> </w:t>
      </w:r>
      <w:r w:rsidR="00D65AB7" w:rsidRPr="006B4486">
        <w:rPr>
          <w:rFonts w:asciiTheme="majorHAnsi" w:hAnsiTheme="majorHAnsi" w:cstheme="majorHAnsi"/>
        </w:rPr>
        <w:t>Minas y Energía</w:t>
      </w:r>
      <w:r>
        <w:rPr>
          <w:rFonts w:asciiTheme="majorHAnsi" w:hAnsiTheme="majorHAnsi" w:cstheme="majorHAnsi"/>
        </w:rPr>
        <w:t>. Lo anterior, de acuerdo con lo establecido en</w:t>
      </w:r>
      <w:r w:rsidRPr="006B4486">
        <w:rPr>
          <w:rFonts w:asciiTheme="majorHAnsi" w:hAnsiTheme="majorHAnsi" w:cstheme="majorHAnsi"/>
        </w:rPr>
        <w:t xml:space="preserve"> el</w:t>
      </w:r>
      <w:r>
        <w:rPr>
          <w:rFonts w:asciiTheme="majorHAnsi" w:hAnsiTheme="majorHAnsi" w:cstheme="majorHAnsi"/>
        </w:rPr>
        <w:t xml:space="preserve"> </w:t>
      </w:r>
      <w:r w:rsidRPr="006B4486">
        <w:rPr>
          <w:rFonts w:asciiTheme="majorHAnsi" w:hAnsiTheme="majorHAnsi" w:cstheme="majorHAnsi"/>
        </w:rPr>
        <w:t>numeral 4 de</w:t>
      </w:r>
      <w:r>
        <w:rPr>
          <w:rFonts w:asciiTheme="majorHAnsi" w:hAnsiTheme="majorHAnsi" w:cstheme="majorHAnsi"/>
        </w:rPr>
        <w:t>l</w:t>
      </w:r>
      <w:r w:rsidRPr="006B4486">
        <w:rPr>
          <w:rFonts w:asciiTheme="majorHAnsi" w:hAnsiTheme="majorHAnsi" w:cstheme="majorHAnsi"/>
        </w:rPr>
        <w:t xml:space="preserve"> artículo</w:t>
      </w:r>
      <w:r>
        <w:rPr>
          <w:rFonts w:asciiTheme="majorHAnsi" w:hAnsiTheme="majorHAnsi" w:cstheme="majorHAnsi"/>
        </w:rPr>
        <w:t xml:space="preserve"> 1 de la Resolución 40193 de 2021.</w:t>
      </w:r>
    </w:p>
    <w:p w14:paraId="2640B452" w14:textId="77777777" w:rsidR="006A5912" w:rsidRDefault="006A5912" w:rsidP="00E97238">
      <w:pPr>
        <w:pStyle w:val="NormalWeb"/>
        <w:shd w:val="clear" w:color="auto" w:fill="FFFFFF"/>
        <w:spacing w:before="240" w:beforeAutospacing="0" w:after="120" w:afterAutospacing="0" w:line="360" w:lineRule="auto"/>
        <w:rPr>
          <w:rFonts w:asciiTheme="majorHAnsi" w:hAnsiTheme="majorHAnsi" w:cstheme="majorHAnsi"/>
        </w:rPr>
      </w:pPr>
    </w:p>
    <w:p w14:paraId="4C703016" w14:textId="496572B1" w:rsidR="00880FBF" w:rsidRDefault="00880FBF" w:rsidP="00E97238">
      <w:pPr>
        <w:spacing w:before="240"/>
        <w:rPr>
          <w:lang w:eastAsia="es-CO"/>
        </w:rPr>
      </w:pPr>
      <w:r w:rsidRPr="00880FBF">
        <w:rPr>
          <w:lang w:eastAsia="es-CO"/>
        </w:rPr>
        <w:lastRenderedPageBreak/>
        <w:t>El documento técnico de la estructura de precios de gasolina motor corriente y ACPM-Diésel, así como de sus respectivas mezclas con biocombustibles</w:t>
      </w:r>
      <w:r w:rsidR="00891FE9">
        <w:rPr>
          <w:lang w:eastAsia="es-CO"/>
        </w:rPr>
        <w:t>,</w:t>
      </w:r>
      <w:r w:rsidRPr="00880FBF">
        <w:rPr>
          <w:lang w:eastAsia="es-CO"/>
        </w:rPr>
        <w:t xml:space="preserve"> y el de precios de referencia por ciudades</w:t>
      </w:r>
      <w:r w:rsidR="00891FE9">
        <w:rPr>
          <w:lang w:eastAsia="es-CO"/>
        </w:rPr>
        <w:t>,</w:t>
      </w:r>
      <w:r w:rsidRPr="00880FBF">
        <w:rPr>
          <w:lang w:eastAsia="es-CO"/>
        </w:rPr>
        <w:t xml:space="preserve"> se anexan a la presente circular</w:t>
      </w:r>
      <w:r w:rsidR="00891FE9">
        <w:rPr>
          <w:lang w:eastAsia="es-CO"/>
        </w:rPr>
        <w:t>,</w:t>
      </w:r>
      <w:r w:rsidRPr="00880FBF">
        <w:rPr>
          <w:lang w:eastAsia="es-CO"/>
        </w:rPr>
        <w:t xml:space="preserve"> y pueden ser consultados en el siguiente enlace: </w:t>
      </w:r>
      <w:hyperlink r:id="rId11" w:tgtFrame="_blank" w:tooltip="https://bit.ly/3nbl5ya" w:history="1">
        <w:r w:rsidRPr="003B064C">
          <w:rPr>
            <w:rFonts w:eastAsia="Times New Roman"/>
            <w:color w:val="4472C4" w:themeColor="accent5"/>
            <w:u w:val="single"/>
            <w:lang w:eastAsia="es-CO"/>
          </w:rPr>
          <w:t>https://bit.ly/3NBL5YA</w:t>
        </w:r>
      </w:hyperlink>
      <w:r w:rsidRPr="00880FBF">
        <w:rPr>
          <w:lang w:eastAsia="es-CO"/>
        </w:rPr>
        <w:t>.</w:t>
      </w:r>
    </w:p>
    <w:p w14:paraId="33A3B513" w14:textId="06F198D5" w:rsidR="00486572" w:rsidRPr="00880FBF" w:rsidRDefault="00486572" w:rsidP="00E97238">
      <w:pPr>
        <w:pStyle w:val="Cordialmente"/>
        <w:spacing w:before="360"/>
        <w:rPr>
          <w:lang w:eastAsia="es-CO"/>
        </w:rPr>
      </w:pPr>
      <w:r w:rsidRPr="00880FBF">
        <w:rPr>
          <w:lang w:eastAsia="es-CO"/>
        </w:rPr>
        <w:t>Cordialmente,</w:t>
      </w:r>
    </w:p>
    <w:p w14:paraId="5C79C68A" w14:textId="50C215EE" w:rsidR="00D96E3C" w:rsidRDefault="004E5821" w:rsidP="00D96E3C">
      <w:pPr>
        <w:spacing w:after="0"/>
        <w:jc w:val="center"/>
        <w:rPr>
          <w:rFonts w:asciiTheme="majorHAnsi" w:eastAsia="Times New Roman" w:hAnsiTheme="majorHAnsi" w:cstheme="majorHAnsi"/>
          <w:b/>
          <w:bCs/>
        </w:rPr>
      </w:pPr>
      <w:r>
        <w:rPr>
          <w:rFonts w:asciiTheme="majorHAnsi" w:eastAsia="Times New Roman" w:hAnsiTheme="majorHAnsi" w:cstheme="majorHAnsi"/>
          <w:b/>
          <w:bCs/>
        </w:rPr>
        <w:t>JOSÉ FERNANDO PRADA RÍOS</w:t>
      </w:r>
    </w:p>
    <w:p w14:paraId="3C233516" w14:textId="186C3A38" w:rsidR="00E97238" w:rsidRPr="00E97238" w:rsidRDefault="00E97238" w:rsidP="00D96E3C">
      <w:pPr>
        <w:spacing w:after="0"/>
        <w:jc w:val="center"/>
        <w:rPr>
          <w:rFonts w:asciiTheme="majorHAnsi" w:eastAsia="Times New Roman" w:hAnsiTheme="majorHAnsi" w:cstheme="majorHAnsi"/>
        </w:rPr>
      </w:pPr>
      <w:r w:rsidRPr="00E97238">
        <w:rPr>
          <w:rFonts w:asciiTheme="majorHAnsi" w:eastAsia="Times New Roman" w:hAnsiTheme="majorHAnsi" w:cstheme="majorHAnsi"/>
        </w:rPr>
        <w:t>Director Ejecutivo</w:t>
      </w:r>
    </w:p>
    <w:p w14:paraId="0DD9BA21" w14:textId="77777777" w:rsidR="00486572" w:rsidRDefault="00486572" w:rsidP="00486572">
      <w:pPr>
        <w:pStyle w:val="Textoindependiente"/>
        <w:spacing w:after="0" w:line="240" w:lineRule="auto"/>
        <w:rPr>
          <w:rFonts w:cs="Arial"/>
        </w:rPr>
      </w:pPr>
    </w:p>
    <w:p w14:paraId="74C637D6" w14:textId="77777777" w:rsidR="00486572" w:rsidRDefault="00486572" w:rsidP="00486572">
      <w:pPr>
        <w:pStyle w:val="Textoindependiente"/>
        <w:spacing w:after="0" w:line="240" w:lineRule="auto"/>
        <w:rPr>
          <w:rFonts w:cs="Arial"/>
        </w:rPr>
      </w:pPr>
    </w:p>
    <w:p w14:paraId="47C9DB92" w14:textId="3CC27956" w:rsidR="00880FBF" w:rsidRDefault="00486572" w:rsidP="00486572">
      <w:pPr>
        <w:pStyle w:val="Textoindependiente"/>
        <w:spacing w:after="0" w:line="240" w:lineRule="auto"/>
        <w:rPr>
          <w:rFonts w:cs="Arial"/>
        </w:rPr>
      </w:pPr>
      <w:r>
        <w:rPr>
          <w:rFonts w:cs="Arial"/>
        </w:rPr>
        <w:t>Anexo</w:t>
      </w:r>
      <w:r w:rsidR="00880FBF">
        <w:rPr>
          <w:rFonts w:cs="Arial"/>
        </w:rPr>
        <w:t>s</w:t>
      </w:r>
      <w:r>
        <w:rPr>
          <w:rFonts w:cs="Arial"/>
        </w:rPr>
        <w:t xml:space="preserve">: </w:t>
      </w:r>
      <w:r w:rsidR="00880FBF">
        <w:rPr>
          <w:rFonts w:cs="Arial"/>
        </w:rPr>
        <w:t>Precios vigentes 13 ciudades principales</w:t>
      </w:r>
      <w:r w:rsidR="0059216C">
        <w:rPr>
          <w:rFonts w:cs="Arial"/>
        </w:rPr>
        <w:t>.</w:t>
      </w:r>
    </w:p>
    <w:p w14:paraId="656722DD" w14:textId="55C272B0" w:rsidR="00555528" w:rsidRDefault="0059216C" w:rsidP="00555528">
      <w:pPr>
        <w:pStyle w:val="Textoindependiente"/>
        <w:spacing w:after="0" w:line="240" w:lineRule="auto"/>
        <w:ind w:firstLine="709"/>
        <w:rPr>
          <w:rFonts w:cs="Arial"/>
        </w:rPr>
      </w:pPr>
      <w:r>
        <w:rPr>
          <w:rFonts w:cs="Arial"/>
        </w:rPr>
        <w:t xml:space="preserve"> </w:t>
      </w:r>
      <w:r w:rsidR="00555528">
        <w:rPr>
          <w:rFonts w:cs="Arial"/>
        </w:rPr>
        <w:t>Documento soporte</w:t>
      </w:r>
      <w:r>
        <w:rPr>
          <w:rFonts w:cs="Arial"/>
        </w:rPr>
        <w:t>.</w:t>
      </w:r>
    </w:p>
    <w:p w14:paraId="6F559493" w14:textId="77777777" w:rsidR="00E97238" w:rsidRDefault="00E97238" w:rsidP="00555528">
      <w:pPr>
        <w:pStyle w:val="Textoindependiente"/>
        <w:spacing w:after="0" w:line="240" w:lineRule="auto"/>
        <w:ind w:firstLine="709"/>
        <w:rPr>
          <w:rFonts w:cs="Arial"/>
        </w:rPr>
      </w:pPr>
    </w:p>
    <w:p w14:paraId="15BBCC6B" w14:textId="5B851DED" w:rsidR="00ED6229" w:rsidRDefault="00ED6229">
      <w:pPr>
        <w:spacing w:before="0" w:after="0"/>
        <w:rPr>
          <w:rFonts w:ascii="Arial" w:eastAsia="Times New Roman" w:hAnsi="Arial" w:cs="Arial"/>
          <w:spacing w:val="-5"/>
          <w:sz w:val="20"/>
          <w:szCs w:val="20"/>
        </w:rPr>
      </w:pPr>
      <w:r>
        <w:rPr>
          <w:rFonts w:cs="Arial"/>
        </w:rPr>
        <w:br w:type="page"/>
      </w:r>
    </w:p>
    <w:p w14:paraId="15CCC1D0" w14:textId="77777777" w:rsidR="00DE72E4" w:rsidRDefault="00DE72E4" w:rsidP="00DE72E4">
      <w:pPr>
        <w:pStyle w:val="NormalWeb"/>
        <w:shd w:val="clear" w:color="auto" w:fill="FFFFFF"/>
        <w:spacing w:before="0" w:beforeAutospacing="0" w:after="150" w:afterAutospacing="0"/>
        <w:jc w:val="center"/>
        <w:rPr>
          <w:rFonts w:ascii="Arial" w:hAnsi="Arial" w:cs="Arial"/>
          <w:b/>
          <w:bCs/>
        </w:rPr>
      </w:pPr>
      <w:r>
        <w:rPr>
          <w:rFonts w:ascii="Arial" w:hAnsi="Arial" w:cs="Arial"/>
          <w:b/>
          <w:bCs/>
        </w:rPr>
        <w:lastRenderedPageBreak/>
        <w:t>Precios vigentes a partir del 3 de mayo del 2023</w:t>
      </w:r>
    </w:p>
    <w:p w14:paraId="6B33F5F7" w14:textId="77777777" w:rsidR="00DE72E4" w:rsidRDefault="00DE72E4" w:rsidP="00DE72E4">
      <w:pPr>
        <w:pStyle w:val="NormalWeb"/>
        <w:shd w:val="clear" w:color="auto" w:fill="FFFFFF"/>
        <w:spacing w:before="0" w:beforeAutospacing="0" w:after="150" w:afterAutospacing="0"/>
        <w:jc w:val="center"/>
        <w:rPr>
          <w:rFonts w:ascii="Arial" w:hAnsi="Arial" w:cs="Arial"/>
          <w:b/>
          <w:bCs/>
        </w:rPr>
      </w:pPr>
      <w:r>
        <w:rPr>
          <w:rFonts w:ascii="Arial" w:hAnsi="Arial" w:cs="Arial"/>
          <w:b/>
          <w:bCs/>
        </w:rPr>
        <w:t>(13 ciudades Principales)</w:t>
      </w:r>
      <w:r>
        <w:rPr>
          <w:rFonts w:ascii="Arial" w:hAnsi="Arial" w:cs="Arial"/>
          <w:b/>
          <w:bCs/>
        </w:rPr>
        <w:fldChar w:fldCharType="begin"/>
      </w:r>
      <w:r>
        <w:rPr>
          <w:rFonts w:ascii="Arial" w:hAnsi="Arial" w:cs="Arial"/>
          <w:b/>
          <w:bCs/>
        </w:rPr>
        <w:instrText xml:space="preserve"> LINK Excel.SheetMacroEnabled.12 "D:\\CREG\\Regulación - Combustibles Líquidos - CL-Precios\\Publicación de precios\\Publicaciones CREG\\Febrero 2022\\0. Estructura precios CL (Febrero2022) v1.xlsm" "Parámetros documento técnico!F8C2" \a \f 5 \h  \* MERGEFORMAT </w:instrText>
      </w:r>
      <w:r w:rsidR="00000000">
        <w:rPr>
          <w:rFonts w:ascii="Arial" w:hAnsi="Arial" w:cs="Arial"/>
          <w:b/>
          <w:bCs/>
        </w:rPr>
        <w:fldChar w:fldCharType="separate"/>
      </w:r>
      <w:r>
        <w:rPr>
          <w:rFonts w:ascii="Arial" w:hAnsi="Arial" w:cs="Arial"/>
          <w:b/>
          <w:bCs/>
        </w:rPr>
        <w:fldChar w:fldCharType="end"/>
      </w:r>
    </w:p>
    <w:tbl>
      <w:tblPr>
        <w:tblW w:w="8483" w:type="dxa"/>
        <w:jc w:val="center"/>
        <w:tblCellMar>
          <w:left w:w="70" w:type="dxa"/>
          <w:right w:w="70" w:type="dxa"/>
        </w:tblCellMar>
        <w:tblLook w:val="04A0" w:firstRow="1" w:lastRow="0" w:firstColumn="1" w:lastColumn="0" w:noHBand="0" w:noVBand="1"/>
      </w:tblPr>
      <w:tblGrid>
        <w:gridCol w:w="3402"/>
        <w:gridCol w:w="2552"/>
        <w:gridCol w:w="2529"/>
      </w:tblGrid>
      <w:tr w:rsidR="00DE72E4" w14:paraId="3434773E" w14:textId="77777777" w:rsidTr="00DE72E4">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7007C8" w14:textId="77777777" w:rsidR="00DE72E4" w:rsidRDefault="00DE72E4">
            <w:pPr>
              <w:spacing w:before="0" w:after="0" w:line="240" w:lineRule="auto"/>
              <w:rPr>
                <w:rFonts w:ascii="Arial" w:eastAsia="Times New Roman" w:hAnsi="Arial" w:cs="Arial"/>
                <w:color w:val="000000"/>
                <w:sz w:val="18"/>
                <w:szCs w:val="18"/>
                <w:lang w:eastAsia="es-CO"/>
              </w:rPr>
            </w:pPr>
            <w:r>
              <w:rPr>
                <w:rFonts w:eastAsia="Times New Roman" w:cs="Arial"/>
                <w:color w:val="000000"/>
                <w:sz w:val="18"/>
                <w:szCs w:val="18"/>
                <w:lang w:eastAsia="es-CO"/>
              </w:rPr>
              <w:t>Precios de referencia por ciudades</w:t>
            </w:r>
          </w:p>
        </w:tc>
        <w:tc>
          <w:tcPr>
            <w:tcW w:w="5081" w:type="dxa"/>
            <w:gridSpan w:val="2"/>
            <w:tcBorders>
              <w:top w:val="single" w:sz="4" w:space="0" w:color="auto"/>
              <w:left w:val="nil"/>
              <w:bottom w:val="single" w:sz="4" w:space="0" w:color="auto"/>
              <w:right w:val="single" w:sz="4" w:space="0" w:color="auto"/>
            </w:tcBorders>
            <w:shd w:val="clear" w:color="auto" w:fill="002060"/>
            <w:noWrap/>
            <w:vAlign w:val="center"/>
            <w:hideMark/>
          </w:tcPr>
          <w:p w14:paraId="3BE751A8" w14:textId="77777777" w:rsidR="00DE72E4" w:rsidRDefault="00DE72E4">
            <w:pPr>
              <w:spacing w:before="0" w:after="0" w:line="240" w:lineRule="auto"/>
              <w:rPr>
                <w:rFonts w:eastAsia="Times New Roman" w:cs="Arial"/>
                <w:color w:val="FFFFFF"/>
                <w:sz w:val="18"/>
                <w:szCs w:val="18"/>
                <w:lang w:eastAsia="es-CO"/>
              </w:rPr>
            </w:pPr>
            <w:r>
              <w:rPr>
                <w:rFonts w:eastAsia="Times New Roman" w:cs="Arial"/>
                <w:color w:val="FFFFFF"/>
                <w:sz w:val="18"/>
                <w:szCs w:val="18"/>
                <w:lang w:eastAsia="es-CO"/>
              </w:rPr>
              <w:t>Vigencia 3 de mayo del 2023</w:t>
            </w:r>
          </w:p>
        </w:tc>
      </w:tr>
      <w:tr w:rsidR="00DE72E4" w14:paraId="576B7C5C" w14:textId="77777777" w:rsidTr="00DE72E4">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F5DDD" w14:textId="77777777" w:rsidR="00DE72E4" w:rsidRDefault="00DE72E4">
            <w:pPr>
              <w:spacing w:before="0" w:after="0" w:line="240" w:lineRule="auto"/>
              <w:rPr>
                <w:rFonts w:eastAsia="Times New Roman" w:cs="Arial"/>
                <w:color w:val="000000"/>
                <w:sz w:val="18"/>
                <w:szCs w:val="18"/>
                <w:lang w:eastAsia="es-CO"/>
              </w:rPr>
            </w:pPr>
          </w:p>
        </w:tc>
        <w:tc>
          <w:tcPr>
            <w:tcW w:w="2552" w:type="dxa"/>
            <w:tcBorders>
              <w:top w:val="nil"/>
              <w:left w:val="nil"/>
              <w:bottom w:val="single" w:sz="4" w:space="0" w:color="auto"/>
              <w:right w:val="single" w:sz="4" w:space="0" w:color="auto"/>
            </w:tcBorders>
            <w:shd w:val="clear" w:color="auto" w:fill="F2F2F2"/>
            <w:noWrap/>
            <w:vAlign w:val="center"/>
            <w:hideMark/>
          </w:tcPr>
          <w:p w14:paraId="3D50C70B" w14:textId="77777777" w:rsidR="00DE72E4" w:rsidRDefault="00DE72E4">
            <w:pPr>
              <w:spacing w:before="0" w:after="0" w:line="240" w:lineRule="auto"/>
              <w:rPr>
                <w:rFonts w:eastAsia="Times New Roman" w:cs="Arial"/>
                <w:b/>
                <w:bCs/>
                <w:color w:val="000000"/>
                <w:sz w:val="18"/>
                <w:szCs w:val="18"/>
                <w:lang w:eastAsia="es-CO"/>
              </w:rPr>
            </w:pPr>
            <w:r>
              <w:rPr>
                <w:rFonts w:eastAsia="Times New Roman" w:cs="Arial"/>
                <w:b/>
                <w:bCs/>
                <w:color w:val="000000"/>
                <w:sz w:val="18"/>
                <w:szCs w:val="18"/>
                <w:lang w:eastAsia="es-CO"/>
              </w:rPr>
              <w:t>Gasolina MC ($/gal)</w:t>
            </w:r>
          </w:p>
        </w:tc>
        <w:tc>
          <w:tcPr>
            <w:tcW w:w="2529" w:type="dxa"/>
            <w:tcBorders>
              <w:top w:val="nil"/>
              <w:left w:val="nil"/>
              <w:bottom w:val="single" w:sz="4" w:space="0" w:color="auto"/>
              <w:right w:val="single" w:sz="4" w:space="0" w:color="auto"/>
            </w:tcBorders>
            <w:shd w:val="clear" w:color="auto" w:fill="F2F2F2"/>
            <w:noWrap/>
            <w:vAlign w:val="center"/>
            <w:hideMark/>
          </w:tcPr>
          <w:p w14:paraId="5EF0D014" w14:textId="77777777" w:rsidR="00DE72E4" w:rsidRDefault="00DE72E4">
            <w:pPr>
              <w:spacing w:before="0" w:after="0" w:line="240" w:lineRule="auto"/>
              <w:rPr>
                <w:rFonts w:eastAsia="Times New Roman" w:cs="Arial"/>
                <w:b/>
                <w:bCs/>
                <w:color w:val="000000"/>
                <w:sz w:val="18"/>
                <w:szCs w:val="18"/>
                <w:lang w:eastAsia="es-CO"/>
              </w:rPr>
            </w:pPr>
            <w:r>
              <w:rPr>
                <w:rFonts w:eastAsia="Times New Roman" w:cs="Arial"/>
                <w:b/>
                <w:bCs/>
                <w:color w:val="000000"/>
                <w:sz w:val="18"/>
                <w:szCs w:val="18"/>
                <w:lang w:eastAsia="es-CO"/>
              </w:rPr>
              <w:t>ACPM ($/gal)</w:t>
            </w:r>
          </w:p>
        </w:tc>
      </w:tr>
      <w:tr w:rsidR="00DE72E4" w14:paraId="16A730A7"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518EC13E"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Bogotá</w:t>
            </w:r>
          </w:p>
        </w:tc>
        <w:tc>
          <w:tcPr>
            <w:tcW w:w="2552" w:type="dxa"/>
            <w:tcBorders>
              <w:top w:val="nil"/>
              <w:left w:val="nil"/>
              <w:bottom w:val="single" w:sz="4" w:space="0" w:color="auto"/>
              <w:right w:val="single" w:sz="4" w:space="0" w:color="auto"/>
            </w:tcBorders>
            <w:noWrap/>
            <w:vAlign w:val="center"/>
            <w:hideMark/>
          </w:tcPr>
          <w:p w14:paraId="6C984FF9"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12.173 </w:t>
            </w:r>
          </w:p>
        </w:tc>
        <w:tc>
          <w:tcPr>
            <w:tcW w:w="2529" w:type="dxa"/>
            <w:tcBorders>
              <w:top w:val="nil"/>
              <w:left w:val="nil"/>
              <w:bottom w:val="single" w:sz="4" w:space="0" w:color="auto"/>
              <w:right w:val="single" w:sz="4" w:space="0" w:color="auto"/>
            </w:tcBorders>
            <w:noWrap/>
            <w:vAlign w:val="center"/>
            <w:hideMark/>
          </w:tcPr>
          <w:p w14:paraId="2A40E53D"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9.357 </w:t>
            </w:r>
          </w:p>
        </w:tc>
      </w:tr>
      <w:tr w:rsidR="00DE72E4" w14:paraId="548D2FD1"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270221D4"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Medellín</w:t>
            </w:r>
          </w:p>
        </w:tc>
        <w:tc>
          <w:tcPr>
            <w:tcW w:w="2552" w:type="dxa"/>
            <w:tcBorders>
              <w:top w:val="nil"/>
              <w:left w:val="nil"/>
              <w:bottom w:val="single" w:sz="4" w:space="0" w:color="auto"/>
              <w:right w:val="single" w:sz="4" w:space="0" w:color="auto"/>
            </w:tcBorders>
            <w:noWrap/>
            <w:vAlign w:val="center"/>
            <w:hideMark/>
          </w:tcPr>
          <w:p w14:paraId="17D88D79"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12.111 </w:t>
            </w:r>
          </w:p>
        </w:tc>
        <w:tc>
          <w:tcPr>
            <w:tcW w:w="2529" w:type="dxa"/>
            <w:tcBorders>
              <w:top w:val="nil"/>
              <w:left w:val="nil"/>
              <w:bottom w:val="single" w:sz="4" w:space="0" w:color="auto"/>
              <w:right w:val="single" w:sz="4" w:space="0" w:color="auto"/>
            </w:tcBorders>
            <w:noWrap/>
            <w:vAlign w:val="center"/>
            <w:hideMark/>
          </w:tcPr>
          <w:p w14:paraId="69B80B0F"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9.372 </w:t>
            </w:r>
          </w:p>
        </w:tc>
      </w:tr>
      <w:tr w:rsidR="00DE72E4" w14:paraId="2BD312FA"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477037F2"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Cali</w:t>
            </w:r>
          </w:p>
        </w:tc>
        <w:tc>
          <w:tcPr>
            <w:tcW w:w="2552" w:type="dxa"/>
            <w:tcBorders>
              <w:top w:val="nil"/>
              <w:left w:val="nil"/>
              <w:bottom w:val="single" w:sz="4" w:space="0" w:color="auto"/>
              <w:right w:val="single" w:sz="4" w:space="0" w:color="auto"/>
            </w:tcBorders>
            <w:noWrap/>
            <w:vAlign w:val="center"/>
            <w:hideMark/>
          </w:tcPr>
          <w:p w14:paraId="371F22A5"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12.211 </w:t>
            </w:r>
          </w:p>
        </w:tc>
        <w:tc>
          <w:tcPr>
            <w:tcW w:w="2529" w:type="dxa"/>
            <w:tcBorders>
              <w:top w:val="nil"/>
              <w:left w:val="nil"/>
              <w:bottom w:val="single" w:sz="4" w:space="0" w:color="auto"/>
              <w:right w:val="single" w:sz="4" w:space="0" w:color="auto"/>
            </w:tcBorders>
            <w:noWrap/>
            <w:vAlign w:val="center"/>
            <w:hideMark/>
          </w:tcPr>
          <w:p w14:paraId="4080E4B7"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9.484 </w:t>
            </w:r>
          </w:p>
        </w:tc>
      </w:tr>
      <w:tr w:rsidR="00DE72E4" w14:paraId="70F1577B"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5B8BDA22"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Barranquilla</w:t>
            </w:r>
          </w:p>
        </w:tc>
        <w:tc>
          <w:tcPr>
            <w:tcW w:w="2552" w:type="dxa"/>
            <w:tcBorders>
              <w:top w:val="nil"/>
              <w:left w:val="nil"/>
              <w:bottom w:val="single" w:sz="4" w:space="0" w:color="auto"/>
              <w:right w:val="single" w:sz="4" w:space="0" w:color="auto"/>
            </w:tcBorders>
            <w:noWrap/>
            <w:vAlign w:val="center"/>
            <w:hideMark/>
          </w:tcPr>
          <w:p w14:paraId="1F3C37F9"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11.847 </w:t>
            </w:r>
          </w:p>
        </w:tc>
        <w:tc>
          <w:tcPr>
            <w:tcW w:w="2529" w:type="dxa"/>
            <w:tcBorders>
              <w:top w:val="nil"/>
              <w:left w:val="nil"/>
              <w:bottom w:val="single" w:sz="4" w:space="0" w:color="auto"/>
              <w:right w:val="single" w:sz="4" w:space="0" w:color="auto"/>
            </w:tcBorders>
            <w:noWrap/>
            <w:vAlign w:val="center"/>
            <w:hideMark/>
          </w:tcPr>
          <w:p w14:paraId="643C1B54"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9.060 </w:t>
            </w:r>
          </w:p>
        </w:tc>
      </w:tr>
      <w:tr w:rsidR="00DE72E4" w14:paraId="5CF869AD"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75B5EE16"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Cartagena</w:t>
            </w:r>
          </w:p>
        </w:tc>
        <w:tc>
          <w:tcPr>
            <w:tcW w:w="2552" w:type="dxa"/>
            <w:tcBorders>
              <w:top w:val="nil"/>
              <w:left w:val="nil"/>
              <w:bottom w:val="single" w:sz="4" w:space="0" w:color="auto"/>
              <w:right w:val="single" w:sz="4" w:space="0" w:color="auto"/>
            </w:tcBorders>
            <w:noWrap/>
            <w:vAlign w:val="center"/>
            <w:hideMark/>
          </w:tcPr>
          <w:p w14:paraId="5F7BAB1D"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11.805 </w:t>
            </w:r>
          </w:p>
        </w:tc>
        <w:tc>
          <w:tcPr>
            <w:tcW w:w="2529" w:type="dxa"/>
            <w:tcBorders>
              <w:top w:val="nil"/>
              <w:left w:val="nil"/>
              <w:bottom w:val="single" w:sz="4" w:space="0" w:color="auto"/>
              <w:right w:val="single" w:sz="4" w:space="0" w:color="auto"/>
            </w:tcBorders>
            <w:noWrap/>
            <w:vAlign w:val="center"/>
            <w:hideMark/>
          </w:tcPr>
          <w:p w14:paraId="266071BF"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9.028 </w:t>
            </w:r>
          </w:p>
        </w:tc>
      </w:tr>
      <w:tr w:rsidR="00DE72E4" w14:paraId="7C1AB289"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40FB0204"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Montería</w:t>
            </w:r>
          </w:p>
        </w:tc>
        <w:tc>
          <w:tcPr>
            <w:tcW w:w="2552" w:type="dxa"/>
            <w:tcBorders>
              <w:top w:val="nil"/>
              <w:left w:val="nil"/>
              <w:bottom w:val="single" w:sz="4" w:space="0" w:color="auto"/>
              <w:right w:val="single" w:sz="4" w:space="0" w:color="auto"/>
            </w:tcBorders>
            <w:noWrap/>
            <w:vAlign w:val="center"/>
            <w:hideMark/>
          </w:tcPr>
          <w:p w14:paraId="78892A11"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12.055 </w:t>
            </w:r>
          </w:p>
        </w:tc>
        <w:tc>
          <w:tcPr>
            <w:tcW w:w="2529" w:type="dxa"/>
            <w:tcBorders>
              <w:top w:val="nil"/>
              <w:left w:val="nil"/>
              <w:bottom w:val="single" w:sz="4" w:space="0" w:color="auto"/>
              <w:right w:val="single" w:sz="4" w:space="0" w:color="auto"/>
            </w:tcBorders>
            <w:noWrap/>
            <w:vAlign w:val="center"/>
            <w:hideMark/>
          </w:tcPr>
          <w:p w14:paraId="411FCD7B"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9.278 </w:t>
            </w:r>
          </w:p>
        </w:tc>
      </w:tr>
      <w:tr w:rsidR="00DE72E4" w14:paraId="68ADC914"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27401D38"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Bucaramanga</w:t>
            </w:r>
          </w:p>
        </w:tc>
        <w:tc>
          <w:tcPr>
            <w:tcW w:w="2552" w:type="dxa"/>
            <w:tcBorders>
              <w:top w:val="nil"/>
              <w:left w:val="nil"/>
              <w:bottom w:val="single" w:sz="4" w:space="0" w:color="auto"/>
              <w:right w:val="single" w:sz="4" w:space="0" w:color="auto"/>
            </w:tcBorders>
            <w:noWrap/>
            <w:vAlign w:val="center"/>
            <w:hideMark/>
          </w:tcPr>
          <w:p w14:paraId="61ADB31A"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11.920 </w:t>
            </w:r>
          </w:p>
        </w:tc>
        <w:tc>
          <w:tcPr>
            <w:tcW w:w="2529" w:type="dxa"/>
            <w:tcBorders>
              <w:top w:val="nil"/>
              <w:left w:val="nil"/>
              <w:bottom w:val="single" w:sz="4" w:space="0" w:color="auto"/>
              <w:right w:val="single" w:sz="4" w:space="0" w:color="auto"/>
            </w:tcBorders>
            <w:noWrap/>
            <w:vAlign w:val="center"/>
            <w:hideMark/>
          </w:tcPr>
          <w:p w14:paraId="5FBCCA67"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9.125 </w:t>
            </w:r>
          </w:p>
        </w:tc>
      </w:tr>
      <w:tr w:rsidR="00DE72E4" w14:paraId="7D56624F"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6E07E12D"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Villavicencio</w:t>
            </w:r>
          </w:p>
        </w:tc>
        <w:tc>
          <w:tcPr>
            <w:tcW w:w="2552" w:type="dxa"/>
            <w:tcBorders>
              <w:top w:val="nil"/>
              <w:left w:val="nil"/>
              <w:bottom w:val="single" w:sz="4" w:space="0" w:color="auto"/>
              <w:right w:val="single" w:sz="4" w:space="0" w:color="auto"/>
            </w:tcBorders>
            <w:noWrap/>
            <w:vAlign w:val="center"/>
            <w:hideMark/>
          </w:tcPr>
          <w:p w14:paraId="3F565E2E"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12.273 </w:t>
            </w:r>
          </w:p>
        </w:tc>
        <w:tc>
          <w:tcPr>
            <w:tcW w:w="2529" w:type="dxa"/>
            <w:tcBorders>
              <w:top w:val="nil"/>
              <w:left w:val="nil"/>
              <w:bottom w:val="single" w:sz="4" w:space="0" w:color="auto"/>
              <w:right w:val="single" w:sz="4" w:space="0" w:color="auto"/>
            </w:tcBorders>
            <w:noWrap/>
            <w:vAlign w:val="center"/>
            <w:hideMark/>
          </w:tcPr>
          <w:p w14:paraId="6F67D4AA"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9.457 </w:t>
            </w:r>
          </w:p>
        </w:tc>
      </w:tr>
      <w:tr w:rsidR="00DE72E4" w14:paraId="716A999D"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760667E8"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Pereira</w:t>
            </w:r>
          </w:p>
        </w:tc>
        <w:tc>
          <w:tcPr>
            <w:tcW w:w="2552" w:type="dxa"/>
            <w:tcBorders>
              <w:top w:val="nil"/>
              <w:left w:val="nil"/>
              <w:bottom w:val="single" w:sz="4" w:space="0" w:color="auto"/>
              <w:right w:val="single" w:sz="4" w:space="0" w:color="auto"/>
            </w:tcBorders>
            <w:noWrap/>
            <w:vAlign w:val="center"/>
            <w:hideMark/>
          </w:tcPr>
          <w:p w14:paraId="6ECD2F2E"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12.154 </w:t>
            </w:r>
          </w:p>
        </w:tc>
        <w:tc>
          <w:tcPr>
            <w:tcW w:w="2529" w:type="dxa"/>
            <w:tcBorders>
              <w:top w:val="nil"/>
              <w:left w:val="nil"/>
              <w:bottom w:val="single" w:sz="4" w:space="0" w:color="auto"/>
              <w:right w:val="single" w:sz="4" w:space="0" w:color="auto"/>
            </w:tcBorders>
            <w:noWrap/>
            <w:vAlign w:val="center"/>
            <w:hideMark/>
          </w:tcPr>
          <w:p w14:paraId="5097FA4F"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9.429 </w:t>
            </w:r>
          </w:p>
        </w:tc>
      </w:tr>
      <w:tr w:rsidR="00DE72E4" w14:paraId="6F1E58CB"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219411F9"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Manizales</w:t>
            </w:r>
          </w:p>
        </w:tc>
        <w:tc>
          <w:tcPr>
            <w:tcW w:w="2552" w:type="dxa"/>
            <w:tcBorders>
              <w:top w:val="nil"/>
              <w:left w:val="nil"/>
              <w:bottom w:val="single" w:sz="4" w:space="0" w:color="auto"/>
              <w:right w:val="single" w:sz="4" w:space="0" w:color="auto"/>
            </w:tcBorders>
            <w:noWrap/>
            <w:vAlign w:val="center"/>
            <w:hideMark/>
          </w:tcPr>
          <w:p w14:paraId="488253B3"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12.164 </w:t>
            </w:r>
          </w:p>
        </w:tc>
        <w:tc>
          <w:tcPr>
            <w:tcW w:w="2529" w:type="dxa"/>
            <w:tcBorders>
              <w:top w:val="nil"/>
              <w:left w:val="nil"/>
              <w:bottom w:val="single" w:sz="4" w:space="0" w:color="auto"/>
              <w:right w:val="single" w:sz="4" w:space="0" w:color="auto"/>
            </w:tcBorders>
            <w:noWrap/>
            <w:vAlign w:val="center"/>
            <w:hideMark/>
          </w:tcPr>
          <w:p w14:paraId="4AD1D67D"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9.417 </w:t>
            </w:r>
          </w:p>
        </w:tc>
      </w:tr>
      <w:tr w:rsidR="00DE72E4" w14:paraId="7E16271F"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7A414659"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Ibagué</w:t>
            </w:r>
          </w:p>
        </w:tc>
        <w:tc>
          <w:tcPr>
            <w:tcW w:w="2552" w:type="dxa"/>
            <w:tcBorders>
              <w:top w:val="nil"/>
              <w:left w:val="nil"/>
              <w:bottom w:val="single" w:sz="4" w:space="0" w:color="auto"/>
              <w:right w:val="single" w:sz="4" w:space="0" w:color="auto"/>
            </w:tcBorders>
            <w:noWrap/>
            <w:vAlign w:val="center"/>
            <w:hideMark/>
          </w:tcPr>
          <w:p w14:paraId="3534C609"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12.118 </w:t>
            </w:r>
          </w:p>
        </w:tc>
        <w:tc>
          <w:tcPr>
            <w:tcW w:w="2529" w:type="dxa"/>
            <w:tcBorders>
              <w:top w:val="nil"/>
              <w:left w:val="nil"/>
              <w:bottom w:val="single" w:sz="4" w:space="0" w:color="auto"/>
              <w:right w:val="single" w:sz="4" w:space="0" w:color="auto"/>
            </w:tcBorders>
            <w:noWrap/>
            <w:vAlign w:val="center"/>
            <w:hideMark/>
          </w:tcPr>
          <w:p w14:paraId="449E0AEE"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9.348 </w:t>
            </w:r>
          </w:p>
        </w:tc>
      </w:tr>
      <w:tr w:rsidR="00DE72E4" w14:paraId="59223983"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32E7C839"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Pasto</w:t>
            </w:r>
          </w:p>
        </w:tc>
        <w:tc>
          <w:tcPr>
            <w:tcW w:w="2552" w:type="dxa"/>
            <w:tcBorders>
              <w:top w:val="nil"/>
              <w:left w:val="nil"/>
              <w:bottom w:val="single" w:sz="4" w:space="0" w:color="auto"/>
              <w:right w:val="single" w:sz="4" w:space="0" w:color="auto"/>
            </w:tcBorders>
            <w:noWrap/>
            <w:vAlign w:val="center"/>
            <w:hideMark/>
          </w:tcPr>
          <w:p w14:paraId="00F90535"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9.916 </w:t>
            </w:r>
          </w:p>
        </w:tc>
        <w:tc>
          <w:tcPr>
            <w:tcW w:w="2529" w:type="dxa"/>
            <w:tcBorders>
              <w:top w:val="nil"/>
              <w:left w:val="nil"/>
              <w:bottom w:val="single" w:sz="4" w:space="0" w:color="auto"/>
              <w:right w:val="single" w:sz="4" w:space="0" w:color="auto"/>
            </w:tcBorders>
            <w:noWrap/>
            <w:vAlign w:val="center"/>
            <w:hideMark/>
          </w:tcPr>
          <w:p w14:paraId="6C497534"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8.396 </w:t>
            </w:r>
          </w:p>
        </w:tc>
      </w:tr>
      <w:tr w:rsidR="00DE72E4" w14:paraId="14560236" w14:textId="77777777" w:rsidTr="00DE72E4">
        <w:trPr>
          <w:trHeight w:val="340"/>
          <w:jc w:val="center"/>
        </w:trPr>
        <w:tc>
          <w:tcPr>
            <w:tcW w:w="3402" w:type="dxa"/>
            <w:tcBorders>
              <w:top w:val="nil"/>
              <w:left w:val="single" w:sz="4" w:space="0" w:color="auto"/>
              <w:bottom w:val="single" w:sz="4" w:space="0" w:color="auto"/>
              <w:right w:val="single" w:sz="4" w:space="0" w:color="auto"/>
            </w:tcBorders>
            <w:noWrap/>
            <w:vAlign w:val="center"/>
            <w:hideMark/>
          </w:tcPr>
          <w:p w14:paraId="11053215"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Cúcuta</w:t>
            </w:r>
          </w:p>
        </w:tc>
        <w:tc>
          <w:tcPr>
            <w:tcW w:w="2552" w:type="dxa"/>
            <w:tcBorders>
              <w:top w:val="nil"/>
              <w:left w:val="nil"/>
              <w:bottom w:val="single" w:sz="4" w:space="0" w:color="auto"/>
              <w:right w:val="single" w:sz="4" w:space="0" w:color="auto"/>
            </w:tcBorders>
            <w:noWrap/>
            <w:vAlign w:val="center"/>
            <w:hideMark/>
          </w:tcPr>
          <w:p w14:paraId="0F5EFACA"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10.225 </w:t>
            </w:r>
          </w:p>
        </w:tc>
        <w:tc>
          <w:tcPr>
            <w:tcW w:w="2529" w:type="dxa"/>
            <w:tcBorders>
              <w:top w:val="nil"/>
              <w:left w:val="nil"/>
              <w:bottom w:val="single" w:sz="4" w:space="0" w:color="auto"/>
              <w:right w:val="single" w:sz="4" w:space="0" w:color="auto"/>
            </w:tcBorders>
            <w:noWrap/>
            <w:vAlign w:val="center"/>
            <w:hideMark/>
          </w:tcPr>
          <w:p w14:paraId="49C7E2D6"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7.089 </w:t>
            </w:r>
          </w:p>
        </w:tc>
      </w:tr>
      <w:tr w:rsidR="00DE72E4" w14:paraId="21A7F4BE" w14:textId="77777777" w:rsidTr="00DE72E4">
        <w:trPr>
          <w:trHeight w:val="567"/>
          <w:jc w:val="center"/>
        </w:trPr>
        <w:tc>
          <w:tcPr>
            <w:tcW w:w="3402" w:type="dxa"/>
            <w:tcBorders>
              <w:top w:val="nil"/>
              <w:left w:val="single" w:sz="4" w:space="0" w:color="auto"/>
              <w:bottom w:val="single" w:sz="4" w:space="0" w:color="auto"/>
              <w:right w:val="single" w:sz="4" w:space="0" w:color="auto"/>
            </w:tcBorders>
            <w:shd w:val="clear" w:color="auto" w:fill="DEEAF6"/>
            <w:vAlign w:val="center"/>
            <w:hideMark/>
          </w:tcPr>
          <w:p w14:paraId="429F9C9F" w14:textId="77777777" w:rsidR="00DE72E4" w:rsidRDefault="00DE72E4">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 xml:space="preserve">Promedio PVP precio </w:t>
            </w:r>
            <w:r>
              <w:rPr>
                <w:rFonts w:eastAsia="Times New Roman" w:cs="Arial"/>
                <w:color w:val="000000"/>
                <w:sz w:val="18"/>
                <w:szCs w:val="18"/>
                <w:lang w:eastAsia="es-CO"/>
              </w:rPr>
              <w:br/>
            </w:r>
            <w:r>
              <w:rPr>
                <w:rFonts w:eastAsia="Times New Roman" w:cs="Arial"/>
                <w:b/>
                <w:bCs/>
                <w:color w:val="000000"/>
                <w:sz w:val="18"/>
                <w:szCs w:val="18"/>
                <w:lang w:eastAsia="es-CO"/>
              </w:rPr>
              <w:t>(13 ciudades principales)</w:t>
            </w:r>
          </w:p>
        </w:tc>
        <w:tc>
          <w:tcPr>
            <w:tcW w:w="2552" w:type="dxa"/>
            <w:tcBorders>
              <w:top w:val="nil"/>
              <w:left w:val="nil"/>
              <w:bottom w:val="single" w:sz="4" w:space="0" w:color="auto"/>
              <w:right w:val="single" w:sz="4" w:space="0" w:color="auto"/>
            </w:tcBorders>
            <w:shd w:val="clear" w:color="auto" w:fill="DEEAF6"/>
            <w:noWrap/>
            <w:vAlign w:val="center"/>
            <w:hideMark/>
          </w:tcPr>
          <w:p w14:paraId="004852C9" w14:textId="77777777" w:rsidR="00DE72E4" w:rsidRDefault="00DE72E4">
            <w:pPr>
              <w:spacing w:before="0" w:after="0" w:line="240" w:lineRule="auto"/>
              <w:rPr>
                <w:rFonts w:eastAsia="Times New Roman" w:cs="Arial"/>
                <w:b/>
                <w:bCs/>
                <w:color w:val="000000"/>
                <w:sz w:val="18"/>
                <w:szCs w:val="18"/>
                <w:lang w:eastAsia="es-CO"/>
              </w:rPr>
            </w:pPr>
            <w:r>
              <w:rPr>
                <w:rFonts w:eastAsia="Times New Roman" w:cs="Arial"/>
                <w:b/>
                <w:bCs/>
                <w:color w:val="000000"/>
                <w:sz w:val="18"/>
                <w:szCs w:val="18"/>
                <w:lang w:eastAsia="es-CO"/>
              </w:rPr>
              <w:t xml:space="preserve">11.767 </w:t>
            </w:r>
          </w:p>
        </w:tc>
        <w:tc>
          <w:tcPr>
            <w:tcW w:w="2529" w:type="dxa"/>
            <w:tcBorders>
              <w:top w:val="nil"/>
              <w:left w:val="nil"/>
              <w:bottom w:val="single" w:sz="4" w:space="0" w:color="auto"/>
              <w:right w:val="single" w:sz="4" w:space="0" w:color="auto"/>
            </w:tcBorders>
            <w:shd w:val="clear" w:color="auto" w:fill="DEEAF6"/>
            <w:noWrap/>
            <w:vAlign w:val="center"/>
            <w:hideMark/>
          </w:tcPr>
          <w:p w14:paraId="719CA662" w14:textId="77777777" w:rsidR="00DE72E4" w:rsidRDefault="00DE72E4">
            <w:pPr>
              <w:spacing w:before="0" w:after="0" w:line="240" w:lineRule="auto"/>
              <w:rPr>
                <w:rFonts w:eastAsia="Times New Roman" w:cs="Arial"/>
                <w:b/>
                <w:bCs/>
                <w:color w:val="000000"/>
                <w:sz w:val="18"/>
                <w:szCs w:val="18"/>
                <w:lang w:eastAsia="es-CO"/>
              </w:rPr>
            </w:pPr>
            <w:r>
              <w:rPr>
                <w:rFonts w:eastAsia="Times New Roman" w:cs="Arial"/>
                <w:b/>
                <w:bCs/>
                <w:color w:val="000000"/>
                <w:sz w:val="18"/>
                <w:szCs w:val="18"/>
                <w:lang w:eastAsia="es-CO"/>
              </w:rPr>
              <w:t xml:space="preserve">9.065 </w:t>
            </w:r>
          </w:p>
        </w:tc>
      </w:tr>
    </w:tbl>
    <w:p w14:paraId="4364D78B" w14:textId="77777777" w:rsidR="00DE72E4" w:rsidRDefault="00DE72E4" w:rsidP="00DE72E4">
      <w:pPr>
        <w:spacing w:before="0" w:after="0"/>
        <w:jc w:val="both"/>
        <w:rPr>
          <w:rFonts w:ascii="Arial" w:eastAsia="Arial" w:hAnsi="Arial" w:cs="Arial"/>
        </w:rPr>
      </w:pPr>
    </w:p>
    <w:p w14:paraId="55DAC443" w14:textId="77777777" w:rsidR="005603E3" w:rsidRDefault="005603E3" w:rsidP="006B267E">
      <w:pPr>
        <w:spacing w:before="0" w:after="0"/>
        <w:rPr>
          <w:rFonts w:asciiTheme="majorHAnsi" w:hAnsiTheme="majorHAnsi" w:cstheme="majorHAnsi"/>
        </w:rPr>
      </w:pPr>
    </w:p>
    <w:p w14:paraId="75A99A29" w14:textId="77777777" w:rsidR="00284F91" w:rsidRDefault="00284F91">
      <w:pPr>
        <w:spacing w:before="0" w:after="0"/>
        <w:rPr>
          <w:rFonts w:asciiTheme="majorHAnsi" w:hAnsiTheme="majorHAnsi" w:cstheme="majorHAnsi"/>
          <w:b/>
          <w:bCs/>
        </w:rPr>
      </w:pPr>
      <w:r>
        <w:rPr>
          <w:rFonts w:asciiTheme="majorHAnsi" w:hAnsiTheme="majorHAnsi" w:cstheme="majorHAnsi"/>
          <w:b/>
          <w:bCs/>
        </w:rPr>
        <w:br w:type="page"/>
      </w:r>
    </w:p>
    <w:p w14:paraId="345084AE" w14:textId="77777777" w:rsidR="00652AA7" w:rsidRDefault="00652AA7" w:rsidP="00652AA7">
      <w:pPr>
        <w:autoSpaceDE w:val="0"/>
        <w:autoSpaceDN w:val="0"/>
        <w:adjustRightInd w:val="0"/>
        <w:spacing w:before="0" w:after="0"/>
        <w:rPr>
          <w:rFonts w:asciiTheme="majorHAnsi" w:hAnsiTheme="majorHAnsi" w:cstheme="majorHAnsi"/>
          <w:b/>
          <w:bCs/>
          <w:highlight w:val="yellow"/>
        </w:rPr>
      </w:pPr>
      <w:r>
        <w:rPr>
          <w:rFonts w:asciiTheme="majorHAnsi" w:hAnsiTheme="majorHAnsi" w:cstheme="majorHAnsi"/>
          <w:b/>
          <w:bCs/>
        </w:rPr>
        <w:lastRenderedPageBreak/>
        <w:t>Documento técnico de la estructura de precios de gasolina motor corriente y ACPM, así como de sus respectivas mezclas con biocombustibles, en virtud de lo establecido en la Resolución MME 40112 del 12 de abril de 2021, la Resolución CREG 104 001 de 2022 y demás modificatorias que regirán a partir del 3 de mayo del 2023.</w:t>
      </w:r>
      <w:r>
        <w:rPr>
          <w:rFonts w:asciiTheme="majorHAnsi" w:hAnsiTheme="majorHAnsi" w:cstheme="majorHAnsi"/>
          <w:b/>
          <w:bCs/>
        </w:rPr>
        <w:fldChar w:fldCharType="begin"/>
      </w:r>
      <w:r>
        <w:rPr>
          <w:rFonts w:asciiTheme="majorHAnsi" w:hAnsiTheme="majorHAnsi" w:cstheme="majorHAnsi"/>
          <w:b/>
          <w:bCs/>
        </w:rPr>
        <w:instrText xml:space="preserve"> LINK Excel.SheetMacroEnabled.12 "D:\\CREG\\Regulación - Combustibles Líquidos - CL-Precios\\Publicación de precios\\Publicaciones CREG\\Febrero 2022\\0. Estructura precios CL (Febrero2022) v1.xlsm" "Parámetros documento técnico!F8C2" \a \f 5 \h  \* MERGEFORMAT </w:instrText>
      </w:r>
      <w:r w:rsidR="00000000">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LINK Excel.SheetMacroEnabled.12 "D:\\CREG\\Regulación - Combustibles Líquidos - CL-Precios\\Publicación de precios\\Publicaciones CREG\\Febrero 2022\\0. Estructura precios CL (Febrero2022) v1.xlsm" Contenido!F1C3 \a \f 5 \h  \* MERGEFORMAT </w:instrText>
      </w:r>
      <w:r>
        <w:rPr>
          <w:rFonts w:asciiTheme="majorHAnsi" w:hAnsiTheme="majorHAnsi" w:cstheme="majorHAnsi"/>
          <w:b/>
          <w:bCs/>
        </w:rPr>
        <w:fldChar w:fldCharType="separate"/>
      </w:r>
    </w:p>
    <w:p w14:paraId="0FFEC8B4" w14:textId="77777777" w:rsidR="00652AA7" w:rsidRDefault="00652AA7" w:rsidP="00652AA7">
      <w:pPr>
        <w:autoSpaceDE w:val="0"/>
        <w:autoSpaceDN w:val="0"/>
        <w:adjustRightInd w:val="0"/>
        <w:spacing w:before="0" w:after="0"/>
        <w:rPr>
          <w:rFonts w:asciiTheme="majorHAnsi" w:hAnsiTheme="majorHAnsi" w:cstheme="majorHAnsi"/>
          <w:b/>
          <w:bCs/>
        </w:rPr>
      </w:pPr>
      <w:r>
        <w:rPr>
          <w:rFonts w:asciiTheme="majorHAnsi" w:hAnsiTheme="majorHAnsi" w:cstheme="majorHAnsi"/>
          <w:b/>
          <w:bCs/>
        </w:rPr>
        <w:fldChar w:fldCharType="end"/>
      </w:r>
    </w:p>
    <w:p w14:paraId="3C664B6D" w14:textId="3AAA44D0" w:rsidR="00652AA7" w:rsidRDefault="00652AA7" w:rsidP="00652AA7">
      <w:pPr>
        <w:autoSpaceDE w:val="0"/>
        <w:autoSpaceDN w:val="0"/>
        <w:adjustRightInd w:val="0"/>
        <w:spacing w:before="0" w:after="0"/>
        <w:rPr>
          <w:rFonts w:asciiTheme="majorHAnsi" w:hAnsiTheme="majorHAnsi" w:cstheme="majorHAnsi"/>
        </w:rPr>
      </w:pPr>
      <w:r>
        <w:rPr>
          <w:rFonts w:asciiTheme="majorHAnsi" w:hAnsiTheme="majorHAnsi" w:cstheme="majorHAnsi"/>
        </w:rPr>
        <w:t xml:space="preserve">La Comisión de Regulación de Energía y Gas (CREG) de conformidad con lo establecido en el artículo 1º de </w:t>
      </w:r>
      <w:r w:rsidRPr="00247E7C">
        <w:rPr>
          <w:rFonts w:asciiTheme="majorHAnsi" w:hAnsiTheme="majorHAnsi" w:cstheme="majorHAnsi"/>
        </w:rPr>
        <w:t xml:space="preserve">la Resolución </w:t>
      </w:r>
      <w:r w:rsidR="00247E7C" w:rsidRPr="00247E7C">
        <w:rPr>
          <w:rFonts w:asciiTheme="majorHAnsi" w:hAnsiTheme="majorHAnsi" w:cstheme="majorHAnsi"/>
        </w:rPr>
        <w:t>40345 del 2023</w:t>
      </w:r>
      <w:r w:rsidRPr="00247E7C">
        <w:rPr>
          <w:rFonts w:asciiTheme="majorHAnsi" w:hAnsiTheme="majorHAnsi" w:cstheme="majorHAnsi"/>
        </w:rPr>
        <w:t>, informa que, a partir del 3</w:t>
      </w:r>
      <w:r>
        <w:rPr>
          <w:rFonts w:asciiTheme="majorHAnsi" w:hAnsiTheme="majorHAnsi" w:cstheme="majorHAnsi"/>
        </w:rPr>
        <w:t xml:space="preserve"> de mayo del 2023, el Ingreso al Productor previsto en la estructura de precios de la gasolina motor corriente será de siete mil doscientos setenta y nueve pesos con cuarenta y dos centavos ($7.279,42) M/Cte. por galón.</w:t>
      </w:r>
    </w:p>
    <w:p w14:paraId="3B686A9E" w14:textId="77777777" w:rsidR="00652AA7" w:rsidRDefault="00652AA7" w:rsidP="00652AA7">
      <w:pPr>
        <w:autoSpaceDE w:val="0"/>
        <w:autoSpaceDN w:val="0"/>
        <w:adjustRightInd w:val="0"/>
        <w:spacing w:before="0" w:after="0"/>
        <w:rPr>
          <w:rFonts w:asciiTheme="majorHAnsi" w:hAnsiTheme="majorHAnsi" w:cstheme="majorHAnsi"/>
        </w:rPr>
      </w:pPr>
    </w:p>
    <w:p w14:paraId="2FCEF6F5" w14:textId="049327E5" w:rsidR="00652AA7" w:rsidRDefault="00652AA7" w:rsidP="00652AA7">
      <w:pPr>
        <w:autoSpaceDE w:val="0"/>
        <w:autoSpaceDN w:val="0"/>
        <w:adjustRightInd w:val="0"/>
        <w:spacing w:before="0" w:after="0"/>
        <w:rPr>
          <w:rFonts w:asciiTheme="majorHAnsi" w:hAnsiTheme="majorHAnsi" w:cstheme="majorHAnsi"/>
        </w:rPr>
      </w:pPr>
      <w:r>
        <w:rPr>
          <w:rFonts w:asciiTheme="majorHAnsi" w:hAnsiTheme="majorHAnsi" w:cstheme="majorHAnsi"/>
        </w:rPr>
        <w:t xml:space="preserve">Así mismo, y según lo establecido en el artículo 2º de la </w:t>
      </w:r>
      <w:r w:rsidR="00247E7C" w:rsidRPr="00247E7C">
        <w:rPr>
          <w:rFonts w:asciiTheme="majorHAnsi" w:hAnsiTheme="majorHAnsi" w:cstheme="majorHAnsi"/>
        </w:rPr>
        <w:t>Resolución 40345 del 2023</w:t>
      </w:r>
      <w:r>
        <w:rPr>
          <w:rFonts w:asciiTheme="majorHAnsi" w:hAnsiTheme="majorHAnsi" w:cstheme="majorHAnsi"/>
        </w:rPr>
        <w:t xml:space="preserve">, se informa que, a partir del </w:t>
      </w:r>
      <w:r w:rsidRPr="000F1F7B">
        <w:rPr>
          <w:rFonts w:asciiTheme="majorHAnsi" w:hAnsiTheme="majorHAnsi" w:cstheme="majorHAnsi"/>
        </w:rPr>
        <w:t>3 de mayo del 2023, el</w:t>
      </w:r>
      <w:r>
        <w:rPr>
          <w:rFonts w:asciiTheme="majorHAnsi" w:hAnsiTheme="majorHAnsi" w:cstheme="majorHAnsi"/>
        </w:rPr>
        <w:t xml:space="preserve"> Ingreso al Productor previsto en la estructura de precios del ACPM será de cuatro mil quinientos sesenta y ocho pesos con cuarenta y dos centavos ($4.568,42) M/Cte. por galón.</w:t>
      </w:r>
    </w:p>
    <w:p w14:paraId="31E4DA64" w14:textId="77777777" w:rsidR="00652AA7" w:rsidRDefault="00652AA7" w:rsidP="00652AA7">
      <w:pPr>
        <w:autoSpaceDE w:val="0"/>
        <w:autoSpaceDN w:val="0"/>
        <w:adjustRightInd w:val="0"/>
        <w:spacing w:before="0" w:after="0"/>
        <w:rPr>
          <w:rFonts w:asciiTheme="majorHAnsi" w:hAnsiTheme="majorHAnsi" w:cstheme="majorHAnsi"/>
        </w:rPr>
      </w:pPr>
    </w:p>
    <w:p w14:paraId="339AE973" w14:textId="29E7BB74" w:rsidR="00652AA7" w:rsidRDefault="00652AA7" w:rsidP="00652AA7">
      <w:pPr>
        <w:autoSpaceDE w:val="0"/>
        <w:autoSpaceDN w:val="0"/>
        <w:adjustRightInd w:val="0"/>
        <w:spacing w:before="0" w:after="0"/>
        <w:rPr>
          <w:rFonts w:asciiTheme="majorHAnsi" w:hAnsiTheme="majorHAnsi" w:cstheme="majorHAnsi"/>
        </w:rPr>
      </w:pPr>
      <w:r>
        <w:rPr>
          <w:rFonts w:asciiTheme="majorHAnsi" w:hAnsiTheme="majorHAnsi" w:cstheme="majorHAnsi"/>
        </w:rPr>
        <w:t xml:space="preserve">Además, conforme la </w:t>
      </w:r>
      <w:r w:rsidR="000F1F7B" w:rsidRPr="00247E7C">
        <w:rPr>
          <w:rFonts w:asciiTheme="majorHAnsi" w:hAnsiTheme="majorHAnsi" w:cstheme="majorHAnsi"/>
        </w:rPr>
        <w:t>Resolución 4034</w:t>
      </w:r>
      <w:r w:rsidR="000F1F7B">
        <w:rPr>
          <w:rFonts w:asciiTheme="majorHAnsi" w:hAnsiTheme="majorHAnsi" w:cstheme="majorHAnsi"/>
        </w:rPr>
        <w:t>6</w:t>
      </w:r>
      <w:r w:rsidR="000F1F7B" w:rsidRPr="00247E7C">
        <w:rPr>
          <w:rFonts w:asciiTheme="majorHAnsi" w:hAnsiTheme="majorHAnsi" w:cstheme="majorHAnsi"/>
        </w:rPr>
        <w:t xml:space="preserve"> del 2023</w:t>
      </w:r>
      <w:r>
        <w:rPr>
          <w:rFonts w:asciiTheme="majorHAnsi" w:hAnsiTheme="majorHAnsi" w:cstheme="majorHAnsi"/>
        </w:rPr>
        <w:t xml:space="preserve">, el ingreso al productor del alcohol carburante que regirá a </w:t>
      </w:r>
      <w:r w:rsidRPr="000F1F7B">
        <w:rPr>
          <w:rFonts w:asciiTheme="majorHAnsi" w:hAnsiTheme="majorHAnsi" w:cstheme="majorHAnsi"/>
        </w:rPr>
        <w:t>partir del 3 de</w:t>
      </w:r>
      <w:r>
        <w:rPr>
          <w:rFonts w:asciiTheme="majorHAnsi" w:hAnsiTheme="majorHAnsi" w:cstheme="majorHAnsi"/>
        </w:rPr>
        <w:t xml:space="preserve"> mayo del 2023 será de catorce mil ciento setenta y ocho pesos con cincuenta y cuatro centavos ($14.178,54) M/Cte. por galón. Por su parte, de acuerdo con la </w:t>
      </w:r>
      <w:r w:rsidR="000F1F7B" w:rsidRPr="00247E7C">
        <w:rPr>
          <w:rFonts w:asciiTheme="majorHAnsi" w:hAnsiTheme="majorHAnsi" w:cstheme="majorHAnsi"/>
        </w:rPr>
        <w:t>Resolución 4034</w:t>
      </w:r>
      <w:r w:rsidR="000F1F7B">
        <w:rPr>
          <w:rFonts w:asciiTheme="majorHAnsi" w:hAnsiTheme="majorHAnsi" w:cstheme="majorHAnsi"/>
        </w:rPr>
        <w:t>6</w:t>
      </w:r>
      <w:r w:rsidR="000F1F7B" w:rsidRPr="00247E7C">
        <w:rPr>
          <w:rFonts w:asciiTheme="majorHAnsi" w:hAnsiTheme="majorHAnsi" w:cstheme="majorHAnsi"/>
        </w:rPr>
        <w:t xml:space="preserve"> del 2023</w:t>
      </w:r>
      <w:r>
        <w:rPr>
          <w:rFonts w:asciiTheme="majorHAnsi" w:hAnsiTheme="majorHAnsi" w:cstheme="majorHAnsi"/>
        </w:rPr>
        <w:t>, el ingreso al productor del biocombustible para uso en motores diésel será de dieciocho mil novecientos ochenta y cinco pesos con sesenta y dos centavos ($18.985,62) M/Cte. por galón para la misma vigencia.</w:t>
      </w:r>
    </w:p>
    <w:p w14:paraId="58FAA051" w14:textId="77777777" w:rsidR="00652AA7" w:rsidRDefault="00652AA7" w:rsidP="00652AA7">
      <w:pPr>
        <w:autoSpaceDE w:val="0"/>
        <w:autoSpaceDN w:val="0"/>
        <w:adjustRightInd w:val="0"/>
        <w:spacing w:before="0" w:after="0"/>
        <w:rPr>
          <w:rFonts w:asciiTheme="majorHAnsi" w:hAnsiTheme="majorHAnsi" w:cstheme="majorHAnsi"/>
        </w:rPr>
      </w:pPr>
    </w:p>
    <w:p w14:paraId="21E51E77" w14:textId="77777777" w:rsidR="00652AA7" w:rsidRDefault="00652AA7" w:rsidP="00652AA7">
      <w:pPr>
        <w:autoSpaceDE w:val="0"/>
        <w:autoSpaceDN w:val="0"/>
        <w:adjustRightInd w:val="0"/>
        <w:spacing w:before="0" w:after="0"/>
        <w:rPr>
          <w:rFonts w:asciiTheme="majorHAnsi" w:hAnsiTheme="majorHAnsi" w:cstheme="majorHAnsi"/>
        </w:rPr>
      </w:pPr>
      <w:r>
        <w:rPr>
          <w:rFonts w:asciiTheme="majorHAnsi" w:hAnsiTheme="majorHAnsi" w:cstheme="majorHAnsi"/>
        </w:rPr>
        <w:t xml:space="preserve">Por otra parte, y conforme con la Ley 2093 del 29 de junio de 2021, deben considerarse los valores allí señalados como base gravable y tarifa para el cálculo de la sobretasa de la gasolina motor corriente y del ACPM-Diésel. En dicho sentido, a continuación, se </w:t>
      </w:r>
      <w:r>
        <w:rPr>
          <w:rFonts w:asciiTheme="majorHAnsi" w:hAnsiTheme="majorHAnsi" w:cstheme="majorHAnsi"/>
        </w:rPr>
        <w:lastRenderedPageBreak/>
        <w:t>detallan los diferentes ítems que conforman la estructura de precios de referencia para la gasolina motor corriente, gasolina motor corriente oxigenada, ACPM y ACPM con mezcla de biocombustible para uso en motores diésel, bajo el régimen de libertad regulada y en virtud de la Resolución 40112 del 12 de abril del 2021.</w:t>
      </w:r>
    </w:p>
    <w:p w14:paraId="6DCE894E" w14:textId="77777777" w:rsidR="00652AA7" w:rsidRDefault="00652AA7" w:rsidP="00652AA7">
      <w:pPr>
        <w:autoSpaceDE w:val="0"/>
        <w:autoSpaceDN w:val="0"/>
        <w:adjustRightInd w:val="0"/>
        <w:spacing w:before="0" w:after="0"/>
        <w:rPr>
          <w:rFonts w:asciiTheme="majorHAnsi" w:hAnsiTheme="majorHAnsi" w:cstheme="majorHAnsi"/>
        </w:rPr>
      </w:pPr>
    </w:p>
    <w:p w14:paraId="27765984" w14:textId="77777777" w:rsidR="00652AA7" w:rsidRDefault="00652AA7" w:rsidP="00652AA7">
      <w:pPr>
        <w:autoSpaceDE w:val="0"/>
        <w:autoSpaceDN w:val="0"/>
        <w:adjustRightInd w:val="0"/>
        <w:spacing w:before="0" w:after="0"/>
        <w:rPr>
          <w:rFonts w:asciiTheme="majorHAnsi" w:hAnsiTheme="majorHAnsi" w:cstheme="majorHAnsi"/>
        </w:rPr>
      </w:pPr>
      <w:r>
        <w:rPr>
          <w:rFonts w:asciiTheme="majorHAnsi" w:hAnsiTheme="majorHAnsi" w:cstheme="majorHAnsi"/>
        </w:rPr>
        <w:t>Finalmente, según lo establecido en los artículos 183, 218, 219, 220, 221, 222 de la ley 1819 del 29 de diciembre de 2016, se incorporan componentes a la estructura de precios de la gasolina motor corriente, gasolina motor corriente oxigenada, ACPM y de la mezcla ACPM con biocombustible para uso en motores diésel.</w:t>
      </w:r>
    </w:p>
    <w:p w14:paraId="0254F140" w14:textId="77777777" w:rsidR="00652AA7" w:rsidRDefault="00652AA7" w:rsidP="00652AA7">
      <w:pPr>
        <w:autoSpaceDE w:val="0"/>
        <w:autoSpaceDN w:val="0"/>
        <w:adjustRightInd w:val="0"/>
        <w:spacing w:before="0" w:after="0"/>
        <w:rPr>
          <w:rFonts w:asciiTheme="majorHAnsi" w:hAnsiTheme="majorHAnsi" w:cstheme="majorHAnsi"/>
        </w:rPr>
      </w:pPr>
    </w:p>
    <w:p w14:paraId="0FB7E4FE" w14:textId="77777777" w:rsidR="00652AA7" w:rsidRDefault="00652AA7" w:rsidP="00652AA7">
      <w:pPr>
        <w:pStyle w:val="Textoindependiente"/>
        <w:spacing w:after="0" w:line="360" w:lineRule="auto"/>
        <w:jc w:val="left"/>
        <w:rPr>
          <w:rFonts w:asciiTheme="majorHAnsi" w:hAnsiTheme="majorHAnsi" w:cstheme="majorHAnsi"/>
          <w:b/>
          <w:bCs/>
          <w:sz w:val="24"/>
          <w:szCs w:val="24"/>
          <w:u w:val="single"/>
        </w:rPr>
      </w:pPr>
      <w:r>
        <w:rPr>
          <w:rFonts w:asciiTheme="majorHAnsi" w:hAnsiTheme="majorHAnsi" w:cstheme="majorHAnsi"/>
          <w:b/>
          <w:bCs/>
          <w:sz w:val="24"/>
          <w:szCs w:val="24"/>
          <w:u w:val="single"/>
        </w:rPr>
        <w:t>GASOLINA MOTOR CORRIENTE</w:t>
      </w:r>
    </w:p>
    <w:p w14:paraId="1CD8955B" w14:textId="77777777" w:rsidR="00652AA7" w:rsidRDefault="00652AA7" w:rsidP="00652AA7">
      <w:pPr>
        <w:pStyle w:val="Textoindependiente"/>
        <w:spacing w:before="0" w:after="0"/>
        <w:jc w:val="left"/>
        <w:rPr>
          <w:rFonts w:asciiTheme="majorHAnsi" w:hAnsiTheme="majorHAnsi" w:cstheme="majorHAnsi"/>
          <w:b/>
          <w:bCs/>
        </w:rPr>
      </w:pPr>
    </w:p>
    <w:tbl>
      <w:tblPr>
        <w:tblStyle w:val="Tablaconcuadrcula"/>
        <w:tblW w:w="9375"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938"/>
        <w:gridCol w:w="2437"/>
      </w:tblGrid>
      <w:tr w:rsidR="00652AA7" w14:paraId="4A9FB4E4" w14:textId="77777777" w:rsidTr="00652AA7">
        <w:trPr>
          <w:trHeight w:val="567"/>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BE68D90"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Estructura de precio gasolina motor corriente</w:t>
            </w:r>
          </w:p>
          <w:p w14:paraId="16D1AE6C"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(Pesos por galón)</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hideMark/>
          </w:tcPr>
          <w:p w14:paraId="051D284D"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Componentes</w:t>
            </w:r>
          </w:p>
        </w:tc>
      </w:tr>
      <w:tr w:rsidR="00652AA7" w14:paraId="6675B208"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BEB5B07"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1. Ingreso al productor</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3F101155"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7.279,42 </w:t>
            </w:r>
          </w:p>
        </w:tc>
      </w:tr>
      <w:tr w:rsidR="00652AA7" w14:paraId="3DAFDE57"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C3BDA09"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2. Impuesto nacional </w:t>
            </w:r>
            <w:r>
              <w:rPr>
                <w:rFonts w:asciiTheme="majorHAnsi" w:hAnsiTheme="majorHAnsi" w:cstheme="majorHAnsi"/>
                <w:b/>
                <w:bCs/>
                <w:sz w:val="18"/>
                <w:szCs w:val="18"/>
              </w:rPr>
              <w: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F287226"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663,16 </w:t>
            </w:r>
          </w:p>
        </w:tc>
      </w:tr>
      <w:tr w:rsidR="00652AA7" w14:paraId="33CF80C3"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EF194D6"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3. IVA del fósil</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4E7986E"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(b)</w:t>
            </w:r>
          </w:p>
        </w:tc>
      </w:tr>
      <w:tr w:rsidR="00652AA7" w14:paraId="3E1BA553"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A8B99A6"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4. Impuesto al carbono </w:t>
            </w:r>
            <w:r>
              <w:rPr>
                <w:rFonts w:asciiTheme="majorHAnsi" w:hAnsiTheme="majorHAnsi" w:cstheme="majorHAnsi"/>
                <w:b/>
                <w:bCs/>
                <w:sz w:val="18"/>
                <w:szCs w:val="18"/>
              </w:rPr>
              <w:t>(c)</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89242DC"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169,00 </w:t>
            </w:r>
          </w:p>
        </w:tc>
      </w:tr>
      <w:tr w:rsidR="00652AA7" w14:paraId="3DB4D664"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5A22BDB"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5. Tarifa de marcación</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9794E11"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8,89 </w:t>
            </w:r>
          </w:p>
        </w:tc>
      </w:tr>
      <w:tr w:rsidR="00652AA7" w14:paraId="5C18B8F1"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D9189AD"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6. Tarifa de transporte por poliductos</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35B9966"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(d)</w:t>
            </w:r>
          </w:p>
        </w:tc>
      </w:tr>
      <w:tr w:rsidR="00652AA7" w14:paraId="6E3F1DE9"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3B7BDC0E"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7. Precio máximo de venta al distribuidor mayorista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9B5CB26"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(f)</w:t>
            </w:r>
          </w:p>
        </w:tc>
      </w:tr>
      <w:tr w:rsidR="00652AA7" w14:paraId="00C56FA5"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66B5AD3"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8. Margen al distribuidor mayorista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F8808C6"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(g)</w:t>
            </w:r>
          </w:p>
        </w:tc>
      </w:tr>
      <w:tr w:rsidR="00652AA7" w14:paraId="1F9D2905"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58CD02"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9. IVA sobre el margen al distribuidor mayorista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6BD84D1"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(h)</w:t>
            </w:r>
          </w:p>
        </w:tc>
      </w:tr>
      <w:tr w:rsidR="00652AA7" w14:paraId="220FE07E"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B3B73F0"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10. Sobretasa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2DBB732"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1.429,00 </w:t>
            </w:r>
          </w:p>
        </w:tc>
      </w:tr>
      <w:tr w:rsidR="00652AA7" w14:paraId="24D0871F"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562407C1"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11. Precio máximo en planta de abastecimiento mayorista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3F4A69FB"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(i)</w:t>
            </w:r>
          </w:p>
        </w:tc>
      </w:tr>
      <w:tr w:rsidR="00652AA7" w14:paraId="50EB8F4B"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EDC67EE"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12. Margen del distribuidor minorista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88C1418"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(j)</w:t>
            </w:r>
          </w:p>
        </w:tc>
      </w:tr>
      <w:tr w:rsidR="00652AA7" w14:paraId="7D105A37"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E52162"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13. Perdida por evaporación</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C3EB772"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(k)</w:t>
            </w:r>
          </w:p>
        </w:tc>
      </w:tr>
      <w:tr w:rsidR="00652AA7" w14:paraId="784A0B8D"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61ECF5"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14. Transporte de la planta de abastecimiento mayorista a estación</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2CC7250"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(l)</w:t>
            </w:r>
          </w:p>
        </w:tc>
      </w:tr>
      <w:tr w:rsidR="00652AA7" w14:paraId="5BF03FE9" w14:textId="77777777" w:rsidTr="00652AA7">
        <w:trPr>
          <w:trHeight w:val="283"/>
        </w:trPr>
        <w:tc>
          <w:tcPr>
            <w:tcW w:w="6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4BAA0BAC"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15. Precio máximo de venta por galón incluida la sobretasa</w:t>
            </w:r>
          </w:p>
        </w:tc>
        <w:tc>
          <w:tcPr>
            <w:tcW w:w="24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558EA22B"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(m)</w:t>
            </w:r>
          </w:p>
        </w:tc>
      </w:tr>
    </w:tbl>
    <w:p w14:paraId="2AD0A3E3" w14:textId="77777777" w:rsidR="00652AA7" w:rsidRDefault="00652AA7" w:rsidP="00652AA7">
      <w:pPr>
        <w:pStyle w:val="Textoindependiente"/>
        <w:spacing w:before="0" w:after="0"/>
        <w:jc w:val="left"/>
        <w:rPr>
          <w:rFonts w:asciiTheme="majorHAnsi" w:hAnsiTheme="majorHAnsi" w:cstheme="majorHAnsi"/>
          <w:b/>
          <w:bCs/>
        </w:rPr>
      </w:pPr>
    </w:p>
    <w:p w14:paraId="212C17EE" w14:textId="77777777" w:rsidR="00652AA7" w:rsidRDefault="00652AA7" w:rsidP="00652AA7">
      <w:pPr>
        <w:pStyle w:val="Textoindependiente"/>
        <w:spacing w:before="0" w:after="0"/>
        <w:jc w:val="left"/>
        <w:rPr>
          <w:rFonts w:asciiTheme="majorHAnsi" w:hAnsiTheme="majorHAnsi" w:cstheme="majorHAnsi"/>
          <w:b/>
          <w:bCs/>
        </w:rPr>
      </w:pPr>
    </w:p>
    <w:p w14:paraId="294ABDB9" w14:textId="77777777" w:rsidR="009B2081" w:rsidRDefault="009B2081" w:rsidP="00652AA7">
      <w:pPr>
        <w:pStyle w:val="Textoindependiente"/>
        <w:spacing w:before="0" w:after="0"/>
        <w:jc w:val="left"/>
        <w:rPr>
          <w:rFonts w:asciiTheme="majorHAnsi" w:hAnsiTheme="majorHAnsi" w:cstheme="majorHAnsi"/>
          <w:b/>
          <w:bCs/>
        </w:rPr>
      </w:pPr>
    </w:p>
    <w:p w14:paraId="1AF5089C" w14:textId="77777777" w:rsidR="009B2081" w:rsidRDefault="009B2081" w:rsidP="00652AA7">
      <w:pPr>
        <w:pStyle w:val="Textoindependiente"/>
        <w:spacing w:before="0" w:after="0"/>
        <w:jc w:val="left"/>
        <w:rPr>
          <w:rFonts w:asciiTheme="majorHAnsi" w:hAnsiTheme="majorHAnsi" w:cstheme="majorHAnsi"/>
          <w:b/>
          <w:bCs/>
        </w:rPr>
      </w:pPr>
    </w:p>
    <w:p w14:paraId="60143A10" w14:textId="77777777" w:rsidR="009B2081" w:rsidRDefault="009B2081" w:rsidP="00652AA7">
      <w:pPr>
        <w:pStyle w:val="Textoindependiente"/>
        <w:spacing w:before="0" w:after="0"/>
        <w:jc w:val="left"/>
        <w:rPr>
          <w:rFonts w:asciiTheme="majorHAnsi" w:hAnsiTheme="majorHAnsi" w:cstheme="majorHAnsi"/>
          <w:b/>
          <w:bCs/>
        </w:rPr>
      </w:pPr>
    </w:p>
    <w:p w14:paraId="5B523C15" w14:textId="77777777" w:rsidR="009B2081" w:rsidRDefault="009B2081" w:rsidP="00652AA7">
      <w:pPr>
        <w:pStyle w:val="Textoindependiente"/>
        <w:spacing w:before="0" w:after="0"/>
        <w:jc w:val="left"/>
        <w:rPr>
          <w:rFonts w:asciiTheme="majorHAnsi" w:hAnsiTheme="majorHAnsi" w:cstheme="majorHAnsi"/>
          <w:b/>
          <w:bCs/>
        </w:rPr>
      </w:pPr>
    </w:p>
    <w:tbl>
      <w:tblPr>
        <w:tblStyle w:val="Tablaconcuadrcula"/>
        <w:tblW w:w="499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7"/>
        <w:gridCol w:w="2438"/>
      </w:tblGrid>
      <w:tr w:rsidR="00652AA7" w14:paraId="7AA1875D" w14:textId="77777777" w:rsidTr="00652AA7">
        <w:trPr>
          <w:trHeight w:val="567"/>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39EBE7C"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lastRenderedPageBreak/>
              <w:t xml:space="preserve">Estructura de precio gasolina motor corriente oxigenada E4 </w:t>
            </w:r>
          </w:p>
          <w:p w14:paraId="6BFE5749"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(Pesos por Galón)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hideMark/>
          </w:tcPr>
          <w:p w14:paraId="17678D39"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Componentes</w:t>
            </w:r>
          </w:p>
        </w:tc>
      </w:tr>
      <w:tr w:rsidR="00652AA7" w14:paraId="1897B30F"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1D2FBD0"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 Proporción - Ingreso al productor de la Gasolina Motor Corriente (96%)</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6132C4F" w14:textId="77777777" w:rsidR="00652AA7" w:rsidRDefault="00652AA7">
            <w:pPr>
              <w:pStyle w:val="Textoindependiente"/>
              <w:spacing w:before="0" w:after="0"/>
              <w:jc w:val="left"/>
              <w:rPr>
                <w:rFonts w:asciiTheme="majorHAnsi" w:hAnsiTheme="majorHAnsi" w:cstheme="majorHAnsi"/>
                <w:sz w:val="18"/>
                <w:szCs w:val="18"/>
              </w:rPr>
            </w:pPr>
            <w:r>
              <w:rPr>
                <w:sz w:val="18"/>
                <w:szCs w:val="18"/>
              </w:rPr>
              <w:t xml:space="preserve">6.988,24 </w:t>
            </w:r>
          </w:p>
        </w:tc>
      </w:tr>
      <w:tr w:rsidR="00652AA7" w14:paraId="1C9CABF0"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EBD108E"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2. Proporción - Ingreso al productor del Alcohol Carburante (4%)</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630E3B8" w14:textId="77777777" w:rsidR="00652AA7" w:rsidRDefault="00652AA7">
            <w:pPr>
              <w:pStyle w:val="Textoindependiente"/>
              <w:spacing w:before="0" w:after="0"/>
              <w:jc w:val="left"/>
              <w:rPr>
                <w:rFonts w:asciiTheme="majorHAnsi" w:hAnsiTheme="majorHAnsi" w:cstheme="majorHAnsi"/>
                <w:sz w:val="18"/>
                <w:szCs w:val="18"/>
              </w:rPr>
            </w:pPr>
            <w:r>
              <w:rPr>
                <w:sz w:val="18"/>
                <w:szCs w:val="18"/>
              </w:rPr>
              <w:t xml:space="preserve">567,14 </w:t>
            </w:r>
          </w:p>
        </w:tc>
      </w:tr>
      <w:tr w:rsidR="00652AA7" w14:paraId="3E924F29"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417CE277"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3. Ingreso al productor de la Gasolina Motor Corriente Oxigenada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F08C59F" w14:textId="77777777" w:rsidR="00652AA7" w:rsidRDefault="00652AA7">
            <w:pPr>
              <w:pStyle w:val="Textoindependiente"/>
              <w:spacing w:before="0" w:after="0"/>
              <w:jc w:val="left"/>
              <w:rPr>
                <w:rFonts w:asciiTheme="majorHAnsi" w:hAnsiTheme="majorHAnsi" w:cstheme="majorHAnsi"/>
                <w:b/>
                <w:bCs/>
                <w:sz w:val="18"/>
                <w:szCs w:val="18"/>
              </w:rPr>
            </w:pPr>
            <w:r>
              <w:rPr>
                <w:b/>
                <w:bCs/>
                <w:sz w:val="18"/>
                <w:szCs w:val="18"/>
              </w:rPr>
              <w:t xml:space="preserve">7.555,38 </w:t>
            </w:r>
          </w:p>
        </w:tc>
      </w:tr>
      <w:tr w:rsidR="00652AA7" w14:paraId="79C0016B"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DF3AF0A"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4. Impuesto nacional (a)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88ECFA0" w14:textId="77777777" w:rsidR="00652AA7" w:rsidRDefault="00652AA7">
            <w:pPr>
              <w:pStyle w:val="Textoindependiente"/>
              <w:spacing w:before="0" w:after="0"/>
              <w:jc w:val="left"/>
              <w:rPr>
                <w:rFonts w:asciiTheme="majorHAnsi" w:hAnsiTheme="majorHAnsi" w:cstheme="majorHAnsi"/>
                <w:sz w:val="18"/>
                <w:szCs w:val="18"/>
              </w:rPr>
            </w:pPr>
            <w:r>
              <w:rPr>
                <w:sz w:val="18"/>
                <w:szCs w:val="18"/>
              </w:rPr>
              <w:t xml:space="preserve">636,63 </w:t>
            </w:r>
          </w:p>
        </w:tc>
      </w:tr>
      <w:tr w:rsidR="00652AA7" w14:paraId="19E4276C"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6034CF9"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5. IVA del fósil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ACC3E6"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(b)</w:t>
            </w:r>
          </w:p>
        </w:tc>
      </w:tr>
      <w:tr w:rsidR="00652AA7" w14:paraId="738FDAEF"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0C91E0B"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6. Impuesto al carbono (c)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E927499" w14:textId="1C06DBED" w:rsidR="00652AA7" w:rsidRDefault="00652AA7">
            <w:pPr>
              <w:pStyle w:val="Textoindependiente"/>
              <w:spacing w:before="0" w:after="0"/>
              <w:jc w:val="left"/>
              <w:rPr>
                <w:rFonts w:asciiTheme="majorHAnsi" w:hAnsiTheme="majorHAnsi" w:cstheme="majorHAnsi"/>
                <w:sz w:val="18"/>
                <w:szCs w:val="18"/>
              </w:rPr>
            </w:pPr>
            <w:r>
              <w:rPr>
                <w:sz w:val="18"/>
                <w:szCs w:val="18"/>
              </w:rPr>
              <w:t>16</w:t>
            </w:r>
            <w:r w:rsidR="0099115C">
              <w:rPr>
                <w:sz w:val="18"/>
                <w:szCs w:val="18"/>
              </w:rPr>
              <w:t>2</w:t>
            </w:r>
            <w:r>
              <w:rPr>
                <w:sz w:val="18"/>
                <w:szCs w:val="18"/>
              </w:rPr>
              <w:t>,</w:t>
            </w:r>
            <w:r w:rsidR="008D6382">
              <w:rPr>
                <w:sz w:val="18"/>
                <w:szCs w:val="18"/>
              </w:rPr>
              <w:t>24</w:t>
            </w:r>
            <w:r>
              <w:rPr>
                <w:sz w:val="18"/>
                <w:szCs w:val="18"/>
              </w:rPr>
              <w:t xml:space="preserve"> </w:t>
            </w:r>
          </w:p>
        </w:tc>
      </w:tr>
      <w:tr w:rsidR="00652AA7" w14:paraId="4C5E07EB"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0CEFC5B"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7. Tarifa de marcación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FB420E0"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8,89 </w:t>
            </w:r>
          </w:p>
        </w:tc>
      </w:tr>
      <w:tr w:rsidR="00652AA7" w14:paraId="0DFDA2C2"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E629458"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8. Proporción-Tarifa Transporte por poliductos Gasolina Motor Corriente (95%)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6E1C2DE"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(d)</w:t>
            </w:r>
          </w:p>
        </w:tc>
      </w:tr>
      <w:tr w:rsidR="00652AA7" w14:paraId="0A20C9D3"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659935D"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9. Proporción-Tarifa Transporte por poliductos del Alcohol Carburante (5%)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5773B0A"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(e)</w:t>
            </w:r>
          </w:p>
        </w:tc>
      </w:tr>
      <w:tr w:rsidR="00652AA7" w14:paraId="4888519D"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26EB594E"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 xml:space="preserve">10. Precio máximo de venta al distribuidor mayorista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2DCDBAE9"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(f)</w:t>
            </w:r>
          </w:p>
        </w:tc>
      </w:tr>
      <w:tr w:rsidR="00652AA7" w14:paraId="063B6ED9"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0AFCD20"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11.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35D1D57"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(g)</w:t>
            </w:r>
          </w:p>
        </w:tc>
      </w:tr>
      <w:tr w:rsidR="00652AA7" w14:paraId="058F7052"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181EF3"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12. IVA sobre el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6818E3"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(h)</w:t>
            </w:r>
          </w:p>
        </w:tc>
      </w:tr>
      <w:tr w:rsidR="00652AA7" w14:paraId="218F4479"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AD4A193"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13.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A476F8C"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1.371,84 </w:t>
            </w:r>
          </w:p>
        </w:tc>
      </w:tr>
      <w:tr w:rsidR="00652AA7" w14:paraId="524491D9"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0429E1E"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14. Precio máximo en planta de abastecimiento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6B8954D"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(i)</w:t>
            </w:r>
          </w:p>
        </w:tc>
      </w:tr>
      <w:tr w:rsidR="00652AA7" w14:paraId="6E94D6F1"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B9C1ABC"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15. Margen del distribuidor minorista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EBA5D2A"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(j)</w:t>
            </w:r>
          </w:p>
        </w:tc>
      </w:tr>
      <w:tr w:rsidR="00652AA7" w14:paraId="489A7B4E"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F06CEB7"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16. Perdida por evaporación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335235D"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(k)</w:t>
            </w:r>
          </w:p>
        </w:tc>
      </w:tr>
      <w:tr w:rsidR="00652AA7" w14:paraId="0F648055"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97934FA"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17. Transporte de la planta de abastecimiento mayorista a estación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9F24C42" w14:textId="77777777" w:rsidR="00652AA7" w:rsidRDefault="00652AA7">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(l)</w:t>
            </w:r>
          </w:p>
        </w:tc>
      </w:tr>
      <w:tr w:rsidR="00652AA7" w14:paraId="7BCA4CE7"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1D9BF620"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18. Precio máximo de venta por galón incluida la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033DFAC7" w14:textId="77777777" w:rsidR="00652AA7" w:rsidRDefault="00652AA7">
            <w:pPr>
              <w:pStyle w:val="Textoindependiente"/>
              <w:spacing w:before="0" w:after="0"/>
              <w:jc w:val="left"/>
              <w:rPr>
                <w:rFonts w:asciiTheme="majorHAnsi" w:hAnsiTheme="majorHAnsi" w:cstheme="majorHAnsi"/>
                <w:b/>
                <w:bCs/>
                <w:sz w:val="18"/>
                <w:szCs w:val="18"/>
              </w:rPr>
            </w:pPr>
            <w:r>
              <w:rPr>
                <w:rFonts w:asciiTheme="majorHAnsi" w:hAnsiTheme="majorHAnsi" w:cstheme="majorHAnsi"/>
                <w:b/>
                <w:bCs/>
                <w:sz w:val="18"/>
                <w:szCs w:val="18"/>
              </w:rPr>
              <w:t>(m)</w:t>
            </w:r>
          </w:p>
        </w:tc>
      </w:tr>
    </w:tbl>
    <w:p w14:paraId="1AF524FF" w14:textId="77777777" w:rsidR="00652AA7" w:rsidRDefault="00652AA7" w:rsidP="00652AA7">
      <w:pPr>
        <w:pStyle w:val="Textoindependiente"/>
        <w:spacing w:after="0" w:line="360" w:lineRule="auto"/>
        <w:jc w:val="left"/>
        <w:rPr>
          <w:rFonts w:asciiTheme="majorHAnsi" w:hAnsiTheme="majorHAnsi" w:cstheme="majorHAnsi"/>
          <w:b/>
          <w:bCs/>
          <w:sz w:val="24"/>
          <w:szCs w:val="24"/>
          <w:u w:val="single"/>
        </w:rPr>
      </w:pPr>
    </w:p>
    <w:p w14:paraId="49990468" w14:textId="77777777" w:rsidR="00652AA7" w:rsidRDefault="00652AA7" w:rsidP="00652AA7">
      <w:pPr>
        <w:pStyle w:val="Textoindependiente"/>
        <w:tabs>
          <w:tab w:val="left" w:pos="7088"/>
        </w:tabs>
        <w:spacing w:after="0" w:line="360" w:lineRule="auto"/>
        <w:jc w:val="left"/>
        <w:rPr>
          <w:rFonts w:asciiTheme="majorHAnsi" w:hAnsiTheme="majorHAnsi" w:cstheme="majorHAnsi"/>
          <w:b/>
          <w:bCs/>
          <w:sz w:val="24"/>
          <w:szCs w:val="24"/>
          <w:u w:val="single"/>
        </w:rPr>
      </w:pPr>
      <w:r>
        <w:rPr>
          <w:rFonts w:asciiTheme="majorHAnsi" w:hAnsiTheme="majorHAnsi" w:cstheme="majorHAnsi"/>
          <w:b/>
          <w:bCs/>
          <w:sz w:val="24"/>
          <w:szCs w:val="24"/>
          <w:u w:val="single"/>
        </w:rPr>
        <w:t>ACPM</w:t>
      </w:r>
    </w:p>
    <w:p w14:paraId="0E4AE559" w14:textId="77777777" w:rsidR="00652AA7" w:rsidRDefault="00652AA7" w:rsidP="00652AA7">
      <w:pPr>
        <w:pStyle w:val="Textoindependiente"/>
        <w:spacing w:before="0" w:after="0"/>
        <w:jc w:val="left"/>
        <w:rPr>
          <w:rFonts w:asciiTheme="majorHAnsi" w:hAnsiTheme="majorHAnsi" w:cstheme="majorHAnsi"/>
          <w:b/>
          <w:bCs/>
        </w:rPr>
      </w:pPr>
    </w:p>
    <w:tbl>
      <w:tblPr>
        <w:tblStyle w:val="Tablaconcuadrcula"/>
        <w:tblW w:w="4991"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9"/>
        <w:gridCol w:w="2438"/>
      </w:tblGrid>
      <w:tr w:rsidR="00652AA7" w14:paraId="30E075FF" w14:textId="77777777" w:rsidTr="00652AA7">
        <w:trPr>
          <w:trHeight w:val="567"/>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6A4D3975"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Componentes de la estructura de precio del ACPM</w:t>
            </w:r>
          </w:p>
          <w:p w14:paraId="2FA22B33"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(Pesos por Galón)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hideMark/>
          </w:tcPr>
          <w:p w14:paraId="7B601A5E"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Componentes</w:t>
            </w:r>
          </w:p>
        </w:tc>
      </w:tr>
      <w:tr w:rsidR="00652AA7" w14:paraId="03C84777"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2E1B7634"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1. Ingreso al productor</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E927610"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4.397,75 </w:t>
            </w:r>
          </w:p>
        </w:tc>
      </w:tr>
      <w:tr w:rsidR="00652AA7" w14:paraId="238282E6"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56A5940"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2. Impuesto nacional </w:t>
            </w:r>
            <w:r>
              <w:rPr>
                <w:rFonts w:asciiTheme="majorHAnsi" w:hAnsiTheme="majorHAnsi" w:cstheme="majorHAnsi"/>
                <w:b/>
                <w:bCs/>
                <w:sz w:val="18"/>
                <w:szCs w:val="18"/>
              </w:rPr>
              <w: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BEECEDB"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634,74 </w:t>
            </w:r>
          </w:p>
        </w:tc>
      </w:tr>
      <w:tr w:rsidR="00652AA7" w14:paraId="2DD9B6A6"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0E47523"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3. IVA del fósil</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76EB9C6"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(b)</w:t>
            </w:r>
          </w:p>
        </w:tc>
      </w:tr>
      <w:tr w:rsidR="00652AA7" w14:paraId="4C518E4C"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440D05B"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4. Impuesto al carbono </w:t>
            </w:r>
            <w:r>
              <w:rPr>
                <w:rFonts w:asciiTheme="majorHAnsi" w:hAnsiTheme="majorHAnsi" w:cstheme="majorHAnsi"/>
                <w:b/>
                <w:bCs/>
                <w:sz w:val="18"/>
                <w:szCs w:val="18"/>
              </w:rPr>
              <w:t>(c)</w:t>
            </w:r>
            <w:r>
              <w:rPr>
                <w:rFonts w:asciiTheme="majorHAnsi" w:hAnsiTheme="majorHAnsi" w:cstheme="majorHAnsi"/>
                <w:sz w:val="18"/>
                <w:szCs w:val="18"/>
              </w:rPr>
              <w:t xml:space="preserve">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585E291"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191,00 </w:t>
            </w:r>
          </w:p>
        </w:tc>
      </w:tr>
      <w:tr w:rsidR="00652AA7" w14:paraId="20BA0D11"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FCCC73C"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5. Tarifa de marcación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E042988"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8,89 </w:t>
            </w:r>
          </w:p>
        </w:tc>
      </w:tr>
      <w:tr w:rsidR="00652AA7" w14:paraId="1E9DE0ED"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C9403AB"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6. Tarifa de transporte por poliductos</w:t>
            </w:r>
            <w:r>
              <w:rPr>
                <w:rFonts w:asciiTheme="majorHAnsi" w:hAnsiTheme="majorHAnsi" w:cstheme="majorHAnsi"/>
                <w:b/>
                <w:bCs/>
                <w:sz w:val="18"/>
                <w:szCs w:val="18"/>
              </w:rPr>
              <w:t xml:space="preserve">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55D7D53"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(d)</w:t>
            </w:r>
          </w:p>
        </w:tc>
      </w:tr>
      <w:tr w:rsidR="00652AA7" w14:paraId="782E36DB"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29CA9CAC"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 Precio máximo de venta al distribuidor mayorista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5CE92B47"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(f)</w:t>
            </w:r>
          </w:p>
        </w:tc>
      </w:tr>
      <w:tr w:rsidR="00652AA7" w14:paraId="694E01BB"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FFB5743"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8.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84F67CE"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(g)</w:t>
            </w:r>
          </w:p>
        </w:tc>
      </w:tr>
      <w:tr w:rsidR="00652AA7" w14:paraId="1E202A21"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0A5501A"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9. IVA sobre el margen al distribuidor mayorista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0FEE83D"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(h)</w:t>
            </w:r>
          </w:p>
        </w:tc>
      </w:tr>
      <w:tr w:rsidR="00652AA7" w14:paraId="0A9A0E2D"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52FCEFC8"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10. Precio máximo en planta de abastecimiento mayorista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4C87A38C"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(i)</w:t>
            </w:r>
          </w:p>
        </w:tc>
      </w:tr>
      <w:tr w:rsidR="00652AA7" w14:paraId="59B2A4C9"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31E7F6E"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11. Margen del distribuidor minorista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40B89CF"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(j)</w:t>
            </w:r>
          </w:p>
        </w:tc>
      </w:tr>
      <w:tr w:rsidR="00652AA7" w14:paraId="740B61D2"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568A403"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12. Transporte de la planta de abastecimiento mayorista a estación</w:t>
            </w:r>
            <w:r>
              <w:rPr>
                <w:rFonts w:asciiTheme="majorHAnsi" w:hAnsiTheme="majorHAnsi" w:cstheme="majorHAnsi"/>
                <w:b/>
                <w:bCs/>
                <w:sz w:val="18"/>
                <w:szCs w:val="18"/>
              </w:rPr>
              <w:t xml:space="preserve">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A68DDA3"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(l)</w:t>
            </w:r>
          </w:p>
        </w:tc>
      </w:tr>
      <w:tr w:rsidR="00652AA7" w14:paraId="13918EB7"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3B4AA8D"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13.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4FFC766"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339,00 </w:t>
            </w:r>
          </w:p>
        </w:tc>
      </w:tr>
      <w:tr w:rsidR="00652AA7" w14:paraId="3875EBC7"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521CC34B"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14. Precio máximo de venta por galón incluida la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347CF2A8"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(m)</w:t>
            </w:r>
          </w:p>
        </w:tc>
      </w:tr>
    </w:tbl>
    <w:p w14:paraId="796BA772" w14:textId="77777777" w:rsidR="009F1E69" w:rsidRDefault="009F1E69" w:rsidP="00652AA7">
      <w:pPr>
        <w:pStyle w:val="Textoindependiente"/>
        <w:spacing w:before="0" w:after="0"/>
        <w:jc w:val="left"/>
        <w:rPr>
          <w:rFonts w:asciiTheme="majorHAnsi" w:hAnsiTheme="majorHAnsi" w:cstheme="majorHAnsi"/>
          <w:b/>
          <w:bCs/>
        </w:rPr>
      </w:pPr>
    </w:p>
    <w:tbl>
      <w:tblPr>
        <w:tblStyle w:val="Tablaconcuadrcula"/>
        <w:tblW w:w="4991"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9"/>
        <w:gridCol w:w="2438"/>
      </w:tblGrid>
      <w:tr w:rsidR="00652AA7" w14:paraId="2964B386" w14:textId="77777777" w:rsidTr="00652AA7">
        <w:trPr>
          <w:trHeight w:val="567"/>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030DA2B"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Estructura de precio de la mezcla ACPM y biocombustible (B10)</w:t>
            </w:r>
          </w:p>
          <w:p w14:paraId="5D2E78AA"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(Pesos por Galón)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hideMark/>
          </w:tcPr>
          <w:p w14:paraId="5AD7F1D1"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Componentes</w:t>
            </w:r>
          </w:p>
        </w:tc>
      </w:tr>
      <w:tr w:rsidR="00652AA7" w14:paraId="682C093C"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747D1EE"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 Proporción - Ingreso al productor del ACPM (90%)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94D5E6B"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4.111,58 </w:t>
            </w:r>
          </w:p>
        </w:tc>
      </w:tr>
      <w:tr w:rsidR="00652AA7" w14:paraId="12EFC894"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C6B1EE1"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2. Proporción - Ingreso al productor del biocombustible (10%)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48CA702"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1.898,56 </w:t>
            </w:r>
          </w:p>
        </w:tc>
      </w:tr>
      <w:tr w:rsidR="00652AA7" w14:paraId="0B53031B"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hideMark/>
          </w:tcPr>
          <w:p w14:paraId="13EE88DF"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3. Ingreso al productor de la mezcla ACPM - biocombustible (B10)</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410581D8"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6.010,14 </w:t>
            </w:r>
          </w:p>
        </w:tc>
      </w:tr>
      <w:tr w:rsidR="00652AA7" w14:paraId="1A1F3CE0"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AAAC8CD"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4. Impuesto nacional </w:t>
            </w:r>
            <w:r>
              <w:rPr>
                <w:rFonts w:asciiTheme="majorHAnsi" w:hAnsiTheme="majorHAnsi" w:cstheme="majorHAnsi"/>
                <w:b/>
                <w:bCs/>
                <w:sz w:val="18"/>
                <w:szCs w:val="18"/>
              </w:rPr>
              <w: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4E61778"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571,27 </w:t>
            </w:r>
          </w:p>
        </w:tc>
      </w:tr>
      <w:tr w:rsidR="00652AA7" w14:paraId="7998E76D"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B6F0E87"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5. IVA del fósil</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E8D30E1"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(b)</w:t>
            </w:r>
          </w:p>
        </w:tc>
      </w:tr>
      <w:tr w:rsidR="00652AA7" w14:paraId="7D5B6CAB"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79F32992"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6. Impuesto al carbono </w:t>
            </w:r>
            <w:r>
              <w:rPr>
                <w:rFonts w:asciiTheme="majorHAnsi" w:hAnsiTheme="majorHAnsi" w:cstheme="majorHAnsi"/>
                <w:b/>
                <w:bCs/>
                <w:sz w:val="18"/>
                <w:szCs w:val="18"/>
              </w:rPr>
              <w:t>(c)</w:t>
            </w:r>
            <w:r>
              <w:rPr>
                <w:rFonts w:asciiTheme="majorHAnsi" w:hAnsiTheme="majorHAnsi" w:cstheme="majorHAnsi"/>
                <w:sz w:val="18"/>
                <w:szCs w:val="18"/>
              </w:rPr>
              <w:t xml:space="preserve">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08EB251"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171,90 </w:t>
            </w:r>
          </w:p>
        </w:tc>
      </w:tr>
      <w:tr w:rsidR="00652AA7" w14:paraId="5F4E4D72"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764D283"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7. Tarifa de marcación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ECAA4E"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8,89 </w:t>
            </w:r>
          </w:p>
        </w:tc>
      </w:tr>
      <w:tr w:rsidR="00652AA7" w14:paraId="7B6033EC"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59FE09D2"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8. Proporción - Tarifa de transporte por poliductos del ACPM (90%)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CB9D5A"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(d)</w:t>
            </w:r>
          </w:p>
        </w:tc>
      </w:tr>
      <w:tr w:rsidR="00652AA7" w14:paraId="3794236F"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4B4E7B6"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9. Proporción - Tarifa de transporte del biocombustible (10%) </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B2A0F28"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(e)</w:t>
            </w:r>
          </w:p>
        </w:tc>
      </w:tr>
      <w:tr w:rsidR="00652AA7" w14:paraId="7C5EF061"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hideMark/>
          </w:tcPr>
          <w:p w14:paraId="4920321D"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10. Precio máximo de venta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732F65BD"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(f)</w:t>
            </w:r>
          </w:p>
        </w:tc>
      </w:tr>
      <w:tr w:rsidR="00652AA7" w14:paraId="1EFBCBF6"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6138A8A8"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11.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5AB12C4"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(g)</w:t>
            </w:r>
          </w:p>
        </w:tc>
      </w:tr>
      <w:tr w:rsidR="00652AA7" w14:paraId="7002EAF1"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3CCC5F47"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12. IVA sobre el margen al distribuidor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7700881"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(h)</w:t>
            </w:r>
          </w:p>
        </w:tc>
      </w:tr>
      <w:tr w:rsidR="00652AA7" w14:paraId="10441672"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hideMark/>
          </w:tcPr>
          <w:p w14:paraId="3AFC1497"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13. Precio máximo en planta de abastecimiento mayorista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73AEB434"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(i)</w:t>
            </w:r>
          </w:p>
        </w:tc>
      </w:tr>
      <w:tr w:rsidR="00652AA7" w14:paraId="7C8EA823"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F1DC817"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14. Margen del distribuidor minorista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491E86E"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(j)</w:t>
            </w:r>
          </w:p>
        </w:tc>
      </w:tr>
      <w:tr w:rsidR="00652AA7" w14:paraId="2358B496"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07D5414D"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15. Transporte de la planta de abastecimiento mayorista a estación</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B36E0BF"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(l)</w:t>
            </w:r>
          </w:p>
        </w:tc>
      </w:tr>
      <w:tr w:rsidR="00652AA7" w14:paraId="66A79694"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hideMark/>
          </w:tcPr>
          <w:p w14:paraId="1D14B6FC"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16.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EBCA8E1" w14:textId="77777777" w:rsidR="00652AA7" w:rsidRDefault="00652AA7">
            <w:pPr>
              <w:spacing w:before="0" w:after="0"/>
              <w:rPr>
                <w:rFonts w:asciiTheme="majorHAnsi" w:hAnsiTheme="majorHAnsi" w:cstheme="majorHAnsi"/>
                <w:sz w:val="18"/>
                <w:szCs w:val="18"/>
              </w:rPr>
            </w:pPr>
            <w:r>
              <w:rPr>
                <w:rFonts w:asciiTheme="majorHAnsi" w:hAnsiTheme="majorHAnsi" w:cstheme="majorHAnsi"/>
                <w:sz w:val="18"/>
                <w:szCs w:val="18"/>
              </w:rPr>
              <w:t xml:space="preserve">339,00 </w:t>
            </w:r>
          </w:p>
        </w:tc>
      </w:tr>
      <w:tr w:rsidR="00652AA7" w14:paraId="487E5361" w14:textId="77777777" w:rsidTr="00652AA7">
        <w:trPr>
          <w:trHeight w:val="283"/>
        </w:trPr>
        <w:tc>
          <w:tcPr>
            <w:tcW w:w="3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hideMark/>
          </w:tcPr>
          <w:p w14:paraId="4648999C"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17. Precio máximo de venta por galón incluida la sobretasa</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5" w:themeFillTint="33"/>
            <w:noWrap/>
            <w:vAlign w:val="center"/>
            <w:hideMark/>
          </w:tcPr>
          <w:p w14:paraId="6A39DA73" w14:textId="77777777" w:rsidR="00652AA7" w:rsidRDefault="00652AA7">
            <w:pPr>
              <w:spacing w:before="0" w:after="0"/>
              <w:rPr>
                <w:rFonts w:asciiTheme="majorHAnsi" w:hAnsiTheme="majorHAnsi" w:cstheme="majorHAnsi"/>
                <w:b/>
                <w:bCs/>
                <w:sz w:val="18"/>
                <w:szCs w:val="18"/>
              </w:rPr>
            </w:pPr>
            <w:r>
              <w:rPr>
                <w:rFonts w:asciiTheme="majorHAnsi" w:hAnsiTheme="majorHAnsi" w:cstheme="majorHAnsi"/>
                <w:b/>
                <w:bCs/>
                <w:sz w:val="18"/>
                <w:szCs w:val="18"/>
              </w:rPr>
              <w:t>(m)</w:t>
            </w:r>
          </w:p>
        </w:tc>
      </w:tr>
    </w:tbl>
    <w:p w14:paraId="315195C4" w14:textId="77777777" w:rsidR="00652AA7" w:rsidRDefault="00652AA7" w:rsidP="00652AA7">
      <w:pPr>
        <w:spacing w:before="0" w:after="0"/>
        <w:rPr>
          <w:rFonts w:asciiTheme="majorHAnsi" w:hAnsiTheme="majorHAnsi" w:cstheme="majorHAnsi"/>
        </w:rPr>
      </w:pPr>
    </w:p>
    <w:p w14:paraId="21EB5EC4" w14:textId="77777777" w:rsidR="00652AA7" w:rsidRDefault="00652AA7" w:rsidP="00652AA7">
      <w:pPr>
        <w:spacing w:before="0" w:after="0"/>
        <w:rPr>
          <w:rFonts w:asciiTheme="majorHAnsi" w:hAnsiTheme="majorHAnsi" w:cstheme="majorHAnsi"/>
        </w:rPr>
      </w:pPr>
      <w:r>
        <w:rPr>
          <w:rFonts w:asciiTheme="majorHAnsi" w:hAnsiTheme="majorHAnsi" w:cstheme="majorHAnsi"/>
        </w:rPr>
        <w:t>Nota: Para estructuras de precios diferentes a E4 y B10, se deberá calcular, según corresponda, el porcentaje del ingreso al productor de gasolina motor corriente o de ACPM, y su respectivo complemento del ingreso al productor de alcohol carburante o del biocombustible para uso en motores diésel, así como del impuesto nacional, al carbono y de la sobretasa si procede. En particular, las estructuras de precios deberán contener las disposiciones plasmadas por medio de la resolución 40447 del 2022.</w:t>
      </w:r>
    </w:p>
    <w:p w14:paraId="5D9F4185" w14:textId="77777777" w:rsidR="00652AA7" w:rsidRDefault="00652AA7" w:rsidP="00652AA7">
      <w:pPr>
        <w:spacing w:before="0" w:after="0"/>
        <w:rPr>
          <w:rFonts w:asciiTheme="majorHAnsi" w:hAnsiTheme="majorHAnsi" w:cstheme="majorHAnsi"/>
        </w:rPr>
      </w:pPr>
    </w:p>
    <w:p w14:paraId="41A16D9F" w14:textId="77777777" w:rsidR="00652AA7" w:rsidRDefault="00652AA7" w:rsidP="00652AA7">
      <w:pPr>
        <w:spacing w:before="0" w:after="0"/>
        <w:rPr>
          <w:rFonts w:asciiTheme="majorHAnsi" w:hAnsiTheme="majorHAnsi" w:cstheme="majorHAnsi"/>
        </w:rPr>
      </w:pPr>
      <w:r>
        <w:rPr>
          <w:rFonts w:asciiTheme="majorHAnsi" w:hAnsiTheme="majorHAnsi" w:cstheme="majorHAnsi"/>
        </w:rPr>
        <w:t>Así mismo, se tienen las siguientes aclaraciones:</w:t>
      </w:r>
    </w:p>
    <w:p w14:paraId="68F75296" w14:textId="77777777" w:rsidR="00652AA7" w:rsidRDefault="00652AA7" w:rsidP="00652AA7">
      <w:pPr>
        <w:spacing w:before="0" w:after="0"/>
        <w:rPr>
          <w:rFonts w:asciiTheme="majorHAnsi" w:hAnsiTheme="majorHAnsi" w:cstheme="majorHAnsi"/>
        </w:rPr>
      </w:pPr>
    </w:p>
    <w:p w14:paraId="73283EEC"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 xml:space="preserve">Será el valor correspondiente al pago del impuesto nacional a la gasolina y al ACPM, expresado en pesos por galón, establecido los artículos 167, 168 y 173 de la ley 1607 de 2012, modificados por los artículos 218, 219 y 220 de la ley 1819 del 29 de diciembre de 2016, o las normas que lo modifiquen o sustituyan. </w:t>
      </w:r>
      <w:r>
        <w:rPr>
          <w:rFonts w:asciiTheme="majorHAnsi" w:hAnsiTheme="majorHAnsi" w:cstheme="majorHAnsi"/>
        </w:rPr>
        <w:lastRenderedPageBreak/>
        <w:t>De este impuesto se excluye el porcentaje de mezcla de alcohol carburante y el porcentaje de mezcla de biocombustible para uso en motores diésel.</w:t>
      </w:r>
    </w:p>
    <w:p w14:paraId="6A02DC4B" w14:textId="77777777" w:rsidR="00652AA7" w:rsidRDefault="00652AA7" w:rsidP="00652AA7">
      <w:pPr>
        <w:spacing w:before="0" w:after="0"/>
        <w:rPr>
          <w:rFonts w:asciiTheme="majorHAnsi" w:hAnsiTheme="majorHAnsi" w:cstheme="majorHAnsi"/>
        </w:rPr>
      </w:pPr>
    </w:p>
    <w:p w14:paraId="0ACA0D21"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Es el valor que se obtiene conforme se establece el artículo 467 del Estatuto Tributario, modificado por los artículos 183, de la ley 1819 del 29 de diciembre de 2016 y articulo 74, de la ley 1955 del 25 de mayo de 2019, o las normas que lo modifiquen o sustituyan, considerando que dentro de los bienes gravados con la tarifa del cinco por ciento (5%) prevista en el artículo 468-1 del Estatuto Tributario, se incluyó el ingreso al productor en la venta de Gasolina y ACPM. El valor final se obtiene aplicando dicha tarifa sobre el valor del IP Fósil considerando el nivel de mezcla con biocombustible respectivo, si hay lugar.</w:t>
      </w:r>
    </w:p>
    <w:p w14:paraId="04666357" w14:textId="77777777" w:rsidR="00652AA7" w:rsidRDefault="00652AA7" w:rsidP="00652AA7">
      <w:pPr>
        <w:spacing w:before="0" w:after="0"/>
        <w:rPr>
          <w:rFonts w:asciiTheme="majorHAnsi" w:hAnsiTheme="majorHAnsi" w:cstheme="majorHAnsi"/>
        </w:rPr>
      </w:pPr>
    </w:p>
    <w:p w14:paraId="66FDA47E"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 xml:space="preserve">Será el valor correspondiente al pago del impuesto del carbono a la gasolina y al ACPM, expresado en pesos por galón, establecido en los artículos 221 y 222 de la Ley 1819 de 2016 o las normas que lo modifiquen o sustituyan. Como lo señala el parágrafo 2 del artículo 222 de la Ley 1819 de 2016 la tarifa del impuesto al carbono por unidad de combustible de la que trata dicho artículo, en Amazonas, Caquetá, Guainía, Guaviare, Putumayo, Vaupés, Vichada y los municipios de </w:t>
      </w:r>
      <w:proofErr w:type="spellStart"/>
      <w:r>
        <w:rPr>
          <w:rFonts w:asciiTheme="majorHAnsi" w:hAnsiTheme="majorHAnsi" w:cstheme="majorHAnsi"/>
        </w:rPr>
        <w:t>Sipí</w:t>
      </w:r>
      <w:proofErr w:type="spellEnd"/>
      <w:r>
        <w:rPr>
          <w:rFonts w:asciiTheme="majorHAnsi" w:hAnsiTheme="majorHAnsi" w:cstheme="majorHAnsi"/>
        </w:rPr>
        <w:t xml:space="preserve">, Río Sucio, Alto Baudó, Bajo Baudó, Acandí, </w:t>
      </w:r>
      <w:proofErr w:type="spellStart"/>
      <w:r>
        <w:rPr>
          <w:rFonts w:asciiTheme="majorHAnsi" w:hAnsiTheme="majorHAnsi" w:cstheme="majorHAnsi"/>
        </w:rPr>
        <w:t>Unguía</w:t>
      </w:r>
      <w:proofErr w:type="spellEnd"/>
      <w:r>
        <w:rPr>
          <w:rFonts w:asciiTheme="majorHAnsi" w:hAnsiTheme="majorHAnsi" w:cstheme="majorHAnsi"/>
        </w:rPr>
        <w:t xml:space="preserve">, Litoral de San Juan, Bojayá, Medio Atrato, </w:t>
      </w:r>
      <w:proofErr w:type="spellStart"/>
      <w:r>
        <w:rPr>
          <w:rFonts w:asciiTheme="majorHAnsi" w:hAnsiTheme="majorHAnsi" w:cstheme="majorHAnsi"/>
        </w:rPr>
        <w:t>Iró</w:t>
      </w:r>
      <w:proofErr w:type="spellEnd"/>
      <w:r>
        <w:rPr>
          <w:rFonts w:asciiTheme="majorHAnsi" w:hAnsiTheme="majorHAnsi" w:cstheme="majorHAnsi"/>
        </w:rPr>
        <w:t xml:space="preserve">, Bahía Solano, </w:t>
      </w:r>
      <w:proofErr w:type="spellStart"/>
      <w:r>
        <w:rPr>
          <w:rFonts w:asciiTheme="majorHAnsi" w:hAnsiTheme="majorHAnsi" w:cstheme="majorHAnsi"/>
        </w:rPr>
        <w:t>Juradó</w:t>
      </w:r>
      <w:proofErr w:type="spellEnd"/>
      <w:r>
        <w:rPr>
          <w:rFonts w:asciiTheme="majorHAnsi" w:hAnsiTheme="majorHAnsi" w:cstheme="majorHAnsi"/>
        </w:rPr>
        <w:t xml:space="preserve"> y Carmen del Darién del departamento del Chocó, para los combustibles enlistados en el inciso 1 este artículo referido será de cero pesos ($0).</w:t>
      </w:r>
    </w:p>
    <w:p w14:paraId="2B9C7634" w14:textId="77777777" w:rsidR="00652AA7" w:rsidRDefault="00652AA7" w:rsidP="00652AA7">
      <w:pPr>
        <w:spacing w:before="0" w:after="0"/>
        <w:rPr>
          <w:rFonts w:asciiTheme="majorHAnsi" w:hAnsiTheme="majorHAnsi" w:cstheme="majorHAnsi"/>
        </w:rPr>
      </w:pPr>
    </w:p>
    <w:p w14:paraId="2C6F691B"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 xml:space="preserve">Se calculará en cada sitio de entrega como el 90%, 91%, 92%, 94%, 96%, 98% o 100%, según corresponda, del costo máximo de transporte de biocombustibles en la resolución 18 0088 del 30 de enero de 2003, modificada por las resoluciones 18 1701, 18 0230, 18 1300 y 18 0989, del 22 de diciembre de 2003, </w:t>
      </w:r>
      <w:r>
        <w:rPr>
          <w:rFonts w:asciiTheme="majorHAnsi" w:hAnsiTheme="majorHAnsi" w:cstheme="majorHAnsi"/>
        </w:rPr>
        <w:lastRenderedPageBreak/>
        <w:t>27 de febrero de 2006, 23 de agosto de 2007 y 17 de junio de 2011, respectivamente y en particular por la 41276 del 30 de diciembre de 2016.</w:t>
      </w:r>
    </w:p>
    <w:p w14:paraId="491FFDD6" w14:textId="77777777" w:rsidR="00652AA7" w:rsidRDefault="00652AA7" w:rsidP="00652AA7">
      <w:pPr>
        <w:spacing w:before="0" w:after="0"/>
        <w:rPr>
          <w:rFonts w:asciiTheme="majorHAnsi" w:hAnsiTheme="majorHAnsi" w:cstheme="majorHAnsi"/>
        </w:rPr>
      </w:pPr>
    </w:p>
    <w:p w14:paraId="6B59CA17"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como el 2%, 6%, 8%, 9% o 10%, según corresponda la proporción de la mezcla de biocombustible, al computar por el valor máximo a ser reconocido en la estructura de precio de venta de los combustibles por concepto de transporte terrestre entre las plantas destiladoras y/o productoras de dichos productos o puntos de importación, y las plantas de abastecimiento mayorista en las cuales se realizará la mezcla, en los términos definidos por la Resolución 40079 del 1 de febrero de 2018, para el caso del alcohol carburante, o según lo definido por la Resolución 41277 del 30 de diciembre de 2016, para el caso del biocombustible para uso en motores diésel.</w:t>
      </w:r>
    </w:p>
    <w:p w14:paraId="6EAABBE7" w14:textId="77777777" w:rsidR="00652AA7" w:rsidRDefault="00652AA7" w:rsidP="00652AA7">
      <w:pPr>
        <w:spacing w:before="0" w:after="0"/>
        <w:rPr>
          <w:rFonts w:asciiTheme="majorHAnsi" w:hAnsiTheme="majorHAnsi" w:cstheme="majorHAnsi"/>
        </w:rPr>
      </w:pPr>
    </w:p>
    <w:p w14:paraId="26F78E52"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en cada sitio de entrega habilitado dependiendo de la tarifa por poliductos que le corresponda, y las tarifas de transporte del biocombustible si aplica. En particular, debe considerarse lo establecido por los artículos 4, 8, 12 o 16 de la resolución 40112 del 12 de abril del 2021, según corresponda al tipo de producto.</w:t>
      </w:r>
    </w:p>
    <w:p w14:paraId="021BADF2" w14:textId="77777777" w:rsidR="00652AA7" w:rsidRDefault="00652AA7" w:rsidP="00652AA7">
      <w:pPr>
        <w:spacing w:before="0" w:after="0"/>
        <w:rPr>
          <w:rFonts w:asciiTheme="majorHAnsi" w:hAnsiTheme="majorHAnsi" w:cstheme="majorHAnsi"/>
        </w:rPr>
      </w:pPr>
    </w:p>
    <w:p w14:paraId="7AECBB55"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y ajustará a lo señalado en la resolución 41278 del 30 de diciembre de 2016, o las disposiciones que lo modifiquen o sustituyan.</w:t>
      </w:r>
    </w:p>
    <w:p w14:paraId="66DBA257" w14:textId="77777777" w:rsidR="00652AA7" w:rsidRDefault="00652AA7" w:rsidP="00652AA7">
      <w:pPr>
        <w:spacing w:before="0" w:after="0"/>
        <w:rPr>
          <w:rFonts w:asciiTheme="majorHAnsi" w:hAnsiTheme="majorHAnsi" w:cstheme="majorHAnsi"/>
        </w:rPr>
      </w:pPr>
    </w:p>
    <w:p w14:paraId="12EFDB1F"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Es el valor establecido según lo definido por el artículo 467 del Estatuto Tributario, modificado por el artículo 183 de la ley 1819 del 29 de diciembre de 2016 o las demás normas que lo modifiquen o sustituyan, considerando la tarifa general del impuesto sobre las ventas que corresponde al 19%. El valor final se obtiene aplicando dicha tarifa sobre el valor del Margen de Distribución del Mayorista correspondiente.</w:t>
      </w:r>
    </w:p>
    <w:p w14:paraId="16B5DCE0" w14:textId="77777777" w:rsidR="00652AA7" w:rsidRDefault="00652AA7" w:rsidP="00652AA7">
      <w:pPr>
        <w:spacing w:before="0" w:after="0"/>
        <w:rPr>
          <w:rFonts w:asciiTheme="majorHAnsi" w:hAnsiTheme="majorHAnsi" w:cstheme="majorHAnsi"/>
        </w:rPr>
      </w:pPr>
    </w:p>
    <w:p w14:paraId="59E74215"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en cada sitio de entrega habilitado dependiendo del margen de distribuidor mayorista a considerar. En particular, debe considerarse lo establecido por los artículos 5, 9, 13 o 17 de la resolución 40112 del 12 de abril del 2021, según corresponda al tipo de producto.</w:t>
      </w:r>
    </w:p>
    <w:p w14:paraId="17DF0F20" w14:textId="77777777" w:rsidR="00652AA7" w:rsidRDefault="00652AA7" w:rsidP="00652AA7">
      <w:pPr>
        <w:spacing w:before="0" w:after="0"/>
        <w:rPr>
          <w:rFonts w:asciiTheme="majorHAnsi" w:hAnsiTheme="majorHAnsi" w:cstheme="majorHAnsi"/>
        </w:rPr>
      </w:pPr>
    </w:p>
    <w:p w14:paraId="6353FCE3"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Es el valor establecido por la Resolución 40222 del 22 de febrero de 2015, y las demás que la modifiquen o sustituyan. Debe considerarse, además, lo respectivo en cuanto al régimen de libertad vigilada o régimen de libertad regulada aplicable según lo establecido por la resolución 181254 del 30 de julio de 2012, o las demás que la modifiquen o sustituyan</w:t>
      </w:r>
    </w:p>
    <w:p w14:paraId="28198E7F" w14:textId="77777777" w:rsidR="00652AA7" w:rsidRDefault="00652AA7" w:rsidP="00652AA7">
      <w:pPr>
        <w:spacing w:before="0" w:after="0"/>
        <w:rPr>
          <w:rFonts w:asciiTheme="majorHAnsi" w:hAnsiTheme="majorHAnsi" w:cstheme="majorHAnsi"/>
        </w:rPr>
      </w:pPr>
    </w:p>
    <w:p w14:paraId="777C658A"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de acuerdo con lo señalado en el artículo 3 del Decreto 3322 del 25 de septiembre de 2006 y en el artículo 6 de la Resolución 18 1088 del 23 de agosto de 2005.</w:t>
      </w:r>
    </w:p>
    <w:p w14:paraId="7A50634E" w14:textId="77777777" w:rsidR="00652AA7" w:rsidRDefault="00652AA7" w:rsidP="00652AA7">
      <w:pPr>
        <w:spacing w:before="0" w:after="0"/>
        <w:rPr>
          <w:rFonts w:asciiTheme="majorHAnsi" w:hAnsiTheme="majorHAnsi" w:cstheme="majorHAnsi"/>
        </w:rPr>
      </w:pPr>
    </w:p>
    <w:p w14:paraId="78FE910E"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calcularán y ajustarán a lo señalado en la resolución 90664 de 2014, y en la resolución modificatoria 41280 del 30 de diciembre de 2016.</w:t>
      </w:r>
    </w:p>
    <w:p w14:paraId="590FD1AD" w14:textId="77777777" w:rsidR="00652AA7" w:rsidRDefault="00652AA7" w:rsidP="00652AA7">
      <w:pPr>
        <w:spacing w:before="0" w:after="0"/>
        <w:rPr>
          <w:rFonts w:asciiTheme="majorHAnsi" w:hAnsiTheme="majorHAnsi" w:cstheme="majorHAnsi"/>
        </w:rPr>
      </w:pPr>
    </w:p>
    <w:p w14:paraId="4EEBC2F9" w14:textId="77777777" w:rsidR="00652AA7" w:rsidRDefault="00652AA7" w:rsidP="00652AA7">
      <w:pPr>
        <w:pStyle w:val="Prrafodelista"/>
        <w:numPr>
          <w:ilvl w:val="0"/>
          <w:numId w:val="1"/>
        </w:numPr>
        <w:spacing w:before="0" w:after="0"/>
        <w:ind w:left="720"/>
        <w:rPr>
          <w:rFonts w:asciiTheme="majorHAnsi" w:hAnsiTheme="majorHAnsi" w:cstheme="majorHAnsi"/>
        </w:rPr>
      </w:pPr>
      <w:r>
        <w:rPr>
          <w:rFonts w:asciiTheme="majorHAnsi" w:hAnsiTheme="majorHAnsi" w:cstheme="majorHAnsi"/>
        </w:rPr>
        <w:t>Se calculará en cada sitio de entrega habilitado dependiendo del margen de distribuidor minorista, los costos de transporte desde el sitio de abastecimiento a la estación de servicio y demás. En particular, debe considerarse lo establecido por los artículos 6, 10, 14 o 18 de la resolución 40112 del 12 de abril del 2021, según corresponda al tipo de producto.</w:t>
      </w:r>
    </w:p>
    <w:p w14:paraId="11468266" w14:textId="77777777" w:rsidR="00774020" w:rsidRDefault="00774020" w:rsidP="00774020">
      <w:pPr>
        <w:spacing w:before="0" w:after="0"/>
        <w:rPr>
          <w:rFonts w:asciiTheme="majorHAnsi" w:hAnsiTheme="majorHAnsi" w:cstheme="majorHAnsi"/>
        </w:rPr>
      </w:pPr>
    </w:p>
    <w:p w14:paraId="59052AD7" w14:textId="77777777" w:rsidR="00774020" w:rsidRPr="00F3215D" w:rsidRDefault="00774020" w:rsidP="00774020">
      <w:pPr>
        <w:spacing w:before="0" w:after="0"/>
        <w:rPr>
          <w:rFonts w:asciiTheme="majorHAnsi" w:hAnsiTheme="majorHAnsi" w:cstheme="majorHAnsi"/>
        </w:rPr>
      </w:pPr>
      <w:r>
        <w:t>FIN DEL ANEXO</w:t>
      </w:r>
    </w:p>
    <w:p w14:paraId="413A575D" w14:textId="77777777" w:rsidR="006E4D53" w:rsidRPr="00DA6DB5" w:rsidRDefault="006E4D53" w:rsidP="006B267E">
      <w:pPr>
        <w:spacing w:before="0" w:after="0"/>
        <w:rPr>
          <w:rFonts w:asciiTheme="majorHAnsi" w:hAnsiTheme="majorHAnsi" w:cstheme="majorHAnsi"/>
        </w:rPr>
      </w:pPr>
    </w:p>
    <w:sectPr w:rsidR="006E4D53" w:rsidRPr="00DA6DB5" w:rsidSect="008B0943">
      <w:headerReference w:type="default" r:id="rId12"/>
      <w:footerReference w:type="default" r:id="rId13"/>
      <w:headerReference w:type="first" r:id="rId14"/>
      <w:footerReference w:type="first" r:id="rId15"/>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E697" w14:textId="77777777" w:rsidR="00C61420" w:rsidRDefault="00C61420" w:rsidP="00AA0519">
      <w:r>
        <w:separator/>
      </w:r>
    </w:p>
  </w:endnote>
  <w:endnote w:type="continuationSeparator" w:id="0">
    <w:p w14:paraId="155B7A1C" w14:textId="77777777" w:rsidR="00C61420" w:rsidRDefault="00C61420" w:rsidP="00AA0519">
      <w:r>
        <w:continuationSeparator/>
      </w:r>
    </w:p>
  </w:endnote>
  <w:endnote w:type="continuationNotice" w:id="1">
    <w:p w14:paraId="479B9C6C" w14:textId="77777777" w:rsidR="00C61420" w:rsidRDefault="00C614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1"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B73EE95" w:rsidR="003F2F4B" w:rsidRDefault="006A5912" w:rsidP="006A5912">
    <w:pPr>
      <w:tabs>
        <w:tab w:val="center" w:pos="4702"/>
        <w:tab w:val="left" w:pos="6000"/>
      </w:tabs>
    </w:pPr>
    <w:r>
      <w:tab/>
    </w:r>
    <w:r w:rsidR="003B1FEC">
      <w:rPr>
        <w:noProof/>
      </w:rPr>
      <w:drawing>
        <wp:anchor distT="0" distB="0" distL="114300" distR="114300" simplePos="0" relativeHeight="251658240"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D57E" w14:textId="77777777" w:rsidR="00C61420" w:rsidRDefault="00C61420" w:rsidP="00AA0519">
      <w:r>
        <w:separator/>
      </w:r>
    </w:p>
  </w:footnote>
  <w:footnote w:type="continuationSeparator" w:id="0">
    <w:p w14:paraId="7BFE933F" w14:textId="77777777" w:rsidR="00C61420" w:rsidRDefault="00C61420" w:rsidP="00AA0519">
      <w:r>
        <w:continuationSeparator/>
      </w:r>
    </w:p>
  </w:footnote>
  <w:footnote w:type="continuationNotice" w:id="1">
    <w:p w14:paraId="3E71BE0A" w14:textId="77777777" w:rsidR="00C61420" w:rsidRDefault="00C6142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5F36B591" w:rsidR="003F2F4B" w:rsidRPr="0088575D" w:rsidRDefault="006A5912" w:rsidP="0088575D">
    <w:pPr>
      <w:pStyle w:val="Encabezado"/>
      <w:spacing w:line="240" w:lineRule="auto"/>
      <w:rPr>
        <w:sz w:val="18"/>
        <w:szCs w:val="18"/>
        <w:u w:val="single"/>
      </w:rPr>
    </w:pPr>
    <w:r>
      <w:rPr>
        <w:noProof/>
      </w:rPr>
      <w:drawing>
        <wp:anchor distT="0" distB="0" distL="114300" distR="114300" simplePos="0" relativeHeight="251660292" behindDoc="1" locked="0" layoutInCell="1" allowOverlap="1" wp14:anchorId="50E075F5" wp14:editId="55660F98">
          <wp:simplePos x="0" y="0"/>
          <wp:positionH relativeFrom="column">
            <wp:posOffset>3105150</wp:posOffset>
          </wp:positionH>
          <wp:positionV relativeFrom="paragraph">
            <wp:posOffset>-597535</wp:posOffset>
          </wp:positionV>
          <wp:extent cx="3346234" cy="527857"/>
          <wp:effectExtent l="0" t="0" r="6985" b="5715"/>
          <wp:wrapNone/>
          <wp:docPr id="2055162634" name="Imagen 205516263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sidR="00DC1DE4">
      <w:rPr>
        <w:noProof/>
      </w:rPr>
      <w:drawing>
        <wp:anchor distT="0" distB="0" distL="114300" distR="114300" simplePos="0" relativeHeight="251658244" behindDoc="1" locked="0" layoutInCell="1" allowOverlap="1" wp14:anchorId="26D757D5" wp14:editId="26099D2F">
          <wp:simplePos x="0" y="0"/>
          <wp:positionH relativeFrom="column">
            <wp:posOffset>-106325</wp:posOffset>
          </wp:positionH>
          <wp:positionV relativeFrom="paragraph">
            <wp:posOffset>-542895</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2"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36D"/>
    <w:multiLevelType w:val="hybridMultilevel"/>
    <w:tmpl w:val="C6B218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523940"/>
    <w:multiLevelType w:val="hybridMultilevel"/>
    <w:tmpl w:val="15B4090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69110825"/>
    <w:multiLevelType w:val="hybridMultilevel"/>
    <w:tmpl w:val="15B4090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357973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304329">
    <w:abstractNumId w:val="1"/>
  </w:num>
  <w:num w:numId="3" w16cid:durableId="1853058672">
    <w:abstractNumId w:val="0"/>
  </w:num>
  <w:num w:numId="4" w16cid:durableId="545291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C6E"/>
    <w:rsid w:val="00003F2E"/>
    <w:rsid w:val="00011EC2"/>
    <w:rsid w:val="00020274"/>
    <w:rsid w:val="000246F5"/>
    <w:rsid w:val="00042CD1"/>
    <w:rsid w:val="00046BDF"/>
    <w:rsid w:val="00052FCF"/>
    <w:rsid w:val="00055689"/>
    <w:rsid w:val="0006499E"/>
    <w:rsid w:val="0007021C"/>
    <w:rsid w:val="00071899"/>
    <w:rsid w:val="00071BA7"/>
    <w:rsid w:val="0007307A"/>
    <w:rsid w:val="00074D17"/>
    <w:rsid w:val="00077288"/>
    <w:rsid w:val="00080F1B"/>
    <w:rsid w:val="00092B9B"/>
    <w:rsid w:val="000962ED"/>
    <w:rsid w:val="00096C84"/>
    <w:rsid w:val="000A0F93"/>
    <w:rsid w:val="000B439A"/>
    <w:rsid w:val="000C0F22"/>
    <w:rsid w:val="000C587A"/>
    <w:rsid w:val="000E34B6"/>
    <w:rsid w:val="000F11F6"/>
    <w:rsid w:val="000F1F7B"/>
    <w:rsid w:val="000F38B4"/>
    <w:rsid w:val="001017A9"/>
    <w:rsid w:val="00104749"/>
    <w:rsid w:val="001124C5"/>
    <w:rsid w:val="001215BB"/>
    <w:rsid w:val="001243FE"/>
    <w:rsid w:val="00124C31"/>
    <w:rsid w:val="0014353D"/>
    <w:rsid w:val="00153BE7"/>
    <w:rsid w:val="00161A22"/>
    <w:rsid w:val="00166CAE"/>
    <w:rsid w:val="00167A6C"/>
    <w:rsid w:val="00171037"/>
    <w:rsid w:val="0017374D"/>
    <w:rsid w:val="001A7EBE"/>
    <w:rsid w:val="001B4367"/>
    <w:rsid w:val="001B79AE"/>
    <w:rsid w:val="001C0D1E"/>
    <w:rsid w:val="001C2CE3"/>
    <w:rsid w:val="001E2DD2"/>
    <w:rsid w:val="001F303A"/>
    <w:rsid w:val="001F47AB"/>
    <w:rsid w:val="002241A4"/>
    <w:rsid w:val="002255D3"/>
    <w:rsid w:val="002328A6"/>
    <w:rsid w:val="0024085D"/>
    <w:rsid w:val="0024369F"/>
    <w:rsid w:val="00247E7C"/>
    <w:rsid w:val="00251D84"/>
    <w:rsid w:val="0025228C"/>
    <w:rsid w:val="00252C12"/>
    <w:rsid w:val="002534AB"/>
    <w:rsid w:val="00253B70"/>
    <w:rsid w:val="00260C1B"/>
    <w:rsid w:val="002635AF"/>
    <w:rsid w:val="0026395E"/>
    <w:rsid w:val="002833A1"/>
    <w:rsid w:val="00284F91"/>
    <w:rsid w:val="002B328C"/>
    <w:rsid w:val="002B6BE4"/>
    <w:rsid w:val="002C0E69"/>
    <w:rsid w:val="002C26C3"/>
    <w:rsid w:val="002C3C38"/>
    <w:rsid w:val="002C7D57"/>
    <w:rsid w:val="002D2694"/>
    <w:rsid w:val="002F1997"/>
    <w:rsid w:val="002F33FE"/>
    <w:rsid w:val="0030393A"/>
    <w:rsid w:val="00314F87"/>
    <w:rsid w:val="003165D8"/>
    <w:rsid w:val="00324760"/>
    <w:rsid w:val="003270A1"/>
    <w:rsid w:val="003321D1"/>
    <w:rsid w:val="003357DF"/>
    <w:rsid w:val="00343C29"/>
    <w:rsid w:val="003444CD"/>
    <w:rsid w:val="00353D1D"/>
    <w:rsid w:val="0035481A"/>
    <w:rsid w:val="00361DFF"/>
    <w:rsid w:val="00365EEE"/>
    <w:rsid w:val="0038014E"/>
    <w:rsid w:val="003930F8"/>
    <w:rsid w:val="003A7FC9"/>
    <w:rsid w:val="003B064C"/>
    <w:rsid w:val="003B1FEC"/>
    <w:rsid w:val="003B5931"/>
    <w:rsid w:val="003C2DE4"/>
    <w:rsid w:val="003C7E1C"/>
    <w:rsid w:val="003D0CF2"/>
    <w:rsid w:val="003F2F4B"/>
    <w:rsid w:val="003F3544"/>
    <w:rsid w:val="003F4C69"/>
    <w:rsid w:val="003F4C7C"/>
    <w:rsid w:val="00401C2A"/>
    <w:rsid w:val="00406E58"/>
    <w:rsid w:val="00407716"/>
    <w:rsid w:val="004170AF"/>
    <w:rsid w:val="0042181E"/>
    <w:rsid w:val="00421B38"/>
    <w:rsid w:val="00424561"/>
    <w:rsid w:val="0042602E"/>
    <w:rsid w:val="00442468"/>
    <w:rsid w:val="00456720"/>
    <w:rsid w:val="00457CC2"/>
    <w:rsid w:val="0047422F"/>
    <w:rsid w:val="004761F1"/>
    <w:rsid w:val="00483D6B"/>
    <w:rsid w:val="00486572"/>
    <w:rsid w:val="004A6C13"/>
    <w:rsid w:val="004A6CAB"/>
    <w:rsid w:val="004C0855"/>
    <w:rsid w:val="004C69B7"/>
    <w:rsid w:val="004D354E"/>
    <w:rsid w:val="004E5821"/>
    <w:rsid w:val="004E5EB5"/>
    <w:rsid w:val="004F2CF5"/>
    <w:rsid w:val="004F3A58"/>
    <w:rsid w:val="004F6403"/>
    <w:rsid w:val="0050758C"/>
    <w:rsid w:val="00512795"/>
    <w:rsid w:val="00515BEF"/>
    <w:rsid w:val="00555528"/>
    <w:rsid w:val="00556AFA"/>
    <w:rsid w:val="005603E3"/>
    <w:rsid w:val="00571E07"/>
    <w:rsid w:val="005723D7"/>
    <w:rsid w:val="00587F12"/>
    <w:rsid w:val="0059216C"/>
    <w:rsid w:val="005A4453"/>
    <w:rsid w:val="005A4743"/>
    <w:rsid w:val="005B4F83"/>
    <w:rsid w:val="005B53D9"/>
    <w:rsid w:val="005B5736"/>
    <w:rsid w:val="005B6DDE"/>
    <w:rsid w:val="005B7C5E"/>
    <w:rsid w:val="005C287A"/>
    <w:rsid w:val="005C42EC"/>
    <w:rsid w:val="005D0D1B"/>
    <w:rsid w:val="005D7D66"/>
    <w:rsid w:val="005E366C"/>
    <w:rsid w:val="005F539C"/>
    <w:rsid w:val="005F6877"/>
    <w:rsid w:val="00602072"/>
    <w:rsid w:val="006127C2"/>
    <w:rsid w:val="00623B72"/>
    <w:rsid w:val="00651863"/>
    <w:rsid w:val="00652AA7"/>
    <w:rsid w:val="006568A4"/>
    <w:rsid w:val="00657A16"/>
    <w:rsid w:val="006629AD"/>
    <w:rsid w:val="00671068"/>
    <w:rsid w:val="00671C4A"/>
    <w:rsid w:val="006821A6"/>
    <w:rsid w:val="00683190"/>
    <w:rsid w:val="0068696F"/>
    <w:rsid w:val="006A5912"/>
    <w:rsid w:val="006B0148"/>
    <w:rsid w:val="006B267E"/>
    <w:rsid w:val="006B276F"/>
    <w:rsid w:val="006B4075"/>
    <w:rsid w:val="006B597B"/>
    <w:rsid w:val="006D300D"/>
    <w:rsid w:val="006D57EA"/>
    <w:rsid w:val="006E4D53"/>
    <w:rsid w:val="007018A2"/>
    <w:rsid w:val="007107B3"/>
    <w:rsid w:val="00717096"/>
    <w:rsid w:val="00723357"/>
    <w:rsid w:val="00735E1F"/>
    <w:rsid w:val="0074199A"/>
    <w:rsid w:val="00751C9A"/>
    <w:rsid w:val="00752DEC"/>
    <w:rsid w:val="00762CBD"/>
    <w:rsid w:val="0076353F"/>
    <w:rsid w:val="00774020"/>
    <w:rsid w:val="0078062A"/>
    <w:rsid w:val="00782E51"/>
    <w:rsid w:val="0078631A"/>
    <w:rsid w:val="00787507"/>
    <w:rsid w:val="00795960"/>
    <w:rsid w:val="007A4110"/>
    <w:rsid w:val="007A7C1D"/>
    <w:rsid w:val="007B3A45"/>
    <w:rsid w:val="007B3D24"/>
    <w:rsid w:val="007B62E7"/>
    <w:rsid w:val="007C5C9C"/>
    <w:rsid w:val="007D3EDE"/>
    <w:rsid w:val="007D646C"/>
    <w:rsid w:val="007E547D"/>
    <w:rsid w:val="007F3681"/>
    <w:rsid w:val="007F42E3"/>
    <w:rsid w:val="007F4E31"/>
    <w:rsid w:val="00806E3F"/>
    <w:rsid w:val="00813D8F"/>
    <w:rsid w:val="00814AE9"/>
    <w:rsid w:val="0082076E"/>
    <w:rsid w:val="00823401"/>
    <w:rsid w:val="008376DE"/>
    <w:rsid w:val="00843C57"/>
    <w:rsid w:val="00847FE4"/>
    <w:rsid w:val="00852400"/>
    <w:rsid w:val="008776E3"/>
    <w:rsid w:val="00880FBF"/>
    <w:rsid w:val="008847C9"/>
    <w:rsid w:val="0088575D"/>
    <w:rsid w:val="0089113D"/>
    <w:rsid w:val="00891FE9"/>
    <w:rsid w:val="008A2856"/>
    <w:rsid w:val="008A595A"/>
    <w:rsid w:val="008B0943"/>
    <w:rsid w:val="008D6382"/>
    <w:rsid w:val="008E1EF3"/>
    <w:rsid w:val="008E5975"/>
    <w:rsid w:val="008F0B11"/>
    <w:rsid w:val="00930F73"/>
    <w:rsid w:val="0093338B"/>
    <w:rsid w:val="0094082D"/>
    <w:rsid w:val="00944F26"/>
    <w:rsid w:val="00951D42"/>
    <w:rsid w:val="00957BE3"/>
    <w:rsid w:val="00973D1E"/>
    <w:rsid w:val="00976702"/>
    <w:rsid w:val="0099115C"/>
    <w:rsid w:val="00997712"/>
    <w:rsid w:val="009A3312"/>
    <w:rsid w:val="009B2081"/>
    <w:rsid w:val="009B5B3B"/>
    <w:rsid w:val="009C78DB"/>
    <w:rsid w:val="009E2C48"/>
    <w:rsid w:val="009E484D"/>
    <w:rsid w:val="009E7865"/>
    <w:rsid w:val="009F1E69"/>
    <w:rsid w:val="009F3478"/>
    <w:rsid w:val="009F5428"/>
    <w:rsid w:val="00A14394"/>
    <w:rsid w:val="00A15CDD"/>
    <w:rsid w:val="00A15D55"/>
    <w:rsid w:val="00A23C64"/>
    <w:rsid w:val="00A272CF"/>
    <w:rsid w:val="00A30217"/>
    <w:rsid w:val="00A3368E"/>
    <w:rsid w:val="00A378DE"/>
    <w:rsid w:val="00A65A82"/>
    <w:rsid w:val="00A77786"/>
    <w:rsid w:val="00A77E4A"/>
    <w:rsid w:val="00A84924"/>
    <w:rsid w:val="00A90A86"/>
    <w:rsid w:val="00A92B44"/>
    <w:rsid w:val="00AA0519"/>
    <w:rsid w:val="00AA7A5F"/>
    <w:rsid w:val="00AB7C99"/>
    <w:rsid w:val="00AC62CA"/>
    <w:rsid w:val="00AD64E1"/>
    <w:rsid w:val="00AE3ED7"/>
    <w:rsid w:val="00AF7CEA"/>
    <w:rsid w:val="00B00BDC"/>
    <w:rsid w:val="00B01C9C"/>
    <w:rsid w:val="00B1669B"/>
    <w:rsid w:val="00B21D67"/>
    <w:rsid w:val="00B27A38"/>
    <w:rsid w:val="00B536A9"/>
    <w:rsid w:val="00B54C11"/>
    <w:rsid w:val="00B61CA9"/>
    <w:rsid w:val="00B738A1"/>
    <w:rsid w:val="00B74DFE"/>
    <w:rsid w:val="00B870FE"/>
    <w:rsid w:val="00B90126"/>
    <w:rsid w:val="00B95236"/>
    <w:rsid w:val="00BA0BE0"/>
    <w:rsid w:val="00BA2FF6"/>
    <w:rsid w:val="00BB35F9"/>
    <w:rsid w:val="00BB42ED"/>
    <w:rsid w:val="00BB6B1A"/>
    <w:rsid w:val="00BE0884"/>
    <w:rsid w:val="00BE25AA"/>
    <w:rsid w:val="00BF1E4E"/>
    <w:rsid w:val="00C30D89"/>
    <w:rsid w:val="00C40CC7"/>
    <w:rsid w:val="00C47154"/>
    <w:rsid w:val="00C54B02"/>
    <w:rsid w:val="00C61420"/>
    <w:rsid w:val="00C6426E"/>
    <w:rsid w:val="00C72454"/>
    <w:rsid w:val="00C81E1F"/>
    <w:rsid w:val="00C8578B"/>
    <w:rsid w:val="00C9169C"/>
    <w:rsid w:val="00C9760D"/>
    <w:rsid w:val="00CA71BD"/>
    <w:rsid w:val="00CA78CC"/>
    <w:rsid w:val="00CB3666"/>
    <w:rsid w:val="00CB504F"/>
    <w:rsid w:val="00CD2FDD"/>
    <w:rsid w:val="00CD6394"/>
    <w:rsid w:val="00CE40F0"/>
    <w:rsid w:val="00CE56B7"/>
    <w:rsid w:val="00CE66F4"/>
    <w:rsid w:val="00D05EC0"/>
    <w:rsid w:val="00D31768"/>
    <w:rsid w:val="00D6137A"/>
    <w:rsid w:val="00D65AB7"/>
    <w:rsid w:val="00D722E9"/>
    <w:rsid w:val="00D754A1"/>
    <w:rsid w:val="00D765B4"/>
    <w:rsid w:val="00D87556"/>
    <w:rsid w:val="00D90A68"/>
    <w:rsid w:val="00D915DC"/>
    <w:rsid w:val="00D96E3C"/>
    <w:rsid w:val="00DA03D7"/>
    <w:rsid w:val="00DA6DB5"/>
    <w:rsid w:val="00DC1B59"/>
    <w:rsid w:val="00DC1DE4"/>
    <w:rsid w:val="00DC57BD"/>
    <w:rsid w:val="00DD5D6A"/>
    <w:rsid w:val="00DE72E4"/>
    <w:rsid w:val="00DF79E2"/>
    <w:rsid w:val="00E035CC"/>
    <w:rsid w:val="00E04A6A"/>
    <w:rsid w:val="00E05F41"/>
    <w:rsid w:val="00E22C7F"/>
    <w:rsid w:val="00E44A7E"/>
    <w:rsid w:val="00E56853"/>
    <w:rsid w:val="00E63B05"/>
    <w:rsid w:val="00E77923"/>
    <w:rsid w:val="00E91160"/>
    <w:rsid w:val="00E96EFB"/>
    <w:rsid w:val="00E97238"/>
    <w:rsid w:val="00EA106E"/>
    <w:rsid w:val="00EA4C17"/>
    <w:rsid w:val="00EC5291"/>
    <w:rsid w:val="00EC5847"/>
    <w:rsid w:val="00EC6D63"/>
    <w:rsid w:val="00ED2E59"/>
    <w:rsid w:val="00ED6229"/>
    <w:rsid w:val="00EF3DAB"/>
    <w:rsid w:val="00EF5292"/>
    <w:rsid w:val="00F02D43"/>
    <w:rsid w:val="00F13D47"/>
    <w:rsid w:val="00F20272"/>
    <w:rsid w:val="00F27D7F"/>
    <w:rsid w:val="00F32303"/>
    <w:rsid w:val="00F32BC5"/>
    <w:rsid w:val="00F35EFC"/>
    <w:rsid w:val="00F45C6F"/>
    <w:rsid w:val="00F47433"/>
    <w:rsid w:val="00F5642A"/>
    <w:rsid w:val="00F6671D"/>
    <w:rsid w:val="00F66BF3"/>
    <w:rsid w:val="00F7294D"/>
    <w:rsid w:val="00F738CD"/>
    <w:rsid w:val="00F80B1D"/>
    <w:rsid w:val="00F82573"/>
    <w:rsid w:val="00F832F2"/>
    <w:rsid w:val="00FA3735"/>
    <w:rsid w:val="00FA6661"/>
    <w:rsid w:val="00FB07C1"/>
    <w:rsid w:val="00FC759B"/>
    <w:rsid w:val="00FD2A8B"/>
    <w:rsid w:val="00FE44D5"/>
    <w:rsid w:val="00FF72A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3B2C706E-2607-4F9B-A1E2-1720E44F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880FBF"/>
    <w:rPr>
      <w:color w:val="0000FF"/>
      <w:u w:val="single"/>
    </w:rPr>
  </w:style>
  <w:style w:type="paragraph" w:styleId="NormalWeb">
    <w:name w:val="Normal (Web)"/>
    <w:basedOn w:val="Normal"/>
    <w:uiPriority w:val="99"/>
    <w:unhideWhenUsed/>
    <w:rsid w:val="00880FBF"/>
    <w:pPr>
      <w:spacing w:before="100" w:beforeAutospacing="1" w:after="100" w:afterAutospacing="1" w:line="240" w:lineRule="auto"/>
    </w:pPr>
    <w:rPr>
      <w:rFonts w:ascii="Times New Roman" w:eastAsia="Times New Roman" w:hAnsi="Times New Roman" w:cs="Times New Roman"/>
      <w:lang w:eastAsia="es-CO"/>
    </w:rPr>
  </w:style>
  <w:style w:type="paragraph" w:styleId="Prrafodelista">
    <w:name w:val="List Paragraph"/>
    <w:basedOn w:val="Normal"/>
    <w:uiPriority w:val="34"/>
    <w:qFormat/>
    <w:rsid w:val="00AB7C99"/>
    <w:pPr>
      <w:ind w:left="720"/>
      <w:contextualSpacing/>
    </w:pPr>
  </w:style>
  <w:style w:type="table" w:styleId="Tablaconcuadrcula">
    <w:name w:val="Table Grid"/>
    <w:basedOn w:val="Tablanormal"/>
    <w:uiPriority w:val="39"/>
    <w:rsid w:val="00AB7C99"/>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F6403"/>
    <w:pPr>
      <w:spacing w:before="0" w:after="200" w:line="240" w:lineRule="auto"/>
    </w:pPr>
    <w:rPr>
      <w:i/>
      <w:iCs/>
      <w:color w:val="44546A" w:themeColor="text2"/>
      <w:sz w:val="18"/>
      <w:szCs w:val="18"/>
    </w:rPr>
  </w:style>
  <w:style w:type="paragraph" w:styleId="Revisin">
    <w:name w:val="Revision"/>
    <w:hidden/>
    <w:uiPriority w:val="99"/>
    <w:semiHidden/>
    <w:rsid w:val="00DA03D7"/>
    <w:pPr>
      <w:spacing w:line="240" w:lineRule="auto"/>
    </w:pPr>
  </w:style>
  <w:style w:type="character" w:styleId="Refdecomentario">
    <w:name w:val="annotation reference"/>
    <w:basedOn w:val="Fuentedeprrafopredeter"/>
    <w:uiPriority w:val="99"/>
    <w:semiHidden/>
    <w:unhideWhenUsed/>
    <w:rsid w:val="00DA03D7"/>
    <w:rPr>
      <w:sz w:val="16"/>
      <w:szCs w:val="16"/>
    </w:rPr>
  </w:style>
  <w:style w:type="paragraph" w:styleId="Textocomentario">
    <w:name w:val="annotation text"/>
    <w:basedOn w:val="Normal"/>
    <w:link w:val="TextocomentarioCar"/>
    <w:uiPriority w:val="99"/>
    <w:unhideWhenUsed/>
    <w:rsid w:val="00DA03D7"/>
    <w:pPr>
      <w:spacing w:line="240" w:lineRule="auto"/>
    </w:pPr>
    <w:rPr>
      <w:sz w:val="20"/>
      <w:szCs w:val="20"/>
    </w:rPr>
  </w:style>
  <w:style w:type="character" w:customStyle="1" w:styleId="TextocomentarioCar">
    <w:name w:val="Texto comentario Car"/>
    <w:basedOn w:val="Fuentedeprrafopredeter"/>
    <w:link w:val="Textocomentario"/>
    <w:uiPriority w:val="99"/>
    <w:rsid w:val="00DA03D7"/>
    <w:rPr>
      <w:sz w:val="20"/>
      <w:szCs w:val="20"/>
    </w:rPr>
  </w:style>
  <w:style w:type="paragraph" w:styleId="Asuntodelcomentario">
    <w:name w:val="annotation subject"/>
    <w:basedOn w:val="Textocomentario"/>
    <w:next w:val="Textocomentario"/>
    <w:link w:val="AsuntodelcomentarioCar"/>
    <w:uiPriority w:val="99"/>
    <w:semiHidden/>
    <w:unhideWhenUsed/>
    <w:rsid w:val="00DA03D7"/>
    <w:rPr>
      <w:b/>
      <w:bCs/>
    </w:rPr>
  </w:style>
  <w:style w:type="character" w:customStyle="1" w:styleId="AsuntodelcomentarioCar">
    <w:name w:val="Asunto del comentario Car"/>
    <w:basedOn w:val="TextocomentarioCar"/>
    <w:link w:val="Asuntodelcomentario"/>
    <w:uiPriority w:val="99"/>
    <w:semiHidden/>
    <w:rsid w:val="00DA0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8226">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675425458">
      <w:bodyDiv w:val="1"/>
      <w:marLeft w:val="0"/>
      <w:marRight w:val="0"/>
      <w:marTop w:val="0"/>
      <w:marBottom w:val="0"/>
      <w:divBdr>
        <w:top w:val="none" w:sz="0" w:space="0" w:color="auto"/>
        <w:left w:val="none" w:sz="0" w:space="0" w:color="auto"/>
        <w:bottom w:val="none" w:sz="0" w:space="0" w:color="auto"/>
        <w:right w:val="none" w:sz="0" w:space="0" w:color="auto"/>
      </w:divBdr>
    </w:div>
    <w:div w:id="753017030">
      <w:bodyDiv w:val="1"/>
      <w:marLeft w:val="0"/>
      <w:marRight w:val="0"/>
      <w:marTop w:val="0"/>
      <w:marBottom w:val="0"/>
      <w:divBdr>
        <w:top w:val="none" w:sz="0" w:space="0" w:color="auto"/>
        <w:left w:val="none" w:sz="0" w:space="0" w:color="auto"/>
        <w:bottom w:val="none" w:sz="0" w:space="0" w:color="auto"/>
        <w:right w:val="none" w:sz="0" w:space="0" w:color="auto"/>
      </w:divBdr>
    </w:div>
    <w:div w:id="899169403">
      <w:bodyDiv w:val="1"/>
      <w:marLeft w:val="0"/>
      <w:marRight w:val="0"/>
      <w:marTop w:val="0"/>
      <w:marBottom w:val="0"/>
      <w:divBdr>
        <w:top w:val="none" w:sz="0" w:space="0" w:color="auto"/>
        <w:left w:val="none" w:sz="0" w:space="0" w:color="auto"/>
        <w:bottom w:val="none" w:sz="0" w:space="0" w:color="auto"/>
        <w:right w:val="none" w:sz="0" w:space="0" w:color="auto"/>
      </w:divBdr>
    </w:div>
    <w:div w:id="1020929775">
      <w:bodyDiv w:val="1"/>
      <w:marLeft w:val="0"/>
      <w:marRight w:val="0"/>
      <w:marTop w:val="0"/>
      <w:marBottom w:val="0"/>
      <w:divBdr>
        <w:top w:val="none" w:sz="0" w:space="0" w:color="auto"/>
        <w:left w:val="none" w:sz="0" w:space="0" w:color="auto"/>
        <w:bottom w:val="none" w:sz="0" w:space="0" w:color="auto"/>
        <w:right w:val="none" w:sz="0" w:space="0" w:color="auto"/>
      </w:divBdr>
    </w:div>
    <w:div w:id="1025331253">
      <w:bodyDiv w:val="1"/>
      <w:marLeft w:val="0"/>
      <w:marRight w:val="0"/>
      <w:marTop w:val="0"/>
      <w:marBottom w:val="0"/>
      <w:divBdr>
        <w:top w:val="none" w:sz="0" w:space="0" w:color="auto"/>
        <w:left w:val="none" w:sz="0" w:space="0" w:color="auto"/>
        <w:bottom w:val="none" w:sz="0" w:space="0" w:color="auto"/>
        <w:right w:val="none" w:sz="0" w:space="0" w:color="auto"/>
      </w:divBdr>
    </w:div>
    <w:div w:id="1142116751">
      <w:bodyDiv w:val="1"/>
      <w:marLeft w:val="0"/>
      <w:marRight w:val="0"/>
      <w:marTop w:val="0"/>
      <w:marBottom w:val="0"/>
      <w:divBdr>
        <w:top w:val="none" w:sz="0" w:space="0" w:color="auto"/>
        <w:left w:val="none" w:sz="0" w:space="0" w:color="auto"/>
        <w:bottom w:val="none" w:sz="0" w:space="0" w:color="auto"/>
        <w:right w:val="none" w:sz="0" w:space="0" w:color="auto"/>
      </w:divBdr>
    </w:div>
    <w:div w:id="1665932350">
      <w:bodyDiv w:val="1"/>
      <w:marLeft w:val="0"/>
      <w:marRight w:val="0"/>
      <w:marTop w:val="0"/>
      <w:marBottom w:val="0"/>
      <w:divBdr>
        <w:top w:val="none" w:sz="0" w:space="0" w:color="auto"/>
        <w:left w:val="none" w:sz="0" w:space="0" w:color="auto"/>
        <w:bottom w:val="none" w:sz="0" w:space="0" w:color="auto"/>
        <w:right w:val="none" w:sz="0" w:space="0" w:color="auto"/>
      </w:divBdr>
    </w:div>
    <w:div w:id="1704092789">
      <w:bodyDiv w:val="1"/>
      <w:marLeft w:val="0"/>
      <w:marRight w:val="0"/>
      <w:marTop w:val="0"/>
      <w:marBottom w:val="0"/>
      <w:divBdr>
        <w:top w:val="none" w:sz="0" w:space="0" w:color="auto"/>
        <w:left w:val="none" w:sz="0" w:space="0" w:color="auto"/>
        <w:bottom w:val="none" w:sz="0" w:space="0" w:color="auto"/>
        <w:right w:val="none" w:sz="0" w:space="0" w:color="auto"/>
      </w:divBdr>
    </w:div>
    <w:div w:id="19984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NBL5Y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German Leonardo Camacho Ahumada</DisplayName>
        <AccountId>36</AccountId>
        <AccountType/>
      </UserInfo>
      <UserInfo>
        <DisplayName>Cindy Carolina Lugo Rozo</DisplayName>
        <AccountId>39</AccountId>
        <AccountType/>
      </UserInfo>
      <UserInfo>
        <DisplayName>Monica Andrea Perez Ferro</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1efd105a0a22d8a5dbf8c5fd8ddb606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e3bea99d24e93341967b08a477f55f9"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D29A-D23C-421E-BC1C-A91EA13FC377}">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2.xml><?xml version="1.0" encoding="utf-8"?>
<ds:datastoreItem xmlns:ds="http://schemas.openxmlformats.org/officeDocument/2006/customXml" ds:itemID="{2F075348-0F90-4673-9472-05E7BB72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DA8D9-32FF-4863-AA19-F73925709B34}">
  <ds:schemaRefs>
    <ds:schemaRef ds:uri="http://schemas.microsoft.com/sharepoint/v3/contenttype/forms"/>
  </ds:schemaRefs>
</ds:datastoreItem>
</file>

<file path=customXml/itemProps4.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2260</Words>
  <Characters>12436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14667</CharactersWithSpaces>
  <SharedDoc>false</SharedDoc>
  <HLinks>
    <vt:vector size="6" baseType="variant">
      <vt:variant>
        <vt:i4>2752622</vt:i4>
      </vt:variant>
      <vt:variant>
        <vt:i4>0</vt:i4>
      </vt:variant>
      <vt:variant>
        <vt:i4>0</vt:i4>
      </vt:variant>
      <vt:variant>
        <vt:i4>5</vt:i4>
      </vt:variant>
      <vt:variant>
        <vt:lpwstr>https://bit.ly/3NBL5YA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23</cp:revision>
  <cp:lastPrinted>2023-05-03T02:04:00Z</cp:lastPrinted>
  <dcterms:created xsi:type="dcterms:W3CDTF">2023-03-31T12:57:00Z</dcterms:created>
  <dcterms:modified xsi:type="dcterms:W3CDTF">2023-05-03T02:04:00Z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