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54" w:rsidRPr="003C4875" w:rsidRDefault="00D82B54" w:rsidP="00D82B54">
      <w:pPr>
        <w:rPr>
          <w:rFonts w:ascii="Arial" w:hAnsi="Arial" w:cs="Arial"/>
          <w:szCs w:val="24"/>
        </w:rPr>
      </w:pPr>
      <w:bookmarkStart w:id="0" w:name="_GoBack"/>
      <w:bookmarkEnd w:id="0"/>
      <w:r w:rsidRPr="003C4875">
        <w:rPr>
          <w:rFonts w:ascii="Arial" w:hAnsi="Arial" w:cs="Arial"/>
          <w:szCs w:val="24"/>
        </w:rPr>
        <w:t xml:space="preserve">Bogotá, </w:t>
      </w:r>
      <w:r w:rsidR="00472EDC">
        <w:rPr>
          <w:rFonts w:ascii="Arial" w:hAnsi="Arial" w:cs="Arial"/>
          <w:szCs w:val="24"/>
        </w:rPr>
        <w:t>septiembre 5</w:t>
      </w:r>
      <w:r w:rsidR="00590BAE" w:rsidRPr="003C4875">
        <w:rPr>
          <w:rFonts w:ascii="Arial" w:hAnsi="Arial" w:cs="Arial"/>
          <w:szCs w:val="24"/>
        </w:rPr>
        <w:t xml:space="preserve"> de</w:t>
      </w:r>
      <w:r w:rsidR="00C37948" w:rsidRPr="003C4875">
        <w:rPr>
          <w:rFonts w:ascii="Arial" w:hAnsi="Arial" w:cs="Arial"/>
          <w:szCs w:val="24"/>
        </w:rPr>
        <w:t xml:space="preserve"> 201</w:t>
      </w:r>
      <w:r w:rsidR="008E2E49" w:rsidRPr="003C4875">
        <w:rPr>
          <w:rFonts w:ascii="Arial" w:hAnsi="Arial" w:cs="Arial"/>
          <w:szCs w:val="24"/>
        </w:rPr>
        <w:t>1</w:t>
      </w: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AA4538" w:rsidRDefault="00AA4538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AA4538" w:rsidRPr="00D64394" w:rsidRDefault="00AA4538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4A0C8D" w:rsidRPr="00A62B48" w:rsidRDefault="00D82B54" w:rsidP="00F61507">
      <w:pPr>
        <w:pStyle w:val="Ttulo2"/>
        <w:jc w:val="center"/>
        <w:rPr>
          <w:rFonts w:ascii="Arial" w:hAnsi="Arial" w:cs="Arial"/>
          <w:b/>
          <w:bCs/>
          <w:iCs/>
          <w:sz w:val="40"/>
          <w:szCs w:val="40"/>
        </w:rPr>
      </w:pPr>
      <w:r w:rsidRPr="00A62B48">
        <w:rPr>
          <w:rFonts w:ascii="Arial" w:hAnsi="Arial" w:cs="Arial"/>
          <w:b/>
          <w:bCs/>
          <w:iCs/>
          <w:sz w:val="40"/>
          <w:szCs w:val="40"/>
        </w:rPr>
        <w:t>CIRCULAR No</w:t>
      </w:r>
      <w:r w:rsidR="00B139AB" w:rsidRPr="00A62B48">
        <w:rPr>
          <w:rFonts w:ascii="Arial" w:hAnsi="Arial" w:cs="Arial"/>
          <w:b/>
          <w:bCs/>
          <w:iCs/>
          <w:sz w:val="40"/>
          <w:szCs w:val="40"/>
        </w:rPr>
        <w:t>.</w:t>
      </w:r>
      <w:r w:rsidR="000B4230" w:rsidRPr="00A62B48">
        <w:rPr>
          <w:rFonts w:ascii="Arial" w:hAnsi="Arial" w:cs="Arial"/>
          <w:b/>
          <w:bCs/>
          <w:iCs/>
          <w:sz w:val="40"/>
          <w:szCs w:val="40"/>
        </w:rPr>
        <w:t xml:space="preserve"> </w:t>
      </w:r>
      <w:r w:rsidR="00A62B48" w:rsidRPr="00A62B48">
        <w:rPr>
          <w:rFonts w:ascii="Arial" w:hAnsi="Arial" w:cs="Arial"/>
          <w:b/>
          <w:bCs/>
          <w:iCs/>
          <w:sz w:val="40"/>
          <w:szCs w:val="40"/>
        </w:rPr>
        <w:t>0</w:t>
      </w:r>
      <w:r w:rsidR="0079190D">
        <w:rPr>
          <w:rFonts w:ascii="Arial" w:hAnsi="Arial" w:cs="Arial"/>
          <w:b/>
          <w:bCs/>
          <w:iCs/>
          <w:sz w:val="40"/>
          <w:szCs w:val="40"/>
        </w:rPr>
        <w:t>50</w:t>
      </w:r>
    </w:p>
    <w:p w:rsidR="00A070B4" w:rsidRPr="00590BAE" w:rsidRDefault="00A070B4" w:rsidP="00F61507">
      <w:pPr>
        <w:rPr>
          <w:rFonts w:ascii="Arial" w:hAnsi="Arial" w:cs="Arial"/>
          <w:szCs w:val="24"/>
          <w:lang w:val="es-ES"/>
        </w:rPr>
      </w:pPr>
    </w:p>
    <w:p w:rsidR="00BB0356" w:rsidRPr="00590BAE" w:rsidRDefault="00BB0356" w:rsidP="00F61507">
      <w:pPr>
        <w:rPr>
          <w:rFonts w:ascii="Arial" w:hAnsi="Arial" w:cs="Arial"/>
          <w:szCs w:val="24"/>
          <w:lang w:val="es-ES"/>
        </w:rPr>
      </w:pPr>
    </w:p>
    <w:p w:rsidR="00656D79" w:rsidRDefault="00656D79" w:rsidP="003575FF">
      <w:pPr>
        <w:pStyle w:val="Sangra2detindependiente"/>
        <w:ind w:left="1418" w:hanging="1418"/>
        <w:rPr>
          <w:rFonts w:cs="Arial"/>
          <w:szCs w:val="24"/>
        </w:rPr>
      </w:pPr>
      <w:r w:rsidRPr="00590BAE">
        <w:rPr>
          <w:rFonts w:cs="Arial"/>
          <w:bCs/>
          <w:szCs w:val="24"/>
        </w:rPr>
        <w:t>PARA:</w:t>
      </w:r>
      <w:r w:rsidRPr="00590BAE">
        <w:rPr>
          <w:rFonts w:cs="Arial"/>
          <w:szCs w:val="24"/>
        </w:rPr>
        <w:t xml:space="preserve"> </w:t>
      </w:r>
      <w:r w:rsidRPr="00590BAE">
        <w:rPr>
          <w:rFonts w:cs="Arial"/>
          <w:szCs w:val="24"/>
        </w:rPr>
        <w:tab/>
      </w:r>
      <w:r w:rsidR="003575FF" w:rsidRPr="003575FF">
        <w:rPr>
          <w:rFonts w:cs="Arial"/>
          <w:szCs w:val="24"/>
        </w:rPr>
        <w:t xml:space="preserve">EMPRESAS COMERCIALIZADORAS MAYORISTAS, </w:t>
      </w:r>
      <w:r w:rsidR="00B15183" w:rsidRPr="003575FF">
        <w:rPr>
          <w:rFonts w:cs="Arial"/>
          <w:szCs w:val="24"/>
        </w:rPr>
        <w:t>TRANSPORTADORAS</w:t>
      </w:r>
      <w:r w:rsidR="00B15183">
        <w:rPr>
          <w:rFonts w:cs="Arial"/>
          <w:szCs w:val="24"/>
        </w:rPr>
        <w:t>,</w:t>
      </w:r>
      <w:r w:rsidR="00B15183" w:rsidRPr="003575FF">
        <w:rPr>
          <w:rFonts w:cs="Arial"/>
          <w:szCs w:val="24"/>
        </w:rPr>
        <w:t xml:space="preserve"> </w:t>
      </w:r>
      <w:r w:rsidR="003575FF" w:rsidRPr="003575FF">
        <w:rPr>
          <w:rFonts w:cs="Arial"/>
          <w:szCs w:val="24"/>
        </w:rPr>
        <w:t>DISTRIBUIDORAS Y COMERCIALIZADORAS MINORISTAS DE GLP Y DEMÁS INTERESADOS</w:t>
      </w:r>
      <w:r w:rsidR="00A62B48">
        <w:rPr>
          <w:rFonts w:cs="Arial"/>
          <w:szCs w:val="24"/>
        </w:rPr>
        <w:t>.</w:t>
      </w:r>
    </w:p>
    <w:p w:rsidR="00A62B48" w:rsidRPr="003575FF" w:rsidRDefault="00A62B48" w:rsidP="003575FF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656D79" w:rsidRDefault="00656D79" w:rsidP="00656D79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>DE:</w:t>
      </w:r>
      <w:r w:rsidRPr="00590BAE">
        <w:rPr>
          <w:rFonts w:cs="Arial"/>
          <w:bCs/>
          <w:szCs w:val="24"/>
        </w:rPr>
        <w:tab/>
      </w:r>
      <w:r w:rsidR="00590BAE" w:rsidRPr="00590BAE">
        <w:rPr>
          <w:rFonts w:cs="Arial"/>
          <w:bCs/>
          <w:szCs w:val="24"/>
        </w:rPr>
        <w:t>DIRECCI</w:t>
      </w:r>
      <w:r w:rsidR="00590BAE">
        <w:rPr>
          <w:rFonts w:cs="Arial"/>
          <w:bCs/>
          <w:szCs w:val="24"/>
        </w:rPr>
        <w:t>ÓN EJECUTIVA</w:t>
      </w:r>
    </w:p>
    <w:p w:rsidR="00B15183" w:rsidRPr="00590BAE" w:rsidRDefault="00B15183" w:rsidP="00656D79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656D79" w:rsidRPr="00590BAE" w:rsidRDefault="00656D79" w:rsidP="00C37948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 xml:space="preserve">ASUNTO: </w:t>
      </w:r>
      <w:r w:rsidRPr="00590BAE">
        <w:rPr>
          <w:rFonts w:cs="Arial"/>
          <w:bCs/>
          <w:szCs w:val="24"/>
        </w:rPr>
        <w:tab/>
      </w:r>
      <w:r w:rsidR="003562DE">
        <w:rPr>
          <w:rFonts w:cs="Arial"/>
          <w:bCs/>
          <w:szCs w:val="24"/>
        </w:rPr>
        <w:t>LISTADO DE</w:t>
      </w:r>
      <w:r w:rsidR="00A62B48">
        <w:rPr>
          <w:rFonts w:cs="Arial"/>
          <w:bCs/>
          <w:szCs w:val="24"/>
        </w:rPr>
        <w:t xml:space="preserve"> </w:t>
      </w:r>
      <w:r w:rsidR="003562DE">
        <w:rPr>
          <w:rFonts w:cs="Arial"/>
          <w:bCs/>
          <w:szCs w:val="24"/>
        </w:rPr>
        <w:t xml:space="preserve">MUNICIPIOS QUE CONFORMAN LAS </w:t>
      </w:r>
      <w:r w:rsidR="00A62B48">
        <w:rPr>
          <w:rFonts w:cs="Arial"/>
          <w:bCs/>
          <w:szCs w:val="24"/>
        </w:rPr>
        <w:t xml:space="preserve">ZONAS DE INFLUENCIA </w:t>
      </w:r>
      <w:r w:rsidR="003562DE">
        <w:rPr>
          <w:rFonts w:cs="Arial"/>
          <w:bCs/>
          <w:szCs w:val="24"/>
        </w:rPr>
        <w:t>PARA LA OPC ABIERTA EL 30 DE AGOSTO DE 2011</w:t>
      </w:r>
      <w:r w:rsidR="00A62B48">
        <w:rPr>
          <w:rFonts w:cs="Arial"/>
          <w:bCs/>
          <w:szCs w:val="24"/>
        </w:rPr>
        <w:t>.</w:t>
      </w:r>
    </w:p>
    <w:p w:rsidR="00656D79" w:rsidRPr="00590BAE" w:rsidRDefault="00656D79" w:rsidP="00656D79">
      <w:pPr>
        <w:pStyle w:val="Sangra2detindependiente"/>
        <w:ind w:left="0"/>
        <w:rPr>
          <w:rFonts w:cs="Arial"/>
          <w:bCs/>
          <w:szCs w:val="24"/>
        </w:rPr>
      </w:pPr>
    </w:p>
    <w:p w:rsidR="00D97693" w:rsidRDefault="00D97693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3562DE" w:rsidRDefault="00D97693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 xml:space="preserve">Mediante </w:t>
      </w:r>
      <w:r w:rsidR="003562DE">
        <w:rPr>
          <w:rFonts w:ascii="Arial" w:hAnsi="Arial" w:cs="Arial"/>
          <w:noProof/>
          <w:szCs w:val="24"/>
          <w:lang w:val="es-CO" w:eastAsia="es-CO"/>
        </w:rPr>
        <w:t>comunicación con radicado CREG E-2011-008629 de agos</w:t>
      </w:r>
      <w:r w:rsidR="000654C7">
        <w:rPr>
          <w:rFonts w:ascii="Arial" w:hAnsi="Arial" w:cs="Arial"/>
          <w:noProof/>
          <w:szCs w:val="24"/>
          <w:lang w:val="es-CO" w:eastAsia="es-CO"/>
        </w:rPr>
        <w:t>to 31 de 2011, Ecopetrol informó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 a la CREG las cantidades 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de GLP que, por punto de producción, tiene </w:t>
      </w:r>
      <w:r w:rsidR="003562DE">
        <w:rPr>
          <w:rFonts w:ascii="Arial" w:hAnsi="Arial" w:cs="Arial"/>
          <w:noProof/>
          <w:szCs w:val="24"/>
          <w:lang w:val="es-CO" w:eastAsia="es-CO"/>
        </w:rPr>
        <w:t>disponibles para la venta</w:t>
      </w:r>
      <w:r w:rsidR="000654C7">
        <w:rPr>
          <w:rFonts w:ascii="Arial" w:hAnsi="Arial" w:cs="Arial"/>
          <w:noProof/>
          <w:szCs w:val="24"/>
          <w:lang w:val="es-CO" w:eastAsia="es-CO"/>
        </w:rPr>
        <w:t xml:space="preserve"> en la OPC que abrió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 el 30 de agosto de 2011, como lo solic</w:t>
      </w:r>
      <w:r w:rsidR="000654C7">
        <w:rPr>
          <w:rFonts w:ascii="Arial" w:hAnsi="Arial" w:cs="Arial"/>
          <w:noProof/>
          <w:szCs w:val="24"/>
          <w:lang w:val="es-CO" w:eastAsia="es-CO"/>
        </w:rPr>
        <w:t>i</w:t>
      </w:r>
      <w:r w:rsidR="003562DE">
        <w:rPr>
          <w:rFonts w:ascii="Arial" w:hAnsi="Arial" w:cs="Arial"/>
          <w:noProof/>
          <w:szCs w:val="24"/>
          <w:lang w:val="es-CO" w:eastAsia="es-CO"/>
        </w:rPr>
        <w:t>ta la circular mencionada.</w:t>
      </w:r>
    </w:p>
    <w:p w:rsidR="003562DE" w:rsidRDefault="003562DE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472EDC" w:rsidRDefault="003575FF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El Director Ejecutivo de la Comisión de Regulación de  Energía y Gas – CREG presenta</w:t>
      </w:r>
      <w:r w:rsidR="00FC6FE5">
        <w:rPr>
          <w:rFonts w:ascii="Arial" w:hAnsi="Arial" w:cs="Arial"/>
          <w:noProof/>
          <w:szCs w:val="24"/>
          <w:lang w:val="es-CO" w:eastAsia="es-CO"/>
        </w:rPr>
        <w:t xml:space="preserve">, como anexo a esta circular, </w:t>
      </w:r>
      <w:r w:rsidR="003562DE">
        <w:rPr>
          <w:rFonts w:ascii="Arial" w:hAnsi="Arial" w:cs="Arial"/>
          <w:noProof/>
          <w:szCs w:val="24"/>
          <w:lang w:val="es-CO" w:eastAsia="es-CO"/>
        </w:rPr>
        <w:t>el listado de municipios que conforman las</w:t>
      </w:r>
      <w:r w:rsidR="00D97693">
        <w:rPr>
          <w:rFonts w:ascii="Arial" w:hAnsi="Arial" w:cs="Arial"/>
          <w:noProof/>
          <w:szCs w:val="24"/>
          <w:lang w:val="es-CO" w:eastAsia="es-CO"/>
        </w:rPr>
        <w:t xml:space="preserve"> Zonas de Influencia de las que trata el parágrafo 1 del artículo 14 de la Resolución CREG 053 de 2011</w:t>
      </w:r>
      <w:r w:rsidR="003562DE">
        <w:rPr>
          <w:rFonts w:ascii="Arial" w:hAnsi="Arial" w:cs="Arial"/>
          <w:noProof/>
          <w:szCs w:val="24"/>
          <w:lang w:val="es-CO" w:eastAsia="es-CO"/>
        </w:rPr>
        <w:t xml:space="preserve">.  </w:t>
      </w:r>
    </w:p>
    <w:p w:rsidR="00FC6FE5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695127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Para facilidad de todos los interesados, se anexa también la representación gráfica de este listado.</w:t>
      </w:r>
    </w:p>
    <w:p w:rsidR="00FC6FE5" w:rsidRDefault="00FC6FE5" w:rsidP="00384B4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656D79" w:rsidRPr="00590BAE" w:rsidRDefault="00656D79" w:rsidP="00656D79">
      <w:pPr>
        <w:rPr>
          <w:rFonts w:ascii="Arial" w:hAnsi="Arial" w:cs="Arial"/>
          <w:szCs w:val="24"/>
        </w:rPr>
      </w:pPr>
      <w:r w:rsidRPr="00590BAE">
        <w:rPr>
          <w:rFonts w:ascii="Arial" w:hAnsi="Arial" w:cs="Arial"/>
          <w:szCs w:val="24"/>
        </w:rPr>
        <w:t>Cordialmente,</w:t>
      </w:r>
    </w:p>
    <w:p w:rsidR="009F312D" w:rsidRPr="00590BAE" w:rsidRDefault="009F312D" w:rsidP="009F312D">
      <w:pPr>
        <w:rPr>
          <w:rFonts w:ascii="Arial" w:hAnsi="Arial" w:cs="Arial"/>
          <w:szCs w:val="24"/>
        </w:rPr>
      </w:pPr>
    </w:p>
    <w:p w:rsidR="009F312D" w:rsidRPr="00590BAE" w:rsidRDefault="009F312D" w:rsidP="009F312D">
      <w:pPr>
        <w:rPr>
          <w:rFonts w:ascii="Arial" w:hAnsi="Arial" w:cs="Arial"/>
          <w:szCs w:val="24"/>
        </w:rPr>
      </w:pPr>
    </w:p>
    <w:p w:rsidR="00590BAE" w:rsidRPr="00590BAE" w:rsidRDefault="00590BAE" w:rsidP="009F312D">
      <w:pPr>
        <w:rPr>
          <w:rFonts w:ascii="Arial" w:hAnsi="Arial" w:cs="Arial"/>
          <w:szCs w:val="24"/>
        </w:rPr>
      </w:pPr>
    </w:p>
    <w:p w:rsidR="009F312D" w:rsidRPr="00590BAE" w:rsidRDefault="003C4875" w:rsidP="006E73A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JAVIER AUGUSTO DIAZ VELASCO</w:t>
      </w:r>
    </w:p>
    <w:p w:rsidR="009F312D" w:rsidRPr="00590BAE" w:rsidRDefault="009F312D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 w:rsidRPr="00590BAE">
        <w:rPr>
          <w:rFonts w:ascii="Arial" w:hAnsi="Arial" w:cs="Arial"/>
          <w:spacing w:val="-5"/>
          <w:szCs w:val="24"/>
          <w:lang w:val="es-CO" w:eastAsia="en-US"/>
        </w:rPr>
        <w:t>Director Ejecutivo</w:t>
      </w:r>
    </w:p>
    <w:p w:rsidR="00AC0FD6" w:rsidRDefault="00AC0FD6" w:rsidP="003C4875">
      <w:pPr>
        <w:rPr>
          <w:rFonts w:ascii="Arial" w:hAnsi="Arial" w:cs="Arial"/>
          <w:spacing w:val="-5"/>
          <w:szCs w:val="24"/>
          <w:lang w:val="es-CO" w:eastAsia="en-US"/>
        </w:rPr>
      </w:pPr>
    </w:p>
    <w:p w:rsidR="00AC0FD6" w:rsidRDefault="00AC0FD6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C6FE5" w:rsidRDefault="003C4875" w:rsidP="003C4875">
      <w:pPr>
        <w:rPr>
          <w:rFonts w:ascii="Arial" w:hAnsi="Arial" w:cs="Arial"/>
          <w:spacing w:val="-5"/>
          <w:sz w:val="20"/>
          <w:lang w:val="es-CO" w:eastAsia="en-US"/>
        </w:rPr>
      </w:pPr>
      <w:r w:rsidRPr="000654C7">
        <w:rPr>
          <w:rFonts w:ascii="Arial" w:hAnsi="Arial" w:cs="Arial"/>
          <w:b/>
          <w:spacing w:val="-5"/>
          <w:sz w:val="20"/>
          <w:lang w:val="es-CO" w:eastAsia="en-US"/>
        </w:rPr>
        <w:t>Anexo:</w:t>
      </w:r>
      <w:r w:rsidRPr="003C4875">
        <w:rPr>
          <w:rFonts w:ascii="Arial" w:hAnsi="Arial" w:cs="Arial"/>
          <w:spacing w:val="-5"/>
          <w:sz w:val="20"/>
          <w:lang w:val="es-CO" w:eastAsia="en-US"/>
        </w:rPr>
        <w:t xml:space="preserve"> </w:t>
      </w:r>
      <w:r w:rsidR="000654C7">
        <w:rPr>
          <w:rFonts w:ascii="Arial" w:hAnsi="Arial" w:cs="Arial"/>
          <w:spacing w:val="-5"/>
          <w:sz w:val="20"/>
          <w:lang w:val="es-CO" w:eastAsia="en-US"/>
        </w:rPr>
        <w:tab/>
      </w:r>
      <w:r w:rsidR="00FC6FE5">
        <w:rPr>
          <w:rFonts w:ascii="Arial" w:hAnsi="Arial" w:cs="Arial"/>
          <w:spacing w:val="-5"/>
          <w:sz w:val="20"/>
          <w:lang w:val="es-CO" w:eastAsia="en-US"/>
        </w:rPr>
        <w:t xml:space="preserve">Archivo “Listado zonas de influencia 1ra OPC sep2011.xls”    </w:t>
      </w:r>
    </w:p>
    <w:p w:rsidR="000654C7" w:rsidRDefault="00FC6FE5" w:rsidP="003C4875">
      <w:pPr>
        <w:rPr>
          <w:rFonts w:ascii="Arial" w:hAnsi="Arial" w:cs="Arial"/>
          <w:spacing w:val="-5"/>
          <w:sz w:val="20"/>
          <w:lang w:val="es-CO" w:eastAsia="en-US"/>
        </w:rPr>
      </w:pPr>
      <w:r>
        <w:rPr>
          <w:rFonts w:ascii="Arial" w:hAnsi="Arial" w:cs="Arial"/>
          <w:spacing w:val="-5"/>
          <w:sz w:val="20"/>
          <w:lang w:val="es-CO" w:eastAsia="en-US"/>
        </w:rPr>
        <w:t xml:space="preserve">              </w:t>
      </w:r>
      <w:r w:rsidR="000654C7">
        <w:rPr>
          <w:rFonts w:ascii="Arial" w:hAnsi="Arial" w:cs="Arial"/>
          <w:spacing w:val="-5"/>
          <w:sz w:val="20"/>
          <w:lang w:val="es-CO" w:eastAsia="en-US"/>
        </w:rPr>
        <w:t>Mapa de Colombia con la identificación de los municipios de cada zona de influencia</w:t>
      </w:r>
    </w:p>
    <w:sectPr w:rsidR="000654C7" w:rsidSect="0079190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701" w:bottom="1418" w:left="1985" w:header="709" w:footer="5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EDC" w:rsidRDefault="00472EDC">
      <w:r>
        <w:separator/>
      </w:r>
    </w:p>
  </w:endnote>
  <w:endnote w:type="continuationSeparator" w:id="0">
    <w:p w:rsidR="00472EDC" w:rsidRDefault="0047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FAX :</w:t>
    </w:r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>Calle 116 No.7-15 Int.2 Piso 9 Ofi.901, Edif. Cusezar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FAX :</w:t>
    </w:r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>Calle 116 No.7-15 Int.2 Piso 9 Ofi.901, Edif. Cusezar Bogotá, D.C. Colombia</w:t>
    </w:r>
  </w:p>
  <w:p w:rsidR="00472EDC" w:rsidRDefault="00472E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EDC" w:rsidRDefault="00472EDC">
      <w:r>
        <w:separator/>
      </w:r>
    </w:p>
  </w:footnote>
  <w:footnote w:type="continuationSeparator" w:id="0">
    <w:p w:rsidR="00472EDC" w:rsidRDefault="00472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3BCB328F" wp14:editId="7D5F6D10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</w:rPr>
      <w:t>CIRCULAR--2011</w:t>
    </w:r>
  </w:p>
  <w:p w:rsidR="00472EDC" w:rsidRPr="00735F2F" w:rsidRDefault="00472EDC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EC2D33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FC6FE5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472EDC" w:rsidRPr="00735F2F" w:rsidRDefault="00472EDC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29ECF68" wp14:editId="118793F0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115F5"/>
    <w:rsid w:val="00021548"/>
    <w:rsid w:val="00027E5C"/>
    <w:rsid w:val="000654C7"/>
    <w:rsid w:val="000726F0"/>
    <w:rsid w:val="00077F70"/>
    <w:rsid w:val="00082448"/>
    <w:rsid w:val="0008464E"/>
    <w:rsid w:val="000B1E7B"/>
    <w:rsid w:val="000B4230"/>
    <w:rsid w:val="000C35C8"/>
    <w:rsid w:val="000E32D8"/>
    <w:rsid w:val="000E61E3"/>
    <w:rsid w:val="0010547D"/>
    <w:rsid w:val="001147A6"/>
    <w:rsid w:val="001174B9"/>
    <w:rsid w:val="0013655C"/>
    <w:rsid w:val="001475BC"/>
    <w:rsid w:val="001513EE"/>
    <w:rsid w:val="0015225E"/>
    <w:rsid w:val="00154F06"/>
    <w:rsid w:val="00156162"/>
    <w:rsid w:val="00164414"/>
    <w:rsid w:val="001670B7"/>
    <w:rsid w:val="001753D3"/>
    <w:rsid w:val="001873A2"/>
    <w:rsid w:val="00190F7D"/>
    <w:rsid w:val="001A22E0"/>
    <w:rsid w:val="001A3C76"/>
    <w:rsid w:val="001A5FB2"/>
    <w:rsid w:val="001A7865"/>
    <w:rsid w:val="001C5B47"/>
    <w:rsid w:val="001C6261"/>
    <w:rsid w:val="001D0DD6"/>
    <w:rsid w:val="001D5EC7"/>
    <w:rsid w:val="001E0A7B"/>
    <w:rsid w:val="001E5ECC"/>
    <w:rsid w:val="00207B98"/>
    <w:rsid w:val="002120E8"/>
    <w:rsid w:val="00225E34"/>
    <w:rsid w:val="002374A9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4B64"/>
    <w:rsid w:val="003562DE"/>
    <w:rsid w:val="003575FF"/>
    <w:rsid w:val="00365174"/>
    <w:rsid w:val="0038247F"/>
    <w:rsid w:val="00384B43"/>
    <w:rsid w:val="003A0137"/>
    <w:rsid w:val="003A0A86"/>
    <w:rsid w:val="003B0EDB"/>
    <w:rsid w:val="003C4875"/>
    <w:rsid w:val="003C5EFC"/>
    <w:rsid w:val="003C7953"/>
    <w:rsid w:val="003E1166"/>
    <w:rsid w:val="003F6D32"/>
    <w:rsid w:val="00404A21"/>
    <w:rsid w:val="004074F4"/>
    <w:rsid w:val="00414C35"/>
    <w:rsid w:val="00417483"/>
    <w:rsid w:val="004334C3"/>
    <w:rsid w:val="00442063"/>
    <w:rsid w:val="00470CAB"/>
    <w:rsid w:val="00472EDC"/>
    <w:rsid w:val="004926A3"/>
    <w:rsid w:val="004A0C8D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2B8"/>
    <w:rsid w:val="005728A7"/>
    <w:rsid w:val="00576337"/>
    <w:rsid w:val="005764C2"/>
    <w:rsid w:val="005841D6"/>
    <w:rsid w:val="00590BAE"/>
    <w:rsid w:val="005A25A7"/>
    <w:rsid w:val="005A35E6"/>
    <w:rsid w:val="005A7737"/>
    <w:rsid w:val="005B2067"/>
    <w:rsid w:val="005C7FED"/>
    <w:rsid w:val="005E37F6"/>
    <w:rsid w:val="005F18E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0C1F"/>
    <w:rsid w:val="0067269A"/>
    <w:rsid w:val="006731DB"/>
    <w:rsid w:val="00673CD0"/>
    <w:rsid w:val="00674CC2"/>
    <w:rsid w:val="00675EA8"/>
    <w:rsid w:val="006818D7"/>
    <w:rsid w:val="006931E3"/>
    <w:rsid w:val="00695127"/>
    <w:rsid w:val="006A6AD5"/>
    <w:rsid w:val="006B6867"/>
    <w:rsid w:val="006E3D0B"/>
    <w:rsid w:val="006E4878"/>
    <w:rsid w:val="006E73A8"/>
    <w:rsid w:val="006E77A4"/>
    <w:rsid w:val="00700F18"/>
    <w:rsid w:val="0072576E"/>
    <w:rsid w:val="00730691"/>
    <w:rsid w:val="007313DD"/>
    <w:rsid w:val="00735F2F"/>
    <w:rsid w:val="00744E56"/>
    <w:rsid w:val="0075539F"/>
    <w:rsid w:val="00760286"/>
    <w:rsid w:val="00772018"/>
    <w:rsid w:val="00783462"/>
    <w:rsid w:val="0079190D"/>
    <w:rsid w:val="00792000"/>
    <w:rsid w:val="007B0F7C"/>
    <w:rsid w:val="007B1AC4"/>
    <w:rsid w:val="007B539D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60744"/>
    <w:rsid w:val="00874455"/>
    <w:rsid w:val="00883B01"/>
    <w:rsid w:val="008858AF"/>
    <w:rsid w:val="008946EC"/>
    <w:rsid w:val="008969CA"/>
    <w:rsid w:val="008C45A2"/>
    <w:rsid w:val="008C5CD8"/>
    <w:rsid w:val="008D44E1"/>
    <w:rsid w:val="008E2E49"/>
    <w:rsid w:val="008F3111"/>
    <w:rsid w:val="008F6093"/>
    <w:rsid w:val="00901086"/>
    <w:rsid w:val="009048AD"/>
    <w:rsid w:val="009154C3"/>
    <w:rsid w:val="00916F04"/>
    <w:rsid w:val="00942766"/>
    <w:rsid w:val="0094409F"/>
    <w:rsid w:val="0097225E"/>
    <w:rsid w:val="00973E21"/>
    <w:rsid w:val="00982C12"/>
    <w:rsid w:val="00995CAD"/>
    <w:rsid w:val="009A4C5D"/>
    <w:rsid w:val="009B2717"/>
    <w:rsid w:val="009D6F95"/>
    <w:rsid w:val="009E224A"/>
    <w:rsid w:val="009F2E3F"/>
    <w:rsid w:val="009F312D"/>
    <w:rsid w:val="00A070B4"/>
    <w:rsid w:val="00A1065D"/>
    <w:rsid w:val="00A16E0B"/>
    <w:rsid w:val="00A402A5"/>
    <w:rsid w:val="00A53F08"/>
    <w:rsid w:val="00A55E68"/>
    <w:rsid w:val="00A62028"/>
    <w:rsid w:val="00A62B48"/>
    <w:rsid w:val="00A64CEB"/>
    <w:rsid w:val="00A67231"/>
    <w:rsid w:val="00A92642"/>
    <w:rsid w:val="00AA3B7A"/>
    <w:rsid w:val="00AA4538"/>
    <w:rsid w:val="00AC0FD6"/>
    <w:rsid w:val="00AC1917"/>
    <w:rsid w:val="00AD7CD8"/>
    <w:rsid w:val="00AE5A97"/>
    <w:rsid w:val="00AF01B0"/>
    <w:rsid w:val="00AF2069"/>
    <w:rsid w:val="00AF3D12"/>
    <w:rsid w:val="00B03B0F"/>
    <w:rsid w:val="00B05D02"/>
    <w:rsid w:val="00B10C11"/>
    <w:rsid w:val="00B1311D"/>
    <w:rsid w:val="00B139AB"/>
    <w:rsid w:val="00B15183"/>
    <w:rsid w:val="00B15551"/>
    <w:rsid w:val="00B3023A"/>
    <w:rsid w:val="00B359CF"/>
    <w:rsid w:val="00B91ACB"/>
    <w:rsid w:val="00B9693B"/>
    <w:rsid w:val="00BB0356"/>
    <w:rsid w:val="00BC32DE"/>
    <w:rsid w:val="00BC77E2"/>
    <w:rsid w:val="00BC7A00"/>
    <w:rsid w:val="00BD33B8"/>
    <w:rsid w:val="00BF1319"/>
    <w:rsid w:val="00BF1A1D"/>
    <w:rsid w:val="00BF5574"/>
    <w:rsid w:val="00C106FA"/>
    <w:rsid w:val="00C15F38"/>
    <w:rsid w:val="00C34338"/>
    <w:rsid w:val="00C37948"/>
    <w:rsid w:val="00C51536"/>
    <w:rsid w:val="00C52923"/>
    <w:rsid w:val="00C653D7"/>
    <w:rsid w:val="00C70212"/>
    <w:rsid w:val="00C77846"/>
    <w:rsid w:val="00C96DCD"/>
    <w:rsid w:val="00CC01A4"/>
    <w:rsid w:val="00CD37B8"/>
    <w:rsid w:val="00CD77E7"/>
    <w:rsid w:val="00CE25CB"/>
    <w:rsid w:val="00CE7E52"/>
    <w:rsid w:val="00D327CE"/>
    <w:rsid w:val="00D36267"/>
    <w:rsid w:val="00D40331"/>
    <w:rsid w:val="00D42E57"/>
    <w:rsid w:val="00D45410"/>
    <w:rsid w:val="00D529A5"/>
    <w:rsid w:val="00D64394"/>
    <w:rsid w:val="00D65260"/>
    <w:rsid w:val="00D705F6"/>
    <w:rsid w:val="00D77549"/>
    <w:rsid w:val="00D82B54"/>
    <w:rsid w:val="00D9284C"/>
    <w:rsid w:val="00D97693"/>
    <w:rsid w:val="00DA54D7"/>
    <w:rsid w:val="00DB1620"/>
    <w:rsid w:val="00DB5884"/>
    <w:rsid w:val="00DD468D"/>
    <w:rsid w:val="00DE0064"/>
    <w:rsid w:val="00DE0565"/>
    <w:rsid w:val="00DE0CFB"/>
    <w:rsid w:val="00DE2822"/>
    <w:rsid w:val="00E20114"/>
    <w:rsid w:val="00E21731"/>
    <w:rsid w:val="00E51E68"/>
    <w:rsid w:val="00E52557"/>
    <w:rsid w:val="00E5292D"/>
    <w:rsid w:val="00E72458"/>
    <w:rsid w:val="00E729AF"/>
    <w:rsid w:val="00E72CEA"/>
    <w:rsid w:val="00E73974"/>
    <w:rsid w:val="00E83CD2"/>
    <w:rsid w:val="00E87169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0F0E"/>
    <w:rsid w:val="00EC2D33"/>
    <w:rsid w:val="00EC50E4"/>
    <w:rsid w:val="00EC7DC9"/>
    <w:rsid w:val="00F0117A"/>
    <w:rsid w:val="00F04EDA"/>
    <w:rsid w:val="00F066D0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949"/>
    <w:rsid w:val="00F84D00"/>
    <w:rsid w:val="00FA0016"/>
    <w:rsid w:val="00FA2CA9"/>
    <w:rsid w:val="00FB735B"/>
    <w:rsid w:val="00FC6FE5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F1234-E6A4-462E-B5AD-6F6DD31E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2011-09-05T22:55:00Z</cp:lastPrinted>
  <dcterms:created xsi:type="dcterms:W3CDTF">2011-09-05T22:57:00Z</dcterms:created>
  <dcterms:modified xsi:type="dcterms:W3CDTF">2011-09-05T22:57:00Z</dcterms:modified>
</cp:coreProperties>
</file>