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87F0D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579EE8E4" w14:textId="27EEE85B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 C.,</w:t>
      </w:r>
      <w:r w:rsidR="00AD57F2">
        <w:rPr>
          <w:rFonts w:ascii="Arial" w:hAnsi="Arial" w:cs="Arial"/>
          <w:sz w:val="22"/>
          <w:szCs w:val="22"/>
          <w:lang w:val="es-MX"/>
        </w:rPr>
        <w:t xml:space="preserve"> </w:t>
      </w:r>
      <w:r w:rsidR="00355183">
        <w:rPr>
          <w:rFonts w:ascii="Arial" w:hAnsi="Arial" w:cs="Arial"/>
          <w:sz w:val="22"/>
          <w:szCs w:val="22"/>
          <w:lang w:val="es-MX"/>
        </w:rPr>
        <w:t xml:space="preserve">30 </w:t>
      </w:r>
      <w:r w:rsidR="00AD57F2">
        <w:rPr>
          <w:rFonts w:ascii="Arial" w:hAnsi="Arial" w:cs="Arial"/>
          <w:sz w:val="22"/>
          <w:szCs w:val="22"/>
          <w:lang w:val="es-MX"/>
        </w:rPr>
        <w:t xml:space="preserve">de </w:t>
      </w:r>
      <w:r w:rsidR="0022312B">
        <w:rPr>
          <w:rFonts w:ascii="Arial" w:hAnsi="Arial" w:cs="Arial"/>
          <w:sz w:val="22"/>
          <w:szCs w:val="22"/>
          <w:lang w:val="es-MX"/>
        </w:rPr>
        <w:t xml:space="preserve">marzo </w:t>
      </w:r>
      <w:r w:rsidR="00AD57F2">
        <w:rPr>
          <w:rFonts w:ascii="Arial" w:hAnsi="Arial" w:cs="Arial"/>
          <w:sz w:val="22"/>
          <w:szCs w:val="22"/>
          <w:lang w:val="es-MX"/>
        </w:rPr>
        <w:t>de 2020</w:t>
      </w:r>
    </w:p>
    <w:p w14:paraId="06596480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2E7124AB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4598875E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078DF36C" w14:textId="44EC599C" w:rsidR="00CC7E02" w:rsidRDefault="00CC7E02" w:rsidP="00CC7E0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355183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027</w:t>
      </w:r>
    </w:p>
    <w:p w14:paraId="6BC03AA4" w14:textId="77777777" w:rsidR="00CC7E02" w:rsidRDefault="00CC7E02" w:rsidP="00CC7E02">
      <w:pPr>
        <w:rPr>
          <w:rFonts w:ascii="Arial" w:hAnsi="Arial" w:cs="Arial"/>
          <w:sz w:val="22"/>
          <w:szCs w:val="22"/>
        </w:rPr>
      </w:pPr>
    </w:p>
    <w:p w14:paraId="48969F90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55742610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63E509FA" w14:textId="77777777"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C1FEA">
        <w:rPr>
          <w:rFonts w:ascii="Arial" w:hAnsi="Arial" w:cs="Arial"/>
          <w:b/>
        </w:rPr>
        <w:t>PÚBLICO GENERAL</w:t>
      </w:r>
    </w:p>
    <w:p w14:paraId="64BCB7AD" w14:textId="77777777"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36DF4B5A" w14:textId="77777777"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2F5A9DED" w14:textId="77777777"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42696BF5" w14:textId="16FEB87D" w:rsidR="00CC7E02" w:rsidRDefault="00CC7E02" w:rsidP="00DC1FEA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22312B">
        <w:rPr>
          <w:rFonts w:ascii="Arial" w:hAnsi="Arial" w:cs="Arial"/>
          <w:b/>
        </w:rPr>
        <w:t>AUDIENCIAS PÚBLICAS PARA EVALUACIÓN DE RESULTADOS DE LAS CONVOCATORIAS PARA LA CELEBRACIÓN DE CONTRATOS DE ENERGÍA DESTINADOS AL MERCADO REGULADO (RESOLUCIÓN CREG 130 DE 2019)</w:t>
      </w:r>
    </w:p>
    <w:p w14:paraId="251345FD" w14:textId="77777777" w:rsidR="00CC7E02" w:rsidRDefault="00CC7E02" w:rsidP="00CC7E02">
      <w:pPr>
        <w:spacing w:before="120" w:after="120"/>
        <w:rPr>
          <w:rFonts w:ascii="Arial" w:hAnsi="Arial" w:cs="Arial"/>
          <w:sz w:val="22"/>
          <w:szCs w:val="22"/>
        </w:rPr>
      </w:pPr>
    </w:p>
    <w:p w14:paraId="038AB8FB" w14:textId="5C1512C5" w:rsidR="0022312B" w:rsidRDefault="00AD57F2" w:rsidP="0022312B">
      <w:pPr>
        <w:pStyle w:val="Textoindependiente"/>
        <w:rPr>
          <w:rFonts w:cs="Arial"/>
          <w:sz w:val="22"/>
          <w:szCs w:val="22"/>
        </w:rPr>
      </w:pPr>
      <w:r w:rsidRPr="00AD57F2">
        <w:rPr>
          <w:rFonts w:cs="Arial"/>
          <w:sz w:val="22"/>
          <w:szCs w:val="22"/>
        </w:rPr>
        <w:t xml:space="preserve">La Comisión de Regulación de Energía y Gas –CREG, en ejercicio de las funciones </w:t>
      </w:r>
      <w:r w:rsidR="005C1758">
        <w:rPr>
          <w:rFonts w:cs="Arial"/>
          <w:sz w:val="22"/>
          <w:szCs w:val="22"/>
        </w:rPr>
        <w:t xml:space="preserve">que le fueron </w:t>
      </w:r>
      <w:r w:rsidRPr="00AD57F2">
        <w:rPr>
          <w:rFonts w:cs="Arial"/>
          <w:sz w:val="22"/>
          <w:szCs w:val="22"/>
        </w:rPr>
        <w:t>asignadas por ley</w:t>
      </w:r>
      <w:r>
        <w:rPr>
          <w:rFonts w:cs="Arial"/>
          <w:sz w:val="22"/>
          <w:szCs w:val="22"/>
        </w:rPr>
        <w:t xml:space="preserve">, </w:t>
      </w:r>
      <w:r w:rsidR="0022312B">
        <w:rPr>
          <w:rFonts w:cs="Arial"/>
          <w:sz w:val="22"/>
          <w:szCs w:val="22"/>
        </w:rPr>
        <w:t xml:space="preserve">estableció los principios, comportamientos y procedimientos que deben cumplir los comercializadores en la celebración de contratos de energía destinados al mercado regulado, mediante </w:t>
      </w:r>
      <w:r w:rsidR="00884666">
        <w:rPr>
          <w:rFonts w:cs="Arial"/>
          <w:sz w:val="22"/>
          <w:szCs w:val="22"/>
        </w:rPr>
        <w:t xml:space="preserve">la </w:t>
      </w:r>
      <w:r w:rsidR="0022312B">
        <w:rPr>
          <w:rFonts w:cs="Arial"/>
          <w:sz w:val="22"/>
          <w:szCs w:val="22"/>
        </w:rPr>
        <w:t>Resolución CREG 130 de 2019</w:t>
      </w:r>
      <w:r w:rsidR="00DC1FEA">
        <w:rPr>
          <w:rFonts w:cs="Arial"/>
          <w:sz w:val="22"/>
          <w:szCs w:val="22"/>
        </w:rPr>
        <w:t>.</w:t>
      </w:r>
    </w:p>
    <w:p w14:paraId="07A0FFCA" w14:textId="0BA115C5" w:rsidR="008C750A" w:rsidRDefault="0022312B" w:rsidP="0022312B">
      <w:pPr>
        <w:pStyle w:val="Textoindependien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el artículo 10, numeral 10.4</w:t>
      </w:r>
      <w:r w:rsidR="0027107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de dicha resolución</w:t>
      </w:r>
      <w:r w:rsidR="00884666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se determinan las reglas para la evaluación de ofertas</w:t>
      </w:r>
      <w:r w:rsidR="00884666">
        <w:rPr>
          <w:rFonts w:cs="Arial"/>
          <w:sz w:val="22"/>
          <w:szCs w:val="22"/>
        </w:rPr>
        <w:t>,</w:t>
      </w:r>
      <w:r w:rsidR="00271071">
        <w:rPr>
          <w:rFonts w:cs="Arial"/>
          <w:sz w:val="22"/>
          <w:szCs w:val="22"/>
        </w:rPr>
        <w:t xml:space="preserve"> y se señala</w:t>
      </w:r>
      <w:r w:rsidR="00E969AB">
        <w:rPr>
          <w:rFonts w:cs="Arial"/>
          <w:sz w:val="22"/>
          <w:szCs w:val="22"/>
        </w:rPr>
        <w:t xml:space="preserve"> que</w:t>
      </w:r>
      <w:r w:rsidR="008C750A">
        <w:rPr>
          <w:rFonts w:cs="Arial"/>
          <w:sz w:val="22"/>
          <w:szCs w:val="22"/>
        </w:rPr>
        <w:t xml:space="preserve"> debe hacerse en audiencia pública en la fecha de evaluación de resultados. Específicamente, se definen las siguientes condiciones para las audiencias públicas:</w:t>
      </w:r>
    </w:p>
    <w:p w14:paraId="5461A1A0" w14:textId="2B9AF6FF" w:rsidR="008C750A" w:rsidRPr="008C750A" w:rsidRDefault="008C750A" w:rsidP="008C750A">
      <w:pPr>
        <w:pStyle w:val="Textoindependiente"/>
        <w:ind w:left="709" w:hanging="425"/>
        <w:rPr>
          <w:rFonts w:cs="Arial"/>
          <w:i/>
          <w:iCs/>
          <w:sz w:val="22"/>
          <w:szCs w:val="22"/>
        </w:rPr>
      </w:pPr>
      <w:r w:rsidRPr="008C750A">
        <w:rPr>
          <w:rFonts w:cs="Arial"/>
          <w:i/>
          <w:iCs/>
          <w:sz w:val="22"/>
          <w:szCs w:val="22"/>
        </w:rPr>
        <w:t xml:space="preserve"> (l)    En la audiencia pública todos los oferentes y las autoridades de inspección, control y vigilancia deben tener la posibilidad de estar presentes, además de los terceros interesados que soliciten participar en la misma. </w:t>
      </w:r>
    </w:p>
    <w:p w14:paraId="65B31F82" w14:textId="284DC001" w:rsidR="008C750A" w:rsidRPr="008C750A" w:rsidRDefault="008C750A" w:rsidP="008C750A">
      <w:pPr>
        <w:pStyle w:val="Textoindependiente"/>
        <w:ind w:left="709" w:hanging="425"/>
        <w:rPr>
          <w:rFonts w:cs="Arial"/>
          <w:i/>
          <w:iCs/>
          <w:sz w:val="22"/>
          <w:szCs w:val="22"/>
        </w:rPr>
      </w:pPr>
      <w:r w:rsidRPr="008C750A">
        <w:rPr>
          <w:rFonts w:cs="Arial"/>
          <w:i/>
          <w:iCs/>
          <w:sz w:val="22"/>
          <w:szCs w:val="22"/>
        </w:rPr>
        <w:t xml:space="preserve">(m) El comercializador es el responsable de informar al ASIC y a los demás interesados, como mínimo con cinco (5) días hábiles de anterioridad a la realización de la audiencia, el lugar y la hora en el que se llevará a cabo. </w:t>
      </w:r>
    </w:p>
    <w:p w14:paraId="62250F9F" w14:textId="2D379B9E" w:rsidR="008C750A" w:rsidRPr="008C750A" w:rsidRDefault="008C750A" w:rsidP="00355183">
      <w:pPr>
        <w:pStyle w:val="Textoindependiente"/>
        <w:spacing w:after="0"/>
        <w:ind w:left="709" w:hanging="425"/>
        <w:rPr>
          <w:rFonts w:cs="Arial"/>
          <w:i/>
          <w:iCs/>
          <w:sz w:val="22"/>
          <w:szCs w:val="22"/>
        </w:rPr>
      </w:pPr>
      <w:r w:rsidRPr="008C750A">
        <w:rPr>
          <w:rFonts w:cs="Arial"/>
          <w:i/>
          <w:iCs/>
          <w:sz w:val="22"/>
          <w:szCs w:val="22"/>
        </w:rPr>
        <w:t>(n)   El ASIC debe publicar el lugar y hora en el que se realiza la audiencia pública en el expediente electrónico de la convocatoria en el SICEP a más tardar un (1) día hábil después de haber sido informado por parte del comercializador.</w:t>
      </w:r>
    </w:p>
    <w:p w14:paraId="1212D7CC" w14:textId="77777777" w:rsidR="00E969AB" w:rsidRDefault="00E969AB" w:rsidP="0022312B">
      <w:pPr>
        <w:pStyle w:val="Textoindependiente"/>
        <w:rPr>
          <w:rFonts w:cs="Arial"/>
          <w:sz w:val="22"/>
          <w:szCs w:val="22"/>
        </w:rPr>
      </w:pPr>
    </w:p>
    <w:p w14:paraId="0898DEDE" w14:textId="456DB60C" w:rsidR="00186579" w:rsidRDefault="00271071" w:rsidP="0022312B">
      <w:pPr>
        <w:pStyle w:val="Textoindependien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atención a observaciones planteadas por algunos agentes</w:t>
      </w:r>
      <w:r w:rsidR="00884666">
        <w:rPr>
          <w:rFonts w:cs="Arial"/>
          <w:sz w:val="22"/>
          <w:szCs w:val="22"/>
        </w:rPr>
        <w:t>,</w:t>
      </w:r>
      <w:r w:rsidR="00291BCD">
        <w:rPr>
          <w:rFonts w:cs="Arial"/>
          <w:sz w:val="22"/>
          <w:szCs w:val="22"/>
        </w:rPr>
        <w:t xml:space="preserve"> en el contexto </w:t>
      </w:r>
      <w:r w:rsidR="00BB1B3C">
        <w:rPr>
          <w:rFonts w:cs="Arial"/>
          <w:sz w:val="22"/>
          <w:szCs w:val="22"/>
        </w:rPr>
        <w:t>del Estado de E</w:t>
      </w:r>
      <w:r w:rsidR="00291BCD">
        <w:rPr>
          <w:rFonts w:cs="Arial"/>
          <w:sz w:val="22"/>
          <w:szCs w:val="22"/>
        </w:rPr>
        <w:t xml:space="preserve">mergencia </w:t>
      </w:r>
      <w:r w:rsidR="00BB1B3C">
        <w:rPr>
          <w:rFonts w:cs="Arial"/>
          <w:sz w:val="22"/>
          <w:szCs w:val="22"/>
        </w:rPr>
        <w:t>E</w:t>
      </w:r>
      <w:r w:rsidR="00291BCD">
        <w:rPr>
          <w:rFonts w:cs="Arial"/>
          <w:sz w:val="22"/>
          <w:szCs w:val="22"/>
        </w:rPr>
        <w:t xml:space="preserve">conómica, </w:t>
      </w:r>
      <w:r w:rsidR="00BB1B3C">
        <w:rPr>
          <w:rFonts w:cs="Arial"/>
          <w:sz w:val="22"/>
          <w:szCs w:val="22"/>
        </w:rPr>
        <w:t>S</w:t>
      </w:r>
      <w:r w:rsidR="00291BCD">
        <w:rPr>
          <w:rFonts w:cs="Arial"/>
          <w:sz w:val="22"/>
          <w:szCs w:val="22"/>
        </w:rPr>
        <w:t xml:space="preserve">ocial y </w:t>
      </w:r>
      <w:r w:rsidR="00BB1B3C">
        <w:rPr>
          <w:rFonts w:cs="Arial"/>
          <w:sz w:val="22"/>
          <w:szCs w:val="22"/>
        </w:rPr>
        <w:t>E</w:t>
      </w:r>
      <w:r w:rsidR="00291BCD">
        <w:rPr>
          <w:rFonts w:cs="Arial"/>
          <w:sz w:val="22"/>
          <w:szCs w:val="22"/>
        </w:rPr>
        <w:t>cológica declarada mediante</w:t>
      </w:r>
      <w:r w:rsidR="00BB1B3C">
        <w:rPr>
          <w:rFonts w:cs="Arial"/>
          <w:sz w:val="22"/>
          <w:szCs w:val="22"/>
        </w:rPr>
        <w:t xml:space="preserve"> el</w:t>
      </w:r>
      <w:r w:rsidR="00291BCD">
        <w:rPr>
          <w:rFonts w:cs="Arial"/>
          <w:sz w:val="22"/>
          <w:szCs w:val="22"/>
        </w:rPr>
        <w:t xml:space="preserve"> Decreto 417 de 2020</w:t>
      </w:r>
      <w:r w:rsidR="00884666">
        <w:rPr>
          <w:rFonts w:cs="Arial"/>
          <w:sz w:val="22"/>
          <w:szCs w:val="22"/>
        </w:rPr>
        <w:t>,</w:t>
      </w:r>
      <w:r w:rsidR="00C52476">
        <w:rPr>
          <w:rFonts w:cs="Arial"/>
          <w:sz w:val="22"/>
          <w:szCs w:val="22"/>
        </w:rPr>
        <w:t xml:space="preserve"> y de las restricciones de movilidad </w:t>
      </w:r>
      <w:r w:rsidR="00884666">
        <w:rPr>
          <w:rFonts w:cs="Arial"/>
          <w:sz w:val="22"/>
          <w:szCs w:val="22"/>
        </w:rPr>
        <w:t xml:space="preserve">adoptadas mediante el Decreto 457 de 2020 y </w:t>
      </w:r>
      <w:r w:rsidR="00C52476">
        <w:rPr>
          <w:rFonts w:cs="Arial"/>
          <w:sz w:val="22"/>
          <w:szCs w:val="22"/>
        </w:rPr>
        <w:t>que rigen en este momento en el país</w:t>
      </w:r>
      <w:r>
        <w:rPr>
          <w:rFonts w:cs="Arial"/>
          <w:sz w:val="22"/>
          <w:szCs w:val="22"/>
        </w:rPr>
        <w:t>, l</w:t>
      </w:r>
      <w:r w:rsidR="008C750A">
        <w:rPr>
          <w:rFonts w:cs="Arial"/>
          <w:sz w:val="22"/>
          <w:szCs w:val="22"/>
        </w:rPr>
        <w:t xml:space="preserve">a Comisión </w:t>
      </w:r>
      <w:r>
        <w:rPr>
          <w:rFonts w:cs="Arial"/>
          <w:sz w:val="22"/>
          <w:szCs w:val="22"/>
        </w:rPr>
        <w:t xml:space="preserve">se permite manifestar </w:t>
      </w:r>
      <w:r w:rsidR="00186579">
        <w:rPr>
          <w:rFonts w:cs="Arial"/>
          <w:sz w:val="22"/>
          <w:szCs w:val="22"/>
        </w:rPr>
        <w:t>lo siguiente:</w:t>
      </w:r>
    </w:p>
    <w:p w14:paraId="0F925747" w14:textId="3A368B64" w:rsidR="0022312B" w:rsidRDefault="00186579" w:rsidP="00F70D3A">
      <w:pPr>
        <w:pStyle w:val="Textoindependiente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</w:t>
      </w:r>
      <w:r w:rsidR="008C750A">
        <w:rPr>
          <w:rFonts w:cs="Arial"/>
          <w:sz w:val="22"/>
          <w:szCs w:val="22"/>
        </w:rPr>
        <w:t>l literal (l) del artículo 10 (numeral 10.4) de la Resolución CREG 130 de 2019 se</w:t>
      </w:r>
      <w:r w:rsidR="00271071">
        <w:rPr>
          <w:rFonts w:cs="Arial"/>
          <w:sz w:val="22"/>
          <w:szCs w:val="22"/>
        </w:rPr>
        <w:t xml:space="preserve">ñala que </w:t>
      </w:r>
      <w:r>
        <w:rPr>
          <w:rFonts w:cs="Arial"/>
          <w:sz w:val="22"/>
          <w:szCs w:val="22"/>
        </w:rPr>
        <w:t xml:space="preserve">los participantes de la audiencia pública </w:t>
      </w:r>
      <w:r w:rsidR="00271071">
        <w:rPr>
          <w:rFonts w:cs="Arial"/>
          <w:sz w:val="22"/>
          <w:szCs w:val="22"/>
        </w:rPr>
        <w:t xml:space="preserve">deben tener </w:t>
      </w:r>
      <w:r>
        <w:rPr>
          <w:rFonts w:cs="Arial"/>
          <w:sz w:val="22"/>
          <w:szCs w:val="22"/>
        </w:rPr>
        <w:t xml:space="preserve">la </w:t>
      </w:r>
      <w:r w:rsidR="008C750A">
        <w:rPr>
          <w:rFonts w:cs="Arial"/>
          <w:sz w:val="22"/>
          <w:szCs w:val="22"/>
        </w:rPr>
        <w:t>“</w:t>
      </w:r>
      <w:r w:rsidR="008C750A" w:rsidRPr="00E969AB">
        <w:rPr>
          <w:rFonts w:cs="Arial"/>
          <w:i/>
          <w:iCs/>
          <w:sz w:val="22"/>
          <w:szCs w:val="22"/>
        </w:rPr>
        <w:t>posibilidad de estar presentes</w:t>
      </w:r>
      <w:r w:rsidR="008C750A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 xml:space="preserve">. </w:t>
      </w:r>
      <w:r w:rsidR="0027107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Esa</w:t>
      </w:r>
      <w:r w:rsidR="008C750A">
        <w:rPr>
          <w:rFonts w:cs="Arial"/>
          <w:sz w:val="22"/>
          <w:szCs w:val="22"/>
        </w:rPr>
        <w:t xml:space="preserve"> presencia no se presume </w:t>
      </w:r>
      <w:r>
        <w:rPr>
          <w:rFonts w:cs="Arial"/>
          <w:sz w:val="22"/>
          <w:szCs w:val="22"/>
        </w:rPr>
        <w:t xml:space="preserve">únicamente </w:t>
      </w:r>
      <w:r w:rsidR="008C750A">
        <w:rPr>
          <w:rFonts w:cs="Arial"/>
          <w:sz w:val="22"/>
          <w:szCs w:val="22"/>
        </w:rPr>
        <w:t>física</w:t>
      </w:r>
      <w:r>
        <w:rPr>
          <w:rFonts w:cs="Arial"/>
          <w:sz w:val="22"/>
          <w:szCs w:val="22"/>
        </w:rPr>
        <w:t>.</w:t>
      </w:r>
      <w:r w:rsidR="008C750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</w:t>
      </w:r>
      <w:r w:rsidR="008C750A">
        <w:rPr>
          <w:rFonts w:cs="Arial"/>
          <w:sz w:val="22"/>
          <w:szCs w:val="22"/>
        </w:rPr>
        <w:t xml:space="preserve">or tanto, </w:t>
      </w:r>
      <w:r>
        <w:rPr>
          <w:rFonts w:cs="Arial"/>
          <w:sz w:val="22"/>
          <w:szCs w:val="22"/>
        </w:rPr>
        <w:t xml:space="preserve">la audiencia pública </w:t>
      </w:r>
      <w:r w:rsidR="008C750A">
        <w:rPr>
          <w:rFonts w:cs="Arial"/>
          <w:sz w:val="22"/>
          <w:szCs w:val="22"/>
        </w:rPr>
        <w:t xml:space="preserve">también </w:t>
      </w:r>
      <w:r>
        <w:rPr>
          <w:rFonts w:cs="Arial"/>
          <w:sz w:val="22"/>
          <w:szCs w:val="22"/>
        </w:rPr>
        <w:t xml:space="preserve">puede hacerse con </w:t>
      </w:r>
      <w:r w:rsidR="008C750A">
        <w:rPr>
          <w:rFonts w:cs="Arial"/>
          <w:sz w:val="22"/>
          <w:szCs w:val="22"/>
        </w:rPr>
        <w:t>presencia virtual</w:t>
      </w:r>
      <w:r>
        <w:rPr>
          <w:rFonts w:cs="Arial"/>
          <w:sz w:val="22"/>
          <w:szCs w:val="22"/>
        </w:rPr>
        <w:t xml:space="preserve"> de dichos participantes</w:t>
      </w:r>
      <w:r w:rsidR="00C644DD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o combinando ambas formas de difusión de la evaluación de resultados</w:t>
      </w:r>
      <w:r w:rsidR="008C750A">
        <w:rPr>
          <w:rFonts w:cs="Arial"/>
          <w:sz w:val="22"/>
          <w:szCs w:val="22"/>
        </w:rPr>
        <w:t>.</w:t>
      </w:r>
    </w:p>
    <w:p w14:paraId="65E9BE07" w14:textId="655141EF" w:rsidR="002C5D3D" w:rsidRDefault="008C750A" w:rsidP="00F70D3A">
      <w:pPr>
        <w:pStyle w:val="Textoindependiente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este sentido, una audiencia pública puede realizarse </w:t>
      </w:r>
      <w:r w:rsidR="00E969AB">
        <w:rPr>
          <w:rFonts w:cs="Arial"/>
          <w:sz w:val="22"/>
          <w:szCs w:val="22"/>
        </w:rPr>
        <w:t>por un medio</w:t>
      </w:r>
      <w:r>
        <w:rPr>
          <w:rFonts w:cs="Arial"/>
          <w:sz w:val="22"/>
          <w:szCs w:val="22"/>
        </w:rPr>
        <w:t xml:space="preserve"> virtual</w:t>
      </w:r>
      <w:r w:rsidR="00E969AB">
        <w:rPr>
          <w:rFonts w:cs="Arial"/>
          <w:sz w:val="22"/>
          <w:szCs w:val="22"/>
        </w:rPr>
        <w:t xml:space="preserve">, siempre que garantice la posibilidad de </w:t>
      </w:r>
      <w:r w:rsidR="002C5D3D">
        <w:rPr>
          <w:rFonts w:cs="Arial"/>
          <w:sz w:val="22"/>
          <w:szCs w:val="22"/>
        </w:rPr>
        <w:t xml:space="preserve">acceso </w:t>
      </w:r>
      <w:r w:rsidR="00E969AB">
        <w:rPr>
          <w:rFonts w:cs="Arial"/>
          <w:sz w:val="22"/>
          <w:szCs w:val="22"/>
        </w:rPr>
        <w:t>por parte de los interesados</w:t>
      </w:r>
      <w:r w:rsidR="002C5D3D" w:rsidRPr="002C5D3D">
        <w:rPr>
          <w:rFonts w:cs="Arial"/>
          <w:sz w:val="22"/>
          <w:szCs w:val="22"/>
        </w:rPr>
        <w:t xml:space="preserve"> </w:t>
      </w:r>
      <w:r w:rsidR="002C5D3D">
        <w:rPr>
          <w:rFonts w:cs="Arial"/>
          <w:sz w:val="22"/>
          <w:szCs w:val="22"/>
        </w:rPr>
        <w:t xml:space="preserve">y </w:t>
      </w:r>
      <w:r w:rsidR="002C5D3D" w:rsidRPr="00753DAB">
        <w:rPr>
          <w:rFonts w:cs="Arial"/>
          <w:sz w:val="22"/>
          <w:szCs w:val="22"/>
        </w:rPr>
        <w:t>las autoridades de inspección, control y vigilancia</w:t>
      </w:r>
      <w:r w:rsidR="00C644DD">
        <w:rPr>
          <w:rFonts w:cs="Arial"/>
          <w:sz w:val="22"/>
          <w:szCs w:val="22"/>
        </w:rPr>
        <w:t>,</w:t>
      </w:r>
      <w:r w:rsidR="00E969AB">
        <w:rPr>
          <w:rFonts w:cs="Arial"/>
          <w:sz w:val="22"/>
          <w:szCs w:val="22"/>
        </w:rPr>
        <w:t xml:space="preserve"> sin restricciones, manteniendo su carácter de “</w:t>
      </w:r>
      <w:r w:rsidR="00E969AB" w:rsidRPr="00E969AB">
        <w:rPr>
          <w:rFonts w:cs="Arial"/>
          <w:i/>
          <w:iCs/>
          <w:sz w:val="22"/>
          <w:szCs w:val="22"/>
        </w:rPr>
        <w:t>pública</w:t>
      </w:r>
      <w:r w:rsidR="00E969AB">
        <w:rPr>
          <w:rFonts w:cs="Arial"/>
          <w:sz w:val="22"/>
          <w:szCs w:val="22"/>
        </w:rPr>
        <w:t>”</w:t>
      </w:r>
      <w:r w:rsidR="00C644DD">
        <w:rPr>
          <w:rFonts w:cs="Arial"/>
          <w:sz w:val="22"/>
          <w:szCs w:val="22"/>
        </w:rPr>
        <w:t>,</w:t>
      </w:r>
      <w:r w:rsidR="00186579">
        <w:rPr>
          <w:rFonts w:cs="Arial"/>
          <w:sz w:val="22"/>
          <w:szCs w:val="22"/>
        </w:rPr>
        <w:t xml:space="preserve"> y cumpliendo con los objetivos </w:t>
      </w:r>
      <w:r w:rsidR="00353F66">
        <w:rPr>
          <w:rFonts w:cs="Arial"/>
          <w:sz w:val="22"/>
          <w:szCs w:val="22"/>
        </w:rPr>
        <w:t>establecidos por</w:t>
      </w:r>
      <w:r w:rsidR="00186579">
        <w:rPr>
          <w:rFonts w:cs="Arial"/>
          <w:sz w:val="22"/>
          <w:szCs w:val="22"/>
        </w:rPr>
        <w:t xml:space="preserve"> la r</w:t>
      </w:r>
      <w:bookmarkStart w:id="0" w:name="_GoBack"/>
      <w:bookmarkEnd w:id="0"/>
      <w:r w:rsidR="00186579">
        <w:rPr>
          <w:rFonts w:cs="Arial"/>
          <w:sz w:val="22"/>
          <w:szCs w:val="22"/>
        </w:rPr>
        <w:t>egulación</w:t>
      </w:r>
      <w:r w:rsidR="00E969AB">
        <w:rPr>
          <w:rFonts w:cs="Arial"/>
          <w:sz w:val="22"/>
          <w:szCs w:val="22"/>
        </w:rPr>
        <w:t>.</w:t>
      </w:r>
      <w:r w:rsidR="00353F66">
        <w:rPr>
          <w:rFonts w:cs="Arial"/>
          <w:sz w:val="22"/>
          <w:szCs w:val="22"/>
        </w:rPr>
        <w:t xml:space="preserve"> En el caso d</w:t>
      </w:r>
      <w:r w:rsidR="002C5D3D">
        <w:rPr>
          <w:rFonts w:cs="Arial"/>
          <w:sz w:val="22"/>
          <w:szCs w:val="22"/>
        </w:rPr>
        <w:t>el</w:t>
      </w:r>
      <w:r w:rsidR="008D4E3F">
        <w:rPr>
          <w:rFonts w:cs="Arial"/>
          <w:sz w:val="22"/>
          <w:szCs w:val="22"/>
        </w:rPr>
        <w:t xml:space="preserve"> numeral 10.4, </w:t>
      </w:r>
      <w:r w:rsidR="002C5D3D">
        <w:rPr>
          <w:rFonts w:cs="Arial"/>
          <w:sz w:val="22"/>
          <w:szCs w:val="22"/>
        </w:rPr>
        <w:t xml:space="preserve">literal (m) citado anteriormente, </w:t>
      </w:r>
      <w:r w:rsidR="00353F66">
        <w:rPr>
          <w:rFonts w:cs="Arial"/>
          <w:sz w:val="22"/>
          <w:szCs w:val="22"/>
        </w:rPr>
        <w:t>esto incluye el deber de</w:t>
      </w:r>
      <w:r w:rsidR="002C5D3D">
        <w:rPr>
          <w:rFonts w:cs="Arial"/>
          <w:sz w:val="22"/>
          <w:szCs w:val="22"/>
        </w:rPr>
        <w:t xml:space="preserve"> informar</w:t>
      </w:r>
      <w:r w:rsidR="005164FC">
        <w:rPr>
          <w:rFonts w:cs="Arial"/>
          <w:sz w:val="22"/>
          <w:szCs w:val="22"/>
        </w:rPr>
        <w:t xml:space="preserve"> </w:t>
      </w:r>
      <w:r w:rsidR="002C5D3D">
        <w:rPr>
          <w:rFonts w:cs="Arial"/>
          <w:sz w:val="22"/>
          <w:szCs w:val="22"/>
        </w:rPr>
        <w:t xml:space="preserve">las especificaciones </w:t>
      </w:r>
      <w:r w:rsidR="005B6A58">
        <w:rPr>
          <w:rFonts w:cs="Arial"/>
          <w:sz w:val="22"/>
          <w:szCs w:val="22"/>
        </w:rPr>
        <w:t xml:space="preserve">necesarias </w:t>
      </w:r>
      <w:r w:rsidR="00353F66">
        <w:rPr>
          <w:rFonts w:cs="Arial"/>
          <w:sz w:val="22"/>
          <w:szCs w:val="22"/>
        </w:rPr>
        <w:t xml:space="preserve">para el acceso de los interesados a la audiencia virtual. </w:t>
      </w:r>
    </w:p>
    <w:p w14:paraId="071A60F8" w14:textId="42204528" w:rsidR="002C5D3D" w:rsidRDefault="00353F66" w:rsidP="00F70D3A">
      <w:pPr>
        <w:pStyle w:val="Textoindependiente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concordancia con los objetivos de la Resolución CREG 130 de 2019, </w:t>
      </w:r>
      <w:r w:rsidR="00E67D5F">
        <w:rPr>
          <w:rFonts w:cs="Arial"/>
          <w:sz w:val="22"/>
          <w:szCs w:val="22"/>
        </w:rPr>
        <w:t xml:space="preserve">el comercializador que realiza la convocatoria </w:t>
      </w:r>
      <w:r>
        <w:rPr>
          <w:rFonts w:cs="Arial"/>
          <w:sz w:val="22"/>
          <w:szCs w:val="22"/>
        </w:rPr>
        <w:t>debe garantizar la transparencia del procedimiento. Específicamente</w:t>
      </w:r>
      <w:r w:rsidR="00C644DD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para el caso de las audiencias públicas virtuales, esto puede hacerse aplicando </w:t>
      </w:r>
      <w:r w:rsidR="00E67D5F">
        <w:rPr>
          <w:rFonts w:cs="Arial"/>
          <w:sz w:val="22"/>
          <w:szCs w:val="22"/>
        </w:rPr>
        <w:t xml:space="preserve">buenas prácticas en </w:t>
      </w:r>
      <w:r>
        <w:rPr>
          <w:rFonts w:cs="Arial"/>
          <w:sz w:val="22"/>
          <w:szCs w:val="22"/>
        </w:rPr>
        <w:t xml:space="preserve">la </w:t>
      </w:r>
      <w:r w:rsidR="00E67D5F">
        <w:rPr>
          <w:rFonts w:cs="Arial"/>
          <w:sz w:val="22"/>
          <w:szCs w:val="22"/>
        </w:rPr>
        <w:t xml:space="preserve">materia. </w:t>
      </w:r>
      <w:r>
        <w:rPr>
          <w:rFonts w:cs="Arial"/>
          <w:sz w:val="22"/>
          <w:szCs w:val="22"/>
        </w:rPr>
        <w:t xml:space="preserve">Por ejemplo, empleando </w:t>
      </w:r>
      <w:r w:rsidR="008D4E3F">
        <w:rPr>
          <w:rFonts w:cs="Arial"/>
          <w:sz w:val="22"/>
          <w:szCs w:val="22"/>
        </w:rPr>
        <w:t xml:space="preserve">plataformas </w:t>
      </w:r>
      <w:r w:rsidR="00394426">
        <w:rPr>
          <w:rFonts w:cs="Arial"/>
          <w:sz w:val="22"/>
          <w:szCs w:val="22"/>
        </w:rPr>
        <w:t>sin costo para los participantes</w:t>
      </w:r>
      <w:r w:rsidR="008D4E3F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que tengan </w:t>
      </w:r>
      <w:r w:rsidR="008D4E3F">
        <w:rPr>
          <w:rFonts w:cs="Arial"/>
          <w:sz w:val="22"/>
          <w:szCs w:val="22"/>
        </w:rPr>
        <w:t xml:space="preserve">capacidad para el acceso simultáneo de los </w:t>
      </w:r>
      <w:r w:rsidR="00394426">
        <w:rPr>
          <w:rFonts w:cs="Arial"/>
          <w:sz w:val="22"/>
          <w:szCs w:val="22"/>
        </w:rPr>
        <w:t>mismos</w:t>
      </w:r>
      <w:r w:rsidR="00C644DD">
        <w:rPr>
          <w:rFonts w:cs="Arial"/>
          <w:sz w:val="22"/>
          <w:szCs w:val="22"/>
        </w:rPr>
        <w:t>,</w:t>
      </w:r>
      <w:r w:rsidR="00394426">
        <w:rPr>
          <w:rFonts w:cs="Arial"/>
          <w:sz w:val="22"/>
          <w:szCs w:val="22"/>
        </w:rPr>
        <w:t xml:space="preserve"> </w:t>
      </w:r>
      <w:r w:rsidR="008D4E3F">
        <w:rPr>
          <w:rFonts w:cs="Arial"/>
          <w:sz w:val="22"/>
          <w:szCs w:val="22"/>
        </w:rPr>
        <w:t xml:space="preserve">y </w:t>
      </w:r>
      <w:r>
        <w:rPr>
          <w:rFonts w:cs="Arial"/>
          <w:sz w:val="22"/>
          <w:szCs w:val="22"/>
        </w:rPr>
        <w:t>que no exijan</w:t>
      </w:r>
      <w:r w:rsidR="008D4E3F">
        <w:rPr>
          <w:rFonts w:cs="Arial"/>
          <w:sz w:val="22"/>
          <w:szCs w:val="22"/>
        </w:rPr>
        <w:t xml:space="preserve"> condiciones de registro para el acceso.</w:t>
      </w:r>
      <w:r w:rsidR="002C5D3D">
        <w:rPr>
          <w:rFonts w:cs="Arial"/>
          <w:sz w:val="22"/>
          <w:szCs w:val="22"/>
        </w:rPr>
        <w:t xml:space="preserve"> </w:t>
      </w:r>
    </w:p>
    <w:p w14:paraId="16C3DB93" w14:textId="76A6AF0B" w:rsidR="008C750A" w:rsidRDefault="008D4E3F" w:rsidP="00F70D3A">
      <w:pPr>
        <w:pStyle w:val="Textoindependiente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todo caso, </w:t>
      </w:r>
      <w:r w:rsidR="00E969AB">
        <w:rPr>
          <w:rFonts w:cs="Arial"/>
          <w:sz w:val="22"/>
          <w:szCs w:val="22"/>
        </w:rPr>
        <w:t xml:space="preserve">la Comisión </w:t>
      </w:r>
      <w:r>
        <w:rPr>
          <w:rFonts w:cs="Arial"/>
          <w:sz w:val="22"/>
          <w:szCs w:val="22"/>
        </w:rPr>
        <w:t xml:space="preserve">entiende </w:t>
      </w:r>
      <w:r w:rsidR="00E969AB">
        <w:rPr>
          <w:rFonts w:cs="Arial"/>
          <w:sz w:val="22"/>
          <w:szCs w:val="22"/>
        </w:rPr>
        <w:t>que, independientemente del medio que emplee para realizar</w:t>
      </w:r>
      <w:r w:rsidR="005A032E">
        <w:rPr>
          <w:rFonts w:cs="Arial"/>
          <w:sz w:val="22"/>
          <w:szCs w:val="22"/>
        </w:rPr>
        <w:t xml:space="preserve"> las audiencias públicas, el comercializador</w:t>
      </w:r>
      <w:r w:rsidR="008C750A">
        <w:rPr>
          <w:rFonts w:cs="Arial"/>
          <w:sz w:val="22"/>
          <w:szCs w:val="22"/>
        </w:rPr>
        <w:t xml:space="preserve"> debe cumplir con los plazos </w:t>
      </w:r>
      <w:r w:rsidR="00E969AB">
        <w:rPr>
          <w:rFonts w:cs="Arial"/>
          <w:sz w:val="22"/>
          <w:szCs w:val="22"/>
        </w:rPr>
        <w:t xml:space="preserve">y procedimientos </w:t>
      </w:r>
      <w:r w:rsidR="008C750A">
        <w:rPr>
          <w:rFonts w:cs="Arial"/>
          <w:sz w:val="22"/>
          <w:szCs w:val="22"/>
        </w:rPr>
        <w:t xml:space="preserve">establecidos en la </w:t>
      </w:r>
      <w:r w:rsidR="005A032E">
        <w:rPr>
          <w:rFonts w:cs="Arial"/>
          <w:sz w:val="22"/>
          <w:szCs w:val="22"/>
        </w:rPr>
        <w:t>citada resolución</w:t>
      </w:r>
      <w:r w:rsidR="00C644DD">
        <w:rPr>
          <w:rFonts w:cs="Arial"/>
          <w:sz w:val="22"/>
          <w:szCs w:val="22"/>
        </w:rPr>
        <w:t>,</w:t>
      </w:r>
      <w:r w:rsidR="005164FC">
        <w:rPr>
          <w:rFonts w:cs="Arial"/>
          <w:sz w:val="22"/>
          <w:szCs w:val="22"/>
        </w:rPr>
        <w:t xml:space="preserve"> y que toda práctica que tenga como objeto o efecto generar barreras de acceso a los interesados o las autoridades</w:t>
      </w:r>
      <w:r w:rsidR="00C644DD">
        <w:rPr>
          <w:rFonts w:cs="Arial"/>
          <w:sz w:val="22"/>
          <w:szCs w:val="22"/>
        </w:rPr>
        <w:t>,</w:t>
      </w:r>
      <w:r w:rsidR="005164FC">
        <w:rPr>
          <w:rFonts w:cs="Arial"/>
          <w:sz w:val="22"/>
          <w:szCs w:val="22"/>
        </w:rPr>
        <w:t xml:space="preserve"> es contraria a la regulación.</w:t>
      </w:r>
    </w:p>
    <w:p w14:paraId="6AA14419" w14:textId="77777777" w:rsidR="00271071" w:rsidRDefault="00271071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CE51FC6" w14:textId="77777777"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14:paraId="3D00C4B9" w14:textId="0ACD92EB"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14:paraId="0B89E68A" w14:textId="77777777" w:rsidR="00884666" w:rsidRDefault="00884666" w:rsidP="00CC7E02">
      <w:pPr>
        <w:jc w:val="center"/>
        <w:rPr>
          <w:rFonts w:ascii="Arial" w:hAnsi="Arial" w:cs="Arial"/>
          <w:sz w:val="22"/>
          <w:szCs w:val="22"/>
        </w:rPr>
      </w:pPr>
    </w:p>
    <w:p w14:paraId="30CC4A74" w14:textId="77777777"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28512480" w14:textId="77777777" w:rsidR="00CC7E02" w:rsidRDefault="005C1758" w:rsidP="00253871">
      <w:pPr>
        <w:pStyle w:val="Textoindependiente"/>
        <w:spacing w:after="0" w:line="240" w:lineRule="auto"/>
        <w:jc w:val="center"/>
        <w:rPr>
          <w:rFonts w:cs="Arial"/>
        </w:rPr>
      </w:pPr>
      <w:r>
        <w:rPr>
          <w:rFonts w:cs="Arial"/>
          <w:sz w:val="22"/>
          <w:szCs w:val="22"/>
        </w:rPr>
        <w:t>JORGE ALBERTO VALENCIA MARÍN</w:t>
      </w:r>
    </w:p>
    <w:sectPr w:rsidR="00CC7E02" w:rsidSect="0035518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560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9D2D2" w14:textId="77777777" w:rsidR="00D71BAD" w:rsidRDefault="00D71BAD" w:rsidP="00AA0519">
      <w:r>
        <w:separator/>
      </w:r>
    </w:p>
  </w:endnote>
  <w:endnote w:type="continuationSeparator" w:id="0">
    <w:p w14:paraId="2A80C191" w14:textId="77777777" w:rsidR="00D71BAD" w:rsidRDefault="00D71BA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93AC" w14:textId="77777777" w:rsidR="005C1758" w:rsidRDefault="005C1758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232669C4" wp14:editId="13B4514F">
          <wp:extent cx="2695575" cy="561975"/>
          <wp:effectExtent l="0" t="0" r="9525" b="952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AFD81" w14:textId="77777777" w:rsidR="005C1758" w:rsidRDefault="005C1758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32F8AB2B" wp14:editId="08CB6CF0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A1EAF" w14:textId="77777777" w:rsidR="00D71BAD" w:rsidRDefault="00D71BAD" w:rsidP="00AA0519">
      <w:r>
        <w:separator/>
      </w:r>
    </w:p>
  </w:footnote>
  <w:footnote w:type="continuationSeparator" w:id="0">
    <w:p w14:paraId="3D170950" w14:textId="77777777" w:rsidR="00D71BAD" w:rsidRDefault="00D71BA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55D77" w14:textId="77777777" w:rsidR="005C1758" w:rsidRDefault="005C1758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031F8358" wp14:editId="6AFE80F6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40A64DD6" wp14:editId="4704EDDF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</w:p>
  <w:p w14:paraId="601F8136" w14:textId="2A682794" w:rsidR="005C1758" w:rsidRDefault="005C1758">
    <w:pPr>
      <w:pStyle w:val="Encabezado"/>
    </w:pPr>
  </w:p>
  <w:p w14:paraId="78C334D9" w14:textId="73CF7219" w:rsidR="00355183" w:rsidRDefault="00355183">
    <w:pPr>
      <w:pStyle w:val="Encabezado"/>
    </w:pPr>
  </w:p>
  <w:p w14:paraId="7859204A" w14:textId="4541E240" w:rsidR="00355183" w:rsidRPr="00355183" w:rsidRDefault="00355183">
    <w:pPr>
      <w:pStyle w:val="Encabezado"/>
      <w:rPr>
        <w:rFonts w:ascii="Arial" w:hAnsi="Arial" w:cs="Arial"/>
        <w:i/>
        <w:iCs/>
        <w:sz w:val="18"/>
        <w:szCs w:val="18"/>
        <w:u w:val="single"/>
      </w:rPr>
    </w:pPr>
    <w:r w:rsidRPr="00355183">
      <w:rPr>
        <w:rFonts w:ascii="Arial" w:hAnsi="Arial" w:cs="Arial"/>
        <w:i/>
        <w:iCs/>
        <w:sz w:val="18"/>
        <w:szCs w:val="18"/>
        <w:u w:val="single"/>
      </w:rPr>
      <w:t>Circular027</w:t>
    </w:r>
  </w:p>
  <w:p w14:paraId="0B917F54" w14:textId="1FA72FAE" w:rsidR="00355183" w:rsidRPr="00355183" w:rsidRDefault="00355183">
    <w:pPr>
      <w:pStyle w:val="Encabezado"/>
      <w:rPr>
        <w:rFonts w:ascii="Arial" w:hAnsi="Arial" w:cs="Arial"/>
        <w:i/>
        <w:iCs/>
        <w:sz w:val="18"/>
        <w:szCs w:val="18"/>
        <w:u w:val="single"/>
      </w:rPr>
    </w:pPr>
    <w:r w:rsidRPr="00355183">
      <w:rPr>
        <w:rFonts w:ascii="Arial" w:hAnsi="Arial" w:cs="Arial"/>
        <w:i/>
        <w:iCs/>
        <w:sz w:val="18"/>
        <w:szCs w:val="18"/>
        <w:u w:val="single"/>
      </w:rPr>
      <w:t>Marzo 2020</w:t>
    </w:r>
  </w:p>
  <w:p w14:paraId="6BDCFC60" w14:textId="15074672" w:rsidR="00355183" w:rsidRPr="00355183" w:rsidRDefault="00355183">
    <w:pPr>
      <w:pStyle w:val="Encabezado"/>
      <w:rPr>
        <w:rFonts w:ascii="Arial" w:hAnsi="Arial" w:cs="Arial"/>
        <w:i/>
        <w:iCs/>
        <w:sz w:val="18"/>
        <w:szCs w:val="18"/>
        <w:u w:val="single"/>
      </w:rPr>
    </w:pPr>
    <w:r w:rsidRPr="00355183">
      <w:rPr>
        <w:rFonts w:ascii="Arial" w:hAnsi="Arial" w:cs="Arial"/>
        <w:b/>
        <w:bCs/>
        <w:i/>
        <w:iCs/>
        <w:sz w:val="18"/>
        <w:szCs w:val="18"/>
        <w:u w:val="single"/>
      </w:rPr>
      <w:fldChar w:fldCharType="begin"/>
    </w:r>
    <w:r w:rsidRPr="00355183">
      <w:rPr>
        <w:rFonts w:ascii="Arial" w:hAnsi="Arial" w:cs="Arial"/>
        <w:b/>
        <w:bCs/>
        <w:i/>
        <w:iCs/>
        <w:sz w:val="18"/>
        <w:szCs w:val="18"/>
        <w:u w:val="single"/>
      </w:rPr>
      <w:instrText>PAGE  \* Arabic  \* MERGEFORMAT</w:instrText>
    </w:r>
    <w:r w:rsidRPr="00355183">
      <w:rPr>
        <w:rFonts w:ascii="Arial" w:hAnsi="Arial" w:cs="Arial"/>
        <w:b/>
        <w:bCs/>
        <w:i/>
        <w:iCs/>
        <w:sz w:val="18"/>
        <w:szCs w:val="18"/>
        <w:u w:val="single"/>
      </w:rPr>
      <w:fldChar w:fldCharType="separate"/>
    </w:r>
    <w:r w:rsidRPr="00355183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1</w:t>
    </w:r>
    <w:r w:rsidRPr="00355183">
      <w:rPr>
        <w:rFonts w:ascii="Arial" w:hAnsi="Arial" w:cs="Arial"/>
        <w:b/>
        <w:bCs/>
        <w:i/>
        <w:iCs/>
        <w:sz w:val="18"/>
        <w:szCs w:val="18"/>
        <w:u w:val="single"/>
      </w:rPr>
      <w:fldChar w:fldCharType="end"/>
    </w:r>
    <w:r w:rsidRPr="00355183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/ </w:t>
    </w:r>
    <w:r w:rsidRPr="00355183">
      <w:rPr>
        <w:rFonts w:ascii="Arial" w:hAnsi="Arial" w:cs="Arial"/>
        <w:b/>
        <w:bCs/>
        <w:i/>
        <w:iCs/>
        <w:sz w:val="18"/>
        <w:szCs w:val="18"/>
        <w:u w:val="single"/>
      </w:rPr>
      <w:fldChar w:fldCharType="begin"/>
    </w:r>
    <w:r w:rsidRPr="00355183">
      <w:rPr>
        <w:rFonts w:ascii="Arial" w:hAnsi="Arial" w:cs="Arial"/>
        <w:b/>
        <w:bCs/>
        <w:i/>
        <w:iCs/>
        <w:sz w:val="18"/>
        <w:szCs w:val="18"/>
        <w:u w:val="single"/>
      </w:rPr>
      <w:instrText>NUMPAGES  \* Arabic  \* MERGEFORMAT</w:instrText>
    </w:r>
    <w:r w:rsidRPr="00355183">
      <w:rPr>
        <w:rFonts w:ascii="Arial" w:hAnsi="Arial" w:cs="Arial"/>
        <w:b/>
        <w:bCs/>
        <w:i/>
        <w:iCs/>
        <w:sz w:val="18"/>
        <w:szCs w:val="18"/>
        <w:u w:val="single"/>
      </w:rPr>
      <w:fldChar w:fldCharType="separate"/>
    </w:r>
    <w:r w:rsidRPr="00355183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2</w:t>
    </w:r>
    <w:r w:rsidRPr="00355183">
      <w:rPr>
        <w:rFonts w:ascii="Arial" w:hAnsi="Arial" w:cs="Arial"/>
        <w:b/>
        <w:bCs/>
        <w:i/>
        <w:iCs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B366A" w14:textId="77777777" w:rsidR="005C1758" w:rsidRDefault="005C1758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79FF3A8" wp14:editId="1E53311A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88F6757" wp14:editId="307C7DF3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  <w:r>
      <w:rPr>
        <w:noProof/>
        <w:lang w:val="es-CO" w:eastAsia="es-CO"/>
      </w:rPr>
      <w:tab/>
    </w:r>
  </w:p>
  <w:p w14:paraId="25A33842" w14:textId="77777777" w:rsidR="005C1758" w:rsidRDefault="005C1758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5D0"/>
    <w:multiLevelType w:val="hybridMultilevel"/>
    <w:tmpl w:val="A2A2C2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76AC"/>
    <w:rsid w:val="000F38B4"/>
    <w:rsid w:val="00115F70"/>
    <w:rsid w:val="001215BB"/>
    <w:rsid w:val="0014353D"/>
    <w:rsid w:val="00153BE7"/>
    <w:rsid w:val="00186579"/>
    <w:rsid w:val="0022312B"/>
    <w:rsid w:val="00253871"/>
    <w:rsid w:val="00271071"/>
    <w:rsid w:val="00291BCD"/>
    <w:rsid w:val="002C26C3"/>
    <w:rsid w:val="002C5D3D"/>
    <w:rsid w:val="002C654D"/>
    <w:rsid w:val="002F13F9"/>
    <w:rsid w:val="00353D1D"/>
    <w:rsid w:val="00353F66"/>
    <w:rsid w:val="00355183"/>
    <w:rsid w:val="003662F0"/>
    <w:rsid w:val="003728FF"/>
    <w:rsid w:val="00394426"/>
    <w:rsid w:val="003B25C4"/>
    <w:rsid w:val="003C7E1C"/>
    <w:rsid w:val="003F2F4B"/>
    <w:rsid w:val="004170AF"/>
    <w:rsid w:val="00457CC2"/>
    <w:rsid w:val="005164FC"/>
    <w:rsid w:val="005723D7"/>
    <w:rsid w:val="005A032E"/>
    <w:rsid w:val="005B6A58"/>
    <w:rsid w:val="005C1758"/>
    <w:rsid w:val="005E366C"/>
    <w:rsid w:val="006137E8"/>
    <w:rsid w:val="00680674"/>
    <w:rsid w:val="00717096"/>
    <w:rsid w:val="00735E1F"/>
    <w:rsid w:val="0074199A"/>
    <w:rsid w:val="00793583"/>
    <w:rsid w:val="007F42E3"/>
    <w:rsid w:val="00884666"/>
    <w:rsid w:val="008C750A"/>
    <w:rsid w:val="008D4E3F"/>
    <w:rsid w:val="009A3312"/>
    <w:rsid w:val="00A15CDD"/>
    <w:rsid w:val="00A90A86"/>
    <w:rsid w:val="00AA0519"/>
    <w:rsid w:val="00AA7A5F"/>
    <w:rsid w:val="00AD57F2"/>
    <w:rsid w:val="00B74DFE"/>
    <w:rsid w:val="00BB1B3C"/>
    <w:rsid w:val="00BC083C"/>
    <w:rsid w:val="00C52476"/>
    <w:rsid w:val="00C644DD"/>
    <w:rsid w:val="00CC7E02"/>
    <w:rsid w:val="00D231BD"/>
    <w:rsid w:val="00D71BAD"/>
    <w:rsid w:val="00D754A1"/>
    <w:rsid w:val="00DC1FEA"/>
    <w:rsid w:val="00E41CF5"/>
    <w:rsid w:val="00E67D5F"/>
    <w:rsid w:val="00E969AB"/>
    <w:rsid w:val="00F13D47"/>
    <w:rsid w:val="00F70D3A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E41E7EA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253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E465C-3E66-42C6-A9AC-F9DB1339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2020-03-30T22:17:00Z</cp:lastPrinted>
  <dcterms:created xsi:type="dcterms:W3CDTF">2020-03-31T01:50:00Z</dcterms:created>
  <dcterms:modified xsi:type="dcterms:W3CDTF">2020-03-31T01:50:00Z</dcterms:modified>
</cp:coreProperties>
</file>