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  <w:bookmarkStart w:id="0" w:name="_GoBack"/>
      <w:bookmarkEnd w:id="0"/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D95331">
        <w:rPr>
          <w:rFonts w:ascii="Arial" w:hAnsi="Arial" w:cs="Arial"/>
          <w:sz w:val="22"/>
          <w:szCs w:val="22"/>
          <w:lang w:val="es-MX"/>
        </w:rPr>
        <w:t>ma</w:t>
      </w:r>
      <w:r w:rsidR="00F04853">
        <w:rPr>
          <w:rFonts w:ascii="Arial" w:hAnsi="Arial" w:cs="Arial"/>
          <w:sz w:val="22"/>
          <w:szCs w:val="22"/>
          <w:lang w:val="es-MX"/>
        </w:rPr>
        <w:t>y</w:t>
      </w:r>
      <w:r w:rsidR="00D95331">
        <w:rPr>
          <w:rFonts w:ascii="Arial" w:hAnsi="Arial" w:cs="Arial"/>
          <w:sz w:val="22"/>
          <w:szCs w:val="22"/>
          <w:lang w:val="es-MX"/>
        </w:rPr>
        <w:t>o</w:t>
      </w:r>
      <w:r w:rsidR="006247E0">
        <w:rPr>
          <w:rFonts w:ascii="Arial" w:hAnsi="Arial" w:cs="Arial"/>
          <w:sz w:val="22"/>
          <w:szCs w:val="22"/>
          <w:lang w:val="es-MX"/>
        </w:rPr>
        <w:t xml:space="preserve"> 2</w:t>
      </w:r>
      <w:r w:rsidR="00F04853">
        <w:rPr>
          <w:rFonts w:ascii="Arial" w:hAnsi="Arial" w:cs="Arial"/>
          <w:sz w:val="22"/>
          <w:szCs w:val="22"/>
          <w:lang w:val="es-MX"/>
        </w:rPr>
        <w:t>5</w:t>
      </w:r>
      <w:r w:rsidR="0019403C">
        <w:rPr>
          <w:rFonts w:ascii="Arial" w:hAnsi="Arial" w:cs="Arial"/>
          <w:sz w:val="22"/>
          <w:szCs w:val="22"/>
          <w:lang w:val="es-MX"/>
        </w:rPr>
        <w:t xml:space="preserve"> de 2016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19403C" w:rsidRPr="000F7EB3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</w:t>
      </w:r>
      <w:r w:rsidR="007F4A69" w:rsidRPr="000F7EB3">
        <w:rPr>
          <w:rFonts w:ascii="Arial" w:hAnsi="Arial" w:cs="Arial"/>
          <w:b/>
          <w:bCs/>
          <w:i/>
          <w:iCs/>
          <w:kern w:val="60"/>
          <w:sz w:val="40"/>
          <w:szCs w:val="40"/>
        </w:rPr>
        <w:t>29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6247E0" w:rsidRPr="009E0F14" w:rsidRDefault="009E0F14" w:rsidP="006247E0">
      <w:pPr>
        <w:pStyle w:val="Sangradetextonormal"/>
        <w:ind w:left="1410" w:hanging="1410"/>
        <w:contextualSpacing/>
        <w:rPr>
          <w:b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6247E0" w:rsidRPr="00FD1D8D">
        <w:rPr>
          <w:b/>
        </w:rPr>
        <w:t>EMPRESAS COMERCIALIZADORAS MAYORISTAS, TRANSPORTADORAS, DISTRIBUIDORAS Y COMERCIALIZADORAS MINORISTAS DE GLP Y DEMÁS INTERESADOS.</w:t>
      </w:r>
    </w:p>
    <w:p w:rsidR="009E0F14" w:rsidRPr="009E0F14" w:rsidRDefault="009E0F14" w:rsidP="009E0F14">
      <w:pPr>
        <w:spacing w:line="216" w:lineRule="auto"/>
        <w:ind w:left="1410" w:hanging="1410"/>
        <w:rPr>
          <w:rFonts w:ascii="Arial" w:hAnsi="Arial" w:cs="Arial"/>
          <w:b/>
        </w:rPr>
      </w:pP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  <w:t>DIRECCIÓN EJECUTIVA</w:t>
      </w:r>
    </w:p>
    <w:p w:rsidR="009E0F14" w:rsidRPr="009E0F14" w:rsidRDefault="009E0F14" w:rsidP="009E0F14">
      <w:pPr>
        <w:spacing w:line="216" w:lineRule="auto"/>
        <w:rPr>
          <w:rFonts w:ascii="Arial" w:hAnsi="Arial" w:cs="Arial"/>
        </w:rPr>
      </w:pPr>
    </w:p>
    <w:p w:rsidR="00F73DC8" w:rsidRPr="009E0F14" w:rsidRDefault="009E0F14" w:rsidP="00F73DC8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6247E0">
        <w:rPr>
          <w:rFonts w:cs="Arial"/>
          <w:b/>
          <w:szCs w:val="24"/>
        </w:rPr>
        <w:t xml:space="preserve">OPC </w:t>
      </w:r>
      <w:r w:rsidR="00F04853">
        <w:rPr>
          <w:rFonts w:cs="Arial"/>
          <w:b/>
          <w:szCs w:val="24"/>
        </w:rPr>
        <w:t>MAYO</w:t>
      </w:r>
      <w:r w:rsidR="00EB2564">
        <w:rPr>
          <w:rFonts w:cs="Arial"/>
          <w:b/>
          <w:szCs w:val="24"/>
        </w:rPr>
        <w:t xml:space="preserve"> </w:t>
      </w:r>
      <w:r w:rsidR="006247E0">
        <w:rPr>
          <w:rFonts w:cs="Arial"/>
          <w:b/>
          <w:szCs w:val="24"/>
        </w:rPr>
        <w:t>DE 2016</w:t>
      </w:r>
    </w:p>
    <w:p w:rsidR="0093227B" w:rsidRDefault="0093227B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EA748B" w:rsidRDefault="00EA748B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6247E0" w:rsidRPr="00FD1D8D" w:rsidRDefault="006247E0" w:rsidP="006247E0">
      <w:pPr>
        <w:pStyle w:val="Textoindependiente"/>
        <w:contextualSpacing/>
        <w:rPr>
          <w:sz w:val="22"/>
          <w:szCs w:val="22"/>
        </w:rPr>
      </w:pPr>
      <w:r w:rsidRPr="00FD1D8D">
        <w:rPr>
          <w:sz w:val="22"/>
          <w:szCs w:val="22"/>
        </w:rPr>
        <w:t>Mediante comunicación con radicado CREG E-201</w:t>
      </w:r>
      <w:r>
        <w:rPr>
          <w:sz w:val="22"/>
          <w:szCs w:val="22"/>
        </w:rPr>
        <w:t>6</w:t>
      </w:r>
      <w:r w:rsidRPr="00FD1D8D">
        <w:rPr>
          <w:sz w:val="22"/>
          <w:szCs w:val="22"/>
        </w:rPr>
        <w:t>-00</w:t>
      </w:r>
      <w:r w:rsidR="00F04853">
        <w:rPr>
          <w:sz w:val="22"/>
          <w:szCs w:val="22"/>
        </w:rPr>
        <w:t>6024</w:t>
      </w:r>
      <w:r w:rsidRPr="00FD1D8D">
        <w:rPr>
          <w:sz w:val="22"/>
          <w:szCs w:val="22"/>
        </w:rPr>
        <w:t xml:space="preserve"> del </w:t>
      </w:r>
      <w:r w:rsidR="00EB2564">
        <w:rPr>
          <w:sz w:val="22"/>
          <w:szCs w:val="22"/>
        </w:rPr>
        <w:t>2</w:t>
      </w:r>
      <w:r w:rsidR="00F04853">
        <w:rPr>
          <w:sz w:val="22"/>
          <w:szCs w:val="22"/>
        </w:rPr>
        <w:t>4</w:t>
      </w:r>
      <w:r>
        <w:rPr>
          <w:sz w:val="22"/>
          <w:szCs w:val="22"/>
        </w:rPr>
        <w:t xml:space="preserve"> </w:t>
      </w:r>
      <w:r w:rsidRPr="00FD1D8D">
        <w:rPr>
          <w:sz w:val="22"/>
          <w:szCs w:val="22"/>
        </w:rPr>
        <w:t xml:space="preserve">de </w:t>
      </w:r>
      <w:r w:rsidR="00EB2564">
        <w:rPr>
          <w:sz w:val="22"/>
          <w:szCs w:val="22"/>
        </w:rPr>
        <w:t>ma</w:t>
      </w:r>
      <w:r w:rsidR="00F04853">
        <w:rPr>
          <w:sz w:val="22"/>
          <w:szCs w:val="22"/>
        </w:rPr>
        <w:t>y</w:t>
      </w:r>
      <w:r w:rsidR="00EB2564">
        <w:rPr>
          <w:sz w:val="22"/>
          <w:szCs w:val="22"/>
        </w:rPr>
        <w:t>o</w:t>
      </w:r>
      <w:r w:rsidRPr="00FD1D8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 </w:t>
      </w:r>
      <w:r w:rsidRPr="00FD1D8D">
        <w:rPr>
          <w:sz w:val="22"/>
          <w:szCs w:val="22"/>
        </w:rPr>
        <w:t>201</w:t>
      </w:r>
      <w:r w:rsidR="00EB2564">
        <w:rPr>
          <w:sz w:val="22"/>
          <w:szCs w:val="22"/>
        </w:rPr>
        <w:t>6</w:t>
      </w:r>
      <w:r w:rsidRPr="00FD1D8D">
        <w:rPr>
          <w:sz w:val="22"/>
          <w:szCs w:val="22"/>
        </w:rPr>
        <w:t xml:space="preserve">, Ecopetrol informó a la </w:t>
      </w:r>
      <w:r>
        <w:rPr>
          <w:sz w:val="22"/>
          <w:szCs w:val="22"/>
        </w:rPr>
        <w:t xml:space="preserve">CREG las cantidades de GLP que </w:t>
      </w:r>
      <w:r w:rsidRPr="00FD1D8D">
        <w:rPr>
          <w:sz w:val="22"/>
          <w:szCs w:val="22"/>
        </w:rPr>
        <w:t xml:space="preserve">tiene disponibles para la venta </w:t>
      </w:r>
      <w:r>
        <w:rPr>
          <w:sz w:val="22"/>
          <w:szCs w:val="22"/>
        </w:rPr>
        <w:t xml:space="preserve">en el punto de producción de Cartagena </w:t>
      </w:r>
      <w:r w:rsidR="00F04853">
        <w:rPr>
          <w:sz w:val="22"/>
          <w:szCs w:val="22"/>
        </w:rPr>
        <w:t>del 25 de mayo al 30 de junio</w:t>
      </w:r>
      <w:r w:rsidRPr="00FD1D8D">
        <w:rPr>
          <w:sz w:val="22"/>
          <w:szCs w:val="22"/>
        </w:rPr>
        <w:t xml:space="preserve"> </w:t>
      </w:r>
      <w:r w:rsidR="00F04853">
        <w:rPr>
          <w:sz w:val="22"/>
          <w:szCs w:val="22"/>
        </w:rPr>
        <w:t xml:space="preserve">de </w:t>
      </w:r>
      <w:r w:rsidRPr="00FD1D8D">
        <w:rPr>
          <w:sz w:val="22"/>
          <w:szCs w:val="22"/>
        </w:rPr>
        <w:t>201</w:t>
      </w:r>
      <w:r>
        <w:rPr>
          <w:sz w:val="22"/>
          <w:szCs w:val="22"/>
        </w:rPr>
        <w:t>6</w:t>
      </w:r>
      <w:r w:rsidRPr="00FD1D8D">
        <w:rPr>
          <w:sz w:val="22"/>
          <w:szCs w:val="22"/>
        </w:rPr>
        <w:t>.</w:t>
      </w:r>
    </w:p>
    <w:p w:rsidR="006247E0" w:rsidRPr="00FD1D8D" w:rsidRDefault="006247E0" w:rsidP="006247E0">
      <w:pPr>
        <w:pStyle w:val="Textoindependiente"/>
        <w:contextualSpacing/>
        <w:rPr>
          <w:sz w:val="22"/>
          <w:szCs w:val="22"/>
        </w:rPr>
      </w:pPr>
    </w:p>
    <w:p w:rsidR="006247E0" w:rsidRDefault="006247E0" w:rsidP="006247E0">
      <w:pPr>
        <w:pStyle w:val="Textoindependiente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Teniendo en cuenta que la oferta es solamente en un punto de producción, no aplica la metodología de cálculo de la </w:t>
      </w:r>
      <w:r w:rsidRPr="00FD1D8D">
        <w:rPr>
          <w:sz w:val="22"/>
          <w:szCs w:val="22"/>
        </w:rPr>
        <w:t>Circular CREG 048 de 2011</w:t>
      </w:r>
      <w:r>
        <w:rPr>
          <w:sz w:val="22"/>
          <w:szCs w:val="22"/>
        </w:rPr>
        <w:t xml:space="preserve"> para determinar los</w:t>
      </w:r>
      <w:r w:rsidRPr="00FD1D8D">
        <w:rPr>
          <w:sz w:val="22"/>
          <w:szCs w:val="22"/>
        </w:rPr>
        <w:t xml:space="preserve"> municipios que conforman las zonas de influencia de las que trata el parágrafo 1 del artículo 14 de la Resolución CREG 053 de 2011</w:t>
      </w:r>
      <w:r>
        <w:rPr>
          <w:sz w:val="22"/>
          <w:szCs w:val="22"/>
        </w:rPr>
        <w:t>. La cual quiere decir que hay una única zona de referencia  par</w:t>
      </w:r>
      <w:r w:rsidR="007838CA">
        <w:rPr>
          <w:sz w:val="22"/>
          <w:szCs w:val="22"/>
        </w:rPr>
        <w:t xml:space="preserve">a todo el país que es Cartagena. </w:t>
      </w:r>
    </w:p>
    <w:p w:rsidR="007838CA" w:rsidRDefault="007838CA" w:rsidP="006247E0">
      <w:pPr>
        <w:pStyle w:val="Textoindependiente"/>
        <w:contextualSpacing/>
        <w:rPr>
          <w:sz w:val="22"/>
          <w:szCs w:val="22"/>
        </w:rPr>
      </w:pPr>
    </w:p>
    <w:p w:rsidR="007838CA" w:rsidRPr="00FD1D8D" w:rsidRDefault="007838CA" w:rsidP="006247E0">
      <w:pPr>
        <w:pStyle w:val="Textoindependiente"/>
        <w:contextualSpacing/>
        <w:rPr>
          <w:sz w:val="22"/>
          <w:szCs w:val="22"/>
        </w:rPr>
      </w:pPr>
      <w:r>
        <w:rPr>
          <w:sz w:val="22"/>
          <w:szCs w:val="22"/>
        </w:rPr>
        <w:t>Con base en lo anterior, cada vez que se vaya a hacer una OPC adicional que ofrezca producto de una única fuente, la zona de influencia será una sola para todo el territorio nacional y se podrá obviar la publicación de la circular de zonas de influencia por parte de la CREG para poder efectuar el proceso de la OPC.</w:t>
      </w:r>
    </w:p>
    <w:p w:rsidR="006247E0" w:rsidRPr="00FD1D8D" w:rsidRDefault="006247E0" w:rsidP="006247E0">
      <w:pPr>
        <w:pStyle w:val="Textoindependiente"/>
        <w:contextualSpacing/>
        <w:rPr>
          <w:sz w:val="22"/>
          <w:szCs w:val="22"/>
        </w:rPr>
      </w:pPr>
    </w:p>
    <w:p w:rsidR="00826D77" w:rsidRDefault="00826D77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P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9E0F14" w:rsidRPr="009E0F14" w:rsidRDefault="009E0F14" w:rsidP="00365721">
      <w:pPr>
        <w:rPr>
          <w:rFonts w:ascii="Arial" w:hAnsi="Arial"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3C5498" w:rsidRDefault="00D62443" w:rsidP="00846E38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JORGE PINTO NOLLA</w:t>
      </w:r>
    </w:p>
    <w:sectPr w:rsidR="003C5498" w:rsidSect="00FD48A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9D5" w:rsidRDefault="003439D5" w:rsidP="00D3044D">
      <w:r>
        <w:separator/>
      </w:r>
    </w:p>
  </w:endnote>
  <w:endnote w:type="continuationSeparator" w:id="0">
    <w:p w:rsidR="003439D5" w:rsidRDefault="003439D5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9C3F4C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37E89448" wp14:editId="708D53FD">
          <wp:simplePos x="0" y="0"/>
          <wp:positionH relativeFrom="column">
            <wp:posOffset>1191895</wp:posOffset>
          </wp:positionH>
          <wp:positionV relativeFrom="paragraph">
            <wp:posOffset>213995</wp:posOffset>
          </wp:positionV>
          <wp:extent cx="1597660" cy="629920"/>
          <wp:effectExtent l="0" t="0" r="254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 w:rsidP="008254E5">
    <w:pPr>
      <w:pStyle w:val="Piedepgina"/>
      <w:tabs>
        <w:tab w:val="clear" w:pos="4153"/>
        <w:tab w:val="clear" w:pos="8306"/>
        <w:tab w:val="left" w:pos="5987"/>
      </w:tabs>
    </w:pPr>
  </w:p>
  <w:p w:rsidR="006846A4" w:rsidRDefault="006846A4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  <w:r w:rsidR="009C3F4C"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02FE7DB1" wp14:editId="7828B2A9">
          <wp:simplePos x="0" y="0"/>
          <wp:positionH relativeFrom="margin">
            <wp:posOffset>2874010</wp:posOffset>
          </wp:positionH>
          <wp:positionV relativeFrom="paragraph">
            <wp:posOffset>-86360</wp:posOffset>
          </wp:positionV>
          <wp:extent cx="1840865" cy="561340"/>
          <wp:effectExtent l="0" t="0" r="698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6846A4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B11DE2" wp14:editId="0DD4255F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9D5" w:rsidRDefault="003439D5" w:rsidP="00D3044D">
      <w:r>
        <w:separator/>
      </w:r>
    </w:p>
  </w:footnote>
  <w:footnote w:type="continuationSeparator" w:id="0">
    <w:p w:rsidR="003439D5" w:rsidRDefault="003439D5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6846A4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F0C57D0" wp14:editId="37917D1C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63797E00" wp14:editId="46E3B63E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Encabezado"/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6846A4" w:rsidRDefault="006846A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BB02AE" w:rsidRPr="00BB02AE" w:rsidRDefault="00BB02AE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BB02AE">
      <w:rPr>
        <w:rFonts w:cs="Arial"/>
        <w:i/>
        <w:sz w:val="18"/>
        <w:szCs w:val="18"/>
        <w:u w:val="single"/>
      </w:rPr>
      <w:t>Circular 005</w:t>
    </w:r>
  </w:p>
  <w:p w:rsidR="00BB02AE" w:rsidRPr="00BB02AE" w:rsidRDefault="00BB02AE" w:rsidP="005C3844">
    <w:pPr>
      <w:pStyle w:val="Textoindependiente"/>
      <w:spacing w:after="0" w:line="240" w:lineRule="auto"/>
      <w:jc w:val="left"/>
      <w:rPr>
        <w:rFonts w:cs="Arial"/>
        <w:i/>
        <w:sz w:val="18"/>
        <w:szCs w:val="18"/>
        <w:u w:val="single"/>
      </w:rPr>
    </w:pPr>
    <w:r w:rsidRPr="00BB02AE">
      <w:rPr>
        <w:rFonts w:cs="Arial"/>
        <w:i/>
        <w:sz w:val="18"/>
        <w:szCs w:val="18"/>
        <w:u w:val="single"/>
      </w:rPr>
      <w:t>Febrero de 2016</w:t>
    </w:r>
  </w:p>
  <w:p w:rsidR="00BB02AE" w:rsidRDefault="00BB02AE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 w:rsidRPr="00BB02AE">
      <w:rPr>
        <w:rFonts w:cs="Arial"/>
        <w:b/>
        <w:i/>
        <w:sz w:val="18"/>
        <w:szCs w:val="18"/>
        <w:u w:val="single"/>
      </w:rPr>
      <w:fldChar w:fldCharType="begin"/>
    </w:r>
    <w:r w:rsidRPr="00BB02AE">
      <w:rPr>
        <w:rFonts w:cs="Arial"/>
        <w:b/>
        <w:i/>
        <w:sz w:val="18"/>
        <w:szCs w:val="18"/>
        <w:u w:val="single"/>
      </w:rPr>
      <w:instrText>PAGE  \* Arabic  \* MERGEFORMAT</w:instrText>
    </w:r>
    <w:r w:rsidRPr="00BB02AE">
      <w:rPr>
        <w:rFonts w:cs="Arial"/>
        <w:b/>
        <w:i/>
        <w:sz w:val="18"/>
        <w:szCs w:val="18"/>
        <w:u w:val="single"/>
      </w:rPr>
      <w:fldChar w:fldCharType="separate"/>
    </w:r>
    <w:r w:rsidR="006247E0" w:rsidRPr="006247E0">
      <w:rPr>
        <w:rFonts w:cs="Arial"/>
        <w:b/>
        <w:i/>
        <w:noProof/>
        <w:sz w:val="18"/>
        <w:szCs w:val="18"/>
        <w:u w:val="single"/>
        <w:lang w:val="es-ES"/>
      </w:rPr>
      <w:t>2</w:t>
    </w:r>
    <w:r w:rsidRPr="00BB02AE">
      <w:rPr>
        <w:rFonts w:cs="Arial"/>
        <w:b/>
        <w:i/>
        <w:sz w:val="18"/>
        <w:szCs w:val="18"/>
        <w:u w:val="single"/>
      </w:rPr>
      <w:fldChar w:fldCharType="end"/>
    </w:r>
    <w:r w:rsidRPr="00BB02AE">
      <w:rPr>
        <w:rFonts w:cs="Arial"/>
        <w:i/>
        <w:sz w:val="18"/>
        <w:szCs w:val="18"/>
        <w:u w:val="single"/>
        <w:lang w:val="es-ES"/>
      </w:rPr>
      <w:t xml:space="preserve"> / </w:t>
    </w:r>
    <w:r w:rsidRPr="00BB02AE">
      <w:rPr>
        <w:rFonts w:cs="Arial"/>
        <w:b/>
        <w:i/>
        <w:sz w:val="18"/>
        <w:szCs w:val="18"/>
        <w:u w:val="single"/>
      </w:rPr>
      <w:fldChar w:fldCharType="begin"/>
    </w:r>
    <w:r w:rsidRPr="00BB02AE">
      <w:rPr>
        <w:rFonts w:cs="Arial"/>
        <w:b/>
        <w:i/>
        <w:sz w:val="18"/>
        <w:szCs w:val="18"/>
        <w:u w:val="single"/>
      </w:rPr>
      <w:instrText>NUMPAGES  \* Arabic  \* MERGEFORMAT</w:instrText>
    </w:r>
    <w:r w:rsidRPr="00BB02AE">
      <w:rPr>
        <w:rFonts w:cs="Arial"/>
        <w:b/>
        <w:i/>
        <w:sz w:val="18"/>
        <w:szCs w:val="18"/>
        <w:u w:val="single"/>
      </w:rPr>
      <w:fldChar w:fldCharType="separate"/>
    </w:r>
    <w:r w:rsidR="00FF330A" w:rsidRPr="00FF330A">
      <w:rPr>
        <w:rFonts w:cs="Arial"/>
        <w:b/>
        <w:i/>
        <w:noProof/>
        <w:sz w:val="18"/>
        <w:szCs w:val="18"/>
        <w:u w:val="single"/>
        <w:lang w:val="es-ES"/>
      </w:rPr>
      <w:t>1</w:t>
    </w:r>
    <w:r w:rsidRPr="00BB02AE">
      <w:rPr>
        <w:rFonts w:cs="Arial"/>
        <w:b/>
        <w:i/>
        <w:sz w:val="18"/>
        <w:szCs w:val="18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6A4" w:rsidRDefault="000F7EB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406BF9DA" wp14:editId="095CE848">
          <wp:simplePos x="0" y="0"/>
          <wp:positionH relativeFrom="column">
            <wp:posOffset>4654550</wp:posOffset>
          </wp:positionH>
          <wp:positionV relativeFrom="paragraph">
            <wp:posOffset>-213360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6E5FB95B" wp14:editId="6956C261">
          <wp:simplePos x="0" y="0"/>
          <wp:positionH relativeFrom="margin">
            <wp:posOffset>0</wp:posOffset>
          </wp:positionH>
          <wp:positionV relativeFrom="paragraph">
            <wp:posOffset>-157480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46A4" w:rsidRDefault="006846A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047DD"/>
    <w:rsid w:val="00005CEF"/>
    <w:rsid w:val="000160DA"/>
    <w:rsid w:val="00073CF2"/>
    <w:rsid w:val="00080B78"/>
    <w:rsid w:val="000A3038"/>
    <w:rsid w:val="000A7717"/>
    <w:rsid w:val="000B7EDB"/>
    <w:rsid w:val="000F7EB3"/>
    <w:rsid w:val="001149EB"/>
    <w:rsid w:val="00152FAA"/>
    <w:rsid w:val="00171830"/>
    <w:rsid w:val="00180C59"/>
    <w:rsid w:val="0019403C"/>
    <w:rsid w:val="001D7E87"/>
    <w:rsid w:val="002172AC"/>
    <w:rsid w:val="002254F0"/>
    <w:rsid w:val="00261CF6"/>
    <w:rsid w:val="0028264D"/>
    <w:rsid w:val="002902A5"/>
    <w:rsid w:val="002B6F70"/>
    <w:rsid w:val="002E065D"/>
    <w:rsid w:val="002E4B13"/>
    <w:rsid w:val="002E5F67"/>
    <w:rsid w:val="002F7CA4"/>
    <w:rsid w:val="003439D5"/>
    <w:rsid w:val="00343AD2"/>
    <w:rsid w:val="00352B7A"/>
    <w:rsid w:val="00365721"/>
    <w:rsid w:val="00377098"/>
    <w:rsid w:val="003C5498"/>
    <w:rsid w:val="003E4CDE"/>
    <w:rsid w:val="003F5CD2"/>
    <w:rsid w:val="00430518"/>
    <w:rsid w:val="00434A80"/>
    <w:rsid w:val="00444821"/>
    <w:rsid w:val="00445C8A"/>
    <w:rsid w:val="0046232C"/>
    <w:rsid w:val="00475E5E"/>
    <w:rsid w:val="004864E7"/>
    <w:rsid w:val="00490226"/>
    <w:rsid w:val="004A5A7C"/>
    <w:rsid w:val="004F5983"/>
    <w:rsid w:val="00505498"/>
    <w:rsid w:val="00507928"/>
    <w:rsid w:val="00515FDC"/>
    <w:rsid w:val="00534DBE"/>
    <w:rsid w:val="005629A0"/>
    <w:rsid w:val="00565596"/>
    <w:rsid w:val="00576705"/>
    <w:rsid w:val="005921C0"/>
    <w:rsid w:val="005B3781"/>
    <w:rsid w:val="005B503C"/>
    <w:rsid w:val="005C3844"/>
    <w:rsid w:val="005C5439"/>
    <w:rsid w:val="005F2608"/>
    <w:rsid w:val="006144B6"/>
    <w:rsid w:val="006247E0"/>
    <w:rsid w:val="0064418B"/>
    <w:rsid w:val="00655302"/>
    <w:rsid w:val="00661335"/>
    <w:rsid w:val="00670568"/>
    <w:rsid w:val="006846A4"/>
    <w:rsid w:val="0069035B"/>
    <w:rsid w:val="00691672"/>
    <w:rsid w:val="006A06E3"/>
    <w:rsid w:val="006A34BE"/>
    <w:rsid w:val="006C773F"/>
    <w:rsid w:val="006F1712"/>
    <w:rsid w:val="007279A1"/>
    <w:rsid w:val="00734C9A"/>
    <w:rsid w:val="007660B5"/>
    <w:rsid w:val="00775315"/>
    <w:rsid w:val="007838CA"/>
    <w:rsid w:val="00791A92"/>
    <w:rsid w:val="007D4FD7"/>
    <w:rsid w:val="007F4A69"/>
    <w:rsid w:val="00804E80"/>
    <w:rsid w:val="008254E5"/>
    <w:rsid w:val="00826D77"/>
    <w:rsid w:val="00827252"/>
    <w:rsid w:val="00846E38"/>
    <w:rsid w:val="00871A02"/>
    <w:rsid w:val="00875AE3"/>
    <w:rsid w:val="00893CF3"/>
    <w:rsid w:val="008D2627"/>
    <w:rsid w:val="0091625F"/>
    <w:rsid w:val="00922D60"/>
    <w:rsid w:val="0093227B"/>
    <w:rsid w:val="00935BCD"/>
    <w:rsid w:val="0093636B"/>
    <w:rsid w:val="00963B76"/>
    <w:rsid w:val="009A1993"/>
    <w:rsid w:val="009C3F4C"/>
    <w:rsid w:val="009E0F14"/>
    <w:rsid w:val="009F7154"/>
    <w:rsid w:val="00A14CB6"/>
    <w:rsid w:val="00A35E81"/>
    <w:rsid w:val="00A37F41"/>
    <w:rsid w:val="00A62DC2"/>
    <w:rsid w:val="00AB1B80"/>
    <w:rsid w:val="00AF5A1D"/>
    <w:rsid w:val="00B265FD"/>
    <w:rsid w:val="00B527D7"/>
    <w:rsid w:val="00B765B0"/>
    <w:rsid w:val="00BB02AE"/>
    <w:rsid w:val="00BF5487"/>
    <w:rsid w:val="00C03906"/>
    <w:rsid w:val="00C348D3"/>
    <w:rsid w:val="00C95520"/>
    <w:rsid w:val="00CB429D"/>
    <w:rsid w:val="00CC3B9D"/>
    <w:rsid w:val="00D127B3"/>
    <w:rsid w:val="00D3044D"/>
    <w:rsid w:val="00D353FF"/>
    <w:rsid w:val="00D40475"/>
    <w:rsid w:val="00D5357C"/>
    <w:rsid w:val="00D62443"/>
    <w:rsid w:val="00D71876"/>
    <w:rsid w:val="00D87F17"/>
    <w:rsid w:val="00D93AD4"/>
    <w:rsid w:val="00D95331"/>
    <w:rsid w:val="00D97361"/>
    <w:rsid w:val="00DE41BA"/>
    <w:rsid w:val="00DE6624"/>
    <w:rsid w:val="00E336BB"/>
    <w:rsid w:val="00E4791A"/>
    <w:rsid w:val="00E52F65"/>
    <w:rsid w:val="00E661C1"/>
    <w:rsid w:val="00E66885"/>
    <w:rsid w:val="00E804DD"/>
    <w:rsid w:val="00EA748B"/>
    <w:rsid w:val="00EB2564"/>
    <w:rsid w:val="00EC1EFF"/>
    <w:rsid w:val="00F04853"/>
    <w:rsid w:val="00F25346"/>
    <w:rsid w:val="00F51041"/>
    <w:rsid w:val="00F73DC8"/>
    <w:rsid w:val="00F853A7"/>
    <w:rsid w:val="00FA4544"/>
    <w:rsid w:val="00FA5C89"/>
    <w:rsid w:val="00FD48A7"/>
    <w:rsid w:val="00FF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table" w:styleId="Tablaconcuadrcula">
    <w:name w:val="Table Grid"/>
    <w:basedOn w:val="Tablanormal"/>
    <w:uiPriority w:val="59"/>
    <w:rsid w:val="00D35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846A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7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7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7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7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7D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table" w:styleId="Tablaconcuadrcula">
    <w:name w:val="Table Grid"/>
    <w:basedOn w:val="Tablanormal"/>
    <w:uiPriority w:val="59"/>
    <w:rsid w:val="00D35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846A4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7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7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7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7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7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A0A85-277E-4FD5-9315-824D2B6D5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1</Pages>
  <Words>189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2016-05-25T16:54:00Z</cp:lastPrinted>
  <dcterms:created xsi:type="dcterms:W3CDTF">2016-05-25T20:29:00Z</dcterms:created>
  <dcterms:modified xsi:type="dcterms:W3CDTF">2016-05-25T20:29:00Z</dcterms:modified>
</cp:coreProperties>
</file>