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DC2F" w14:textId="49EB5316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E00B79">
        <w:rPr>
          <w:rFonts w:ascii="Arial" w:hAnsi="Arial" w:cs="Arial"/>
          <w:sz w:val="22"/>
          <w:szCs w:val="22"/>
          <w:lang w:val="es-MX"/>
        </w:rPr>
        <w:t>junio</w:t>
      </w:r>
      <w:r w:rsidR="003876B3">
        <w:rPr>
          <w:rFonts w:ascii="Arial" w:hAnsi="Arial" w:cs="Arial"/>
          <w:sz w:val="22"/>
          <w:szCs w:val="22"/>
          <w:lang w:val="es-MX"/>
        </w:rPr>
        <w:t xml:space="preserve"> </w:t>
      </w:r>
      <w:r w:rsidR="008A6451">
        <w:rPr>
          <w:rFonts w:ascii="Arial" w:hAnsi="Arial" w:cs="Arial"/>
          <w:sz w:val="22"/>
          <w:szCs w:val="22"/>
          <w:lang w:val="es-MX"/>
        </w:rPr>
        <w:t>5</w:t>
      </w:r>
      <w:r w:rsidR="00015B0B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7F59091C" w14:textId="6C428E07" w:rsidR="00117047" w:rsidRDefault="00117047" w:rsidP="00117047">
      <w:pPr>
        <w:pStyle w:val="Textoindependiente"/>
      </w:pP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31AFEDA9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A6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048</w:t>
      </w:r>
    </w:p>
    <w:p w14:paraId="44C08C75" w14:textId="77777777" w:rsidR="00E209DF" w:rsidRDefault="00E209DF" w:rsidP="008C7B05">
      <w:pPr>
        <w:pStyle w:val="Sangradetextonormal"/>
        <w:spacing w:before="24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6118285" w14:textId="5B6ECD23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79E026DD" w:rsidR="007E16DF" w:rsidRPr="004B119B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 xml:space="preserve">LISTADO DE MUNICIPIOS QUE CONFORMAN LAS ZONAS DE INFLUENCIA PARA LA OPC QUE CUBRE EL PERIODO COMPRENDIDO ENTRE </w:t>
      </w:r>
      <w:r w:rsidR="00200C5E">
        <w:rPr>
          <w:rFonts w:ascii="Arial" w:hAnsi="Arial" w:cs="Arial"/>
          <w:b/>
          <w:sz w:val="22"/>
          <w:szCs w:val="22"/>
        </w:rPr>
        <w:t>JULIO</w:t>
      </w:r>
      <w:r w:rsidR="00F356D2">
        <w:rPr>
          <w:rFonts w:ascii="Arial" w:hAnsi="Arial" w:cs="Arial"/>
          <w:b/>
          <w:sz w:val="22"/>
          <w:szCs w:val="22"/>
        </w:rPr>
        <w:t xml:space="preserve"> </w:t>
      </w:r>
      <w:r w:rsidR="0096598F">
        <w:rPr>
          <w:rFonts w:ascii="Arial" w:hAnsi="Arial" w:cs="Arial"/>
          <w:b/>
          <w:sz w:val="22"/>
          <w:szCs w:val="22"/>
        </w:rPr>
        <w:t xml:space="preserve">Y </w:t>
      </w:r>
      <w:r w:rsidR="00200C5E">
        <w:rPr>
          <w:rFonts w:ascii="Arial" w:hAnsi="Arial" w:cs="Arial"/>
          <w:b/>
          <w:sz w:val="22"/>
          <w:szCs w:val="22"/>
        </w:rPr>
        <w:t>DICIEMBRE</w:t>
      </w:r>
      <w:r w:rsidR="00F356D2">
        <w:rPr>
          <w:rFonts w:ascii="Arial" w:hAnsi="Arial" w:cs="Arial"/>
          <w:b/>
          <w:sz w:val="22"/>
          <w:szCs w:val="22"/>
        </w:rPr>
        <w:t xml:space="preserve"> DE 2020</w:t>
      </w:r>
    </w:p>
    <w:p w14:paraId="1FACE246" w14:textId="77777777" w:rsidR="00551461" w:rsidRPr="00361614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C08B309" w14:textId="641DEE39" w:rsidR="008A5D13" w:rsidRPr="00361614" w:rsidRDefault="008A5D13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B06624" w14:textId="453D494E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361614">
        <w:rPr>
          <w:rFonts w:cs="Arial"/>
          <w:sz w:val="22"/>
          <w:szCs w:val="22"/>
        </w:rPr>
        <w:t>Mediante comun</w:t>
      </w:r>
      <w:r w:rsidR="00E279BC">
        <w:rPr>
          <w:rFonts w:cs="Arial"/>
          <w:sz w:val="22"/>
          <w:szCs w:val="22"/>
        </w:rPr>
        <w:t>icación, de radicado CREG E-2020</w:t>
      </w:r>
      <w:r w:rsidRPr="00361614">
        <w:rPr>
          <w:rFonts w:cs="Arial"/>
          <w:sz w:val="22"/>
          <w:szCs w:val="22"/>
        </w:rPr>
        <w:t>-</w:t>
      </w:r>
      <w:r w:rsidR="009F07E7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005578</w:t>
      </w:r>
      <w:r w:rsidRPr="00361614">
        <w:rPr>
          <w:rFonts w:cs="Arial"/>
          <w:sz w:val="22"/>
          <w:szCs w:val="22"/>
        </w:rPr>
        <w:t xml:space="preserve"> del </w:t>
      </w:r>
      <w:r w:rsidR="009F07E7">
        <w:rPr>
          <w:rFonts w:cs="Arial"/>
          <w:sz w:val="22"/>
          <w:szCs w:val="22"/>
        </w:rPr>
        <w:t>01</w:t>
      </w:r>
      <w:r w:rsidRPr="00361614">
        <w:rPr>
          <w:rFonts w:cs="Arial"/>
          <w:sz w:val="22"/>
          <w:szCs w:val="22"/>
        </w:rPr>
        <w:t xml:space="preserve"> de </w:t>
      </w:r>
      <w:r w:rsidR="00E279BC">
        <w:rPr>
          <w:rFonts w:cs="Arial"/>
          <w:sz w:val="22"/>
          <w:szCs w:val="22"/>
        </w:rPr>
        <w:t>junio</w:t>
      </w:r>
      <w:r w:rsidR="00F869D9" w:rsidRPr="00361614">
        <w:rPr>
          <w:rFonts w:cs="Arial"/>
          <w:sz w:val="22"/>
          <w:szCs w:val="22"/>
        </w:rPr>
        <w:t xml:space="preserve"> </w:t>
      </w:r>
      <w:r w:rsidRPr="00361614">
        <w:rPr>
          <w:rFonts w:cs="Arial"/>
          <w:sz w:val="22"/>
          <w:szCs w:val="22"/>
        </w:rPr>
        <w:t xml:space="preserve">de </w:t>
      </w:r>
      <w:r w:rsidR="008743F9">
        <w:rPr>
          <w:rFonts w:cs="Arial"/>
          <w:sz w:val="22"/>
          <w:szCs w:val="22"/>
        </w:rPr>
        <w:t>2020</w:t>
      </w:r>
      <w:r w:rsidRPr="00361614">
        <w:rPr>
          <w:rFonts w:cs="Arial"/>
          <w:sz w:val="22"/>
          <w:szCs w:val="22"/>
        </w:rPr>
        <w:t>, Ecopetrol informó a la CREG las siguientes cantidades de GLP que, por punto de producción nacional, tiene disponibles para la venta en la OP</w:t>
      </w:r>
      <w:r>
        <w:rPr>
          <w:rFonts w:cs="Arial"/>
          <w:sz w:val="22"/>
          <w:szCs w:val="22"/>
        </w:rPr>
        <w:t>C del asunto:</w:t>
      </w:r>
    </w:p>
    <w:p w14:paraId="57EF383D" w14:textId="7777777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88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191"/>
        <w:gridCol w:w="1134"/>
        <w:gridCol w:w="1134"/>
        <w:gridCol w:w="1627"/>
        <w:gridCol w:w="1191"/>
        <w:gridCol w:w="1191"/>
      </w:tblGrid>
      <w:tr w:rsidR="00E279BC" w:rsidRPr="005B79F2" w14:paraId="33EC4A34" w14:textId="4B957FBC" w:rsidTr="00E2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9CC2E5" w:themeFill="accent1" w:themeFillTint="99"/>
            <w:vAlign w:val="center"/>
            <w:hideMark/>
          </w:tcPr>
          <w:p w14:paraId="0F4D6391" w14:textId="77777777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26F15844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Cusiana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13D3F116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Apiay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44D49E4D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Dina</w:t>
            </w:r>
          </w:p>
        </w:tc>
        <w:tc>
          <w:tcPr>
            <w:tcW w:w="1627" w:type="dxa"/>
            <w:shd w:val="clear" w:color="auto" w:fill="9CC2E5" w:themeFill="accent1" w:themeFillTint="99"/>
            <w:noWrap/>
            <w:vAlign w:val="center"/>
            <w:hideMark/>
          </w:tcPr>
          <w:p w14:paraId="2BC9CA7D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Barrancabermeja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7769E111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Cartagena</w:t>
            </w:r>
          </w:p>
        </w:tc>
        <w:tc>
          <w:tcPr>
            <w:tcW w:w="1191" w:type="dxa"/>
            <w:shd w:val="clear" w:color="auto" w:fill="9CC2E5" w:themeFill="accent1" w:themeFillTint="99"/>
            <w:vAlign w:val="center"/>
          </w:tcPr>
          <w:p w14:paraId="69DC3CDE" w14:textId="26B85B74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Cupiagua</w:t>
            </w:r>
            <w:proofErr w:type="spellEnd"/>
          </w:p>
        </w:tc>
      </w:tr>
      <w:tr w:rsidR="00E279BC" w:rsidRPr="005B79F2" w14:paraId="61DFC9EB" w14:textId="06AAE4C8" w:rsidTr="00E2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0AE77EA4" w14:textId="184C67CD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jul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6DF21392" w14:textId="33D6E3A5" w:rsidR="00E279BC" w:rsidRPr="0016380B" w:rsidRDefault="00E279BC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8.063.354</w:t>
            </w:r>
          </w:p>
        </w:tc>
        <w:tc>
          <w:tcPr>
            <w:tcW w:w="1134" w:type="dxa"/>
            <w:noWrap/>
            <w:vAlign w:val="center"/>
            <w:hideMark/>
          </w:tcPr>
          <w:p w14:paraId="7AE5B881" w14:textId="34D8E70F" w:rsidR="00E279BC" w:rsidRPr="005B79F2" w:rsidRDefault="00E75244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75244">
              <w:rPr>
                <w:rFonts w:ascii="Arial" w:hAnsi="Arial" w:cs="Arial"/>
                <w:color w:val="000000"/>
                <w:sz w:val="18"/>
                <w:szCs w:val="20"/>
              </w:rPr>
              <w:t>1.318.560</w:t>
            </w:r>
          </w:p>
        </w:tc>
        <w:tc>
          <w:tcPr>
            <w:tcW w:w="1134" w:type="dxa"/>
            <w:noWrap/>
            <w:vAlign w:val="center"/>
            <w:hideMark/>
          </w:tcPr>
          <w:p w14:paraId="59E41F6D" w14:textId="6C45FD7B" w:rsidR="00E279BC" w:rsidRPr="005B79F2" w:rsidRDefault="00E75244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75244">
              <w:rPr>
                <w:rFonts w:ascii="Arial" w:hAnsi="Arial" w:cs="Arial"/>
                <w:color w:val="000000"/>
                <w:sz w:val="18"/>
                <w:szCs w:val="20"/>
              </w:rPr>
              <w:t>414.714</w:t>
            </w:r>
          </w:p>
        </w:tc>
        <w:tc>
          <w:tcPr>
            <w:tcW w:w="1627" w:type="dxa"/>
            <w:noWrap/>
            <w:vAlign w:val="center"/>
            <w:hideMark/>
          </w:tcPr>
          <w:p w14:paraId="1F968E76" w14:textId="3F81EBFB" w:rsidR="00E279BC" w:rsidRPr="0016380B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7.867.778</w:t>
            </w:r>
          </w:p>
        </w:tc>
        <w:tc>
          <w:tcPr>
            <w:tcW w:w="1191" w:type="dxa"/>
            <w:noWrap/>
            <w:vAlign w:val="center"/>
            <w:hideMark/>
          </w:tcPr>
          <w:p w14:paraId="6DE413FD" w14:textId="42CC0573" w:rsidR="00E279BC" w:rsidRPr="0016380B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6.197.520</w:t>
            </w:r>
          </w:p>
        </w:tc>
        <w:tc>
          <w:tcPr>
            <w:tcW w:w="1191" w:type="dxa"/>
            <w:vAlign w:val="center"/>
          </w:tcPr>
          <w:p w14:paraId="50C489F7" w14:textId="2005EE4A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19.094.760</w:t>
            </w:r>
          </w:p>
        </w:tc>
      </w:tr>
      <w:tr w:rsidR="00E279BC" w:rsidRPr="005B79F2" w14:paraId="7B882F51" w14:textId="504B1927" w:rsidTr="00E279B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615223B2" w14:textId="1CCD10A5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ago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27305003" w14:textId="122818E9" w:rsidR="00E279BC" w:rsidRPr="005B79F2" w:rsidRDefault="00E279BC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13.063.490</w:t>
            </w:r>
          </w:p>
        </w:tc>
        <w:tc>
          <w:tcPr>
            <w:tcW w:w="1134" w:type="dxa"/>
            <w:noWrap/>
            <w:vAlign w:val="center"/>
            <w:hideMark/>
          </w:tcPr>
          <w:p w14:paraId="037A4F98" w14:textId="7546C56C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1.419.173</w:t>
            </w:r>
          </w:p>
        </w:tc>
        <w:tc>
          <w:tcPr>
            <w:tcW w:w="1134" w:type="dxa"/>
            <w:noWrap/>
            <w:vAlign w:val="center"/>
            <w:hideMark/>
          </w:tcPr>
          <w:p w14:paraId="064C3F28" w14:textId="0F4678FB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427.838</w:t>
            </w:r>
          </w:p>
        </w:tc>
        <w:tc>
          <w:tcPr>
            <w:tcW w:w="1627" w:type="dxa"/>
            <w:noWrap/>
            <w:vAlign w:val="center"/>
            <w:hideMark/>
          </w:tcPr>
          <w:p w14:paraId="361F9934" w14:textId="4612F6E3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6.621.998</w:t>
            </w:r>
          </w:p>
        </w:tc>
        <w:tc>
          <w:tcPr>
            <w:tcW w:w="1191" w:type="dxa"/>
            <w:noWrap/>
            <w:vAlign w:val="center"/>
            <w:hideMark/>
          </w:tcPr>
          <w:p w14:paraId="75453827" w14:textId="76C37E5B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6.445.520</w:t>
            </w:r>
          </w:p>
        </w:tc>
        <w:tc>
          <w:tcPr>
            <w:tcW w:w="1191" w:type="dxa"/>
            <w:vAlign w:val="center"/>
          </w:tcPr>
          <w:p w14:paraId="1E6B623D" w14:textId="07246044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17.901.338</w:t>
            </w:r>
          </w:p>
        </w:tc>
      </w:tr>
      <w:tr w:rsidR="00E279BC" w:rsidRPr="005B79F2" w14:paraId="122EC415" w14:textId="5DE2A48A" w:rsidTr="00E2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328C4012" w14:textId="3C02287E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sep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4982BFF1" w14:textId="1EB29D87" w:rsidR="00E279BC" w:rsidRPr="005B79F2" w:rsidRDefault="00E279BC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12.383.187</w:t>
            </w:r>
          </w:p>
        </w:tc>
        <w:tc>
          <w:tcPr>
            <w:tcW w:w="1134" w:type="dxa"/>
            <w:noWrap/>
            <w:vAlign w:val="center"/>
            <w:hideMark/>
          </w:tcPr>
          <w:p w14:paraId="380A4C61" w14:textId="1E481377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1.383.642</w:t>
            </w:r>
          </w:p>
        </w:tc>
        <w:tc>
          <w:tcPr>
            <w:tcW w:w="1134" w:type="dxa"/>
            <w:noWrap/>
            <w:vAlign w:val="center"/>
            <w:hideMark/>
          </w:tcPr>
          <w:p w14:paraId="7E20F82E" w14:textId="394E0D13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408.956</w:t>
            </w:r>
          </w:p>
        </w:tc>
        <w:tc>
          <w:tcPr>
            <w:tcW w:w="1627" w:type="dxa"/>
            <w:noWrap/>
            <w:vAlign w:val="center"/>
            <w:hideMark/>
          </w:tcPr>
          <w:p w14:paraId="51DDFFD6" w14:textId="733BA16B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11.034.954</w:t>
            </w:r>
          </w:p>
        </w:tc>
        <w:tc>
          <w:tcPr>
            <w:tcW w:w="1191" w:type="dxa"/>
            <w:noWrap/>
            <w:vAlign w:val="center"/>
            <w:hideMark/>
          </w:tcPr>
          <w:p w14:paraId="4CAC89C9" w14:textId="07461B60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6.588.000</w:t>
            </w:r>
          </w:p>
        </w:tc>
        <w:tc>
          <w:tcPr>
            <w:tcW w:w="1191" w:type="dxa"/>
            <w:vAlign w:val="center"/>
          </w:tcPr>
          <w:p w14:paraId="794ED8DF" w14:textId="5CF7132B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17.323.875</w:t>
            </w:r>
          </w:p>
        </w:tc>
      </w:tr>
      <w:tr w:rsidR="00E279BC" w:rsidRPr="005B79F2" w14:paraId="4471B512" w14:textId="5898D84C" w:rsidTr="00E279B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272507DD" w14:textId="72F6081E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oct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52AB5F88" w14:textId="140A36A4" w:rsidR="00E279BC" w:rsidRPr="005B79F2" w:rsidRDefault="00E279BC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13.063.490</w:t>
            </w:r>
          </w:p>
        </w:tc>
        <w:tc>
          <w:tcPr>
            <w:tcW w:w="1134" w:type="dxa"/>
            <w:noWrap/>
            <w:vAlign w:val="center"/>
            <w:hideMark/>
          </w:tcPr>
          <w:p w14:paraId="137CD1BB" w14:textId="739F5265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1.413.877</w:t>
            </w:r>
          </w:p>
        </w:tc>
        <w:tc>
          <w:tcPr>
            <w:tcW w:w="1134" w:type="dxa"/>
            <w:noWrap/>
            <w:vAlign w:val="center"/>
            <w:hideMark/>
          </w:tcPr>
          <w:p w14:paraId="3686A6EF" w14:textId="2B3819E1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404.215</w:t>
            </w:r>
          </w:p>
        </w:tc>
        <w:tc>
          <w:tcPr>
            <w:tcW w:w="1627" w:type="dxa"/>
            <w:noWrap/>
            <w:vAlign w:val="center"/>
            <w:hideMark/>
          </w:tcPr>
          <w:p w14:paraId="66BEFAE9" w14:textId="4B6DC113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12.095.620</w:t>
            </w:r>
          </w:p>
        </w:tc>
        <w:tc>
          <w:tcPr>
            <w:tcW w:w="1191" w:type="dxa"/>
            <w:noWrap/>
            <w:vAlign w:val="center"/>
            <w:hideMark/>
          </w:tcPr>
          <w:p w14:paraId="47AC9F8D" w14:textId="50BD2792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6.807.600</w:t>
            </w:r>
          </w:p>
        </w:tc>
        <w:tc>
          <w:tcPr>
            <w:tcW w:w="1191" w:type="dxa"/>
            <w:vAlign w:val="center"/>
          </w:tcPr>
          <w:p w14:paraId="7C55D996" w14:textId="1BBBF973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17.901.338</w:t>
            </w:r>
          </w:p>
        </w:tc>
      </w:tr>
      <w:tr w:rsidR="00E279BC" w:rsidRPr="005B79F2" w14:paraId="799865AF" w14:textId="1D8A7666" w:rsidTr="00E2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593C4D01" w14:textId="54D22135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nov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7962F48E" w14:textId="0263CF73" w:rsidR="00E279BC" w:rsidRPr="005B79F2" w:rsidRDefault="00E279BC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12.642.087</w:t>
            </w:r>
          </w:p>
        </w:tc>
        <w:tc>
          <w:tcPr>
            <w:tcW w:w="1134" w:type="dxa"/>
            <w:noWrap/>
            <w:vAlign w:val="center"/>
            <w:hideMark/>
          </w:tcPr>
          <w:p w14:paraId="644CD994" w14:textId="1F8DB53A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1.322.147</w:t>
            </w:r>
          </w:p>
        </w:tc>
        <w:tc>
          <w:tcPr>
            <w:tcW w:w="1134" w:type="dxa"/>
            <w:noWrap/>
            <w:vAlign w:val="center"/>
            <w:hideMark/>
          </w:tcPr>
          <w:p w14:paraId="7343F57A" w14:textId="349EC36D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401.336</w:t>
            </w:r>
          </w:p>
        </w:tc>
        <w:tc>
          <w:tcPr>
            <w:tcW w:w="1627" w:type="dxa"/>
            <w:noWrap/>
            <w:vAlign w:val="center"/>
            <w:hideMark/>
          </w:tcPr>
          <w:p w14:paraId="112D4D0C" w14:textId="15CE4A41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9.469.845</w:t>
            </w:r>
          </w:p>
        </w:tc>
        <w:tc>
          <w:tcPr>
            <w:tcW w:w="1191" w:type="dxa"/>
            <w:noWrap/>
            <w:vAlign w:val="center"/>
            <w:hideMark/>
          </w:tcPr>
          <w:p w14:paraId="11F1856D" w14:textId="14D4EDE2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6.588.000</w:t>
            </w:r>
          </w:p>
        </w:tc>
        <w:tc>
          <w:tcPr>
            <w:tcW w:w="1191" w:type="dxa"/>
            <w:vAlign w:val="center"/>
          </w:tcPr>
          <w:p w14:paraId="238F484E" w14:textId="723EABC9" w:rsidR="00E279BC" w:rsidRPr="005B79F2" w:rsidRDefault="0016380B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19.248.750</w:t>
            </w:r>
          </w:p>
        </w:tc>
      </w:tr>
      <w:tr w:rsidR="00E279BC" w:rsidRPr="005B79F2" w14:paraId="269F63F4" w14:textId="1093E490" w:rsidTr="00E279B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  <w:hideMark/>
          </w:tcPr>
          <w:p w14:paraId="6681E887" w14:textId="0384A338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dic</w:t>
            </w:r>
            <w:r w:rsidRPr="005B79F2">
              <w:rPr>
                <w:rFonts w:ascii="Arial" w:hAnsi="Arial" w:cs="Arial"/>
                <w:color w:val="000000"/>
                <w:sz w:val="18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  <w:hideMark/>
          </w:tcPr>
          <w:p w14:paraId="20C269EC" w14:textId="686CF5CA" w:rsidR="00E279BC" w:rsidRPr="005B79F2" w:rsidRDefault="00E279BC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279BC">
              <w:rPr>
                <w:rFonts w:ascii="Arial" w:hAnsi="Arial" w:cs="Arial"/>
                <w:color w:val="000000"/>
                <w:sz w:val="18"/>
                <w:szCs w:val="20"/>
              </w:rPr>
              <w:t>13.063.490</w:t>
            </w:r>
          </w:p>
        </w:tc>
        <w:tc>
          <w:tcPr>
            <w:tcW w:w="1134" w:type="dxa"/>
            <w:noWrap/>
            <w:vAlign w:val="center"/>
            <w:hideMark/>
          </w:tcPr>
          <w:p w14:paraId="5D664545" w14:textId="1E5A554F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1.315.912</w:t>
            </w:r>
          </w:p>
        </w:tc>
        <w:tc>
          <w:tcPr>
            <w:tcW w:w="1134" w:type="dxa"/>
            <w:noWrap/>
            <w:vAlign w:val="center"/>
            <w:hideMark/>
          </w:tcPr>
          <w:p w14:paraId="377C4D4C" w14:textId="1FA55B8D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409.464</w:t>
            </w:r>
          </w:p>
        </w:tc>
        <w:tc>
          <w:tcPr>
            <w:tcW w:w="1627" w:type="dxa"/>
            <w:noWrap/>
            <w:vAlign w:val="center"/>
            <w:hideMark/>
          </w:tcPr>
          <w:p w14:paraId="36AE1F4C" w14:textId="6142CC8F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9.768.562</w:t>
            </w:r>
          </w:p>
        </w:tc>
        <w:tc>
          <w:tcPr>
            <w:tcW w:w="1191" w:type="dxa"/>
            <w:noWrap/>
            <w:vAlign w:val="center"/>
            <w:hideMark/>
          </w:tcPr>
          <w:p w14:paraId="50F37369" w14:textId="709611E2" w:rsidR="00E279BC" w:rsidRPr="005B79F2" w:rsidRDefault="0016380B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380B">
              <w:rPr>
                <w:rFonts w:ascii="Arial" w:hAnsi="Arial" w:cs="Arial"/>
                <w:color w:val="000000"/>
                <w:sz w:val="18"/>
                <w:szCs w:val="20"/>
              </w:rPr>
              <w:t>6.807.600</w:t>
            </w:r>
          </w:p>
        </w:tc>
        <w:tc>
          <w:tcPr>
            <w:tcW w:w="1191" w:type="dxa"/>
            <w:vAlign w:val="center"/>
          </w:tcPr>
          <w:p w14:paraId="018BEC42" w14:textId="7336ECE9" w:rsidR="00E279BC" w:rsidRPr="005B79F2" w:rsidRDefault="00200C5E" w:rsidP="005B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19.890.375</w:t>
            </w:r>
          </w:p>
        </w:tc>
      </w:tr>
    </w:tbl>
    <w:p w14:paraId="72EBFF83" w14:textId="3138B31B" w:rsidR="00E279BC" w:rsidRDefault="00E279BC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595D07A6" w:rsidR="0096598F" w:rsidRPr="00515AED" w:rsidRDefault="009F16F9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 respecto, e</w:t>
      </w:r>
      <w:r w:rsidRPr="00FC704F">
        <w:rPr>
          <w:rFonts w:cs="Arial"/>
          <w:sz w:val="22"/>
          <w:szCs w:val="22"/>
        </w:rPr>
        <w:t>l Director Ejecutivo de la Comisión de Regulación de Energía y Gas – CREG</w:t>
      </w:r>
      <w:r>
        <w:rPr>
          <w:rFonts w:cs="Arial"/>
          <w:sz w:val="22"/>
          <w:szCs w:val="22"/>
        </w:rPr>
        <w:t xml:space="preserve"> </w:t>
      </w:r>
      <w:r w:rsidR="00200C5E">
        <w:rPr>
          <w:rFonts w:cs="Arial"/>
          <w:sz w:val="22"/>
          <w:szCs w:val="22"/>
        </w:rPr>
        <w:t>p</w:t>
      </w:r>
      <w:r w:rsidR="0096598F" w:rsidRPr="00FC704F">
        <w:rPr>
          <w:rFonts w:cs="Arial"/>
          <w:sz w:val="22"/>
          <w:szCs w:val="22"/>
        </w:rPr>
        <w:t>resenta, como anexo a esta circular, el listado de municipios que conforman las zonas de influencia de las que trata el parágrafo 1 del artículo 14 de la Resolución CREG 053 de 2011, calculadas con base en la</w:t>
      </w:r>
      <w:r w:rsidR="0052143F">
        <w:rPr>
          <w:rFonts w:cs="Arial"/>
          <w:sz w:val="22"/>
          <w:szCs w:val="22"/>
        </w:rPr>
        <w:t>s</w:t>
      </w:r>
      <w:r w:rsidR="0096598F" w:rsidRPr="00FC704F">
        <w:rPr>
          <w:rFonts w:cs="Arial"/>
          <w:sz w:val="22"/>
          <w:szCs w:val="22"/>
        </w:rPr>
        <w:t xml:space="preserve"> Circular</w:t>
      </w:r>
      <w:r w:rsidR="0052143F">
        <w:rPr>
          <w:rFonts w:cs="Arial"/>
          <w:sz w:val="22"/>
          <w:szCs w:val="22"/>
        </w:rPr>
        <w:t>es</w:t>
      </w:r>
      <w:r w:rsidR="0096598F" w:rsidRPr="00FC704F">
        <w:rPr>
          <w:rFonts w:cs="Arial"/>
          <w:sz w:val="22"/>
          <w:szCs w:val="22"/>
        </w:rPr>
        <w:t xml:space="preserve"> CREG 048 de 2011</w:t>
      </w:r>
      <w:r w:rsidR="0052143F">
        <w:rPr>
          <w:rFonts w:cs="Arial"/>
          <w:sz w:val="22"/>
          <w:szCs w:val="22"/>
        </w:rPr>
        <w:t xml:space="preserve"> y </w:t>
      </w:r>
      <w:r w:rsidR="007F171F">
        <w:rPr>
          <w:rFonts w:cs="Arial"/>
          <w:sz w:val="22"/>
          <w:szCs w:val="22"/>
        </w:rPr>
        <w:t>046</w:t>
      </w:r>
      <w:r w:rsidR="0052143F">
        <w:rPr>
          <w:rFonts w:cs="Arial"/>
          <w:sz w:val="22"/>
          <w:szCs w:val="22"/>
        </w:rPr>
        <w:t xml:space="preserve"> de 2020</w:t>
      </w:r>
      <w:r w:rsidR="0096598F" w:rsidRPr="00FC704F">
        <w:rPr>
          <w:rFonts w:cs="Arial"/>
          <w:sz w:val="22"/>
          <w:szCs w:val="22"/>
        </w:rPr>
        <w:t>.</w:t>
      </w:r>
      <w:r w:rsidR="0096598F">
        <w:rPr>
          <w:rFonts w:cs="Arial"/>
          <w:sz w:val="22"/>
          <w:szCs w:val="22"/>
        </w:rPr>
        <w:t xml:space="preserve"> </w:t>
      </w:r>
      <w:r w:rsidR="0096598F"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14:paraId="6CC6D9BF" w14:textId="77777777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51A3E139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 xml:space="preserve">Ecopetrol deberá dar un plazo mínimo de </w:t>
      </w:r>
      <w:r>
        <w:rPr>
          <w:rFonts w:cs="Arial"/>
          <w:sz w:val="22"/>
          <w:szCs w:val="22"/>
        </w:rPr>
        <w:t xml:space="preserve">tres </w:t>
      </w:r>
      <w:r w:rsidRPr="00515A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515AED">
        <w:rPr>
          <w:rFonts w:cs="Arial"/>
          <w:sz w:val="22"/>
          <w:szCs w:val="22"/>
        </w:rPr>
        <w:t xml:space="preserve">) días hábiles, a partir del día siguiente de la publicación de la </w:t>
      </w:r>
      <w:r>
        <w:rPr>
          <w:rFonts w:cs="Arial"/>
          <w:sz w:val="22"/>
          <w:szCs w:val="22"/>
        </w:rPr>
        <w:t xml:space="preserve">presente circular a efectos de </w:t>
      </w:r>
      <w:r w:rsidRPr="00515AE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, dentro del cronograma previsto para llevar </w:t>
      </w:r>
      <w:r>
        <w:rPr>
          <w:rFonts w:cs="Arial"/>
          <w:sz w:val="22"/>
          <w:szCs w:val="22"/>
        </w:rPr>
        <w:lastRenderedPageBreak/>
        <w:t>a cabo la OPC que</w:t>
      </w:r>
      <w:r w:rsidRPr="00515AED">
        <w:rPr>
          <w:rFonts w:cs="Arial"/>
          <w:sz w:val="22"/>
          <w:szCs w:val="22"/>
        </w:rPr>
        <w:t xml:space="preserve"> cubre el periodo entre </w:t>
      </w:r>
      <w:r w:rsidR="00200C5E">
        <w:rPr>
          <w:rFonts w:cs="Arial"/>
          <w:sz w:val="22"/>
          <w:szCs w:val="22"/>
        </w:rPr>
        <w:t>julio</w:t>
      </w:r>
      <w:r w:rsidR="00F83443">
        <w:rPr>
          <w:rFonts w:cs="Arial"/>
          <w:sz w:val="22"/>
          <w:szCs w:val="22"/>
        </w:rPr>
        <w:t xml:space="preserve"> </w:t>
      </w:r>
      <w:r w:rsidR="009F4954">
        <w:rPr>
          <w:rFonts w:cs="Arial"/>
          <w:sz w:val="22"/>
          <w:szCs w:val="22"/>
        </w:rPr>
        <w:t xml:space="preserve">y </w:t>
      </w:r>
      <w:r w:rsidR="00200C5E">
        <w:rPr>
          <w:rFonts w:cs="Arial"/>
          <w:sz w:val="22"/>
          <w:szCs w:val="22"/>
        </w:rPr>
        <w:t>diciembre</w:t>
      </w:r>
      <w:r w:rsidR="00F83443">
        <w:rPr>
          <w:rFonts w:cs="Arial"/>
          <w:sz w:val="22"/>
          <w:szCs w:val="22"/>
        </w:rPr>
        <w:t xml:space="preserve"> </w:t>
      </w:r>
      <w:r w:rsidR="009F4954">
        <w:rPr>
          <w:rFonts w:cs="Arial"/>
          <w:sz w:val="22"/>
          <w:szCs w:val="22"/>
        </w:rPr>
        <w:t>de</w:t>
      </w:r>
      <w:r w:rsidRPr="00515AED">
        <w:rPr>
          <w:rFonts w:cs="Arial"/>
          <w:sz w:val="22"/>
          <w:szCs w:val="22"/>
        </w:rPr>
        <w:t xml:space="preserve"> 20</w:t>
      </w:r>
      <w:r w:rsidR="00F83443">
        <w:rPr>
          <w:rFonts w:cs="Arial"/>
          <w:sz w:val="22"/>
          <w:szCs w:val="22"/>
        </w:rPr>
        <w:t>20</w:t>
      </w:r>
      <w:r w:rsidRPr="00515AED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14:paraId="516943CC" w14:textId="77777777" w:rsidR="0096598F" w:rsidRPr="009E0F14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Default="0096598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9E0F14">
        <w:rPr>
          <w:rFonts w:cs="Arial"/>
          <w:sz w:val="22"/>
          <w:szCs w:val="22"/>
        </w:rPr>
        <w:t>Cordialmente</w:t>
      </w:r>
      <w:r w:rsidR="00134BD1">
        <w:rPr>
          <w:rFonts w:cs="Arial"/>
          <w:sz w:val="22"/>
          <w:szCs w:val="22"/>
        </w:rPr>
        <w:t>,</w:t>
      </w:r>
    </w:p>
    <w:p w14:paraId="633EFEE3" w14:textId="50BD64E1"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CD3F5D8" w14:textId="705CCCB2" w:rsidR="007B3D36" w:rsidRDefault="007B3D36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25BEE7" w14:textId="77777777" w:rsidR="00702AFA" w:rsidRDefault="00702AFA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14:paraId="5A5D3EFD" w14:textId="77777777" w:rsidR="007B3D36" w:rsidRDefault="007B3D36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306AF2D" w14:textId="411CB7C6" w:rsidR="00F36547" w:rsidRDefault="00200C5E" w:rsidP="006F0C55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 ALBERTO VALENCIA MARIN</w:t>
      </w:r>
    </w:p>
    <w:p w14:paraId="05C3056B" w14:textId="77777777" w:rsidR="00702AFA" w:rsidRDefault="00702AFA" w:rsidP="00702AFA">
      <w:pPr>
        <w:rPr>
          <w:rFonts w:ascii="Arial" w:eastAsia="Times New Roman" w:hAnsi="Arial" w:cs="Arial"/>
          <w:spacing w:val="-5"/>
          <w:lang w:val="es-CO"/>
        </w:rPr>
      </w:pPr>
    </w:p>
    <w:p w14:paraId="652D791B" w14:textId="77777777" w:rsidR="0096598F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384E8CA9" w14:textId="4F8A2944" w:rsidR="0096598F" w:rsidRPr="00CF6B11" w:rsidRDefault="0096598F" w:rsidP="0096598F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 w:rsidR="00200C5E">
        <w:rPr>
          <w:rFonts w:cs="Arial"/>
        </w:rPr>
        <w:t>julio</w:t>
      </w:r>
      <w:r>
        <w:rPr>
          <w:rFonts w:cs="Arial"/>
        </w:rPr>
        <w:t xml:space="preserve"> – </w:t>
      </w:r>
      <w:r w:rsidR="00200C5E">
        <w:rPr>
          <w:rFonts w:cs="Arial"/>
        </w:rPr>
        <w:t>diciembre</w:t>
      </w:r>
      <w:r>
        <w:rPr>
          <w:rFonts w:cs="Arial"/>
        </w:rPr>
        <w:t xml:space="preserve"> </w:t>
      </w:r>
      <w:r w:rsidRPr="00CF6B11">
        <w:rPr>
          <w:rFonts w:cs="Arial"/>
        </w:rPr>
        <w:t>20</w:t>
      </w:r>
      <w:r w:rsidR="007462E0">
        <w:rPr>
          <w:rFonts w:cs="Arial"/>
        </w:rPr>
        <w:t>20</w:t>
      </w:r>
    </w:p>
    <w:p w14:paraId="19890341" w14:textId="3FD8931A" w:rsidR="0096598F" w:rsidRPr="008A5D13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sectPr w:rsidR="0096598F" w:rsidRPr="008A5D13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F0F3" w16cex:dateUtc="2020-06-05T2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376D" w14:textId="77777777" w:rsidR="00EB1D91" w:rsidRDefault="00EB1D91" w:rsidP="00AA0519">
      <w:r>
        <w:separator/>
      </w:r>
    </w:p>
  </w:endnote>
  <w:endnote w:type="continuationSeparator" w:id="0">
    <w:p w14:paraId="479B39C6" w14:textId="77777777" w:rsidR="00EB1D91" w:rsidRDefault="00EB1D9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D4EF" w14:textId="77777777" w:rsidR="00EB1D91" w:rsidRDefault="00EB1D91" w:rsidP="00AA0519">
      <w:r>
        <w:separator/>
      </w:r>
    </w:p>
  </w:footnote>
  <w:footnote w:type="continuationSeparator" w:id="0">
    <w:p w14:paraId="59FF5702" w14:textId="77777777" w:rsidR="00EB1D91" w:rsidRDefault="00EB1D9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2FC503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048</w:t>
    </w:r>
  </w:p>
  <w:p w14:paraId="35FB8834" w14:textId="0B4A7198" w:rsidR="00E209DF" w:rsidRDefault="00200C5E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37CF"/>
    <w:rsid w:val="0000423B"/>
    <w:rsid w:val="000108F7"/>
    <w:rsid w:val="00011361"/>
    <w:rsid w:val="00015B0B"/>
    <w:rsid w:val="00017782"/>
    <w:rsid w:val="00021B5E"/>
    <w:rsid w:val="000248FE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92FF0"/>
    <w:rsid w:val="000A0224"/>
    <w:rsid w:val="000A1ACD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7112"/>
    <w:rsid w:val="000E7169"/>
    <w:rsid w:val="000F195B"/>
    <w:rsid w:val="000F4848"/>
    <w:rsid w:val="000F6CB3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31C4"/>
    <w:rsid w:val="001E3D86"/>
    <w:rsid w:val="001E52A5"/>
    <w:rsid w:val="001E769C"/>
    <w:rsid w:val="001F1284"/>
    <w:rsid w:val="001F4877"/>
    <w:rsid w:val="0020071D"/>
    <w:rsid w:val="00200C5E"/>
    <w:rsid w:val="002136A8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1614"/>
    <w:rsid w:val="00370E2A"/>
    <w:rsid w:val="003742E1"/>
    <w:rsid w:val="00386CB3"/>
    <w:rsid w:val="003876B3"/>
    <w:rsid w:val="0039093C"/>
    <w:rsid w:val="003A3793"/>
    <w:rsid w:val="003B0DD1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E0E"/>
    <w:rsid w:val="00617DEC"/>
    <w:rsid w:val="00621C5A"/>
    <w:rsid w:val="00623367"/>
    <w:rsid w:val="00624AC4"/>
    <w:rsid w:val="00625E1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B3D36"/>
    <w:rsid w:val="007B7F97"/>
    <w:rsid w:val="007D5339"/>
    <w:rsid w:val="007D74F1"/>
    <w:rsid w:val="007E16DF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6715"/>
    <w:rsid w:val="008C7B05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11007"/>
    <w:rsid w:val="00B140E1"/>
    <w:rsid w:val="00B174CD"/>
    <w:rsid w:val="00B17648"/>
    <w:rsid w:val="00B32C86"/>
    <w:rsid w:val="00B44661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71FE5"/>
    <w:rsid w:val="00C7238A"/>
    <w:rsid w:val="00C72E21"/>
    <w:rsid w:val="00C75C34"/>
    <w:rsid w:val="00C806DD"/>
    <w:rsid w:val="00C80D5E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D01B8C"/>
    <w:rsid w:val="00D152CB"/>
    <w:rsid w:val="00D16292"/>
    <w:rsid w:val="00D246A7"/>
    <w:rsid w:val="00D26B7A"/>
    <w:rsid w:val="00D30410"/>
    <w:rsid w:val="00D322FA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7125D"/>
    <w:rsid w:val="00E75244"/>
    <w:rsid w:val="00E77DD4"/>
    <w:rsid w:val="00E82368"/>
    <w:rsid w:val="00E82569"/>
    <w:rsid w:val="00E82645"/>
    <w:rsid w:val="00E903FB"/>
    <w:rsid w:val="00E94665"/>
    <w:rsid w:val="00E94B00"/>
    <w:rsid w:val="00EB1D91"/>
    <w:rsid w:val="00EC1690"/>
    <w:rsid w:val="00EC229D"/>
    <w:rsid w:val="00EC2607"/>
    <w:rsid w:val="00EC66CD"/>
    <w:rsid w:val="00EC6F58"/>
    <w:rsid w:val="00EE3C7F"/>
    <w:rsid w:val="00EF77B0"/>
    <w:rsid w:val="00F020BC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3B7F"/>
    <w:rsid w:val="00F65964"/>
    <w:rsid w:val="00F65EB3"/>
    <w:rsid w:val="00F83443"/>
    <w:rsid w:val="00F869D9"/>
    <w:rsid w:val="00F92E79"/>
    <w:rsid w:val="00FA535E"/>
    <w:rsid w:val="00FA5865"/>
    <w:rsid w:val="00FB504E"/>
    <w:rsid w:val="00FC072A"/>
    <w:rsid w:val="00FC168B"/>
    <w:rsid w:val="00FC5CE3"/>
    <w:rsid w:val="00FC60E8"/>
    <w:rsid w:val="00FD2A8B"/>
    <w:rsid w:val="00FE09E0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D17D-6022-4A6C-8AB3-ED4F6459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2020-06-05T23:16:00Z</cp:lastPrinted>
  <dcterms:created xsi:type="dcterms:W3CDTF">2020-06-05T23:17:00Z</dcterms:created>
  <dcterms:modified xsi:type="dcterms:W3CDTF">2020-06-05T23:17:00Z</dcterms:modified>
</cp:coreProperties>
</file>