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2094" w14:textId="0AD4AAAE" w:rsidR="00625DC6" w:rsidRPr="00B66211" w:rsidRDefault="005E2372" w:rsidP="00C94D29">
      <w:pPr>
        <w:pStyle w:val="Encabezado"/>
        <w:tabs>
          <w:tab w:val="clear" w:pos="8504"/>
          <w:tab w:val="left" w:pos="0"/>
          <w:tab w:val="right" w:pos="9356"/>
        </w:tabs>
        <w:contextualSpacing/>
        <w:jc w:val="both"/>
        <w:rPr>
          <w:rFonts w:ascii="Bookman Old Style" w:hAnsi="Bookman Old Style"/>
          <w:szCs w:val="24"/>
        </w:rPr>
      </w:pPr>
      <w:r>
        <w:rPr>
          <w:rFonts w:ascii="Bookman Old Style" w:hAnsi="Bookman Old Style"/>
          <w:noProof/>
          <w:szCs w:val="24"/>
        </w:rPr>
        <w:object w:dxaOrig="1440" w:dyaOrig="1440" w14:anchorId="1F80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mso-wrap-edited:f" fillcolor="#0c9">
            <v:imagedata r:id="rId11" o:title=""/>
          </v:shape>
          <o:OLEObject Type="Embed" ProgID="PBrush" ShapeID="_x0000_s2050" DrawAspect="Content" ObjectID="_1715700435" r:id="rId12"/>
        </w:object>
      </w:r>
    </w:p>
    <w:p w14:paraId="6BE87972" w14:textId="77777777" w:rsidR="00CA77FB" w:rsidRPr="00510F31" w:rsidRDefault="00CA77FB" w:rsidP="00C94D29">
      <w:pPr>
        <w:contextualSpacing/>
        <w:jc w:val="center"/>
        <w:rPr>
          <w:b/>
          <w:lang w:val="es-ES"/>
        </w:rPr>
      </w:pPr>
      <w:r w:rsidRPr="00510F31">
        <w:t>Ministerio de Minas y Energía</w:t>
      </w:r>
    </w:p>
    <w:p w14:paraId="52FFB829" w14:textId="77777777" w:rsidR="000649D5" w:rsidRPr="00B66211" w:rsidRDefault="000649D5" w:rsidP="00C94D29">
      <w:pPr>
        <w:contextualSpacing/>
        <w:rPr>
          <w:rFonts w:cs="Arial"/>
        </w:rPr>
      </w:pPr>
    </w:p>
    <w:p w14:paraId="2DCF5C77" w14:textId="498423CA" w:rsidR="00CA77FB" w:rsidRPr="00B66211" w:rsidRDefault="00C906CD" w:rsidP="00C94D29">
      <w:pPr>
        <w:contextualSpacing/>
        <w:jc w:val="center"/>
      </w:pPr>
      <w:r w:rsidRPr="00C906CD">
        <w:rPr>
          <w:b/>
          <w:spacing w:val="20"/>
        </w:rPr>
        <w:t>COMISIÓN DE REGULACIÓN DE ENERGÍA Y GAS</w:t>
      </w:r>
    </w:p>
    <w:p w14:paraId="01DB4B08" w14:textId="77777777" w:rsidR="000649D5" w:rsidRPr="00B66211" w:rsidRDefault="000649D5" w:rsidP="00C94D29">
      <w:pPr>
        <w:contextualSpacing/>
      </w:pPr>
    </w:p>
    <w:p w14:paraId="35B6958A" w14:textId="5D03CD4A" w:rsidR="00CA77FB" w:rsidRPr="00B66211" w:rsidRDefault="00CA77FB" w:rsidP="00C94D29">
      <w:pPr>
        <w:contextualSpacing/>
        <w:jc w:val="center"/>
        <w:rPr>
          <w:b/>
          <w:spacing w:val="20"/>
        </w:rPr>
      </w:pPr>
      <w:r w:rsidRPr="00B66211">
        <w:rPr>
          <w:b/>
          <w:spacing w:val="20"/>
        </w:rPr>
        <w:t xml:space="preserve">RESOLUCIÓN No. </w:t>
      </w:r>
      <w:r w:rsidR="002049D0">
        <w:rPr>
          <w:b/>
          <w:spacing w:val="20"/>
          <w:sz w:val="32"/>
          <w:szCs w:val="32"/>
        </w:rPr>
        <w:t>1</w:t>
      </w:r>
      <w:r w:rsidR="00587F89">
        <w:rPr>
          <w:b/>
          <w:spacing w:val="20"/>
          <w:sz w:val="32"/>
          <w:szCs w:val="32"/>
        </w:rPr>
        <w:t xml:space="preserve">01 </w:t>
      </w:r>
      <w:r w:rsidR="002049D0">
        <w:rPr>
          <w:b/>
          <w:spacing w:val="20"/>
          <w:sz w:val="32"/>
          <w:szCs w:val="32"/>
        </w:rPr>
        <w:t>XXX</w:t>
      </w:r>
    </w:p>
    <w:p w14:paraId="4F5D57D6" w14:textId="77777777" w:rsidR="000649D5" w:rsidRPr="00B66211" w:rsidRDefault="000649D5" w:rsidP="00C94D29">
      <w:pPr>
        <w:tabs>
          <w:tab w:val="left" w:pos="0"/>
          <w:tab w:val="right" w:pos="9356"/>
        </w:tabs>
        <w:contextualSpacing/>
        <w:jc w:val="center"/>
        <w:rPr>
          <w:rFonts w:cs="Arial"/>
          <w:b/>
          <w:snapToGrid w:val="0"/>
          <w:color w:val="000000"/>
          <w:lang w:val="es-ES_tradnl"/>
        </w:rPr>
      </w:pPr>
    </w:p>
    <w:p w14:paraId="13532F4E" w14:textId="59BF9C64" w:rsidR="00CA77FB" w:rsidRPr="00B66211" w:rsidRDefault="00CA77FB" w:rsidP="00C94D29">
      <w:pPr>
        <w:contextualSpacing/>
        <w:jc w:val="center"/>
      </w:pPr>
      <w:r w:rsidRPr="00B66211">
        <w:t>(</w:t>
      </w:r>
      <w:r w:rsidR="005455D8">
        <w:t xml:space="preserve">  </w:t>
      </w:r>
      <w:r w:rsidR="002049D0">
        <w:rPr>
          <w:b/>
          <w:sz w:val="32"/>
          <w:szCs w:val="32"/>
        </w:rPr>
        <w:t>XX</w:t>
      </w:r>
      <w:r w:rsidR="005455D8">
        <w:rPr>
          <w:b/>
          <w:sz w:val="32"/>
          <w:szCs w:val="32"/>
        </w:rPr>
        <w:t xml:space="preserve"> </w:t>
      </w:r>
      <w:r w:rsidR="002049D0">
        <w:rPr>
          <w:b/>
          <w:sz w:val="32"/>
          <w:szCs w:val="32"/>
        </w:rPr>
        <w:t>XXX</w:t>
      </w:r>
      <w:r w:rsidR="005455D8">
        <w:rPr>
          <w:b/>
          <w:sz w:val="32"/>
          <w:szCs w:val="32"/>
        </w:rPr>
        <w:t>.</w:t>
      </w:r>
      <w:r w:rsidR="00213205" w:rsidRPr="00B66211">
        <w:rPr>
          <w:b/>
          <w:sz w:val="32"/>
          <w:szCs w:val="32"/>
        </w:rPr>
        <w:t xml:space="preserve"> 202</w:t>
      </w:r>
      <w:r w:rsidR="00FC664C" w:rsidRPr="00B66211">
        <w:rPr>
          <w:b/>
          <w:sz w:val="32"/>
          <w:szCs w:val="32"/>
        </w:rPr>
        <w:t>2</w:t>
      </w:r>
      <w:r w:rsidR="005455D8">
        <w:rPr>
          <w:b/>
          <w:sz w:val="32"/>
          <w:szCs w:val="32"/>
        </w:rPr>
        <w:t xml:space="preserve"> </w:t>
      </w:r>
      <w:r w:rsidR="00213205" w:rsidRPr="00B66211">
        <w:t xml:space="preserve"> </w:t>
      </w:r>
      <w:r w:rsidRPr="00B66211">
        <w:t>)</w:t>
      </w:r>
    </w:p>
    <w:p w14:paraId="794A81BF" w14:textId="77777777" w:rsidR="00CA77FB" w:rsidRPr="00B66211" w:rsidRDefault="00CA77FB" w:rsidP="00C94D29">
      <w:pPr>
        <w:tabs>
          <w:tab w:val="left" w:pos="0"/>
          <w:tab w:val="right" w:pos="9356"/>
        </w:tabs>
        <w:contextualSpacing/>
        <w:jc w:val="center"/>
        <w:rPr>
          <w:lang w:val="es-ES_tradnl"/>
        </w:rPr>
      </w:pPr>
    </w:p>
    <w:p w14:paraId="73E8A529" w14:textId="2B64BDD7" w:rsidR="00BF5444" w:rsidRPr="0020415D" w:rsidRDefault="00BF5444" w:rsidP="00C94D29">
      <w:pPr>
        <w:contextualSpacing/>
        <w:jc w:val="center"/>
        <w:rPr>
          <w:iCs/>
        </w:rPr>
      </w:pPr>
      <w:r w:rsidRPr="005B1A20">
        <w:rPr>
          <w:iCs/>
        </w:rPr>
        <w:t xml:space="preserve">Por la cual se </w:t>
      </w:r>
      <w:r w:rsidR="007762C1" w:rsidRPr="005B1A20">
        <w:rPr>
          <w:iCs/>
        </w:rPr>
        <w:t>define</w:t>
      </w:r>
      <w:r w:rsidR="0026013B" w:rsidRPr="005B1A20">
        <w:rPr>
          <w:iCs/>
        </w:rPr>
        <w:t xml:space="preserve"> </w:t>
      </w:r>
      <w:r w:rsidRPr="005B1A20">
        <w:rPr>
          <w:iCs/>
        </w:rPr>
        <w:t xml:space="preserve">la </w:t>
      </w:r>
      <w:r w:rsidR="0019368F" w:rsidRPr="005B1A20">
        <w:rPr>
          <w:iCs/>
        </w:rPr>
        <w:t xml:space="preserve">fórmula tarifaria general </w:t>
      </w:r>
      <w:r w:rsidR="0072287F" w:rsidRPr="005B1A20">
        <w:rPr>
          <w:iCs/>
        </w:rPr>
        <w:t xml:space="preserve">para establecer la remuneración </w:t>
      </w:r>
      <w:r w:rsidRPr="005B1A20">
        <w:rPr>
          <w:iCs/>
        </w:rPr>
        <w:t xml:space="preserve">de la prestación del servicio de energía eléctrica mediante Soluciones Individuales </w:t>
      </w:r>
      <w:r w:rsidR="00D72164" w:rsidRPr="005B1A20">
        <w:rPr>
          <w:iCs/>
        </w:rPr>
        <w:t xml:space="preserve">Solares </w:t>
      </w:r>
      <w:r w:rsidRPr="005B1A20">
        <w:rPr>
          <w:iCs/>
        </w:rPr>
        <w:t>Fotovoltaicas</w:t>
      </w:r>
      <w:r w:rsidR="00ED0B65" w:rsidRPr="005B1A20">
        <w:rPr>
          <w:iCs/>
        </w:rPr>
        <w:t xml:space="preserve"> en Zonas No Interconectadas</w:t>
      </w:r>
    </w:p>
    <w:p w14:paraId="621EC311" w14:textId="274B2B6A" w:rsidR="00C92722" w:rsidRPr="00DC3E00" w:rsidRDefault="00C92722" w:rsidP="00C94D29">
      <w:pPr>
        <w:contextualSpacing/>
        <w:jc w:val="center"/>
      </w:pPr>
    </w:p>
    <w:p w14:paraId="512E5BBC" w14:textId="77777777" w:rsidR="00C92722" w:rsidRPr="00B66211" w:rsidRDefault="00C92722" w:rsidP="00C94D29">
      <w:pPr>
        <w:ind w:right="51"/>
        <w:contextualSpacing/>
        <w:jc w:val="center"/>
        <w:rPr>
          <w:b/>
        </w:rPr>
      </w:pPr>
      <w:r w:rsidRPr="00B66211">
        <w:rPr>
          <w:b/>
        </w:rPr>
        <w:t>LA COMISIÓN DE REGULACIÓN DE ENERGÍA Y GAS</w:t>
      </w:r>
    </w:p>
    <w:p w14:paraId="09CE3825" w14:textId="77777777" w:rsidR="003232D0" w:rsidRPr="00DC3E00" w:rsidRDefault="003232D0" w:rsidP="00C94D29">
      <w:pPr>
        <w:contextualSpacing/>
      </w:pPr>
      <w:bookmarkStart w:id="0" w:name="_Hlk37187116"/>
    </w:p>
    <w:p w14:paraId="7A821F19" w14:textId="2E5D92E5" w:rsidR="00C92722" w:rsidRPr="00EE6AAD" w:rsidRDefault="00C92722" w:rsidP="00C94D29">
      <w:pPr>
        <w:contextualSpacing/>
        <w:jc w:val="center"/>
      </w:pPr>
      <w:r w:rsidRPr="00EE6AAD">
        <w:t>En ejercicio de sus atribuciones constitucionales y legales, en especial las conferidas por las Leyes 142 y 143 de 1994, y en desarrollo de los Decretos 1524 y 2253 de 1994</w:t>
      </w:r>
      <w:r w:rsidR="00EE6AAD">
        <w:t>,</w:t>
      </w:r>
      <w:r w:rsidRPr="00EE6AAD">
        <w:t xml:space="preserve"> y 1260 de 2013</w:t>
      </w:r>
      <w:r w:rsidR="3254A5E6" w:rsidRPr="00EE6AAD">
        <w:t>, y</w:t>
      </w:r>
    </w:p>
    <w:p w14:paraId="5ECB181D" w14:textId="77777777" w:rsidR="003232D0" w:rsidRPr="00EE6AAD" w:rsidRDefault="003232D0" w:rsidP="00C94D29">
      <w:pPr>
        <w:contextualSpacing/>
      </w:pPr>
    </w:p>
    <w:bookmarkEnd w:id="0"/>
    <w:p w14:paraId="4E43FFE3" w14:textId="206267DD" w:rsidR="00C92722" w:rsidRPr="00510F31" w:rsidRDefault="00C92722" w:rsidP="00C94D29">
      <w:pPr>
        <w:contextualSpacing/>
        <w:jc w:val="center"/>
        <w:rPr>
          <w:b/>
        </w:rPr>
      </w:pPr>
      <w:r w:rsidRPr="00510F31">
        <w:rPr>
          <w:b/>
        </w:rPr>
        <w:t>CONSIDERANDO QUE:</w:t>
      </w:r>
    </w:p>
    <w:p w14:paraId="4267529C" w14:textId="77777777" w:rsidR="003232D0" w:rsidRPr="00B66211" w:rsidRDefault="003232D0" w:rsidP="00C94D29">
      <w:pPr>
        <w:contextualSpacing/>
        <w:jc w:val="both"/>
        <w:rPr>
          <w:rFonts w:eastAsia="Calibri"/>
          <w:lang w:val="es-MX" w:eastAsia="en-US"/>
        </w:rPr>
      </w:pPr>
    </w:p>
    <w:p w14:paraId="21BC8833" w14:textId="10D90E68" w:rsidR="00C92722" w:rsidRPr="00B66211" w:rsidRDefault="00C92722" w:rsidP="00C94D29">
      <w:pPr>
        <w:contextualSpacing/>
        <w:jc w:val="both"/>
        <w:rPr>
          <w:rFonts w:eastAsia="Calibri"/>
          <w:lang w:val="es-MX" w:eastAsia="en-US"/>
        </w:rPr>
      </w:pPr>
      <w:r w:rsidRPr="00B66211">
        <w:rPr>
          <w:rFonts w:eastAsia="Calibri"/>
          <w:lang w:val="es-MX" w:eastAsia="en-US"/>
        </w:rPr>
        <w:t>El artículo 334 de la Constitución Nacional dispone que el Estado, de manera especial intervendrá para asegurar, de manera progresiva, que todas las personas, en particular las de menores ingresos, tengan acceso efectivo al conjunto de los bienes y servicios básicos.</w:t>
      </w:r>
    </w:p>
    <w:p w14:paraId="720A5630" w14:textId="77777777" w:rsidR="003232D0" w:rsidRPr="00B66211" w:rsidRDefault="003232D0" w:rsidP="00C94D29">
      <w:pPr>
        <w:contextualSpacing/>
        <w:jc w:val="both"/>
        <w:rPr>
          <w:rFonts w:eastAsia="Calibri"/>
          <w:lang w:val="es-MX" w:eastAsia="en-US"/>
        </w:rPr>
      </w:pPr>
    </w:p>
    <w:p w14:paraId="58C1D31C" w14:textId="56D934CE" w:rsidR="00C92722" w:rsidRPr="00B66211" w:rsidRDefault="00045291" w:rsidP="00C94D29">
      <w:pPr>
        <w:contextualSpacing/>
        <w:jc w:val="both"/>
        <w:rPr>
          <w:rFonts w:eastAsia="Calibri"/>
          <w:lang w:val="es-MX" w:eastAsia="en-US"/>
        </w:rPr>
      </w:pPr>
      <w:r w:rsidRPr="00B66211">
        <w:rPr>
          <w:rFonts w:eastAsia="Calibri"/>
          <w:lang w:val="es-MX" w:eastAsia="en-US"/>
        </w:rPr>
        <w:t>E</w:t>
      </w:r>
      <w:r w:rsidR="00C92722" w:rsidRPr="00B66211">
        <w:rPr>
          <w:rFonts w:eastAsia="Calibri"/>
          <w:lang w:val="es-MX" w:eastAsia="en-US"/>
        </w:rPr>
        <w:t>l artículo 365 de la Constitución Política establece que los servicios públicos son inherentes a la finalidad social del Estado</w:t>
      </w:r>
      <w:r w:rsidR="00EE6AAD">
        <w:rPr>
          <w:rFonts w:eastAsia="Calibri"/>
          <w:lang w:val="es-MX" w:eastAsia="en-US"/>
        </w:rPr>
        <w:t>,</w:t>
      </w:r>
      <w:r w:rsidR="00C92722" w:rsidRPr="00B66211">
        <w:rPr>
          <w:rFonts w:eastAsia="Calibri"/>
          <w:lang w:val="es-MX" w:eastAsia="en-US"/>
        </w:rPr>
        <w:t xml:space="preserve"> y es deber de este asegurar su prestación eficiente a todos los habitantes del territorio nacional.</w:t>
      </w:r>
    </w:p>
    <w:p w14:paraId="37239F3A" w14:textId="77777777" w:rsidR="003232D0" w:rsidRPr="00B66211" w:rsidRDefault="003232D0" w:rsidP="00C94D29">
      <w:pPr>
        <w:contextualSpacing/>
        <w:jc w:val="both"/>
        <w:rPr>
          <w:rFonts w:eastAsia="Calibri"/>
          <w:lang w:val="es-MX" w:eastAsia="en-US"/>
        </w:rPr>
      </w:pPr>
    </w:p>
    <w:p w14:paraId="1ECCB70F" w14:textId="65CBA5F7" w:rsidR="00C92722" w:rsidRPr="00B66211" w:rsidRDefault="00045291" w:rsidP="00C94D29">
      <w:pPr>
        <w:contextualSpacing/>
        <w:jc w:val="both"/>
        <w:rPr>
          <w:rFonts w:eastAsia="Calibri"/>
          <w:lang w:val="es-MX" w:eastAsia="en-US"/>
        </w:rPr>
      </w:pPr>
      <w:r w:rsidRPr="00B66211">
        <w:rPr>
          <w:rFonts w:eastAsia="Calibri"/>
          <w:lang w:val="es-MX" w:eastAsia="en-US"/>
        </w:rPr>
        <w:t>D</w:t>
      </w:r>
      <w:r w:rsidR="00C92722" w:rsidRPr="00B66211">
        <w:rPr>
          <w:rFonts w:eastAsia="Calibri"/>
          <w:lang w:val="es-MX" w:eastAsia="en-US"/>
        </w:rPr>
        <w:t>e conformidad con lo previsto en los artículos 1, 2 y 4 de la Ley 142 de 1994, la prestación del servicio público domiciliario de energía eléctrica y sus actividades complementarias constituyen servicios públicos esenciales</w:t>
      </w:r>
      <w:r w:rsidR="00EE6AAD">
        <w:rPr>
          <w:rFonts w:eastAsia="Calibri"/>
          <w:lang w:val="es-MX" w:eastAsia="en-US"/>
        </w:rPr>
        <w:t>,</w:t>
      </w:r>
      <w:r w:rsidR="00C92722" w:rsidRPr="00B66211">
        <w:rPr>
          <w:rFonts w:eastAsia="Calibri"/>
          <w:lang w:val="es-MX" w:eastAsia="en-US"/>
        </w:rPr>
        <w:t xml:space="preserve"> y el Estado intervendrá en los mismos a fin de, entre otros, garantizar la calidad del bien y su disposición final para asegurar el mejoramiento de la calidad de vida de los usuarios, así como su prestación continua, ininterrumpida y eficiente.</w:t>
      </w:r>
    </w:p>
    <w:p w14:paraId="5ABD4DA1" w14:textId="77777777" w:rsidR="003232D0" w:rsidRPr="00B66211" w:rsidRDefault="003232D0" w:rsidP="00C94D29">
      <w:pPr>
        <w:contextualSpacing/>
        <w:jc w:val="both"/>
        <w:rPr>
          <w:rFonts w:eastAsia="Calibri"/>
          <w:lang w:val="es-MX" w:eastAsia="en-US"/>
        </w:rPr>
      </w:pPr>
    </w:p>
    <w:p w14:paraId="2E9784C8" w14:textId="4B021E5F" w:rsidR="00C92722" w:rsidRPr="00B66211" w:rsidRDefault="00C92722" w:rsidP="00C94D29">
      <w:pPr>
        <w:contextualSpacing/>
        <w:jc w:val="both"/>
        <w:rPr>
          <w:rFonts w:eastAsia="Calibri"/>
          <w:lang w:eastAsia="en-US"/>
        </w:rPr>
      </w:pPr>
      <w:r w:rsidRPr="00B66211">
        <w:rPr>
          <w:rFonts w:eastAsia="Calibri"/>
          <w:lang w:eastAsia="en-US"/>
        </w:rPr>
        <w:t>De conformidad con el artículo 73 de la Ley 142 de 1994 le corresponde a las Comisiones de Regulación establecer las fórmulas para la fijación de las tarifas de los servicios públicos y 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14:paraId="6932A2C5" w14:textId="77777777" w:rsidR="003232D0" w:rsidRPr="00B66211" w:rsidRDefault="003232D0" w:rsidP="00C94D29">
      <w:pPr>
        <w:contextualSpacing/>
        <w:jc w:val="both"/>
        <w:rPr>
          <w:rFonts w:eastAsia="Calibri"/>
          <w:lang w:eastAsia="en-US"/>
        </w:rPr>
      </w:pPr>
    </w:p>
    <w:p w14:paraId="05CDA754" w14:textId="1FD8AFB5" w:rsidR="00C92722" w:rsidRPr="00B66211" w:rsidRDefault="00C92722" w:rsidP="00C94D29">
      <w:pPr>
        <w:contextualSpacing/>
        <w:jc w:val="both"/>
        <w:rPr>
          <w:rFonts w:eastAsia="Calibri"/>
          <w:lang w:val="es-MX" w:eastAsia="en-US"/>
        </w:rPr>
      </w:pPr>
      <w:r w:rsidRPr="00B66211">
        <w:rPr>
          <w:rFonts w:eastAsia="Calibri"/>
          <w:lang w:val="es-MX" w:eastAsia="en-US"/>
        </w:rPr>
        <w:t>De conformidad con lo previsto en el artículo 87.9 de la Ley 142 de 1994 le corresponde a las Comisiones de Regulación establecer mecanismos para garantizar la reposición y mantenimiento de bienes que hayan sido objeto de aporte por parte de entidades públicas.</w:t>
      </w:r>
    </w:p>
    <w:p w14:paraId="56D985B3" w14:textId="77777777" w:rsidR="003232D0" w:rsidRPr="00B66211" w:rsidRDefault="003232D0" w:rsidP="00C94D29">
      <w:pPr>
        <w:contextualSpacing/>
        <w:jc w:val="both"/>
        <w:rPr>
          <w:rFonts w:eastAsia="Calibri"/>
          <w:lang w:val="es-MX" w:eastAsia="en-US"/>
        </w:rPr>
      </w:pPr>
    </w:p>
    <w:p w14:paraId="6BFA0337" w14:textId="12A77239" w:rsidR="00510EFC" w:rsidRPr="00B66211" w:rsidRDefault="00C92722" w:rsidP="00C94D29">
      <w:pPr>
        <w:contextualSpacing/>
        <w:jc w:val="both"/>
        <w:rPr>
          <w:rFonts w:eastAsia="Calibri"/>
          <w:lang w:eastAsia="en-US"/>
        </w:rPr>
      </w:pPr>
      <w:r w:rsidRPr="00B66211">
        <w:rPr>
          <w:rFonts w:eastAsia="Calibri"/>
          <w:lang w:val="es-MX" w:eastAsia="en-US"/>
        </w:rPr>
        <w:lastRenderedPageBreak/>
        <w:t xml:space="preserve">De acuerdo con el artículo 90 de la Ley 142 de 1994, </w:t>
      </w:r>
      <w:r w:rsidRPr="00B66211">
        <w:rPr>
          <w:rFonts w:eastAsia="Calibri"/>
          <w:lang w:eastAsia="en-US"/>
        </w:rPr>
        <w:t xml:space="preserve">las Comisiones de Regulación </w:t>
      </w:r>
      <w:r w:rsidR="00510EFC" w:rsidRPr="00B66211">
        <w:rPr>
          <w:rFonts w:eastAsia="Calibri"/>
          <w:lang w:eastAsia="en-US"/>
        </w:rPr>
        <w:t>siempre podrán diseñar y hacer públicas diversas opciones tarifarias que tomen en cuenta diseños óptimos de tarifas</w:t>
      </w:r>
      <w:r w:rsidR="00084879" w:rsidRPr="00B66211">
        <w:rPr>
          <w:rFonts w:eastAsia="Calibri"/>
          <w:lang w:eastAsia="en-US"/>
        </w:rPr>
        <w:t>,</w:t>
      </w:r>
      <w:r w:rsidR="000B2CA3" w:rsidRPr="00B66211">
        <w:rPr>
          <w:rFonts w:eastAsia="Calibri"/>
          <w:lang w:eastAsia="en-US"/>
        </w:rPr>
        <w:t xml:space="preserve"> y c</w:t>
      </w:r>
      <w:r w:rsidR="00510EFC" w:rsidRPr="00B66211">
        <w:rPr>
          <w:rFonts w:eastAsia="Calibri"/>
          <w:lang w:eastAsia="en-US"/>
        </w:rPr>
        <w:t>ualquier usuario podrá exigir la aplicación de una de estas opciones, si asume los costos de los equipos de medición necesarios.</w:t>
      </w:r>
    </w:p>
    <w:p w14:paraId="7AE3146C" w14:textId="77777777" w:rsidR="000B2CA3" w:rsidRPr="00B66211" w:rsidRDefault="000B2CA3" w:rsidP="00C94D29">
      <w:pPr>
        <w:contextualSpacing/>
        <w:jc w:val="both"/>
        <w:rPr>
          <w:rFonts w:eastAsia="Calibri"/>
          <w:lang w:eastAsia="en-US"/>
        </w:rPr>
      </w:pPr>
    </w:p>
    <w:p w14:paraId="3D98FD9C" w14:textId="6E792406" w:rsidR="00C92722" w:rsidRPr="00B66211" w:rsidRDefault="00AA51C2" w:rsidP="00C94D29">
      <w:pPr>
        <w:contextualSpacing/>
        <w:jc w:val="both"/>
        <w:rPr>
          <w:rFonts w:eastAsia="Calibri" w:cs="Arial"/>
          <w:color w:val="000000"/>
          <w:shd w:val="clear" w:color="auto" w:fill="FFFFFF"/>
        </w:rPr>
      </w:pPr>
      <w:r w:rsidRPr="00B66211">
        <w:rPr>
          <w:rFonts w:eastAsia="Calibri"/>
          <w:lang w:val="es-MX" w:eastAsia="en-US"/>
        </w:rPr>
        <w:t>En ese sentido, se</w:t>
      </w:r>
      <w:r w:rsidR="00C92722" w:rsidRPr="00B66211">
        <w:rPr>
          <w:rFonts w:eastAsia="Calibri"/>
          <w:lang w:val="es-MX" w:eastAsia="en-US"/>
        </w:rPr>
        <w:t xml:space="preserve"> </w:t>
      </w:r>
      <w:r w:rsidR="00D84B0C" w:rsidRPr="00B66211">
        <w:rPr>
          <w:rFonts w:eastAsia="Calibri"/>
          <w:lang w:val="es-MX" w:eastAsia="en-US"/>
        </w:rPr>
        <w:t>pueden</w:t>
      </w:r>
      <w:r w:rsidR="00C92722" w:rsidRPr="00B66211">
        <w:rPr>
          <w:rFonts w:eastAsia="Calibri"/>
          <w:lang w:val="es-MX" w:eastAsia="en-US"/>
        </w:rPr>
        <w:t xml:space="preserve"> incluir como elementos de las fórmulas tarifarias</w:t>
      </w:r>
      <w:r w:rsidR="00084879" w:rsidRPr="00B66211">
        <w:rPr>
          <w:rFonts w:eastAsia="Calibri"/>
          <w:lang w:val="es-MX" w:eastAsia="en-US"/>
        </w:rPr>
        <w:t>,</w:t>
      </w:r>
      <w:r w:rsidR="00C92722" w:rsidRPr="00B66211">
        <w:rPr>
          <w:rFonts w:eastAsia="Calibri"/>
          <w:lang w:val="es-MX" w:eastAsia="en-US"/>
        </w:rPr>
        <w:t xml:space="preserve"> entre otros, </w:t>
      </w:r>
      <w:r w:rsidR="006C3D74" w:rsidRPr="00B66211">
        <w:rPr>
          <w:rFonts w:eastAsia="Calibri"/>
          <w:lang w:val="es-MX" w:eastAsia="en-US"/>
        </w:rPr>
        <w:t xml:space="preserve">un </w:t>
      </w:r>
      <w:r w:rsidR="00C92722" w:rsidRPr="00B66211">
        <w:rPr>
          <w:rFonts w:cs="Arial"/>
          <w:color w:val="000000"/>
          <w:shd w:val="clear" w:color="auto" w:fill="FFFFFF"/>
        </w:rPr>
        <w:t>cargo por unidad de consumo</w:t>
      </w:r>
      <w:r w:rsidR="00D84B0C" w:rsidRPr="00B66211">
        <w:rPr>
          <w:rFonts w:cs="Arial"/>
          <w:color w:val="000000"/>
          <w:shd w:val="clear" w:color="auto" w:fill="FFFFFF"/>
        </w:rPr>
        <w:t xml:space="preserve">, </w:t>
      </w:r>
      <w:r w:rsidR="006C3D74" w:rsidRPr="00B66211">
        <w:rPr>
          <w:rFonts w:cs="Arial"/>
          <w:color w:val="000000"/>
          <w:shd w:val="clear" w:color="auto" w:fill="FFFFFF"/>
        </w:rPr>
        <w:t xml:space="preserve">un </w:t>
      </w:r>
      <w:r w:rsidR="00D84B0C" w:rsidRPr="00B66211">
        <w:rPr>
          <w:rFonts w:cs="Arial"/>
          <w:color w:val="000000"/>
          <w:shd w:val="clear" w:color="auto" w:fill="FFFFFF"/>
        </w:rPr>
        <w:t>cargo</w:t>
      </w:r>
      <w:r w:rsidR="005655D0" w:rsidRPr="00B66211">
        <w:rPr>
          <w:rFonts w:cs="Arial"/>
          <w:color w:val="000000"/>
          <w:shd w:val="clear" w:color="auto" w:fill="FFFFFF"/>
        </w:rPr>
        <w:t xml:space="preserve"> por aporte de conexión</w:t>
      </w:r>
      <w:r w:rsidR="00052BD1" w:rsidRPr="00B66211">
        <w:rPr>
          <w:rFonts w:eastAsia="Calibri" w:cs="Arial"/>
          <w:color w:val="000000"/>
          <w:shd w:val="clear" w:color="auto" w:fill="FFFFFF"/>
          <w:lang w:val="es-MX" w:eastAsia="en-US"/>
        </w:rPr>
        <w:t>,</w:t>
      </w:r>
      <w:r w:rsidR="00C92722" w:rsidRPr="00B66211">
        <w:rPr>
          <w:rFonts w:eastAsia="Calibri" w:cs="Arial"/>
          <w:color w:val="000000"/>
          <w:shd w:val="clear" w:color="auto" w:fill="FFFFFF"/>
          <w:lang w:val="es-MX" w:eastAsia="en-US"/>
        </w:rPr>
        <w:t xml:space="preserve"> un cargo fijo</w:t>
      </w:r>
      <w:r w:rsidR="00C92722" w:rsidRPr="00B66211">
        <w:rPr>
          <w:rFonts w:eastAsia="Calibri" w:cs="Arial"/>
          <w:color w:val="000000"/>
          <w:sz w:val="27"/>
          <w:szCs w:val="27"/>
          <w:shd w:val="clear" w:color="auto" w:fill="FFFFFF"/>
          <w:lang w:val="es-MX" w:eastAsia="en-US"/>
        </w:rPr>
        <w:t xml:space="preserve"> </w:t>
      </w:r>
      <w:r w:rsidR="00C92722" w:rsidRPr="00B66211">
        <w:rPr>
          <w:rFonts w:eastAsia="Calibri"/>
          <w:lang w:eastAsia="en-US"/>
        </w:rPr>
        <w:t>que refleje los costos económicos involucrados en garantizar la disponibilidad permanente del servicio para el usuario, independientemente del nivel de uso</w:t>
      </w:r>
      <w:r w:rsidR="00084879" w:rsidRPr="00B66211">
        <w:rPr>
          <w:rFonts w:eastAsia="Calibri"/>
          <w:lang w:eastAsia="en-US"/>
        </w:rPr>
        <w:t>,</w:t>
      </w:r>
      <w:r w:rsidR="005A74EE" w:rsidRPr="00B66211">
        <w:rPr>
          <w:rFonts w:eastAsia="Calibri"/>
          <w:lang w:eastAsia="en-US"/>
        </w:rPr>
        <w:t xml:space="preserve"> o cualquier otro cargo que se encuentre </w:t>
      </w:r>
      <w:r w:rsidR="000B43D2" w:rsidRPr="00B66211">
        <w:rPr>
          <w:rFonts w:eastAsia="Calibri"/>
          <w:lang w:eastAsia="en-US"/>
        </w:rPr>
        <w:t>justificado</w:t>
      </w:r>
      <w:r w:rsidR="00C92722" w:rsidRPr="00B66211">
        <w:rPr>
          <w:rFonts w:eastAsia="Calibri"/>
          <w:lang w:eastAsia="en-US"/>
        </w:rPr>
        <w:t>.</w:t>
      </w:r>
    </w:p>
    <w:p w14:paraId="5F8A1A46" w14:textId="77777777" w:rsidR="006A0E83" w:rsidRPr="00B66211" w:rsidRDefault="006A0E83" w:rsidP="00C94D29">
      <w:pPr>
        <w:contextualSpacing/>
        <w:jc w:val="both"/>
        <w:rPr>
          <w:rFonts w:eastAsia="Calibri"/>
          <w:lang w:eastAsia="en-US"/>
        </w:rPr>
      </w:pPr>
    </w:p>
    <w:p w14:paraId="09AA15DE" w14:textId="50AADA7B" w:rsidR="00FB7604" w:rsidRDefault="00272B42" w:rsidP="00C94D29">
      <w:pPr>
        <w:contextualSpacing/>
        <w:jc w:val="both"/>
        <w:rPr>
          <w:rFonts w:eastAsia="Calibri"/>
          <w:lang w:eastAsia="en-US"/>
        </w:rPr>
      </w:pPr>
      <w:r w:rsidRPr="00FB7604">
        <w:rPr>
          <w:rFonts w:eastAsia="Calibri"/>
          <w:lang w:eastAsia="en-US"/>
        </w:rPr>
        <w:t>Respecto de la definición de un cargo fijo, l</w:t>
      </w:r>
      <w:r w:rsidR="00C92722" w:rsidRPr="00FB7604">
        <w:rPr>
          <w:rFonts w:eastAsia="Calibri"/>
          <w:lang w:eastAsia="en-US"/>
        </w:rPr>
        <w:t xml:space="preserve">a </w:t>
      </w:r>
      <w:r w:rsidR="001C3CD8" w:rsidRPr="00FB7604">
        <w:rPr>
          <w:rFonts w:eastAsia="Calibri"/>
          <w:lang w:eastAsia="en-US"/>
        </w:rPr>
        <w:t xml:space="preserve">Honorable </w:t>
      </w:r>
      <w:r w:rsidR="00C92722" w:rsidRPr="00FB7604">
        <w:rPr>
          <w:rFonts w:eastAsia="Calibri"/>
          <w:lang w:eastAsia="en-US"/>
        </w:rPr>
        <w:t>Corte Constitucional se pronunció sobre la constitucionalidad del numeral 2 del artículo 90 de la Ley 142 de 1994</w:t>
      </w:r>
      <w:r w:rsidR="00EE6AAD">
        <w:rPr>
          <w:rFonts w:eastAsia="Calibri"/>
          <w:lang w:eastAsia="en-US"/>
        </w:rPr>
        <w:t>,</w:t>
      </w:r>
      <w:r w:rsidR="00C92722" w:rsidRPr="00FB7604">
        <w:rPr>
          <w:rFonts w:eastAsia="Calibri"/>
          <w:lang w:eastAsia="en-US"/>
        </w:rPr>
        <w:t xml:space="preserve"> señalando lo siguiente:</w:t>
      </w:r>
    </w:p>
    <w:p w14:paraId="2197672D" w14:textId="77777777" w:rsidR="00FB7604" w:rsidRDefault="00FB7604" w:rsidP="00C94D29">
      <w:pPr>
        <w:contextualSpacing/>
        <w:jc w:val="both"/>
        <w:rPr>
          <w:rFonts w:eastAsia="Calibri"/>
          <w:lang w:eastAsia="en-US"/>
        </w:rPr>
      </w:pPr>
    </w:p>
    <w:p w14:paraId="31461713" w14:textId="485DF998" w:rsidR="00C92722" w:rsidRPr="00FB7604" w:rsidRDefault="00C92722" w:rsidP="00C94D29">
      <w:pPr>
        <w:ind w:left="284"/>
        <w:contextualSpacing/>
        <w:jc w:val="both"/>
        <w:rPr>
          <w:rFonts w:eastAsia="Calibri"/>
          <w:i/>
          <w:sz w:val="22"/>
          <w:szCs w:val="22"/>
          <w:lang w:eastAsia="en-US"/>
        </w:rPr>
      </w:pPr>
      <w:r w:rsidRPr="00FB7604">
        <w:rPr>
          <w:rFonts w:eastAsia="Calibri"/>
          <w:i/>
          <w:iCs/>
          <w:sz w:val="22"/>
          <w:szCs w:val="22"/>
          <w:lang w:eastAsia="en-US"/>
        </w:rPr>
        <w:t>“</w:t>
      </w:r>
      <w:r w:rsidR="3917F838" w:rsidRPr="00FB7604">
        <w:rPr>
          <w:rFonts w:eastAsia="Calibri"/>
          <w:i/>
          <w:sz w:val="22"/>
          <w:szCs w:val="22"/>
          <w:lang w:val="es-MX" w:eastAsia="en-US"/>
        </w:rPr>
        <w:t xml:space="preserve">Con el </w:t>
      </w:r>
      <w:r w:rsidRPr="00FB7604">
        <w:rPr>
          <w:rFonts w:eastAsia="Calibri"/>
          <w:i/>
          <w:sz w:val="22"/>
          <w:szCs w:val="22"/>
          <w:lang w:val="es-MX" w:eastAsia="en-US"/>
        </w:rPr>
        <w:t xml:space="preserve">cargo fijo </w:t>
      </w:r>
      <w:r w:rsidR="3917F838" w:rsidRPr="00FB7604">
        <w:rPr>
          <w:rFonts w:eastAsia="Calibri"/>
          <w:i/>
          <w:sz w:val="22"/>
          <w:szCs w:val="22"/>
          <w:lang w:val="es-MX" w:eastAsia="en-US"/>
        </w:rPr>
        <w:t xml:space="preserve">contemplado en el artículo impugnado el Estado no </w:t>
      </w:r>
      <w:r w:rsidRPr="00FB7604">
        <w:rPr>
          <w:rFonts w:eastAsia="Calibri"/>
          <w:i/>
          <w:sz w:val="22"/>
          <w:szCs w:val="22"/>
          <w:lang w:val="es-MX" w:eastAsia="en-US"/>
        </w:rPr>
        <w:t xml:space="preserve">se </w:t>
      </w:r>
      <w:r w:rsidR="3917F838" w:rsidRPr="00FB7604">
        <w:rPr>
          <w:rFonts w:eastAsia="Calibri"/>
          <w:i/>
          <w:sz w:val="22"/>
          <w:szCs w:val="22"/>
          <w:lang w:val="es-MX" w:eastAsia="en-US"/>
        </w:rPr>
        <w:t>despoja de su función de garantizar</w:t>
      </w:r>
      <w:r w:rsidRPr="00FB7604">
        <w:rPr>
          <w:rFonts w:eastAsia="Calibri"/>
          <w:i/>
          <w:sz w:val="22"/>
          <w:szCs w:val="22"/>
          <w:lang w:val="es-MX" w:eastAsia="en-US"/>
        </w:rPr>
        <w:t xml:space="preserve"> la prestación eficiente </w:t>
      </w:r>
      <w:r w:rsidR="3917F838" w:rsidRPr="00FB7604">
        <w:rPr>
          <w:rFonts w:eastAsia="Calibri"/>
          <w:i/>
          <w:sz w:val="22"/>
          <w:szCs w:val="22"/>
          <w:lang w:val="es-MX" w:eastAsia="en-US"/>
        </w:rPr>
        <w:t xml:space="preserve">de los servicios públicos, pues la gratuidad de los servicios públicos domiciliarios no está contemplada por el Constituyente de 1991 y además dentro de los deberes de toda persona se encuentra el de contribuir al financiamiento de los gastos e inversiones </w:t>
      </w:r>
      <w:r w:rsidRPr="00FB7604">
        <w:rPr>
          <w:rFonts w:eastAsia="Calibri"/>
          <w:i/>
          <w:sz w:val="22"/>
          <w:szCs w:val="22"/>
          <w:lang w:val="es-MX" w:eastAsia="en-US"/>
        </w:rPr>
        <w:t xml:space="preserve">del </w:t>
      </w:r>
      <w:r w:rsidR="3917F838" w:rsidRPr="00FB7604">
        <w:rPr>
          <w:rFonts w:eastAsia="Calibri"/>
          <w:i/>
          <w:sz w:val="22"/>
          <w:szCs w:val="22"/>
          <w:lang w:val="es-MX" w:eastAsia="en-US"/>
        </w:rPr>
        <w:t>Estado.</w:t>
      </w:r>
      <w:r w:rsidRPr="00FB7604">
        <w:rPr>
          <w:rFonts w:eastAsia="Calibri"/>
          <w:i/>
          <w:sz w:val="22"/>
          <w:szCs w:val="22"/>
          <w:lang w:val="es-MX" w:eastAsia="en-US"/>
        </w:rPr>
        <w:t xml:space="preserve"> La tarifa que se paga por la prestación de un servicio público domiciliario está vinculada no sólo con el nivel de consumo del usuario, sino con los costos en que incurre la empresa respectiva para poder brindar el bien o servicio en condiciones de competitividad y está determinada por el beneficio que finalmente recibe el usuario</w:t>
      </w:r>
      <w:r w:rsidR="3917F838" w:rsidRPr="00FB7604">
        <w:rPr>
          <w:rFonts w:eastAsia="Calibri"/>
          <w:i/>
          <w:sz w:val="22"/>
          <w:szCs w:val="22"/>
          <w:lang w:val="es-MX" w:eastAsia="en-US"/>
        </w:rPr>
        <w:t>. El sólo hecho de que el prestador del servicio esté disponible para brindar el mismo genera costos, los cuales son independientes del consumo real que se efectúe. A juicio de la Corte, la norma acusada, en cuanto contempla un cargo fijo que debe pagar el usuario, no vulnera la Carta Política toda vez que tal concepto se ve reflejado en su propio beneficio, es decir en una prestación eficiente y permanente del servicio</w:t>
      </w:r>
      <w:r w:rsidR="3917F838" w:rsidRPr="00FB7604">
        <w:rPr>
          <w:rFonts w:eastAsia="Calibri"/>
          <w:i/>
          <w:iCs/>
          <w:sz w:val="22"/>
          <w:szCs w:val="22"/>
          <w:lang w:eastAsia="en-US"/>
        </w:rPr>
        <w:t xml:space="preserve"> </w:t>
      </w:r>
      <w:r w:rsidR="00940AC5" w:rsidRPr="00FB7604">
        <w:rPr>
          <w:rFonts w:eastAsia="Calibri"/>
          <w:i/>
          <w:sz w:val="22"/>
          <w:szCs w:val="22"/>
          <w:lang w:eastAsia="en-US"/>
        </w:rPr>
        <w:t>(…)</w:t>
      </w:r>
      <w:r w:rsidRPr="00FB7604">
        <w:rPr>
          <w:rFonts w:eastAsia="Calibri"/>
          <w:i/>
          <w:sz w:val="22"/>
          <w:szCs w:val="22"/>
          <w:lang w:eastAsia="en-US"/>
        </w:rPr>
        <w:t>”</w:t>
      </w:r>
      <w:r w:rsidR="00043126" w:rsidRPr="00FB7604">
        <w:rPr>
          <w:rStyle w:val="Refdenotaalpie"/>
          <w:rFonts w:eastAsia="Calibri"/>
          <w:i/>
          <w:sz w:val="22"/>
          <w:szCs w:val="22"/>
          <w:lang w:eastAsia="en-US"/>
        </w:rPr>
        <w:footnoteReference w:id="2"/>
      </w:r>
      <w:r w:rsidRPr="00FB7604">
        <w:rPr>
          <w:rFonts w:eastAsia="Calibri"/>
          <w:i/>
          <w:sz w:val="22"/>
          <w:szCs w:val="22"/>
          <w:lang w:eastAsia="en-US"/>
        </w:rPr>
        <w:t>.</w:t>
      </w:r>
    </w:p>
    <w:p w14:paraId="4C707A02" w14:textId="2024BE13" w:rsidR="0C184C74" w:rsidRDefault="0C184C74" w:rsidP="00C94D29">
      <w:pPr>
        <w:contextualSpacing/>
        <w:jc w:val="both"/>
        <w:rPr>
          <w:i/>
          <w:iCs/>
          <w:lang w:eastAsia="en-US"/>
        </w:rPr>
      </w:pPr>
    </w:p>
    <w:p w14:paraId="68EFFFBA" w14:textId="458C9426" w:rsidR="00C92722" w:rsidRPr="00B66211" w:rsidRDefault="00C92722" w:rsidP="00C94D29">
      <w:pPr>
        <w:contextualSpacing/>
        <w:jc w:val="both"/>
        <w:rPr>
          <w:rFonts w:eastAsia="Calibri"/>
          <w:lang w:eastAsia="en-US"/>
        </w:rPr>
      </w:pPr>
      <w:r w:rsidRPr="00B66211">
        <w:rPr>
          <w:rFonts w:eastAsia="Calibri"/>
          <w:lang w:val="es-MX" w:eastAsia="en-US"/>
        </w:rPr>
        <w:t xml:space="preserve">Así mismo, </w:t>
      </w:r>
      <w:r w:rsidRPr="00B66211">
        <w:rPr>
          <w:rFonts w:eastAsia="Calibri"/>
          <w:lang w:eastAsia="en-US"/>
        </w:rPr>
        <w:t>la</w:t>
      </w:r>
      <w:r w:rsidR="00BD43D6" w:rsidRPr="00B66211">
        <w:rPr>
          <w:rFonts w:eastAsia="Calibri"/>
          <w:lang w:eastAsia="en-US"/>
        </w:rPr>
        <w:t xml:space="preserve"> Honorable</w:t>
      </w:r>
      <w:r w:rsidRPr="00B66211">
        <w:rPr>
          <w:rFonts w:eastAsia="Calibri"/>
          <w:lang w:eastAsia="en-US"/>
        </w:rPr>
        <w:t xml:space="preserve"> Corte </w:t>
      </w:r>
      <w:r w:rsidR="4868837F" w:rsidRPr="3B408DBA">
        <w:rPr>
          <w:rFonts w:eastAsia="Calibri"/>
          <w:lang w:eastAsia="en-US"/>
        </w:rPr>
        <w:t>reiteró</w:t>
      </w:r>
      <w:r w:rsidR="00BD43D6" w:rsidRPr="00B66211">
        <w:rPr>
          <w:rFonts w:eastAsia="Calibri"/>
          <w:lang w:eastAsia="en-US"/>
        </w:rPr>
        <w:t xml:space="preserve"> los elementos</w:t>
      </w:r>
      <w:r w:rsidRPr="00B66211">
        <w:rPr>
          <w:rFonts w:eastAsia="Calibri"/>
          <w:lang w:eastAsia="en-US"/>
        </w:rPr>
        <w:t xml:space="preserve"> que debe</w:t>
      </w:r>
      <w:r w:rsidR="00BD43D6" w:rsidRPr="00B66211">
        <w:rPr>
          <w:rFonts w:eastAsia="Calibri"/>
          <w:lang w:eastAsia="en-US"/>
        </w:rPr>
        <w:t>n</w:t>
      </w:r>
      <w:r w:rsidRPr="00B66211">
        <w:rPr>
          <w:rFonts w:eastAsia="Calibri"/>
          <w:lang w:eastAsia="en-US"/>
        </w:rPr>
        <w:t xml:space="preserve"> tenerse en cuenta </w:t>
      </w:r>
      <w:r w:rsidRPr="00B66211">
        <w:rPr>
          <w:rFonts w:eastAsia="Calibri"/>
          <w:lang w:val="es-MX" w:eastAsia="en-US"/>
        </w:rPr>
        <w:t>p</w:t>
      </w:r>
      <w:r w:rsidRPr="00B66211">
        <w:rPr>
          <w:rFonts w:eastAsia="Calibri"/>
          <w:lang w:eastAsia="en-US"/>
        </w:rPr>
        <w:t>ara la definición de un cargo fijo</w:t>
      </w:r>
      <w:r w:rsidR="00EE6AAD">
        <w:rPr>
          <w:rFonts w:eastAsia="Calibri"/>
          <w:lang w:eastAsia="en-US"/>
        </w:rPr>
        <w:t>,</w:t>
      </w:r>
      <w:r w:rsidRPr="00B66211">
        <w:rPr>
          <w:rFonts w:eastAsia="Calibri"/>
          <w:lang w:eastAsia="en-US"/>
        </w:rPr>
        <w:t xml:space="preserve"> </w:t>
      </w:r>
      <w:r w:rsidR="00982B81" w:rsidRPr="00B66211">
        <w:rPr>
          <w:rFonts w:eastAsia="Calibri"/>
          <w:lang w:eastAsia="en-US"/>
        </w:rPr>
        <w:t>indicando</w:t>
      </w:r>
      <w:r w:rsidRPr="00B66211">
        <w:rPr>
          <w:rFonts w:eastAsia="Calibri"/>
          <w:lang w:eastAsia="en-US"/>
        </w:rPr>
        <w:t>:</w:t>
      </w:r>
    </w:p>
    <w:p w14:paraId="5C1C8515" w14:textId="77777777" w:rsidR="003232D0" w:rsidRPr="00E91CB1" w:rsidRDefault="003232D0" w:rsidP="00C94D29">
      <w:pPr>
        <w:contextualSpacing/>
        <w:jc w:val="both"/>
        <w:rPr>
          <w:rFonts w:eastAsia="Calibri"/>
          <w:i/>
          <w:iCs/>
          <w:lang w:eastAsia="en-US"/>
        </w:rPr>
      </w:pPr>
    </w:p>
    <w:p w14:paraId="1891A208" w14:textId="7C964CF4" w:rsidR="0702B3F5" w:rsidRPr="00FB7604" w:rsidRDefault="5D3567E2" w:rsidP="00C94D29">
      <w:pPr>
        <w:ind w:left="284"/>
        <w:contextualSpacing/>
        <w:jc w:val="both"/>
        <w:rPr>
          <w:rFonts w:eastAsia="Calibri"/>
          <w:i/>
          <w:iCs/>
          <w:sz w:val="22"/>
          <w:szCs w:val="22"/>
          <w:lang w:eastAsia="en-US"/>
        </w:rPr>
      </w:pPr>
      <w:r w:rsidRPr="00FB7604">
        <w:rPr>
          <w:i/>
          <w:iCs/>
          <w:color w:val="000000" w:themeColor="text1"/>
          <w:sz w:val="22"/>
          <w:szCs w:val="22"/>
        </w:rPr>
        <w:t>“</w:t>
      </w:r>
      <w:r w:rsidR="0702B3F5" w:rsidRPr="00FB7604">
        <w:rPr>
          <w:i/>
          <w:iCs/>
          <w:color w:val="000000" w:themeColor="text1"/>
          <w:sz w:val="22"/>
          <w:szCs w:val="22"/>
        </w:rPr>
        <w:t>A</w:t>
      </w:r>
      <w:r w:rsidR="0702B3F5" w:rsidRPr="00FB7604">
        <w:rPr>
          <w:rFonts w:eastAsia="Calibri"/>
          <w:i/>
          <w:iCs/>
          <w:sz w:val="22"/>
          <w:szCs w:val="22"/>
          <w:lang w:eastAsia="en-US"/>
        </w:rPr>
        <w:t>hora, como a las comisiones de regulación se le entrega la definición de los costos necesarios para garantizar que el usuario pueda disponer del servicio sin solución de continuidad y con eficiencia, la Corte acogerá los criterios que expuso en la Sentencia C-041 de 2003, que deberá tener en cuenta dicha Comisión en la determinación de los costos fijos para la defensa de los derechos de los usuarios:</w:t>
      </w:r>
    </w:p>
    <w:p w14:paraId="67E5A382" w14:textId="3AABE76D" w:rsidR="0702B3F5" w:rsidRPr="00FB7604" w:rsidRDefault="0702B3F5" w:rsidP="00C94D29">
      <w:pPr>
        <w:ind w:left="284"/>
        <w:contextualSpacing/>
        <w:jc w:val="both"/>
        <w:rPr>
          <w:rFonts w:eastAsia="Calibri"/>
          <w:i/>
          <w:sz w:val="22"/>
          <w:szCs w:val="22"/>
          <w:lang w:eastAsia="en-US"/>
        </w:rPr>
      </w:pPr>
    </w:p>
    <w:p w14:paraId="56D18412" w14:textId="75A7AF9A" w:rsidR="0702B3F5" w:rsidRPr="00FB7604" w:rsidRDefault="002142D2" w:rsidP="00C94D29">
      <w:pPr>
        <w:ind w:left="567"/>
        <w:contextualSpacing/>
        <w:jc w:val="both"/>
        <w:rPr>
          <w:rFonts w:eastAsia="Calibri"/>
          <w:i/>
          <w:sz w:val="22"/>
          <w:szCs w:val="22"/>
          <w:lang w:eastAsia="en-US"/>
        </w:rPr>
      </w:pPr>
      <w:r>
        <w:rPr>
          <w:rFonts w:eastAsia="Calibri"/>
          <w:i/>
          <w:sz w:val="22"/>
          <w:szCs w:val="22"/>
          <w:lang w:eastAsia="en-US"/>
        </w:rPr>
        <w:t>‘</w:t>
      </w:r>
      <w:r w:rsidR="0702B3F5" w:rsidRPr="00FB7604">
        <w:rPr>
          <w:rFonts w:eastAsia="Calibri"/>
          <w:i/>
          <w:sz w:val="22"/>
          <w:szCs w:val="22"/>
          <w:lang w:eastAsia="en-US"/>
        </w:rPr>
        <w:t>la Sala considera necesario reiterar que el régimen tarifario, conforme a lo dispuesto por el artículo 367 de la Carta Política, debe consultar no sólo criterios de costos sino también de solidaridad, y que, según el artículo 73 de la Ley 142 de 1994, las comisiones de Regulación tienen como finalidad promover la libre competencia y regular los monopolios, en orden a una prestación eficiente de los servicios públicos. En cumplimiento de esos objetivos, tales órganos deben asegurar la calidad de los servicios, evitar conductas arbitrarias de los prestadores del servicio y defender los derechos de los usuarios.</w:t>
      </w:r>
    </w:p>
    <w:p w14:paraId="02939AB0" w14:textId="6755A9ED" w:rsidR="0702B3F5" w:rsidRPr="00FB7604" w:rsidRDefault="0702B3F5" w:rsidP="00C94D29">
      <w:pPr>
        <w:ind w:left="567"/>
        <w:contextualSpacing/>
        <w:jc w:val="both"/>
        <w:rPr>
          <w:rFonts w:eastAsia="Calibri"/>
          <w:i/>
          <w:sz w:val="22"/>
          <w:szCs w:val="22"/>
          <w:lang w:eastAsia="en-US"/>
        </w:rPr>
      </w:pPr>
    </w:p>
    <w:p w14:paraId="2E24F827" w14:textId="27CACC3A" w:rsidR="0702B3F5" w:rsidRPr="00FB7604" w:rsidRDefault="0702B3F5" w:rsidP="00C94D29">
      <w:pPr>
        <w:ind w:left="567"/>
        <w:contextualSpacing/>
        <w:jc w:val="both"/>
        <w:rPr>
          <w:rFonts w:eastAsia="Calibri"/>
          <w:i/>
          <w:sz w:val="22"/>
          <w:szCs w:val="22"/>
          <w:lang w:eastAsia="en-US"/>
        </w:rPr>
      </w:pPr>
      <w:r w:rsidRPr="00FB7604">
        <w:rPr>
          <w:rFonts w:eastAsia="Calibri"/>
          <w:i/>
          <w:sz w:val="22"/>
          <w:szCs w:val="22"/>
          <w:lang w:eastAsia="en-US"/>
        </w:rPr>
        <w:lastRenderedPageBreak/>
        <w:t xml:space="preserve">De acuerdo con lo anterior, para determinar los costos fijos, específicamente en </w:t>
      </w:r>
      <w:r w:rsidR="002142D2">
        <w:rPr>
          <w:rFonts w:eastAsia="Calibri"/>
          <w:i/>
          <w:sz w:val="22"/>
          <w:szCs w:val="22"/>
          <w:lang w:eastAsia="en-US"/>
        </w:rPr>
        <w:t>‘</w:t>
      </w:r>
      <w:r w:rsidRPr="00FB7604">
        <w:rPr>
          <w:rFonts w:eastAsia="Calibri"/>
          <w:i/>
          <w:sz w:val="22"/>
          <w:szCs w:val="22"/>
          <w:lang w:eastAsia="en-US"/>
        </w:rPr>
        <w:t>los demás servicios permanentes</w:t>
      </w:r>
      <w:r w:rsidR="002142D2">
        <w:rPr>
          <w:rFonts w:eastAsia="Calibri"/>
          <w:i/>
          <w:sz w:val="22"/>
          <w:szCs w:val="22"/>
          <w:lang w:eastAsia="en-US"/>
        </w:rPr>
        <w:t>’</w:t>
      </w:r>
      <w:r w:rsidRPr="00FB7604">
        <w:rPr>
          <w:rFonts w:eastAsia="Calibri"/>
          <w:i/>
          <w:sz w:val="22"/>
          <w:szCs w:val="22"/>
          <w:lang w:eastAsia="en-US"/>
        </w:rPr>
        <w:t xml:space="preserve"> de que trata el segundo inciso del artículo 90.2 de la Ley 142 de 1994, las comisiones de Regulación deben tener en cuenta criterios tales como:</w:t>
      </w:r>
    </w:p>
    <w:p w14:paraId="22BE9A4B" w14:textId="1905B268" w:rsidR="0702B3F5" w:rsidRPr="00FB7604" w:rsidRDefault="0702B3F5" w:rsidP="00C94D29">
      <w:pPr>
        <w:ind w:left="567"/>
        <w:contextualSpacing/>
        <w:jc w:val="both"/>
        <w:rPr>
          <w:rFonts w:eastAsia="Calibri"/>
          <w:i/>
          <w:sz w:val="22"/>
          <w:szCs w:val="22"/>
          <w:lang w:eastAsia="en-US"/>
        </w:rPr>
      </w:pPr>
    </w:p>
    <w:p w14:paraId="1FF5D38C" w14:textId="3638860F" w:rsidR="0702B3F5" w:rsidRPr="00FB7604" w:rsidRDefault="0702B3F5" w:rsidP="00C94D29">
      <w:pPr>
        <w:ind w:left="567"/>
        <w:contextualSpacing/>
        <w:jc w:val="both"/>
        <w:rPr>
          <w:rFonts w:eastAsia="Calibri"/>
          <w:i/>
          <w:sz w:val="22"/>
          <w:szCs w:val="22"/>
          <w:lang w:eastAsia="en-US"/>
        </w:rPr>
      </w:pPr>
      <w:r w:rsidRPr="00FB7604">
        <w:rPr>
          <w:rFonts w:eastAsia="Calibri"/>
          <w:i/>
          <w:sz w:val="22"/>
          <w:szCs w:val="22"/>
          <w:lang w:eastAsia="en-US"/>
        </w:rPr>
        <w:t>1. En el momento de realizar la regulación de los costos fijos, no pueden derivar de un mismo hecho varios costos. Es claro que las comisiones no pueden contabilizar dos veces costos tales como la facturación o la medición, toda vez que éstos podrían ser entendidos como los gastos de administración de que habla el segundo inciso del artículo 90.2 de la Ley 142 de 1994.</w:t>
      </w:r>
    </w:p>
    <w:p w14:paraId="735A1D14" w14:textId="0A99EFD0" w:rsidR="0702B3F5" w:rsidRPr="00FB7604" w:rsidRDefault="0702B3F5" w:rsidP="00C94D29">
      <w:pPr>
        <w:ind w:left="567"/>
        <w:contextualSpacing/>
        <w:jc w:val="both"/>
        <w:rPr>
          <w:rFonts w:eastAsia="Calibri"/>
          <w:i/>
          <w:sz w:val="22"/>
          <w:szCs w:val="22"/>
          <w:lang w:eastAsia="en-US"/>
        </w:rPr>
      </w:pPr>
    </w:p>
    <w:p w14:paraId="11F3437D" w14:textId="183C14A6" w:rsidR="0702B3F5" w:rsidRPr="00FB7604" w:rsidRDefault="0702B3F5" w:rsidP="00C94D29">
      <w:pPr>
        <w:ind w:left="567"/>
        <w:contextualSpacing/>
        <w:jc w:val="both"/>
        <w:rPr>
          <w:rFonts w:eastAsia="Calibri"/>
          <w:i/>
          <w:sz w:val="22"/>
          <w:szCs w:val="22"/>
          <w:lang w:eastAsia="en-US"/>
        </w:rPr>
      </w:pPr>
      <w:r w:rsidRPr="00FB7604">
        <w:rPr>
          <w:rFonts w:eastAsia="Calibri"/>
          <w:i/>
          <w:sz w:val="22"/>
          <w:szCs w:val="22"/>
          <w:lang w:eastAsia="en-US"/>
        </w:rPr>
        <w:t>2. Deben valorar y ponderar los intereses de los usuarios. Esto implica el deber de garantizar que los costos fijos constituyan el mínimo esfuerzo para los usuarios.</w:t>
      </w:r>
    </w:p>
    <w:p w14:paraId="7FABF90A" w14:textId="56EB67A7" w:rsidR="0702B3F5" w:rsidRPr="00FB7604" w:rsidRDefault="0702B3F5" w:rsidP="00C94D29">
      <w:pPr>
        <w:ind w:left="567"/>
        <w:contextualSpacing/>
        <w:jc w:val="both"/>
        <w:rPr>
          <w:rFonts w:eastAsia="Calibri"/>
          <w:i/>
          <w:sz w:val="22"/>
          <w:szCs w:val="22"/>
          <w:lang w:eastAsia="en-US"/>
        </w:rPr>
      </w:pPr>
    </w:p>
    <w:p w14:paraId="4D0E2FF6" w14:textId="3D6E68D8" w:rsidR="0702B3F5" w:rsidRPr="00FB7604" w:rsidRDefault="0702B3F5" w:rsidP="00C94D29">
      <w:pPr>
        <w:ind w:left="567"/>
        <w:contextualSpacing/>
        <w:jc w:val="both"/>
        <w:rPr>
          <w:rFonts w:eastAsia="Calibri"/>
          <w:i/>
          <w:sz w:val="22"/>
          <w:szCs w:val="22"/>
          <w:lang w:eastAsia="en-US"/>
        </w:rPr>
      </w:pPr>
      <w:r w:rsidRPr="00FB7604">
        <w:rPr>
          <w:rFonts w:eastAsia="Calibri"/>
          <w:i/>
          <w:sz w:val="22"/>
          <w:szCs w:val="22"/>
          <w:lang w:eastAsia="en-US"/>
        </w:rPr>
        <w:t>3. En el cargo por unidad de consumo es menester que se tenga en cuenta el consumo específico, particularizado y determinable del usuario y del servicio que preste la empresa.</w:t>
      </w:r>
    </w:p>
    <w:p w14:paraId="7AD3BF0B" w14:textId="3C6DAF50" w:rsidR="0702B3F5" w:rsidRPr="00FB7604" w:rsidRDefault="0702B3F5" w:rsidP="00C94D29">
      <w:pPr>
        <w:ind w:left="567"/>
        <w:contextualSpacing/>
        <w:jc w:val="both"/>
        <w:rPr>
          <w:rFonts w:eastAsia="Calibri"/>
          <w:i/>
          <w:sz w:val="22"/>
          <w:szCs w:val="22"/>
          <w:lang w:eastAsia="en-US"/>
        </w:rPr>
      </w:pPr>
    </w:p>
    <w:p w14:paraId="2CC70385" w14:textId="7B87721B" w:rsidR="0702B3F5" w:rsidRPr="00FB7604" w:rsidRDefault="0702B3F5" w:rsidP="00C94D29">
      <w:pPr>
        <w:ind w:left="567"/>
        <w:contextualSpacing/>
        <w:jc w:val="both"/>
        <w:rPr>
          <w:rFonts w:eastAsia="Calibri"/>
          <w:i/>
          <w:sz w:val="22"/>
          <w:szCs w:val="22"/>
          <w:lang w:eastAsia="en-US"/>
        </w:rPr>
      </w:pPr>
      <w:r w:rsidRPr="00FB7604">
        <w:rPr>
          <w:rFonts w:eastAsia="Calibri"/>
          <w:i/>
          <w:sz w:val="22"/>
          <w:szCs w:val="22"/>
          <w:lang w:eastAsia="en-US"/>
        </w:rPr>
        <w:t>4. Los criterios deben estar concretamente definidos, es decir, no pueden ser vagos, generales y excesivamente amplios, sino que deben ser precisos y estrictos.</w:t>
      </w:r>
    </w:p>
    <w:p w14:paraId="78438DA4" w14:textId="3E401B8C" w:rsidR="0702B3F5" w:rsidRPr="00FB7604" w:rsidRDefault="0702B3F5" w:rsidP="00C94D29">
      <w:pPr>
        <w:ind w:left="567"/>
        <w:contextualSpacing/>
        <w:jc w:val="both"/>
        <w:rPr>
          <w:rFonts w:eastAsia="Calibri"/>
          <w:i/>
          <w:sz w:val="22"/>
          <w:szCs w:val="22"/>
          <w:lang w:eastAsia="en-US"/>
        </w:rPr>
      </w:pPr>
    </w:p>
    <w:p w14:paraId="03A66613" w14:textId="0E3D9F8D" w:rsidR="0702B3F5" w:rsidRPr="00FB7604" w:rsidRDefault="0702B3F5" w:rsidP="00C94D29">
      <w:pPr>
        <w:ind w:left="567"/>
        <w:contextualSpacing/>
        <w:jc w:val="both"/>
        <w:rPr>
          <w:rStyle w:val="Refdenotaalpie"/>
          <w:rFonts w:eastAsia="Calibri"/>
          <w:i/>
          <w:sz w:val="22"/>
          <w:szCs w:val="22"/>
          <w:lang w:eastAsia="en-US"/>
        </w:rPr>
      </w:pPr>
      <w:r w:rsidRPr="00FB7604">
        <w:rPr>
          <w:rFonts w:eastAsia="Calibri"/>
          <w:i/>
          <w:sz w:val="22"/>
          <w:szCs w:val="22"/>
          <w:lang w:eastAsia="en-US"/>
        </w:rPr>
        <w:t>5. Resulta absolutamente necesario que las comisiones, antes de hacer la regulación de los costos fijos, escuchen a los usuarios del servicio. La participación directa de los consumidores es relevante para la toma de ese tipo de decisiones. Pero tal deber no se satisface únicamente con la sola participación de voceros o de representantes de los usuarios de los servicios, sino que debe llegar hasta el punto de abrir espacios para que estos últimos de manera directa expongan sus reclamos y sus puntos de vista respecto de los criterios que se van a adoptar.</w:t>
      </w:r>
      <w:r w:rsidR="00756F0F">
        <w:rPr>
          <w:rFonts w:eastAsia="Calibri"/>
          <w:i/>
          <w:sz w:val="22"/>
          <w:szCs w:val="22"/>
          <w:lang w:eastAsia="en-US"/>
        </w:rPr>
        <w:t>’</w:t>
      </w:r>
      <w:r w:rsidRPr="00FB7604">
        <w:rPr>
          <w:rFonts w:eastAsia="Calibri"/>
          <w:i/>
          <w:sz w:val="22"/>
          <w:szCs w:val="22"/>
          <w:lang w:eastAsia="en-US"/>
        </w:rPr>
        <w:t xml:space="preserve"> (Sentencia C-041 de 2003</w:t>
      </w:r>
      <w:r w:rsidRPr="00FB7604">
        <w:rPr>
          <w:rFonts w:eastAsia="Calibri"/>
          <w:i/>
          <w:iCs/>
          <w:sz w:val="22"/>
          <w:szCs w:val="22"/>
          <w:lang w:eastAsia="en-US"/>
        </w:rPr>
        <w:t>)”</w:t>
      </w:r>
      <w:r w:rsidRPr="00FB7604">
        <w:rPr>
          <w:rStyle w:val="Refdenotaalpie"/>
          <w:rFonts w:eastAsia="Calibri"/>
          <w:i/>
          <w:sz w:val="22"/>
          <w:szCs w:val="22"/>
          <w:lang w:eastAsia="en-US"/>
        </w:rPr>
        <w:footnoteReference w:id="3"/>
      </w:r>
    </w:p>
    <w:p w14:paraId="229AA88B" w14:textId="77777777" w:rsidR="0038341E" w:rsidRDefault="0038341E" w:rsidP="00C94D29">
      <w:pPr>
        <w:widowControl w:val="0"/>
        <w:contextualSpacing/>
        <w:jc w:val="both"/>
        <w:rPr>
          <w:rFonts w:eastAsia="Arial" w:cs="Arial"/>
          <w:lang w:eastAsia="en-US"/>
        </w:rPr>
      </w:pPr>
    </w:p>
    <w:p w14:paraId="04491103" w14:textId="2481CCCD" w:rsidR="003232D0" w:rsidRPr="00B66211" w:rsidRDefault="00C92722" w:rsidP="00C94D29">
      <w:pPr>
        <w:widowControl w:val="0"/>
        <w:contextualSpacing/>
        <w:jc w:val="both"/>
        <w:rPr>
          <w:rFonts w:eastAsia="Arial" w:cs="Arial"/>
          <w:lang w:eastAsia="en-US"/>
        </w:rPr>
      </w:pPr>
      <w:r w:rsidRPr="00B66211">
        <w:rPr>
          <w:rFonts w:eastAsia="Arial" w:cs="Arial"/>
          <w:lang w:eastAsia="en-US"/>
        </w:rPr>
        <w:t xml:space="preserve">De conformidad con lo establecido </w:t>
      </w:r>
      <w:r w:rsidRPr="00AB20FE">
        <w:rPr>
          <w:rFonts w:eastAsia="Arial" w:cs="Arial"/>
          <w:lang w:eastAsia="en-US"/>
        </w:rPr>
        <w:t>en el artículo 126 de la Ley 142 de 1994</w:t>
      </w:r>
      <w:r w:rsidRPr="00B66211">
        <w:rPr>
          <w:rFonts w:eastAsia="Arial" w:cs="Arial"/>
          <w:lang w:eastAsia="en-US"/>
        </w:rPr>
        <w:t xml:space="preserve">, </w:t>
      </w:r>
      <w:r w:rsidR="00F80C9C">
        <w:rPr>
          <w:rFonts w:eastAsia="Arial" w:cs="Arial"/>
          <w:lang w:eastAsia="en-US"/>
        </w:rPr>
        <w:t xml:space="preserve">modificado por el artículo 52 de la Ley 2099 de 2021, </w:t>
      </w:r>
      <w:r w:rsidR="7E02E089" w:rsidRPr="4C5036EE">
        <w:rPr>
          <w:rFonts w:eastAsia="Arial" w:cs="Arial"/>
          <w:lang w:eastAsia="en-US"/>
        </w:rPr>
        <w:t>l</w:t>
      </w:r>
      <w:r w:rsidR="7E02E089" w:rsidRPr="4C5036EE">
        <w:rPr>
          <w:rFonts w:eastAsia="Bookman Old Style" w:cs="Bookman Old Style"/>
        </w:rPr>
        <w:t>as</w:t>
      </w:r>
      <w:r w:rsidR="7E02E089" w:rsidRPr="552C8F84">
        <w:rPr>
          <w:rFonts w:eastAsia="Bookman Old Style" w:cs="Bookman Old Style"/>
        </w:rPr>
        <w:t xml:space="preserve"> fórmulas tarifarias tendrán una vigencia de cinco años, salvo que antes haya acuerdo entre la empresa de servicios públicos y la </w:t>
      </w:r>
      <w:r w:rsidR="7E02E089" w:rsidRPr="31BF86B4">
        <w:rPr>
          <w:rFonts w:eastAsia="Bookman Old Style" w:cs="Bookman Old Style"/>
        </w:rPr>
        <w:t>Comisión</w:t>
      </w:r>
      <w:r w:rsidR="00EE6AAD">
        <w:rPr>
          <w:rFonts w:eastAsia="Bookman Old Style" w:cs="Bookman Old Style"/>
        </w:rPr>
        <w:t>,</w:t>
      </w:r>
      <w:r w:rsidR="7E02E089" w:rsidRPr="552C8F84">
        <w:rPr>
          <w:rFonts w:eastAsia="Bookman Old Style" w:cs="Bookman Old Style"/>
        </w:rPr>
        <w:t xml:space="preserve"> para modificarlas o prorrogarlas por un período igual</w:t>
      </w:r>
      <w:r w:rsidR="00EE6AAD">
        <w:rPr>
          <w:rFonts w:eastAsia="Bookman Old Style" w:cs="Bookman Old Style"/>
        </w:rPr>
        <w:t xml:space="preserve">. </w:t>
      </w:r>
      <w:r w:rsidR="00F80C9C" w:rsidRPr="00F80C9C">
        <w:rPr>
          <w:rFonts w:eastAsia="Bookman Old Style" w:cs="Bookman Old Style"/>
        </w:rPr>
        <w:t>Excepcionalmente podrán modificarse en cualquier tiempo, de oficio o a petición de parte; cuando sea evidente que se cometieron graves errores en su cálculo, se lesionan injustamente los intereses de los usuarios o de la empresa;</w:t>
      </w:r>
      <w:r w:rsidR="00F80C9C">
        <w:rPr>
          <w:rFonts w:eastAsia="Bookman Old Style" w:cs="Bookman Old Style"/>
        </w:rPr>
        <w:t xml:space="preserve"> </w:t>
      </w:r>
      <w:r w:rsidR="00F80C9C" w:rsidRPr="00F80C9C">
        <w:rPr>
          <w:rFonts w:eastAsia="Bookman Old Style" w:cs="Bookman Old Style"/>
        </w:rPr>
        <w:t>o que ha habido razones de caso fortuito o fuerza mayor que comprometen en forma grave la capacidad financiera de la empresa para continuar prestando el servicio en las</w:t>
      </w:r>
      <w:r w:rsidR="00F80C9C">
        <w:rPr>
          <w:rFonts w:eastAsia="Bookman Old Style" w:cs="Bookman Old Style"/>
        </w:rPr>
        <w:t xml:space="preserve"> </w:t>
      </w:r>
      <w:r w:rsidR="00F80C9C" w:rsidRPr="00F80C9C">
        <w:rPr>
          <w:rFonts w:eastAsia="Bookman Old Style" w:cs="Bookman Old Style"/>
        </w:rPr>
        <w:t>condiciones tarifarias previstas.</w:t>
      </w:r>
      <w:r w:rsidR="00F80C9C">
        <w:rPr>
          <w:rFonts w:eastAsia="Bookman Old Style" w:cs="Bookman Old Style"/>
        </w:rPr>
        <w:t xml:space="preserve"> </w:t>
      </w:r>
      <w:r w:rsidR="00EE6AAD">
        <w:rPr>
          <w:rFonts w:eastAsia="Bookman Old Style" w:cs="Bookman Old Style"/>
        </w:rPr>
        <w:t>U</w:t>
      </w:r>
      <w:r w:rsidR="7E02E089" w:rsidRPr="78983828">
        <w:rPr>
          <w:rFonts w:eastAsia="Bookman Old Style" w:cs="Bookman Old Style"/>
        </w:rPr>
        <w:t xml:space="preserve">na vez </w:t>
      </w:r>
      <w:r w:rsidRPr="00B66211">
        <w:rPr>
          <w:rFonts w:eastAsia="Arial" w:cs="Arial"/>
          <w:lang w:eastAsia="en-US"/>
        </w:rPr>
        <w:t xml:space="preserve">vencido el período de vigencia de las fórmulas tarifarias, </w:t>
      </w:r>
      <w:r w:rsidR="003207F5" w:rsidRPr="00B66211">
        <w:rPr>
          <w:rFonts w:eastAsia="Arial" w:cs="Arial"/>
          <w:lang w:eastAsia="en-US"/>
        </w:rPr>
        <w:t>e</w:t>
      </w:r>
      <w:r w:rsidRPr="00B66211">
        <w:rPr>
          <w:rFonts w:eastAsia="Arial" w:cs="Arial"/>
          <w:lang w:eastAsia="en-US"/>
        </w:rPr>
        <w:t xml:space="preserve">stas continuarán rigiendo mientras la </w:t>
      </w:r>
      <w:r w:rsidR="544D3CA8" w:rsidRPr="2B97345D">
        <w:rPr>
          <w:rFonts w:eastAsia="Arial" w:cs="Arial"/>
          <w:lang w:eastAsia="en-US"/>
        </w:rPr>
        <w:t>C</w:t>
      </w:r>
      <w:r w:rsidR="4EEBA691" w:rsidRPr="2B97345D">
        <w:rPr>
          <w:rFonts w:eastAsia="Arial" w:cs="Arial"/>
          <w:lang w:eastAsia="en-US"/>
        </w:rPr>
        <w:t>omisión</w:t>
      </w:r>
      <w:r w:rsidRPr="00B66211">
        <w:rPr>
          <w:rFonts w:eastAsia="Arial" w:cs="Arial"/>
          <w:lang w:eastAsia="en-US"/>
        </w:rPr>
        <w:t xml:space="preserve"> no fije las nuevas.</w:t>
      </w:r>
    </w:p>
    <w:p w14:paraId="5F6D5F60" w14:textId="77777777" w:rsidR="003232D0" w:rsidRPr="00B66211" w:rsidRDefault="003232D0" w:rsidP="00C94D29">
      <w:pPr>
        <w:widowControl w:val="0"/>
        <w:contextualSpacing/>
        <w:jc w:val="both"/>
        <w:rPr>
          <w:rFonts w:eastAsia="Arial" w:cs="Arial"/>
          <w:lang w:eastAsia="en-US"/>
        </w:rPr>
      </w:pPr>
    </w:p>
    <w:p w14:paraId="3C51028B" w14:textId="15575D4C" w:rsidR="00C92722" w:rsidRPr="00B66211" w:rsidRDefault="00C92722" w:rsidP="00C94D29">
      <w:pPr>
        <w:widowControl w:val="0"/>
        <w:contextualSpacing/>
        <w:jc w:val="both"/>
        <w:rPr>
          <w:rFonts w:eastAsia="Arial" w:cs="Arial"/>
          <w:lang w:eastAsia="en-US"/>
        </w:rPr>
      </w:pPr>
      <w:r w:rsidRPr="00B66211">
        <w:rPr>
          <w:rFonts w:eastAsia="Arial" w:cs="Arial"/>
          <w:lang w:eastAsia="en-US"/>
        </w:rPr>
        <w:t>El artículo 127 de la Ley 142 de 1994 dispone que</w:t>
      </w:r>
      <w:r w:rsidR="00C73F39" w:rsidRPr="00B66211">
        <w:rPr>
          <w:rFonts w:eastAsia="Arial" w:cs="Arial"/>
          <w:lang w:eastAsia="en-US"/>
        </w:rPr>
        <w:t>,</w:t>
      </w:r>
      <w:r w:rsidRPr="00B66211">
        <w:rPr>
          <w:rFonts w:eastAsia="Arial" w:cs="Arial"/>
          <w:lang w:eastAsia="en-US"/>
        </w:rPr>
        <w:t xml:space="preserve"> antes de doce meses de la fecha prevista para que termine la vigencia de las fórmulas tarifarias, la </w:t>
      </w:r>
      <w:r w:rsidR="61104DD6" w:rsidRPr="5E840FFB">
        <w:rPr>
          <w:rFonts w:eastAsia="Arial" w:cs="Arial"/>
          <w:lang w:eastAsia="en-US"/>
        </w:rPr>
        <w:t>C</w:t>
      </w:r>
      <w:r w:rsidR="17ED49BE" w:rsidRPr="5E840FFB">
        <w:rPr>
          <w:rFonts w:eastAsia="Arial" w:cs="Arial"/>
          <w:lang w:eastAsia="en-US"/>
        </w:rPr>
        <w:t>omisión</w:t>
      </w:r>
      <w:r w:rsidRPr="00B66211">
        <w:rPr>
          <w:rFonts w:eastAsia="Arial" w:cs="Arial"/>
          <w:lang w:eastAsia="en-US"/>
        </w:rPr>
        <w:t xml:space="preserve"> deberá poner en conocimiento de las empresas de servicios públicos las bases sobre las cuales efectuará el estudio para determinar las fórmulas del período siguiente.</w:t>
      </w:r>
    </w:p>
    <w:p w14:paraId="0BD81995" w14:textId="77777777" w:rsidR="003232D0" w:rsidRPr="00B66211" w:rsidRDefault="003232D0" w:rsidP="00C94D29">
      <w:pPr>
        <w:widowControl w:val="0"/>
        <w:contextualSpacing/>
        <w:jc w:val="both"/>
        <w:rPr>
          <w:rFonts w:eastAsia="Arial" w:cs="Arial"/>
          <w:lang w:eastAsia="en-US"/>
        </w:rPr>
      </w:pPr>
    </w:p>
    <w:p w14:paraId="1E6C7AD9" w14:textId="3A8D7ACE" w:rsidR="00C92722" w:rsidRPr="00B66211" w:rsidRDefault="00045291" w:rsidP="00C94D29">
      <w:pPr>
        <w:contextualSpacing/>
        <w:jc w:val="both"/>
        <w:rPr>
          <w:rFonts w:eastAsia="Calibri"/>
          <w:i/>
          <w:lang w:val="es-MX" w:eastAsia="en-US"/>
        </w:rPr>
      </w:pPr>
      <w:r w:rsidRPr="00B66211">
        <w:rPr>
          <w:rFonts w:eastAsia="Calibri"/>
          <w:lang w:val="es-MX" w:eastAsia="en-US"/>
        </w:rPr>
        <w:t>E</w:t>
      </w:r>
      <w:r w:rsidR="00C92722" w:rsidRPr="00B66211">
        <w:rPr>
          <w:rFonts w:eastAsia="Calibri"/>
          <w:lang w:val="es-MX" w:eastAsia="en-US"/>
        </w:rPr>
        <w:t xml:space="preserve">l literal f) del artículo 3 de la Ley 143 de 1994 estableció que corresponde al Estado </w:t>
      </w:r>
      <w:r w:rsidR="00C92722" w:rsidRPr="00B66211">
        <w:rPr>
          <w:rFonts w:eastAsia="Calibri"/>
          <w:i/>
          <w:lang w:val="es-MX" w:eastAsia="en-US"/>
        </w:rPr>
        <w:t>“alcanzar una cobertura en los servicios de electricidad a las diferentes regiones y sectores del país, que garantice la satisfacción de las necesidades básicas de los usuarios de los estratos 1, 2 y 3 y los de menores recursos del área rural, a través de los diversos agentes públicos y privados que presten el servicio”.</w:t>
      </w:r>
    </w:p>
    <w:p w14:paraId="429136DA" w14:textId="77777777" w:rsidR="003232D0" w:rsidRPr="00B66211" w:rsidRDefault="003232D0" w:rsidP="00C94D29">
      <w:pPr>
        <w:contextualSpacing/>
        <w:jc w:val="both"/>
        <w:rPr>
          <w:rFonts w:eastAsia="Calibri"/>
          <w:i/>
          <w:lang w:val="es-MX" w:eastAsia="en-US"/>
        </w:rPr>
      </w:pPr>
    </w:p>
    <w:p w14:paraId="42B194A6" w14:textId="57F21219" w:rsidR="00C92722" w:rsidRPr="00B66211" w:rsidRDefault="00C92722" w:rsidP="00C94D29">
      <w:pPr>
        <w:widowControl w:val="0"/>
        <w:contextualSpacing/>
        <w:jc w:val="both"/>
        <w:rPr>
          <w:rFonts w:eastAsia="Arial" w:cs="Arial"/>
          <w:lang w:eastAsia="en-US"/>
        </w:rPr>
      </w:pPr>
      <w:r w:rsidRPr="00B66211">
        <w:rPr>
          <w:rFonts w:eastAsia="Arial" w:cs="Arial"/>
          <w:lang w:eastAsia="en-US"/>
        </w:rPr>
        <w:t>El artículo 6 de la Ley 143 de 1994 establece, entre otros aspectos, que las actividades relacionadas con el servicio de electricidad se regirán por principios de eficiencia, calidad, continuidad, adaptabilidad, neutralidad, solidaridad y equidad.</w:t>
      </w:r>
    </w:p>
    <w:p w14:paraId="7CAD3F2A" w14:textId="77777777" w:rsidR="003232D0" w:rsidRPr="00B66211" w:rsidRDefault="003232D0" w:rsidP="00C94D29">
      <w:pPr>
        <w:widowControl w:val="0"/>
        <w:contextualSpacing/>
        <w:jc w:val="both"/>
        <w:rPr>
          <w:rFonts w:eastAsia="Arial" w:cs="Arial"/>
          <w:lang w:eastAsia="en-US"/>
        </w:rPr>
      </w:pPr>
    </w:p>
    <w:p w14:paraId="743C8CCF" w14:textId="3CC04686" w:rsidR="00C92722" w:rsidRPr="00B66211" w:rsidRDefault="00C92722" w:rsidP="00C94D29">
      <w:pPr>
        <w:widowControl w:val="0"/>
        <w:contextualSpacing/>
        <w:jc w:val="both"/>
        <w:rPr>
          <w:rFonts w:eastAsia="Arial" w:cs="Arial"/>
          <w:lang w:eastAsia="en-US"/>
        </w:rPr>
      </w:pPr>
      <w:r w:rsidRPr="00B66211">
        <w:rPr>
          <w:rFonts w:eastAsia="Arial" w:cs="Arial"/>
          <w:lang w:eastAsia="en-US"/>
        </w:rPr>
        <w:t>La Ley 697 de 2001 establece que el Ministerio de Minas y Energía formulará los lineamientos de las políticas, estrategias e instrumentos para el fomento y la promoción de las fuentes no convencionales de energía, con prelación en las zonas no interconectadas.</w:t>
      </w:r>
    </w:p>
    <w:p w14:paraId="375E595F" w14:textId="77777777" w:rsidR="003232D0" w:rsidRPr="00B66211" w:rsidRDefault="003232D0" w:rsidP="00C94D29">
      <w:pPr>
        <w:widowControl w:val="0"/>
        <w:contextualSpacing/>
        <w:jc w:val="both"/>
        <w:rPr>
          <w:rFonts w:eastAsia="Arial" w:cs="Arial"/>
          <w:lang w:eastAsia="en-US"/>
        </w:rPr>
      </w:pPr>
    </w:p>
    <w:p w14:paraId="51F2E320" w14:textId="3997716C" w:rsidR="00C92722" w:rsidRPr="0061221C" w:rsidRDefault="00C92722" w:rsidP="00C94D29">
      <w:pPr>
        <w:widowControl w:val="0"/>
        <w:contextualSpacing/>
        <w:jc w:val="both"/>
        <w:rPr>
          <w:rFonts w:eastAsia="Arial" w:cs="Arial"/>
          <w:i/>
          <w:lang w:eastAsia="en-US"/>
        </w:rPr>
      </w:pPr>
      <w:r w:rsidRPr="0061221C">
        <w:rPr>
          <w:rFonts w:eastAsia="Arial" w:cs="Arial"/>
          <w:lang w:eastAsia="en-US"/>
        </w:rPr>
        <w:t>El artículo 1 de la Ley 855 de 2003 establece que</w:t>
      </w:r>
      <w:r w:rsidRPr="0061221C">
        <w:rPr>
          <w:rFonts w:eastAsia="Arial" w:cs="Arial"/>
          <w:i/>
          <w:lang w:eastAsia="en-US"/>
        </w:rPr>
        <w:t xml:space="preserve"> “para todos los efectos relacionados con la prestación del servicio público de energía eléctrica se entiende por Zonas No Interconectadas a los municipios, corregimientos, localidades y caseríos no conectadas al Sistema Interconectado Nacional, SIN”.</w:t>
      </w:r>
    </w:p>
    <w:p w14:paraId="01E702E5" w14:textId="77777777" w:rsidR="003232D0" w:rsidRPr="00B66211" w:rsidRDefault="003232D0" w:rsidP="00C94D29">
      <w:pPr>
        <w:widowControl w:val="0"/>
        <w:contextualSpacing/>
        <w:jc w:val="both"/>
        <w:rPr>
          <w:rFonts w:eastAsia="Arial" w:cs="Arial"/>
          <w:i/>
          <w:lang w:eastAsia="en-US"/>
        </w:rPr>
      </w:pPr>
    </w:p>
    <w:p w14:paraId="6E001B43" w14:textId="1E5A130C" w:rsidR="00C92722" w:rsidRPr="00B66211" w:rsidRDefault="00C92722" w:rsidP="00C94D29">
      <w:pPr>
        <w:widowControl w:val="0"/>
        <w:contextualSpacing/>
        <w:jc w:val="both"/>
        <w:rPr>
          <w:rFonts w:eastAsia="Arial" w:cs="Arial"/>
          <w:lang w:eastAsia="en-US"/>
        </w:rPr>
      </w:pPr>
      <w:r w:rsidRPr="00B66211">
        <w:rPr>
          <w:rFonts w:eastAsia="Arial" w:cs="Arial"/>
          <w:lang w:eastAsia="en-US"/>
        </w:rPr>
        <w:t>De acuerdo con el parágrafo 1 del artículo 1 de la Ley 855 de 2003, las áreas geográficas que puedan interconectarse al SIN se excluirán de las ZNI una vez se surtan los trámites correspondientes ante esta Comisión.</w:t>
      </w:r>
    </w:p>
    <w:p w14:paraId="005404CA" w14:textId="77777777" w:rsidR="003232D0" w:rsidRPr="00B66211" w:rsidRDefault="003232D0" w:rsidP="00C94D29">
      <w:pPr>
        <w:widowControl w:val="0"/>
        <w:contextualSpacing/>
        <w:jc w:val="both"/>
        <w:rPr>
          <w:rFonts w:eastAsia="Arial" w:cs="Arial"/>
          <w:lang w:eastAsia="en-US"/>
        </w:rPr>
      </w:pPr>
    </w:p>
    <w:p w14:paraId="1522D4F9" w14:textId="00997B5F" w:rsidR="00C92722" w:rsidRPr="00B66211" w:rsidRDefault="00C92722" w:rsidP="00C94D29">
      <w:pPr>
        <w:widowControl w:val="0"/>
        <w:contextualSpacing/>
        <w:jc w:val="both"/>
        <w:rPr>
          <w:rFonts w:eastAsia="Arial" w:cs="Arial"/>
          <w:lang w:eastAsia="en-US"/>
        </w:rPr>
      </w:pPr>
      <w:r w:rsidRPr="00B66211">
        <w:rPr>
          <w:rFonts w:eastAsia="Arial" w:cs="Arial"/>
          <w:lang w:eastAsia="en-US"/>
        </w:rPr>
        <w:t>La Resolución CREG 091 de 2007, que entró en vigencia el 24 de febrero de 2008, estableció las metodologías generales para remunerar las actividades de generación, distribución y comercialización de energía eléctrica, y las fórmulas tarifarias generales para establecer el costo unitario de prestación del servicio público de energía eléctrica en zonas no interconectadas.</w:t>
      </w:r>
    </w:p>
    <w:p w14:paraId="0D142C81" w14:textId="77777777" w:rsidR="00A5035B" w:rsidRPr="00B66211" w:rsidRDefault="00A5035B" w:rsidP="00C94D29">
      <w:pPr>
        <w:widowControl w:val="0"/>
        <w:contextualSpacing/>
        <w:jc w:val="both"/>
        <w:rPr>
          <w:rFonts w:eastAsia="Arial" w:cs="Arial"/>
          <w:lang w:eastAsia="en-US"/>
        </w:rPr>
      </w:pPr>
    </w:p>
    <w:p w14:paraId="74512334" w14:textId="7E2B4D00" w:rsidR="00C92722" w:rsidRPr="00B66211" w:rsidRDefault="00C92722" w:rsidP="00C94D29">
      <w:pPr>
        <w:widowControl w:val="0"/>
        <w:contextualSpacing/>
        <w:jc w:val="both"/>
        <w:rPr>
          <w:rFonts w:eastAsia="Arial" w:cs="Arial"/>
          <w:lang w:eastAsia="en-US"/>
        </w:rPr>
      </w:pPr>
      <w:r w:rsidRPr="00B66211">
        <w:rPr>
          <w:rFonts w:eastAsia="Arial" w:cs="Arial"/>
          <w:lang w:eastAsia="en-US"/>
        </w:rPr>
        <w:t>El Decreto 2696 de 2004 establece los procedimientos a cumplir por parte de la comisión de regulación para la expedición de nuevas fórmulas tarifarias. En especial, el artículo 11.1 ordena que</w:t>
      </w:r>
      <w:r w:rsidR="00D87838">
        <w:rPr>
          <w:rFonts w:eastAsia="Arial" w:cs="Arial"/>
          <w:lang w:eastAsia="en-US"/>
        </w:rPr>
        <w:t>,</w:t>
      </w:r>
      <w:r w:rsidRPr="00B66211">
        <w:rPr>
          <w:rFonts w:eastAsia="Arial" w:cs="Arial"/>
          <w:lang w:eastAsia="en-US"/>
        </w:rPr>
        <w:t xml:space="preserve"> antes de los </w:t>
      </w:r>
      <w:r w:rsidR="0047315E" w:rsidRPr="00B66211">
        <w:rPr>
          <w:rFonts w:eastAsia="Arial" w:cs="Arial"/>
          <w:lang w:eastAsia="en-US"/>
        </w:rPr>
        <w:t>doce (</w:t>
      </w:r>
      <w:r w:rsidRPr="00B66211">
        <w:rPr>
          <w:rFonts w:eastAsia="Arial" w:cs="Arial"/>
          <w:lang w:eastAsia="en-US"/>
        </w:rPr>
        <w:t>12</w:t>
      </w:r>
      <w:r w:rsidR="0047315E" w:rsidRPr="00B66211">
        <w:rPr>
          <w:rFonts w:eastAsia="Arial" w:cs="Arial"/>
          <w:lang w:eastAsia="en-US"/>
        </w:rPr>
        <w:t>)</w:t>
      </w:r>
      <w:r w:rsidRPr="00B66211">
        <w:rPr>
          <w:rFonts w:eastAsia="Arial" w:cs="Arial"/>
          <w:lang w:eastAsia="en-US"/>
        </w:rPr>
        <w:t xml:space="preserve"> meses de la fecha prevista para la terminación de la vigencia de las fórmulas tarifarias, la </w:t>
      </w:r>
      <w:r w:rsidR="00D87838">
        <w:rPr>
          <w:rFonts w:eastAsia="Arial" w:cs="Arial"/>
          <w:lang w:eastAsia="en-US"/>
        </w:rPr>
        <w:t>C</w:t>
      </w:r>
      <w:r w:rsidRPr="00B66211">
        <w:rPr>
          <w:rFonts w:eastAsia="Arial" w:cs="Arial"/>
          <w:lang w:eastAsia="en-US"/>
        </w:rPr>
        <w:t>omisión deberá poner en conocimiento del público las bases sobre las cuales efectuará el estudio para determinar las fórmulas para el período siguiente, debiendo contener dichas bases, como mínimo, la información indicada en el artículo 11.2 del precitado decreto.</w:t>
      </w:r>
    </w:p>
    <w:p w14:paraId="5F14EB10" w14:textId="3C372FF0" w:rsidR="0092492F" w:rsidRPr="00B66211" w:rsidRDefault="0092492F" w:rsidP="00C94D29">
      <w:pPr>
        <w:widowControl w:val="0"/>
        <w:contextualSpacing/>
        <w:jc w:val="both"/>
        <w:rPr>
          <w:rFonts w:eastAsia="Arial" w:cs="Arial"/>
          <w:lang w:eastAsia="en-US"/>
        </w:rPr>
      </w:pPr>
    </w:p>
    <w:p w14:paraId="0D782FE6" w14:textId="321BB8FE" w:rsidR="00D80897" w:rsidRPr="00B66211" w:rsidRDefault="00D80897" w:rsidP="00C94D29">
      <w:pPr>
        <w:widowControl w:val="0"/>
        <w:contextualSpacing/>
        <w:jc w:val="both"/>
        <w:rPr>
          <w:rFonts w:eastAsia="Arial" w:cs="Arial"/>
          <w:lang w:eastAsia="en-US"/>
        </w:rPr>
      </w:pPr>
      <w:r w:rsidRPr="00B66211">
        <w:rPr>
          <w:rFonts w:eastAsia="Arial" w:cs="Arial"/>
          <w:lang w:eastAsia="en-US"/>
        </w:rPr>
        <w:t xml:space="preserve">De conformidad con lo establecido por el artículo 276 de la Ley 1450 de 2011, se mantiene la vigencia del artículo 64 de la Ley 812 de 2003, en el cual se establece: </w:t>
      </w:r>
      <w:r w:rsidRPr="00B66211">
        <w:rPr>
          <w:rFonts w:eastAsia="Arial" w:cs="Arial"/>
          <w:i/>
          <w:lang w:eastAsia="en-US"/>
        </w:rPr>
        <w:t>“las comisiones de regulación desarrollarán, en un término de seis meses a partir de la vigencia de esta ley, la regulación necesaria para incluir esquemas diferenciales de prestación del servicio en generación, distribución, comercialización, calidad, continuidad y atención del servicio en las zonas no interconectadas, territorios insulares, barrios subnormales, áreas rurales de menor desarrollo, y comunidades de difícil gestión. Se podrán desarrollar esquemas de medición y facturación comunitaria, utilizar proyecciones de consumos para facturación, esquemas de pagos anticipados de servicio, y períodos flexibles de facturación”.</w:t>
      </w:r>
    </w:p>
    <w:p w14:paraId="6FE9EFED" w14:textId="79CCA672" w:rsidR="00D76BE2" w:rsidRPr="00C45936" w:rsidRDefault="00D76BE2" w:rsidP="003D7273">
      <w:pPr>
        <w:jc w:val="both"/>
        <w:rPr>
          <w:rFonts w:eastAsia="Bookman Old Style"/>
        </w:rPr>
      </w:pPr>
      <w:r w:rsidRPr="00C45936">
        <w:rPr>
          <w:rFonts w:eastAsia="Bookman Old Style"/>
        </w:rPr>
        <w:t xml:space="preserve">Mediante la Resolución CREG 096 de 2004 se modifica la Resolución CREG 108 de 1997 y se </w:t>
      </w:r>
      <w:r w:rsidRPr="00C45936">
        <w:rPr>
          <w:rFonts w:eastAsia="Bookman Old Style"/>
          <w:lang w:val="es-MX"/>
        </w:rPr>
        <w:t>dictan disposiciones sobre el sistema de comercialización prepago</w:t>
      </w:r>
      <w:r w:rsidRPr="00C45936">
        <w:rPr>
          <w:rFonts w:eastAsia="Bookman Old Style"/>
        </w:rPr>
        <w:t>. Dichas condiciones son aplicables a la prestación del servicio de energía eléctrica a usuarios finales de nivel de tensión 1, tanto del Sistema Interconectado Nacional como de las Zonas No Interconectadas.</w:t>
      </w:r>
    </w:p>
    <w:p w14:paraId="108D7561" w14:textId="77777777" w:rsidR="003D7273" w:rsidRPr="00C45936" w:rsidRDefault="003D7273" w:rsidP="00D76BE2">
      <w:pPr>
        <w:rPr>
          <w:rFonts w:eastAsia="Bookman Old Style"/>
        </w:rPr>
      </w:pPr>
    </w:p>
    <w:p w14:paraId="7CA6580C" w14:textId="08FCDE0B" w:rsidR="00D76BE2" w:rsidRPr="00C45936" w:rsidRDefault="00D76BE2" w:rsidP="003D7273">
      <w:pPr>
        <w:jc w:val="both"/>
        <w:rPr>
          <w:rFonts w:eastAsia="Bookman Old Style"/>
          <w:lang w:val="es-MX"/>
        </w:rPr>
      </w:pPr>
      <w:r w:rsidRPr="00C45936">
        <w:rPr>
          <w:rFonts w:eastAsia="Bookman Old Style"/>
        </w:rPr>
        <w:t xml:space="preserve">En relación con la determinación </w:t>
      </w:r>
      <w:r w:rsidRPr="00C45936">
        <w:rPr>
          <w:rFonts w:eastAsia="Bookman Old Style"/>
          <w:lang w:val="es-MX"/>
        </w:rPr>
        <w:t>de la cantidad de energía eléctrica a que tiene derecho el suscriptor o usuario en el sistema de comercialización prepago,</w:t>
      </w:r>
      <w:r w:rsidR="00FF667E">
        <w:rPr>
          <w:rFonts w:eastAsia="Bookman Old Style"/>
          <w:lang w:val="es-MX"/>
        </w:rPr>
        <w:t xml:space="preserve"> </w:t>
      </w:r>
      <w:r w:rsidR="00C919C6">
        <w:rPr>
          <w:rFonts w:eastAsia="Bookman Old Style"/>
          <w:lang w:val="es-MX"/>
        </w:rPr>
        <w:t xml:space="preserve">el artículo 1 de </w:t>
      </w:r>
      <w:r w:rsidR="00FF667E" w:rsidRPr="00C45936">
        <w:rPr>
          <w:rFonts w:eastAsia="Bookman Old Style"/>
          <w:lang w:val="es-MX"/>
        </w:rPr>
        <w:t>la Resolución CREG 046 de 2012</w:t>
      </w:r>
      <w:r w:rsidR="00FF667E">
        <w:rPr>
          <w:rFonts w:eastAsia="Bookman Old Style"/>
          <w:lang w:val="es-MX"/>
        </w:rPr>
        <w:t>, por la cual se modifica</w:t>
      </w:r>
      <w:r w:rsidRPr="00C45936">
        <w:rPr>
          <w:rFonts w:eastAsia="Bookman Old Style"/>
          <w:lang w:val="es-MX"/>
        </w:rPr>
        <w:t xml:space="preserve"> </w:t>
      </w:r>
      <w:r w:rsidR="00FF667E">
        <w:rPr>
          <w:rFonts w:eastAsia="Bookman Old Style"/>
          <w:lang w:val="es-MX"/>
        </w:rPr>
        <w:t>el artículo 4 de la Resolución CREG 096 de 2004</w:t>
      </w:r>
      <w:r w:rsidRPr="00C45936">
        <w:rPr>
          <w:rFonts w:eastAsia="Bookman Old Style"/>
          <w:lang w:val="es-MX"/>
        </w:rPr>
        <w:t>, dispone que:</w:t>
      </w:r>
    </w:p>
    <w:p w14:paraId="25AA7E79" w14:textId="77777777" w:rsidR="00D76BE2" w:rsidRPr="00C45936" w:rsidRDefault="00D76BE2" w:rsidP="00D76BE2">
      <w:pPr>
        <w:rPr>
          <w:rFonts w:eastAsia="Bookman Old Style"/>
          <w:lang w:val="es-MX"/>
        </w:rPr>
      </w:pPr>
    </w:p>
    <w:p w14:paraId="148CB56E" w14:textId="66CEF95F" w:rsidR="00D76BE2" w:rsidRPr="000C7703" w:rsidRDefault="00D76BE2" w:rsidP="00397283">
      <w:pPr>
        <w:ind w:left="426"/>
        <w:jc w:val="both"/>
        <w:rPr>
          <w:rFonts w:eastAsia="Bookman Old Style"/>
          <w:i/>
          <w:iCs/>
          <w:sz w:val="22"/>
          <w:szCs w:val="22"/>
        </w:rPr>
      </w:pPr>
      <w:r w:rsidRPr="000C7703">
        <w:rPr>
          <w:rFonts w:eastAsia="Bookman Old Style"/>
          <w:b/>
          <w:bCs/>
          <w:i/>
          <w:iCs/>
          <w:sz w:val="22"/>
          <w:szCs w:val="22"/>
        </w:rPr>
        <w:t>“ARTÍCULO 1.</w:t>
      </w:r>
      <w:r w:rsidRPr="000C7703">
        <w:rPr>
          <w:rFonts w:eastAsia="Bookman Old Style"/>
          <w:i/>
          <w:iCs/>
          <w:sz w:val="22"/>
          <w:szCs w:val="22"/>
        </w:rPr>
        <w:t xml:space="preserve"> Modificar el artículo 4° de la Resolución CREG 096 de 2004 el cual quedará así:</w:t>
      </w:r>
    </w:p>
    <w:p w14:paraId="6D8207A1" w14:textId="77777777" w:rsidR="000949A5" w:rsidRPr="000C7703" w:rsidRDefault="000949A5" w:rsidP="00397283">
      <w:pPr>
        <w:ind w:left="426"/>
        <w:jc w:val="both"/>
        <w:rPr>
          <w:rFonts w:eastAsia="Bookman Old Style"/>
          <w:b/>
          <w:bCs/>
          <w:i/>
          <w:sz w:val="22"/>
          <w:szCs w:val="22"/>
        </w:rPr>
      </w:pPr>
    </w:p>
    <w:p w14:paraId="7518F42E" w14:textId="0A768FFE" w:rsidR="00D76BE2" w:rsidRPr="000C7703" w:rsidRDefault="00D76BE2" w:rsidP="00397283">
      <w:pPr>
        <w:ind w:left="426"/>
        <w:jc w:val="both"/>
        <w:rPr>
          <w:rFonts w:eastAsia="Bookman Old Style"/>
          <w:i/>
          <w:sz w:val="22"/>
          <w:szCs w:val="22"/>
        </w:rPr>
      </w:pPr>
      <w:r w:rsidRPr="000C7703">
        <w:rPr>
          <w:rFonts w:eastAsia="Bookman Old Style"/>
          <w:b/>
          <w:bCs/>
          <w:i/>
          <w:sz w:val="22"/>
          <w:szCs w:val="22"/>
        </w:rPr>
        <w:t>“ARTÍCULO 4o.</w:t>
      </w:r>
      <w:r w:rsidRPr="000C7703">
        <w:rPr>
          <w:rFonts w:eastAsia="Bookman Old Style"/>
          <w:i/>
          <w:sz w:val="22"/>
          <w:szCs w:val="22"/>
        </w:rPr>
        <w:t xml:space="preserve"> </w:t>
      </w:r>
      <w:r w:rsidRPr="000C7703">
        <w:rPr>
          <w:rFonts w:eastAsia="Bookman Old Style"/>
          <w:b/>
          <w:bCs/>
          <w:i/>
          <w:sz w:val="22"/>
          <w:szCs w:val="22"/>
        </w:rPr>
        <w:t>Determinación de la cantidad de energía eléctrica o gas combustible a que tiene derecho el suscriptor o usuario en el Sistema de Comercialización Prepago</w:t>
      </w:r>
      <w:r w:rsidRPr="000C7703">
        <w:rPr>
          <w:rFonts w:eastAsia="Bookman Old Style"/>
          <w:i/>
          <w:sz w:val="22"/>
          <w:szCs w:val="22"/>
        </w:rPr>
        <w:t>.  La cantidad de energía eléctrica o gas combustible a que tiene derecho el suscriptor o usuario se calculará dividiendo el prepago neto, sobre la tarifa, considerando subsidios o contribuciones, consumo de subsistencia y demás condiciones tarifarias vigentes al momento de la activación del prepago. Dicha cantidad deberá ser informada al usuario en el momento de la activación.  La vigencia del derecho a consumir las cantidades prepagadas no podrá ser inferior a tres meses y deberá ser informada al usuario en el momento del pago.</w:t>
      </w:r>
    </w:p>
    <w:p w14:paraId="229ECF25" w14:textId="77777777" w:rsidR="001873B1" w:rsidRPr="000C7703" w:rsidRDefault="001873B1" w:rsidP="00397283">
      <w:pPr>
        <w:ind w:left="426"/>
        <w:jc w:val="both"/>
        <w:rPr>
          <w:rFonts w:eastAsia="Bookman Old Style"/>
          <w:i/>
          <w:sz w:val="22"/>
          <w:szCs w:val="22"/>
        </w:rPr>
      </w:pPr>
    </w:p>
    <w:p w14:paraId="595C83E4" w14:textId="017ECC7C" w:rsidR="00D76BE2" w:rsidRPr="003733B9" w:rsidRDefault="00D76BE2" w:rsidP="00397283">
      <w:pPr>
        <w:ind w:left="426"/>
        <w:jc w:val="both"/>
        <w:rPr>
          <w:rFonts w:eastAsia="Bookman Old Style"/>
          <w:i/>
          <w:sz w:val="22"/>
          <w:szCs w:val="22"/>
        </w:rPr>
      </w:pPr>
      <w:r w:rsidRPr="000C7703">
        <w:rPr>
          <w:rFonts w:eastAsia="Bookman Old Style"/>
          <w:i/>
          <w:sz w:val="22"/>
          <w:szCs w:val="22"/>
        </w:rPr>
        <w:t>El prepago neto es el que resulta de imputar hasta un 10% del prepago efectuado por el usuario de energía eléctrica para cubrir los valores por concepto del consumo que éste adeude a la empresa. En el caso de gas combustible el prepago neto corresponde al prepago del usuario.”</w:t>
      </w:r>
    </w:p>
    <w:p w14:paraId="79E4DFD8" w14:textId="77777777" w:rsidR="00351967" w:rsidRDefault="00351967" w:rsidP="003D7273">
      <w:pPr>
        <w:widowControl w:val="0"/>
        <w:contextualSpacing/>
        <w:jc w:val="both"/>
        <w:rPr>
          <w:rFonts w:eastAsia="Arial" w:cs="Arial"/>
          <w:lang w:eastAsia="en-US"/>
        </w:rPr>
      </w:pPr>
    </w:p>
    <w:p w14:paraId="67C07E6B" w14:textId="6CEB47FB" w:rsidR="00764100" w:rsidRPr="00B66211" w:rsidRDefault="00C92722" w:rsidP="00C94D29">
      <w:pPr>
        <w:widowControl w:val="0"/>
        <w:contextualSpacing/>
        <w:jc w:val="both"/>
        <w:rPr>
          <w:rFonts w:eastAsia="Arial" w:cs="Arial"/>
          <w:lang w:eastAsia="en-US"/>
        </w:rPr>
      </w:pPr>
      <w:r w:rsidRPr="00B66211">
        <w:rPr>
          <w:rFonts w:eastAsia="Arial" w:cs="Arial"/>
          <w:lang w:eastAsia="en-US"/>
        </w:rPr>
        <w:t xml:space="preserve">En cumplimiento de lo </w:t>
      </w:r>
      <w:r w:rsidR="00E963A6" w:rsidRPr="00B66211">
        <w:rPr>
          <w:rFonts w:eastAsia="Arial" w:cs="Arial"/>
          <w:lang w:eastAsia="en-US"/>
        </w:rPr>
        <w:t>previsto en el Decreto 2696 de 2004</w:t>
      </w:r>
      <w:r w:rsidRPr="00B66211">
        <w:rPr>
          <w:rFonts w:eastAsia="Arial" w:cs="Arial"/>
          <w:lang w:eastAsia="en-US"/>
        </w:rPr>
        <w:t>, la Comisión de Regulación de Energía y Gas sometió a consideración de los agentes, usuarios y terceros interesados</w:t>
      </w:r>
      <w:r w:rsidR="0047315E" w:rsidRPr="00B66211">
        <w:rPr>
          <w:rFonts w:eastAsia="Arial" w:cs="Arial"/>
          <w:lang w:eastAsia="en-US"/>
        </w:rPr>
        <w:t>,</w:t>
      </w:r>
      <w:r w:rsidRPr="00B66211">
        <w:rPr>
          <w:rFonts w:eastAsia="Arial" w:cs="Arial"/>
          <w:lang w:eastAsia="en-US"/>
        </w:rPr>
        <w:t xml:space="preserve"> las bases conceptuales generales contenidas en la Resolución CREG 088 de 2012, con el objeto de establecer la fórmula tarifaria y la remuneración de las actividades de generación, distribución y comercialización del servicio de energía eléctrica en las </w:t>
      </w:r>
      <w:r w:rsidR="0047315E" w:rsidRPr="00B66211">
        <w:rPr>
          <w:rFonts w:eastAsia="Arial" w:cs="Arial"/>
          <w:lang w:eastAsia="en-US"/>
        </w:rPr>
        <w:t>Z</w:t>
      </w:r>
      <w:r w:rsidRPr="00B66211">
        <w:rPr>
          <w:rFonts w:eastAsia="Arial" w:cs="Arial"/>
          <w:lang w:eastAsia="en-US"/>
        </w:rPr>
        <w:t xml:space="preserve">onas </w:t>
      </w:r>
      <w:r w:rsidR="0047315E" w:rsidRPr="00B66211">
        <w:rPr>
          <w:rFonts w:eastAsia="Arial" w:cs="Arial"/>
          <w:lang w:eastAsia="en-US"/>
        </w:rPr>
        <w:t>N</w:t>
      </w:r>
      <w:r w:rsidRPr="00B66211">
        <w:rPr>
          <w:rFonts w:eastAsia="Arial" w:cs="Arial"/>
          <w:lang w:eastAsia="en-US"/>
        </w:rPr>
        <w:t xml:space="preserve">o </w:t>
      </w:r>
      <w:r w:rsidR="0047315E" w:rsidRPr="00B66211">
        <w:rPr>
          <w:rFonts w:eastAsia="Arial" w:cs="Arial"/>
          <w:lang w:eastAsia="en-US"/>
        </w:rPr>
        <w:t>I</w:t>
      </w:r>
      <w:r w:rsidRPr="00B66211">
        <w:rPr>
          <w:rFonts w:eastAsia="Arial" w:cs="Arial"/>
          <w:lang w:eastAsia="en-US"/>
        </w:rPr>
        <w:t>nterconectadas.</w:t>
      </w:r>
    </w:p>
    <w:p w14:paraId="4E0B821D" w14:textId="77777777" w:rsidR="003B0D4D" w:rsidRPr="00B66211" w:rsidRDefault="003B0D4D" w:rsidP="00C94D29">
      <w:pPr>
        <w:widowControl w:val="0"/>
        <w:contextualSpacing/>
        <w:jc w:val="both"/>
        <w:rPr>
          <w:rFonts w:eastAsia="Arial" w:cs="Arial"/>
          <w:lang w:eastAsia="en-US"/>
        </w:rPr>
      </w:pPr>
    </w:p>
    <w:p w14:paraId="419B899F" w14:textId="48C3822E" w:rsidR="003B0D4D" w:rsidRDefault="003B0D4D" w:rsidP="00C94D29">
      <w:pPr>
        <w:widowControl w:val="0"/>
        <w:contextualSpacing/>
        <w:jc w:val="both"/>
        <w:rPr>
          <w:rFonts w:eastAsia="Arial" w:cs="Arial"/>
          <w:lang w:eastAsia="en-US"/>
        </w:rPr>
      </w:pPr>
      <w:r w:rsidRPr="00B66211">
        <w:rPr>
          <w:rFonts w:eastAsia="Arial" w:cs="Arial"/>
          <w:lang w:eastAsia="en-US"/>
        </w:rPr>
        <w:t>Dentro de los aspectos considerados en la</w:t>
      </w:r>
      <w:r w:rsidR="00303702" w:rsidRPr="00B66211">
        <w:rPr>
          <w:rFonts w:eastAsia="Arial" w:cs="Arial"/>
          <w:lang w:eastAsia="en-US"/>
        </w:rPr>
        <w:t>s bases</w:t>
      </w:r>
      <w:r w:rsidR="007A6A73" w:rsidRPr="00B66211">
        <w:rPr>
          <w:rFonts w:eastAsia="Arial" w:cs="Arial"/>
          <w:lang w:eastAsia="en-US"/>
        </w:rPr>
        <w:t xml:space="preserve"> conceptuales</w:t>
      </w:r>
      <w:r w:rsidR="0047315E" w:rsidRPr="00B66211">
        <w:rPr>
          <w:rFonts w:eastAsia="Arial" w:cs="Arial"/>
          <w:lang w:eastAsia="en-US"/>
        </w:rPr>
        <w:t>,</w:t>
      </w:r>
      <w:r w:rsidR="007A6A73" w:rsidRPr="00B66211">
        <w:rPr>
          <w:rFonts w:eastAsia="Arial" w:cs="Arial"/>
          <w:lang w:eastAsia="en-US"/>
        </w:rPr>
        <w:t xml:space="preserve"> </w:t>
      </w:r>
      <w:r w:rsidR="00A95D65" w:rsidRPr="00B66211">
        <w:rPr>
          <w:rFonts w:eastAsia="Arial" w:cs="Arial"/>
          <w:lang w:eastAsia="en-US"/>
        </w:rPr>
        <w:t>esta Comisión indicó que e</w:t>
      </w:r>
      <w:r w:rsidR="00127412" w:rsidRPr="00B66211">
        <w:rPr>
          <w:rFonts w:eastAsia="Arial" w:cs="Arial"/>
          <w:lang w:eastAsia="en-US"/>
        </w:rPr>
        <w:t>l nuevo marco regulatorio tendrá el objetivo de: 1) incentivar una oferta energética eficiente y estable, que permita satisfacer las necesidades de los usuarios</w:t>
      </w:r>
      <w:r w:rsidR="0047315E" w:rsidRPr="00B66211">
        <w:rPr>
          <w:rFonts w:eastAsia="Arial" w:cs="Arial"/>
          <w:lang w:eastAsia="en-US"/>
        </w:rPr>
        <w:t>;</w:t>
      </w:r>
      <w:r w:rsidR="00127412" w:rsidRPr="00B66211">
        <w:rPr>
          <w:rFonts w:eastAsia="Arial" w:cs="Arial"/>
          <w:lang w:eastAsia="en-US"/>
        </w:rPr>
        <w:t xml:space="preserve"> y 2) fomentar el uso de tecnologías de generación que permitan el aprovechamiento de fuentes renovables de energía, en procura de menores costos en la prestación del servicio y de un menor impacto ambiental</w:t>
      </w:r>
      <w:r w:rsidR="001B6F63" w:rsidRPr="00B66211">
        <w:rPr>
          <w:rFonts w:eastAsia="Arial" w:cs="Arial"/>
          <w:lang w:eastAsia="en-US"/>
        </w:rPr>
        <w:t>.</w:t>
      </w:r>
    </w:p>
    <w:p w14:paraId="0F660225" w14:textId="77777777" w:rsidR="004B39AE" w:rsidRPr="00B66211" w:rsidRDefault="004B39AE" w:rsidP="00C94D29">
      <w:pPr>
        <w:widowControl w:val="0"/>
        <w:contextualSpacing/>
        <w:jc w:val="both"/>
        <w:rPr>
          <w:rFonts w:eastAsia="Arial" w:cs="Arial"/>
          <w:lang w:eastAsia="en-US"/>
        </w:rPr>
      </w:pPr>
    </w:p>
    <w:p w14:paraId="5EBECAE0" w14:textId="114B1F09" w:rsidR="00C92722" w:rsidRPr="00B66211" w:rsidRDefault="00C92722" w:rsidP="00C94D29">
      <w:pPr>
        <w:widowControl w:val="0"/>
        <w:contextualSpacing/>
        <w:jc w:val="both"/>
        <w:rPr>
          <w:rFonts w:eastAsia="Arial" w:cs="Arial"/>
          <w:lang w:eastAsia="en-US"/>
        </w:rPr>
      </w:pPr>
      <w:r w:rsidRPr="00B66211">
        <w:rPr>
          <w:rFonts w:eastAsia="Arial" w:cs="Arial"/>
          <w:lang w:eastAsia="en-US"/>
        </w:rPr>
        <w:t>Durante el año 2012</w:t>
      </w:r>
      <w:r w:rsidR="0047315E" w:rsidRPr="00B66211">
        <w:rPr>
          <w:rFonts w:eastAsia="Arial" w:cs="Arial"/>
          <w:lang w:eastAsia="en-US"/>
        </w:rPr>
        <w:t>,</w:t>
      </w:r>
      <w:r w:rsidRPr="00B66211">
        <w:rPr>
          <w:rFonts w:eastAsia="Arial" w:cs="Arial"/>
          <w:lang w:eastAsia="en-US"/>
        </w:rPr>
        <w:t xml:space="preserve"> esta Comisión contrató una serie de estudios que sirvieron como insumo para la elaboración y publicación de la Resolución CREG 004 de 2014, mediante la cual se ordenó hacer público un proyecto de resolución de carácter general por el cual se establece la fórmula tarifaria y las metodologías generales para remunerar las actividades de generación, distribución y comercialización del servicio de energía eléctrica en las </w:t>
      </w:r>
      <w:r w:rsidR="0047315E" w:rsidRPr="00B66211">
        <w:rPr>
          <w:rFonts w:eastAsia="Arial" w:cs="Arial"/>
          <w:lang w:eastAsia="en-US"/>
        </w:rPr>
        <w:t>Z</w:t>
      </w:r>
      <w:r w:rsidRPr="00B66211">
        <w:rPr>
          <w:rFonts w:eastAsia="Arial" w:cs="Arial"/>
          <w:lang w:eastAsia="en-US"/>
        </w:rPr>
        <w:t xml:space="preserve">onas </w:t>
      </w:r>
      <w:r w:rsidR="0047315E" w:rsidRPr="00B66211">
        <w:rPr>
          <w:rFonts w:eastAsia="Arial" w:cs="Arial"/>
          <w:lang w:eastAsia="en-US"/>
        </w:rPr>
        <w:t>N</w:t>
      </w:r>
      <w:r w:rsidRPr="00B66211">
        <w:rPr>
          <w:rFonts w:eastAsia="Arial" w:cs="Arial"/>
          <w:lang w:eastAsia="en-US"/>
        </w:rPr>
        <w:t xml:space="preserve">o </w:t>
      </w:r>
      <w:r w:rsidR="0047315E" w:rsidRPr="00B66211">
        <w:rPr>
          <w:rFonts w:eastAsia="Arial" w:cs="Arial"/>
          <w:lang w:eastAsia="en-US"/>
        </w:rPr>
        <w:t>I</w:t>
      </w:r>
      <w:r w:rsidRPr="00B66211">
        <w:rPr>
          <w:rFonts w:eastAsia="Arial" w:cs="Arial"/>
          <w:lang w:eastAsia="en-US"/>
        </w:rPr>
        <w:t>nterconectadas, ZNI.</w:t>
      </w:r>
    </w:p>
    <w:p w14:paraId="574BFFEA" w14:textId="77777777" w:rsidR="00C92722" w:rsidRPr="00FB7604" w:rsidRDefault="00C92722" w:rsidP="00C94D29">
      <w:pPr>
        <w:contextualSpacing/>
        <w:jc w:val="both"/>
        <w:rPr>
          <w:rFonts w:cs="Arial"/>
        </w:rPr>
      </w:pPr>
      <w:r w:rsidRPr="00FB7604">
        <w:rPr>
          <w:rFonts w:eastAsia="Calibri"/>
          <w:spacing w:val="-3"/>
        </w:rPr>
        <w:t>El artículo 2.2.3.2.2.8 del Decreto 1073 de 2015 señala que el Ministerio de Minas y Energía podrá “</w:t>
      </w:r>
      <w:r w:rsidRPr="00FB7604">
        <w:rPr>
          <w:rFonts w:eastAsia="Calibri"/>
          <w:i/>
          <w:spacing w:val="-3"/>
        </w:rPr>
        <w:t>promover, establecer o acordar, de manera directa o a través de sus entidades adscritas delegadas para ello, esquemas diferenciales de prestación del servicio público domiciliario de energía eléctrica, para las zonas en las que se pretenda expandir la cobertura del servicio tanto en el SIN como en las ZNI, con el fin de reducir los costos en dicha prestación, los cuales podrán cobijar adicionalmente a los planes, programas y proyectos actualmente en operación</w:t>
      </w:r>
      <w:r w:rsidRPr="00FB7604">
        <w:rPr>
          <w:rFonts w:eastAsia="Calibri"/>
          <w:spacing w:val="-3"/>
        </w:rPr>
        <w:t>".</w:t>
      </w:r>
    </w:p>
    <w:p w14:paraId="19A5939E" w14:textId="77777777" w:rsidR="00C92722" w:rsidRPr="00FB7604" w:rsidRDefault="00C92722" w:rsidP="00C94D29">
      <w:pPr>
        <w:contextualSpacing/>
        <w:jc w:val="both"/>
        <w:rPr>
          <w:rFonts w:cs="Arial"/>
        </w:rPr>
      </w:pPr>
    </w:p>
    <w:p w14:paraId="001CE58D" w14:textId="1435134A" w:rsidR="00C92722" w:rsidRPr="00B66211" w:rsidRDefault="01729E1A" w:rsidP="00C94D29">
      <w:pPr>
        <w:contextualSpacing/>
        <w:jc w:val="both"/>
        <w:rPr>
          <w:rFonts w:eastAsia="Calibri"/>
          <w:spacing w:val="-3"/>
        </w:rPr>
      </w:pPr>
      <w:r w:rsidRPr="00B66211">
        <w:rPr>
          <w:rFonts w:eastAsia="Calibri"/>
          <w:spacing w:val="-3"/>
        </w:rPr>
        <w:t>Así mismo, m</w:t>
      </w:r>
      <w:r w:rsidR="00C92722" w:rsidRPr="00B66211">
        <w:rPr>
          <w:rFonts w:eastAsia="Calibri"/>
          <w:spacing w:val="-3"/>
        </w:rPr>
        <w:t>ediante</w:t>
      </w:r>
      <w:r w:rsidR="50933906" w:rsidRPr="00B66211">
        <w:rPr>
          <w:rFonts w:eastAsia="Calibri"/>
          <w:spacing w:val="-3"/>
        </w:rPr>
        <w:t xml:space="preserve"> el</w:t>
      </w:r>
      <w:r w:rsidR="00C92722" w:rsidRPr="00B66211">
        <w:rPr>
          <w:rFonts w:eastAsia="Calibri"/>
          <w:spacing w:val="-3"/>
        </w:rPr>
        <w:t xml:space="preserve"> </w:t>
      </w:r>
      <w:r w:rsidR="00094F50" w:rsidRPr="00B66211">
        <w:rPr>
          <w:rFonts w:eastAsia="Calibri"/>
          <w:spacing w:val="-3"/>
        </w:rPr>
        <w:t xml:space="preserve">Decreto 1073 de 2015, modificado por </w:t>
      </w:r>
      <w:r w:rsidR="00C92722" w:rsidRPr="00B66211">
        <w:rPr>
          <w:rFonts w:eastAsia="Calibri"/>
          <w:spacing w:val="-3"/>
        </w:rPr>
        <w:t xml:space="preserve">el Decreto </w:t>
      </w:r>
      <w:r w:rsidR="00487277" w:rsidRPr="00B66211">
        <w:rPr>
          <w:rFonts w:eastAsia="Calibri"/>
          <w:spacing w:val="-3"/>
        </w:rPr>
        <w:t xml:space="preserve">099 </w:t>
      </w:r>
      <w:r w:rsidR="00C92722" w:rsidRPr="00B66211">
        <w:rPr>
          <w:rFonts w:eastAsia="Calibri"/>
          <w:spacing w:val="-3"/>
        </w:rPr>
        <w:t>de 20</w:t>
      </w:r>
      <w:r w:rsidR="00487277" w:rsidRPr="00B66211">
        <w:rPr>
          <w:rFonts w:eastAsia="Calibri"/>
          <w:spacing w:val="-3"/>
        </w:rPr>
        <w:t>21</w:t>
      </w:r>
      <w:r w:rsidR="00C92722" w:rsidRPr="00B66211">
        <w:rPr>
          <w:rFonts w:eastAsia="Calibri"/>
          <w:spacing w:val="-3"/>
        </w:rPr>
        <w:t xml:space="preserve">, el Gobierno Nacional adoptó los lineamientos de política pública relacionados con la expansión de cobertura del servicio público de energía eléctrica en el SIN y en </w:t>
      </w:r>
      <w:r w:rsidR="00D87838">
        <w:rPr>
          <w:rFonts w:eastAsia="Calibri"/>
          <w:spacing w:val="-3"/>
        </w:rPr>
        <w:t xml:space="preserve">las </w:t>
      </w:r>
      <w:r w:rsidR="00C92722" w:rsidRPr="00B66211">
        <w:rPr>
          <w:rFonts w:eastAsia="Calibri"/>
          <w:spacing w:val="-3"/>
        </w:rPr>
        <w:t>ZNI.</w:t>
      </w:r>
    </w:p>
    <w:p w14:paraId="0582F075" w14:textId="77777777" w:rsidR="006E3BA4" w:rsidRPr="00B66211" w:rsidRDefault="006E3BA4" w:rsidP="00C94D29">
      <w:pPr>
        <w:contextualSpacing/>
        <w:jc w:val="both"/>
        <w:rPr>
          <w:rFonts w:eastAsia="Calibri"/>
          <w:spacing w:val="-3"/>
        </w:rPr>
      </w:pPr>
    </w:p>
    <w:p w14:paraId="7AED6AF2" w14:textId="09F24A5B" w:rsidR="0085660D" w:rsidRPr="001E3373" w:rsidRDefault="009838FC" w:rsidP="00C94D29">
      <w:pPr>
        <w:suppressAutoHyphens/>
        <w:contextualSpacing/>
        <w:jc w:val="both"/>
        <w:rPr>
          <w:rFonts w:cs="Arial"/>
          <w:iCs/>
          <w:shd w:val="clear" w:color="auto" w:fill="FFFFFF"/>
        </w:rPr>
      </w:pPr>
      <w:r w:rsidRPr="00FB7604">
        <w:rPr>
          <w:rFonts w:eastAsia="Calibri"/>
          <w:spacing w:val="-3"/>
        </w:rPr>
        <w:t>E</w:t>
      </w:r>
      <w:r w:rsidR="00C92722" w:rsidRPr="00FB7604">
        <w:rPr>
          <w:rFonts w:eastAsia="Calibri"/>
          <w:spacing w:val="-3"/>
        </w:rPr>
        <w:t>l artículo 2.2.3.3.2.2.3.1 del Decreto 1073 de 2015, modificado por el</w:t>
      </w:r>
      <w:r w:rsidR="00996BB9" w:rsidRPr="00FB7604">
        <w:rPr>
          <w:rFonts w:eastAsia="Calibri"/>
          <w:spacing w:val="-3"/>
        </w:rPr>
        <w:t xml:space="preserve"> artículo 4 del</w:t>
      </w:r>
      <w:r w:rsidR="00C92722" w:rsidRPr="00FB7604">
        <w:rPr>
          <w:rFonts w:eastAsia="Calibri"/>
          <w:spacing w:val="-3"/>
        </w:rPr>
        <w:t xml:space="preserve"> Decreto </w:t>
      </w:r>
      <w:r w:rsidR="00C67A17" w:rsidRPr="00FB7604">
        <w:rPr>
          <w:rFonts w:eastAsia="Calibri"/>
          <w:spacing w:val="-3"/>
        </w:rPr>
        <w:t>099</w:t>
      </w:r>
      <w:r w:rsidR="00C92722" w:rsidRPr="00FB7604">
        <w:rPr>
          <w:rFonts w:eastAsia="Calibri"/>
          <w:spacing w:val="-3"/>
        </w:rPr>
        <w:t xml:space="preserve"> de 20</w:t>
      </w:r>
      <w:r w:rsidR="00C67A17" w:rsidRPr="00FB7604">
        <w:rPr>
          <w:rFonts w:eastAsia="Calibri"/>
          <w:spacing w:val="-3"/>
        </w:rPr>
        <w:t>21</w:t>
      </w:r>
      <w:r w:rsidR="002F1937" w:rsidRPr="00FB7604">
        <w:rPr>
          <w:rFonts w:eastAsia="Calibri"/>
          <w:spacing w:val="-3"/>
        </w:rPr>
        <w:t>,</w:t>
      </w:r>
      <w:r w:rsidR="00C92722" w:rsidRPr="00FB7604">
        <w:rPr>
          <w:rFonts w:eastAsia="Calibri"/>
          <w:spacing w:val="-3"/>
        </w:rPr>
        <w:t xml:space="preserve"> indica que </w:t>
      </w:r>
      <w:r w:rsidR="00C92722" w:rsidRPr="00FB7604">
        <w:rPr>
          <w:rFonts w:eastAsia="Calibri"/>
          <w:i/>
          <w:spacing w:val="-3"/>
        </w:rPr>
        <w:t>“</w:t>
      </w:r>
      <w:r w:rsidR="00BE678F" w:rsidRPr="30D54F76">
        <w:rPr>
          <w:rFonts w:eastAsia="Calibri" w:cs="Arial"/>
          <w:i/>
          <w:sz w:val="22"/>
          <w:szCs w:val="22"/>
        </w:rPr>
        <w:t>(…) l</w:t>
      </w:r>
      <w:r w:rsidR="000F0437" w:rsidRPr="30D54F76">
        <w:rPr>
          <w:rFonts w:cs="Arial"/>
          <w:i/>
          <w:sz w:val="22"/>
          <w:szCs w:val="22"/>
        </w:rPr>
        <w:t>a ampliación de cobertura del servicio público de energía eléctrica a usuarios a quienes no sea eficiente conectar al Sistema Interconectado Nacional (SIN), se podrá realizar mediante soluciones centralizadas o individuales, las cuales serán construidas y operadas principalmente por un Operador de Red del Sistema Interconectado Nacional (SIN), o a través de esquemas empresariales tales como las Áreas de Servicio Exclusivo (ASE).</w:t>
      </w:r>
      <w:r w:rsidR="00BE678F" w:rsidRPr="30D54F76">
        <w:rPr>
          <w:rFonts w:cs="Arial"/>
          <w:i/>
          <w:sz w:val="22"/>
          <w:szCs w:val="22"/>
        </w:rPr>
        <w:t xml:space="preserve"> </w:t>
      </w:r>
      <w:r w:rsidR="00667AB4" w:rsidRPr="30D54F76">
        <w:rPr>
          <w:rFonts w:cs="Arial"/>
          <w:i/>
          <w:sz w:val="22"/>
          <w:szCs w:val="22"/>
        </w:rPr>
        <w:t>Dichas inversiones podrán ser realizadas tanto con recursos públicos como recursos mixtos o privados. Las inversiones se regirán de acuerdo con las leyes y la regulación vigente y serán remuneradas a través de los esquemas tarifarios dispuestos por la Comisión de Regulación de Energía y Gas (CREG), para tal fin.</w:t>
      </w:r>
      <w:r w:rsidR="0085660D" w:rsidRPr="30D54F76">
        <w:rPr>
          <w:rFonts w:cs="Arial"/>
          <w:i/>
          <w:sz w:val="22"/>
          <w:szCs w:val="22"/>
        </w:rPr>
        <w:t xml:space="preserve"> (…)”</w:t>
      </w:r>
      <w:r w:rsidR="001E3373">
        <w:rPr>
          <w:rFonts w:cs="Arial"/>
          <w:iCs/>
          <w:sz w:val="22"/>
          <w:szCs w:val="22"/>
        </w:rPr>
        <w:t>.</w:t>
      </w:r>
    </w:p>
    <w:p w14:paraId="31A86400" w14:textId="77777777" w:rsidR="00290A4E" w:rsidRPr="00B66211" w:rsidRDefault="00290A4E" w:rsidP="00C94D29">
      <w:pPr>
        <w:suppressAutoHyphens/>
        <w:contextualSpacing/>
        <w:jc w:val="both"/>
        <w:rPr>
          <w:rFonts w:eastAsia="Calibri"/>
          <w:spacing w:val="-3"/>
        </w:rPr>
      </w:pPr>
    </w:p>
    <w:p w14:paraId="2A9041BC" w14:textId="4B5C6E00" w:rsidR="00C92722" w:rsidRPr="00B66211" w:rsidRDefault="009838FC" w:rsidP="00C94D29">
      <w:pPr>
        <w:suppressAutoHyphens/>
        <w:contextualSpacing/>
        <w:jc w:val="both"/>
        <w:rPr>
          <w:rFonts w:eastAsia="Calibri"/>
          <w:spacing w:val="-3"/>
        </w:rPr>
      </w:pPr>
      <w:r w:rsidRPr="00B66211">
        <w:rPr>
          <w:rFonts w:eastAsia="Calibri"/>
          <w:spacing w:val="-3"/>
        </w:rPr>
        <w:t>E</w:t>
      </w:r>
      <w:r w:rsidR="009B428F" w:rsidRPr="00B66211">
        <w:rPr>
          <w:rFonts w:eastAsia="Calibri"/>
          <w:spacing w:val="-3"/>
        </w:rPr>
        <w:t xml:space="preserve">l artículo 2.2.3.3.2.2.3.2 del Decreto 1073 de 2015, modificado por el artículo 6 del Decreto 099 de 2021, </w:t>
      </w:r>
      <w:r w:rsidR="00C92722" w:rsidRPr="00B66211">
        <w:rPr>
          <w:rFonts w:eastAsia="Calibri"/>
          <w:spacing w:val="-3"/>
        </w:rPr>
        <w:t>señala</w:t>
      </w:r>
      <w:r w:rsidR="00D87838">
        <w:rPr>
          <w:rFonts w:eastAsia="Calibri"/>
          <w:spacing w:val="-3"/>
        </w:rPr>
        <w:t>,</w:t>
      </w:r>
      <w:r w:rsidR="00C92722" w:rsidRPr="00B66211">
        <w:rPr>
          <w:rFonts w:eastAsia="Calibri"/>
          <w:spacing w:val="-3"/>
        </w:rPr>
        <w:t xml:space="preserve"> en relación con la metodología de prestación del servicio en ZNI</w:t>
      </w:r>
      <w:r w:rsidR="00D87838">
        <w:rPr>
          <w:rFonts w:eastAsia="Calibri"/>
          <w:spacing w:val="-3"/>
        </w:rPr>
        <w:t>,</w:t>
      </w:r>
      <w:r w:rsidR="00C92722" w:rsidRPr="00B66211">
        <w:rPr>
          <w:rFonts w:eastAsia="Calibri"/>
          <w:spacing w:val="-3"/>
        </w:rPr>
        <w:t xml:space="preserve"> que:</w:t>
      </w:r>
    </w:p>
    <w:p w14:paraId="11A33FA1" w14:textId="77777777" w:rsidR="003232D0" w:rsidRPr="00B66211" w:rsidRDefault="003232D0" w:rsidP="00C94D29">
      <w:pPr>
        <w:suppressAutoHyphens/>
        <w:contextualSpacing/>
        <w:jc w:val="both"/>
        <w:rPr>
          <w:rFonts w:eastAsia="Calibri"/>
          <w:spacing w:val="-3"/>
          <w:highlight w:val="cyan"/>
        </w:rPr>
      </w:pPr>
    </w:p>
    <w:p w14:paraId="62DA4211" w14:textId="5407C37E" w:rsidR="00711D13" w:rsidRPr="00B66211" w:rsidRDefault="007E385B" w:rsidP="00C94D29">
      <w:pPr>
        <w:pStyle w:val="Prrafodelista"/>
        <w:shd w:val="clear" w:color="auto" w:fill="FFFFFF"/>
        <w:ind w:left="284"/>
        <w:contextualSpacing/>
        <w:jc w:val="both"/>
        <w:rPr>
          <w:rFonts w:cs="Arial"/>
          <w:i/>
          <w:sz w:val="22"/>
          <w:szCs w:val="22"/>
        </w:rPr>
      </w:pPr>
      <w:r w:rsidRPr="00B66211">
        <w:rPr>
          <w:rFonts w:cs="Arial"/>
          <w:i/>
          <w:sz w:val="22"/>
          <w:szCs w:val="22"/>
        </w:rPr>
        <w:t>“</w:t>
      </w:r>
      <w:r w:rsidR="00674E3E" w:rsidRPr="00B66211">
        <w:rPr>
          <w:rFonts w:cs="Arial"/>
          <w:i/>
          <w:sz w:val="22"/>
          <w:szCs w:val="22"/>
        </w:rPr>
        <w:t xml:space="preserve">(…) </w:t>
      </w:r>
      <w:r w:rsidR="00711D13" w:rsidRPr="00B66211">
        <w:rPr>
          <w:rFonts w:cs="Arial"/>
          <w:i/>
          <w:sz w:val="22"/>
          <w:szCs w:val="22"/>
        </w:rPr>
        <w:t>Metodología de remuneración de la prestación del servicio en ZNI. La metodología para remunerar las actividades de generación, distribución y comercialización en las Zonas No Interconectadas (ZNI), expedida por la Comisión de Regulación en Energía y Gas (CREG), deberá tener en cuenta al menos las particularidades de las regiones donde se preste el servicio y los siguientes elementos:</w:t>
      </w:r>
    </w:p>
    <w:p w14:paraId="370F490E" w14:textId="77777777" w:rsidR="00711D13" w:rsidRPr="00B66211" w:rsidRDefault="00711D13" w:rsidP="00C94D29">
      <w:pPr>
        <w:pStyle w:val="Prrafodelista"/>
        <w:shd w:val="clear" w:color="auto" w:fill="FFFFFF"/>
        <w:ind w:left="284"/>
        <w:contextualSpacing/>
        <w:jc w:val="both"/>
        <w:rPr>
          <w:rFonts w:cs="Arial"/>
          <w:i/>
          <w:sz w:val="22"/>
          <w:szCs w:val="22"/>
        </w:rPr>
      </w:pPr>
    </w:p>
    <w:p w14:paraId="16E5BE54" w14:textId="6A256136" w:rsidR="00D02794" w:rsidRPr="00B66211" w:rsidRDefault="007E385B" w:rsidP="00C94D29">
      <w:pPr>
        <w:pStyle w:val="Prrafodelista"/>
        <w:shd w:val="clear" w:color="auto" w:fill="FFFFFF"/>
        <w:ind w:left="284"/>
        <w:contextualSpacing/>
        <w:jc w:val="both"/>
        <w:rPr>
          <w:rFonts w:cs="Arial"/>
          <w:i/>
          <w:sz w:val="22"/>
          <w:szCs w:val="22"/>
        </w:rPr>
      </w:pPr>
      <w:r w:rsidRPr="00B66211">
        <w:rPr>
          <w:rFonts w:cs="Arial"/>
          <w:i/>
          <w:sz w:val="22"/>
          <w:szCs w:val="22"/>
        </w:rPr>
        <w:t xml:space="preserve">1. </w:t>
      </w:r>
      <w:r w:rsidR="00D02794" w:rsidRPr="00B66211">
        <w:rPr>
          <w:rFonts w:cs="Arial"/>
          <w:i/>
          <w:sz w:val="22"/>
          <w:szCs w:val="22"/>
        </w:rPr>
        <w:t>La remuneración del servicio debe considerar el número y dispersión de los usuarios a ser atendidos, así como las particularidades de las regiones en las que se preste el servicio.</w:t>
      </w:r>
    </w:p>
    <w:p w14:paraId="32EFA47E" w14:textId="77777777" w:rsidR="0085660D" w:rsidRPr="00B66211" w:rsidRDefault="0085660D" w:rsidP="00C94D29">
      <w:pPr>
        <w:pStyle w:val="Prrafodelista"/>
        <w:shd w:val="clear" w:color="auto" w:fill="FFFFFF"/>
        <w:ind w:left="284"/>
        <w:contextualSpacing/>
        <w:jc w:val="both"/>
        <w:rPr>
          <w:i/>
          <w:sz w:val="22"/>
          <w:szCs w:val="22"/>
        </w:rPr>
      </w:pPr>
    </w:p>
    <w:p w14:paraId="0CD124BC" w14:textId="03C7B354" w:rsidR="007E385B" w:rsidRPr="00B66211" w:rsidRDefault="0085660D" w:rsidP="00C94D29">
      <w:pPr>
        <w:pStyle w:val="Prrafodelista"/>
        <w:shd w:val="clear" w:color="auto" w:fill="FFFFFF"/>
        <w:ind w:left="284"/>
        <w:contextualSpacing/>
        <w:jc w:val="both"/>
        <w:rPr>
          <w:i/>
        </w:rPr>
      </w:pPr>
      <w:r w:rsidRPr="00B66211">
        <w:rPr>
          <w:rFonts w:cs="Arial"/>
          <w:i/>
          <w:sz w:val="22"/>
          <w:szCs w:val="22"/>
        </w:rPr>
        <w:t xml:space="preserve">2. </w:t>
      </w:r>
      <w:r w:rsidR="00D02794" w:rsidRPr="00B66211">
        <w:rPr>
          <w:rFonts w:cs="Arial"/>
          <w:i/>
          <w:sz w:val="22"/>
          <w:szCs w:val="22"/>
        </w:rPr>
        <w:t>La metodología deberá discriminar los costos asociados a atender usuarios con Soluciones Centralizadas o con Soluciones Individuales.</w:t>
      </w:r>
      <w:r w:rsidR="00674E3E" w:rsidRPr="00B66211">
        <w:rPr>
          <w:rFonts w:cs="Arial"/>
          <w:i/>
          <w:sz w:val="22"/>
          <w:szCs w:val="22"/>
        </w:rPr>
        <w:t xml:space="preserve"> (…)</w:t>
      </w:r>
      <w:r w:rsidR="00447A4D" w:rsidRPr="00B66211">
        <w:rPr>
          <w:rFonts w:cs="Arial"/>
          <w:i/>
          <w:sz w:val="22"/>
          <w:szCs w:val="22"/>
          <w:shd w:val="clear" w:color="auto" w:fill="FFFFFF"/>
        </w:rPr>
        <w:t>”</w:t>
      </w:r>
    </w:p>
    <w:p w14:paraId="326F290B" w14:textId="77777777" w:rsidR="00D02794" w:rsidRPr="00B66211" w:rsidRDefault="00D02794" w:rsidP="00C94D29">
      <w:pPr>
        <w:contextualSpacing/>
        <w:jc w:val="both"/>
      </w:pPr>
    </w:p>
    <w:p w14:paraId="1C64760D" w14:textId="77777777" w:rsidR="00052BBD" w:rsidRPr="00B66211" w:rsidRDefault="00C92722" w:rsidP="00C94D29">
      <w:pPr>
        <w:contextualSpacing/>
        <w:jc w:val="both"/>
        <w:rPr>
          <w:rFonts w:eastAsia="Calibri"/>
          <w:lang w:eastAsia="en-US"/>
        </w:rPr>
      </w:pPr>
      <w:r w:rsidRPr="00B66211">
        <w:rPr>
          <w:rFonts w:eastAsia="Calibri"/>
          <w:lang w:eastAsia="en-US"/>
        </w:rPr>
        <w:t xml:space="preserve">El artículo 287 de la Ley 1955 de 2019, por la cual se adoptó el Plan Nacional de Desarrollo 2018-2022, indicó que </w:t>
      </w:r>
      <w:r w:rsidRPr="00B66211">
        <w:rPr>
          <w:rFonts w:eastAsia="Calibri"/>
          <w:i/>
          <w:lang w:eastAsia="en-US"/>
        </w:rPr>
        <w:t>“El Servicio Público Domiciliario de Energía Eléctrica en ZNI es el transporte de energía eléctrica desde la barra de entrega de energía de un Generador al Sistema de Distribución hasta el domicilio del usuario final, incluida su conexión y medición. El suministro de energía eléctrica a un domicilio mediante soluciones individuales de generación también se considera, servicio público domiciliario de energía eléctrica en ZNI”</w:t>
      </w:r>
      <w:r w:rsidRPr="00B66211">
        <w:rPr>
          <w:rFonts w:eastAsia="Calibri"/>
          <w:lang w:eastAsia="en-US"/>
        </w:rPr>
        <w:t>.</w:t>
      </w:r>
    </w:p>
    <w:p w14:paraId="0AB87FE5" w14:textId="77777777" w:rsidR="0008252D" w:rsidRPr="00B66211" w:rsidRDefault="0008252D" w:rsidP="00C94D29">
      <w:pPr>
        <w:contextualSpacing/>
        <w:jc w:val="both"/>
        <w:rPr>
          <w:rFonts w:eastAsia="Calibri"/>
          <w:lang w:eastAsia="en-US"/>
        </w:rPr>
      </w:pPr>
    </w:p>
    <w:p w14:paraId="33BDE44C" w14:textId="33F4DAB4" w:rsidR="00A31E3C" w:rsidRPr="00B66211" w:rsidRDefault="00925D72" w:rsidP="00C94D29">
      <w:pPr>
        <w:contextualSpacing/>
        <w:jc w:val="both"/>
        <w:rPr>
          <w:rFonts w:eastAsia="Calibri"/>
          <w:lang w:eastAsia="en-US"/>
        </w:rPr>
      </w:pPr>
      <w:r w:rsidRPr="00B66211">
        <w:rPr>
          <w:rFonts w:eastAsia="Calibri"/>
          <w:lang w:eastAsia="en-US"/>
        </w:rPr>
        <w:t>Mediante comunica</w:t>
      </w:r>
      <w:r w:rsidR="00DF2AF9" w:rsidRPr="00B66211">
        <w:rPr>
          <w:rFonts w:eastAsia="Calibri"/>
          <w:lang w:eastAsia="en-US"/>
        </w:rPr>
        <w:t xml:space="preserve">ción </w:t>
      </w:r>
      <w:r w:rsidR="00C81153" w:rsidRPr="00B66211">
        <w:rPr>
          <w:rFonts w:eastAsia="Calibri"/>
          <w:lang w:eastAsia="en-US"/>
        </w:rPr>
        <w:t>con radicado 2-2020-006163 de</w:t>
      </w:r>
      <w:r w:rsidR="00D87838">
        <w:rPr>
          <w:rFonts w:eastAsia="Calibri"/>
          <w:lang w:eastAsia="en-US"/>
        </w:rPr>
        <w:t>l</w:t>
      </w:r>
      <w:r w:rsidR="00C81153" w:rsidRPr="00B66211">
        <w:rPr>
          <w:rFonts w:eastAsia="Calibri"/>
          <w:lang w:eastAsia="en-US"/>
        </w:rPr>
        <w:t xml:space="preserve"> 31 de marzo de 2020</w:t>
      </w:r>
      <w:r w:rsidR="00A4368A" w:rsidRPr="00B66211">
        <w:rPr>
          <w:rFonts w:eastAsia="Calibri"/>
          <w:lang w:eastAsia="en-US"/>
        </w:rPr>
        <w:t>, radicado CREG E-</w:t>
      </w:r>
      <w:r w:rsidR="00FD6C98" w:rsidRPr="00B66211">
        <w:rPr>
          <w:rFonts w:eastAsia="Calibri"/>
          <w:lang w:eastAsia="en-US"/>
        </w:rPr>
        <w:t>2020-</w:t>
      </w:r>
      <w:r w:rsidR="00D01F7B" w:rsidRPr="00B66211">
        <w:rPr>
          <w:rFonts w:eastAsia="Calibri"/>
          <w:lang w:eastAsia="en-US"/>
        </w:rPr>
        <w:t>00</w:t>
      </w:r>
      <w:r w:rsidR="00E7445A" w:rsidRPr="00B66211">
        <w:rPr>
          <w:rFonts w:eastAsia="Calibri"/>
          <w:lang w:eastAsia="en-US"/>
        </w:rPr>
        <w:t>2866</w:t>
      </w:r>
      <w:r w:rsidR="00632B2E" w:rsidRPr="00B66211">
        <w:rPr>
          <w:rFonts w:eastAsia="Calibri"/>
          <w:lang w:eastAsia="en-US"/>
        </w:rPr>
        <w:t>,</w:t>
      </w:r>
      <w:r w:rsidR="00A4368A" w:rsidRPr="00B66211">
        <w:rPr>
          <w:rFonts w:eastAsia="Calibri"/>
          <w:lang w:eastAsia="en-US"/>
        </w:rPr>
        <w:t xml:space="preserve"> </w:t>
      </w:r>
      <w:r w:rsidR="00C81153" w:rsidRPr="00B66211">
        <w:rPr>
          <w:rFonts w:eastAsia="Calibri"/>
          <w:lang w:eastAsia="en-US"/>
        </w:rPr>
        <w:t xml:space="preserve">el Ministerio de </w:t>
      </w:r>
      <w:r w:rsidR="00CF468E" w:rsidRPr="00B66211">
        <w:rPr>
          <w:rFonts w:eastAsia="Calibri"/>
          <w:lang w:eastAsia="en-US"/>
        </w:rPr>
        <w:t xml:space="preserve">Minas y Energía </w:t>
      </w:r>
      <w:r w:rsidR="00A4368A" w:rsidRPr="00B66211">
        <w:rPr>
          <w:rFonts w:eastAsia="Calibri"/>
          <w:lang w:eastAsia="en-US"/>
        </w:rPr>
        <w:t xml:space="preserve">indicó </w:t>
      </w:r>
      <w:r w:rsidR="00D51548" w:rsidRPr="00B66211">
        <w:rPr>
          <w:rFonts w:eastAsia="Calibri"/>
          <w:lang w:eastAsia="en-US"/>
        </w:rPr>
        <w:t>lo siguiente:</w:t>
      </w:r>
    </w:p>
    <w:p w14:paraId="0B6256E7" w14:textId="77777777" w:rsidR="00A31E3C" w:rsidRPr="00B66211" w:rsidRDefault="00A31E3C" w:rsidP="00C94D29">
      <w:pPr>
        <w:contextualSpacing/>
        <w:jc w:val="both"/>
        <w:rPr>
          <w:rFonts w:eastAsia="Calibri"/>
          <w:sz w:val="22"/>
          <w:szCs w:val="22"/>
          <w:lang w:eastAsia="en-US"/>
        </w:rPr>
      </w:pPr>
    </w:p>
    <w:p w14:paraId="49D001A0" w14:textId="77777777" w:rsidR="00533ACB" w:rsidRPr="00B66211" w:rsidRDefault="00A4368A" w:rsidP="00C94D29">
      <w:pPr>
        <w:ind w:left="284"/>
        <w:contextualSpacing/>
        <w:jc w:val="both"/>
        <w:rPr>
          <w:i/>
          <w:sz w:val="22"/>
          <w:szCs w:val="22"/>
        </w:rPr>
      </w:pPr>
      <w:r w:rsidRPr="00B66211">
        <w:rPr>
          <w:rFonts w:eastAsia="Calibri"/>
          <w:i/>
          <w:sz w:val="22"/>
          <w:szCs w:val="22"/>
          <w:lang w:eastAsia="en-US"/>
        </w:rPr>
        <w:t>“</w:t>
      </w:r>
      <w:r w:rsidR="00FE26FB" w:rsidRPr="00B66211">
        <w:rPr>
          <w:rFonts w:eastAsia="Calibri"/>
          <w:i/>
          <w:lang w:eastAsia="en-US"/>
        </w:rPr>
        <w:t xml:space="preserve">(…) </w:t>
      </w:r>
      <w:r w:rsidR="00FE26FB" w:rsidRPr="00B66211">
        <w:rPr>
          <w:i/>
          <w:sz w:val="22"/>
          <w:szCs w:val="22"/>
        </w:rPr>
        <w:t>Recientemente, las reducciones en costos para soluciones solares, han sido influenciadas por los avances tecnológicos significativos en componentes como los módulos (paneles) que ahora son mucho más eficientes respecto de la energía solar que reciben y la capacidad con la que cuentan para transformar la misma en energía eléctrica. También se destacan eficiencias en la producción de otros elementos como las baterías de litio, las cuales hoy cuestan una fracción de lo que costaban hace una década y cuya capacidad de almacenamiento y número de ciclos de carga se han incrementado de forma importante. Igualmente, el desarrollo de tecnologías que facilitan el monitoreo, reporte y por ende la administración, operación y mantenimiento AOM de estos equipos, hacen que entren nuevos elementos al valorar y costear la prestación del servicio a través de este tipo de soluciones (…)</w:t>
      </w:r>
    </w:p>
    <w:p w14:paraId="245E0B3A" w14:textId="77777777" w:rsidR="00533ACB" w:rsidRPr="00B66211" w:rsidRDefault="00533ACB" w:rsidP="00C94D29">
      <w:pPr>
        <w:ind w:left="284"/>
        <w:contextualSpacing/>
        <w:jc w:val="both"/>
        <w:rPr>
          <w:i/>
          <w:sz w:val="22"/>
          <w:szCs w:val="22"/>
        </w:rPr>
      </w:pPr>
    </w:p>
    <w:p w14:paraId="0D8CE8F3" w14:textId="22E1C68F" w:rsidR="00533ACB" w:rsidRPr="00B66211" w:rsidRDefault="00533ACB" w:rsidP="00C94D29">
      <w:pPr>
        <w:ind w:left="284"/>
        <w:contextualSpacing/>
        <w:jc w:val="both"/>
        <w:rPr>
          <w:i/>
          <w:sz w:val="22"/>
          <w:szCs w:val="22"/>
        </w:rPr>
      </w:pPr>
      <w:r w:rsidRPr="00B66211">
        <w:rPr>
          <w:i/>
          <w:sz w:val="22"/>
          <w:szCs w:val="22"/>
        </w:rPr>
        <w:t>Ahora bien, en adición a lo anterior, queremos destacar ciertos aspectos sobre las estructura de metodología tarifaria adoptada por la CREG para el AOM de SSFVI en ZNI, concretamente refiriéndonos a las unidades en las cuales se denomina el Cargo Máximo autorizado para el componente de AOM de este tipo de tecnologías. La Resolución 091 de 2007 y sus modificatorias indican que el Cargo Máximo para la actividad de AOM para el componente de generación que podrá cobrar un prestador se determina en función de la capacidad instalada nominal de la SSFVI (188 pesos por Wp/mes) y no en función de i) la energía consumida por el usuario o ii) la disponibilidad real de la infraestructura. Si bien compartimos parcialmente la racionalidad de no colocar el riesgo de demanda para este tipo de soluciones en mercados ZNI al prestador (por cuanto, al estar denominado el cargo en función de Wp, el prestador podrá cobrar un costo sin perjuicio de que haya o no existido consumo de energía durante el respectivo periodo), identificamos que al estar el cargo en función de Wp, no se capturan adecuadamente los costos asociados a la actividad de AOM de SSFVI en ZNI ni se genera una señal de eficiencia en capex + opex y el subsidio.</w:t>
      </w:r>
    </w:p>
    <w:p w14:paraId="4A8B2800" w14:textId="77777777" w:rsidR="00533ACB" w:rsidRPr="00B66211" w:rsidRDefault="00533ACB" w:rsidP="00C94D29">
      <w:pPr>
        <w:ind w:left="284"/>
        <w:contextualSpacing/>
        <w:jc w:val="both"/>
        <w:rPr>
          <w:i/>
          <w:sz w:val="22"/>
          <w:szCs w:val="22"/>
        </w:rPr>
      </w:pPr>
    </w:p>
    <w:p w14:paraId="0D9F9D49" w14:textId="466C418A" w:rsidR="00FE26FB" w:rsidRPr="00B66211" w:rsidRDefault="00533ACB" w:rsidP="00C94D29">
      <w:pPr>
        <w:ind w:left="284"/>
        <w:contextualSpacing/>
        <w:jc w:val="both"/>
        <w:rPr>
          <w:rFonts w:eastAsia="Calibri"/>
          <w:i/>
          <w:sz w:val="22"/>
          <w:szCs w:val="22"/>
          <w:lang w:eastAsia="en-US"/>
        </w:rPr>
      </w:pPr>
      <w:r w:rsidRPr="00B66211">
        <w:rPr>
          <w:i/>
          <w:sz w:val="22"/>
          <w:szCs w:val="22"/>
        </w:rPr>
        <w:t>Como es de conocimiento de la Comisión, los costos típicamente asociados a esta actividad guardan relación con el transporte de personal para zonas de difícil acceso y con usuarios dispersos, costos de nómina, stock de repuestos, y demás que, por su propia naturaleza, no guardan una relación directa con la potencia nominal de la SSFVI, sino más bien con un costo asociado a un servicio que se presta por usuario al mes. (…)</w:t>
      </w:r>
      <w:r w:rsidR="00FE26FB" w:rsidRPr="00B66211">
        <w:rPr>
          <w:i/>
          <w:sz w:val="22"/>
          <w:szCs w:val="22"/>
        </w:rPr>
        <w:t>”</w:t>
      </w:r>
      <w:r w:rsidR="00D174A5" w:rsidRPr="00B66211">
        <w:rPr>
          <w:i/>
          <w:sz w:val="22"/>
          <w:szCs w:val="22"/>
        </w:rPr>
        <w:t>.</w:t>
      </w:r>
    </w:p>
    <w:p w14:paraId="16704661" w14:textId="77777777" w:rsidR="001A1E2A" w:rsidRPr="00B66211" w:rsidRDefault="001A1E2A" w:rsidP="00C94D29">
      <w:pPr>
        <w:contextualSpacing/>
        <w:jc w:val="both"/>
        <w:rPr>
          <w:rFonts w:eastAsia="Calibri" w:cs="Arial"/>
          <w:highlight w:val="cyan"/>
          <w:lang w:eastAsia="en-US"/>
        </w:rPr>
      </w:pPr>
    </w:p>
    <w:p w14:paraId="6B8A8E12" w14:textId="53770A06" w:rsidR="00282DA2" w:rsidRPr="00B66211" w:rsidRDefault="00282DA2" w:rsidP="00C94D29">
      <w:pPr>
        <w:widowControl w:val="0"/>
        <w:contextualSpacing/>
        <w:jc w:val="both"/>
        <w:rPr>
          <w:rFonts w:eastAsia="Arial" w:cs="Arial"/>
          <w:lang w:eastAsia="en-US"/>
        </w:rPr>
      </w:pPr>
      <w:r w:rsidRPr="00B66211">
        <w:rPr>
          <w:rFonts w:eastAsia="Arial" w:cs="Arial"/>
          <w:lang w:eastAsia="en-US"/>
        </w:rPr>
        <w:t>Mediante la Resolución CREG 137 de 2020</w:t>
      </w:r>
      <w:r w:rsidR="00D87838">
        <w:rPr>
          <w:rFonts w:eastAsia="Arial" w:cs="Arial"/>
          <w:lang w:eastAsia="en-US"/>
        </w:rPr>
        <w:t>,</w:t>
      </w:r>
      <w:r w:rsidRPr="00B66211">
        <w:rPr>
          <w:rFonts w:eastAsia="Arial" w:cs="Arial"/>
          <w:lang w:eastAsia="en-US"/>
        </w:rPr>
        <w:t xml:space="preserve"> la Comisión sometió a consulta el proyecto de resolución </w:t>
      </w:r>
      <w:r w:rsidRPr="00B66211">
        <w:rPr>
          <w:rFonts w:eastAsia="Arial" w:cs="Arial"/>
          <w:i/>
          <w:lang w:eastAsia="en-US"/>
        </w:rPr>
        <w:t>“Por la cual se define la fórmula tarifaria general para establecer la remuneración de la prestación del servicio de energía eléctrica mediante Soluciones Individuales Solares Fotovoltaicas”</w:t>
      </w:r>
      <w:r w:rsidRPr="00B66211">
        <w:rPr>
          <w:rFonts w:eastAsia="Arial" w:cs="Arial"/>
          <w:lang w:eastAsia="en-US"/>
        </w:rPr>
        <w:t>.</w:t>
      </w:r>
    </w:p>
    <w:p w14:paraId="3D793509" w14:textId="77777777" w:rsidR="00282DA2" w:rsidRDefault="00282DA2" w:rsidP="00C94D29">
      <w:pPr>
        <w:widowControl w:val="0"/>
        <w:contextualSpacing/>
        <w:jc w:val="both"/>
        <w:rPr>
          <w:rFonts w:eastAsia="Arial" w:cs="Arial"/>
          <w:lang w:eastAsia="en-US"/>
        </w:rPr>
      </w:pPr>
    </w:p>
    <w:p w14:paraId="6DF474B5" w14:textId="77777777" w:rsidR="00282DA2" w:rsidRDefault="00282DA2" w:rsidP="00C94D29">
      <w:pPr>
        <w:widowControl w:val="0"/>
        <w:contextualSpacing/>
        <w:jc w:val="both"/>
        <w:rPr>
          <w:rFonts w:eastAsia="Arial" w:cs="Arial"/>
          <w:lang w:eastAsia="en-US"/>
        </w:rPr>
      </w:pPr>
      <w:r w:rsidRPr="007E38E5">
        <w:rPr>
          <w:rFonts w:eastAsia="Arial" w:cs="Arial"/>
          <w:lang w:eastAsia="en-US"/>
        </w:rPr>
        <w:t>Mediante Circular CREG 086 del 11 de septiembre de 2020 se invitó a gobernadores, alcaldes, personeros, comités de vocales de control, usuarios de</w:t>
      </w:r>
      <w:r w:rsidRPr="00925061">
        <w:rPr>
          <w:rFonts w:eastAsia="Arial" w:cs="Arial"/>
          <w:lang w:eastAsia="en-US"/>
        </w:rPr>
        <w:t xml:space="preserve"> servicios públicos y demás interesados</w:t>
      </w:r>
      <w:r>
        <w:rPr>
          <w:rFonts w:eastAsia="Arial" w:cs="Arial"/>
          <w:lang w:eastAsia="en-US"/>
        </w:rPr>
        <w:t xml:space="preserve"> </w:t>
      </w:r>
      <w:r w:rsidRPr="009C400F">
        <w:rPr>
          <w:rFonts w:eastAsia="Arial" w:cs="Arial"/>
          <w:lang w:eastAsia="en-US"/>
        </w:rPr>
        <w:t xml:space="preserve">a participar en las audiencias públicas </w:t>
      </w:r>
      <w:r>
        <w:rPr>
          <w:rFonts w:eastAsia="Arial" w:cs="Arial"/>
          <w:lang w:eastAsia="en-US"/>
        </w:rPr>
        <w:t xml:space="preserve">virtuales </w:t>
      </w:r>
      <w:r w:rsidRPr="009C400F">
        <w:rPr>
          <w:rFonts w:eastAsia="Arial" w:cs="Arial"/>
          <w:lang w:eastAsia="en-US"/>
        </w:rPr>
        <w:t xml:space="preserve">de presentación de la propuesta regulatoria definida en la </w:t>
      </w:r>
      <w:r>
        <w:rPr>
          <w:rFonts w:eastAsia="Arial" w:cs="Arial"/>
          <w:lang w:eastAsia="en-US"/>
        </w:rPr>
        <w:t>R</w:t>
      </w:r>
      <w:r w:rsidRPr="009C400F">
        <w:rPr>
          <w:rFonts w:eastAsia="Arial" w:cs="Arial"/>
          <w:lang w:eastAsia="en-US"/>
        </w:rPr>
        <w:t>esolución CREG 137 de 2020</w:t>
      </w:r>
      <w:r>
        <w:rPr>
          <w:rFonts w:eastAsia="Arial" w:cs="Arial"/>
          <w:lang w:eastAsia="en-US"/>
        </w:rPr>
        <w:t xml:space="preserve">, que se llevaron a cabo los días </w:t>
      </w:r>
      <w:r w:rsidRPr="0088597C">
        <w:rPr>
          <w:rFonts w:eastAsia="Arial" w:cs="Arial"/>
          <w:lang w:eastAsia="en-US"/>
        </w:rPr>
        <w:t xml:space="preserve">23 </w:t>
      </w:r>
      <w:r>
        <w:rPr>
          <w:rFonts w:eastAsia="Arial" w:cs="Arial"/>
          <w:lang w:eastAsia="en-US"/>
        </w:rPr>
        <w:t xml:space="preserve">y </w:t>
      </w:r>
      <w:r w:rsidRPr="0088597C">
        <w:rPr>
          <w:rFonts w:eastAsia="Arial" w:cs="Arial"/>
          <w:lang w:eastAsia="en-US"/>
        </w:rPr>
        <w:t>25 de septiembre de 2</w:t>
      </w:r>
      <w:r>
        <w:rPr>
          <w:rFonts w:eastAsia="Arial" w:cs="Arial"/>
          <w:lang w:eastAsia="en-US"/>
        </w:rPr>
        <w:t>020.</w:t>
      </w:r>
    </w:p>
    <w:p w14:paraId="562E26CF" w14:textId="77777777" w:rsidR="00282DA2" w:rsidRPr="00B66211" w:rsidRDefault="00282DA2" w:rsidP="00C94D29">
      <w:pPr>
        <w:widowControl w:val="0"/>
        <w:contextualSpacing/>
        <w:jc w:val="both"/>
        <w:rPr>
          <w:rFonts w:eastAsia="Arial" w:cs="Arial"/>
          <w:lang w:eastAsia="en-US"/>
        </w:rPr>
      </w:pPr>
    </w:p>
    <w:p w14:paraId="4393B222" w14:textId="77777777" w:rsidR="00282DA2" w:rsidRPr="00B66211" w:rsidRDefault="00282DA2" w:rsidP="00C94D29">
      <w:pPr>
        <w:widowControl w:val="0"/>
        <w:contextualSpacing/>
        <w:jc w:val="both"/>
        <w:rPr>
          <w:rFonts w:eastAsia="Arial" w:cs="Arial"/>
          <w:lang w:eastAsia="en-US"/>
        </w:rPr>
      </w:pPr>
      <w:r w:rsidRPr="00B66211">
        <w:rPr>
          <w:rFonts w:eastAsia="Arial" w:cs="Arial"/>
          <w:lang w:eastAsia="en-US"/>
        </w:rPr>
        <w:t>Atendiendo la consulta, las siguientes empresas hicieron comentarios:</w:t>
      </w:r>
    </w:p>
    <w:p w14:paraId="1425A183" w14:textId="77777777" w:rsidR="00282DA2" w:rsidRPr="00B66211" w:rsidRDefault="00282DA2" w:rsidP="00C94D29">
      <w:pPr>
        <w:widowControl w:val="0"/>
        <w:contextualSpacing/>
        <w:jc w:val="both"/>
        <w:rPr>
          <w:rFonts w:eastAsia="Arial" w:cs="Arial"/>
          <w:lang w:eastAsia="en-U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6374"/>
        <w:gridCol w:w="2268"/>
      </w:tblGrid>
      <w:tr w:rsidR="00282DA2" w:rsidRPr="00812CDC" w14:paraId="0F7CCEF6" w14:textId="77777777" w:rsidTr="005049CB">
        <w:trPr>
          <w:trHeight w:val="340"/>
          <w:tblHeader/>
          <w:jc w:val="center"/>
        </w:trPr>
        <w:tc>
          <w:tcPr>
            <w:tcW w:w="6374" w:type="dxa"/>
            <w:shd w:val="clear" w:color="auto" w:fill="auto"/>
            <w:tcMar>
              <w:top w:w="6" w:type="dxa"/>
              <w:left w:w="6" w:type="dxa"/>
              <w:bottom w:w="0" w:type="dxa"/>
              <w:right w:w="6" w:type="dxa"/>
            </w:tcMar>
            <w:vAlign w:val="center"/>
            <w:hideMark/>
          </w:tcPr>
          <w:p w14:paraId="02B1EC4B" w14:textId="77777777" w:rsidR="00282DA2" w:rsidRPr="00812CDC" w:rsidRDefault="00282DA2" w:rsidP="00C94D29">
            <w:pPr>
              <w:widowControl w:val="0"/>
              <w:contextualSpacing/>
              <w:jc w:val="center"/>
              <w:rPr>
                <w:rFonts w:eastAsia="Arial" w:cs="Arial"/>
                <w:lang w:eastAsia="en-US"/>
              </w:rPr>
            </w:pPr>
            <w:r w:rsidRPr="00812CDC">
              <w:rPr>
                <w:rFonts w:eastAsia="Arial" w:cs="Arial"/>
                <w:b/>
                <w:lang w:eastAsia="en-US"/>
              </w:rPr>
              <w:t>EMPRESA</w:t>
            </w:r>
          </w:p>
        </w:tc>
        <w:tc>
          <w:tcPr>
            <w:tcW w:w="2268" w:type="dxa"/>
            <w:shd w:val="clear" w:color="auto" w:fill="auto"/>
            <w:tcMar>
              <w:top w:w="6" w:type="dxa"/>
              <w:left w:w="6" w:type="dxa"/>
              <w:bottom w:w="0" w:type="dxa"/>
              <w:right w:w="6" w:type="dxa"/>
            </w:tcMar>
            <w:vAlign w:val="center"/>
            <w:hideMark/>
          </w:tcPr>
          <w:p w14:paraId="7EC2BA94" w14:textId="77777777" w:rsidR="00282DA2" w:rsidRPr="00812CDC" w:rsidRDefault="00282DA2" w:rsidP="00C94D29">
            <w:pPr>
              <w:widowControl w:val="0"/>
              <w:contextualSpacing/>
              <w:jc w:val="center"/>
              <w:rPr>
                <w:rFonts w:eastAsia="Arial" w:cs="Arial"/>
                <w:lang w:eastAsia="en-US"/>
              </w:rPr>
            </w:pPr>
            <w:r w:rsidRPr="00812CDC">
              <w:rPr>
                <w:rFonts w:eastAsia="Arial" w:cs="Arial"/>
                <w:b/>
                <w:lang w:eastAsia="en-US"/>
              </w:rPr>
              <w:t>RADICADO</w:t>
            </w:r>
          </w:p>
        </w:tc>
      </w:tr>
      <w:tr w:rsidR="00282DA2" w:rsidRPr="00812CDC" w14:paraId="450E606E"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421C5BE7" w14:textId="77777777" w:rsidR="00282DA2" w:rsidRPr="00812CDC" w:rsidRDefault="00282DA2" w:rsidP="00C94D29">
            <w:pPr>
              <w:widowControl w:val="0"/>
              <w:contextualSpacing/>
              <w:rPr>
                <w:rFonts w:eastAsia="Arial" w:cs="Arial"/>
                <w:lang w:eastAsia="en-US"/>
              </w:rPr>
            </w:pPr>
            <w:r w:rsidRPr="00812CDC">
              <w:rPr>
                <w:rFonts w:cs="Arial"/>
                <w:szCs w:val="22"/>
              </w:rPr>
              <w:t>Superintendencia de Servicios Públicos Domiciliarios</w:t>
            </w:r>
          </w:p>
        </w:tc>
        <w:tc>
          <w:tcPr>
            <w:tcW w:w="2268" w:type="dxa"/>
            <w:shd w:val="clear" w:color="auto" w:fill="auto"/>
            <w:tcMar>
              <w:top w:w="6" w:type="dxa"/>
              <w:left w:w="6" w:type="dxa"/>
              <w:bottom w:w="0" w:type="dxa"/>
              <w:right w:w="6" w:type="dxa"/>
            </w:tcMar>
            <w:vAlign w:val="center"/>
            <w:hideMark/>
          </w:tcPr>
          <w:p w14:paraId="54FE9105"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011762</w:t>
            </w:r>
          </w:p>
        </w:tc>
      </w:tr>
      <w:tr w:rsidR="00282DA2" w:rsidRPr="00812CDC" w14:paraId="61ABA2A2"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53964037" w14:textId="77777777" w:rsidR="00282DA2" w:rsidRPr="00812CDC" w:rsidRDefault="00282DA2" w:rsidP="00C94D29">
            <w:pPr>
              <w:widowControl w:val="0"/>
              <w:contextualSpacing/>
              <w:rPr>
                <w:rFonts w:eastAsia="Arial" w:cs="Arial"/>
                <w:lang w:eastAsia="en-US"/>
              </w:rPr>
            </w:pPr>
            <w:r w:rsidRPr="00812CDC">
              <w:rPr>
                <w:rFonts w:cs="Arial"/>
                <w:szCs w:val="22"/>
              </w:rPr>
              <w:t>USAENE LLC Colombia</w:t>
            </w:r>
          </w:p>
        </w:tc>
        <w:tc>
          <w:tcPr>
            <w:tcW w:w="2268" w:type="dxa"/>
            <w:shd w:val="clear" w:color="auto" w:fill="auto"/>
            <w:tcMar>
              <w:top w:w="6" w:type="dxa"/>
              <w:left w:w="6" w:type="dxa"/>
              <w:bottom w:w="0" w:type="dxa"/>
              <w:right w:w="6" w:type="dxa"/>
            </w:tcMar>
            <w:vAlign w:val="center"/>
            <w:hideMark/>
          </w:tcPr>
          <w:p w14:paraId="462A592B"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011823</w:t>
            </w:r>
          </w:p>
        </w:tc>
      </w:tr>
      <w:tr w:rsidR="00282DA2" w:rsidRPr="00812CDC" w14:paraId="7CCAA3C8"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108AFCCB" w14:textId="77777777" w:rsidR="00282DA2" w:rsidRPr="00812CDC" w:rsidRDefault="00282DA2" w:rsidP="00C94D29">
            <w:pPr>
              <w:widowControl w:val="0"/>
              <w:contextualSpacing/>
              <w:rPr>
                <w:rFonts w:eastAsia="Arial" w:cs="Arial"/>
                <w:lang w:eastAsia="en-US"/>
              </w:rPr>
            </w:pPr>
            <w:r w:rsidRPr="00812CDC">
              <w:rPr>
                <w:rFonts w:cs="Arial"/>
                <w:szCs w:val="22"/>
              </w:rPr>
              <w:t>CEDELCA S.A. E.S.P.</w:t>
            </w:r>
          </w:p>
        </w:tc>
        <w:tc>
          <w:tcPr>
            <w:tcW w:w="2268" w:type="dxa"/>
            <w:shd w:val="clear" w:color="auto" w:fill="auto"/>
            <w:tcMar>
              <w:top w:w="6" w:type="dxa"/>
              <w:left w:w="6" w:type="dxa"/>
              <w:bottom w:w="0" w:type="dxa"/>
              <w:right w:w="6" w:type="dxa"/>
            </w:tcMar>
            <w:vAlign w:val="center"/>
            <w:hideMark/>
          </w:tcPr>
          <w:p w14:paraId="3F10A65A"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011884</w:t>
            </w:r>
          </w:p>
        </w:tc>
      </w:tr>
      <w:tr w:rsidR="00282DA2" w:rsidRPr="00812CDC" w14:paraId="754F57DA"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04FA2EBD" w14:textId="77777777" w:rsidR="00282DA2" w:rsidRPr="00812CDC" w:rsidRDefault="00282DA2" w:rsidP="00C94D29">
            <w:pPr>
              <w:widowControl w:val="0"/>
              <w:contextualSpacing/>
              <w:rPr>
                <w:rFonts w:eastAsia="Arial" w:cs="Arial"/>
                <w:lang w:eastAsia="en-US"/>
              </w:rPr>
            </w:pPr>
            <w:r w:rsidRPr="00812CDC">
              <w:rPr>
                <w:rFonts w:cs="Arial"/>
                <w:szCs w:val="22"/>
              </w:rPr>
              <w:t>Empresas Públicas de Medellín</w:t>
            </w:r>
          </w:p>
        </w:tc>
        <w:tc>
          <w:tcPr>
            <w:tcW w:w="2268" w:type="dxa"/>
            <w:shd w:val="clear" w:color="auto" w:fill="auto"/>
            <w:tcMar>
              <w:top w:w="6" w:type="dxa"/>
              <w:left w:w="6" w:type="dxa"/>
              <w:bottom w:w="0" w:type="dxa"/>
              <w:right w:w="6" w:type="dxa"/>
            </w:tcMar>
            <w:vAlign w:val="center"/>
            <w:hideMark/>
          </w:tcPr>
          <w:p w14:paraId="0CDFBE89" w14:textId="77777777" w:rsidR="00282DA2" w:rsidRPr="00812CDC" w:rsidRDefault="00282DA2" w:rsidP="00C94D29">
            <w:pPr>
              <w:contextualSpacing/>
              <w:jc w:val="center"/>
              <w:rPr>
                <w:rFonts w:cs="Arial"/>
                <w:szCs w:val="22"/>
              </w:rPr>
            </w:pPr>
            <w:r w:rsidRPr="00812CDC">
              <w:rPr>
                <w:rFonts w:eastAsia="Arial" w:cs="Arial"/>
                <w:szCs w:val="22"/>
              </w:rPr>
              <w:t>E-2020-</w:t>
            </w:r>
            <w:r w:rsidRPr="00812CDC">
              <w:rPr>
                <w:rFonts w:cs="Arial"/>
                <w:szCs w:val="22"/>
              </w:rPr>
              <w:t>011902</w:t>
            </w:r>
          </w:p>
          <w:p w14:paraId="7E9D583F" w14:textId="77777777" w:rsidR="00282DA2" w:rsidRPr="00812CDC" w:rsidRDefault="00282DA2" w:rsidP="00C94D29">
            <w:pPr>
              <w:widowControl w:val="0"/>
              <w:contextualSpacing/>
              <w:jc w:val="center"/>
              <w:rPr>
                <w:rFonts w:eastAsia="Arial" w:cs="Arial"/>
                <w:lang w:eastAsia="en-US"/>
              </w:rPr>
            </w:pPr>
            <w:r w:rsidRPr="00812CDC">
              <w:rPr>
                <w:rFonts w:cs="Arial"/>
              </w:rPr>
              <w:t>E-2021-003064</w:t>
            </w:r>
          </w:p>
        </w:tc>
      </w:tr>
      <w:tr w:rsidR="00282DA2" w:rsidRPr="00812CDC" w14:paraId="54827C40"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7FEA46D8" w14:textId="77777777" w:rsidR="00282DA2" w:rsidRPr="00812CDC" w:rsidRDefault="00282DA2" w:rsidP="00C94D29">
            <w:pPr>
              <w:widowControl w:val="0"/>
              <w:contextualSpacing/>
              <w:rPr>
                <w:rFonts w:eastAsia="Arial" w:cs="Arial"/>
                <w:lang w:eastAsia="en-US"/>
              </w:rPr>
            </w:pPr>
            <w:r w:rsidRPr="00812CDC">
              <w:rPr>
                <w:rFonts w:cs="Arial"/>
                <w:szCs w:val="22"/>
              </w:rPr>
              <w:t>ASOCODIS</w:t>
            </w:r>
          </w:p>
        </w:tc>
        <w:tc>
          <w:tcPr>
            <w:tcW w:w="2268" w:type="dxa"/>
            <w:shd w:val="clear" w:color="auto" w:fill="auto"/>
            <w:tcMar>
              <w:top w:w="6" w:type="dxa"/>
              <w:left w:w="6" w:type="dxa"/>
              <w:bottom w:w="0" w:type="dxa"/>
              <w:right w:w="6" w:type="dxa"/>
            </w:tcMar>
            <w:vAlign w:val="center"/>
            <w:hideMark/>
          </w:tcPr>
          <w:p w14:paraId="59ACC806"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011911</w:t>
            </w:r>
          </w:p>
        </w:tc>
      </w:tr>
      <w:tr w:rsidR="00282DA2" w:rsidRPr="00812CDC" w14:paraId="5098C272"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2CE57692" w14:textId="77777777" w:rsidR="00282DA2" w:rsidRPr="00812CDC" w:rsidRDefault="00282DA2" w:rsidP="00C94D29">
            <w:pPr>
              <w:widowControl w:val="0"/>
              <w:contextualSpacing/>
              <w:rPr>
                <w:rFonts w:eastAsia="Arial" w:cs="Arial"/>
                <w:lang w:eastAsia="en-US"/>
              </w:rPr>
            </w:pPr>
            <w:r w:rsidRPr="00812CDC">
              <w:rPr>
                <w:rFonts w:cs="Arial"/>
                <w:szCs w:val="22"/>
              </w:rPr>
              <w:t>DISPAC S.A. E.S.P.</w:t>
            </w:r>
          </w:p>
        </w:tc>
        <w:tc>
          <w:tcPr>
            <w:tcW w:w="2268" w:type="dxa"/>
            <w:shd w:val="clear" w:color="auto" w:fill="auto"/>
            <w:tcMar>
              <w:top w:w="6" w:type="dxa"/>
              <w:left w:w="6" w:type="dxa"/>
              <w:bottom w:w="0" w:type="dxa"/>
              <w:right w:w="6" w:type="dxa"/>
            </w:tcMar>
            <w:vAlign w:val="center"/>
            <w:hideMark/>
          </w:tcPr>
          <w:p w14:paraId="7A029847"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011920</w:t>
            </w:r>
          </w:p>
        </w:tc>
      </w:tr>
      <w:tr w:rsidR="00282DA2" w:rsidRPr="00812CDC" w14:paraId="141BBE39"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0F686390" w14:textId="77777777" w:rsidR="00282DA2" w:rsidRPr="00812CDC" w:rsidRDefault="00282DA2" w:rsidP="00C94D29">
            <w:pPr>
              <w:widowControl w:val="0"/>
              <w:contextualSpacing/>
              <w:rPr>
                <w:rFonts w:eastAsia="Arial" w:cs="Arial"/>
                <w:lang w:eastAsia="en-US"/>
              </w:rPr>
            </w:pPr>
            <w:r w:rsidRPr="00812CDC">
              <w:rPr>
                <w:rFonts w:cs="Arial"/>
                <w:szCs w:val="22"/>
              </w:rPr>
              <w:t>Empresa de Energía de Pereira S.A. E.S.P.</w:t>
            </w:r>
          </w:p>
        </w:tc>
        <w:tc>
          <w:tcPr>
            <w:tcW w:w="2268" w:type="dxa"/>
            <w:shd w:val="clear" w:color="auto" w:fill="auto"/>
            <w:tcMar>
              <w:top w:w="6" w:type="dxa"/>
              <w:left w:w="6" w:type="dxa"/>
              <w:bottom w:w="0" w:type="dxa"/>
              <w:right w:w="6" w:type="dxa"/>
            </w:tcMar>
            <w:vAlign w:val="center"/>
            <w:hideMark/>
          </w:tcPr>
          <w:p w14:paraId="32C03E1D" w14:textId="77777777" w:rsidR="00282DA2" w:rsidRPr="00812CDC" w:rsidRDefault="00282DA2" w:rsidP="00C94D29">
            <w:pPr>
              <w:widowControl w:val="0"/>
              <w:contextualSpacing/>
              <w:jc w:val="center"/>
              <w:rPr>
                <w:rFonts w:eastAsia="Arial" w:cs="Arial"/>
                <w:lang w:eastAsia="en-US"/>
              </w:rPr>
            </w:pPr>
            <w:r w:rsidRPr="00812CDC">
              <w:rPr>
                <w:rFonts w:cs="Arial"/>
                <w:szCs w:val="22"/>
              </w:rPr>
              <w:t>E-2020-011923</w:t>
            </w:r>
          </w:p>
        </w:tc>
      </w:tr>
      <w:tr w:rsidR="00282DA2" w:rsidRPr="00812CDC" w14:paraId="5B23454A"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075D4277" w14:textId="77777777" w:rsidR="00282DA2" w:rsidRPr="00812CDC" w:rsidRDefault="00282DA2" w:rsidP="00C94D29">
            <w:pPr>
              <w:widowControl w:val="0"/>
              <w:contextualSpacing/>
              <w:rPr>
                <w:rFonts w:eastAsia="Arial" w:cs="Arial"/>
                <w:lang w:eastAsia="en-US"/>
              </w:rPr>
            </w:pPr>
            <w:r w:rsidRPr="00812CDC">
              <w:rPr>
                <w:rFonts w:cs="Arial"/>
                <w:szCs w:val="22"/>
              </w:rPr>
              <w:t>ENERTOTAL S.A. E.S.P.</w:t>
            </w:r>
          </w:p>
        </w:tc>
        <w:tc>
          <w:tcPr>
            <w:tcW w:w="2268" w:type="dxa"/>
            <w:shd w:val="clear" w:color="auto" w:fill="auto"/>
            <w:tcMar>
              <w:top w:w="6" w:type="dxa"/>
              <w:left w:w="6" w:type="dxa"/>
              <w:bottom w:w="0" w:type="dxa"/>
              <w:right w:w="6" w:type="dxa"/>
            </w:tcMar>
            <w:vAlign w:val="center"/>
            <w:hideMark/>
          </w:tcPr>
          <w:p w14:paraId="1FCB73B9"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011931</w:t>
            </w:r>
          </w:p>
        </w:tc>
      </w:tr>
      <w:tr w:rsidR="00282DA2" w:rsidRPr="00812CDC" w14:paraId="728895AA"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732613DA" w14:textId="77777777" w:rsidR="00282DA2" w:rsidRPr="00812CDC" w:rsidRDefault="00282DA2" w:rsidP="00C94D29">
            <w:pPr>
              <w:widowControl w:val="0"/>
              <w:contextualSpacing/>
              <w:rPr>
                <w:rFonts w:eastAsia="Arial" w:cs="Arial"/>
                <w:lang w:eastAsia="en-US"/>
              </w:rPr>
            </w:pPr>
            <w:r w:rsidRPr="00812CDC">
              <w:rPr>
                <w:rFonts w:cs="Arial"/>
                <w:szCs w:val="22"/>
              </w:rPr>
              <w:t>Codensa S.A. ESP.</w:t>
            </w:r>
          </w:p>
        </w:tc>
        <w:tc>
          <w:tcPr>
            <w:tcW w:w="2268" w:type="dxa"/>
            <w:shd w:val="clear" w:color="auto" w:fill="auto"/>
            <w:tcMar>
              <w:top w:w="6" w:type="dxa"/>
              <w:left w:w="6" w:type="dxa"/>
              <w:bottom w:w="0" w:type="dxa"/>
              <w:right w:w="6" w:type="dxa"/>
            </w:tcMar>
            <w:vAlign w:val="center"/>
            <w:hideMark/>
          </w:tcPr>
          <w:p w14:paraId="16D48896"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011946</w:t>
            </w:r>
          </w:p>
        </w:tc>
      </w:tr>
      <w:tr w:rsidR="00282DA2" w:rsidRPr="00812CDC" w14:paraId="763E6872"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7CE29D48" w14:textId="77777777" w:rsidR="00282DA2" w:rsidRPr="00812CDC" w:rsidRDefault="00282DA2" w:rsidP="00C94D29">
            <w:pPr>
              <w:widowControl w:val="0"/>
              <w:contextualSpacing/>
              <w:rPr>
                <w:rFonts w:eastAsia="Arial" w:cs="Arial"/>
                <w:lang w:val="en-US" w:eastAsia="en-US"/>
              </w:rPr>
            </w:pPr>
            <w:r w:rsidRPr="00812CDC">
              <w:rPr>
                <w:rFonts w:cs="Arial"/>
                <w:szCs w:val="22"/>
                <w:lang w:val="en-US"/>
              </w:rPr>
              <w:t>Oil &amp; Gas Energy S.A.S E.S.P.</w:t>
            </w:r>
          </w:p>
        </w:tc>
        <w:tc>
          <w:tcPr>
            <w:tcW w:w="2268" w:type="dxa"/>
            <w:shd w:val="clear" w:color="auto" w:fill="auto"/>
            <w:tcMar>
              <w:top w:w="6" w:type="dxa"/>
              <w:left w:w="6" w:type="dxa"/>
              <w:bottom w:w="0" w:type="dxa"/>
              <w:right w:w="6" w:type="dxa"/>
            </w:tcMar>
            <w:vAlign w:val="center"/>
            <w:hideMark/>
          </w:tcPr>
          <w:p w14:paraId="1CB8BD2F"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011947</w:t>
            </w:r>
          </w:p>
        </w:tc>
      </w:tr>
      <w:tr w:rsidR="00282DA2" w:rsidRPr="00812CDC" w14:paraId="031BEB88"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5339DC57" w14:textId="77777777" w:rsidR="00282DA2" w:rsidRPr="00812CDC" w:rsidRDefault="00282DA2" w:rsidP="00C94D29">
            <w:pPr>
              <w:widowControl w:val="0"/>
              <w:contextualSpacing/>
              <w:rPr>
                <w:rFonts w:eastAsia="Arial" w:cs="Arial"/>
                <w:lang w:eastAsia="en-US"/>
              </w:rPr>
            </w:pPr>
            <w:r w:rsidRPr="00812CDC">
              <w:rPr>
                <w:rFonts w:cs="Arial"/>
                <w:szCs w:val="22"/>
              </w:rPr>
              <w:t>S</w:t>
            </w:r>
            <w:r>
              <w:rPr>
                <w:rFonts w:cs="Arial"/>
                <w:szCs w:val="22"/>
              </w:rPr>
              <w:t>uncolombia Kingo</w:t>
            </w:r>
          </w:p>
        </w:tc>
        <w:tc>
          <w:tcPr>
            <w:tcW w:w="2268" w:type="dxa"/>
            <w:shd w:val="clear" w:color="auto" w:fill="auto"/>
            <w:tcMar>
              <w:top w:w="6" w:type="dxa"/>
              <w:left w:w="6" w:type="dxa"/>
              <w:bottom w:w="0" w:type="dxa"/>
              <w:right w:w="6" w:type="dxa"/>
            </w:tcMar>
            <w:vAlign w:val="center"/>
            <w:hideMark/>
          </w:tcPr>
          <w:p w14:paraId="6DC6EA6B" w14:textId="77777777" w:rsidR="00282DA2" w:rsidRPr="00812CDC" w:rsidRDefault="00282DA2" w:rsidP="00C94D29">
            <w:pPr>
              <w:widowControl w:val="0"/>
              <w:contextualSpacing/>
              <w:jc w:val="center"/>
              <w:rPr>
                <w:rFonts w:eastAsia="Arial" w:cs="Arial"/>
                <w:lang w:eastAsia="en-US"/>
              </w:rPr>
            </w:pPr>
            <w:r w:rsidRPr="00812CDC">
              <w:rPr>
                <w:rFonts w:cs="Arial"/>
                <w:szCs w:val="22"/>
              </w:rPr>
              <w:t>E-2020-011949</w:t>
            </w:r>
          </w:p>
        </w:tc>
      </w:tr>
      <w:tr w:rsidR="00282DA2" w:rsidRPr="00812CDC" w14:paraId="43165064"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6127802B" w14:textId="77777777" w:rsidR="00282DA2" w:rsidRPr="00812CDC" w:rsidRDefault="00282DA2" w:rsidP="00C94D29">
            <w:pPr>
              <w:widowControl w:val="0"/>
              <w:contextualSpacing/>
              <w:rPr>
                <w:rFonts w:eastAsia="Arial" w:cs="Arial"/>
                <w:lang w:eastAsia="en-US"/>
              </w:rPr>
            </w:pPr>
            <w:r w:rsidRPr="00812CDC">
              <w:rPr>
                <w:rFonts w:cs="Arial"/>
              </w:rPr>
              <w:t>FENOGE</w:t>
            </w:r>
          </w:p>
        </w:tc>
        <w:tc>
          <w:tcPr>
            <w:tcW w:w="2268" w:type="dxa"/>
            <w:shd w:val="clear" w:color="auto" w:fill="auto"/>
            <w:tcMar>
              <w:top w:w="6" w:type="dxa"/>
              <w:left w:w="6" w:type="dxa"/>
              <w:bottom w:w="0" w:type="dxa"/>
              <w:right w:w="6" w:type="dxa"/>
            </w:tcMar>
            <w:vAlign w:val="center"/>
            <w:hideMark/>
          </w:tcPr>
          <w:p w14:paraId="436CE191"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011963</w:t>
            </w:r>
          </w:p>
        </w:tc>
      </w:tr>
      <w:tr w:rsidR="00282DA2" w:rsidRPr="00812CDC" w14:paraId="439F4023"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4A16E891" w14:textId="77777777" w:rsidR="00282DA2" w:rsidRPr="00812CDC" w:rsidRDefault="00282DA2" w:rsidP="00C94D29">
            <w:pPr>
              <w:widowControl w:val="0"/>
              <w:contextualSpacing/>
              <w:rPr>
                <w:rFonts w:eastAsia="Arial" w:cs="Arial"/>
                <w:lang w:eastAsia="en-US"/>
              </w:rPr>
            </w:pPr>
            <w:r w:rsidRPr="00812CDC">
              <w:rPr>
                <w:rFonts w:cs="Arial"/>
              </w:rPr>
              <w:t>Ministerio de Minas y Energía</w:t>
            </w:r>
          </w:p>
        </w:tc>
        <w:tc>
          <w:tcPr>
            <w:tcW w:w="2268" w:type="dxa"/>
            <w:shd w:val="clear" w:color="auto" w:fill="auto"/>
            <w:tcMar>
              <w:top w:w="6" w:type="dxa"/>
              <w:left w:w="6" w:type="dxa"/>
              <w:bottom w:w="0" w:type="dxa"/>
              <w:right w:w="6" w:type="dxa"/>
            </w:tcMar>
            <w:vAlign w:val="center"/>
            <w:hideMark/>
          </w:tcPr>
          <w:p w14:paraId="6BE4CD27"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011993</w:t>
            </w:r>
          </w:p>
        </w:tc>
      </w:tr>
      <w:tr w:rsidR="00282DA2" w:rsidRPr="00812CDC" w14:paraId="1CDF65B6"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4F6C5901" w14:textId="77777777" w:rsidR="00282DA2" w:rsidRPr="00812CDC" w:rsidRDefault="00282DA2" w:rsidP="00C94D29">
            <w:pPr>
              <w:widowControl w:val="0"/>
              <w:contextualSpacing/>
              <w:rPr>
                <w:rFonts w:eastAsia="Arial" w:cs="Arial"/>
                <w:lang w:eastAsia="en-US"/>
              </w:rPr>
            </w:pPr>
            <w:r w:rsidRPr="00812CDC">
              <w:rPr>
                <w:rFonts w:cs="Arial"/>
              </w:rPr>
              <w:t>Compañía Energética de Occidente -CEO</w:t>
            </w:r>
          </w:p>
        </w:tc>
        <w:tc>
          <w:tcPr>
            <w:tcW w:w="2268" w:type="dxa"/>
            <w:shd w:val="clear" w:color="auto" w:fill="auto"/>
            <w:tcMar>
              <w:top w:w="6" w:type="dxa"/>
              <w:left w:w="6" w:type="dxa"/>
              <w:bottom w:w="0" w:type="dxa"/>
              <w:right w:w="6" w:type="dxa"/>
            </w:tcMar>
            <w:vAlign w:val="center"/>
            <w:hideMark/>
          </w:tcPr>
          <w:p w14:paraId="0A9F507C" w14:textId="77777777" w:rsidR="00282DA2" w:rsidRPr="00812CDC" w:rsidRDefault="00282DA2" w:rsidP="00C94D29">
            <w:pPr>
              <w:widowControl w:val="0"/>
              <w:contextualSpacing/>
              <w:jc w:val="center"/>
              <w:rPr>
                <w:rFonts w:eastAsia="Arial" w:cs="Arial"/>
                <w:lang w:eastAsia="en-US"/>
              </w:rPr>
            </w:pPr>
            <w:r w:rsidRPr="00812CDC">
              <w:rPr>
                <w:rFonts w:eastAsia="Arial" w:cs="Arial"/>
                <w:szCs w:val="22"/>
              </w:rPr>
              <w:t>E-2020-</w:t>
            </w:r>
            <w:r w:rsidRPr="00812CDC">
              <w:rPr>
                <w:rFonts w:cs="Arial"/>
                <w:szCs w:val="22"/>
              </w:rPr>
              <w:t>012091</w:t>
            </w:r>
          </w:p>
        </w:tc>
      </w:tr>
      <w:tr w:rsidR="00282DA2" w:rsidRPr="00812CDC" w14:paraId="669BC9E7"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414DC797" w14:textId="77777777" w:rsidR="00282DA2" w:rsidRPr="00812CDC" w:rsidRDefault="00282DA2" w:rsidP="00C94D29">
            <w:pPr>
              <w:widowControl w:val="0"/>
              <w:contextualSpacing/>
              <w:rPr>
                <w:rFonts w:eastAsia="Arial" w:cs="Arial"/>
                <w:lang w:eastAsia="en-US"/>
              </w:rPr>
            </w:pPr>
            <w:r w:rsidRPr="00812CDC">
              <w:rPr>
                <w:rFonts w:cs="Arial"/>
              </w:rPr>
              <w:t>Helios S.A. E.S.P.</w:t>
            </w:r>
          </w:p>
        </w:tc>
        <w:tc>
          <w:tcPr>
            <w:tcW w:w="2268" w:type="dxa"/>
            <w:shd w:val="clear" w:color="auto" w:fill="auto"/>
            <w:tcMar>
              <w:top w:w="6" w:type="dxa"/>
              <w:left w:w="6" w:type="dxa"/>
              <w:bottom w:w="0" w:type="dxa"/>
              <w:right w:w="6" w:type="dxa"/>
            </w:tcMar>
            <w:vAlign w:val="center"/>
            <w:hideMark/>
          </w:tcPr>
          <w:p w14:paraId="5FEEC8D7" w14:textId="77777777" w:rsidR="00282DA2" w:rsidRPr="00812CDC" w:rsidRDefault="00282DA2" w:rsidP="00C94D29">
            <w:pPr>
              <w:widowControl w:val="0"/>
              <w:contextualSpacing/>
              <w:jc w:val="center"/>
              <w:rPr>
                <w:rFonts w:eastAsia="Arial" w:cs="Arial"/>
                <w:lang w:eastAsia="en-US"/>
              </w:rPr>
            </w:pPr>
            <w:r w:rsidRPr="00812CDC">
              <w:rPr>
                <w:rFonts w:cs="Arial"/>
                <w:szCs w:val="22"/>
              </w:rPr>
              <w:t>E-2021-009610</w:t>
            </w:r>
          </w:p>
        </w:tc>
      </w:tr>
      <w:tr w:rsidR="00282DA2" w:rsidRPr="00812CDC" w14:paraId="5971A884" w14:textId="77777777" w:rsidTr="005049CB">
        <w:trPr>
          <w:trHeight w:val="340"/>
          <w:jc w:val="center"/>
        </w:trPr>
        <w:tc>
          <w:tcPr>
            <w:tcW w:w="6374" w:type="dxa"/>
            <w:shd w:val="clear" w:color="auto" w:fill="auto"/>
            <w:tcMar>
              <w:top w:w="6" w:type="dxa"/>
              <w:left w:w="57" w:type="dxa"/>
              <w:bottom w:w="0" w:type="dxa"/>
              <w:right w:w="6" w:type="dxa"/>
            </w:tcMar>
            <w:vAlign w:val="center"/>
            <w:hideMark/>
          </w:tcPr>
          <w:p w14:paraId="019D8F0B" w14:textId="77777777" w:rsidR="00282DA2" w:rsidRPr="00812CDC" w:rsidRDefault="00282DA2" w:rsidP="00C94D29">
            <w:pPr>
              <w:widowControl w:val="0"/>
              <w:contextualSpacing/>
              <w:rPr>
                <w:rFonts w:eastAsia="Arial" w:cs="Arial"/>
                <w:lang w:eastAsia="en-US"/>
              </w:rPr>
            </w:pPr>
            <w:r w:rsidRPr="00812CDC">
              <w:rPr>
                <w:rFonts w:cs="Arial"/>
              </w:rPr>
              <w:t>Carlos Miguel García Díaz</w:t>
            </w:r>
          </w:p>
        </w:tc>
        <w:tc>
          <w:tcPr>
            <w:tcW w:w="2268" w:type="dxa"/>
            <w:shd w:val="clear" w:color="auto" w:fill="auto"/>
            <w:tcMar>
              <w:top w:w="6" w:type="dxa"/>
              <w:left w:w="6" w:type="dxa"/>
              <w:bottom w:w="0" w:type="dxa"/>
              <w:right w:w="6" w:type="dxa"/>
            </w:tcMar>
            <w:vAlign w:val="center"/>
            <w:hideMark/>
          </w:tcPr>
          <w:p w14:paraId="14855099" w14:textId="77777777" w:rsidR="00282DA2" w:rsidRPr="00812CDC" w:rsidRDefault="00282DA2" w:rsidP="00C94D29">
            <w:pPr>
              <w:widowControl w:val="0"/>
              <w:contextualSpacing/>
              <w:jc w:val="center"/>
              <w:rPr>
                <w:rFonts w:eastAsia="Arial" w:cs="Arial"/>
                <w:lang w:eastAsia="en-US"/>
              </w:rPr>
            </w:pPr>
            <w:r w:rsidRPr="00812CDC">
              <w:rPr>
                <w:rFonts w:cs="Arial"/>
                <w:szCs w:val="22"/>
              </w:rPr>
              <w:t>E-2021-010326</w:t>
            </w:r>
          </w:p>
        </w:tc>
      </w:tr>
    </w:tbl>
    <w:p w14:paraId="785AB85D" w14:textId="77777777" w:rsidR="00282DA2" w:rsidRPr="00B66211" w:rsidRDefault="00282DA2" w:rsidP="00C94D29">
      <w:pPr>
        <w:widowControl w:val="0"/>
        <w:contextualSpacing/>
        <w:jc w:val="both"/>
        <w:rPr>
          <w:rFonts w:eastAsia="Arial" w:cs="Arial"/>
          <w:lang w:eastAsia="en-US"/>
        </w:rPr>
      </w:pPr>
    </w:p>
    <w:p w14:paraId="3DEEDBF1" w14:textId="2A737FA8" w:rsidR="001A1E2A" w:rsidRPr="00B40E77" w:rsidRDefault="00B23CE0" w:rsidP="00C94D29">
      <w:pPr>
        <w:contextualSpacing/>
        <w:jc w:val="both"/>
        <w:rPr>
          <w:rFonts w:eastAsia="Arial" w:cs="Arial"/>
          <w:lang w:eastAsia="en-US"/>
        </w:rPr>
      </w:pPr>
      <w:r w:rsidRPr="00B40E77">
        <w:rPr>
          <w:rFonts w:eastAsia="Calibri" w:cs="Arial"/>
          <w:lang w:eastAsia="en-US"/>
        </w:rPr>
        <w:t xml:space="preserve">La Comisión </w:t>
      </w:r>
      <w:r w:rsidR="00FC1147">
        <w:rPr>
          <w:rFonts w:eastAsia="Calibri" w:cs="Arial"/>
          <w:lang w:eastAsia="en-US"/>
        </w:rPr>
        <w:t xml:space="preserve">contrató a </w:t>
      </w:r>
      <w:r w:rsidR="00FC1147" w:rsidRPr="00B40E77">
        <w:rPr>
          <w:rFonts w:eastAsia="Arial" w:cs="Arial"/>
          <w:lang w:eastAsia="en-US"/>
        </w:rPr>
        <w:t>HART ENERGY &amp; CONTROL CONSULTING S.A.S</w:t>
      </w:r>
      <w:r w:rsidR="00652964">
        <w:rPr>
          <w:rFonts w:eastAsia="Arial" w:cs="Arial"/>
          <w:lang w:eastAsia="en-US"/>
        </w:rPr>
        <w:t>.</w:t>
      </w:r>
      <w:r w:rsidR="00FC1147" w:rsidRPr="00B40E77">
        <w:rPr>
          <w:rFonts w:eastAsia="Calibri" w:cs="Arial"/>
          <w:lang w:eastAsia="en-US"/>
        </w:rPr>
        <w:t xml:space="preserve"> </w:t>
      </w:r>
      <w:r w:rsidR="00652964">
        <w:rPr>
          <w:rFonts w:eastAsia="Calibri" w:cs="Arial"/>
          <w:lang w:eastAsia="en-US"/>
        </w:rPr>
        <w:t xml:space="preserve">para elaboración del </w:t>
      </w:r>
      <w:r w:rsidRPr="00B40E77">
        <w:rPr>
          <w:rFonts w:eastAsia="Arial" w:cs="Arial"/>
          <w:lang w:eastAsia="en-US"/>
        </w:rPr>
        <w:t>estudio</w:t>
      </w:r>
      <w:r w:rsidR="009C54F6" w:rsidRPr="00B40E77">
        <w:rPr>
          <w:rFonts w:eastAsia="Arial" w:cs="Arial"/>
          <w:lang w:eastAsia="en-US"/>
        </w:rPr>
        <w:t xml:space="preserve"> </w:t>
      </w:r>
      <w:r w:rsidR="009C54F6">
        <w:rPr>
          <w:rFonts w:eastAsia="Arial" w:cs="Arial"/>
          <w:lang w:eastAsia="en-US"/>
        </w:rPr>
        <w:t xml:space="preserve">denominado </w:t>
      </w:r>
      <w:r w:rsidR="009C54F6" w:rsidRPr="00137072">
        <w:rPr>
          <w:rFonts w:eastAsia="Arial" w:cs="Arial"/>
          <w:i/>
          <w:lang w:eastAsia="en-US"/>
        </w:rPr>
        <w:t>“</w:t>
      </w:r>
      <w:r w:rsidR="00137072" w:rsidRPr="00137072">
        <w:rPr>
          <w:rFonts w:eastAsia="Arial" w:cs="Arial"/>
          <w:i/>
          <w:lang w:eastAsia="en-US"/>
        </w:rPr>
        <w:t>D</w:t>
      </w:r>
      <w:r w:rsidR="009C54F6" w:rsidRPr="00137072">
        <w:rPr>
          <w:rFonts w:eastAsia="Arial" w:cs="Arial"/>
          <w:i/>
          <w:lang w:eastAsia="en-US"/>
        </w:rPr>
        <w:t>esarrollo de un modelo de cálculo para la determinación del costo eficiente de la prestación del servicio de energía eléctrica a través de la atención a usuarios mediante soluciones aisladas centralizadas o individuales”</w:t>
      </w:r>
      <w:r w:rsidR="009C54F6">
        <w:rPr>
          <w:rFonts w:eastAsia="Arial" w:cs="Arial"/>
          <w:lang w:eastAsia="en-US"/>
        </w:rPr>
        <w:t>, cuyos resultados fueron presentados a los agentes en un taller virtual realizado el 29 de enero de 2021</w:t>
      </w:r>
      <w:r w:rsidR="001B11BC" w:rsidRPr="00B40E77">
        <w:rPr>
          <w:rFonts w:eastAsia="Arial" w:cs="Arial"/>
          <w:lang w:eastAsia="en-US"/>
        </w:rPr>
        <w:t>.</w:t>
      </w:r>
    </w:p>
    <w:p w14:paraId="64070EB0" w14:textId="77777777" w:rsidR="001B11BC" w:rsidRPr="00B40E77" w:rsidRDefault="001B11BC" w:rsidP="00C94D29">
      <w:pPr>
        <w:contextualSpacing/>
        <w:jc w:val="both"/>
        <w:rPr>
          <w:rFonts w:eastAsia="Arial" w:cs="Arial"/>
          <w:lang w:eastAsia="en-US"/>
        </w:rPr>
      </w:pPr>
    </w:p>
    <w:p w14:paraId="7BD4760E" w14:textId="609CAC80" w:rsidR="001B11BC" w:rsidRDefault="005502B0" w:rsidP="00C94D29">
      <w:pPr>
        <w:contextualSpacing/>
        <w:jc w:val="both"/>
        <w:rPr>
          <w:rFonts w:eastAsia="Arial" w:cs="Arial"/>
          <w:lang w:eastAsia="en-US"/>
        </w:rPr>
      </w:pPr>
      <w:r>
        <w:rPr>
          <w:rFonts w:eastAsia="Arial" w:cs="Arial"/>
          <w:lang w:eastAsia="en-US"/>
        </w:rPr>
        <w:t>C</w:t>
      </w:r>
      <w:r w:rsidR="00B40E77" w:rsidRPr="00B40E77">
        <w:rPr>
          <w:rFonts w:eastAsia="Arial" w:cs="Arial"/>
          <w:lang w:eastAsia="en-US"/>
        </w:rPr>
        <w:t>omo complemento a la propuesta regulatoria asociada a la Resolución CREG 137 de 2020, m</w:t>
      </w:r>
      <w:r w:rsidR="009C54F6" w:rsidRPr="00B40E77">
        <w:rPr>
          <w:rFonts w:eastAsia="Arial" w:cs="Arial"/>
          <w:lang w:eastAsia="en-US"/>
        </w:rPr>
        <w:t xml:space="preserve">ediante la </w:t>
      </w:r>
      <w:r w:rsidR="00B40E77" w:rsidRPr="00B40E77">
        <w:rPr>
          <w:rFonts w:eastAsia="Arial" w:cs="Arial"/>
          <w:lang w:eastAsia="en-US"/>
        </w:rPr>
        <w:t>C</w:t>
      </w:r>
      <w:r w:rsidR="009C54F6" w:rsidRPr="00B40E77">
        <w:rPr>
          <w:rFonts w:eastAsia="Arial" w:cs="Arial"/>
          <w:lang w:eastAsia="en-US"/>
        </w:rPr>
        <w:t>ircula</w:t>
      </w:r>
      <w:r w:rsidR="00B40E77" w:rsidRPr="00B40E77">
        <w:rPr>
          <w:rFonts w:eastAsia="Arial" w:cs="Arial"/>
          <w:lang w:eastAsia="en-US"/>
        </w:rPr>
        <w:t>r</w:t>
      </w:r>
      <w:r w:rsidR="009C54F6" w:rsidRPr="00B40E77">
        <w:rPr>
          <w:rFonts w:eastAsia="Arial" w:cs="Arial"/>
          <w:lang w:eastAsia="en-US"/>
        </w:rPr>
        <w:t xml:space="preserve"> </w:t>
      </w:r>
      <w:r w:rsidR="00B40E77" w:rsidRPr="00B40E77">
        <w:rPr>
          <w:rFonts w:eastAsia="Arial" w:cs="Arial"/>
          <w:lang w:eastAsia="en-US"/>
        </w:rPr>
        <w:t xml:space="preserve">CREG </w:t>
      </w:r>
      <w:r w:rsidR="009C54F6" w:rsidRPr="00B40E77">
        <w:rPr>
          <w:rFonts w:eastAsia="Arial" w:cs="Arial"/>
          <w:lang w:eastAsia="en-US"/>
        </w:rPr>
        <w:t>040 de 2021</w:t>
      </w:r>
      <w:r w:rsidR="006C4549">
        <w:rPr>
          <w:rFonts w:eastAsia="Arial" w:cs="Arial"/>
          <w:lang w:eastAsia="en-US"/>
        </w:rPr>
        <w:t xml:space="preserve"> se </w:t>
      </w:r>
      <w:r w:rsidR="009C54F6" w:rsidRPr="00B40E77">
        <w:rPr>
          <w:rFonts w:eastAsia="Arial" w:cs="Arial"/>
          <w:lang w:eastAsia="en-US"/>
        </w:rPr>
        <w:t>public</w:t>
      </w:r>
      <w:r w:rsidR="00F478AE">
        <w:rPr>
          <w:rFonts w:eastAsia="Arial" w:cs="Arial"/>
          <w:lang w:eastAsia="en-US"/>
        </w:rPr>
        <w:t xml:space="preserve">aron </w:t>
      </w:r>
      <w:r>
        <w:rPr>
          <w:rFonts w:eastAsia="Arial" w:cs="Arial"/>
          <w:lang w:eastAsia="en-US"/>
        </w:rPr>
        <w:t xml:space="preserve">para comentarios </w:t>
      </w:r>
      <w:r w:rsidR="00B40E77" w:rsidRPr="00B40E77">
        <w:rPr>
          <w:rFonts w:eastAsia="Arial" w:cs="Arial"/>
          <w:lang w:eastAsia="en-US"/>
        </w:rPr>
        <w:t>los productos elaborados por HART ENERGY &amp; CONTROL CONSULTING S.A.S</w:t>
      </w:r>
      <w:r w:rsidR="00A60230">
        <w:rPr>
          <w:rFonts w:eastAsia="Arial" w:cs="Arial"/>
          <w:lang w:eastAsia="en-US"/>
        </w:rPr>
        <w:t>.</w:t>
      </w:r>
      <w:r w:rsidR="00B40E77" w:rsidRPr="00B40E77">
        <w:rPr>
          <w:rFonts w:eastAsia="Arial" w:cs="Arial"/>
          <w:lang w:eastAsia="en-US"/>
        </w:rPr>
        <w:t>, en desarrollo del estudio mencionado</w:t>
      </w:r>
      <w:r w:rsidR="000A2566">
        <w:rPr>
          <w:rFonts w:eastAsia="Arial" w:cs="Arial"/>
          <w:lang w:eastAsia="en-US"/>
        </w:rPr>
        <w:t xml:space="preserve"> anteriormente</w:t>
      </w:r>
      <w:r w:rsidR="00B40E77" w:rsidRPr="00B40E77">
        <w:rPr>
          <w:rFonts w:eastAsia="Arial" w:cs="Arial"/>
          <w:lang w:eastAsia="en-US"/>
        </w:rPr>
        <w:t>.</w:t>
      </w:r>
      <w:r>
        <w:rPr>
          <w:rFonts w:eastAsia="Arial" w:cs="Arial"/>
          <w:lang w:eastAsia="en-US"/>
        </w:rPr>
        <w:t xml:space="preserve"> Se recibieron comentarios por parte de las </w:t>
      </w:r>
      <w:r w:rsidR="000A2566">
        <w:rPr>
          <w:rFonts w:eastAsia="Arial" w:cs="Arial"/>
          <w:lang w:eastAsia="en-US"/>
        </w:rPr>
        <w:t xml:space="preserve">siguientes </w:t>
      </w:r>
      <w:r>
        <w:rPr>
          <w:rFonts w:eastAsia="Arial" w:cs="Arial"/>
          <w:lang w:eastAsia="en-US"/>
        </w:rPr>
        <w:t>empresas:</w:t>
      </w:r>
    </w:p>
    <w:p w14:paraId="5F7B1332" w14:textId="77777777" w:rsidR="005502B0" w:rsidRDefault="005502B0" w:rsidP="00C94D29">
      <w:pPr>
        <w:contextualSpacing/>
        <w:jc w:val="both"/>
        <w:rPr>
          <w:rFonts w:eastAsia="Arial" w:cs="Arial"/>
          <w:lang w:eastAsia="en-US"/>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tblGrid>
      <w:tr w:rsidR="000A2566" w:rsidRPr="002A4DC9" w14:paraId="31EDAA83" w14:textId="77777777" w:rsidTr="00621625">
        <w:trPr>
          <w:trHeight w:val="340"/>
          <w:tblHeader/>
          <w:jc w:val="center"/>
        </w:trPr>
        <w:tc>
          <w:tcPr>
            <w:tcW w:w="4111" w:type="dxa"/>
            <w:shd w:val="clear" w:color="auto" w:fill="auto"/>
            <w:vAlign w:val="center"/>
          </w:tcPr>
          <w:p w14:paraId="195B06A9" w14:textId="77777777" w:rsidR="000A2566" w:rsidRPr="002A4DC9" w:rsidRDefault="000A2566" w:rsidP="00C94D29">
            <w:pPr>
              <w:contextualSpacing/>
              <w:jc w:val="center"/>
              <w:rPr>
                <w:szCs w:val="22"/>
              </w:rPr>
            </w:pPr>
            <w:r w:rsidRPr="002A4DC9">
              <w:rPr>
                <w:b/>
                <w:szCs w:val="22"/>
              </w:rPr>
              <w:t>Nombre</w:t>
            </w:r>
          </w:p>
        </w:tc>
        <w:tc>
          <w:tcPr>
            <w:tcW w:w="2693" w:type="dxa"/>
            <w:shd w:val="clear" w:color="auto" w:fill="auto"/>
            <w:vAlign w:val="center"/>
          </w:tcPr>
          <w:p w14:paraId="541B2F2D" w14:textId="77777777" w:rsidR="000A2566" w:rsidRPr="002A4DC9" w:rsidRDefault="000A2566" w:rsidP="00C94D29">
            <w:pPr>
              <w:contextualSpacing/>
              <w:jc w:val="center"/>
              <w:rPr>
                <w:szCs w:val="22"/>
              </w:rPr>
            </w:pPr>
            <w:r w:rsidRPr="002A4DC9">
              <w:rPr>
                <w:b/>
                <w:szCs w:val="22"/>
              </w:rPr>
              <w:t>Radicado</w:t>
            </w:r>
          </w:p>
        </w:tc>
      </w:tr>
      <w:tr w:rsidR="000A2566" w:rsidRPr="002A4DC9" w14:paraId="4595CE90" w14:textId="77777777" w:rsidTr="00621625">
        <w:trPr>
          <w:trHeight w:val="340"/>
          <w:jc w:val="center"/>
        </w:trPr>
        <w:tc>
          <w:tcPr>
            <w:tcW w:w="4111" w:type="dxa"/>
            <w:shd w:val="clear" w:color="auto" w:fill="auto"/>
            <w:vAlign w:val="center"/>
          </w:tcPr>
          <w:p w14:paraId="4928AC8C" w14:textId="77777777" w:rsidR="000A2566" w:rsidRPr="002A4DC9" w:rsidRDefault="000A2566" w:rsidP="00C94D29">
            <w:pPr>
              <w:contextualSpacing/>
              <w:rPr>
                <w:szCs w:val="22"/>
              </w:rPr>
            </w:pPr>
            <w:r w:rsidRPr="002A4DC9">
              <w:rPr>
                <w:szCs w:val="22"/>
              </w:rPr>
              <w:t>Empresas Públicas de Medellín</w:t>
            </w:r>
          </w:p>
        </w:tc>
        <w:tc>
          <w:tcPr>
            <w:tcW w:w="2693" w:type="dxa"/>
            <w:shd w:val="clear" w:color="auto" w:fill="auto"/>
            <w:vAlign w:val="center"/>
          </w:tcPr>
          <w:p w14:paraId="387041B7" w14:textId="77777777" w:rsidR="000A2566" w:rsidRPr="002A4DC9" w:rsidRDefault="000A2566" w:rsidP="00C94D29">
            <w:pPr>
              <w:contextualSpacing/>
              <w:jc w:val="center"/>
            </w:pPr>
            <w:r w:rsidRPr="002A4DC9">
              <w:rPr>
                <w:szCs w:val="22"/>
              </w:rPr>
              <w:t>E-2021-008140</w:t>
            </w:r>
          </w:p>
        </w:tc>
      </w:tr>
      <w:tr w:rsidR="000A2566" w:rsidRPr="002A4DC9" w14:paraId="555FD96F" w14:textId="77777777" w:rsidTr="00621625">
        <w:trPr>
          <w:trHeight w:val="340"/>
          <w:jc w:val="center"/>
        </w:trPr>
        <w:tc>
          <w:tcPr>
            <w:tcW w:w="4111" w:type="dxa"/>
            <w:shd w:val="clear" w:color="auto" w:fill="auto"/>
            <w:vAlign w:val="center"/>
          </w:tcPr>
          <w:p w14:paraId="0354FE8C" w14:textId="77777777" w:rsidR="000A2566" w:rsidRPr="002A4DC9" w:rsidRDefault="000A2566" w:rsidP="00C94D29">
            <w:pPr>
              <w:contextualSpacing/>
              <w:jc w:val="both"/>
            </w:pPr>
            <w:r w:rsidRPr="002A4DC9">
              <w:t>CEDENAR S.A. E.S.P.</w:t>
            </w:r>
          </w:p>
        </w:tc>
        <w:tc>
          <w:tcPr>
            <w:tcW w:w="2693" w:type="dxa"/>
            <w:shd w:val="clear" w:color="auto" w:fill="auto"/>
            <w:vAlign w:val="center"/>
          </w:tcPr>
          <w:p w14:paraId="6EB5F408" w14:textId="77777777" w:rsidR="000A2566" w:rsidRPr="002A4DC9" w:rsidRDefault="000A2566" w:rsidP="00C94D29">
            <w:pPr>
              <w:contextualSpacing/>
              <w:jc w:val="center"/>
              <w:rPr>
                <w:szCs w:val="22"/>
              </w:rPr>
            </w:pPr>
            <w:r w:rsidRPr="002A4DC9">
              <w:rPr>
                <w:szCs w:val="22"/>
              </w:rPr>
              <w:t>E-2021-008185</w:t>
            </w:r>
          </w:p>
        </w:tc>
      </w:tr>
      <w:tr w:rsidR="000A2566" w:rsidRPr="002A4DC9" w14:paraId="39E9C373" w14:textId="77777777" w:rsidTr="00621625">
        <w:trPr>
          <w:trHeight w:val="340"/>
          <w:jc w:val="center"/>
        </w:trPr>
        <w:tc>
          <w:tcPr>
            <w:tcW w:w="4111" w:type="dxa"/>
            <w:shd w:val="clear" w:color="auto" w:fill="auto"/>
            <w:vAlign w:val="center"/>
          </w:tcPr>
          <w:p w14:paraId="07C448A4" w14:textId="77777777" w:rsidR="000A2566" w:rsidRPr="002A4DC9" w:rsidRDefault="000A2566" w:rsidP="00C94D29">
            <w:pPr>
              <w:contextualSpacing/>
              <w:jc w:val="both"/>
              <w:rPr>
                <w:szCs w:val="22"/>
              </w:rPr>
            </w:pPr>
            <w:r w:rsidRPr="002A4DC9">
              <w:rPr>
                <w:szCs w:val="22"/>
              </w:rPr>
              <w:t>DISPAC S.A. E.S.P.</w:t>
            </w:r>
          </w:p>
        </w:tc>
        <w:tc>
          <w:tcPr>
            <w:tcW w:w="2693" w:type="dxa"/>
            <w:shd w:val="clear" w:color="auto" w:fill="auto"/>
            <w:vAlign w:val="center"/>
          </w:tcPr>
          <w:p w14:paraId="10236BC3" w14:textId="77777777" w:rsidR="000A2566" w:rsidRPr="002A4DC9" w:rsidRDefault="000A2566" w:rsidP="00C94D29">
            <w:pPr>
              <w:contextualSpacing/>
              <w:jc w:val="center"/>
            </w:pPr>
            <w:r w:rsidRPr="002A4DC9">
              <w:rPr>
                <w:szCs w:val="22"/>
              </w:rPr>
              <w:t>E-2021-008191</w:t>
            </w:r>
          </w:p>
        </w:tc>
      </w:tr>
      <w:tr w:rsidR="000A2566" w:rsidRPr="002A4DC9" w14:paraId="6BA88D28" w14:textId="77777777" w:rsidTr="00621625">
        <w:trPr>
          <w:trHeight w:val="340"/>
          <w:jc w:val="center"/>
        </w:trPr>
        <w:tc>
          <w:tcPr>
            <w:tcW w:w="4111" w:type="dxa"/>
            <w:shd w:val="clear" w:color="auto" w:fill="auto"/>
            <w:vAlign w:val="center"/>
          </w:tcPr>
          <w:p w14:paraId="750D8DF3" w14:textId="07B6D67B" w:rsidR="000A2566" w:rsidRPr="002A4DC9" w:rsidRDefault="000A2566" w:rsidP="00C94D29">
            <w:pPr>
              <w:contextualSpacing/>
              <w:jc w:val="both"/>
              <w:rPr>
                <w:szCs w:val="22"/>
              </w:rPr>
            </w:pPr>
            <w:r w:rsidRPr="002A4DC9">
              <w:rPr>
                <w:szCs w:val="22"/>
              </w:rPr>
              <w:t>Codensa S.A. E</w:t>
            </w:r>
            <w:r w:rsidR="00870D7F">
              <w:rPr>
                <w:szCs w:val="22"/>
              </w:rPr>
              <w:t>.</w:t>
            </w:r>
            <w:r w:rsidRPr="002A4DC9">
              <w:rPr>
                <w:szCs w:val="22"/>
              </w:rPr>
              <w:t>S</w:t>
            </w:r>
            <w:r w:rsidR="00870D7F">
              <w:rPr>
                <w:szCs w:val="22"/>
              </w:rPr>
              <w:t>.</w:t>
            </w:r>
            <w:r w:rsidRPr="002A4DC9">
              <w:rPr>
                <w:szCs w:val="22"/>
              </w:rPr>
              <w:t>P.</w:t>
            </w:r>
          </w:p>
        </w:tc>
        <w:tc>
          <w:tcPr>
            <w:tcW w:w="2693" w:type="dxa"/>
            <w:shd w:val="clear" w:color="auto" w:fill="auto"/>
            <w:vAlign w:val="center"/>
          </w:tcPr>
          <w:p w14:paraId="240B96E5" w14:textId="77777777" w:rsidR="000A2566" w:rsidRPr="002A4DC9" w:rsidRDefault="000A2566" w:rsidP="00C94D29">
            <w:pPr>
              <w:contextualSpacing/>
              <w:jc w:val="center"/>
            </w:pPr>
            <w:r w:rsidRPr="002A4DC9">
              <w:rPr>
                <w:szCs w:val="22"/>
              </w:rPr>
              <w:t>E-2021-008208</w:t>
            </w:r>
          </w:p>
        </w:tc>
      </w:tr>
    </w:tbl>
    <w:p w14:paraId="3A4A400E" w14:textId="77777777" w:rsidR="00A51F6D" w:rsidRDefault="00A51F6D" w:rsidP="00A51F6D">
      <w:pPr>
        <w:contextualSpacing/>
        <w:jc w:val="both"/>
        <w:rPr>
          <w:rFonts w:eastAsia="Calibri" w:cs="Arial"/>
          <w:highlight w:val="cyan"/>
          <w:lang w:eastAsia="en-US"/>
        </w:rPr>
      </w:pPr>
    </w:p>
    <w:p w14:paraId="791210D4" w14:textId="607D67B8" w:rsidR="00E1004F" w:rsidRPr="00B66211" w:rsidRDefault="00E1004F" w:rsidP="00E1004F">
      <w:pPr>
        <w:widowControl w:val="0"/>
        <w:contextualSpacing/>
        <w:jc w:val="both"/>
        <w:rPr>
          <w:rFonts w:eastAsia="Arial" w:cs="Arial"/>
          <w:lang w:eastAsia="en-US"/>
        </w:rPr>
      </w:pPr>
      <w:r w:rsidRPr="00B66211">
        <w:rPr>
          <w:rFonts w:eastAsia="Arial" w:cs="Arial"/>
          <w:lang w:eastAsia="en-US"/>
        </w:rPr>
        <w:t xml:space="preserve">En el </w:t>
      </w:r>
      <w:r w:rsidRPr="004B39AE">
        <w:rPr>
          <w:rFonts w:eastAsia="Arial" w:cs="Arial"/>
          <w:lang w:eastAsia="en-US"/>
        </w:rPr>
        <w:t>documento CREG 00</w:t>
      </w:r>
      <w:r>
        <w:rPr>
          <w:rFonts w:eastAsia="Arial" w:cs="Arial"/>
          <w:lang w:eastAsia="en-US"/>
        </w:rPr>
        <w:t>1</w:t>
      </w:r>
      <w:r w:rsidRPr="004B39AE">
        <w:rPr>
          <w:rFonts w:eastAsia="Arial" w:cs="Arial"/>
          <w:lang w:eastAsia="en-US"/>
        </w:rPr>
        <w:t xml:space="preserve"> de 2022 se encuentra</w:t>
      </w:r>
      <w:r>
        <w:rPr>
          <w:rFonts w:eastAsia="Arial" w:cs="Arial"/>
          <w:lang w:eastAsia="en-US"/>
        </w:rPr>
        <w:t xml:space="preserve"> e</w:t>
      </w:r>
      <w:r w:rsidRPr="00B66211">
        <w:rPr>
          <w:rFonts w:eastAsia="Arial" w:cs="Arial"/>
          <w:lang w:eastAsia="en-US"/>
        </w:rPr>
        <w:t>l</w:t>
      </w:r>
      <w:r>
        <w:rPr>
          <w:rFonts w:eastAsia="Arial" w:cs="Arial"/>
          <w:lang w:eastAsia="en-US"/>
        </w:rPr>
        <w:t xml:space="preserve"> </w:t>
      </w:r>
      <w:r w:rsidRPr="00B66211">
        <w:rPr>
          <w:rFonts w:eastAsia="Arial" w:cs="Arial"/>
          <w:lang w:eastAsia="en-US"/>
        </w:rPr>
        <w:t xml:space="preserve">análisis </w:t>
      </w:r>
      <w:r>
        <w:rPr>
          <w:rFonts w:eastAsia="Arial" w:cs="Arial"/>
          <w:lang w:eastAsia="en-US"/>
        </w:rPr>
        <w:t xml:space="preserve">efectuado </w:t>
      </w:r>
      <w:r w:rsidRPr="00B66211">
        <w:rPr>
          <w:rFonts w:eastAsia="Arial" w:cs="Arial"/>
          <w:lang w:eastAsia="en-US"/>
        </w:rPr>
        <w:t>a cada uno de los</w:t>
      </w:r>
      <w:r>
        <w:rPr>
          <w:rFonts w:eastAsia="Arial" w:cs="Arial"/>
          <w:lang w:eastAsia="en-US"/>
        </w:rPr>
        <w:t xml:space="preserve"> </w:t>
      </w:r>
      <w:r w:rsidRPr="00B66211">
        <w:rPr>
          <w:rFonts w:eastAsia="Arial" w:cs="Arial"/>
          <w:lang w:eastAsia="en-US"/>
        </w:rPr>
        <w:t>comentarios que se recibieron</w:t>
      </w:r>
      <w:r>
        <w:rPr>
          <w:rFonts w:eastAsia="Arial" w:cs="Arial"/>
          <w:lang w:eastAsia="en-US"/>
        </w:rPr>
        <w:t xml:space="preserve">, tanto a la propuesta regulatoria </w:t>
      </w:r>
      <w:r w:rsidR="00C5587E">
        <w:rPr>
          <w:rFonts w:eastAsia="Arial" w:cs="Arial"/>
          <w:lang w:eastAsia="en-US"/>
        </w:rPr>
        <w:t>de la Resolución CREG 137 de 2020</w:t>
      </w:r>
      <w:r w:rsidR="00DF26D8">
        <w:rPr>
          <w:rFonts w:eastAsia="Arial" w:cs="Arial"/>
          <w:lang w:eastAsia="en-US"/>
        </w:rPr>
        <w:t>,</w:t>
      </w:r>
      <w:r w:rsidR="00C5587E">
        <w:rPr>
          <w:rFonts w:eastAsia="Arial" w:cs="Arial"/>
          <w:lang w:eastAsia="en-US"/>
        </w:rPr>
        <w:t xml:space="preserve"> como al </w:t>
      </w:r>
      <w:r w:rsidR="00A60230">
        <w:rPr>
          <w:rFonts w:eastAsia="Arial" w:cs="Arial"/>
          <w:lang w:eastAsia="en-US"/>
        </w:rPr>
        <w:t xml:space="preserve">estudio elaborado por </w:t>
      </w:r>
      <w:r w:rsidR="00A60230" w:rsidRPr="00B40E77">
        <w:rPr>
          <w:rFonts w:eastAsia="Arial" w:cs="Arial"/>
          <w:lang w:eastAsia="en-US"/>
        </w:rPr>
        <w:t>HART ENERGY &amp; CONTROL CONSULTING S.A.S</w:t>
      </w:r>
      <w:r>
        <w:rPr>
          <w:rFonts w:eastAsia="Arial" w:cs="Arial"/>
          <w:lang w:eastAsia="en-US"/>
        </w:rPr>
        <w:t>.</w:t>
      </w:r>
    </w:p>
    <w:p w14:paraId="1C3F734C" w14:textId="77777777" w:rsidR="005A4653" w:rsidRPr="00B66211" w:rsidRDefault="005A4653" w:rsidP="00A51F6D">
      <w:pPr>
        <w:contextualSpacing/>
        <w:jc w:val="both"/>
        <w:rPr>
          <w:rFonts w:eastAsia="Calibri" w:cs="Arial"/>
          <w:highlight w:val="cyan"/>
          <w:lang w:eastAsia="en-US"/>
        </w:rPr>
      </w:pPr>
    </w:p>
    <w:p w14:paraId="4D883420" w14:textId="49BA4083" w:rsidR="00A51F6D" w:rsidRPr="00B66211" w:rsidRDefault="00A51F6D" w:rsidP="00A51F6D">
      <w:pPr>
        <w:widowControl w:val="0"/>
        <w:contextualSpacing/>
        <w:jc w:val="both"/>
        <w:rPr>
          <w:rFonts w:eastAsia="Arial" w:cs="Arial"/>
          <w:lang w:eastAsia="en-US"/>
        </w:rPr>
      </w:pPr>
      <w:r w:rsidRPr="00B66211">
        <w:rPr>
          <w:rFonts w:eastAsia="Arial" w:cs="Arial"/>
          <w:lang w:eastAsia="en-US"/>
        </w:rPr>
        <w:t xml:space="preserve">Mediante la Resolución CREG </w:t>
      </w:r>
      <w:r>
        <w:rPr>
          <w:rFonts w:eastAsia="Arial" w:cs="Arial"/>
          <w:lang w:eastAsia="en-US"/>
        </w:rPr>
        <w:t>701 001</w:t>
      </w:r>
      <w:r w:rsidRPr="00B66211">
        <w:rPr>
          <w:rFonts w:eastAsia="Arial" w:cs="Arial"/>
          <w:lang w:eastAsia="en-US"/>
        </w:rPr>
        <w:t xml:space="preserve"> de 202</w:t>
      </w:r>
      <w:r>
        <w:rPr>
          <w:rFonts w:eastAsia="Arial" w:cs="Arial"/>
          <w:lang w:eastAsia="en-US"/>
        </w:rPr>
        <w:t>2,</w:t>
      </w:r>
      <w:r w:rsidRPr="00B66211">
        <w:rPr>
          <w:rFonts w:eastAsia="Arial" w:cs="Arial"/>
          <w:lang w:eastAsia="en-US"/>
        </w:rPr>
        <w:t xml:space="preserve"> la Comisión sometió a consulta el proyecto de resolución </w:t>
      </w:r>
      <w:r w:rsidRPr="00B66211">
        <w:rPr>
          <w:rFonts w:eastAsia="Arial" w:cs="Arial"/>
          <w:i/>
          <w:lang w:eastAsia="en-US"/>
        </w:rPr>
        <w:t>“</w:t>
      </w:r>
      <w:r w:rsidR="00351AFB" w:rsidRPr="00351AFB">
        <w:rPr>
          <w:rFonts w:eastAsia="Arial" w:cs="Arial"/>
          <w:i/>
          <w:lang w:eastAsia="en-US"/>
        </w:rPr>
        <w:t>Por la cual se define la fórmula tarifaria general para establecer la remuneración de la prestación del servicio de energía eléctrica mediante Soluciones Individuales Solares Fotovoltaicas</w:t>
      </w:r>
      <w:r w:rsidRPr="00B66211">
        <w:rPr>
          <w:rFonts w:eastAsia="Arial" w:cs="Arial"/>
          <w:i/>
          <w:lang w:eastAsia="en-US"/>
        </w:rPr>
        <w:t>”</w:t>
      </w:r>
      <w:r w:rsidRPr="00B66211">
        <w:rPr>
          <w:rFonts w:eastAsia="Arial" w:cs="Arial"/>
          <w:lang w:eastAsia="en-US"/>
        </w:rPr>
        <w:t>.</w:t>
      </w:r>
      <w:r w:rsidR="00675CCE">
        <w:rPr>
          <w:rFonts w:eastAsia="Arial" w:cs="Arial"/>
          <w:lang w:eastAsia="en-US"/>
        </w:rPr>
        <w:t xml:space="preserve"> El periodo de consulta </w:t>
      </w:r>
      <w:r w:rsidR="008A0B57">
        <w:rPr>
          <w:rFonts w:eastAsia="Arial" w:cs="Arial"/>
          <w:lang w:eastAsia="en-US"/>
        </w:rPr>
        <w:t>se extendió desde el 4 de febrero hasta el 7 de marzo de 2022.</w:t>
      </w:r>
    </w:p>
    <w:p w14:paraId="7D447DB2" w14:textId="77777777" w:rsidR="00A51F6D" w:rsidRDefault="00A51F6D" w:rsidP="00A51F6D">
      <w:pPr>
        <w:widowControl w:val="0"/>
        <w:contextualSpacing/>
        <w:jc w:val="both"/>
        <w:rPr>
          <w:rFonts w:eastAsia="Arial" w:cs="Arial"/>
          <w:lang w:eastAsia="en-US"/>
        </w:rPr>
      </w:pPr>
    </w:p>
    <w:p w14:paraId="550D4E64" w14:textId="079C27BF" w:rsidR="005D2F6F" w:rsidRDefault="00A51F6D" w:rsidP="005D2F6F">
      <w:pPr>
        <w:widowControl w:val="0"/>
        <w:contextualSpacing/>
        <w:jc w:val="both"/>
        <w:rPr>
          <w:rFonts w:eastAsia="Arial" w:cs="Arial"/>
          <w:lang w:eastAsia="en-US"/>
        </w:rPr>
      </w:pPr>
      <w:r w:rsidRPr="00675CCE">
        <w:rPr>
          <w:rFonts w:eastAsia="Arial" w:cs="Arial"/>
          <w:lang w:eastAsia="en-US"/>
        </w:rPr>
        <w:t>Mediante Circular CREG 0</w:t>
      </w:r>
      <w:r w:rsidR="00770353" w:rsidRPr="00675CCE">
        <w:rPr>
          <w:rFonts w:eastAsia="Arial" w:cs="Arial"/>
          <w:lang w:eastAsia="en-US"/>
        </w:rPr>
        <w:t>07</w:t>
      </w:r>
      <w:r w:rsidRPr="00675CCE">
        <w:rPr>
          <w:rFonts w:eastAsia="Arial" w:cs="Arial"/>
          <w:lang w:eastAsia="en-US"/>
        </w:rPr>
        <w:t xml:space="preserve"> del </w:t>
      </w:r>
      <w:r w:rsidR="00770353" w:rsidRPr="00675CCE">
        <w:rPr>
          <w:rFonts w:eastAsia="Arial" w:cs="Arial"/>
          <w:lang w:eastAsia="en-US"/>
        </w:rPr>
        <w:t>04</w:t>
      </w:r>
      <w:r w:rsidRPr="00675CCE">
        <w:rPr>
          <w:rFonts w:eastAsia="Arial" w:cs="Arial"/>
          <w:lang w:eastAsia="en-US"/>
        </w:rPr>
        <w:t xml:space="preserve"> de </w:t>
      </w:r>
      <w:r w:rsidR="00770353" w:rsidRPr="00675CCE">
        <w:rPr>
          <w:rFonts w:eastAsia="Arial" w:cs="Arial"/>
          <w:lang w:eastAsia="en-US"/>
        </w:rPr>
        <w:t xml:space="preserve">febrero </w:t>
      </w:r>
      <w:r w:rsidRPr="00675CCE">
        <w:rPr>
          <w:rFonts w:eastAsia="Arial" w:cs="Arial"/>
          <w:lang w:eastAsia="en-US"/>
        </w:rPr>
        <w:t>de 202</w:t>
      </w:r>
      <w:r w:rsidR="005E2C56" w:rsidRPr="00675CCE">
        <w:rPr>
          <w:rFonts w:eastAsia="Arial" w:cs="Arial"/>
          <w:lang w:eastAsia="en-US"/>
        </w:rPr>
        <w:t>2</w:t>
      </w:r>
      <w:r w:rsidRPr="00675CCE">
        <w:rPr>
          <w:rFonts w:eastAsia="Arial" w:cs="Arial"/>
          <w:lang w:eastAsia="en-US"/>
        </w:rPr>
        <w:t xml:space="preserve"> se invitó a</w:t>
      </w:r>
      <w:r w:rsidR="00770353" w:rsidRPr="00675CCE">
        <w:rPr>
          <w:rFonts w:eastAsia="Arial" w:cs="Arial"/>
          <w:lang w:eastAsia="en-US"/>
        </w:rPr>
        <w:t xml:space="preserve"> alcaldes, empresas prestadoras del servicio, Superintendencia de Servicios Públicos Domiciliarios y demás interesados </w:t>
      </w:r>
      <w:r w:rsidRPr="00675CCE">
        <w:rPr>
          <w:rFonts w:eastAsia="Arial" w:cs="Arial"/>
          <w:lang w:eastAsia="en-US"/>
        </w:rPr>
        <w:t xml:space="preserve">a participar en </w:t>
      </w:r>
      <w:r w:rsidR="005E2C56" w:rsidRPr="00675CCE">
        <w:rPr>
          <w:rFonts w:eastAsia="Arial" w:cs="Arial"/>
          <w:lang w:eastAsia="en-US"/>
        </w:rPr>
        <w:t xml:space="preserve">el taller presencial </w:t>
      </w:r>
      <w:r w:rsidR="00D84E1A" w:rsidRPr="00675CCE">
        <w:rPr>
          <w:rFonts w:eastAsia="Arial" w:cs="Arial"/>
          <w:lang w:eastAsia="en-US"/>
        </w:rPr>
        <w:t xml:space="preserve">efectuado el 11 de febrero de 2022, </w:t>
      </w:r>
      <w:r w:rsidR="005E2C56" w:rsidRPr="00675CCE">
        <w:rPr>
          <w:rFonts w:eastAsia="Arial" w:cs="Arial"/>
          <w:lang w:eastAsia="en-US"/>
        </w:rPr>
        <w:t xml:space="preserve">en la </w:t>
      </w:r>
      <w:r w:rsidR="003B7373" w:rsidRPr="00675CCE">
        <w:rPr>
          <w:rFonts w:eastAsia="Arial" w:cs="Arial"/>
          <w:lang w:eastAsia="en-US"/>
        </w:rPr>
        <w:t>Casa de la Cultura Centro Cultural</w:t>
      </w:r>
      <w:r w:rsidR="00F4688A">
        <w:rPr>
          <w:rFonts w:eastAsia="Arial" w:cs="Arial"/>
          <w:lang w:eastAsia="en-US"/>
        </w:rPr>
        <w:t xml:space="preserve"> d</w:t>
      </w:r>
      <w:r w:rsidR="003B7373" w:rsidRPr="00675CCE">
        <w:rPr>
          <w:rFonts w:eastAsia="Arial" w:cs="Arial"/>
          <w:lang w:eastAsia="en-US"/>
        </w:rPr>
        <w:t xml:space="preserve">e La Guajira, </w:t>
      </w:r>
      <w:r w:rsidR="00894293" w:rsidRPr="00675CCE">
        <w:rPr>
          <w:rFonts w:eastAsia="Arial" w:cs="Arial"/>
          <w:lang w:eastAsia="en-US"/>
        </w:rPr>
        <w:t xml:space="preserve">Riohacha, </w:t>
      </w:r>
      <w:r w:rsidR="005D2F6F" w:rsidRPr="00675CCE">
        <w:rPr>
          <w:rFonts w:eastAsia="Arial" w:cs="Arial"/>
          <w:lang w:eastAsia="en-US"/>
        </w:rPr>
        <w:t>para explicar</w:t>
      </w:r>
      <w:r w:rsidR="003713AF" w:rsidRPr="00675CCE">
        <w:rPr>
          <w:rFonts w:eastAsia="Arial" w:cs="Arial"/>
          <w:lang w:eastAsia="en-US"/>
        </w:rPr>
        <w:t xml:space="preserve"> </w:t>
      </w:r>
      <w:r w:rsidR="005D2F6F" w:rsidRPr="00675CCE">
        <w:rPr>
          <w:rFonts w:eastAsia="Arial" w:cs="Arial"/>
          <w:lang w:eastAsia="en-US"/>
        </w:rPr>
        <w:t xml:space="preserve">las principales modificaciones </w:t>
      </w:r>
      <w:r w:rsidR="00675CCE" w:rsidRPr="00675CCE">
        <w:rPr>
          <w:rFonts w:eastAsia="Arial" w:cs="Arial"/>
          <w:lang w:eastAsia="en-US"/>
        </w:rPr>
        <w:t xml:space="preserve">propuestas </w:t>
      </w:r>
      <w:r w:rsidR="005D2F6F" w:rsidRPr="00675CCE">
        <w:rPr>
          <w:rFonts w:eastAsia="Arial" w:cs="Arial"/>
          <w:lang w:eastAsia="en-US"/>
        </w:rPr>
        <w:t xml:space="preserve">a la metodología tarifaria para </w:t>
      </w:r>
      <w:r w:rsidR="00675CCE" w:rsidRPr="00675CCE">
        <w:rPr>
          <w:rFonts w:eastAsia="Arial" w:cs="Arial"/>
          <w:lang w:eastAsia="en-US"/>
        </w:rPr>
        <w:t xml:space="preserve">el </w:t>
      </w:r>
      <w:r w:rsidR="005D2F6F" w:rsidRPr="00675CCE">
        <w:rPr>
          <w:rFonts w:eastAsia="Arial" w:cs="Arial"/>
          <w:lang w:eastAsia="en-US"/>
        </w:rPr>
        <w:t>servicio de energía eléctrica</w:t>
      </w:r>
      <w:r w:rsidR="003B7373" w:rsidRPr="00675CCE">
        <w:rPr>
          <w:rFonts w:eastAsia="Arial" w:cs="Arial"/>
          <w:lang w:eastAsia="en-US"/>
        </w:rPr>
        <w:t xml:space="preserve"> </w:t>
      </w:r>
      <w:r w:rsidR="005D2F6F" w:rsidRPr="00675CCE">
        <w:rPr>
          <w:rFonts w:eastAsia="Arial" w:cs="Arial"/>
          <w:lang w:eastAsia="en-US"/>
        </w:rPr>
        <w:t>a través de Soluciones Individuales Solares Fotovoltaicas.</w:t>
      </w:r>
    </w:p>
    <w:p w14:paraId="0E7F3AA0" w14:textId="77777777" w:rsidR="00A322A7" w:rsidRPr="00B66211" w:rsidRDefault="00A322A7" w:rsidP="00A51F6D">
      <w:pPr>
        <w:widowControl w:val="0"/>
        <w:contextualSpacing/>
        <w:jc w:val="both"/>
        <w:rPr>
          <w:rFonts w:eastAsia="Arial" w:cs="Arial"/>
          <w:lang w:eastAsia="en-US"/>
        </w:rPr>
      </w:pPr>
    </w:p>
    <w:p w14:paraId="2F3392F6" w14:textId="77777777" w:rsidR="00A51F6D" w:rsidRPr="00B66211" w:rsidRDefault="00A51F6D" w:rsidP="00A51F6D">
      <w:pPr>
        <w:widowControl w:val="0"/>
        <w:contextualSpacing/>
        <w:jc w:val="both"/>
        <w:rPr>
          <w:rFonts w:eastAsia="Arial" w:cs="Arial"/>
          <w:lang w:eastAsia="en-US"/>
        </w:rPr>
      </w:pPr>
      <w:r w:rsidRPr="00B66211">
        <w:rPr>
          <w:rFonts w:eastAsia="Arial" w:cs="Arial"/>
          <w:lang w:eastAsia="en-US"/>
        </w:rPr>
        <w:t>Atendiendo la consulta, las siguientes empresas hicieron comentarios:</w:t>
      </w:r>
    </w:p>
    <w:p w14:paraId="6899BECE" w14:textId="77777777" w:rsidR="00A51F6D" w:rsidRPr="00B66211" w:rsidRDefault="00A51F6D" w:rsidP="00A51F6D">
      <w:pPr>
        <w:widowControl w:val="0"/>
        <w:contextualSpacing/>
        <w:jc w:val="both"/>
        <w:rPr>
          <w:rFonts w:eastAsia="Arial" w:cs="Arial"/>
          <w:lang w:eastAsia="en-U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6374"/>
        <w:gridCol w:w="2268"/>
      </w:tblGrid>
      <w:tr w:rsidR="00A51F6D" w:rsidRPr="00812CDC" w14:paraId="51446339" w14:textId="77777777" w:rsidTr="00377521">
        <w:trPr>
          <w:trHeight w:val="340"/>
          <w:tblHeader/>
          <w:jc w:val="center"/>
        </w:trPr>
        <w:tc>
          <w:tcPr>
            <w:tcW w:w="6374" w:type="dxa"/>
            <w:shd w:val="clear" w:color="auto" w:fill="auto"/>
            <w:tcMar>
              <w:top w:w="6" w:type="dxa"/>
              <w:left w:w="6" w:type="dxa"/>
              <w:bottom w:w="0" w:type="dxa"/>
              <w:right w:w="6" w:type="dxa"/>
            </w:tcMar>
            <w:vAlign w:val="center"/>
            <w:hideMark/>
          </w:tcPr>
          <w:p w14:paraId="6D39E410" w14:textId="77777777" w:rsidR="00A51F6D" w:rsidRPr="00812CDC" w:rsidRDefault="00A51F6D" w:rsidP="00377521">
            <w:pPr>
              <w:widowControl w:val="0"/>
              <w:contextualSpacing/>
              <w:jc w:val="center"/>
              <w:rPr>
                <w:rFonts w:eastAsia="Arial" w:cs="Arial"/>
                <w:lang w:eastAsia="en-US"/>
              </w:rPr>
            </w:pPr>
            <w:r w:rsidRPr="00812CDC">
              <w:rPr>
                <w:rFonts w:eastAsia="Arial" w:cs="Arial"/>
                <w:b/>
                <w:lang w:eastAsia="en-US"/>
              </w:rPr>
              <w:t>EMPRESA</w:t>
            </w:r>
          </w:p>
        </w:tc>
        <w:tc>
          <w:tcPr>
            <w:tcW w:w="2268" w:type="dxa"/>
            <w:shd w:val="clear" w:color="auto" w:fill="auto"/>
            <w:tcMar>
              <w:top w:w="6" w:type="dxa"/>
              <w:left w:w="6" w:type="dxa"/>
              <w:bottom w:w="0" w:type="dxa"/>
              <w:right w:w="6" w:type="dxa"/>
            </w:tcMar>
            <w:vAlign w:val="center"/>
            <w:hideMark/>
          </w:tcPr>
          <w:p w14:paraId="60EF23FC" w14:textId="77777777" w:rsidR="00A51F6D" w:rsidRPr="00812CDC" w:rsidRDefault="00A51F6D" w:rsidP="00377521">
            <w:pPr>
              <w:widowControl w:val="0"/>
              <w:contextualSpacing/>
              <w:jc w:val="center"/>
              <w:rPr>
                <w:rFonts w:eastAsia="Arial" w:cs="Arial"/>
                <w:lang w:eastAsia="en-US"/>
              </w:rPr>
            </w:pPr>
            <w:r w:rsidRPr="00812CDC">
              <w:rPr>
                <w:rFonts w:eastAsia="Arial" w:cs="Arial"/>
                <w:b/>
                <w:lang w:eastAsia="en-US"/>
              </w:rPr>
              <w:t>RADICADO</w:t>
            </w:r>
          </w:p>
        </w:tc>
      </w:tr>
      <w:tr w:rsidR="00732334" w:rsidRPr="00812CDC" w14:paraId="0D0F41AF" w14:textId="77777777" w:rsidTr="00A322A7">
        <w:trPr>
          <w:trHeight w:val="340"/>
          <w:jc w:val="center"/>
        </w:trPr>
        <w:tc>
          <w:tcPr>
            <w:tcW w:w="6374" w:type="dxa"/>
            <w:shd w:val="clear" w:color="auto" w:fill="auto"/>
            <w:tcMar>
              <w:top w:w="6" w:type="dxa"/>
              <w:left w:w="57" w:type="dxa"/>
              <w:bottom w:w="0" w:type="dxa"/>
              <w:right w:w="6" w:type="dxa"/>
            </w:tcMar>
            <w:vAlign w:val="center"/>
          </w:tcPr>
          <w:p w14:paraId="479F5208" w14:textId="72C499DD" w:rsidR="00732334" w:rsidRPr="00812CDC" w:rsidRDefault="00732334" w:rsidP="00732334">
            <w:pPr>
              <w:widowControl w:val="0"/>
              <w:contextualSpacing/>
              <w:rPr>
                <w:rFonts w:eastAsia="Arial" w:cs="Arial"/>
                <w:lang w:eastAsia="en-US"/>
              </w:rPr>
            </w:pPr>
            <w:r w:rsidRPr="00982AC8">
              <w:rPr>
                <w:rFonts w:cs="Arial"/>
                <w:color w:val="000000"/>
                <w:szCs w:val="22"/>
              </w:rPr>
              <w:t>Soluna S.A. E.S.P.</w:t>
            </w:r>
          </w:p>
        </w:tc>
        <w:tc>
          <w:tcPr>
            <w:tcW w:w="2268" w:type="dxa"/>
            <w:shd w:val="clear" w:color="auto" w:fill="auto"/>
            <w:tcMar>
              <w:top w:w="6" w:type="dxa"/>
              <w:left w:w="6" w:type="dxa"/>
              <w:bottom w:w="0" w:type="dxa"/>
              <w:right w:w="6" w:type="dxa"/>
            </w:tcMar>
            <w:vAlign w:val="center"/>
          </w:tcPr>
          <w:p w14:paraId="7B4FA04D" w14:textId="77777777" w:rsidR="00732334" w:rsidRPr="00982AC8" w:rsidRDefault="00732334" w:rsidP="00732334">
            <w:pPr>
              <w:contextualSpacing/>
              <w:jc w:val="center"/>
              <w:rPr>
                <w:rFonts w:cs="Arial"/>
                <w:color w:val="000000"/>
                <w:szCs w:val="22"/>
              </w:rPr>
            </w:pPr>
            <w:r w:rsidRPr="00982AC8">
              <w:rPr>
                <w:rFonts w:cs="Arial"/>
                <w:color w:val="000000"/>
                <w:szCs w:val="22"/>
              </w:rPr>
              <w:t>E-2022-002273</w:t>
            </w:r>
          </w:p>
          <w:p w14:paraId="38C5B544" w14:textId="77777777" w:rsidR="00732334" w:rsidRPr="00982AC8" w:rsidRDefault="00732334" w:rsidP="00732334">
            <w:pPr>
              <w:contextualSpacing/>
              <w:jc w:val="center"/>
              <w:rPr>
                <w:rFonts w:cs="Arial"/>
                <w:color w:val="000000"/>
                <w:szCs w:val="22"/>
              </w:rPr>
            </w:pPr>
            <w:r w:rsidRPr="00982AC8">
              <w:rPr>
                <w:rFonts w:cs="Arial"/>
                <w:color w:val="000000"/>
                <w:szCs w:val="22"/>
              </w:rPr>
              <w:t>E-2022-002448</w:t>
            </w:r>
          </w:p>
          <w:p w14:paraId="461ACBF5" w14:textId="13C7BEF5" w:rsidR="00732334" w:rsidRPr="00812CDC" w:rsidRDefault="00732334" w:rsidP="00732334">
            <w:pPr>
              <w:widowControl w:val="0"/>
              <w:contextualSpacing/>
              <w:jc w:val="center"/>
              <w:rPr>
                <w:rFonts w:eastAsia="Arial" w:cs="Arial"/>
                <w:lang w:eastAsia="en-US"/>
              </w:rPr>
            </w:pPr>
            <w:r w:rsidRPr="00982AC8">
              <w:rPr>
                <w:rFonts w:cs="Arial"/>
                <w:color w:val="000000"/>
                <w:szCs w:val="22"/>
              </w:rPr>
              <w:t>E-2022-002484</w:t>
            </w:r>
          </w:p>
        </w:tc>
      </w:tr>
      <w:tr w:rsidR="00732334" w:rsidRPr="00812CDC" w14:paraId="0D8B5480" w14:textId="77777777" w:rsidTr="00A322A7">
        <w:trPr>
          <w:trHeight w:val="340"/>
          <w:jc w:val="center"/>
        </w:trPr>
        <w:tc>
          <w:tcPr>
            <w:tcW w:w="6374" w:type="dxa"/>
            <w:shd w:val="clear" w:color="auto" w:fill="auto"/>
            <w:tcMar>
              <w:top w:w="6" w:type="dxa"/>
              <w:left w:w="57" w:type="dxa"/>
              <w:bottom w:w="0" w:type="dxa"/>
              <w:right w:w="6" w:type="dxa"/>
            </w:tcMar>
            <w:vAlign w:val="center"/>
          </w:tcPr>
          <w:p w14:paraId="1D579B96" w14:textId="70F57AE4" w:rsidR="00732334" w:rsidRPr="00812CDC" w:rsidRDefault="00732334" w:rsidP="00732334">
            <w:pPr>
              <w:widowControl w:val="0"/>
              <w:contextualSpacing/>
              <w:rPr>
                <w:rFonts w:eastAsia="Arial" w:cs="Arial"/>
                <w:lang w:eastAsia="en-US"/>
              </w:rPr>
            </w:pPr>
            <w:r w:rsidRPr="00982AC8">
              <w:rPr>
                <w:rFonts w:cs="Arial"/>
                <w:color w:val="000000"/>
                <w:szCs w:val="22"/>
              </w:rPr>
              <w:t>Superintendencia de Servicios Públicos Domiciliarios</w:t>
            </w:r>
          </w:p>
        </w:tc>
        <w:tc>
          <w:tcPr>
            <w:tcW w:w="2268" w:type="dxa"/>
            <w:shd w:val="clear" w:color="auto" w:fill="auto"/>
            <w:tcMar>
              <w:top w:w="6" w:type="dxa"/>
              <w:left w:w="6" w:type="dxa"/>
              <w:bottom w:w="0" w:type="dxa"/>
              <w:right w:w="6" w:type="dxa"/>
            </w:tcMar>
            <w:vAlign w:val="center"/>
          </w:tcPr>
          <w:p w14:paraId="44F88822" w14:textId="14787E62" w:rsidR="00732334" w:rsidRPr="00812CDC" w:rsidRDefault="00732334" w:rsidP="00732334">
            <w:pPr>
              <w:widowControl w:val="0"/>
              <w:contextualSpacing/>
              <w:jc w:val="center"/>
              <w:rPr>
                <w:rFonts w:eastAsia="Arial" w:cs="Arial"/>
                <w:lang w:eastAsia="en-US"/>
              </w:rPr>
            </w:pPr>
            <w:r w:rsidRPr="00982AC8">
              <w:rPr>
                <w:rFonts w:cs="Arial"/>
                <w:color w:val="000000"/>
                <w:szCs w:val="22"/>
              </w:rPr>
              <w:t>E-2022-002568</w:t>
            </w:r>
          </w:p>
        </w:tc>
      </w:tr>
      <w:tr w:rsidR="00732334" w:rsidRPr="00812CDC" w14:paraId="20177726" w14:textId="77777777" w:rsidTr="00A322A7">
        <w:trPr>
          <w:trHeight w:val="340"/>
          <w:jc w:val="center"/>
        </w:trPr>
        <w:tc>
          <w:tcPr>
            <w:tcW w:w="6374" w:type="dxa"/>
            <w:shd w:val="clear" w:color="auto" w:fill="auto"/>
            <w:tcMar>
              <w:top w:w="6" w:type="dxa"/>
              <w:left w:w="57" w:type="dxa"/>
              <w:bottom w:w="0" w:type="dxa"/>
              <w:right w:w="6" w:type="dxa"/>
            </w:tcMar>
            <w:vAlign w:val="center"/>
          </w:tcPr>
          <w:p w14:paraId="3535654D" w14:textId="6D952B53" w:rsidR="00732334" w:rsidRPr="00812CDC" w:rsidRDefault="00732334" w:rsidP="00732334">
            <w:pPr>
              <w:widowControl w:val="0"/>
              <w:contextualSpacing/>
              <w:rPr>
                <w:rFonts w:eastAsia="Arial" w:cs="Arial"/>
                <w:lang w:eastAsia="en-US"/>
              </w:rPr>
            </w:pPr>
            <w:r w:rsidRPr="00982AC8">
              <w:rPr>
                <w:rFonts w:cs="Arial"/>
                <w:color w:val="000000"/>
                <w:szCs w:val="22"/>
              </w:rPr>
              <w:t>CQM</w:t>
            </w:r>
            <w:r>
              <w:rPr>
                <w:rFonts w:cs="Arial"/>
                <w:color w:val="000000"/>
                <w:szCs w:val="22"/>
              </w:rPr>
              <w:t xml:space="preserve"> Consultoría S.A.S.</w:t>
            </w:r>
          </w:p>
        </w:tc>
        <w:tc>
          <w:tcPr>
            <w:tcW w:w="2268" w:type="dxa"/>
            <w:shd w:val="clear" w:color="auto" w:fill="auto"/>
            <w:tcMar>
              <w:top w:w="6" w:type="dxa"/>
              <w:left w:w="6" w:type="dxa"/>
              <w:bottom w:w="0" w:type="dxa"/>
              <w:right w:w="6" w:type="dxa"/>
            </w:tcMar>
            <w:vAlign w:val="center"/>
          </w:tcPr>
          <w:p w14:paraId="5C7C1AA8" w14:textId="0EABF210" w:rsidR="00732334" w:rsidRPr="00812CDC" w:rsidRDefault="00732334" w:rsidP="00732334">
            <w:pPr>
              <w:widowControl w:val="0"/>
              <w:contextualSpacing/>
              <w:jc w:val="center"/>
              <w:rPr>
                <w:rFonts w:eastAsia="Arial" w:cs="Arial"/>
                <w:lang w:eastAsia="en-US"/>
              </w:rPr>
            </w:pPr>
            <w:r w:rsidRPr="00982AC8">
              <w:rPr>
                <w:rFonts w:cs="Arial"/>
                <w:color w:val="000000"/>
                <w:szCs w:val="22"/>
              </w:rPr>
              <w:t>E-2022-002584</w:t>
            </w:r>
          </w:p>
        </w:tc>
      </w:tr>
      <w:tr w:rsidR="00732334" w:rsidRPr="00812CDC" w14:paraId="200C5C59" w14:textId="77777777" w:rsidTr="00A322A7">
        <w:trPr>
          <w:trHeight w:val="340"/>
          <w:jc w:val="center"/>
        </w:trPr>
        <w:tc>
          <w:tcPr>
            <w:tcW w:w="6374" w:type="dxa"/>
            <w:shd w:val="clear" w:color="auto" w:fill="auto"/>
            <w:tcMar>
              <w:top w:w="6" w:type="dxa"/>
              <w:left w:w="57" w:type="dxa"/>
              <w:bottom w:w="0" w:type="dxa"/>
              <w:right w:w="6" w:type="dxa"/>
            </w:tcMar>
            <w:vAlign w:val="center"/>
          </w:tcPr>
          <w:p w14:paraId="3F42B7A9" w14:textId="7571FA4B" w:rsidR="00732334" w:rsidRPr="00812CDC" w:rsidRDefault="00732334" w:rsidP="00732334">
            <w:pPr>
              <w:widowControl w:val="0"/>
              <w:contextualSpacing/>
              <w:rPr>
                <w:rFonts w:eastAsia="Arial" w:cs="Arial"/>
                <w:lang w:eastAsia="en-US"/>
              </w:rPr>
            </w:pPr>
            <w:r w:rsidRPr="00982AC8">
              <w:rPr>
                <w:rFonts w:cs="Arial"/>
                <w:color w:val="000000"/>
                <w:szCs w:val="22"/>
              </w:rPr>
              <w:t>Empresas Públicas de Medellín</w:t>
            </w:r>
          </w:p>
        </w:tc>
        <w:tc>
          <w:tcPr>
            <w:tcW w:w="2268" w:type="dxa"/>
            <w:shd w:val="clear" w:color="auto" w:fill="auto"/>
            <w:tcMar>
              <w:top w:w="6" w:type="dxa"/>
              <w:left w:w="6" w:type="dxa"/>
              <w:bottom w:w="0" w:type="dxa"/>
              <w:right w:w="6" w:type="dxa"/>
            </w:tcMar>
            <w:vAlign w:val="center"/>
          </w:tcPr>
          <w:p w14:paraId="15029B4C" w14:textId="309C0F13" w:rsidR="00732334" w:rsidRPr="00812CDC" w:rsidRDefault="00732334" w:rsidP="00732334">
            <w:pPr>
              <w:widowControl w:val="0"/>
              <w:contextualSpacing/>
              <w:jc w:val="center"/>
              <w:rPr>
                <w:rFonts w:eastAsia="Arial" w:cs="Arial"/>
                <w:lang w:eastAsia="en-US"/>
              </w:rPr>
            </w:pPr>
            <w:r w:rsidRPr="00982AC8">
              <w:rPr>
                <w:rFonts w:cs="Arial"/>
                <w:color w:val="000000"/>
                <w:szCs w:val="22"/>
              </w:rPr>
              <w:t>E-2022-002592</w:t>
            </w:r>
          </w:p>
        </w:tc>
      </w:tr>
      <w:tr w:rsidR="00732334" w:rsidRPr="00812CDC" w14:paraId="258DAFAC" w14:textId="77777777" w:rsidTr="00A322A7">
        <w:trPr>
          <w:trHeight w:val="340"/>
          <w:jc w:val="center"/>
        </w:trPr>
        <w:tc>
          <w:tcPr>
            <w:tcW w:w="6374" w:type="dxa"/>
            <w:shd w:val="clear" w:color="auto" w:fill="auto"/>
            <w:tcMar>
              <w:top w:w="6" w:type="dxa"/>
              <w:left w:w="57" w:type="dxa"/>
              <w:bottom w:w="0" w:type="dxa"/>
              <w:right w:w="6" w:type="dxa"/>
            </w:tcMar>
            <w:vAlign w:val="center"/>
          </w:tcPr>
          <w:p w14:paraId="153F7C7B" w14:textId="6DFB213E" w:rsidR="00732334" w:rsidRPr="00812CDC" w:rsidRDefault="00732334" w:rsidP="00732334">
            <w:pPr>
              <w:widowControl w:val="0"/>
              <w:contextualSpacing/>
              <w:rPr>
                <w:rFonts w:eastAsia="Arial" w:cs="Arial"/>
                <w:lang w:eastAsia="en-US"/>
              </w:rPr>
            </w:pPr>
            <w:r w:rsidRPr="00982AC8">
              <w:rPr>
                <w:rFonts w:cs="Arial"/>
                <w:color w:val="000000"/>
                <w:szCs w:val="22"/>
              </w:rPr>
              <w:t>Celsia S.A. E.S.P.</w:t>
            </w:r>
          </w:p>
        </w:tc>
        <w:tc>
          <w:tcPr>
            <w:tcW w:w="2268" w:type="dxa"/>
            <w:shd w:val="clear" w:color="auto" w:fill="auto"/>
            <w:tcMar>
              <w:top w:w="6" w:type="dxa"/>
              <w:left w:w="6" w:type="dxa"/>
              <w:bottom w:w="0" w:type="dxa"/>
              <w:right w:w="6" w:type="dxa"/>
            </w:tcMar>
            <w:vAlign w:val="center"/>
          </w:tcPr>
          <w:p w14:paraId="3F972C5D" w14:textId="56374374" w:rsidR="00732334" w:rsidRPr="00812CDC" w:rsidRDefault="00732334" w:rsidP="00732334">
            <w:pPr>
              <w:widowControl w:val="0"/>
              <w:contextualSpacing/>
              <w:jc w:val="center"/>
              <w:rPr>
                <w:rFonts w:eastAsia="Arial" w:cs="Arial"/>
                <w:lang w:eastAsia="en-US"/>
              </w:rPr>
            </w:pPr>
            <w:r w:rsidRPr="00982AC8">
              <w:rPr>
                <w:rFonts w:cs="Arial"/>
                <w:color w:val="000000"/>
                <w:szCs w:val="22"/>
              </w:rPr>
              <w:t>E-2022-002595</w:t>
            </w:r>
          </w:p>
        </w:tc>
      </w:tr>
      <w:tr w:rsidR="00732334" w:rsidRPr="00812CDC" w14:paraId="70DF4C50" w14:textId="77777777" w:rsidTr="00A322A7">
        <w:trPr>
          <w:trHeight w:val="340"/>
          <w:jc w:val="center"/>
        </w:trPr>
        <w:tc>
          <w:tcPr>
            <w:tcW w:w="6374" w:type="dxa"/>
            <w:shd w:val="clear" w:color="auto" w:fill="auto"/>
            <w:tcMar>
              <w:top w:w="6" w:type="dxa"/>
              <w:left w:w="57" w:type="dxa"/>
              <w:bottom w:w="0" w:type="dxa"/>
              <w:right w:w="6" w:type="dxa"/>
            </w:tcMar>
            <w:vAlign w:val="center"/>
          </w:tcPr>
          <w:p w14:paraId="479922B0" w14:textId="2123A3C4" w:rsidR="00732334" w:rsidRPr="00812CDC" w:rsidRDefault="00732334" w:rsidP="00732334">
            <w:pPr>
              <w:widowControl w:val="0"/>
              <w:contextualSpacing/>
              <w:rPr>
                <w:rFonts w:eastAsia="Arial" w:cs="Arial"/>
                <w:lang w:eastAsia="en-US"/>
              </w:rPr>
            </w:pPr>
            <w:r w:rsidRPr="00472738">
              <w:rPr>
                <w:rFonts w:cs="Arial"/>
                <w:color w:val="000000"/>
                <w:szCs w:val="22"/>
              </w:rPr>
              <w:t>A</w:t>
            </w:r>
            <w:r>
              <w:rPr>
                <w:rFonts w:cs="Arial"/>
                <w:color w:val="000000"/>
                <w:szCs w:val="22"/>
              </w:rPr>
              <w:t>sociación Colombiana de Distribuidores de Energía Eléctrica – A</w:t>
            </w:r>
            <w:r w:rsidRPr="00472738">
              <w:rPr>
                <w:rFonts w:cs="Arial"/>
                <w:color w:val="000000"/>
                <w:szCs w:val="22"/>
              </w:rPr>
              <w:t>SOCODIS</w:t>
            </w:r>
          </w:p>
        </w:tc>
        <w:tc>
          <w:tcPr>
            <w:tcW w:w="2268" w:type="dxa"/>
            <w:shd w:val="clear" w:color="auto" w:fill="auto"/>
            <w:tcMar>
              <w:top w:w="6" w:type="dxa"/>
              <w:left w:w="6" w:type="dxa"/>
              <w:bottom w:w="0" w:type="dxa"/>
              <w:right w:w="6" w:type="dxa"/>
            </w:tcMar>
            <w:vAlign w:val="center"/>
          </w:tcPr>
          <w:p w14:paraId="58D4A589" w14:textId="6F4E5BE2" w:rsidR="00732334" w:rsidRPr="00812CDC" w:rsidRDefault="00732334" w:rsidP="00732334">
            <w:pPr>
              <w:widowControl w:val="0"/>
              <w:contextualSpacing/>
              <w:jc w:val="center"/>
              <w:rPr>
                <w:rFonts w:eastAsia="Arial" w:cs="Arial"/>
                <w:lang w:eastAsia="en-US"/>
              </w:rPr>
            </w:pPr>
            <w:r w:rsidRPr="00472738">
              <w:rPr>
                <w:rFonts w:cs="Arial"/>
                <w:color w:val="000000"/>
                <w:szCs w:val="22"/>
              </w:rPr>
              <w:t>E-2022-002600</w:t>
            </w:r>
          </w:p>
        </w:tc>
      </w:tr>
      <w:tr w:rsidR="00732334" w:rsidRPr="00812CDC" w14:paraId="54A3275B" w14:textId="77777777" w:rsidTr="00A322A7">
        <w:trPr>
          <w:trHeight w:val="340"/>
          <w:jc w:val="center"/>
        </w:trPr>
        <w:tc>
          <w:tcPr>
            <w:tcW w:w="6374" w:type="dxa"/>
            <w:shd w:val="clear" w:color="auto" w:fill="auto"/>
            <w:tcMar>
              <w:top w:w="6" w:type="dxa"/>
              <w:left w:w="57" w:type="dxa"/>
              <w:bottom w:w="0" w:type="dxa"/>
              <w:right w:w="6" w:type="dxa"/>
            </w:tcMar>
            <w:vAlign w:val="center"/>
          </w:tcPr>
          <w:p w14:paraId="417F8735" w14:textId="2C27EA75" w:rsidR="00732334" w:rsidRPr="00812CDC" w:rsidRDefault="00732334" w:rsidP="00732334">
            <w:pPr>
              <w:widowControl w:val="0"/>
              <w:contextualSpacing/>
              <w:rPr>
                <w:rFonts w:eastAsia="Arial" w:cs="Arial"/>
                <w:lang w:eastAsia="en-US"/>
              </w:rPr>
            </w:pPr>
            <w:r w:rsidRPr="003D330A">
              <w:rPr>
                <w:rFonts w:cs="Arial"/>
                <w:color w:val="000000"/>
                <w:szCs w:val="22"/>
              </w:rPr>
              <w:t>Enel S.A. E.S.P.</w:t>
            </w:r>
          </w:p>
        </w:tc>
        <w:tc>
          <w:tcPr>
            <w:tcW w:w="2268" w:type="dxa"/>
            <w:shd w:val="clear" w:color="auto" w:fill="auto"/>
            <w:tcMar>
              <w:top w:w="6" w:type="dxa"/>
              <w:left w:w="6" w:type="dxa"/>
              <w:bottom w:w="0" w:type="dxa"/>
              <w:right w:w="6" w:type="dxa"/>
            </w:tcMar>
            <w:vAlign w:val="center"/>
          </w:tcPr>
          <w:p w14:paraId="5472D6B1" w14:textId="125A6000" w:rsidR="00732334" w:rsidRPr="00812CDC" w:rsidRDefault="00732334" w:rsidP="00732334">
            <w:pPr>
              <w:widowControl w:val="0"/>
              <w:contextualSpacing/>
              <w:jc w:val="center"/>
              <w:rPr>
                <w:rFonts w:eastAsia="Arial" w:cs="Arial"/>
                <w:lang w:eastAsia="en-US"/>
              </w:rPr>
            </w:pPr>
            <w:r w:rsidRPr="003D330A">
              <w:rPr>
                <w:rFonts w:cs="Arial"/>
                <w:color w:val="000000"/>
                <w:szCs w:val="22"/>
              </w:rPr>
              <w:t>E-2022-002605</w:t>
            </w:r>
          </w:p>
        </w:tc>
      </w:tr>
      <w:tr w:rsidR="00732334" w:rsidRPr="00812CDC" w14:paraId="0A3F7B3F" w14:textId="77777777" w:rsidTr="00A322A7">
        <w:trPr>
          <w:trHeight w:val="340"/>
          <w:jc w:val="center"/>
        </w:trPr>
        <w:tc>
          <w:tcPr>
            <w:tcW w:w="6374" w:type="dxa"/>
            <w:shd w:val="clear" w:color="auto" w:fill="auto"/>
            <w:tcMar>
              <w:top w:w="6" w:type="dxa"/>
              <w:left w:w="57" w:type="dxa"/>
              <w:bottom w:w="0" w:type="dxa"/>
              <w:right w:w="6" w:type="dxa"/>
            </w:tcMar>
            <w:vAlign w:val="center"/>
          </w:tcPr>
          <w:p w14:paraId="1229ACD9" w14:textId="30219D25" w:rsidR="00732334" w:rsidRPr="00812CDC" w:rsidRDefault="00732334" w:rsidP="00732334">
            <w:pPr>
              <w:widowControl w:val="0"/>
              <w:contextualSpacing/>
              <w:rPr>
                <w:rFonts w:eastAsia="Arial" w:cs="Arial"/>
                <w:lang w:eastAsia="en-US"/>
              </w:rPr>
            </w:pPr>
            <w:r w:rsidRPr="003D330A">
              <w:rPr>
                <w:rFonts w:cs="Arial"/>
                <w:color w:val="000000"/>
                <w:szCs w:val="22"/>
              </w:rPr>
              <w:t>Cedenar S.A. E.S.P.</w:t>
            </w:r>
          </w:p>
        </w:tc>
        <w:tc>
          <w:tcPr>
            <w:tcW w:w="2268" w:type="dxa"/>
            <w:shd w:val="clear" w:color="auto" w:fill="auto"/>
            <w:tcMar>
              <w:top w:w="6" w:type="dxa"/>
              <w:left w:w="6" w:type="dxa"/>
              <w:bottom w:w="0" w:type="dxa"/>
              <w:right w:w="6" w:type="dxa"/>
            </w:tcMar>
            <w:vAlign w:val="center"/>
          </w:tcPr>
          <w:p w14:paraId="63D8ABB0" w14:textId="14965050" w:rsidR="00732334" w:rsidRPr="00812CDC" w:rsidRDefault="00732334" w:rsidP="00732334">
            <w:pPr>
              <w:widowControl w:val="0"/>
              <w:contextualSpacing/>
              <w:jc w:val="center"/>
              <w:rPr>
                <w:rFonts w:eastAsia="Arial" w:cs="Arial"/>
                <w:lang w:eastAsia="en-US"/>
              </w:rPr>
            </w:pPr>
            <w:r w:rsidRPr="003D330A">
              <w:rPr>
                <w:rFonts w:cs="Arial"/>
                <w:color w:val="000000"/>
                <w:szCs w:val="22"/>
              </w:rPr>
              <w:t>E-2022-002609</w:t>
            </w:r>
          </w:p>
        </w:tc>
      </w:tr>
      <w:tr w:rsidR="00732334" w:rsidRPr="00812CDC" w14:paraId="73EA8CC2" w14:textId="77777777" w:rsidTr="00A322A7">
        <w:trPr>
          <w:trHeight w:val="340"/>
          <w:jc w:val="center"/>
        </w:trPr>
        <w:tc>
          <w:tcPr>
            <w:tcW w:w="6374" w:type="dxa"/>
            <w:shd w:val="clear" w:color="auto" w:fill="auto"/>
            <w:tcMar>
              <w:top w:w="6" w:type="dxa"/>
              <w:left w:w="57" w:type="dxa"/>
              <w:bottom w:w="0" w:type="dxa"/>
              <w:right w:w="6" w:type="dxa"/>
            </w:tcMar>
            <w:vAlign w:val="center"/>
          </w:tcPr>
          <w:p w14:paraId="4067E07A" w14:textId="6593C58E" w:rsidR="00732334" w:rsidRPr="00812CDC" w:rsidRDefault="00732334" w:rsidP="00732334">
            <w:pPr>
              <w:widowControl w:val="0"/>
              <w:contextualSpacing/>
              <w:rPr>
                <w:rFonts w:eastAsia="Arial" w:cs="Arial"/>
                <w:lang w:eastAsia="en-US"/>
              </w:rPr>
            </w:pPr>
            <w:r w:rsidRPr="00BA36C7">
              <w:rPr>
                <w:rFonts w:cs="Arial"/>
                <w:color w:val="000000"/>
                <w:szCs w:val="22"/>
              </w:rPr>
              <w:t>D</w:t>
            </w:r>
            <w:r>
              <w:rPr>
                <w:rFonts w:cs="Arial"/>
                <w:color w:val="000000"/>
                <w:szCs w:val="22"/>
              </w:rPr>
              <w:t xml:space="preserve">ispac </w:t>
            </w:r>
            <w:r w:rsidRPr="00BA36C7">
              <w:rPr>
                <w:rFonts w:cs="Arial"/>
                <w:color w:val="000000"/>
                <w:szCs w:val="22"/>
              </w:rPr>
              <w:t>S.A. E.S.P.</w:t>
            </w:r>
          </w:p>
        </w:tc>
        <w:tc>
          <w:tcPr>
            <w:tcW w:w="2268" w:type="dxa"/>
            <w:shd w:val="clear" w:color="auto" w:fill="auto"/>
            <w:tcMar>
              <w:top w:w="6" w:type="dxa"/>
              <w:left w:w="6" w:type="dxa"/>
              <w:bottom w:w="0" w:type="dxa"/>
              <w:right w:w="6" w:type="dxa"/>
            </w:tcMar>
            <w:vAlign w:val="center"/>
          </w:tcPr>
          <w:p w14:paraId="6C1B71D3" w14:textId="710ED723" w:rsidR="00732334" w:rsidRPr="00812CDC" w:rsidRDefault="00732334" w:rsidP="00732334">
            <w:pPr>
              <w:widowControl w:val="0"/>
              <w:contextualSpacing/>
              <w:jc w:val="center"/>
              <w:rPr>
                <w:rFonts w:eastAsia="Arial" w:cs="Arial"/>
                <w:lang w:eastAsia="en-US"/>
              </w:rPr>
            </w:pPr>
            <w:r w:rsidRPr="00BA36C7">
              <w:rPr>
                <w:rFonts w:cs="Arial"/>
                <w:color w:val="000000"/>
                <w:szCs w:val="22"/>
              </w:rPr>
              <w:t>E-2022-002615</w:t>
            </w:r>
          </w:p>
        </w:tc>
      </w:tr>
      <w:tr w:rsidR="00732334" w:rsidRPr="00812CDC" w14:paraId="00D38A9B" w14:textId="77777777" w:rsidTr="00A322A7">
        <w:trPr>
          <w:trHeight w:val="340"/>
          <w:jc w:val="center"/>
        </w:trPr>
        <w:tc>
          <w:tcPr>
            <w:tcW w:w="6374" w:type="dxa"/>
            <w:shd w:val="clear" w:color="auto" w:fill="auto"/>
            <w:tcMar>
              <w:top w:w="6" w:type="dxa"/>
              <w:left w:w="57" w:type="dxa"/>
              <w:bottom w:w="0" w:type="dxa"/>
              <w:right w:w="6" w:type="dxa"/>
            </w:tcMar>
            <w:vAlign w:val="center"/>
          </w:tcPr>
          <w:p w14:paraId="0826D7E8" w14:textId="616051E6" w:rsidR="00732334" w:rsidRPr="00732334" w:rsidRDefault="00732334" w:rsidP="00732334">
            <w:pPr>
              <w:widowControl w:val="0"/>
              <w:contextualSpacing/>
              <w:rPr>
                <w:rFonts w:eastAsia="Arial" w:cs="Arial"/>
                <w:lang w:eastAsia="en-US"/>
              </w:rPr>
            </w:pPr>
            <w:r w:rsidRPr="00B63104">
              <w:rPr>
                <w:rFonts w:cs="Arial"/>
                <w:color w:val="000000"/>
              </w:rPr>
              <w:t>Ministerio de Minas y Energía</w:t>
            </w:r>
          </w:p>
        </w:tc>
        <w:tc>
          <w:tcPr>
            <w:tcW w:w="2268" w:type="dxa"/>
            <w:shd w:val="clear" w:color="auto" w:fill="auto"/>
            <w:tcMar>
              <w:top w:w="6" w:type="dxa"/>
              <w:left w:w="6" w:type="dxa"/>
              <w:bottom w:w="0" w:type="dxa"/>
              <w:right w:w="6" w:type="dxa"/>
            </w:tcMar>
            <w:vAlign w:val="center"/>
          </w:tcPr>
          <w:p w14:paraId="4732CBE1" w14:textId="77777777" w:rsidR="00732334" w:rsidRDefault="00732334" w:rsidP="00732334">
            <w:pPr>
              <w:contextualSpacing/>
              <w:jc w:val="center"/>
              <w:rPr>
                <w:rFonts w:cs="Arial"/>
                <w:color w:val="000000"/>
                <w:szCs w:val="22"/>
              </w:rPr>
            </w:pPr>
            <w:r w:rsidRPr="00B63104">
              <w:rPr>
                <w:rFonts w:cs="Arial"/>
                <w:color w:val="000000"/>
                <w:szCs w:val="22"/>
              </w:rPr>
              <w:t>E-2022-002617</w:t>
            </w:r>
          </w:p>
          <w:p w14:paraId="55358246" w14:textId="02C46317" w:rsidR="00732334" w:rsidRPr="00812CDC" w:rsidRDefault="00732334" w:rsidP="00732334">
            <w:pPr>
              <w:widowControl w:val="0"/>
              <w:contextualSpacing/>
              <w:jc w:val="center"/>
              <w:rPr>
                <w:rFonts w:eastAsia="Arial" w:cs="Arial"/>
                <w:lang w:eastAsia="en-US"/>
              </w:rPr>
            </w:pPr>
            <w:r>
              <w:rPr>
                <w:rFonts w:cs="Arial"/>
                <w:color w:val="000000"/>
                <w:szCs w:val="22"/>
              </w:rPr>
              <w:t>E-2022-002844</w:t>
            </w:r>
          </w:p>
        </w:tc>
      </w:tr>
      <w:tr w:rsidR="00732334" w:rsidRPr="00812CDC" w14:paraId="7624235D" w14:textId="77777777" w:rsidTr="00A322A7">
        <w:trPr>
          <w:trHeight w:val="340"/>
          <w:jc w:val="center"/>
        </w:trPr>
        <w:tc>
          <w:tcPr>
            <w:tcW w:w="6374" w:type="dxa"/>
            <w:shd w:val="clear" w:color="auto" w:fill="auto"/>
            <w:tcMar>
              <w:top w:w="6" w:type="dxa"/>
              <w:left w:w="57" w:type="dxa"/>
              <w:bottom w:w="0" w:type="dxa"/>
              <w:right w:w="6" w:type="dxa"/>
            </w:tcMar>
            <w:vAlign w:val="center"/>
          </w:tcPr>
          <w:p w14:paraId="4E79013F" w14:textId="431A0F7E" w:rsidR="00732334" w:rsidRPr="00812CDC" w:rsidRDefault="00732334" w:rsidP="00732334">
            <w:pPr>
              <w:widowControl w:val="0"/>
              <w:contextualSpacing/>
              <w:rPr>
                <w:rFonts w:eastAsia="Arial" w:cs="Arial"/>
                <w:lang w:eastAsia="en-US"/>
              </w:rPr>
            </w:pPr>
            <w:r w:rsidRPr="00C33A06">
              <w:rPr>
                <w:rFonts w:cs="Arial"/>
                <w:color w:val="000000"/>
              </w:rPr>
              <w:t>Helios S.A. E.S.P.</w:t>
            </w:r>
          </w:p>
        </w:tc>
        <w:tc>
          <w:tcPr>
            <w:tcW w:w="2268" w:type="dxa"/>
            <w:shd w:val="clear" w:color="auto" w:fill="auto"/>
            <w:tcMar>
              <w:top w:w="6" w:type="dxa"/>
              <w:left w:w="6" w:type="dxa"/>
              <w:bottom w:w="0" w:type="dxa"/>
              <w:right w:w="6" w:type="dxa"/>
            </w:tcMar>
            <w:vAlign w:val="center"/>
          </w:tcPr>
          <w:p w14:paraId="1331BCC9" w14:textId="59D14012" w:rsidR="00732334" w:rsidRPr="00812CDC" w:rsidRDefault="00732334" w:rsidP="00732334">
            <w:pPr>
              <w:widowControl w:val="0"/>
              <w:contextualSpacing/>
              <w:jc w:val="center"/>
              <w:rPr>
                <w:rFonts w:eastAsia="Arial" w:cs="Arial"/>
                <w:lang w:eastAsia="en-US"/>
              </w:rPr>
            </w:pPr>
            <w:r w:rsidRPr="00C33A06">
              <w:rPr>
                <w:rFonts w:cs="Arial"/>
                <w:color w:val="000000"/>
                <w:szCs w:val="22"/>
              </w:rPr>
              <w:t>E-2022-002623</w:t>
            </w:r>
          </w:p>
        </w:tc>
      </w:tr>
      <w:tr w:rsidR="00732334" w:rsidRPr="00812CDC" w14:paraId="49C54921" w14:textId="77777777" w:rsidTr="00A322A7">
        <w:trPr>
          <w:trHeight w:val="340"/>
          <w:jc w:val="center"/>
        </w:trPr>
        <w:tc>
          <w:tcPr>
            <w:tcW w:w="6374" w:type="dxa"/>
            <w:shd w:val="clear" w:color="auto" w:fill="auto"/>
            <w:tcMar>
              <w:top w:w="6" w:type="dxa"/>
              <w:left w:w="57" w:type="dxa"/>
              <w:bottom w:w="0" w:type="dxa"/>
              <w:right w:w="6" w:type="dxa"/>
            </w:tcMar>
            <w:vAlign w:val="center"/>
          </w:tcPr>
          <w:p w14:paraId="636D9767" w14:textId="4B93E794" w:rsidR="00732334" w:rsidRPr="00732334" w:rsidRDefault="00732334" w:rsidP="00732334">
            <w:pPr>
              <w:widowControl w:val="0"/>
              <w:contextualSpacing/>
              <w:rPr>
                <w:rFonts w:eastAsia="Arial" w:cs="Arial"/>
                <w:lang w:val="en-US" w:eastAsia="en-US"/>
              </w:rPr>
            </w:pPr>
            <w:r w:rsidRPr="00871F52">
              <w:rPr>
                <w:rFonts w:cs="Arial"/>
                <w:color w:val="000000"/>
                <w:szCs w:val="22"/>
                <w:lang w:val="en-US"/>
              </w:rPr>
              <w:t>Excelec International S.A.S.</w:t>
            </w:r>
          </w:p>
        </w:tc>
        <w:tc>
          <w:tcPr>
            <w:tcW w:w="2268" w:type="dxa"/>
            <w:shd w:val="clear" w:color="auto" w:fill="auto"/>
            <w:tcMar>
              <w:top w:w="6" w:type="dxa"/>
              <w:left w:w="6" w:type="dxa"/>
              <w:bottom w:w="0" w:type="dxa"/>
              <w:right w:w="6" w:type="dxa"/>
            </w:tcMar>
            <w:vAlign w:val="center"/>
          </w:tcPr>
          <w:p w14:paraId="7E56248E" w14:textId="0427E7F8" w:rsidR="00732334" w:rsidRPr="00812CDC" w:rsidRDefault="00732334" w:rsidP="00732334">
            <w:pPr>
              <w:widowControl w:val="0"/>
              <w:contextualSpacing/>
              <w:jc w:val="center"/>
              <w:rPr>
                <w:rFonts w:eastAsia="Arial" w:cs="Arial"/>
                <w:lang w:eastAsia="en-US"/>
              </w:rPr>
            </w:pPr>
            <w:r w:rsidRPr="00AA77ED">
              <w:rPr>
                <w:rFonts w:cs="Arial"/>
                <w:color w:val="000000"/>
                <w:szCs w:val="22"/>
              </w:rPr>
              <w:t>E-2022-002625</w:t>
            </w:r>
          </w:p>
        </w:tc>
      </w:tr>
      <w:tr w:rsidR="00732334" w:rsidRPr="00812CDC" w14:paraId="3D8EA7D7" w14:textId="77777777" w:rsidTr="00A322A7">
        <w:trPr>
          <w:trHeight w:val="340"/>
          <w:jc w:val="center"/>
        </w:trPr>
        <w:tc>
          <w:tcPr>
            <w:tcW w:w="6374" w:type="dxa"/>
            <w:shd w:val="clear" w:color="auto" w:fill="auto"/>
            <w:tcMar>
              <w:top w:w="6" w:type="dxa"/>
              <w:left w:w="57" w:type="dxa"/>
              <w:bottom w:w="0" w:type="dxa"/>
              <w:right w:w="6" w:type="dxa"/>
            </w:tcMar>
            <w:vAlign w:val="center"/>
          </w:tcPr>
          <w:p w14:paraId="30936668" w14:textId="09FAC859" w:rsidR="00732334" w:rsidRPr="00812CDC" w:rsidRDefault="00732334" w:rsidP="00732334">
            <w:pPr>
              <w:widowControl w:val="0"/>
              <w:contextualSpacing/>
              <w:rPr>
                <w:rFonts w:eastAsia="Arial" w:cs="Arial"/>
                <w:lang w:eastAsia="en-US"/>
              </w:rPr>
            </w:pPr>
            <w:r w:rsidRPr="00F30BF7">
              <w:rPr>
                <w:rFonts w:cs="Arial"/>
                <w:color w:val="000000"/>
                <w:szCs w:val="22"/>
              </w:rPr>
              <w:t>Instituto de Planificación y Promoción de Soluciones Energéticas para las Zonas No Interconectadas – IPSE</w:t>
            </w:r>
          </w:p>
        </w:tc>
        <w:tc>
          <w:tcPr>
            <w:tcW w:w="2268" w:type="dxa"/>
            <w:shd w:val="clear" w:color="auto" w:fill="auto"/>
            <w:tcMar>
              <w:top w:w="6" w:type="dxa"/>
              <w:left w:w="6" w:type="dxa"/>
              <w:bottom w:w="0" w:type="dxa"/>
              <w:right w:w="6" w:type="dxa"/>
            </w:tcMar>
            <w:vAlign w:val="center"/>
          </w:tcPr>
          <w:p w14:paraId="21CC8172" w14:textId="74E4BB19" w:rsidR="00732334" w:rsidRPr="00812CDC" w:rsidRDefault="00732334" w:rsidP="00732334">
            <w:pPr>
              <w:widowControl w:val="0"/>
              <w:contextualSpacing/>
              <w:jc w:val="center"/>
              <w:rPr>
                <w:rFonts w:eastAsia="Arial" w:cs="Arial"/>
                <w:lang w:eastAsia="en-US"/>
              </w:rPr>
            </w:pPr>
            <w:r w:rsidRPr="00716197">
              <w:rPr>
                <w:rFonts w:cs="Arial"/>
                <w:color w:val="000000"/>
                <w:szCs w:val="22"/>
              </w:rPr>
              <w:t>E-2022-002655</w:t>
            </w:r>
          </w:p>
        </w:tc>
      </w:tr>
      <w:tr w:rsidR="00732334" w:rsidRPr="00812CDC" w14:paraId="3C3CBE53" w14:textId="77777777" w:rsidTr="00A322A7">
        <w:trPr>
          <w:trHeight w:val="340"/>
          <w:jc w:val="center"/>
        </w:trPr>
        <w:tc>
          <w:tcPr>
            <w:tcW w:w="6374" w:type="dxa"/>
            <w:shd w:val="clear" w:color="auto" w:fill="auto"/>
            <w:tcMar>
              <w:top w:w="6" w:type="dxa"/>
              <w:left w:w="57" w:type="dxa"/>
              <w:bottom w:w="0" w:type="dxa"/>
              <w:right w:w="6" w:type="dxa"/>
            </w:tcMar>
            <w:vAlign w:val="center"/>
          </w:tcPr>
          <w:p w14:paraId="24C9AA24" w14:textId="05EA93D7" w:rsidR="00732334" w:rsidRPr="00812CDC" w:rsidRDefault="00732334" w:rsidP="00732334">
            <w:pPr>
              <w:widowControl w:val="0"/>
              <w:contextualSpacing/>
              <w:rPr>
                <w:rFonts w:eastAsia="Arial" w:cs="Arial"/>
                <w:lang w:eastAsia="en-US"/>
              </w:rPr>
            </w:pPr>
            <w:r>
              <w:rPr>
                <w:rFonts w:cs="Arial"/>
                <w:color w:val="000000"/>
                <w:szCs w:val="22"/>
              </w:rPr>
              <w:t>Unidad de Planeación Minero-Energética - UPME</w:t>
            </w:r>
          </w:p>
        </w:tc>
        <w:tc>
          <w:tcPr>
            <w:tcW w:w="2268" w:type="dxa"/>
            <w:shd w:val="clear" w:color="auto" w:fill="auto"/>
            <w:tcMar>
              <w:top w:w="6" w:type="dxa"/>
              <w:left w:w="6" w:type="dxa"/>
              <w:bottom w:w="0" w:type="dxa"/>
              <w:right w:w="6" w:type="dxa"/>
            </w:tcMar>
            <w:vAlign w:val="center"/>
          </w:tcPr>
          <w:p w14:paraId="6790E20B" w14:textId="133645FF" w:rsidR="00732334" w:rsidRPr="00812CDC" w:rsidRDefault="00732334" w:rsidP="00732334">
            <w:pPr>
              <w:widowControl w:val="0"/>
              <w:contextualSpacing/>
              <w:jc w:val="center"/>
              <w:rPr>
                <w:rFonts w:eastAsia="Arial" w:cs="Arial"/>
                <w:lang w:eastAsia="en-US"/>
              </w:rPr>
            </w:pPr>
            <w:r>
              <w:rPr>
                <w:rFonts w:cs="Arial"/>
                <w:color w:val="000000"/>
                <w:szCs w:val="22"/>
              </w:rPr>
              <w:t>E-2022-002614</w:t>
            </w:r>
          </w:p>
        </w:tc>
      </w:tr>
      <w:tr w:rsidR="00732334" w:rsidRPr="00812CDC" w14:paraId="7519FF86" w14:textId="77777777" w:rsidTr="00A322A7">
        <w:trPr>
          <w:trHeight w:val="340"/>
          <w:jc w:val="center"/>
        </w:trPr>
        <w:tc>
          <w:tcPr>
            <w:tcW w:w="6374" w:type="dxa"/>
            <w:shd w:val="clear" w:color="auto" w:fill="auto"/>
            <w:tcMar>
              <w:top w:w="6" w:type="dxa"/>
              <w:left w:w="57" w:type="dxa"/>
              <w:bottom w:w="0" w:type="dxa"/>
              <w:right w:w="6" w:type="dxa"/>
            </w:tcMar>
            <w:vAlign w:val="center"/>
          </w:tcPr>
          <w:p w14:paraId="015E5970" w14:textId="24280588" w:rsidR="00732334" w:rsidRPr="00812CDC" w:rsidRDefault="00732334" w:rsidP="00732334">
            <w:pPr>
              <w:widowControl w:val="0"/>
              <w:contextualSpacing/>
              <w:rPr>
                <w:rFonts w:eastAsia="Arial" w:cs="Arial"/>
                <w:lang w:eastAsia="en-US"/>
              </w:rPr>
            </w:pPr>
            <w:r>
              <w:rPr>
                <w:rFonts w:cs="Arial"/>
                <w:color w:val="000000"/>
                <w:szCs w:val="22"/>
              </w:rPr>
              <w:t>Inversiones Kingo Colombia S.A.S.</w:t>
            </w:r>
          </w:p>
        </w:tc>
        <w:tc>
          <w:tcPr>
            <w:tcW w:w="2268" w:type="dxa"/>
            <w:shd w:val="clear" w:color="auto" w:fill="auto"/>
            <w:tcMar>
              <w:top w:w="6" w:type="dxa"/>
              <w:left w:w="6" w:type="dxa"/>
              <w:bottom w:w="0" w:type="dxa"/>
              <w:right w:w="6" w:type="dxa"/>
            </w:tcMar>
            <w:vAlign w:val="center"/>
          </w:tcPr>
          <w:p w14:paraId="2E68E73B" w14:textId="77777777" w:rsidR="00732334" w:rsidRDefault="00732334" w:rsidP="00732334">
            <w:pPr>
              <w:contextualSpacing/>
              <w:jc w:val="center"/>
              <w:rPr>
                <w:rFonts w:cs="Arial"/>
                <w:color w:val="000000"/>
                <w:szCs w:val="22"/>
              </w:rPr>
            </w:pPr>
            <w:r>
              <w:rPr>
                <w:rFonts w:cs="Arial"/>
                <w:color w:val="000000"/>
                <w:szCs w:val="22"/>
              </w:rPr>
              <w:t>E-2022-002626</w:t>
            </w:r>
          </w:p>
          <w:p w14:paraId="097B9E73" w14:textId="77777777" w:rsidR="00732334" w:rsidRDefault="00732334" w:rsidP="00732334">
            <w:pPr>
              <w:contextualSpacing/>
              <w:jc w:val="center"/>
              <w:rPr>
                <w:rFonts w:cs="Arial"/>
                <w:color w:val="000000"/>
                <w:szCs w:val="22"/>
              </w:rPr>
            </w:pPr>
            <w:r>
              <w:rPr>
                <w:rFonts w:cs="Arial"/>
                <w:color w:val="000000"/>
                <w:szCs w:val="22"/>
              </w:rPr>
              <w:t>E-2022-002628</w:t>
            </w:r>
          </w:p>
          <w:p w14:paraId="1B99C4A7" w14:textId="667A5759" w:rsidR="00732334" w:rsidRPr="00812CDC" w:rsidRDefault="00732334" w:rsidP="00732334">
            <w:pPr>
              <w:widowControl w:val="0"/>
              <w:contextualSpacing/>
              <w:jc w:val="center"/>
              <w:rPr>
                <w:rFonts w:eastAsia="Arial" w:cs="Arial"/>
                <w:lang w:eastAsia="en-US"/>
              </w:rPr>
            </w:pPr>
            <w:r>
              <w:rPr>
                <w:rFonts w:cs="Arial"/>
                <w:color w:val="000000"/>
                <w:szCs w:val="22"/>
              </w:rPr>
              <w:t>E-2022-003071</w:t>
            </w:r>
          </w:p>
        </w:tc>
      </w:tr>
      <w:tr w:rsidR="00732334" w:rsidRPr="00812CDC" w14:paraId="19D10A1E" w14:textId="77777777" w:rsidTr="00A322A7">
        <w:trPr>
          <w:trHeight w:val="340"/>
          <w:jc w:val="center"/>
        </w:trPr>
        <w:tc>
          <w:tcPr>
            <w:tcW w:w="6374" w:type="dxa"/>
            <w:shd w:val="clear" w:color="auto" w:fill="auto"/>
            <w:tcMar>
              <w:top w:w="6" w:type="dxa"/>
              <w:left w:w="57" w:type="dxa"/>
              <w:bottom w:w="0" w:type="dxa"/>
              <w:right w:w="6" w:type="dxa"/>
            </w:tcMar>
            <w:vAlign w:val="center"/>
          </w:tcPr>
          <w:p w14:paraId="35B58C74" w14:textId="7E75ECA9" w:rsidR="00732334" w:rsidRPr="00812CDC" w:rsidRDefault="00732334" w:rsidP="00732334">
            <w:pPr>
              <w:widowControl w:val="0"/>
              <w:contextualSpacing/>
              <w:rPr>
                <w:rFonts w:eastAsia="Arial" w:cs="Arial"/>
                <w:lang w:eastAsia="en-US"/>
              </w:rPr>
            </w:pPr>
            <w:r w:rsidRPr="000D5E0D">
              <w:rPr>
                <w:rFonts w:cs="Arial"/>
                <w:color w:val="000000"/>
                <w:szCs w:val="22"/>
              </w:rPr>
              <w:t xml:space="preserve">Federación Nacional </w:t>
            </w:r>
            <w:r>
              <w:rPr>
                <w:rFonts w:cs="Arial"/>
                <w:color w:val="000000"/>
                <w:szCs w:val="22"/>
              </w:rPr>
              <w:t>d</w:t>
            </w:r>
            <w:r w:rsidRPr="000D5E0D">
              <w:rPr>
                <w:rFonts w:cs="Arial"/>
                <w:color w:val="000000"/>
                <w:szCs w:val="22"/>
              </w:rPr>
              <w:t xml:space="preserve">e Profesionales Técnicos Electricistas </w:t>
            </w:r>
            <w:r>
              <w:rPr>
                <w:rFonts w:cs="Arial"/>
                <w:color w:val="000000"/>
                <w:szCs w:val="22"/>
              </w:rPr>
              <w:t>y</w:t>
            </w:r>
            <w:r w:rsidRPr="000D5E0D">
              <w:rPr>
                <w:rFonts w:cs="Arial"/>
                <w:color w:val="000000"/>
                <w:szCs w:val="22"/>
              </w:rPr>
              <w:t xml:space="preserve"> Afines </w:t>
            </w:r>
            <w:r>
              <w:rPr>
                <w:rFonts w:cs="Arial"/>
                <w:color w:val="000000"/>
                <w:szCs w:val="22"/>
              </w:rPr>
              <w:t>d</w:t>
            </w:r>
            <w:r w:rsidRPr="000D5E0D">
              <w:rPr>
                <w:rFonts w:cs="Arial"/>
                <w:color w:val="000000"/>
                <w:szCs w:val="22"/>
              </w:rPr>
              <w:t>e Colombia - Fenaltec</w:t>
            </w:r>
          </w:p>
        </w:tc>
        <w:tc>
          <w:tcPr>
            <w:tcW w:w="2268" w:type="dxa"/>
            <w:shd w:val="clear" w:color="auto" w:fill="auto"/>
            <w:tcMar>
              <w:top w:w="6" w:type="dxa"/>
              <w:left w:w="6" w:type="dxa"/>
              <w:bottom w:w="0" w:type="dxa"/>
              <w:right w:w="6" w:type="dxa"/>
            </w:tcMar>
            <w:vAlign w:val="center"/>
          </w:tcPr>
          <w:p w14:paraId="10DA17D5" w14:textId="0D050EDA" w:rsidR="00732334" w:rsidRPr="00812CDC" w:rsidRDefault="00732334" w:rsidP="00732334">
            <w:pPr>
              <w:widowControl w:val="0"/>
              <w:contextualSpacing/>
              <w:jc w:val="center"/>
              <w:rPr>
                <w:rFonts w:eastAsia="Arial" w:cs="Arial"/>
                <w:lang w:eastAsia="en-US"/>
              </w:rPr>
            </w:pPr>
            <w:r>
              <w:rPr>
                <w:rFonts w:cs="Arial"/>
                <w:color w:val="000000"/>
                <w:szCs w:val="22"/>
              </w:rPr>
              <w:t>E-2022-002974</w:t>
            </w:r>
          </w:p>
        </w:tc>
      </w:tr>
      <w:tr w:rsidR="00732334" w:rsidRPr="00812CDC" w14:paraId="3C6D8B10" w14:textId="77777777" w:rsidTr="00A322A7">
        <w:trPr>
          <w:trHeight w:val="340"/>
          <w:jc w:val="center"/>
        </w:trPr>
        <w:tc>
          <w:tcPr>
            <w:tcW w:w="6374" w:type="dxa"/>
            <w:shd w:val="clear" w:color="auto" w:fill="auto"/>
            <w:tcMar>
              <w:top w:w="6" w:type="dxa"/>
              <w:left w:w="57" w:type="dxa"/>
              <w:bottom w:w="0" w:type="dxa"/>
              <w:right w:w="6" w:type="dxa"/>
            </w:tcMar>
            <w:vAlign w:val="center"/>
          </w:tcPr>
          <w:p w14:paraId="198389B5" w14:textId="161773A0" w:rsidR="00732334" w:rsidRPr="00812CDC" w:rsidRDefault="00732334" w:rsidP="00732334">
            <w:pPr>
              <w:widowControl w:val="0"/>
              <w:contextualSpacing/>
              <w:rPr>
                <w:rFonts w:eastAsia="Arial" w:cs="Arial"/>
                <w:lang w:eastAsia="en-US"/>
              </w:rPr>
            </w:pPr>
            <w:r>
              <w:rPr>
                <w:rFonts w:cs="Arial"/>
                <w:color w:val="000000"/>
                <w:szCs w:val="22"/>
              </w:rPr>
              <w:t>Empresa de Energía de Arauca ENELAR E.S.P.</w:t>
            </w:r>
          </w:p>
        </w:tc>
        <w:tc>
          <w:tcPr>
            <w:tcW w:w="2268" w:type="dxa"/>
            <w:shd w:val="clear" w:color="auto" w:fill="auto"/>
            <w:tcMar>
              <w:top w:w="6" w:type="dxa"/>
              <w:left w:w="6" w:type="dxa"/>
              <w:bottom w:w="0" w:type="dxa"/>
              <w:right w:w="6" w:type="dxa"/>
            </w:tcMar>
            <w:vAlign w:val="center"/>
          </w:tcPr>
          <w:p w14:paraId="66469275" w14:textId="1CBB7DF8" w:rsidR="00732334" w:rsidRPr="00812CDC" w:rsidRDefault="00732334" w:rsidP="00732334">
            <w:pPr>
              <w:widowControl w:val="0"/>
              <w:contextualSpacing/>
              <w:jc w:val="center"/>
              <w:rPr>
                <w:rFonts w:eastAsia="Arial" w:cs="Arial"/>
                <w:lang w:eastAsia="en-US"/>
              </w:rPr>
            </w:pPr>
            <w:r>
              <w:rPr>
                <w:rFonts w:cs="Arial"/>
                <w:color w:val="000000"/>
                <w:szCs w:val="22"/>
              </w:rPr>
              <w:t>E-2022-003830</w:t>
            </w:r>
          </w:p>
        </w:tc>
      </w:tr>
    </w:tbl>
    <w:p w14:paraId="6B99230B" w14:textId="77777777" w:rsidR="00A51F6D" w:rsidRPr="00B66211" w:rsidRDefault="00A51F6D" w:rsidP="00A51F6D">
      <w:pPr>
        <w:widowControl w:val="0"/>
        <w:contextualSpacing/>
        <w:jc w:val="both"/>
        <w:rPr>
          <w:rFonts w:eastAsia="Arial" w:cs="Arial"/>
          <w:lang w:eastAsia="en-US"/>
        </w:rPr>
      </w:pPr>
    </w:p>
    <w:p w14:paraId="6CE25302" w14:textId="6A1DCAA5" w:rsidR="00A51F6D" w:rsidRPr="00B66211" w:rsidRDefault="00A51F6D" w:rsidP="00A51F6D">
      <w:pPr>
        <w:widowControl w:val="0"/>
        <w:contextualSpacing/>
        <w:jc w:val="both"/>
        <w:rPr>
          <w:rFonts w:eastAsia="Arial" w:cs="Arial"/>
          <w:lang w:eastAsia="en-US"/>
        </w:rPr>
      </w:pPr>
      <w:r w:rsidRPr="00B66211">
        <w:rPr>
          <w:rFonts w:eastAsia="Arial" w:cs="Arial"/>
          <w:lang w:eastAsia="en-US"/>
        </w:rPr>
        <w:t xml:space="preserve">En el </w:t>
      </w:r>
      <w:r w:rsidRPr="004B39AE">
        <w:rPr>
          <w:rFonts w:eastAsia="Arial" w:cs="Arial"/>
          <w:lang w:eastAsia="en-US"/>
        </w:rPr>
        <w:t xml:space="preserve">documento CREG </w:t>
      </w:r>
      <w:r w:rsidR="00FD6C50">
        <w:rPr>
          <w:rFonts w:eastAsia="Arial" w:cs="Arial"/>
          <w:lang w:eastAsia="en-US"/>
        </w:rPr>
        <w:t>101 017</w:t>
      </w:r>
      <w:r w:rsidRPr="004B39AE">
        <w:rPr>
          <w:rFonts w:eastAsia="Arial" w:cs="Arial"/>
          <w:lang w:eastAsia="en-US"/>
        </w:rPr>
        <w:t xml:space="preserve"> de 2022 se encuentra</w:t>
      </w:r>
      <w:r>
        <w:rPr>
          <w:rFonts w:eastAsia="Arial" w:cs="Arial"/>
          <w:lang w:eastAsia="en-US"/>
        </w:rPr>
        <w:t xml:space="preserve"> e</w:t>
      </w:r>
      <w:r w:rsidRPr="00B66211">
        <w:rPr>
          <w:rFonts w:eastAsia="Arial" w:cs="Arial"/>
          <w:lang w:eastAsia="en-US"/>
        </w:rPr>
        <w:t>l</w:t>
      </w:r>
      <w:r>
        <w:rPr>
          <w:rFonts w:eastAsia="Arial" w:cs="Arial"/>
          <w:lang w:eastAsia="en-US"/>
        </w:rPr>
        <w:t xml:space="preserve"> </w:t>
      </w:r>
      <w:r w:rsidRPr="00B66211">
        <w:rPr>
          <w:rFonts w:eastAsia="Arial" w:cs="Arial"/>
          <w:lang w:eastAsia="en-US"/>
        </w:rPr>
        <w:t xml:space="preserve">análisis </w:t>
      </w:r>
      <w:r>
        <w:rPr>
          <w:rFonts w:eastAsia="Arial" w:cs="Arial"/>
          <w:lang w:eastAsia="en-US"/>
        </w:rPr>
        <w:t xml:space="preserve">efectuado </w:t>
      </w:r>
      <w:r w:rsidRPr="00B66211">
        <w:rPr>
          <w:rFonts w:eastAsia="Arial" w:cs="Arial"/>
          <w:lang w:eastAsia="en-US"/>
        </w:rPr>
        <w:t>a cada uno de los</w:t>
      </w:r>
      <w:r>
        <w:rPr>
          <w:rFonts w:eastAsia="Arial" w:cs="Arial"/>
          <w:lang w:eastAsia="en-US"/>
        </w:rPr>
        <w:t xml:space="preserve"> </w:t>
      </w:r>
      <w:r w:rsidRPr="00B66211">
        <w:rPr>
          <w:rFonts w:eastAsia="Arial" w:cs="Arial"/>
          <w:lang w:eastAsia="en-US"/>
        </w:rPr>
        <w:t>comentarios que se recibieron en el proceso de consulta</w:t>
      </w:r>
      <w:r w:rsidR="00867B7C">
        <w:rPr>
          <w:rFonts w:eastAsia="Arial" w:cs="Arial"/>
          <w:lang w:eastAsia="en-US"/>
        </w:rPr>
        <w:t xml:space="preserve"> </w:t>
      </w:r>
      <w:r w:rsidR="00867B7C" w:rsidRPr="00867B7C">
        <w:rPr>
          <w:rFonts w:eastAsia="Calibri" w:cs="Arial"/>
          <w:lang w:eastAsia="en-US"/>
        </w:rPr>
        <w:t>y los análisis de la CREG que sustentan</w:t>
      </w:r>
      <w:r w:rsidR="002A34A1">
        <w:rPr>
          <w:rFonts w:eastAsia="Calibri" w:cs="Arial"/>
          <w:lang w:eastAsia="en-US"/>
        </w:rPr>
        <w:t xml:space="preserve"> </w:t>
      </w:r>
      <w:r w:rsidR="002A34A1" w:rsidRPr="00867B7C">
        <w:rPr>
          <w:rFonts w:eastAsia="Calibri" w:cs="Arial"/>
          <w:lang w:eastAsia="en-US"/>
        </w:rPr>
        <w:t>las decisiones que aquí se adoptan</w:t>
      </w:r>
      <w:r>
        <w:rPr>
          <w:rFonts w:eastAsia="Arial" w:cs="Arial"/>
          <w:lang w:eastAsia="en-US"/>
        </w:rPr>
        <w:t>.</w:t>
      </w:r>
    </w:p>
    <w:p w14:paraId="2533ABAE" w14:textId="77777777" w:rsidR="00867B7C" w:rsidRDefault="00867B7C" w:rsidP="00C94D29">
      <w:pPr>
        <w:contextualSpacing/>
        <w:jc w:val="both"/>
        <w:rPr>
          <w:rFonts w:eastAsia="Calibri" w:cs="Arial"/>
          <w:lang w:eastAsia="en-US"/>
        </w:rPr>
      </w:pPr>
    </w:p>
    <w:p w14:paraId="36811D55" w14:textId="456338ED" w:rsidR="00282DA2" w:rsidRPr="00B66211" w:rsidRDefault="00282DA2" w:rsidP="00C94D29">
      <w:pPr>
        <w:contextualSpacing/>
        <w:jc w:val="both"/>
        <w:rPr>
          <w:rFonts w:eastAsia="Calibri" w:cs="Arial"/>
          <w:lang w:eastAsia="en-US"/>
        </w:rPr>
      </w:pPr>
      <w:r w:rsidRPr="00B66211">
        <w:rPr>
          <w:rFonts w:eastAsia="Calibri" w:cs="Arial"/>
          <w:lang w:eastAsia="en-US"/>
        </w:rPr>
        <w:t xml:space="preserve">Mediante Resolución CREG 004 de 2021, modificada por Resolución CREG 073 de 2021, se define el procedimiento para el cálculo de la tasa de descuento </w:t>
      </w:r>
      <w:r w:rsidRPr="00980266">
        <w:rPr>
          <w:rFonts w:eastAsia="Calibri" w:cs="Arial"/>
          <w:lang w:eastAsia="en-US"/>
        </w:rPr>
        <w:t>aplicable en las metodologías tarifarias que expide la Comisión de Regulación de Energía y Gas.</w:t>
      </w:r>
      <w:r w:rsidR="008A360D" w:rsidRPr="00980266">
        <w:rPr>
          <w:rFonts w:eastAsia="Arial" w:cs="Arial"/>
          <w:lang w:eastAsia="en-US"/>
        </w:rPr>
        <w:t xml:space="preserve"> </w:t>
      </w:r>
      <w:r w:rsidR="008A360D" w:rsidRPr="00980266">
        <w:rPr>
          <w:rFonts w:eastAsia="Calibri" w:cs="Arial"/>
          <w:lang w:eastAsia="en-US"/>
        </w:rPr>
        <w:t>La definición de la tasa de descuento aplicable</w:t>
      </w:r>
      <w:r w:rsidR="002D4C8B" w:rsidRPr="00980266">
        <w:rPr>
          <w:rFonts w:eastAsia="Calibri" w:cs="Arial"/>
          <w:lang w:eastAsia="en-US"/>
        </w:rPr>
        <w:t xml:space="preserve"> </w:t>
      </w:r>
      <w:r w:rsidR="00AE4BA7" w:rsidRPr="00980266">
        <w:rPr>
          <w:rFonts w:eastAsia="Calibri" w:cs="Arial"/>
          <w:lang w:eastAsia="en-US"/>
        </w:rPr>
        <w:t xml:space="preserve">a la presente metodología se determinará en </w:t>
      </w:r>
      <w:r w:rsidR="00B71F66" w:rsidRPr="00980266">
        <w:rPr>
          <w:rFonts w:eastAsia="Calibri" w:cs="Arial"/>
          <w:lang w:eastAsia="en-US"/>
        </w:rPr>
        <w:t>resolución aparte.</w:t>
      </w:r>
    </w:p>
    <w:p w14:paraId="35D6A892" w14:textId="77777777" w:rsidR="00282DA2" w:rsidRDefault="00282DA2" w:rsidP="00C94D29">
      <w:pPr>
        <w:widowControl w:val="0"/>
        <w:contextualSpacing/>
        <w:jc w:val="both"/>
        <w:rPr>
          <w:rFonts w:eastAsia="Arial" w:cs="Arial"/>
          <w:lang w:eastAsia="en-US"/>
        </w:rPr>
      </w:pPr>
    </w:p>
    <w:p w14:paraId="13E4A2F0" w14:textId="2EDD9232" w:rsidR="00867B7C" w:rsidRDefault="00C92722" w:rsidP="00C94D29">
      <w:pPr>
        <w:widowControl w:val="0"/>
        <w:contextualSpacing/>
        <w:jc w:val="both"/>
        <w:rPr>
          <w:rFonts w:eastAsia="Arial" w:cs="Arial"/>
          <w:lang w:eastAsia="en-US"/>
        </w:rPr>
      </w:pPr>
      <w:r w:rsidRPr="00B66211">
        <w:rPr>
          <w:rFonts w:eastAsia="Arial" w:cs="Arial"/>
          <w:lang w:eastAsia="en-US"/>
        </w:rPr>
        <w:t xml:space="preserve">Teniendo en cuenta lo expuesto, se hace necesario definir una metodología tarifaria que permita la remuneración del servicio </w:t>
      </w:r>
      <w:r w:rsidR="0058170D" w:rsidRPr="00B66211">
        <w:rPr>
          <w:rFonts w:eastAsia="Arial" w:cs="Arial"/>
          <w:lang w:eastAsia="en-US"/>
        </w:rPr>
        <w:t xml:space="preserve">y las actividades relacionadas con </w:t>
      </w:r>
      <w:r w:rsidR="007077F6" w:rsidRPr="00B66211">
        <w:rPr>
          <w:rFonts w:eastAsia="Arial" w:cs="Arial"/>
          <w:lang w:eastAsia="en-US"/>
        </w:rPr>
        <w:t xml:space="preserve">el suministro </w:t>
      </w:r>
      <w:r w:rsidRPr="00B66211">
        <w:rPr>
          <w:rFonts w:eastAsia="Arial" w:cs="Arial"/>
          <w:lang w:eastAsia="en-US"/>
        </w:rPr>
        <w:t xml:space="preserve">de energía eléctrica </w:t>
      </w:r>
      <w:r w:rsidR="00036F36" w:rsidRPr="00B66211">
        <w:rPr>
          <w:rFonts w:eastAsia="Arial" w:cs="Arial"/>
          <w:lang w:eastAsia="en-US"/>
        </w:rPr>
        <w:t xml:space="preserve">mediante soluciones individuales </w:t>
      </w:r>
      <w:r w:rsidR="004047C4" w:rsidRPr="00B66211">
        <w:rPr>
          <w:rFonts w:eastAsia="Arial" w:cs="Arial"/>
          <w:lang w:eastAsia="en-US"/>
        </w:rPr>
        <w:t>fotovoltaicas</w:t>
      </w:r>
      <w:r w:rsidR="00D4323C" w:rsidRPr="00B66211">
        <w:rPr>
          <w:rFonts w:eastAsia="Arial" w:cs="Arial"/>
          <w:lang w:eastAsia="en-US"/>
        </w:rPr>
        <w:t>,</w:t>
      </w:r>
      <w:r w:rsidRPr="00B66211">
        <w:rPr>
          <w:rFonts w:eastAsia="Arial" w:cs="Arial"/>
          <w:lang w:eastAsia="en-US"/>
        </w:rPr>
        <w:t xml:space="preserve"> considerando las particularidades de las regiones en las que se preste el servicio</w:t>
      </w:r>
      <w:r w:rsidR="00432CD1" w:rsidRPr="00B66211">
        <w:rPr>
          <w:rFonts w:eastAsia="Arial" w:cs="Arial"/>
          <w:lang w:eastAsia="en-US"/>
        </w:rPr>
        <w:t>,</w:t>
      </w:r>
      <w:r w:rsidR="00D45DBA" w:rsidRPr="00B66211">
        <w:rPr>
          <w:rFonts w:eastAsia="Arial" w:cs="Arial"/>
          <w:lang w:eastAsia="en-US"/>
        </w:rPr>
        <w:t xml:space="preserve"> el número y dispersión de los usuarios a ser atendidos</w:t>
      </w:r>
      <w:r w:rsidR="000D0789">
        <w:rPr>
          <w:rFonts w:eastAsia="Arial" w:cs="Arial"/>
          <w:lang w:eastAsia="en-US"/>
        </w:rPr>
        <w:t>,</w:t>
      </w:r>
      <w:r w:rsidR="00432CD1" w:rsidRPr="00B66211">
        <w:rPr>
          <w:rFonts w:eastAsia="Arial" w:cs="Arial"/>
          <w:lang w:eastAsia="en-US"/>
        </w:rPr>
        <w:t xml:space="preserve"> y </w:t>
      </w:r>
      <w:r w:rsidR="004D25C9" w:rsidRPr="00B66211">
        <w:rPr>
          <w:rFonts w:eastAsia="Arial" w:cs="Arial"/>
          <w:lang w:eastAsia="en-US"/>
        </w:rPr>
        <w:t>la necesidad de garantizar la disponibilidad del servicio</w:t>
      </w:r>
      <w:r w:rsidR="005E6F55" w:rsidRPr="00B66211">
        <w:rPr>
          <w:rFonts w:eastAsia="Arial" w:cs="Arial"/>
          <w:lang w:eastAsia="en-US"/>
        </w:rPr>
        <w:t xml:space="preserve"> independientemente del consumo</w:t>
      </w:r>
      <w:r w:rsidR="00867B7C">
        <w:rPr>
          <w:rFonts w:eastAsia="Arial" w:cs="Arial"/>
          <w:lang w:eastAsia="en-US"/>
        </w:rPr>
        <w:t>.</w:t>
      </w:r>
    </w:p>
    <w:p w14:paraId="786BDB5C" w14:textId="77777777" w:rsidR="00867B7C" w:rsidRDefault="00867B7C" w:rsidP="00C94D29">
      <w:pPr>
        <w:widowControl w:val="0"/>
        <w:contextualSpacing/>
        <w:jc w:val="both"/>
        <w:rPr>
          <w:rFonts w:eastAsia="Arial" w:cs="Arial"/>
          <w:lang w:eastAsia="en-US"/>
        </w:rPr>
      </w:pPr>
    </w:p>
    <w:p w14:paraId="1473E912" w14:textId="6362EBB8" w:rsidR="00867B7C" w:rsidRPr="00867B7C" w:rsidRDefault="00867B7C" w:rsidP="00867B7C">
      <w:pPr>
        <w:widowControl w:val="0"/>
        <w:contextualSpacing/>
        <w:jc w:val="both"/>
        <w:rPr>
          <w:rFonts w:eastAsia="Arial" w:cs="Arial"/>
          <w:lang w:eastAsia="en-US"/>
        </w:rPr>
      </w:pPr>
      <w:r w:rsidRPr="00867B7C">
        <w:rPr>
          <w:rFonts w:eastAsia="Arial" w:cs="Arial"/>
          <w:lang w:eastAsia="en-US"/>
        </w:rPr>
        <w:t>Conforme al Decreto 1074 de 2015 y la Resolución SIC 44649 de 2010, la CREG</w:t>
      </w:r>
      <w:r w:rsidR="002A34A1">
        <w:rPr>
          <w:rFonts w:eastAsia="Arial" w:cs="Arial"/>
          <w:lang w:eastAsia="en-US"/>
        </w:rPr>
        <w:t xml:space="preserve"> </w:t>
      </w:r>
      <w:r w:rsidRPr="00867B7C">
        <w:rPr>
          <w:rFonts w:eastAsia="Arial" w:cs="Arial"/>
          <w:lang w:eastAsia="en-US"/>
        </w:rPr>
        <w:t>dio respuesta al cuestionario adoptado por la Superintendencia de Industria y</w:t>
      </w:r>
      <w:r w:rsidR="002A34A1">
        <w:rPr>
          <w:rFonts w:eastAsia="Arial" w:cs="Arial"/>
          <w:lang w:eastAsia="en-US"/>
        </w:rPr>
        <w:t xml:space="preserve"> </w:t>
      </w:r>
      <w:r w:rsidRPr="00867B7C">
        <w:rPr>
          <w:rFonts w:eastAsia="Arial" w:cs="Arial"/>
          <w:lang w:eastAsia="en-US"/>
        </w:rPr>
        <w:t>Comercio para la evaluación de la incidencia sobre la libre competencia del</w:t>
      </w:r>
      <w:r w:rsidR="002A34A1">
        <w:rPr>
          <w:rFonts w:eastAsia="Arial" w:cs="Arial"/>
          <w:lang w:eastAsia="en-US"/>
        </w:rPr>
        <w:t xml:space="preserve"> </w:t>
      </w:r>
      <w:r w:rsidRPr="00867B7C">
        <w:rPr>
          <w:rFonts w:eastAsia="Arial" w:cs="Arial"/>
          <w:lang w:eastAsia="en-US"/>
        </w:rPr>
        <w:t>presente acto administrativo. Como resultado del cuestionario se encontró que</w:t>
      </w:r>
      <w:r w:rsidR="002A34A1">
        <w:rPr>
          <w:rFonts w:eastAsia="Arial" w:cs="Arial"/>
          <w:lang w:eastAsia="en-US"/>
        </w:rPr>
        <w:t xml:space="preserve"> </w:t>
      </w:r>
      <w:r w:rsidRPr="00867B7C">
        <w:rPr>
          <w:rFonts w:eastAsia="Arial" w:cs="Arial"/>
          <w:lang w:eastAsia="en-US"/>
        </w:rPr>
        <w:t>el contenido del presente acto administrativo puede tener incidencia en la libre</w:t>
      </w:r>
      <w:r w:rsidR="002A34A1">
        <w:rPr>
          <w:rFonts w:eastAsia="Arial" w:cs="Arial"/>
          <w:lang w:eastAsia="en-US"/>
        </w:rPr>
        <w:t xml:space="preserve"> </w:t>
      </w:r>
      <w:r w:rsidRPr="00867B7C">
        <w:rPr>
          <w:rFonts w:eastAsia="Arial" w:cs="Arial"/>
          <w:lang w:eastAsia="en-US"/>
        </w:rPr>
        <w:t>competencia en los términos del artículo 7 de la Ley 1340 de 2009.</w:t>
      </w:r>
    </w:p>
    <w:p w14:paraId="603B30E6" w14:textId="3B44B965" w:rsidR="002A34A1" w:rsidRDefault="002A34A1" w:rsidP="00867B7C">
      <w:pPr>
        <w:widowControl w:val="0"/>
        <w:contextualSpacing/>
        <w:jc w:val="both"/>
        <w:rPr>
          <w:rFonts w:eastAsia="Arial" w:cs="Arial"/>
          <w:lang w:eastAsia="en-US"/>
        </w:rPr>
      </w:pPr>
    </w:p>
    <w:p w14:paraId="6A156ADE" w14:textId="13BE051A" w:rsidR="004C1B8A" w:rsidRDefault="004C1B8A" w:rsidP="004C1B8A">
      <w:pPr>
        <w:widowControl w:val="0"/>
        <w:contextualSpacing/>
        <w:jc w:val="both"/>
        <w:rPr>
          <w:rFonts w:eastAsia="Arial" w:cs="Arial"/>
          <w:lang w:eastAsia="en-US"/>
        </w:rPr>
      </w:pPr>
      <w:r w:rsidRPr="00835647">
        <w:rPr>
          <w:rFonts w:eastAsia="Arial" w:cs="Arial"/>
          <w:lang w:eastAsia="en-US"/>
        </w:rPr>
        <w:t>La Comisión de Regulación de Energía y Gas, en su sesión No.</w:t>
      </w:r>
      <w:r>
        <w:rPr>
          <w:rFonts w:eastAsia="Arial" w:cs="Arial"/>
          <w:lang w:eastAsia="en-US"/>
        </w:rPr>
        <w:t xml:space="preserve"> 1171</w:t>
      </w:r>
      <w:r w:rsidRPr="00835647">
        <w:rPr>
          <w:rFonts w:eastAsia="Arial" w:cs="Arial"/>
          <w:lang w:eastAsia="en-US"/>
        </w:rPr>
        <w:t xml:space="preserve"> del </w:t>
      </w:r>
      <w:r>
        <w:rPr>
          <w:rFonts w:eastAsia="Arial" w:cs="Arial"/>
          <w:lang w:eastAsia="en-US"/>
        </w:rPr>
        <w:t>24</w:t>
      </w:r>
      <w:r w:rsidRPr="00835647">
        <w:rPr>
          <w:rFonts w:eastAsia="Arial" w:cs="Arial"/>
          <w:lang w:eastAsia="en-US"/>
        </w:rPr>
        <w:t xml:space="preserve"> de</w:t>
      </w:r>
      <w:r>
        <w:rPr>
          <w:rFonts w:eastAsia="Arial" w:cs="Arial"/>
          <w:lang w:eastAsia="en-US"/>
        </w:rPr>
        <w:t xml:space="preserve"> mayo</w:t>
      </w:r>
      <w:r w:rsidRPr="00835647">
        <w:rPr>
          <w:rFonts w:eastAsia="Arial" w:cs="Arial"/>
          <w:lang w:eastAsia="en-US"/>
        </w:rPr>
        <w:t xml:space="preserve"> de 2022, acordó </w:t>
      </w:r>
      <w:r w:rsidR="00C37CF5">
        <w:rPr>
          <w:rFonts w:eastAsia="Arial" w:cs="Arial"/>
          <w:lang w:eastAsia="en-US"/>
        </w:rPr>
        <w:t xml:space="preserve">remitir para concepto de la </w:t>
      </w:r>
      <w:r w:rsidR="00C37CF5" w:rsidRPr="00867B7C">
        <w:rPr>
          <w:rFonts w:eastAsia="Arial" w:cs="Arial"/>
          <w:lang w:eastAsia="en-US"/>
        </w:rPr>
        <w:t xml:space="preserve">Superintendencia de Industria y Comercio, SIC, </w:t>
      </w:r>
      <w:r w:rsidRPr="00835647">
        <w:rPr>
          <w:rFonts w:eastAsia="Arial" w:cs="Arial"/>
          <w:lang w:eastAsia="en-US"/>
        </w:rPr>
        <w:t>la presente resolución</w:t>
      </w:r>
      <w:r>
        <w:rPr>
          <w:rFonts w:eastAsia="Arial" w:cs="Arial"/>
          <w:lang w:eastAsia="en-US"/>
        </w:rPr>
        <w:t>.</w:t>
      </w:r>
    </w:p>
    <w:p w14:paraId="73D486CF" w14:textId="77777777" w:rsidR="004C1B8A" w:rsidRDefault="004C1B8A" w:rsidP="00867B7C">
      <w:pPr>
        <w:widowControl w:val="0"/>
        <w:contextualSpacing/>
        <w:jc w:val="both"/>
        <w:rPr>
          <w:rFonts w:eastAsia="Arial" w:cs="Arial"/>
          <w:lang w:eastAsia="en-US"/>
        </w:rPr>
      </w:pPr>
    </w:p>
    <w:p w14:paraId="01B4910C" w14:textId="326EC06C" w:rsidR="00867B7C" w:rsidRDefault="00867B7C" w:rsidP="002A34A1">
      <w:pPr>
        <w:widowControl w:val="0"/>
        <w:contextualSpacing/>
        <w:jc w:val="both"/>
        <w:rPr>
          <w:rFonts w:eastAsia="Arial" w:cs="Arial"/>
          <w:lang w:eastAsia="en-US"/>
        </w:rPr>
      </w:pPr>
      <w:r w:rsidRPr="00867B7C">
        <w:rPr>
          <w:rFonts w:eastAsia="Arial" w:cs="Arial"/>
          <w:lang w:eastAsia="en-US"/>
        </w:rPr>
        <w:t>Mediante radicado CREG S-202</w:t>
      </w:r>
      <w:r w:rsidR="002A34A1">
        <w:rPr>
          <w:rFonts w:eastAsia="Arial" w:cs="Arial"/>
          <w:lang w:eastAsia="en-US"/>
        </w:rPr>
        <w:t>2</w:t>
      </w:r>
      <w:r w:rsidRPr="00867B7C">
        <w:rPr>
          <w:rFonts w:eastAsia="Arial" w:cs="Arial"/>
          <w:lang w:eastAsia="en-US"/>
        </w:rPr>
        <w:t>-</w:t>
      </w:r>
      <w:r w:rsidR="002A34A1" w:rsidRPr="004F7B7F">
        <w:rPr>
          <w:rFonts w:eastAsia="Arial" w:cs="Arial"/>
          <w:highlight w:val="yellow"/>
          <w:lang w:eastAsia="en-US"/>
        </w:rPr>
        <w:t>XXXXXX</w:t>
      </w:r>
      <w:r w:rsidRPr="00867B7C">
        <w:rPr>
          <w:rFonts w:eastAsia="Arial" w:cs="Arial"/>
          <w:lang w:eastAsia="en-US"/>
        </w:rPr>
        <w:t xml:space="preserve"> del </w:t>
      </w:r>
      <w:r w:rsidR="002A34A1">
        <w:rPr>
          <w:rFonts w:eastAsia="Arial" w:cs="Arial"/>
          <w:lang w:eastAsia="en-US"/>
        </w:rPr>
        <w:t>XX</w:t>
      </w:r>
      <w:r w:rsidRPr="00867B7C">
        <w:rPr>
          <w:rFonts w:eastAsia="Arial" w:cs="Arial"/>
          <w:lang w:eastAsia="en-US"/>
        </w:rPr>
        <w:t xml:space="preserve"> de </w:t>
      </w:r>
      <w:r w:rsidR="002A34A1" w:rsidRPr="004F7B7F">
        <w:rPr>
          <w:rFonts w:eastAsia="Arial" w:cs="Arial"/>
          <w:highlight w:val="yellow"/>
          <w:lang w:eastAsia="en-US"/>
        </w:rPr>
        <w:t>xxxxxxxxx</w:t>
      </w:r>
      <w:r w:rsidRPr="00867B7C">
        <w:rPr>
          <w:rFonts w:eastAsia="Arial" w:cs="Arial"/>
          <w:lang w:eastAsia="en-US"/>
        </w:rPr>
        <w:t xml:space="preserve"> de 202</w:t>
      </w:r>
      <w:r w:rsidR="002A34A1">
        <w:rPr>
          <w:rFonts w:eastAsia="Arial" w:cs="Arial"/>
          <w:lang w:eastAsia="en-US"/>
        </w:rPr>
        <w:t>2</w:t>
      </w:r>
      <w:r w:rsidRPr="00867B7C">
        <w:rPr>
          <w:rFonts w:eastAsia="Arial" w:cs="Arial"/>
          <w:lang w:eastAsia="en-US"/>
        </w:rPr>
        <w:t>, se</w:t>
      </w:r>
      <w:r w:rsidR="002A34A1">
        <w:rPr>
          <w:rFonts w:eastAsia="Arial" w:cs="Arial"/>
          <w:lang w:eastAsia="en-US"/>
        </w:rPr>
        <w:t xml:space="preserve"> </w:t>
      </w:r>
      <w:r w:rsidRPr="00867B7C">
        <w:rPr>
          <w:rFonts w:eastAsia="Arial" w:cs="Arial"/>
          <w:lang w:eastAsia="en-US"/>
        </w:rPr>
        <w:t>remitió para concepto de la SIC el</w:t>
      </w:r>
      <w:r w:rsidR="002A34A1">
        <w:rPr>
          <w:rFonts w:eastAsia="Arial" w:cs="Arial"/>
          <w:lang w:eastAsia="en-US"/>
        </w:rPr>
        <w:t xml:space="preserve"> </w:t>
      </w:r>
      <w:r w:rsidRPr="00867B7C">
        <w:rPr>
          <w:rFonts w:eastAsia="Arial" w:cs="Arial"/>
          <w:lang w:eastAsia="en-US"/>
        </w:rPr>
        <w:t>proyecto de resolución “</w:t>
      </w:r>
      <w:r w:rsidR="002A34A1" w:rsidRPr="002A34A1">
        <w:rPr>
          <w:rFonts w:eastAsia="Arial" w:cs="Arial"/>
          <w:lang w:eastAsia="en-US"/>
        </w:rPr>
        <w:t>Por la cual se define la fórmula tarifaria general para establecer la remuneración de la prestación del servicio de energía eléctrica mediante Soluciones Individuales Solares Fotovoltaicas</w:t>
      </w:r>
      <w:r w:rsidRPr="00867B7C">
        <w:rPr>
          <w:rFonts w:eastAsia="Arial" w:cs="Arial"/>
          <w:lang w:eastAsia="en-US"/>
        </w:rPr>
        <w:t>”.</w:t>
      </w:r>
    </w:p>
    <w:p w14:paraId="618A9E84" w14:textId="77777777" w:rsidR="00835647" w:rsidRPr="00B66211" w:rsidRDefault="00835647" w:rsidP="00835647">
      <w:pPr>
        <w:widowControl w:val="0"/>
        <w:contextualSpacing/>
        <w:jc w:val="both"/>
        <w:rPr>
          <w:rFonts w:eastAsia="Arial" w:cs="Arial"/>
          <w:lang w:eastAsia="en-US"/>
        </w:rPr>
      </w:pPr>
    </w:p>
    <w:p w14:paraId="22D42F56" w14:textId="2DCC2C33" w:rsidR="00C92722" w:rsidRPr="00B66211" w:rsidRDefault="00C92722" w:rsidP="00C94D29">
      <w:pPr>
        <w:suppressAutoHyphens/>
        <w:contextualSpacing/>
        <w:jc w:val="center"/>
        <w:rPr>
          <w:b/>
          <w:spacing w:val="-3"/>
        </w:rPr>
      </w:pPr>
      <w:r w:rsidRPr="00B66211">
        <w:rPr>
          <w:b/>
          <w:spacing w:val="-3"/>
        </w:rPr>
        <w:t>R E S U E L V E:</w:t>
      </w:r>
    </w:p>
    <w:p w14:paraId="4128B9D4" w14:textId="4BE7B6BC" w:rsidR="00C92722" w:rsidRPr="00B66211" w:rsidRDefault="00C92722" w:rsidP="00C94D29">
      <w:pPr>
        <w:widowControl w:val="0"/>
        <w:tabs>
          <w:tab w:val="left" w:pos="2391"/>
        </w:tabs>
        <w:contextualSpacing/>
        <w:rPr>
          <w:spacing w:val="-3"/>
        </w:rPr>
      </w:pPr>
    </w:p>
    <w:p w14:paraId="0917804D" w14:textId="7AD78A48" w:rsidR="001B737C" w:rsidRPr="00843291" w:rsidRDefault="001B737C" w:rsidP="00C94D29">
      <w:pPr>
        <w:pStyle w:val="Ttulo7"/>
        <w:widowControl w:val="0"/>
        <w:numPr>
          <w:ilvl w:val="0"/>
          <w:numId w:val="26"/>
        </w:numPr>
        <w:spacing w:before="0" w:after="0"/>
        <w:contextualSpacing/>
        <w:jc w:val="both"/>
        <w:rPr>
          <w:rFonts w:ascii="Bookman Old Style" w:hAnsi="Bookman Old Style"/>
        </w:rPr>
      </w:pPr>
      <w:r w:rsidRPr="00843291">
        <w:rPr>
          <w:rFonts w:ascii="Bookman Old Style" w:hAnsi="Bookman Old Style"/>
          <w:b/>
        </w:rPr>
        <w:t>Objeto.</w:t>
      </w:r>
      <w:r w:rsidR="00E00A0E" w:rsidRPr="00843291">
        <w:rPr>
          <w:rFonts w:ascii="Bookman Old Style" w:hAnsi="Bookman Old Style"/>
          <w:b/>
        </w:rPr>
        <w:t xml:space="preserve"> </w:t>
      </w:r>
      <w:r w:rsidR="00560DD3" w:rsidRPr="00843291">
        <w:rPr>
          <w:rFonts w:ascii="Bookman Old Style" w:hAnsi="Bookman Old Style"/>
        </w:rPr>
        <w:t xml:space="preserve">La presente </w:t>
      </w:r>
      <w:r w:rsidR="0076724A" w:rsidRPr="00843291">
        <w:rPr>
          <w:rFonts w:ascii="Bookman Old Style" w:hAnsi="Bookman Old Style"/>
        </w:rPr>
        <w:t>r</w:t>
      </w:r>
      <w:r w:rsidR="00560DD3" w:rsidRPr="00843291">
        <w:rPr>
          <w:rFonts w:ascii="Bookman Old Style" w:hAnsi="Bookman Old Style"/>
        </w:rPr>
        <w:t xml:space="preserve">esolución tiene como objeto establecer la fórmula tarifaria general que deberán aplicar los </w:t>
      </w:r>
      <w:r w:rsidR="00581448" w:rsidRPr="00843291">
        <w:rPr>
          <w:rFonts w:ascii="Bookman Old Style" w:hAnsi="Bookman Old Style"/>
        </w:rPr>
        <w:t>prestadores del servicio</w:t>
      </w:r>
      <w:r w:rsidR="00560DD3" w:rsidRPr="00843291">
        <w:rPr>
          <w:rFonts w:ascii="Bookman Old Style" w:hAnsi="Bookman Old Style"/>
        </w:rPr>
        <w:t xml:space="preserve"> para calcular los </w:t>
      </w:r>
      <w:r w:rsidR="00EE58FF" w:rsidRPr="00843291">
        <w:rPr>
          <w:rFonts w:ascii="Bookman Old Style" w:hAnsi="Bookman Old Style"/>
        </w:rPr>
        <w:t>c</w:t>
      </w:r>
      <w:r w:rsidR="00560DD3" w:rsidRPr="00843291">
        <w:rPr>
          <w:rFonts w:ascii="Bookman Old Style" w:hAnsi="Bookman Old Style"/>
        </w:rPr>
        <w:t xml:space="preserve">ostos </w:t>
      </w:r>
      <w:r w:rsidR="00EE58FF" w:rsidRPr="00843291">
        <w:rPr>
          <w:rFonts w:ascii="Bookman Old Style" w:hAnsi="Bookman Old Style"/>
        </w:rPr>
        <w:t>m</w:t>
      </w:r>
      <w:r w:rsidR="00560DD3" w:rsidRPr="00843291">
        <w:rPr>
          <w:rFonts w:ascii="Bookman Old Style" w:hAnsi="Bookman Old Style"/>
        </w:rPr>
        <w:t xml:space="preserve">áximos de </w:t>
      </w:r>
      <w:r w:rsidR="00EE58FF" w:rsidRPr="00843291">
        <w:rPr>
          <w:rFonts w:ascii="Bookman Old Style" w:hAnsi="Bookman Old Style"/>
        </w:rPr>
        <w:t>p</w:t>
      </w:r>
      <w:r w:rsidR="00560DD3" w:rsidRPr="00843291">
        <w:rPr>
          <w:rFonts w:ascii="Bookman Old Style" w:hAnsi="Bookman Old Style"/>
        </w:rPr>
        <w:t xml:space="preserve">restación del </w:t>
      </w:r>
      <w:r w:rsidR="00EE58FF" w:rsidRPr="00843291">
        <w:rPr>
          <w:rFonts w:ascii="Bookman Old Style" w:hAnsi="Bookman Old Style"/>
        </w:rPr>
        <w:t>s</w:t>
      </w:r>
      <w:r w:rsidR="00560DD3" w:rsidRPr="00843291">
        <w:rPr>
          <w:rFonts w:ascii="Bookman Old Style" w:hAnsi="Bookman Old Style"/>
        </w:rPr>
        <w:t xml:space="preserve">ervicio de </w:t>
      </w:r>
      <w:r w:rsidR="00EE58FF" w:rsidRPr="00843291">
        <w:rPr>
          <w:rFonts w:ascii="Bookman Old Style" w:hAnsi="Bookman Old Style"/>
        </w:rPr>
        <w:t>e</w:t>
      </w:r>
      <w:r w:rsidR="00560DD3" w:rsidRPr="00843291">
        <w:rPr>
          <w:rFonts w:ascii="Bookman Old Style" w:hAnsi="Bookman Old Style"/>
        </w:rPr>
        <w:t xml:space="preserve">nergía </w:t>
      </w:r>
      <w:r w:rsidR="00EE58FF" w:rsidRPr="00843291">
        <w:rPr>
          <w:rFonts w:ascii="Bookman Old Style" w:hAnsi="Bookman Old Style"/>
        </w:rPr>
        <w:t>e</w:t>
      </w:r>
      <w:r w:rsidR="00560DD3" w:rsidRPr="00843291">
        <w:rPr>
          <w:rFonts w:ascii="Bookman Old Style" w:hAnsi="Bookman Old Style"/>
        </w:rPr>
        <w:t xml:space="preserve">léctrica y las tarifas </w:t>
      </w:r>
      <w:r w:rsidR="00F065E1" w:rsidRPr="00843291">
        <w:rPr>
          <w:rFonts w:ascii="Bookman Old Style" w:hAnsi="Bookman Old Style"/>
        </w:rPr>
        <w:t xml:space="preserve">máximas </w:t>
      </w:r>
      <w:r w:rsidR="00560DD3" w:rsidRPr="00843291">
        <w:rPr>
          <w:rFonts w:ascii="Bookman Old Style" w:hAnsi="Bookman Old Style"/>
        </w:rPr>
        <w:t>aplicables a usuarios regulados</w:t>
      </w:r>
      <w:r w:rsidR="00CF4A61" w:rsidRPr="00843291">
        <w:rPr>
          <w:rFonts w:ascii="Bookman Old Style" w:hAnsi="Bookman Old Style"/>
        </w:rPr>
        <w:t>,</w:t>
      </w:r>
      <w:r w:rsidR="00AB5EF6" w:rsidRPr="00843291">
        <w:rPr>
          <w:rFonts w:ascii="Bookman Old Style" w:hAnsi="Bookman Old Style"/>
        </w:rPr>
        <w:t xml:space="preserve"> atendidos mediante </w:t>
      </w:r>
      <w:r w:rsidR="00283627" w:rsidRPr="00843291">
        <w:rPr>
          <w:rFonts w:ascii="Bookman Old Style" w:hAnsi="Bookman Old Style"/>
        </w:rPr>
        <w:t xml:space="preserve">soluciones individuales </w:t>
      </w:r>
      <w:r w:rsidR="009A398B" w:rsidRPr="00843291">
        <w:rPr>
          <w:rFonts w:ascii="Bookman Old Style" w:hAnsi="Bookman Old Style"/>
        </w:rPr>
        <w:t>solares fotovoltaicas</w:t>
      </w:r>
      <w:r w:rsidR="000D0789">
        <w:rPr>
          <w:rFonts w:ascii="Bookman Old Style" w:hAnsi="Bookman Old Style"/>
        </w:rPr>
        <w:t>, SISFV</w:t>
      </w:r>
      <w:r w:rsidR="00560DD3" w:rsidRPr="00843291">
        <w:rPr>
          <w:rFonts w:ascii="Bookman Old Style" w:hAnsi="Bookman Old Style"/>
        </w:rPr>
        <w:t>.</w:t>
      </w:r>
    </w:p>
    <w:p w14:paraId="589C4C2E" w14:textId="77777777" w:rsidR="00560DD3" w:rsidRPr="009A3E36" w:rsidRDefault="00560DD3" w:rsidP="00C94D29">
      <w:pPr>
        <w:contextualSpacing/>
      </w:pPr>
    </w:p>
    <w:p w14:paraId="6DD19AA7" w14:textId="3BEC1FEC" w:rsidR="006E1410" w:rsidRPr="00942BB6" w:rsidRDefault="001B3EBD" w:rsidP="00C94D29">
      <w:pPr>
        <w:pStyle w:val="Ttulo7"/>
        <w:numPr>
          <w:ilvl w:val="0"/>
          <w:numId w:val="26"/>
        </w:numPr>
        <w:spacing w:before="0" w:after="0"/>
        <w:contextualSpacing/>
        <w:jc w:val="both"/>
        <w:rPr>
          <w:rFonts w:ascii="Bookman Old Style" w:hAnsi="Bookman Old Style"/>
        </w:rPr>
      </w:pPr>
      <w:r w:rsidRPr="00942BB6">
        <w:rPr>
          <w:rFonts w:ascii="Bookman Old Style" w:hAnsi="Bookman Old Style"/>
          <w:b/>
        </w:rPr>
        <w:t>Ámbito de aplicación.</w:t>
      </w:r>
      <w:r w:rsidR="00E00A0E" w:rsidRPr="00942BB6">
        <w:rPr>
          <w:rFonts w:ascii="Bookman Old Style" w:hAnsi="Bookman Old Style"/>
          <w:b/>
        </w:rPr>
        <w:t xml:space="preserve"> </w:t>
      </w:r>
      <w:r w:rsidR="00603A3C" w:rsidRPr="00942BB6">
        <w:rPr>
          <w:rFonts w:ascii="Bookman Old Style" w:hAnsi="Bookman Old Style"/>
        </w:rPr>
        <w:t xml:space="preserve">Esta </w:t>
      </w:r>
      <w:r w:rsidR="00226567" w:rsidRPr="00942BB6">
        <w:rPr>
          <w:rFonts w:ascii="Bookman Old Style" w:hAnsi="Bookman Old Style"/>
        </w:rPr>
        <w:t>r</w:t>
      </w:r>
      <w:r w:rsidR="00603A3C" w:rsidRPr="00942BB6">
        <w:rPr>
          <w:rFonts w:ascii="Bookman Old Style" w:hAnsi="Bookman Old Style"/>
        </w:rPr>
        <w:t>esolución se aplica a todas las personas que, estando organizadas en alguna de las formas dispuestas por el Título I de la Ley 142 de 1994, desarrollan</w:t>
      </w:r>
      <w:r w:rsidR="0024185E" w:rsidRPr="00942BB6">
        <w:rPr>
          <w:rFonts w:ascii="Bookman Old Style" w:hAnsi="Bookman Old Style"/>
        </w:rPr>
        <w:t xml:space="preserve"> las actividades relacionadas con</w:t>
      </w:r>
      <w:r w:rsidR="00603A3C" w:rsidRPr="00942BB6">
        <w:rPr>
          <w:rFonts w:ascii="Bookman Old Style" w:hAnsi="Bookman Old Style"/>
        </w:rPr>
        <w:t xml:space="preserve"> </w:t>
      </w:r>
      <w:r w:rsidR="008902A1" w:rsidRPr="00942BB6">
        <w:rPr>
          <w:rFonts w:ascii="Bookman Old Style" w:hAnsi="Bookman Old Style"/>
        </w:rPr>
        <w:t>el suministro</w:t>
      </w:r>
      <w:r w:rsidR="00603A3C" w:rsidRPr="00942BB6">
        <w:rPr>
          <w:rFonts w:ascii="Bookman Old Style" w:hAnsi="Bookman Old Style"/>
        </w:rPr>
        <w:t xml:space="preserve"> de energía eléctrica </w:t>
      </w:r>
      <w:r w:rsidR="008902A1" w:rsidRPr="00942BB6">
        <w:rPr>
          <w:rFonts w:ascii="Bookman Old Style" w:hAnsi="Bookman Old Style"/>
        </w:rPr>
        <w:t xml:space="preserve">a un domicilio mediante soluciones individuales </w:t>
      </w:r>
      <w:r w:rsidR="007C027B" w:rsidRPr="00942BB6">
        <w:rPr>
          <w:rFonts w:ascii="Bookman Old Style" w:hAnsi="Bookman Old Style"/>
        </w:rPr>
        <w:t xml:space="preserve">solares </w:t>
      </w:r>
      <w:r w:rsidR="0050652B" w:rsidRPr="00942BB6">
        <w:rPr>
          <w:rFonts w:ascii="Bookman Old Style" w:hAnsi="Bookman Old Style"/>
        </w:rPr>
        <w:t>fotovoltaica</w:t>
      </w:r>
      <w:r w:rsidR="00AC6939" w:rsidRPr="00942BB6">
        <w:rPr>
          <w:rFonts w:ascii="Bookman Old Style" w:hAnsi="Bookman Old Style"/>
        </w:rPr>
        <w:t>s, SISFV</w:t>
      </w:r>
      <w:r w:rsidR="00CD0D46" w:rsidRPr="00942BB6">
        <w:rPr>
          <w:rFonts w:ascii="Bookman Old Style" w:hAnsi="Bookman Old Style"/>
        </w:rPr>
        <w:t>, en</w:t>
      </w:r>
      <w:r w:rsidR="00102301">
        <w:rPr>
          <w:rFonts w:ascii="Bookman Old Style" w:hAnsi="Bookman Old Style"/>
        </w:rPr>
        <w:t xml:space="preserve"> </w:t>
      </w:r>
      <w:r w:rsidR="00CD0D46" w:rsidRPr="00942BB6">
        <w:rPr>
          <w:rFonts w:ascii="Bookman Old Style" w:hAnsi="Bookman Old Style"/>
        </w:rPr>
        <w:t>áreas rurales dispersas</w:t>
      </w:r>
      <w:r w:rsidR="00102301">
        <w:rPr>
          <w:rFonts w:ascii="Bookman Old Style" w:hAnsi="Bookman Old Style"/>
        </w:rPr>
        <w:t xml:space="preserve"> </w:t>
      </w:r>
      <w:r w:rsidR="004A61A0" w:rsidRPr="00942BB6">
        <w:rPr>
          <w:rFonts w:ascii="Bookman Old Style" w:hAnsi="Bookman Old Style"/>
        </w:rPr>
        <w:t>o en aquellas zonas</w:t>
      </w:r>
      <w:r w:rsidR="00E94284" w:rsidRPr="00942BB6">
        <w:rPr>
          <w:rFonts w:ascii="Bookman Old Style" w:hAnsi="Bookman Old Style"/>
        </w:rPr>
        <w:t xml:space="preserve"> i</w:t>
      </w:r>
      <w:r w:rsidR="0025208B" w:rsidRPr="00942BB6">
        <w:rPr>
          <w:rFonts w:ascii="Bookman Old Style" w:hAnsi="Bookman Old Style"/>
        </w:rPr>
        <w:t xml:space="preserve">dentificadas </w:t>
      </w:r>
      <w:r w:rsidR="00E94284" w:rsidRPr="00942BB6">
        <w:rPr>
          <w:rFonts w:ascii="Bookman Old Style" w:hAnsi="Bookman Old Style"/>
        </w:rPr>
        <w:t xml:space="preserve">por la UPME </w:t>
      </w:r>
      <w:r w:rsidR="0025208B" w:rsidRPr="00942BB6">
        <w:rPr>
          <w:rFonts w:ascii="Bookman Old Style" w:hAnsi="Bookman Old Style"/>
        </w:rPr>
        <w:t xml:space="preserve">como zonas </w:t>
      </w:r>
      <w:r w:rsidR="00997939" w:rsidRPr="00942BB6">
        <w:rPr>
          <w:rFonts w:ascii="Bookman Old Style" w:hAnsi="Bookman Old Style"/>
        </w:rPr>
        <w:t>para ser atendidas con este tipo de soluciones</w:t>
      </w:r>
      <w:r w:rsidR="00CD0D46" w:rsidRPr="00942BB6">
        <w:rPr>
          <w:rFonts w:ascii="Bookman Old Style" w:hAnsi="Bookman Old Style"/>
        </w:rPr>
        <w:t>.</w:t>
      </w:r>
      <w:r w:rsidR="005B4ED7" w:rsidRPr="00942BB6">
        <w:rPr>
          <w:rFonts w:ascii="Bookman Old Style" w:hAnsi="Bookman Old Style"/>
        </w:rPr>
        <w:t xml:space="preserve"> Las disposiciones aquí contenidas no aplican para la autogeneración</w:t>
      </w:r>
      <w:r w:rsidR="006C0B14" w:rsidRPr="00942BB6">
        <w:rPr>
          <w:rFonts w:ascii="Bookman Old Style" w:hAnsi="Bookman Old Style"/>
        </w:rPr>
        <w:t>.</w:t>
      </w:r>
    </w:p>
    <w:p w14:paraId="48DA7A72" w14:textId="18E33EE6" w:rsidR="009C3F49" w:rsidRPr="00B66211" w:rsidRDefault="009C3F49" w:rsidP="00C94D29">
      <w:pPr>
        <w:pStyle w:val="Ttulo7"/>
        <w:numPr>
          <w:ilvl w:val="0"/>
          <w:numId w:val="26"/>
        </w:numPr>
        <w:spacing w:before="0" w:after="0"/>
        <w:contextualSpacing/>
        <w:jc w:val="both"/>
        <w:rPr>
          <w:rFonts w:ascii="Bookman Old Style" w:hAnsi="Bookman Old Style"/>
        </w:rPr>
      </w:pPr>
      <w:r w:rsidRPr="005A42D2">
        <w:rPr>
          <w:rFonts w:ascii="Bookman Old Style" w:hAnsi="Bookman Old Style"/>
          <w:b/>
          <w:bCs/>
        </w:rPr>
        <w:t xml:space="preserve">Régimen </w:t>
      </w:r>
      <w:r w:rsidR="002E6606" w:rsidRPr="005A42D2">
        <w:rPr>
          <w:rFonts w:ascii="Bookman Old Style" w:hAnsi="Bookman Old Style"/>
          <w:b/>
          <w:bCs/>
        </w:rPr>
        <w:t>tarifario</w:t>
      </w:r>
      <w:r w:rsidRPr="005A42D2">
        <w:rPr>
          <w:rFonts w:ascii="Bookman Old Style" w:hAnsi="Bookman Old Style"/>
          <w:b/>
          <w:bCs/>
        </w:rPr>
        <w:t>.</w:t>
      </w:r>
      <w:r w:rsidRPr="00B66211">
        <w:rPr>
          <w:rFonts w:ascii="Bookman Old Style" w:hAnsi="Bookman Old Style"/>
          <w:b/>
        </w:rPr>
        <w:t xml:space="preserve"> </w:t>
      </w:r>
      <w:r w:rsidRPr="00B66211">
        <w:rPr>
          <w:rFonts w:ascii="Bookman Old Style" w:hAnsi="Bookman Old Style"/>
        </w:rPr>
        <w:t>L</w:t>
      </w:r>
      <w:r w:rsidR="00E06232" w:rsidRPr="00B66211">
        <w:rPr>
          <w:rFonts w:ascii="Bookman Old Style" w:hAnsi="Bookman Old Style"/>
        </w:rPr>
        <w:t>os prestadores del servicio</w:t>
      </w:r>
      <w:r w:rsidR="00B24001" w:rsidRPr="00B66211">
        <w:rPr>
          <w:rFonts w:ascii="Bookman Old Style" w:hAnsi="Bookman Old Style"/>
        </w:rPr>
        <w:t>,</w:t>
      </w:r>
      <w:r w:rsidRPr="00B66211">
        <w:rPr>
          <w:rFonts w:ascii="Bookman Old Style" w:hAnsi="Bookman Old Style"/>
        </w:rPr>
        <w:t xml:space="preserve"> </w:t>
      </w:r>
      <w:r w:rsidR="00B24001" w:rsidRPr="00B66211">
        <w:rPr>
          <w:rFonts w:ascii="Bookman Old Style" w:hAnsi="Bookman Old Style"/>
        </w:rPr>
        <w:t xml:space="preserve">de los que trata esta resolución, </w:t>
      </w:r>
      <w:r w:rsidRPr="00B66211">
        <w:rPr>
          <w:rFonts w:ascii="Bookman Old Style" w:hAnsi="Bookman Old Style"/>
        </w:rPr>
        <w:t>quedan sometid</w:t>
      </w:r>
      <w:r w:rsidR="004266F1" w:rsidRPr="00B66211">
        <w:rPr>
          <w:rFonts w:ascii="Bookman Old Style" w:hAnsi="Bookman Old Style"/>
        </w:rPr>
        <w:t>o</w:t>
      </w:r>
      <w:r w:rsidRPr="00B66211">
        <w:rPr>
          <w:rFonts w:ascii="Bookman Old Style" w:hAnsi="Bookman Old Style"/>
        </w:rPr>
        <w:t>s al régimen de libertad regulada</w:t>
      </w:r>
      <w:r w:rsidR="00E328D8" w:rsidRPr="00B66211">
        <w:rPr>
          <w:rFonts w:ascii="Bookman Old Style" w:hAnsi="Bookman Old Style"/>
        </w:rPr>
        <w:t>,</w:t>
      </w:r>
      <w:r w:rsidRPr="00B66211">
        <w:rPr>
          <w:rFonts w:ascii="Bookman Old Style" w:hAnsi="Bookman Old Style"/>
        </w:rPr>
        <w:t xml:space="preserve"> previsto en los artículos 14.10 y 88.1 de la Ley 142 de 1994.</w:t>
      </w:r>
      <w:r w:rsidR="00371DB5" w:rsidRPr="00B66211">
        <w:rPr>
          <w:rFonts w:ascii="Bookman Old Style" w:hAnsi="Bookman Old Style"/>
        </w:rPr>
        <w:t xml:space="preserve"> De esta forma, quien </w:t>
      </w:r>
      <w:r w:rsidR="004618CE" w:rsidRPr="00B66211">
        <w:rPr>
          <w:rFonts w:ascii="Bookman Old Style" w:hAnsi="Bookman Old Style"/>
        </w:rPr>
        <w:t xml:space="preserve">preste el servicio de energía eléctrica mediante </w:t>
      </w:r>
      <w:r w:rsidR="002F0947" w:rsidRPr="00B66211">
        <w:rPr>
          <w:rFonts w:ascii="Bookman Old Style" w:hAnsi="Bookman Old Style"/>
        </w:rPr>
        <w:t xml:space="preserve">SISFV </w:t>
      </w:r>
      <w:r w:rsidRPr="00B66211">
        <w:rPr>
          <w:rFonts w:ascii="Bookman Old Style" w:hAnsi="Bookman Old Style"/>
        </w:rPr>
        <w:t>determinará</w:t>
      </w:r>
      <w:r w:rsidR="00C7447C" w:rsidRPr="00B66211">
        <w:rPr>
          <w:rFonts w:ascii="Bookman Old Style" w:hAnsi="Bookman Old Style"/>
        </w:rPr>
        <w:t>,</w:t>
      </w:r>
      <w:r w:rsidRPr="00B66211">
        <w:rPr>
          <w:rFonts w:ascii="Bookman Old Style" w:hAnsi="Bookman Old Style"/>
        </w:rPr>
        <w:t xml:space="preserve"> con la fórmula tarifaria general aprobada</w:t>
      </w:r>
      <w:r w:rsidR="007B1C3D" w:rsidRPr="00B66211">
        <w:rPr>
          <w:rFonts w:ascii="Bookman Old Style" w:hAnsi="Bookman Old Style"/>
        </w:rPr>
        <w:t xml:space="preserve"> en esta </w:t>
      </w:r>
      <w:r w:rsidR="00A03CB9" w:rsidRPr="00B66211">
        <w:rPr>
          <w:rFonts w:ascii="Bookman Old Style" w:hAnsi="Bookman Old Style"/>
        </w:rPr>
        <w:t>resolución</w:t>
      </w:r>
      <w:r w:rsidRPr="00B66211">
        <w:rPr>
          <w:rFonts w:ascii="Bookman Old Style" w:hAnsi="Bookman Old Style"/>
        </w:rPr>
        <w:t xml:space="preserve">, las tarifas </w:t>
      </w:r>
      <w:r w:rsidR="00487E11" w:rsidRPr="00B66211">
        <w:rPr>
          <w:rFonts w:ascii="Bookman Old Style" w:hAnsi="Bookman Old Style"/>
        </w:rPr>
        <w:t xml:space="preserve">máximas </w:t>
      </w:r>
      <w:r w:rsidRPr="00B66211">
        <w:rPr>
          <w:rFonts w:ascii="Bookman Old Style" w:hAnsi="Bookman Old Style"/>
        </w:rPr>
        <w:t>que aplicará a los usuarios regulados</w:t>
      </w:r>
      <w:r w:rsidR="007D072E" w:rsidRPr="00B66211">
        <w:rPr>
          <w:rFonts w:ascii="Bookman Old Style" w:hAnsi="Bookman Old Style"/>
        </w:rPr>
        <w:t xml:space="preserve"> que atiende</w:t>
      </w:r>
      <w:r w:rsidRPr="00B66211">
        <w:rPr>
          <w:rFonts w:ascii="Bookman Old Style" w:hAnsi="Bookman Old Style"/>
        </w:rPr>
        <w:t>.</w:t>
      </w:r>
    </w:p>
    <w:p w14:paraId="18FC9102" w14:textId="77777777" w:rsidR="009C3F49" w:rsidRPr="00B66211" w:rsidRDefault="009C3F49" w:rsidP="00C94D29">
      <w:pPr>
        <w:contextualSpacing/>
        <w:jc w:val="both"/>
      </w:pPr>
    </w:p>
    <w:p w14:paraId="085D372E" w14:textId="77777777" w:rsidR="003862EB" w:rsidRPr="00510F31" w:rsidRDefault="003862EB" w:rsidP="00C94D29">
      <w:pPr>
        <w:pStyle w:val="Ttulo1"/>
        <w:contextualSpacing/>
        <w:rPr>
          <w:b w:val="0"/>
        </w:rPr>
      </w:pPr>
      <w:r w:rsidRPr="00510F31">
        <w:t>CAPITULO I</w:t>
      </w:r>
    </w:p>
    <w:p w14:paraId="7B1A8C11" w14:textId="77777777" w:rsidR="003862EB" w:rsidRPr="00B66211" w:rsidRDefault="003862EB" w:rsidP="00C94D29">
      <w:pPr>
        <w:contextualSpacing/>
        <w:jc w:val="both"/>
      </w:pPr>
    </w:p>
    <w:p w14:paraId="38159FC7" w14:textId="447C5665" w:rsidR="003862EB" w:rsidRPr="00414788" w:rsidRDefault="003862EB" w:rsidP="00C94D29">
      <w:pPr>
        <w:pStyle w:val="Ttulo1"/>
        <w:contextualSpacing/>
        <w:rPr>
          <w:b w:val="0"/>
        </w:rPr>
      </w:pPr>
      <w:r w:rsidRPr="00414788">
        <w:t>DEFINICIONES</w:t>
      </w:r>
    </w:p>
    <w:p w14:paraId="6BE673F7" w14:textId="77777777" w:rsidR="001B60A8" w:rsidRPr="001B60A8" w:rsidRDefault="001B60A8" w:rsidP="00C94D29">
      <w:pPr>
        <w:contextualSpacing/>
      </w:pPr>
      <w:bookmarkStart w:id="1" w:name="_Hlk42459542"/>
    </w:p>
    <w:p w14:paraId="3CC8EA26" w14:textId="74729B90" w:rsidR="00C9370E" w:rsidRPr="001B60A8" w:rsidRDefault="001B3EBD" w:rsidP="00C94D29">
      <w:pPr>
        <w:pStyle w:val="Ttulo7"/>
        <w:numPr>
          <w:ilvl w:val="0"/>
          <w:numId w:val="26"/>
        </w:numPr>
        <w:spacing w:before="0" w:after="0"/>
        <w:contextualSpacing/>
        <w:jc w:val="both"/>
        <w:rPr>
          <w:rFonts w:ascii="Bookman Old Style" w:hAnsi="Bookman Old Style"/>
        </w:rPr>
      </w:pPr>
      <w:r w:rsidRPr="00F9521B">
        <w:rPr>
          <w:rFonts w:ascii="Bookman Old Style" w:hAnsi="Bookman Old Style"/>
          <w:b/>
        </w:rPr>
        <w:t>Definiciones.</w:t>
      </w:r>
      <w:r w:rsidRPr="001B60A8">
        <w:rPr>
          <w:rFonts w:ascii="Bookman Old Style" w:hAnsi="Bookman Old Style"/>
        </w:rPr>
        <w:t xml:space="preserve"> </w:t>
      </w:r>
      <w:r w:rsidR="00C9370E" w:rsidRPr="001B60A8">
        <w:rPr>
          <w:rFonts w:ascii="Bookman Old Style" w:hAnsi="Bookman Old Style"/>
        </w:rPr>
        <w:t>Para la interpretación y aplicación de esta resolución se tendrán en cuenta, además de las definiciones contenidas en las Leyes 142 y 143 de 1994</w:t>
      </w:r>
      <w:r w:rsidR="0047315E" w:rsidRPr="001B60A8">
        <w:rPr>
          <w:rFonts w:ascii="Bookman Old Style" w:hAnsi="Bookman Old Style"/>
        </w:rPr>
        <w:t>,</w:t>
      </w:r>
      <w:r w:rsidR="00C9370E" w:rsidRPr="001B60A8">
        <w:rPr>
          <w:rFonts w:ascii="Bookman Old Style" w:hAnsi="Bookman Old Style"/>
        </w:rPr>
        <w:t xml:space="preserve"> y</w:t>
      </w:r>
      <w:r w:rsidR="00E92145" w:rsidRPr="001B60A8">
        <w:rPr>
          <w:rFonts w:ascii="Bookman Old Style" w:hAnsi="Bookman Old Style"/>
        </w:rPr>
        <w:t xml:space="preserve"> en</w:t>
      </w:r>
      <w:r w:rsidR="00C9370E" w:rsidRPr="001B60A8">
        <w:rPr>
          <w:rFonts w:ascii="Bookman Old Style" w:hAnsi="Bookman Old Style"/>
        </w:rPr>
        <w:t xml:space="preserve"> las resoluciones vigentes de la CREG, las siguientes:</w:t>
      </w:r>
    </w:p>
    <w:p w14:paraId="4E58B31B" w14:textId="77777777" w:rsidR="001B3EBD" w:rsidRPr="00B66211" w:rsidRDefault="001B3EBD" w:rsidP="00C94D29">
      <w:pPr>
        <w:tabs>
          <w:tab w:val="num" w:pos="1721"/>
        </w:tabs>
        <w:contextualSpacing/>
        <w:jc w:val="both"/>
        <w:rPr>
          <w:rFonts w:cs="Arial"/>
        </w:rPr>
      </w:pPr>
    </w:p>
    <w:p w14:paraId="41F906C7" w14:textId="3B188AC9" w:rsidR="009B2844" w:rsidRPr="00B66211" w:rsidRDefault="009B2844" w:rsidP="00C94D29">
      <w:pPr>
        <w:tabs>
          <w:tab w:val="num" w:pos="1721"/>
        </w:tabs>
        <w:contextualSpacing/>
        <w:jc w:val="both"/>
        <w:rPr>
          <w:rFonts w:cs="Arial"/>
          <w:b/>
        </w:rPr>
      </w:pPr>
      <w:r w:rsidRPr="00D10F19">
        <w:rPr>
          <w:rFonts w:cs="Arial"/>
          <w:b/>
        </w:rPr>
        <w:t xml:space="preserve">Acuerdo </w:t>
      </w:r>
      <w:r w:rsidR="00707D2E" w:rsidRPr="00D10F19">
        <w:rPr>
          <w:rFonts w:cs="Arial"/>
          <w:b/>
        </w:rPr>
        <w:t>E</w:t>
      </w:r>
      <w:r w:rsidRPr="00D10F19">
        <w:rPr>
          <w:rFonts w:cs="Arial"/>
          <w:b/>
        </w:rPr>
        <w:t xml:space="preserve">special: </w:t>
      </w:r>
      <w:r w:rsidR="00795C4F" w:rsidRPr="00D10F19">
        <w:rPr>
          <w:rFonts w:cs="Arial"/>
        </w:rPr>
        <w:t xml:space="preserve">Acuerdo </w:t>
      </w:r>
      <w:r w:rsidR="0075447B" w:rsidRPr="00D10F19">
        <w:rPr>
          <w:rFonts w:cs="Arial"/>
        </w:rPr>
        <w:t>especial de servicio, a</w:t>
      </w:r>
      <w:r w:rsidR="00DE07DF" w:rsidRPr="00D10F19">
        <w:rPr>
          <w:rFonts w:cs="Arial"/>
        </w:rPr>
        <w:t>ne</w:t>
      </w:r>
      <w:r w:rsidR="003E3560" w:rsidRPr="00D10F19">
        <w:rPr>
          <w:rFonts w:cs="Arial"/>
        </w:rPr>
        <w:t>xo</w:t>
      </w:r>
      <w:r w:rsidRPr="00D10F19">
        <w:rPr>
          <w:rFonts w:cs="Arial"/>
        </w:rPr>
        <w:t xml:space="preserve"> </w:t>
      </w:r>
      <w:r w:rsidR="00E70221" w:rsidRPr="00D10F19">
        <w:rPr>
          <w:rFonts w:cs="Arial"/>
        </w:rPr>
        <w:t xml:space="preserve">al </w:t>
      </w:r>
      <w:r w:rsidR="009536BF" w:rsidRPr="00D10F19">
        <w:rPr>
          <w:rFonts w:cs="Arial"/>
        </w:rPr>
        <w:t xml:space="preserve">contrato de </w:t>
      </w:r>
      <w:r w:rsidR="00406863" w:rsidRPr="00D10F19">
        <w:rPr>
          <w:rFonts w:cs="Arial"/>
        </w:rPr>
        <w:t>servicios públicos</w:t>
      </w:r>
      <w:r w:rsidR="00E70221" w:rsidRPr="00D10F19">
        <w:rPr>
          <w:rFonts w:cs="Arial"/>
        </w:rPr>
        <w:t>,</w:t>
      </w:r>
      <w:r w:rsidR="009536BF" w:rsidRPr="00D10F19">
        <w:rPr>
          <w:rFonts w:cs="Arial"/>
        </w:rPr>
        <w:t xml:space="preserve"> celebra</w:t>
      </w:r>
      <w:r w:rsidR="008C62DF" w:rsidRPr="00D10F19">
        <w:rPr>
          <w:rFonts w:cs="Arial"/>
        </w:rPr>
        <w:t>do entre el prestador del servicio y el usuario, en el que se establece</w:t>
      </w:r>
      <w:r w:rsidR="00E70221" w:rsidRPr="00D10F19">
        <w:rPr>
          <w:rFonts w:cs="Arial"/>
        </w:rPr>
        <w:t xml:space="preserve"> </w:t>
      </w:r>
      <w:r w:rsidR="00774B33" w:rsidRPr="00D10F19">
        <w:rPr>
          <w:rFonts w:cs="Arial"/>
        </w:rPr>
        <w:t>el nivel de ser</w:t>
      </w:r>
      <w:r w:rsidR="00F8585B" w:rsidRPr="00D10F19">
        <w:rPr>
          <w:rFonts w:cs="Arial"/>
        </w:rPr>
        <w:t>vicio</w:t>
      </w:r>
      <w:r w:rsidR="00361C30" w:rsidRPr="00D10F19">
        <w:rPr>
          <w:rFonts w:cs="Arial"/>
        </w:rPr>
        <w:t>.</w:t>
      </w:r>
    </w:p>
    <w:p w14:paraId="6D92AD18" w14:textId="77777777" w:rsidR="009B2844" w:rsidRPr="00B66211" w:rsidRDefault="009B2844" w:rsidP="00C94D29">
      <w:pPr>
        <w:tabs>
          <w:tab w:val="num" w:pos="1721"/>
        </w:tabs>
        <w:contextualSpacing/>
        <w:jc w:val="both"/>
        <w:rPr>
          <w:rFonts w:cs="Arial"/>
        </w:rPr>
      </w:pPr>
    </w:p>
    <w:p w14:paraId="3A0A2131" w14:textId="5636F50E" w:rsidR="00C63D4D" w:rsidRPr="00B66211" w:rsidRDefault="009C1940" w:rsidP="00C94D29">
      <w:pPr>
        <w:contextualSpacing/>
        <w:jc w:val="both"/>
      </w:pPr>
      <w:r w:rsidRPr="00EB02CF">
        <w:rPr>
          <w:b/>
        </w:rPr>
        <w:t>AM</w:t>
      </w:r>
      <w:r w:rsidR="00EA3EC1" w:rsidRPr="00EB02CF">
        <w:rPr>
          <w:b/>
        </w:rPr>
        <w:t>GC</w:t>
      </w:r>
      <w:r w:rsidRPr="00EB02CF">
        <w:rPr>
          <w:b/>
        </w:rPr>
        <w:t>:</w:t>
      </w:r>
      <w:r w:rsidRPr="00EB02CF">
        <w:t xml:space="preserve"> </w:t>
      </w:r>
      <w:r w:rsidR="00971858" w:rsidRPr="00EB02CF">
        <w:t>A</w:t>
      </w:r>
      <w:r w:rsidR="003E19C7" w:rsidRPr="00EB02CF">
        <w:t>dministración</w:t>
      </w:r>
      <w:r w:rsidR="00EA3EC1" w:rsidRPr="00EB02CF">
        <w:t>,</w:t>
      </w:r>
      <w:r w:rsidR="003E19C7" w:rsidRPr="00EB02CF">
        <w:t xml:space="preserve"> mantenimiento</w:t>
      </w:r>
      <w:r w:rsidR="00EA3EC1" w:rsidRPr="00EB02CF">
        <w:t xml:space="preserve"> y gestión comercial</w:t>
      </w:r>
      <w:r w:rsidR="003E19C7" w:rsidRPr="00EB02CF">
        <w:t>.</w:t>
      </w:r>
    </w:p>
    <w:p w14:paraId="31D5E261" w14:textId="77777777" w:rsidR="0095043B" w:rsidRPr="00B66211" w:rsidRDefault="0095043B" w:rsidP="00C94D29">
      <w:pPr>
        <w:contextualSpacing/>
        <w:jc w:val="both"/>
      </w:pPr>
    </w:p>
    <w:p w14:paraId="1046BE8F" w14:textId="7555B9D8" w:rsidR="00E66DFB" w:rsidRPr="00B66211" w:rsidRDefault="00E66DFB" w:rsidP="00C94D29">
      <w:pPr>
        <w:contextualSpacing/>
        <w:jc w:val="both"/>
      </w:pPr>
      <w:r w:rsidRPr="00B66211">
        <w:rPr>
          <w:b/>
        </w:rPr>
        <w:t>Área rural dispersa (rural disperso):</w:t>
      </w:r>
      <w:r w:rsidRPr="00B66211">
        <w:t xml:space="preserve"> Delimitación geográfica definida por el DANE para fines estadísticos, comprendida entre el perímetro censal de las cabeceras municipales y de los centros poblados, y el límite municipal. Se caracteriza por la disposición dispersa de viviendas y de explotaciones agropecuarias existentes en ella.</w:t>
      </w:r>
      <w:r w:rsidR="00F82512">
        <w:t xml:space="preserve"> </w:t>
      </w:r>
      <w:r w:rsidR="00EF3293" w:rsidRPr="00B66211">
        <w:t>(Manual de uso del MGN, 2018)</w:t>
      </w:r>
    </w:p>
    <w:p w14:paraId="43097DC0" w14:textId="1F42BC0E" w:rsidR="00E66DFB" w:rsidRPr="00B66211" w:rsidRDefault="00E66DFB" w:rsidP="00C94D29">
      <w:pPr>
        <w:contextualSpacing/>
        <w:jc w:val="both"/>
      </w:pPr>
    </w:p>
    <w:p w14:paraId="63E5684B" w14:textId="5AB784C7" w:rsidR="004C6E61" w:rsidRPr="00B66211" w:rsidRDefault="004C6E61" w:rsidP="00C94D29">
      <w:pPr>
        <w:contextualSpacing/>
        <w:jc w:val="both"/>
      </w:pPr>
      <w:r w:rsidRPr="00B66211">
        <w:rPr>
          <w:b/>
        </w:rPr>
        <w:t>Centro poblado:</w:t>
      </w:r>
      <w:r w:rsidRPr="00B66211">
        <w:t xml:space="preserve"> </w:t>
      </w:r>
      <w:r w:rsidR="0050610E" w:rsidRPr="00B66211">
        <w:t>C</w:t>
      </w:r>
      <w:r w:rsidRPr="00B66211">
        <w:t>oncepto construido por el DANE con fines estadísticos, para la identificación y localización geográfica de núcleos o asentamientos de población. Se define como una concentración mínima de veinte viviendas contiguas, vecinas o adosadas entre sí, ubicada en el área resto municipal o en un área no municipalizada (corregimiento departamental). Contempla los núcleos de población de los corregimientos municipales, inspecciones de policía y caseríos</w:t>
      </w:r>
      <w:r w:rsidR="0050610E" w:rsidRPr="00B66211">
        <w:t>.</w:t>
      </w:r>
      <w:r w:rsidR="00B10EF6">
        <w:t xml:space="preserve"> </w:t>
      </w:r>
      <w:r w:rsidR="00B10EF6" w:rsidRPr="00B66211">
        <w:t>(Manual de uso del MGN, 2018)</w:t>
      </w:r>
    </w:p>
    <w:p w14:paraId="3BA59D06" w14:textId="77777777" w:rsidR="008C43F7" w:rsidRPr="00B66211" w:rsidRDefault="008C43F7" w:rsidP="00C94D29">
      <w:pPr>
        <w:contextualSpacing/>
        <w:jc w:val="both"/>
      </w:pPr>
    </w:p>
    <w:p w14:paraId="5EC212DE" w14:textId="1225346B" w:rsidR="00A07F4D" w:rsidRPr="00B66211" w:rsidRDefault="00A07F4D" w:rsidP="00C94D29">
      <w:pPr>
        <w:contextualSpacing/>
        <w:jc w:val="both"/>
      </w:pPr>
      <w:r w:rsidRPr="00ED0C17">
        <w:rPr>
          <w:b/>
        </w:rPr>
        <w:t>Ciclo de facturación</w:t>
      </w:r>
      <w:r w:rsidRPr="00ED0C17">
        <w:t xml:space="preserve">: Lapso </w:t>
      </w:r>
      <w:r w:rsidR="007B5238" w:rsidRPr="00ED0C17">
        <w:t xml:space="preserve">periódico </w:t>
      </w:r>
      <w:r w:rsidRPr="00ED0C17">
        <w:t>transcurrido entre dos lecturas consecutivas a partir de las cuales se determina el valor de la facturación, cuando la prestación del servicio no corresponda a un esquema de cobro en prepago. El</w:t>
      </w:r>
      <w:r w:rsidR="00C34BA6" w:rsidRPr="00ED0C17">
        <w:t xml:space="preserve"> </w:t>
      </w:r>
      <w:r w:rsidR="007F6880" w:rsidRPr="00ED0C17">
        <w:t xml:space="preserve">lapso </w:t>
      </w:r>
      <w:r w:rsidR="00C34BA6" w:rsidRPr="00ED0C17">
        <w:t xml:space="preserve">será definido por cada prestador del servicio según lo previsto </w:t>
      </w:r>
      <w:r w:rsidR="008E6015" w:rsidRPr="00ED0C17">
        <w:t xml:space="preserve">en el </w:t>
      </w:r>
      <w:r w:rsidR="002617BE" w:rsidRPr="00ED0C17">
        <w:t xml:space="preserve">Artículo </w:t>
      </w:r>
      <w:r w:rsidR="007270B3" w:rsidRPr="00ED0C17">
        <w:t>2.2.3.3.4.4,1.5. Periodos flexibles de facturación</w:t>
      </w:r>
      <w:r w:rsidR="002617BE" w:rsidRPr="00ED0C17">
        <w:t xml:space="preserve"> del </w:t>
      </w:r>
      <w:r w:rsidR="00A07964" w:rsidRPr="00ED0C17">
        <w:t>Decreto 1073 de 201</w:t>
      </w:r>
      <w:r w:rsidR="00607448" w:rsidRPr="00ED0C17">
        <w:t>5</w:t>
      </w:r>
      <w:r w:rsidR="003011B5">
        <w:t xml:space="preserve"> o aquellas normas que la modifiquen o sustituyan</w:t>
      </w:r>
      <w:r w:rsidRPr="00ED0C17">
        <w:t>.</w:t>
      </w:r>
    </w:p>
    <w:p w14:paraId="3A7373F7" w14:textId="77777777" w:rsidR="00912BCA" w:rsidRDefault="00912BCA" w:rsidP="00C94D29">
      <w:pPr>
        <w:contextualSpacing/>
        <w:jc w:val="both"/>
      </w:pPr>
    </w:p>
    <w:p w14:paraId="099684DE" w14:textId="5551328C" w:rsidR="00EE15BF" w:rsidRPr="00106445" w:rsidRDefault="00F22C7D" w:rsidP="00EE15BF">
      <w:pPr>
        <w:contextualSpacing/>
        <w:jc w:val="both"/>
      </w:pPr>
      <w:r w:rsidRPr="00106445">
        <w:rPr>
          <w:b/>
        </w:rPr>
        <w:t xml:space="preserve">Contrato de </w:t>
      </w:r>
      <w:r w:rsidR="009F7A0B" w:rsidRPr="00106445">
        <w:rPr>
          <w:b/>
        </w:rPr>
        <w:t>servicios públicos</w:t>
      </w:r>
      <w:r w:rsidRPr="00106445">
        <w:rPr>
          <w:b/>
        </w:rPr>
        <w:t>, CCU:</w:t>
      </w:r>
      <w:r w:rsidRPr="00106445">
        <w:t xml:space="preserve"> </w:t>
      </w:r>
      <w:r w:rsidR="0087581B" w:rsidRPr="00106445">
        <w:t>E</w:t>
      </w:r>
      <w:r w:rsidR="00EE15BF" w:rsidRPr="00106445">
        <w:t>s un contrato uniforme, consensual, en virtud del cual una empresa de servicios públicos los presta a un usuario</w:t>
      </w:r>
      <w:r w:rsidR="005419CC" w:rsidRPr="00106445">
        <w:t>,</w:t>
      </w:r>
      <w:r w:rsidR="00EE15BF" w:rsidRPr="00106445">
        <w:t xml:space="preserve"> a cambio de un precio en dinero, de acuerdo </w:t>
      </w:r>
      <w:r w:rsidR="004F486E" w:rsidRPr="00106445">
        <w:t>con</w:t>
      </w:r>
      <w:r w:rsidR="00EE15BF" w:rsidRPr="00106445">
        <w:t xml:space="preserve"> estipulaciones que han sido definidas por ella para ofrecerlas a muchos usuarios no determinados.</w:t>
      </w:r>
    </w:p>
    <w:p w14:paraId="6E73F869" w14:textId="77777777" w:rsidR="00EE15BF" w:rsidRPr="00106445" w:rsidRDefault="00EE15BF" w:rsidP="00EE15BF">
      <w:pPr>
        <w:contextualSpacing/>
        <w:jc w:val="both"/>
      </w:pPr>
    </w:p>
    <w:p w14:paraId="231713B7" w14:textId="6F8EF627" w:rsidR="00F22C7D" w:rsidRDefault="00EE15BF" w:rsidP="00C94D29">
      <w:pPr>
        <w:contextualSpacing/>
        <w:jc w:val="both"/>
      </w:pPr>
      <w:r w:rsidRPr="00106445">
        <w:t>Hacen parte del contrato no solo sus estipulaciones escritas, sino todas las que la empresa aplica de manera uniforme en la prestación del servicio. Existe contrato de servicios públicos aún cuando algunas de las estipulaciones sean objeto de acuerdo especial con uno o algunos usuarios.</w:t>
      </w:r>
      <w:r w:rsidR="0087581B" w:rsidRPr="00106445">
        <w:t xml:space="preserve"> (A</w:t>
      </w:r>
      <w:r w:rsidR="000F378B" w:rsidRPr="00106445">
        <w:t>rt.</w:t>
      </w:r>
      <w:r w:rsidR="0087581B" w:rsidRPr="00106445">
        <w:t>128 de la ley 142 de 1994)</w:t>
      </w:r>
      <w:r w:rsidR="004F486E" w:rsidRPr="00106445">
        <w:t>.</w:t>
      </w:r>
    </w:p>
    <w:p w14:paraId="2D1B0E66" w14:textId="77777777" w:rsidR="00BA46AC" w:rsidRDefault="00BA46AC" w:rsidP="00EE15BF">
      <w:pPr>
        <w:contextualSpacing/>
        <w:jc w:val="both"/>
      </w:pPr>
    </w:p>
    <w:p w14:paraId="22B6A902" w14:textId="09567175" w:rsidR="00F04EFA" w:rsidRPr="00785EB5" w:rsidRDefault="00F04EFA" w:rsidP="00C94D29">
      <w:pPr>
        <w:contextualSpacing/>
        <w:jc w:val="both"/>
      </w:pPr>
      <w:r w:rsidRPr="00785EB5">
        <w:rPr>
          <w:b/>
          <w:bCs/>
        </w:rPr>
        <w:t>Día:</w:t>
      </w:r>
      <w:r w:rsidRPr="00785EB5">
        <w:t xml:space="preserve"> </w:t>
      </w:r>
      <w:r w:rsidR="00CB4010" w:rsidRPr="00785EB5">
        <w:t xml:space="preserve">Periodo </w:t>
      </w:r>
      <w:r w:rsidRPr="00785EB5">
        <w:t>de 24 horas.</w:t>
      </w:r>
    </w:p>
    <w:p w14:paraId="13AC2326" w14:textId="77777777" w:rsidR="00F04EFA" w:rsidRPr="00785EB5" w:rsidRDefault="00F04EFA" w:rsidP="00C94D29">
      <w:pPr>
        <w:contextualSpacing/>
        <w:jc w:val="both"/>
      </w:pPr>
    </w:p>
    <w:p w14:paraId="159EFEA7" w14:textId="4B9F2F7D" w:rsidR="002012E5" w:rsidRPr="002012E5" w:rsidRDefault="002012E5" w:rsidP="00C94D29">
      <w:pPr>
        <w:contextualSpacing/>
        <w:jc w:val="both"/>
        <w:rPr>
          <w:b/>
          <w:bCs/>
        </w:rPr>
      </w:pPr>
      <w:r w:rsidRPr="003041DA">
        <w:rPr>
          <w:b/>
          <w:bCs/>
        </w:rPr>
        <w:t xml:space="preserve">Disponibilidad: </w:t>
      </w:r>
      <w:r w:rsidRPr="003041DA">
        <w:t xml:space="preserve">Relación entre la </w:t>
      </w:r>
      <w:r w:rsidR="00597797" w:rsidRPr="003041DA">
        <w:t>cantidad mínima de energía</w:t>
      </w:r>
      <w:r w:rsidR="003E5179" w:rsidRPr="003041DA">
        <w:t xml:space="preserve"> </w:t>
      </w:r>
      <w:r w:rsidR="00BA084C" w:rsidRPr="003041DA">
        <w:t xml:space="preserve">que pudo consumir </w:t>
      </w:r>
      <w:r w:rsidR="007C2144" w:rsidRPr="003041DA">
        <w:t xml:space="preserve">un usuario en un día </w:t>
      </w:r>
      <w:r w:rsidR="00BA084C" w:rsidRPr="003041DA">
        <w:t xml:space="preserve">particular </w:t>
      </w:r>
      <w:r w:rsidR="007C2144" w:rsidRPr="003041DA">
        <w:t xml:space="preserve">y la cantidad mínima de energía </w:t>
      </w:r>
      <w:r w:rsidR="003E5179" w:rsidRPr="003041DA">
        <w:t xml:space="preserve">del nivel de servicio acordada con el usuario en el </w:t>
      </w:r>
      <w:r w:rsidR="004D1478" w:rsidRPr="003041DA">
        <w:t>Acuerdo Especial</w:t>
      </w:r>
      <w:r w:rsidR="00597797" w:rsidRPr="003041DA">
        <w:t>.</w:t>
      </w:r>
    </w:p>
    <w:p w14:paraId="72A3D03C" w14:textId="77777777" w:rsidR="002012E5" w:rsidRDefault="002012E5" w:rsidP="00C94D29">
      <w:pPr>
        <w:contextualSpacing/>
        <w:jc w:val="both"/>
      </w:pPr>
    </w:p>
    <w:p w14:paraId="6F422A81" w14:textId="55DB390D" w:rsidR="005D77CC" w:rsidRPr="00B66211" w:rsidRDefault="008C43F7" w:rsidP="00C94D29">
      <w:pPr>
        <w:contextualSpacing/>
        <w:jc w:val="both"/>
      </w:pPr>
      <w:r w:rsidRPr="00B66211">
        <w:rPr>
          <w:b/>
        </w:rPr>
        <w:t>Fecha Base:</w:t>
      </w:r>
      <w:r w:rsidRPr="00B66211">
        <w:t xml:space="preserve"> Es la fecha a la cual se refieren los cargos </w:t>
      </w:r>
      <w:r w:rsidR="009444FE" w:rsidRPr="00B66211">
        <w:t xml:space="preserve">máximos </w:t>
      </w:r>
      <w:r w:rsidRPr="00B66211">
        <w:t xml:space="preserve">aprobados por la CREG en esta resolución. Corresponderá al mes de </w:t>
      </w:r>
      <w:r w:rsidR="009444FE" w:rsidRPr="00B66211">
        <w:t xml:space="preserve">diciembre </w:t>
      </w:r>
      <w:r w:rsidRPr="00B66211">
        <w:t>de 202</w:t>
      </w:r>
      <w:r w:rsidR="0054466A" w:rsidRPr="00B66211">
        <w:t>1</w:t>
      </w:r>
      <w:r w:rsidRPr="00B66211">
        <w:t>.</w:t>
      </w:r>
    </w:p>
    <w:p w14:paraId="7681994D" w14:textId="77777777" w:rsidR="00444C5C" w:rsidRPr="00B66211" w:rsidRDefault="00444C5C" w:rsidP="00C94D29">
      <w:pPr>
        <w:contextualSpacing/>
        <w:jc w:val="both"/>
      </w:pPr>
    </w:p>
    <w:p w14:paraId="18FDE0FD" w14:textId="53AD1B6F" w:rsidR="001341FC" w:rsidRPr="00B66211" w:rsidRDefault="00803863" w:rsidP="001341FC">
      <w:pPr>
        <w:autoSpaceDE w:val="0"/>
        <w:autoSpaceDN w:val="0"/>
        <w:adjustRightInd w:val="0"/>
        <w:contextualSpacing/>
        <w:jc w:val="both"/>
        <w:rPr>
          <w:rFonts w:cs="--unknown-2--"/>
        </w:rPr>
      </w:pPr>
      <w:r w:rsidRPr="003622BB">
        <w:rPr>
          <w:b/>
        </w:rPr>
        <w:t>MGN:</w:t>
      </w:r>
      <w:r w:rsidRPr="003622BB">
        <w:t xml:space="preserve"> </w:t>
      </w:r>
      <w:r w:rsidR="00F6557A" w:rsidRPr="003622BB">
        <w:t xml:space="preserve">Marco </w:t>
      </w:r>
      <w:r w:rsidR="000E6A83" w:rsidRPr="003622BB">
        <w:t>G</w:t>
      </w:r>
      <w:r w:rsidR="00F6557A" w:rsidRPr="003622BB">
        <w:t xml:space="preserve">eoestadístico </w:t>
      </w:r>
      <w:r w:rsidR="000E6A83" w:rsidRPr="003622BB">
        <w:t>N</w:t>
      </w:r>
      <w:r w:rsidR="00F6557A" w:rsidRPr="003622BB">
        <w:t>acional.</w:t>
      </w:r>
      <w:r w:rsidR="009722F4" w:rsidRPr="003622BB">
        <w:t xml:space="preserve"> </w:t>
      </w:r>
      <w:r w:rsidR="001341FC" w:rsidRPr="003622BB">
        <w:rPr>
          <w:rFonts w:cs="--unknown-2--"/>
        </w:rPr>
        <w:t>Para la aplicación</w:t>
      </w:r>
      <w:r w:rsidR="00521654" w:rsidRPr="003622BB">
        <w:rPr>
          <w:rFonts w:cs="--unknown-2--"/>
        </w:rPr>
        <w:t xml:space="preserve"> e interpretación de las definiciones </w:t>
      </w:r>
      <w:r w:rsidR="004156A5" w:rsidRPr="003622BB">
        <w:rPr>
          <w:rFonts w:cs="--unknown-2--"/>
        </w:rPr>
        <w:t xml:space="preserve">correspondientes al MGN previstas en </w:t>
      </w:r>
      <w:r w:rsidR="001341FC" w:rsidRPr="003622BB">
        <w:rPr>
          <w:rFonts w:cs="--unknown-2--"/>
        </w:rPr>
        <w:t>la presente resolución</w:t>
      </w:r>
      <w:r w:rsidR="004156A5" w:rsidRPr="003622BB">
        <w:rPr>
          <w:rFonts w:cs="--unknown-2--"/>
        </w:rPr>
        <w:t>,</w:t>
      </w:r>
      <w:r w:rsidR="001341FC" w:rsidRPr="003622BB">
        <w:rPr>
          <w:rFonts w:cs="--unknown-2--"/>
        </w:rPr>
        <w:t xml:space="preserve"> </w:t>
      </w:r>
      <w:r w:rsidR="004156A5" w:rsidRPr="003622BB">
        <w:rPr>
          <w:rFonts w:cs="--unknown-2--"/>
        </w:rPr>
        <w:t xml:space="preserve">se tendrá en cuenta </w:t>
      </w:r>
      <w:r w:rsidR="001341FC" w:rsidRPr="003622BB">
        <w:rPr>
          <w:rFonts w:cs="--unknown-2--"/>
        </w:rPr>
        <w:t xml:space="preserve">la última versión del respectivo Manual de Uso del Marco Geoestadístico Nacional, y en línea con las disposiciones del Artículo 160 de la Ley 1753 de 2015 y la Resolución DANE 2222 de 2018, o aquellas que </w:t>
      </w:r>
      <w:r w:rsidR="00147CF6" w:rsidRPr="003622BB">
        <w:rPr>
          <w:rFonts w:cs="--unknown-2--"/>
        </w:rPr>
        <w:t>normas que</w:t>
      </w:r>
      <w:r w:rsidR="001341FC" w:rsidRPr="003622BB">
        <w:rPr>
          <w:rFonts w:cs="--unknown-2--"/>
        </w:rPr>
        <w:t xml:space="preserve"> las modifiquen o sustituyan.</w:t>
      </w:r>
    </w:p>
    <w:p w14:paraId="291612AA" w14:textId="5EAD1510" w:rsidR="00803863" w:rsidRPr="00B66211" w:rsidRDefault="00803863" w:rsidP="00C94D29">
      <w:pPr>
        <w:contextualSpacing/>
        <w:jc w:val="both"/>
      </w:pPr>
    </w:p>
    <w:p w14:paraId="75F24EE7" w14:textId="72B985AB" w:rsidR="00B16660" w:rsidRPr="00B66211" w:rsidRDefault="00444C5C" w:rsidP="00B16660">
      <w:pPr>
        <w:contextualSpacing/>
        <w:jc w:val="both"/>
      </w:pPr>
      <w:r w:rsidRPr="00852502">
        <w:rPr>
          <w:b/>
        </w:rPr>
        <w:t>Nivel de servicio:</w:t>
      </w:r>
      <w:r w:rsidR="00CB40E5" w:rsidRPr="00852502">
        <w:rPr>
          <w:b/>
        </w:rPr>
        <w:t xml:space="preserve"> </w:t>
      </w:r>
      <w:r w:rsidR="00B16660" w:rsidRPr="00852502">
        <w:t>Condiciones mínimas con las que el prestador del servicio se compromete a atender al usuario</w:t>
      </w:r>
      <w:r w:rsidR="00297EF7" w:rsidRPr="00852502">
        <w:t>,</w:t>
      </w:r>
      <w:r w:rsidR="007035AE" w:rsidRPr="00852502">
        <w:t xml:space="preserve"> </w:t>
      </w:r>
      <w:r w:rsidR="00F91A81" w:rsidRPr="00852502">
        <w:t xml:space="preserve">señaladas </w:t>
      </w:r>
      <w:r w:rsidR="007035AE" w:rsidRPr="00852502">
        <w:t>e</w:t>
      </w:r>
      <w:r w:rsidR="00FA0643" w:rsidRPr="00852502">
        <w:t xml:space="preserve">n el </w:t>
      </w:r>
      <w:r w:rsidR="008977BA" w:rsidRPr="00852502">
        <w:t>A</w:t>
      </w:r>
      <w:r w:rsidR="00FA0643" w:rsidRPr="00852502">
        <w:t>cuerdo</w:t>
      </w:r>
      <w:r w:rsidR="008977BA" w:rsidRPr="00852502">
        <w:t xml:space="preserve"> Especial</w:t>
      </w:r>
      <w:r w:rsidR="00B16660" w:rsidRPr="00852502">
        <w:t xml:space="preserve">. El nivel de servicio será la combinación de las siguientes tres condiciones: i) tipo de </w:t>
      </w:r>
      <w:r w:rsidR="000713BF">
        <w:t>sistema</w:t>
      </w:r>
      <w:r w:rsidR="00B16660" w:rsidRPr="00852502">
        <w:t xml:space="preserve">, que podrá ser </w:t>
      </w:r>
      <w:r w:rsidR="00634B38">
        <w:t xml:space="preserve">en </w:t>
      </w:r>
      <w:r w:rsidR="00B16660" w:rsidRPr="00852502">
        <w:t xml:space="preserve">corriente directa, DC, o </w:t>
      </w:r>
      <w:r w:rsidR="00634B38">
        <w:t xml:space="preserve">en </w:t>
      </w:r>
      <w:r w:rsidR="00B16660" w:rsidRPr="00852502">
        <w:t xml:space="preserve">corriente alterna, AC; ii) </w:t>
      </w:r>
      <w:r w:rsidR="007C7B0A" w:rsidRPr="00852502">
        <w:t>almacenamiento, que podrá ofrecerse o no ofrecerse; iii) cantidad mínima de energía</w:t>
      </w:r>
      <w:r w:rsidR="00EB6A87" w:rsidRPr="00852502">
        <w:t>, expresada en vatios hora, Wh,</w:t>
      </w:r>
      <w:r w:rsidR="007C7B0A" w:rsidRPr="00852502">
        <w:t xml:space="preserve"> que podría consumir un usuario en un </w:t>
      </w:r>
      <w:r w:rsidR="007F0A33" w:rsidRPr="00852502">
        <w:t>día.</w:t>
      </w:r>
    </w:p>
    <w:p w14:paraId="3FC89654" w14:textId="77777777" w:rsidR="00C95E3F" w:rsidRPr="00B66211" w:rsidRDefault="00C95E3F" w:rsidP="00C94D29">
      <w:pPr>
        <w:contextualSpacing/>
        <w:jc w:val="both"/>
      </w:pPr>
    </w:p>
    <w:p w14:paraId="2861C2A0" w14:textId="424484E4" w:rsidR="00D831AE" w:rsidRPr="00B66211" w:rsidRDefault="00D831AE" w:rsidP="00C94D29">
      <w:pPr>
        <w:contextualSpacing/>
        <w:jc w:val="both"/>
      </w:pPr>
      <w:r w:rsidRPr="008739E1">
        <w:rPr>
          <w:b/>
        </w:rPr>
        <w:t>Prestador del servicio con SISFV</w:t>
      </w:r>
      <w:r w:rsidR="00B93645" w:rsidRPr="008739E1">
        <w:rPr>
          <w:b/>
        </w:rPr>
        <w:t>, prestador del servicio</w:t>
      </w:r>
      <w:r w:rsidR="002D21B5" w:rsidRPr="008739E1">
        <w:rPr>
          <w:b/>
        </w:rPr>
        <w:t xml:space="preserve">: </w:t>
      </w:r>
      <w:r w:rsidR="00745BEF" w:rsidRPr="008739E1">
        <w:t>Persona que</w:t>
      </w:r>
      <w:r w:rsidR="00AB7FBC" w:rsidRPr="008739E1">
        <w:t xml:space="preserve"> </w:t>
      </w:r>
      <w:r w:rsidR="00D46A53" w:rsidRPr="008739E1">
        <w:t xml:space="preserve">estando organizada en alguna de las formas previstas en el </w:t>
      </w:r>
      <w:r w:rsidR="00B347F3" w:rsidRPr="008739E1">
        <w:t>Título I de la Ley 142 de 1994</w:t>
      </w:r>
      <w:r w:rsidR="00AB7FBC" w:rsidRPr="008739E1">
        <w:t xml:space="preserve"> </w:t>
      </w:r>
      <w:r w:rsidR="00745BEF" w:rsidRPr="008739E1">
        <w:t>desarrolla las actividades relacionadas con el suministro de energía eléctrica a un domicilio</w:t>
      </w:r>
      <w:r w:rsidR="00745BEF" w:rsidRPr="00B66211">
        <w:t xml:space="preserve"> mediante soluciones individuales de generación fotovoltaica.</w:t>
      </w:r>
    </w:p>
    <w:bookmarkEnd w:id="1"/>
    <w:p w14:paraId="1E273D0D" w14:textId="77777777" w:rsidR="00125F79" w:rsidRPr="00B66211" w:rsidRDefault="00125F79" w:rsidP="00C94D29">
      <w:pPr>
        <w:contextualSpacing/>
        <w:jc w:val="both"/>
      </w:pPr>
    </w:p>
    <w:p w14:paraId="4C90F499" w14:textId="7DF7D76A" w:rsidR="00A219F5" w:rsidRPr="00B66211" w:rsidRDefault="00815657" w:rsidP="00C94D29">
      <w:pPr>
        <w:contextualSpacing/>
        <w:jc w:val="both"/>
      </w:pPr>
      <w:r w:rsidRPr="00B66211">
        <w:rPr>
          <w:b/>
        </w:rPr>
        <w:t>S</w:t>
      </w:r>
      <w:r w:rsidR="006A3200" w:rsidRPr="00B66211">
        <w:rPr>
          <w:b/>
        </w:rPr>
        <w:t xml:space="preserve">olución </w:t>
      </w:r>
      <w:r w:rsidR="009F086C" w:rsidRPr="00B66211">
        <w:rPr>
          <w:b/>
        </w:rPr>
        <w:t>Individual Solar Fotovoltaic</w:t>
      </w:r>
      <w:r w:rsidR="00200FA1" w:rsidRPr="00B66211">
        <w:rPr>
          <w:b/>
        </w:rPr>
        <w:t>a</w:t>
      </w:r>
      <w:r w:rsidR="009F086C" w:rsidRPr="00B66211">
        <w:rPr>
          <w:b/>
        </w:rPr>
        <w:t xml:space="preserve">, </w:t>
      </w:r>
      <w:r w:rsidR="00A219F5" w:rsidRPr="00B66211">
        <w:rPr>
          <w:b/>
        </w:rPr>
        <w:t>SISFV:</w:t>
      </w:r>
      <w:r w:rsidR="00A219F5" w:rsidRPr="00B66211">
        <w:t xml:space="preserve"> </w:t>
      </w:r>
      <w:r w:rsidR="00700E24" w:rsidRPr="00B66211">
        <w:t xml:space="preserve">Conjunto </w:t>
      </w:r>
      <w:r w:rsidR="00C25013" w:rsidRPr="00B66211">
        <w:t>de unidades constructivas</w:t>
      </w:r>
      <w:r w:rsidR="00FC46C6" w:rsidRPr="00B66211">
        <w:t xml:space="preserve"> que</w:t>
      </w:r>
      <w:r w:rsidR="003C0776">
        <w:t>,</w:t>
      </w:r>
      <w:r w:rsidR="00FC46C6" w:rsidRPr="00B66211">
        <w:t xml:space="preserve"> integradas</w:t>
      </w:r>
      <w:r w:rsidR="003C0776">
        <w:t>,</w:t>
      </w:r>
      <w:r w:rsidR="00BF3E3E" w:rsidRPr="00B66211">
        <w:t xml:space="preserve"> </w:t>
      </w:r>
      <w:r w:rsidR="009D3E14" w:rsidRPr="00B66211">
        <w:t>tienen como</w:t>
      </w:r>
      <w:r w:rsidR="008D5929" w:rsidRPr="00B66211">
        <w:t xml:space="preserve"> principio el a</w:t>
      </w:r>
      <w:r w:rsidR="00225455" w:rsidRPr="00B66211">
        <w:t>p</w:t>
      </w:r>
      <w:r w:rsidR="008D5929" w:rsidRPr="00B66211">
        <w:t>rovechamiento de la energía solar</w:t>
      </w:r>
      <w:r w:rsidR="00C25013" w:rsidRPr="00B66211">
        <w:t xml:space="preserve"> </w:t>
      </w:r>
      <w:r w:rsidR="00234F5D" w:rsidRPr="00B66211">
        <w:t xml:space="preserve">para </w:t>
      </w:r>
      <w:r w:rsidR="00EE41F0" w:rsidRPr="00B66211">
        <w:t xml:space="preserve">la entrega de energía </w:t>
      </w:r>
      <w:r w:rsidR="004F40FB" w:rsidRPr="00B66211">
        <w:t>eléctrica a un único</w:t>
      </w:r>
      <w:r w:rsidR="00EE41F0" w:rsidRPr="00B66211">
        <w:t xml:space="preserve"> </w:t>
      </w:r>
      <w:r w:rsidR="00823202" w:rsidRPr="00B66211">
        <w:t>usuario</w:t>
      </w:r>
      <w:r w:rsidR="004F20AE" w:rsidRPr="00B66211">
        <w:t xml:space="preserve"> </w:t>
      </w:r>
      <w:r w:rsidR="00A052E0" w:rsidRPr="00B66211">
        <w:t xml:space="preserve">no </w:t>
      </w:r>
      <w:r w:rsidR="004F20AE" w:rsidRPr="00B66211">
        <w:t>conectad</w:t>
      </w:r>
      <w:r w:rsidR="00A052E0" w:rsidRPr="00B66211">
        <w:t>o</w:t>
      </w:r>
      <w:r w:rsidR="004F20AE" w:rsidRPr="00B66211">
        <w:t xml:space="preserve"> a un</w:t>
      </w:r>
      <w:r w:rsidR="00E6031F">
        <w:t>a</w:t>
      </w:r>
      <w:r w:rsidR="004F20AE" w:rsidRPr="00B66211">
        <w:t xml:space="preserve"> </w:t>
      </w:r>
      <w:r w:rsidR="00E6031F">
        <w:t xml:space="preserve">red </w:t>
      </w:r>
      <w:r w:rsidR="00A052E0" w:rsidRPr="00B66211">
        <w:t>de distribución de energía eléctrica</w:t>
      </w:r>
      <w:r w:rsidR="00982660" w:rsidRPr="00B66211">
        <w:t>.</w:t>
      </w:r>
    </w:p>
    <w:p w14:paraId="737A6CD6" w14:textId="77777777" w:rsidR="00A219F5" w:rsidRPr="00B66211" w:rsidRDefault="00A219F5" w:rsidP="00C94D29">
      <w:pPr>
        <w:contextualSpacing/>
        <w:jc w:val="both"/>
      </w:pPr>
    </w:p>
    <w:p w14:paraId="083ED590" w14:textId="680C3BAF" w:rsidR="00A85691" w:rsidRPr="00B66211" w:rsidRDefault="00A85691" w:rsidP="00C94D29">
      <w:pPr>
        <w:contextualSpacing/>
        <w:jc w:val="both"/>
      </w:pPr>
      <w:r w:rsidRPr="00B66211">
        <w:rPr>
          <w:b/>
        </w:rPr>
        <w:t xml:space="preserve">SSPD: </w:t>
      </w:r>
      <w:r w:rsidR="00D36406" w:rsidRPr="00B66211">
        <w:t>Superintendencia de Servicios Públicos Domiciliarios.</w:t>
      </w:r>
    </w:p>
    <w:p w14:paraId="556B974B" w14:textId="77777777" w:rsidR="00A85691" w:rsidRPr="00B66211" w:rsidRDefault="00A85691" w:rsidP="00C94D29">
      <w:pPr>
        <w:contextualSpacing/>
        <w:jc w:val="both"/>
      </w:pPr>
    </w:p>
    <w:p w14:paraId="236D2C33" w14:textId="6E52FF14" w:rsidR="009F5F34" w:rsidRDefault="00711376" w:rsidP="00C94D29">
      <w:pPr>
        <w:contextualSpacing/>
        <w:jc w:val="both"/>
      </w:pPr>
      <w:r w:rsidRPr="00B66211">
        <w:rPr>
          <w:b/>
        </w:rPr>
        <w:t xml:space="preserve">SUI: </w:t>
      </w:r>
      <w:r w:rsidR="00EB3772" w:rsidRPr="00B66211">
        <w:t xml:space="preserve">Sistema Único de Información de los Servicios Públicos Domiciliarios que, según lo previsto en el </w:t>
      </w:r>
      <w:r w:rsidR="009F5F34" w:rsidRPr="00B66211">
        <w:t xml:space="preserve">numeral 36 del </w:t>
      </w:r>
      <w:r w:rsidR="00EB3772" w:rsidRPr="00B66211">
        <w:t xml:space="preserve">artículo </w:t>
      </w:r>
      <w:r w:rsidR="00E962CE" w:rsidRPr="00B66211">
        <w:t xml:space="preserve">79 de la Ley 142 de 1994, </w:t>
      </w:r>
      <w:r w:rsidR="008C18A6" w:rsidRPr="00B66211">
        <w:t xml:space="preserve">es </w:t>
      </w:r>
      <w:r w:rsidR="009F5F34" w:rsidRPr="00B66211">
        <w:t>administra</w:t>
      </w:r>
      <w:r w:rsidR="004F6D70" w:rsidRPr="00B66211">
        <w:t>do</w:t>
      </w:r>
      <w:r w:rsidR="009F5F34" w:rsidRPr="00B66211">
        <w:t>, manten</w:t>
      </w:r>
      <w:r w:rsidR="004F6D70" w:rsidRPr="00B66211">
        <w:t>ido</w:t>
      </w:r>
      <w:r w:rsidR="009F5F34" w:rsidRPr="00B66211">
        <w:t xml:space="preserve"> y opera</w:t>
      </w:r>
      <w:r w:rsidR="004F6D70" w:rsidRPr="00B66211">
        <w:t>do</w:t>
      </w:r>
      <w:r w:rsidR="009F5F34" w:rsidRPr="00B66211">
        <w:t xml:space="preserve"> </w:t>
      </w:r>
      <w:r w:rsidR="00067102" w:rsidRPr="00B66211">
        <w:t>por la SSPD.</w:t>
      </w:r>
    </w:p>
    <w:p w14:paraId="1FCB311B" w14:textId="77777777" w:rsidR="00A245E9" w:rsidRPr="00B66211" w:rsidRDefault="00A245E9" w:rsidP="00C94D29">
      <w:pPr>
        <w:contextualSpacing/>
        <w:jc w:val="both"/>
      </w:pPr>
    </w:p>
    <w:p w14:paraId="5FEACC70" w14:textId="14714D94" w:rsidR="00C22157" w:rsidRPr="00B66211" w:rsidRDefault="00106EE4" w:rsidP="00C94D29">
      <w:pPr>
        <w:contextualSpacing/>
        <w:jc w:val="both"/>
      </w:pPr>
      <w:r w:rsidRPr="003A0545">
        <w:rPr>
          <w:b/>
        </w:rPr>
        <w:t xml:space="preserve">Servicio </w:t>
      </w:r>
      <w:r w:rsidR="00C22157" w:rsidRPr="003A0545">
        <w:rPr>
          <w:b/>
        </w:rPr>
        <w:t xml:space="preserve">Público Domiciliario </w:t>
      </w:r>
      <w:r w:rsidRPr="003A0545">
        <w:rPr>
          <w:b/>
        </w:rPr>
        <w:t xml:space="preserve">de energía eléctrica en ZNI: </w:t>
      </w:r>
      <w:r w:rsidR="00AE0855" w:rsidRPr="003A0545">
        <w:t xml:space="preserve">Es el transporte de energía eléctrica desde la barra de entrega de energía de un </w:t>
      </w:r>
      <w:r w:rsidR="004C4819" w:rsidRPr="003A0545">
        <w:t>g</w:t>
      </w:r>
      <w:r w:rsidR="00AE0855" w:rsidRPr="003A0545">
        <w:t xml:space="preserve">enerador al </w:t>
      </w:r>
      <w:r w:rsidR="004C4819" w:rsidRPr="003A0545">
        <w:t>s</w:t>
      </w:r>
      <w:r w:rsidR="00AE0855" w:rsidRPr="003A0545">
        <w:t xml:space="preserve">istema de </w:t>
      </w:r>
      <w:r w:rsidR="004C4819" w:rsidRPr="003A0545">
        <w:t>d</w:t>
      </w:r>
      <w:r w:rsidR="00AE0855" w:rsidRPr="003A0545">
        <w:t>istribución hasta el domicilio del usuario final, incluida su conexión y medición. El suministro de energía eléctrica a un domicilio mediante soluciones individuales de generación también se considera servicio público domiciliario de energía eléctrica en ZNI</w:t>
      </w:r>
      <w:r w:rsidR="009D76D1" w:rsidRPr="003A0545">
        <w:t>.</w:t>
      </w:r>
      <w:r w:rsidR="004C4D6B" w:rsidRPr="003A0545">
        <w:t xml:space="preserve"> </w:t>
      </w:r>
      <w:r w:rsidR="00F5609F" w:rsidRPr="003A0545">
        <w:t>(</w:t>
      </w:r>
      <w:r w:rsidR="00676DAC" w:rsidRPr="003A0545">
        <w:t>Art</w:t>
      </w:r>
      <w:r w:rsidR="002E7D1D" w:rsidRPr="003A0545">
        <w:t>.</w:t>
      </w:r>
      <w:r w:rsidR="00676DAC" w:rsidRPr="003A0545">
        <w:t xml:space="preserve"> </w:t>
      </w:r>
      <w:r w:rsidR="00922F30" w:rsidRPr="003A0545">
        <w:t>287 Ley 1955 de 2019</w:t>
      </w:r>
      <w:r w:rsidR="00F5609F" w:rsidRPr="003A0545">
        <w:t>)</w:t>
      </w:r>
    </w:p>
    <w:p w14:paraId="158E9195" w14:textId="77777777" w:rsidR="00F166EB" w:rsidRPr="00B66211" w:rsidRDefault="00F166EB" w:rsidP="00C94D29">
      <w:pPr>
        <w:contextualSpacing/>
        <w:jc w:val="both"/>
      </w:pPr>
    </w:p>
    <w:p w14:paraId="633BC985" w14:textId="7E896258" w:rsidR="00347AF2" w:rsidRPr="00B66211" w:rsidRDefault="00F166EB" w:rsidP="00C94D29">
      <w:pPr>
        <w:contextualSpacing/>
        <w:jc w:val="both"/>
      </w:pPr>
      <w:r w:rsidRPr="002B5D44">
        <w:rPr>
          <w:b/>
        </w:rPr>
        <w:t>Unidad constructiva</w:t>
      </w:r>
      <w:r w:rsidR="00790648" w:rsidRPr="002B5D44">
        <w:rPr>
          <w:b/>
        </w:rPr>
        <w:t>, UC</w:t>
      </w:r>
      <w:r w:rsidRPr="002B5D44">
        <w:rPr>
          <w:b/>
        </w:rPr>
        <w:t xml:space="preserve">: </w:t>
      </w:r>
      <w:r w:rsidR="008920B7" w:rsidRPr="002B5D44">
        <w:t xml:space="preserve">Conjunto de elementos </w:t>
      </w:r>
      <w:r w:rsidR="00DE4A71" w:rsidRPr="002B5D44">
        <w:t>que integrados cumplen una función particular</w:t>
      </w:r>
      <w:r w:rsidR="00297B40" w:rsidRPr="002B5D44">
        <w:t xml:space="preserve"> en el proceso de entrega de energía eléctrica</w:t>
      </w:r>
      <w:r w:rsidR="00701BD3" w:rsidRPr="002B5D44">
        <w:t xml:space="preserve"> mediante una SISFV</w:t>
      </w:r>
      <w:r w:rsidR="007132ED" w:rsidRPr="002B5D44">
        <w:t>, entre otr</w:t>
      </w:r>
      <w:r w:rsidR="00FE5F8F" w:rsidRPr="002B5D44">
        <w:t>a</w:t>
      </w:r>
      <w:r w:rsidR="007132ED" w:rsidRPr="002B5D44">
        <w:t>s:</w:t>
      </w:r>
      <w:r w:rsidR="008920B7" w:rsidRPr="002B5D44">
        <w:t xml:space="preserve"> generación de energía</w:t>
      </w:r>
      <w:r w:rsidR="00D57F3D" w:rsidRPr="002B5D44">
        <w:t xml:space="preserve"> eléctrica</w:t>
      </w:r>
      <w:r w:rsidR="007132ED" w:rsidRPr="002B5D44">
        <w:t xml:space="preserve">, </w:t>
      </w:r>
      <w:r w:rsidR="00BB72C9" w:rsidRPr="002B5D44">
        <w:t xml:space="preserve">almacenamiento de energía, </w:t>
      </w:r>
      <w:r w:rsidR="00E50E92" w:rsidRPr="002B5D44">
        <w:t xml:space="preserve">conversión </w:t>
      </w:r>
      <w:r w:rsidR="007923D6" w:rsidRPr="002B5D44">
        <w:t xml:space="preserve">del tipo de corriente, </w:t>
      </w:r>
      <w:r w:rsidR="008920B7" w:rsidRPr="002B5D44">
        <w:t>supervisión o control de la operación</w:t>
      </w:r>
      <w:r w:rsidR="00D87CB2" w:rsidRPr="002B5D44">
        <w:t xml:space="preserve">, medición, </w:t>
      </w:r>
      <w:r w:rsidR="00BD6D72" w:rsidRPr="002B5D44">
        <w:t>protección de otra</w:t>
      </w:r>
      <w:r w:rsidR="004B3286" w:rsidRPr="002B5D44">
        <w:t xml:space="preserve">s unidades constructivas, </w:t>
      </w:r>
      <w:r w:rsidR="00D87CB2" w:rsidRPr="002B5D44">
        <w:t>conexión de otras unidades constructivas</w:t>
      </w:r>
      <w:r w:rsidR="008920B7" w:rsidRPr="002B5D44">
        <w:t>.</w:t>
      </w:r>
    </w:p>
    <w:p w14:paraId="43235C54" w14:textId="3E99D71C" w:rsidR="001123BC" w:rsidRDefault="001123BC" w:rsidP="00C94D29">
      <w:pPr>
        <w:autoSpaceDE w:val="0"/>
        <w:autoSpaceDN w:val="0"/>
        <w:adjustRightInd w:val="0"/>
        <w:contextualSpacing/>
        <w:jc w:val="both"/>
        <w:rPr>
          <w:rFonts w:cs="--unknown-2--"/>
        </w:rPr>
      </w:pPr>
    </w:p>
    <w:p w14:paraId="08BC1E06" w14:textId="0DF5FD54" w:rsidR="00855ECA" w:rsidRDefault="00855ECA" w:rsidP="00C94D29">
      <w:pPr>
        <w:autoSpaceDE w:val="0"/>
        <w:autoSpaceDN w:val="0"/>
        <w:adjustRightInd w:val="0"/>
        <w:contextualSpacing/>
        <w:jc w:val="both"/>
        <w:rPr>
          <w:rFonts w:cs="--unknown-2--"/>
        </w:rPr>
      </w:pPr>
      <w:r w:rsidRPr="008E7D8F">
        <w:rPr>
          <w:rFonts w:cs="--unknown-2--"/>
          <w:b/>
        </w:rPr>
        <w:t>UPME:</w:t>
      </w:r>
      <w:r w:rsidRPr="008E7D8F">
        <w:rPr>
          <w:rFonts w:cs="--unknown-2--"/>
        </w:rPr>
        <w:t xml:space="preserve"> Unidad de Planeación Minero Energética.</w:t>
      </w:r>
    </w:p>
    <w:p w14:paraId="111F5ECE" w14:textId="77777777" w:rsidR="00855ECA" w:rsidRPr="00B66211" w:rsidRDefault="00855ECA" w:rsidP="00C94D29">
      <w:pPr>
        <w:autoSpaceDE w:val="0"/>
        <w:autoSpaceDN w:val="0"/>
        <w:adjustRightInd w:val="0"/>
        <w:contextualSpacing/>
        <w:jc w:val="both"/>
        <w:rPr>
          <w:rFonts w:cs="--unknown-2--"/>
        </w:rPr>
      </w:pPr>
    </w:p>
    <w:p w14:paraId="2EDE29C9" w14:textId="464812E3" w:rsidR="001123BC" w:rsidRPr="00B66211" w:rsidRDefault="001123BC" w:rsidP="00C94D29">
      <w:pPr>
        <w:autoSpaceDE w:val="0"/>
        <w:autoSpaceDN w:val="0"/>
        <w:adjustRightInd w:val="0"/>
        <w:contextualSpacing/>
        <w:jc w:val="both"/>
        <w:rPr>
          <w:rFonts w:cs="--unknown-2--"/>
        </w:rPr>
      </w:pPr>
      <w:r w:rsidRPr="00B66211">
        <w:rPr>
          <w:rFonts w:cs="--unknown-2--"/>
          <w:b/>
        </w:rPr>
        <w:t>Usuario:</w:t>
      </w:r>
      <w:r w:rsidRPr="00B66211">
        <w:rPr>
          <w:rFonts w:cs="--unknown-2--"/>
        </w:rPr>
        <w:t xml:space="preserve"> </w:t>
      </w:r>
      <w:r w:rsidR="009A6CF8" w:rsidRPr="00B66211">
        <w:rPr>
          <w:rFonts w:cs="--unknown-2--"/>
        </w:rPr>
        <w:t>P</w:t>
      </w:r>
      <w:r w:rsidRPr="00B66211">
        <w:rPr>
          <w:rFonts w:cs="--unknown-2--"/>
        </w:rPr>
        <w:t>ersona natural o jurídica que se beneficia con la prestación del servicio público domiciliario de energía eléctrica, bien como propietario del inmueble en donde éste se presta, o como receptor directo del servicio</w:t>
      </w:r>
      <w:r w:rsidR="00D44E9D">
        <w:rPr>
          <w:rFonts w:cs="--unknown-2--"/>
        </w:rPr>
        <w:t>.</w:t>
      </w:r>
      <w:r w:rsidR="003B4B60" w:rsidRPr="00B66211">
        <w:rPr>
          <w:rFonts w:cs="--unknown-2--"/>
        </w:rPr>
        <w:t xml:space="preserve"> </w:t>
      </w:r>
      <w:r w:rsidR="00A67AA1" w:rsidRPr="00B66211">
        <w:rPr>
          <w:rFonts w:cs="--unknown-2--"/>
        </w:rPr>
        <w:t>(Ley 142 de 1994)</w:t>
      </w:r>
    </w:p>
    <w:p w14:paraId="03047157" w14:textId="77777777" w:rsidR="00FC2E6E" w:rsidRPr="00B66211" w:rsidRDefault="00FC2E6E" w:rsidP="00C94D29">
      <w:pPr>
        <w:autoSpaceDE w:val="0"/>
        <w:autoSpaceDN w:val="0"/>
        <w:adjustRightInd w:val="0"/>
        <w:contextualSpacing/>
        <w:jc w:val="both"/>
        <w:rPr>
          <w:rFonts w:cs="--unknown-2--"/>
        </w:rPr>
      </w:pPr>
    </w:p>
    <w:p w14:paraId="5C7CC0B7" w14:textId="738B3C70" w:rsidR="00FC2E6E" w:rsidRPr="00510F31" w:rsidRDefault="00FC2E6E" w:rsidP="00C94D29">
      <w:pPr>
        <w:pStyle w:val="Ttulo1"/>
        <w:contextualSpacing/>
        <w:rPr>
          <w:rFonts w:cs="--unknown-2--"/>
          <w:b w:val="0"/>
        </w:rPr>
      </w:pPr>
      <w:r w:rsidRPr="00510F31">
        <w:t>CAPÍTULO II</w:t>
      </w:r>
    </w:p>
    <w:p w14:paraId="38FA0978" w14:textId="77777777" w:rsidR="00FC2E6E" w:rsidRPr="00B66211" w:rsidRDefault="00FC2E6E" w:rsidP="00C94D29">
      <w:pPr>
        <w:autoSpaceDE w:val="0"/>
        <w:autoSpaceDN w:val="0"/>
        <w:adjustRightInd w:val="0"/>
        <w:contextualSpacing/>
        <w:jc w:val="center"/>
        <w:rPr>
          <w:rFonts w:cs="--unknown-2--"/>
        </w:rPr>
      </w:pPr>
    </w:p>
    <w:p w14:paraId="6B4A1B08" w14:textId="15282143" w:rsidR="00FC2E6E" w:rsidRPr="00414788" w:rsidRDefault="00B86AEA" w:rsidP="00C94D29">
      <w:pPr>
        <w:pStyle w:val="Ttulo1"/>
        <w:contextualSpacing/>
        <w:rPr>
          <w:rFonts w:cs="--unknown-2--"/>
          <w:b w:val="0"/>
        </w:rPr>
      </w:pPr>
      <w:r w:rsidRPr="00414788">
        <w:t>PRINCIPIOS</w:t>
      </w:r>
    </w:p>
    <w:p w14:paraId="14FBE4F7" w14:textId="77777777" w:rsidR="00FC2E6E" w:rsidRPr="00B66211" w:rsidRDefault="00FC2E6E" w:rsidP="00C94D29">
      <w:pPr>
        <w:autoSpaceDE w:val="0"/>
        <w:autoSpaceDN w:val="0"/>
        <w:adjustRightInd w:val="0"/>
        <w:contextualSpacing/>
        <w:jc w:val="center"/>
        <w:rPr>
          <w:rFonts w:cs="--unknown-2--"/>
        </w:rPr>
      </w:pPr>
    </w:p>
    <w:p w14:paraId="1E8B904E" w14:textId="78836CB0" w:rsidR="00FC2E6E" w:rsidRPr="00883E7F" w:rsidRDefault="00FC2E6E" w:rsidP="00C94D29">
      <w:pPr>
        <w:pStyle w:val="Ttulo7"/>
        <w:numPr>
          <w:ilvl w:val="0"/>
          <w:numId w:val="26"/>
        </w:numPr>
        <w:autoSpaceDE w:val="0"/>
        <w:autoSpaceDN w:val="0"/>
        <w:adjustRightInd w:val="0"/>
        <w:spacing w:before="0" w:after="0"/>
        <w:contextualSpacing/>
        <w:jc w:val="both"/>
        <w:rPr>
          <w:rFonts w:ascii="Bookman Old Style" w:hAnsi="Bookman Old Style"/>
        </w:rPr>
      </w:pPr>
      <w:r w:rsidRPr="00883E7F">
        <w:rPr>
          <w:rFonts w:ascii="Bookman Old Style" w:hAnsi="Bookman Old Style"/>
          <w:b/>
        </w:rPr>
        <w:t>Principios generales.</w:t>
      </w:r>
      <w:r w:rsidRPr="00883E7F">
        <w:rPr>
          <w:rFonts w:ascii="Bookman Old Style" w:hAnsi="Bookman Old Style"/>
        </w:rPr>
        <w:t xml:space="preserve"> </w:t>
      </w:r>
      <w:r w:rsidR="009011D0" w:rsidRPr="00883E7F">
        <w:rPr>
          <w:rFonts w:ascii="Bookman Old Style" w:hAnsi="Bookman Old Style"/>
        </w:rPr>
        <w:t>En</w:t>
      </w:r>
      <w:r w:rsidR="00A57131" w:rsidRPr="00883E7F">
        <w:rPr>
          <w:rFonts w:ascii="Bookman Old Style" w:hAnsi="Bookman Old Style"/>
        </w:rPr>
        <w:t xml:space="preserve"> la aplicación de la</w:t>
      </w:r>
      <w:r w:rsidRPr="00883E7F">
        <w:rPr>
          <w:rFonts w:ascii="Bookman Old Style" w:hAnsi="Bookman Old Style"/>
        </w:rPr>
        <w:t xml:space="preserve"> metodología para el cálculo de los cargos </w:t>
      </w:r>
      <w:r w:rsidR="00393307" w:rsidRPr="00883E7F">
        <w:rPr>
          <w:rFonts w:ascii="Bookman Old Style" w:hAnsi="Bookman Old Style"/>
        </w:rPr>
        <w:t xml:space="preserve">tarifarios </w:t>
      </w:r>
      <w:r w:rsidR="00564C72" w:rsidRPr="00883E7F">
        <w:rPr>
          <w:rFonts w:ascii="Bookman Old Style" w:hAnsi="Bookman Old Style"/>
        </w:rPr>
        <w:t>definida</w:t>
      </w:r>
      <w:r w:rsidR="00F27392" w:rsidRPr="00883E7F">
        <w:rPr>
          <w:rFonts w:ascii="Bookman Old Style" w:hAnsi="Bookman Old Style"/>
        </w:rPr>
        <w:t xml:space="preserve"> en la presente resolución</w:t>
      </w:r>
      <w:r w:rsidR="00393307" w:rsidRPr="00883E7F">
        <w:rPr>
          <w:rFonts w:ascii="Bookman Old Style" w:hAnsi="Bookman Old Style"/>
        </w:rPr>
        <w:t xml:space="preserve"> </w:t>
      </w:r>
      <w:r w:rsidR="00AB2D50" w:rsidRPr="00883E7F">
        <w:rPr>
          <w:rFonts w:ascii="Bookman Old Style" w:hAnsi="Bookman Old Style"/>
        </w:rPr>
        <w:t xml:space="preserve">se </w:t>
      </w:r>
      <w:r w:rsidRPr="00883E7F">
        <w:rPr>
          <w:rFonts w:ascii="Bookman Old Style" w:hAnsi="Bookman Old Style"/>
        </w:rPr>
        <w:t>tendrá</w:t>
      </w:r>
      <w:r w:rsidR="00AB2D50" w:rsidRPr="00883E7F">
        <w:rPr>
          <w:rFonts w:ascii="Bookman Old Style" w:hAnsi="Bookman Old Style"/>
        </w:rPr>
        <w:t>n</w:t>
      </w:r>
      <w:r w:rsidRPr="00883E7F">
        <w:rPr>
          <w:rFonts w:ascii="Bookman Old Style" w:hAnsi="Bookman Old Style"/>
        </w:rPr>
        <w:t xml:space="preserve"> en cuenta los siguientes </w:t>
      </w:r>
      <w:r w:rsidR="00CF7A45" w:rsidRPr="00883E7F">
        <w:rPr>
          <w:rFonts w:ascii="Bookman Old Style" w:hAnsi="Bookman Old Style"/>
        </w:rPr>
        <w:t xml:space="preserve">principios </w:t>
      </w:r>
      <w:r w:rsidRPr="00883E7F">
        <w:rPr>
          <w:rFonts w:ascii="Bookman Old Style" w:hAnsi="Bookman Old Style"/>
        </w:rPr>
        <w:t>generales:</w:t>
      </w:r>
    </w:p>
    <w:p w14:paraId="6B2BB921" w14:textId="77777777" w:rsidR="00FC2E6E" w:rsidRPr="00B66211" w:rsidRDefault="00FC2E6E" w:rsidP="00C94D29">
      <w:pPr>
        <w:contextualSpacing/>
        <w:jc w:val="both"/>
      </w:pPr>
    </w:p>
    <w:p w14:paraId="11A9613E" w14:textId="3A3A2CE0" w:rsidR="008C737E" w:rsidRPr="003E783C" w:rsidRDefault="008C737E" w:rsidP="00C94D29">
      <w:pPr>
        <w:pStyle w:val="Prrafodelista"/>
        <w:numPr>
          <w:ilvl w:val="0"/>
          <w:numId w:val="10"/>
        </w:numPr>
        <w:ind w:left="426" w:hanging="426"/>
        <w:contextualSpacing/>
        <w:jc w:val="both"/>
        <w:rPr>
          <w:sz w:val="24"/>
          <w:szCs w:val="24"/>
        </w:rPr>
      </w:pPr>
      <w:r w:rsidRPr="003E783C">
        <w:rPr>
          <w:sz w:val="24"/>
          <w:szCs w:val="24"/>
        </w:rPr>
        <w:t xml:space="preserve">En virtud del principio de integralidad de la tarifa establecido en la Ley, los prestadores del servicio facturarán a sus usuarios regulados </w:t>
      </w:r>
      <w:r w:rsidR="00A20D05" w:rsidRPr="003E783C">
        <w:rPr>
          <w:sz w:val="24"/>
          <w:szCs w:val="24"/>
        </w:rPr>
        <w:t xml:space="preserve">identificando </w:t>
      </w:r>
      <w:r w:rsidRPr="003E783C">
        <w:rPr>
          <w:sz w:val="24"/>
          <w:szCs w:val="24"/>
        </w:rPr>
        <w:t>lo</w:t>
      </w:r>
      <w:r w:rsidR="0092236C" w:rsidRPr="003E783C">
        <w:rPr>
          <w:sz w:val="24"/>
          <w:szCs w:val="24"/>
        </w:rPr>
        <w:t xml:space="preserve"> correspondiente a</w:t>
      </w:r>
      <w:r w:rsidR="00A20D05" w:rsidRPr="003E783C">
        <w:rPr>
          <w:sz w:val="24"/>
          <w:szCs w:val="24"/>
        </w:rPr>
        <w:t>: i)</w:t>
      </w:r>
      <w:r w:rsidR="0092236C" w:rsidRPr="003E783C">
        <w:rPr>
          <w:sz w:val="24"/>
          <w:szCs w:val="24"/>
        </w:rPr>
        <w:t xml:space="preserve"> los </w:t>
      </w:r>
      <w:r w:rsidRPr="003E783C">
        <w:rPr>
          <w:sz w:val="24"/>
          <w:szCs w:val="24"/>
        </w:rPr>
        <w:t>cargos que dependen del nivel de servicio acordado con el usuario y la ubicación en la que se presta el servicio</w:t>
      </w:r>
      <w:r w:rsidR="00A20D05" w:rsidRPr="003E783C">
        <w:rPr>
          <w:sz w:val="24"/>
          <w:szCs w:val="24"/>
        </w:rPr>
        <w:t>; ii)</w:t>
      </w:r>
      <w:r w:rsidR="00B52A0C" w:rsidRPr="003E783C">
        <w:rPr>
          <w:sz w:val="24"/>
          <w:szCs w:val="24"/>
        </w:rPr>
        <w:t xml:space="preserve"> </w:t>
      </w:r>
      <w:r w:rsidR="0092236C" w:rsidRPr="003E783C">
        <w:rPr>
          <w:sz w:val="24"/>
          <w:szCs w:val="24"/>
        </w:rPr>
        <w:t>la disponibilidad real del servicio</w:t>
      </w:r>
      <w:r w:rsidR="00A20D05" w:rsidRPr="003E783C">
        <w:rPr>
          <w:sz w:val="24"/>
          <w:szCs w:val="24"/>
        </w:rPr>
        <w:t xml:space="preserve">; iii) </w:t>
      </w:r>
      <w:r w:rsidR="0092236C" w:rsidRPr="003E783C">
        <w:rPr>
          <w:sz w:val="24"/>
          <w:szCs w:val="24"/>
        </w:rPr>
        <w:t xml:space="preserve">el monto de los </w:t>
      </w:r>
      <w:r w:rsidRPr="003E783C">
        <w:rPr>
          <w:sz w:val="24"/>
          <w:szCs w:val="24"/>
        </w:rPr>
        <w:t>subsidios</w:t>
      </w:r>
      <w:r w:rsidR="0092236C" w:rsidRPr="003E783C">
        <w:rPr>
          <w:sz w:val="24"/>
          <w:szCs w:val="24"/>
        </w:rPr>
        <w:t xml:space="preserve"> </w:t>
      </w:r>
      <w:r w:rsidR="00E41E3B" w:rsidRPr="003E783C">
        <w:rPr>
          <w:sz w:val="24"/>
          <w:szCs w:val="24"/>
        </w:rPr>
        <w:t>a los que haya lugar</w:t>
      </w:r>
      <w:r w:rsidRPr="003E783C">
        <w:rPr>
          <w:sz w:val="24"/>
          <w:szCs w:val="24"/>
        </w:rPr>
        <w:t>.</w:t>
      </w:r>
    </w:p>
    <w:p w14:paraId="51A3BD7E" w14:textId="77777777" w:rsidR="008C737E" w:rsidRPr="003E783C" w:rsidRDefault="008C737E" w:rsidP="00C94D29">
      <w:pPr>
        <w:pStyle w:val="Prrafodelista"/>
        <w:ind w:left="426"/>
        <w:contextualSpacing/>
        <w:jc w:val="both"/>
        <w:rPr>
          <w:sz w:val="24"/>
          <w:szCs w:val="24"/>
        </w:rPr>
      </w:pPr>
    </w:p>
    <w:p w14:paraId="711F5CED" w14:textId="100B1E9B" w:rsidR="00FC2E6E" w:rsidRPr="003E783C" w:rsidRDefault="00FC2E6E" w:rsidP="00C94D29">
      <w:pPr>
        <w:pStyle w:val="Prrafodelista"/>
        <w:numPr>
          <w:ilvl w:val="0"/>
          <w:numId w:val="10"/>
        </w:numPr>
        <w:ind w:left="426" w:hanging="426"/>
        <w:contextualSpacing/>
        <w:jc w:val="both"/>
        <w:rPr>
          <w:sz w:val="24"/>
          <w:szCs w:val="24"/>
        </w:rPr>
      </w:pPr>
      <w:r w:rsidRPr="003E783C">
        <w:rPr>
          <w:sz w:val="24"/>
          <w:szCs w:val="24"/>
        </w:rPr>
        <w:t>Los usuarios que sean propietarios de los activos</w:t>
      </w:r>
      <w:r w:rsidR="009A7D94" w:rsidRPr="003E783C">
        <w:rPr>
          <w:sz w:val="24"/>
          <w:szCs w:val="24"/>
        </w:rPr>
        <w:t>, siempre y cuando hubieren solicitad</w:t>
      </w:r>
      <w:r w:rsidR="00FB2596" w:rsidRPr="003E783C">
        <w:rPr>
          <w:sz w:val="24"/>
          <w:szCs w:val="24"/>
        </w:rPr>
        <w:t>o</w:t>
      </w:r>
      <w:r w:rsidR="009A7D94" w:rsidRPr="003E783C">
        <w:rPr>
          <w:sz w:val="24"/>
          <w:szCs w:val="24"/>
        </w:rPr>
        <w:t xml:space="preserve"> a un prestador</w:t>
      </w:r>
      <w:r w:rsidR="00FB2596" w:rsidRPr="003E783C">
        <w:rPr>
          <w:sz w:val="24"/>
          <w:szCs w:val="24"/>
        </w:rPr>
        <w:t xml:space="preserve"> el servicio,</w:t>
      </w:r>
      <w:r w:rsidRPr="003E783C">
        <w:rPr>
          <w:sz w:val="24"/>
          <w:szCs w:val="24"/>
        </w:rPr>
        <w:t xml:space="preserve"> pagarán lo correspondiente a</w:t>
      </w:r>
      <w:r w:rsidR="0022682A" w:rsidRPr="003E783C">
        <w:rPr>
          <w:sz w:val="24"/>
          <w:szCs w:val="24"/>
        </w:rPr>
        <w:t xml:space="preserve"> </w:t>
      </w:r>
      <w:r w:rsidRPr="003E783C">
        <w:rPr>
          <w:sz w:val="24"/>
          <w:szCs w:val="24"/>
        </w:rPr>
        <w:t>l</w:t>
      </w:r>
      <w:r w:rsidR="0022682A" w:rsidRPr="003E783C">
        <w:rPr>
          <w:sz w:val="24"/>
          <w:szCs w:val="24"/>
        </w:rPr>
        <w:t>a administración,</w:t>
      </w:r>
      <w:r w:rsidRPr="003E783C">
        <w:rPr>
          <w:sz w:val="24"/>
          <w:szCs w:val="24"/>
        </w:rPr>
        <w:t xml:space="preserve"> mantenimiento y </w:t>
      </w:r>
      <w:r w:rsidR="00A3442E" w:rsidRPr="003E783C">
        <w:rPr>
          <w:sz w:val="24"/>
          <w:szCs w:val="24"/>
        </w:rPr>
        <w:t>gestión comercial</w:t>
      </w:r>
      <w:r w:rsidRPr="003E783C">
        <w:rPr>
          <w:sz w:val="24"/>
          <w:szCs w:val="24"/>
        </w:rPr>
        <w:t>.</w:t>
      </w:r>
    </w:p>
    <w:p w14:paraId="5B3CF099" w14:textId="77777777" w:rsidR="00FC2E6E" w:rsidRPr="003E783C" w:rsidRDefault="00FC2E6E" w:rsidP="00C94D29">
      <w:pPr>
        <w:pStyle w:val="Prrafodelista"/>
        <w:ind w:left="852" w:hanging="426"/>
        <w:contextualSpacing/>
        <w:jc w:val="both"/>
        <w:rPr>
          <w:sz w:val="24"/>
          <w:szCs w:val="24"/>
        </w:rPr>
      </w:pPr>
    </w:p>
    <w:p w14:paraId="4BE70B34" w14:textId="31597903" w:rsidR="00FC2E6E" w:rsidRPr="003E783C" w:rsidRDefault="00FC2E6E" w:rsidP="00C94D29">
      <w:pPr>
        <w:pStyle w:val="Prrafodelista"/>
        <w:numPr>
          <w:ilvl w:val="0"/>
          <w:numId w:val="10"/>
        </w:numPr>
        <w:ind w:left="426" w:hanging="426"/>
        <w:contextualSpacing/>
        <w:jc w:val="both"/>
        <w:rPr>
          <w:sz w:val="24"/>
          <w:szCs w:val="24"/>
        </w:rPr>
      </w:pPr>
      <w:r w:rsidRPr="003E783C">
        <w:rPr>
          <w:sz w:val="24"/>
          <w:szCs w:val="24"/>
        </w:rPr>
        <w:t xml:space="preserve">Un </w:t>
      </w:r>
      <w:r w:rsidR="00CB55B0" w:rsidRPr="003E783C">
        <w:rPr>
          <w:sz w:val="24"/>
          <w:szCs w:val="24"/>
        </w:rPr>
        <w:t xml:space="preserve">prestador del servicio </w:t>
      </w:r>
      <w:r w:rsidRPr="003E783C">
        <w:rPr>
          <w:sz w:val="24"/>
          <w:szCs w:val="24"/>
        </w:rPr>
        <w:t>será remunerado</w:t>
      </w:r>
      <w:r w:rsidR="00063DE8" w:rsidRPr="003E783C">
        <w:rPr>
          <w:sz w:val="24"/>
          <w:szCs w:val="24"/>
        </w:rPr>
        <w:t xml:space="preserve"> </w:t>
      </w:r>
      <w:r w:rsidRPr="003E783C">
        <w:rPr>
          <w:sz w:val="24"/>
          <w:szCs w:val="24"/>
        </w:rPr>
        <w:t xml:space="preserve">por la totalidad de los activos </w:t>
      </w:r>
      <w:r w:rsidR="00104E35" w:rsidRPr="003E783C">
        <w:rPr>
          <w:sz w:val="24"/>
          <w:szCs w:val="24"/>
        </w:rPr>
        <w:t>que conforman la SISFV</w:t>
      </w:r>
      <w:r w:rsidRPr="003E783C">
        <w:rPr>
          <w:sz w:val="24"/>
          <w:szCs w:val="24"/>
        </w:rPr>
        <w:t>, independientemente de que sea o no propietario de los mismos</w:t>
      </w:r>
      <w:r w:rsidR="007814F8" w:rsidRPr="003E783C">
        <w:rPr>
          <w:sz w:val="24"/>
          <w:szCs w:val="24"/>
        </w:rPr>
        <w:t>,</w:t>
      </w:r>
      <w:r w:rsidRPr="003E783C">
        <w:rPr>
          <w:sz w:val="24"/>
          <w:szCs w:val="24"/>
        </w:rPr>
        <w:t xml:space="preserve"> y sin perjuicio de la remuneración que deberá pagar al propietario por su inversión, con excepción de los bienes o derechos que no deban incluirse en el cálculo de las tarifas en los términos del </w:t>
      </w:r>
      <w:r w:rsidR="00022D91" w:rsidRPr="003E783C">
        <w:rPr>
          <w:sz w:val="24"/>
          <w:szCs w:val="24"/>
        </w:rPr>
        <w:t xml:space="preserve">numeral 87.9, del </w:t>
      </w:r>
      <w:r w:rsidRPr="003E783C">
        <w:rPr>
          <w:sz w:val="24"/>
          <w:szCs w:val="24"/>
        </w:rPr>
        <w:t>artículo 87 de la Ley 142 de 1994, modificado por el artículo 99 de la Ley 1450 de 2011. Es obligación del</w:t>
      </w:r>
      <w:r w:rsidR="00D302E1" w:rsidRPr="003E783C">
        <w:rPr>
          <w:sz w:val="24"/>
          <w:szCs w:val="24"/>
        </w:rPr>
        <w:t xml:space="preserve"> </w:t>
      </w:r>
      <w:r w:rsidRPr="003E783C">
        <w:rPr>
          <w:sz w:val="24"/>
          <w:szCs w:val="24"/>
        </w:rPr>
        <w:t>prestador</w:t>
      </w:r>
      <w:r w:rsidR="00D302E1" w:rsidRPr="003E783C">
        <w:rPr>
          <w:sz w:val="24"/>
          <w:szCs w:val="24"/>
        </w:rPr>
        <w:t xml:space="preserve"> del servicio</w:t>
      </w:r>
      <w:r w:rsidRPr="003E783C">
        <w:rPr>
          <w:sz w:val="24"/>
          <w:szCs w:val="24"/>
        </w:rPr>
        <w:t xml:space="preserve"> reportar los activos que no deben </w:t>
      </w:r>
      <w:r w:rsidR="00A33185" w:rsidRPr="003E783C">
        <w:rPr>
          <w:sz w:val="24"/>
          <w:szCs w:val="24"/>
        </w:rPr>
        <w:t xml:space="preserve">considerarse para el cálculo de </w:t>
      </w:r>
      <w:r w:rsidRPr="003E783C">
        <w:rPr>
          <w:sz w:val="24"/>
          <w:szCs w:val="24"/>
        </w:rPr>
        <w:t>la tarifa.</w:t>
      </w:r>
    </w:p>
    <w:p w14:paraId="32132620" w14:textId="77777777" w:rsidR="002E003E" w:rsidRPr="003E783C" w:rsidRDefault="002E003E" w:rsidP="00C94D29">
      <w:pPr>
        <w:pStyle w:val="Prrafodelista"/>
        <w:ind w:left="426"/>
        <w:contextualSpacing/>
        <w:jc w:val="both"/>
        <w:rPr>
          <w:sz w:val="24"/>
          <w:szCs w:val="24"/>
        </w:rPr>
      </w:pPr>
    </w:p>
    <w:p w14:paraId="553D15EE" w14:textId="156A9EDA" w:rsidR="002C621D" w:rsidRPr="00CC53B2" w:rsidRDefault="002C621D" w:rsidP="003011B5">
      <w:pPr>
        <w:pStyle w:val="Prrafodelista"/>
        <w:numPr>
          <w:ilvl w:val="0"/>
          <w:numId w:val="10"/>
        </w:numPr>
        <w:ind w:left="426" w:hanging="426"/>
        <w:contextualSpacing/>
        <w:jc w:val="both"/>
        <w:rPr>
          <w:sz w:val="24"/>
          <w:szCs w:val="24"/>
        </w:rPr>
      </w:pPr>
      <w:r w:rsidRPr="00CC53B2">
        <w:rPr>
          <w:sz w:val="24"/>
          <w:szCs w:val="24"/>
        </w:rPr>
        <w:t xml:space="preserve">En el caso de esquemas de facturación prepago, </w:t>
      </w:r>
      <w:r w:rsidR="00570C34" w:rsidRPr="00CC53B2">
        <w:rPr>
          <w:sz w:val="24"/>
          <w:szCs w:val="24"/>
        </w:rPr>
        <w:t>será responsabilidad d</w:t>
      </w:r>
      <w:r w:rsidRPr="00CC53B2">
        <w:rPr>
          <w:sz w:val="24"/>
          <w:szCs w:val="24"/>
        </w:rPr>
        <w:t>el prestador del servicio garantizar que el usuario pueda consumir la energía facturada y que para cada día ten</w:t>
      </w:r>
      <w:r w:rsidR="00BA307A" w:rsidRPr="00CC53B2">
        <w:rPr>
          <w:sz w:val="24"/>
          <w:szCs w:val="24"/>
        </w:rPr>
        <w:t xml:space="preserve">ga </w:t>
      </w:r>
      <w:r w:rsidRPr="00CC53B2">
        <w:rPr>
          <w:sz w:val="24"/>
          <w:szCs w:val="24"/>
        </w:rPr>
        <w:t xml:space="preserve">disponible como mínimo la energía del respectivo nivel de servicio. </w:t>
      </w:r>
      <w:r w:rsidR="0081422C" w:rsidRPr="00CC53B2">
        <w:rPr>
          <w:sz w:val="24"/>
          <w:szCs w:val="24"/>
        </w:rPr>
        <w:t>E</w:t>
      </w:r>
      <w:r w:rsidR="009562FF" w:rsidRPr="00CC53B2">
        <w:rPr>
          <w:sz w:val="24"/>
          <w:szCs w:val="24"/>
        </w:rPr>
        <w:t xml:space="preserve">l prestador </w:t>
      </w:r>
      <w:r w:rsidR="00585BB2" w:rsidRPr="00CC53B2">
        <w:rPr>
          <w:sz w:val="24"/>
          <w:szCs w:val="24"/>
        </w:rPr>
        <w:t xml:space="preserve">del servicio </w:t>
      </w:r>
      <w:r w:rsidRPr="00CC53B2">
        <w:rPr>
          <w:sz w:val="24"/>
          <w:szCs w:val="24"/>
        </w:rPr>
        <w:t>deberá contar con los</w:t>
      </w:r>
      <w:r w:rsidR="00585BB2" w:rsidRPr="00CC53B2">
        <w:rPr>
          <w:sz w:val="24"/>
          <w:szCs w:val="24"/>
        </w:rPr>
        <w:t xml:space="preserve"> medios idóneos para demostrar </w:t>
      </w:r>
      <w:r w:rsidR="00055750" w:rsidRPr="00CC53B2">
        <w:rPr>
          <w:sz w:val="24"/>
          <w:szCs w:val="24"/>
        </w:rPr>
        <w:t xml:space="preserve">el </w:t>
      </w:r>
      <w:r w:rsidR="003004B4" w:rsidRPr="00CC53B2">
        <w:rPr>
          <w:sz w:val="24"/>
          <w:szCs w:val="24"/>
        </w:rPr>
        <w:t xml:space="preserve">cumplimiento de </w:t>
      </w:r>
      <w:r w:rsidR="002D2B71" w:rsidRPr="00CC53B2">
        <w:rPr>
          <w:sz w:val="24"/>
          <w:szCs w:val="24"/>
        </w:rPr>
        <w:t xml:space="preserve">lo anterior </w:t>
      </w:r>
      <w:r w:rsidR="006335F6" w:rsidRPr="00CC53B2">
        <w:rPr>
          <w:sz w:val="24"/>
          <w:szCs w:val="24"/>
        </w:rPr>
        <w:t>a</w:t>
      </w:r>
      <w:r w:rsidR="00CF363D">
        <w:rPr>
          <w:sz w:val="24"/>
          <w:szCs w:val="24"/>
        </w:rPr>
        <w:t>nte</w:t>
      </w:r>
      <w:r w:rsidR="006335F6" w:rsidRPr="00CC53B2">
        <w:rPr>
          <w:sz w:val="24"/>
          <w:szCs w:val="24"/>
        </w:rPr>
        <w:t xml:space="preserve"> </w:t>
      </w:r>
      <w:r w:rsidRPr="00CC53B2">
        <w:rPr>
          <w:sz w:val="24"/>
          <w:szCs w:val="24"/>
        </w:rPr>
        <w:t>las autori</w:t>
      </w:r>
      <w:r w:rsidR="00E67346" w:rsidRPr="00CC53B2">
        <w:rPr>
          <w:sz w:val="24"/>
          <w:szCs w:val="24"/>
        </w:rPr>
        <w:t>d</w:t>
      </w:r>
      <w:r w:rsidRPr="00CC53B2">
        <w:rPr>
          <w:sz w:val="24"/>
          <w:szCs w:val="24"/>
        </w:rPr>
        <w:t>ades competentes</w:t>
      </w:r>
      <w:r w:rsidR="006335F6" w:rsidRPr="00CC53B2">
        <w:rPr>
          <w:sz w:val="24"/>
          <w:szCs w:val="24"/>
        </w:rPr>
        <w:t xml:space="preserve"> que</w:t>
      </w:r>
      <w:r w:rsidRPr="00CC53B2">
        <w:rPr>
          <w:sz w:val="24"/>
          <w:szCs w:val="24"/>
        </w:rPr>
        <w:t xml:space="preserve"> </w:t>
      </w:r>
      <w:r w:rsidR="00B662DE" w:rsidRPr="00CC53B2">
        <w:rPr>
          <w:sz w:val="24"/>
          <w:szCs w:val="24"/>
        </w:rPr>
        <w:t xml:space="preserve">así </w:t>
      </w:r>
      <w:r w:rsidRPr="00CC53B2">
        <w:rPr>
          <w:sz w:val="24"/>
          <w:szCs w:val="24"/>
        </w:rPr>
        <w:t>lo requieran.</w:t>
      </w:r>
    </w:p>
    <w:p w14:paraId="5B8CDE0E" w14:textId="77777777" w:rsidR="003E783C" w:rsidRPr="003E783C" w:rsidRDefault="003E783C" w:rsidP="003E783C">
      <w:pPr>
        <w:pStyle w:val="Prrafodelista"/>
        <w:ind w:left="426"/>
        <w:contextualSpacing/>
        <w:rPr>
          <w:sz w:val="24"/>
          <w:szCs w:val="24"/>
        </w:rPr>
      </w:pPr>
    </w:p>
    <w:p w14:paraId="69B1198B" w14:textId="321B1D3A" w:rsidR="006F36F1" w:rsidRPr="00B66211" w:rsidRDefault="006F36F1" w:rsidP="00C94D29">
      <w:pPr>
        <w:pStyle w:val="Prrafodelista"/>
        <w:numPr>
          <w:ilvl w:val="0"/>
          <w:numId w:val="10"/>
        </w:numPr>
        <w:ind w:left="426" w:hanging="426"/>
        <w:contextualSpacing/>
        <w:rPr>
          <w:sz w:val="24"/>
          <w:szCs w:val="24"/>
        </w:rPr>
      </w:pPr>
      <w:r w:rsidRPr="00B66211">
        <w:rPr>
          <w:sz w:val="24"/>
          <w:szCs w:val="24"/>
        </w:rPr>
        <w:t>Los prest</w:t>
      </w:r>
      <w:r w:rsidR="00F46B2E" w:rsidRPr="00B66211">
        <w:rPr>
          <w:sz w:val="24"/>
          <w:szCs w:val="24"/>
        </w:rPr>
        <w:t>adores del servicio se abstendrán</w:t>
      </w:r>
      <w:r w:rsidRPr="00B66211">
        <w:rPr>
          <w:sz w:val="24"/>
          <w:szCs w:val="24"/>
        </w:rPr>
        <w:t xml:space="preserve"> de cobrar valores no previstos en la regulación.</w:t>
      </w:r>
    </w:p>
    <w:p w14:paraId="718794B6" w14:textId="77777777" w:rsidR="000446C9" w:rsidRPr="00B66211" w:rsidRDefault="000446C9" w:rsidP="00C94D29">
      <w:pPr>
        <w:ind w:left="426"/>
        <w:contextualSpacing/>
      </w:pPr>
    </w:p>
    <w:p w14:paraId="103C39F1" w14:textId="784DBCB5" w:rsidR="000446C9" w:rsidRPr="00B66211" w:rsidRDefault="000446C9" w:rsidP="00C94D29">
      <w:pPr>
        <w:pStyle w:val="Prrafodelista"/>
        <w:numPr>
          <w:ilvl w:val="0"/>
          <w:numId w:val="10"/>
        </w:numPr>
        <w:ind w:left="426" w:hanging="426"/>
        <w:contextualSpacing/>
        <w:jc w:val="both"/>
        <w:rPr>
          <w:sz w:val="24"/>
          <w:szCs w:val="24"/>
        </w:rPr>
      </w:pPr>
      <w:r w:rsidRPr="00B66211">
        <w:rPr>
          <w:sz w:val="24"/>
          <w:szCs w:val="24"/>
        </w:rPr>
        <w:t>Los prestadores del servicio deberán observar las reglas establecidas en la Resolución CREG 080 de 2019 o aquella que la modifique o sustituya, de tal forma que su actuar siempre se encuentre sujeto a los fines regulatorios previstos en la presente resolución.</w:t>
      </w:r>
    </w:p>
    <w:p w14:paraId="67C63364" w14:textId="77777777" w:rsidR="000446C9" w:rsidRPr="00B66211" w:rsidRDefault="000446C9" w:rsidP="00C94D29">
      <w:pPr>
        <w:ind w:left="426"/>
        <w:contextualSpacing/>
      </w:pPr>
    </w:p>
    <w:p w14:paraId="2FAF7CFE" w14:textId="1D6B9A67" w:rsidR="00673825" w:rsidRPr="00CE75C6" w:rsidRDefault="007213EF" w:rsidP="00C94D29">
      <w:pPr>
        <w:pStyle w:val="Prrafodelista"/>
        <w:numPr>
          <w:ilvl w:val="0"/>
          <w:numId w:val="10"/>
        </w:numPr>
        <w:ind w:left="426" w:hanging="426"/>
        <w:contextualSpacing/>
        <w:jc w:val="both"/>
        <w:rPr>
          <w:sz w:val="24"/>
          <w:szCs w:val="24"/>
        </w:rPr>
      </w:pPr>
      <w:r w:rsidRPr="00CE75C6">
        <w:rPr>
          <w:sz w:val="24"/>
          <w:szCs w:val="24"/>
        </w:rPr>
        <w:t xml:space="preserve">Los prestadores del servicio deberán observar las reglas </w:t>
      </w:r>
      <w:r w:rsidR="00354C2D" w:rsidRPr="00CE75C6">
        <w:rPr>
          <w:sz w:val="24"/>
          <w:szCs w:val="24"/>
        </w:rPr>
        <w:t xml:space="preserve">aplicables a la prestación del servicio de energía eléctrica </w:t>
      </w:r>
      <w:r w:rsidR="00CF09F4" w:rsidRPr="00CE75C6">
        <w:rPr>
          <w:sz w:val="24"/>
          <w:szCs w:val="24"/>
        </w:rPr>
        <w:t>en zonas no interconectadas y los derechos de los usuarios.</w:t>
      </w:r>
    </w:p>
    <w:p w14:paraId="440F1FD5" w14:textId="77777777" w:rsidR="002E1204" w:rsidRPr="00CE75C6" w:rsidRDefault="002E1204" w:rsidP="002E1204">
      <w:pPr>
        <w:pStyle w:val="Prrafodelista"/>
        <w:ind w:left="426"/>
        <w:contextualSpacing/>
        <w:jc w:val="both"/>
        <w:rPr>
          <w:sz w:val="24"/>
          <w:szCs w:val="24"/>
        </w:rPr>
      </w:pPr>
    </w:p>
    <w:p w14:paraId="78A18708" w14:textId="50842741" w:rsidR="000446C9" w:rsidRPr="00B66211" w:rsidRDefault="000446C9" w:rsidP="00C94D29">
      <w:pPr>
        <w:pStyle w:val="Prrafodelista"/>
        <w:numPr>
          <w:ilvl w:val="0"/>
          <w:numId w:val="10"/>
        </w:numPr>
        <w:ind w:left="426" w:hanging="426"/>
        <w:contextualSpacing/>
        <w:jc w:val="both"/>
        <w:rPr>
          <w:sz w:val="24"/>
          <w:szCs w:val="24"/>
        </w:rPr>
      </w:pPr>
      <w:r w:rsidRPr="00B66211">
        <w:rPr>
          <w:sz w:val="24"/>
          <w:szCs w:val="24"/>
        </w:rPr>
        <w:t>Los agentes deberán abstenerse de utilizar mecanismos que tengan por objeto o como efecto la manipulación de información</w:t>
      </w:r>
      <w:r w:rsidR="007814F8">
        <w:rPr>
          <w:sz w:val="24"/>
          <w:szCs w:val="24"/>
        </w:rPr>
        <w:t>,</w:t>
      </w:r>
      <w:r w:rsidRPr="00B66211">
        <w:rPr>
          <w:sz w:val="24"/>
          <w:szCs w:val="24"/>
        </w:rPr>
        <w:t xml:space="preserve"> o conduzcan a error en el cálculo de los cargos </w:t>
      </w:r>
      <w:r w:rsidR="0094066C" w:rsidRPr="00B66211">
        <w:rPr>
          <w:sz w:val="24"/>
          <w:szCs w:val="24"/>
        </w:rPr>
        <w:t xml:space="preserve">aprobados </w:t>
      </w:r>
      <w:r w:rsidRPr="00B66211">
        <w:rPr>
          <w:sz w:val="24"/>
          <w:szCs w:val="24"/>
        </w:rPr>
        <w:t>por parte de esta Comisión o en la aplicación de la tarifa final a los usuarios.</w:t>
      </w:r>
    </w:p>
    <w:p w14:paraId="4BE657A1" w14:textId="77777777" w:rsidR="00FC2E6E" w:rsidRPr="00B66211" w:rsidRDefault="00FC2E6E" w:rsidP="00C94D29">
      <w:pPr>
        <w:contextualSpacing/>
        <w:jc w:val="both"/>
      </w:pPr>
    </w:p>
    <w:p w14:paraId="12CE8E7A" w14:textId="14084EFE" w:rsidR="00AA016A" w:rsidRPr="001825C9" w:rsidRDefault="00AA016A" w:rsidP="00C94D29">
      <w:pPr>
        <w:pStyle w:val="Ttulo1"/>
        <w:contextualSpacing/>
      </w:pPr>
      <w:r w:rsidRPr="001825C9">
        <w:t>CAPITULO II</w:t>
      </w:r>
      <w:r w:rsidR="00FC2E6E" w:rsidRPr="001825C9">
        <w:t>I</w:t>
      </w:r>
    </w:p>
    <w:p w14:paraId="193CAA13" w14:textId="77777777" w:rsidR="00AA016A" w:rsidRPr="001825C9" w:rsidRDefault="00AA016A" w:rsidP="00C94D29">
      <w:pPr>
        <w:contextualSpacing/>
      </w:pPr>
    </w:p>
    <w:p w14:paraId="475566E1" w14:textId="58739293" w:rsidR="00AA016A" w:rsidRPr="001825C9" w:rsidRDefault="00AA016A" w:rsidP="00C94D29">
      <w:pPr>
        <w:pStyle w:val="Ttulo1"/>
        <w:contextualSpacing/>
      </w:pPr>
      <w:r w:rsidRPr="001825C9">
        <w:t>FÓRMULA TARIFARIA GENERAL</w:t>
      </w:r>
      <w:r w:rsidR="001740B0" w:rsidRPr="001825C9">
        <w:t xml:space="preserve"> PARA EL SERVICIO PÚBLICO DE ENERGÍA ELÉCTRICA </w:t>
      </w:r>
      <w:r w:rsidR="00F639A7" w:rsidRPr="001825C9">
        <w:t xml:space="preserve">CON </w:t>
      </w:r>
      <w:r w:rsidR="001740B0" w:rsidRPr="001825C9">
        <w:t>SOLUCIONES INDIVIDUALES</w:t>
      </w:r>
      <w:r w:rsidR="00F639A7" w:rsidRPr="001825C9">
        <w:t xml:space="preserve"> SOLARES FOTOVOLTAICAS</w:t>
      </w:r>
    </w:p>
    <w:p w14:paraId="32028B76" w14:textId="77777777" w:rsidR="00797D12" w:rsidRPr="00B66211" w:rsidRDefault="00797D12" w:rsidP="00C94D29">
      <w:pPr>
        <w:contextualSpacing/>
        <w:jc w:val="both"/>
      </w:pPr>
    </w:p>
    <w:p w14:paraId="1F1E4536" w14:textId="1F2594E3" w:rsidR="000A379C" w:rsidRPr="006113EA" w:rsidRDefault="007273A4" w:rsidP="00C94D29">
      <w:pPr>
        <w:pStyle w:val="Ttulo7"/>
        <w:numPr>
          <w:ilvl w:val="0"/>
          <w:numId w:val="26"/>
        </w:numPr>
        <w:tabs>
          <w:tab w:val="num" w:pos="360"/>
        </w:tabs>
        <w:spacing w:before="0" w:after="0"/>
        <w:contextualSpacing/>
        <w:jc w:val="both"/>
        <w:rPr>
          <w:rFonts w:ascii="Bookman Old Style" w:hAnsi="Bookman Old Style"/>
        </w:rPr>
      </w:pPr>
      <w:r w:rsidRPr="006113EA">
        <w:rPr>
          <w:rFonts w:ascii="Bookman Old Style" w:hAnsi="Bookman Old Style"/>
          <w:b/>
        </w:rPr>
        <w:t xml:space="preserve">Costo unitario de prestación del servicio de energía eléctrica mediante soluciones individuales solares </w:t>
      </w:r>
      <w:r w:rsidR="004024F2" w:rsidRPr="006113EA">
        <w:rPr>
          <w:rFonts w:ascii="Bookman Old Style" w:hAnsi="Bookman Old Style"/>
          <w:b/>
        </w:rPr>
        <w:t>fotovoltaicas</w:t>
      </w:r>
      <w:r w:rsidR="00773FF0" w:rsidRPr="006113EA">
        <w:rPr>
          <w:rFonts w:ascii="Bookman Old Style" w:hAnsi="Bookman Old Style"/>
          <w:b/>
        </w:rPr>
        <w:t>.</w:t>
      </w:r>
      <w:r w:rsidR="00A932E4" w:rsidRPr="006113EA">
        <w:rPr>
          <w:rFonts w:ascii="Bookman Old Style" w:hAnsi="Bookman Old Style"/>
          <w:b/>
        </w:rPr>
        <w:t xml:space="preserve"> </w:t>
      </w:r>
      <w:r w:rsidR="00445E58" w:rsidRPr="006113EA">
        <w:rPr>
          <w:rFonts w:ascii="Bookman Old Style" w:hAnsi="Bookman Old Style"/>
        </w:rPr>
        <w:t>El costo unitario de prestación del servicio</w:t>
      </w:r>
      <w:r w:rsidR="00A441A4" w:rsidRPr="006113EA">
        <w:rPr>
          <w:rFonts w:ascii="Bookman Old Style" w:hAnsi="Bookman Old Style"/>
        </w:rPr>
        <w:t xml:space="preserve">, </w:t>
      </w:r>
      <w:r w:rsidR="00A468BF" w:rsidRPr="006113EA">
        <w:rPr>
          <w:rFonts w:ascii="Bookman Old Style" w:hAnsi="Bookman Old Style"/>
        </w:rPr>
        <w:t xml:space="preserve">definido mediante </w:t>
      </w:r>
      <w:r w:rsidR="00DF56B1" w:rsidRPr="008C1584">
        <w:rPr>
          <w:rFonts w:ascii="Bookman Old Style" w:hAnsi="Bookman Old Style"/>
        </w:rPr>
        <w:t xml:space="preserve">un cargo </w:t>
      </w:r>
      <w:r w:rsidR="00F920AD" w:rsidRPr="008C1584">
        <w:rPr>
          <w:rFonts w:ascii="Bookman Old Style" w:hAnsi="Bookman Old Style"/>
        </w:rPr>
        <w:t xml:space="preserve">por </w:t>
      </w:r>
      <w:r w:rsidR="00DF56B1" w:rsidRPr="008C1584">
        <w:rPr>
          <w:rFonts w:ascii="Bookman Old Style" w:hAnsi="Bookman Old Style"/>
        </w:rPr>
        <w:t>disponibilidad</w:t>
      </w:r>
      <w:r w:rsidR="00BC6D35" w:rsidRPr="008C1584">
        <w:rPr>
          <w:rFonts w:ascii="Bookman Old Style" w:hAnsi="Bookman Old Style"/>
        </w:rPr>
        <w:t>,</w:t>
      </w:r>
      <w:r w:rsidR="00DF56B1" w:rsidRPr="006113EA">
        <w:rPr>
          <w:rFonts w:ascii="Bookman Old Style" w:hAnsi="Bookman Old Style"/>
        </w:rPr>
        <w:t xml:space="preserve"> </w:t>
      </w:r>
      <w:r w:rsidR="007A02B4" w:rsidRPr="006113EA">
        <w:rPr>
          <w:rFonts w:ascii="Bookman Old Style" w:hAnsi="Bookman Old Style"/>
        </w:rPr>
        <w:t>debe calcularse por cada SISFV</w:t>
      </w:r>
      <w:r w:rsidR="00500E0C" w:rsidRPr="006113EA">
        <w:rPr>
          <w:rFonts w:ascii="Bookman Old Style" w:hAnsi="Bookman Old Style"/>
        </w:rPr>
        <w:t>.</w:t>
      </w:r>
      <w:r w:rsidR="00281AD6" w:rsidRPr="006113EA">
        <w:rPr>
          <w:rFonts w:ascii="Bookman Old Style" w:hAnsi="Bookman Old Style"/>
        </w:rPr>
        <w:t xml:space="preserve"> Su valor dependerá </w:t>
      </w:r>
      <w:r w:rsidR="00B40262" w:rsidRPr="006113EA">
        <w:rPr>
          <w:rFonts w:ascii="Bookman Old Style" w:hAnsi="Bookman Old Style"/>
        </w:rPr>
        <w:t>de</w:t>
      </w:r>
      <w:r w:rsidR="00CE79F4" w:rsidRPr="006113EA">
        <w:rPr>
          <w:rFonts w:ascii="Bookman Old Style" w:hAnsi="Bookman Old Style"/>
        </w:rPr>
        <w:t xml:space="preserve"> </w:t>
      </w:r>
      <w:r w:rsidR="001920A7" w:rsidRPr="006113EA">
        <w:rPr>
          <w:rFonts w:ascii="Bookman Old Style" w:hAnsi="Bookman Old Style"/>
        </w:rPr>
        <w:t>l</w:t>
      </w:r>
      <w:r w:rsidR="00CE79F4" w:rsidRPr="006113EA">
        <w:rPr>
          <w:rFonts w:ascii="Bookman Old Style" w:hAnsi="Bookman Old Style"/>
        </w:rPr>
        <w:t>a ubicación</w:t>
      </w:r>
      <w:r w:rsidR="00967427" w:rsidRPr="006113EA">
        <w:rPr>
          <w:rFonts w:ascii="Bookman Old Style" w:hAnsi="Bookman Old Style"/>
        </w:rPr>
        <w:t xml:space="preserve"> de la SISFV </w:t>
      </w:r>
      <w:r w:rsidR="005753EB" w:rsidRPr="006113EA">
        <w:rPr>
          <w:rFonts w:ascii="Bookman Old Style" w:hAnsi="Bookman Old Style"/>
        </w:rPr>
        <w:t xml:space="preserve">y </w:t>
      </w:r>
      <w:r w:rsidR="00E86ACA" w:rsidRPr="006113EA">
        <w:rPr>
          <w:rFonts w:ascii="Bookman Old Style" w:hAnsi="Bookman Old Style"/>
        </w:rPr>
        <w:t>d</w:t>
      </w:r>
      <w:r w:rsidR="00B40262" w:rsidRPr="006113EA">
        <w:rPr>
          <w:rFonts w:ascii="Bookman Old Style" w:hAnsi="Bookman Old Style"/>
        </w:rPr>
        <w:t>el nivel de servicio</w:t>
      </w:r>
      <w:r w:rsidR="00D31CAE" w:rsidRPr="006113EA">
        <w:rPr>
          <w:rFonts w:ascii="Bookman Old Style" w:hAnsi="Bookman Old Style"/>
        </w:rPr>
        <w:t xml:space="preserve"> </w:t>
      </w:r>
      <w:r w:rsidR="005753EB" w:rsidRPr="006113EA">
        <w:rPr>
          <w:rFonts w:ascii="Bookman Old Style" w:hAnsi="Bookman Old Style"/>
        </w:rPr>
        <w:t>acordado con el usuario</w:t>
      </w:r>
      <w:r w:rsidR="003F2C59" w:rsidRPr="006113EA">
        <w:rPr>
          <w:rFonts w:ascii="Bookman Old Style" w:hAnsi="Bookman Old Style"/>
        </w:rPr>
        <w:t>.</w:t>
      </w:r>
      <w:r w:rsidR="00305CC4" w:rsidRPr="006113EA">
        <w:rPr>
          <w:rFonts w:ascii="Bookman Old Style" w:hAnsi="Bookman Old Style"/>
        </w:rPr>
        <w:t xml:space="preserve"> </w:t>
      </w:r>
      <w:r w:rsidR="00500E0C" w:rsidRPr="006113EA">
        <w:rPr>
          <w:rFonts w:ascii="Bookman Old Style" w:hAnsi="Bookman Old Style"/>
        </w:rPr>
        <w:t>S</w:t>
      </w:r>
      <w:r w:rsidR="00CD2F10" w:rsidRPr="006113EA">
        <w:rPr>
          <w:rFonts w:ascii="Bookman Old Style" w:hAnsi="Bookman Old Style"/>
        </w:rPr>
        <w:t xml:space="preserve">e </w:t>
      </w:r>
      <w:r w:rsidR="00445E58" w:rsidRPr="006113EA">
        <w:rPr>
          <w:rFonts w:ascii="Bookman Old Style" w:hAnsi="Bookman Old Style"/>
        </w:rPr>
        <w:t xml:space="preserve">expresa en </w:t>
      </w:r>
      <w:r w:rsidR="00CD2F10" w:rsidRPr="006113EA">
        <w:rPr>
          <w:rFonts w:ascii="Bookman Old Style" w:hAnsi="Bookman Old Style"/>
        </w:rPr>
        <w:t xml:space="preserve">pesos al </w:t>
      </w:r>
      <w:r w:rsidR="009A3835" w:rsidRPr="006113EA">
        <w:rPr>
          <w:rFonts w:ascii="Bookman Old Style" w:hAnsi="Bookman Old Style"/>
        </w:rPr>
        <w:t xml:space="preserve">día </w:t>
      </w:r>
      <w:r w:rsidR="00CD2F10" w:rsidRPr="006113EA">
        <w:rPr>
          <w:rFonts w:ascii="Bookman Old Style" w:hAnsi="Bookman Old Style"/>
        </w:rPr>
        <w:t>(</w:t>
      </w:r>
      <w:r w:rsidR="00445E58" w:rsidRPr="006113EA">
        <w:rPr>
          <w:rFonts w:ascii="Bookman Old Style" w:hAnsi="Bookman Old Style"/>
        </w:rPr>
        <w:t>$/</w:t>
      </w:r>
      <w:r w:rsidR="009A3835" w:rsidRPr="006113EA">
        <w:rPr>
          <w:rFonts w:ascii="Bookman Old Style" w:hAnsi="Bookman Old Style"/>
        </w:rPr>
        <w:t>día</w:t>
      </w:r>
      <w:r w:rsidR="00CD2F10" w:rsidRPr="006113EA">
        <w:rPr>
          <w:rFonts w:ascii="Bookman Old Style" w:hAnsi="Bookman Old Style"/>
        </w:rPr>
        <w:t>)</w:t>
      </w:r>
      <w:r w:rsidR="00445E58" w:rsidRPr="006113EA">
        <w:rPr>
          <w:rFonts w:ascii="Bookman Old Style" w:hAnsi="Bookman Old Style"/>
        </w:rPr>
        <w:t xml:space="preserve"> </w:t>
      </w:r>
      <w:r w:rsidR="00AB7B6E" w:rsidRPr="006113EA">
        <w:rPr>
          <w:rFonts w:ascii="Bookman Old Style" w:hAnsi="Bookman Old Style"/>
        </w:rPr>
        <w:t xml:space="preserve">y su cálculo </w:t>
      </w:r>
      <w:r w:rsidR="00AF39B3" w:rsidRPr="006113EA">
        <w:rPr>
          <w:rFonts w:ascii="Bookman Old Style" w:hAnsi="Bookman Old Style"/>
        </w:rPr>
        <w:t xml:space="preserve">se efectuará </w:t>
      </w:r>
      <w:r w:rsidR="009A3835" w:rsidRPr="006113EA">
        <w:rPr>
          <w:rFonts w:ascii="Bookman Old Style" w:hAnsi="Bookman Old Style"/>
        </w:rPr>
        <w:t xml:space="preserve">aplicando </w:t>
      </w:r>
      <w:r w:rsidR="007814F8">
        <w:rPr>
          <w:rFonts w:ascii="Bookman Old Style" w:hAnsi="Bookman Old Style"/>
        </w:rPr>
        <w:t xml:space="preserve">la </w:t>
      </w:r>
      <w:r w:rsidR="00AF39B3" w:rsidRPr="006113EA">
        <w:rPr>
          <w:rFonts w:ascii="Bookman Old Style" w:hAnsi="Bookman Old Style"/>
        </w:rPr>
        <w:t>siguiente fórm</w:t>
      </w:r>
      <w:r w:rsidR="00DE24DB" w:rsidRPr="006113EA">
        <w:rPr>
          <w:rFonts w:ascii="Bookman Old Style" w:hAnsi="Bookman Old Style"/>
        </w:rPr>
        <w:t>ula:</w:t>
      </w:r>
    </w:p>
    <w:p w14:paraId="33E2E02F" w14:textId="77777777" w:rsidR="004D1C68" w:rsidRPr="00B66211" w:rsidRDefault="004D1C68" w:rsidP="00C94D29">
      <w:pPr>
        <w:contextualSpacing/>
        <w:jc w:val="both"/>
      </w:pPr>
    </w:p>
    <w:p w14:paraId="5A4E8FF6" w14:textId="61555181" w:rsidR="004D1C68" w:rsidRPr="00B66211" w:rsidRDefault="005E2372" w:rsidP="00C94D29">
      <w:pPr>
        <w:contextualSpacing/>
        <w:rPr>
          <w:b/>
        </w:rPr>
      </w:pPr>
      <m:oMathPara>
        <m:oMath>
          <m:sSub>
            <m:sSubPr>
              <m:ctrlPr>
                <w:rPr>
                  <w:rFonts w:ascii="Cambria Math" w:hAnsi="Cambria Math"/>
                  <w:i/>
                </w:rPr>
              </m:ctrlPr>
            </m:sSubPr>
            <m:e>
              <m:r>
                <w:rPr>
                  <w:rFonts w:ascii="Cambria Math" w:hAnsi="Cambria Math"/>
                </w:rPr>
                <m:t>CU</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m</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m</m:t>
              </m:r>
            </m:sub>
          </m:sSub>
        </m:oMath>
      </m:oMathPara>
    </w:p>
    <w:p w14:paraId="717DDE7F" w14:textId="72813602" w:rsidR="00556DFF" w:rsidRPr="00B66211" w:rsidRDefault="00556DFF" w:rsidP="00C94D29">
      <w:pPr>
        <w:contextualSpacing/>
      </w:pPr>
    </w:p>
    <w:p w14:paraId="04AC9EFE" w14:textId="5E2E82B0" w:rsidR="00F46B2B" w:rsidRPr="00B66211" w:rsidRDefault="00F46B2B" w:rsidP="00C94D29">
      <w:pPr>
        <w:contextualSpacing/>
      </w:pPr>
      <w:r w:rsidRPr="00B66211">
        <w:t>En donde:</w:t>
      </w:r>
    </w:p>
    <w:p w14:paraId="047833E4" w14:textId="77777777" w:rsidR="00F46B2B" w:rsidRPr="00B66211" w:rsidRDefault="00F46B2B" w:rsidP="00C94D29">
      <w:pPr>
        <w:contextualSpacing/>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288"/>
        <w:gridCol w:w="8043"/>
      </w:tblGrid>
      <w:tr w:rsidR="00142090" w:rsidRPr="00B66211" w14:paraId="32DBC31C" w14:textId="77777777" w:rsidTr="00231C5E">
        <w:tc>
          <w:tcPr>
            <w:tcW w:w="1025" w:type="dxa"/>
          </w:tcPr>
          <w:p w14:paraId="5A8A9850" w14:textId="08B34F2D" w:rsidR="00142090" w:rsidRPr="00B66211"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CU</m:t>
                    </m:r>
                  </m:e>
                  <m:sub>
                    <m:r>
                      <w:rPr>
                        <w:rFonts w:ascii="Cambria Math" w:hAnsi="Cambria Math"/>
                      </w:rPr>
                      <m:t>m</m:t>
                    </m:r>
                  </m:sub>
                </m:sSub>
              </m:oMath>
            </m:oMathPara>
          </w:p>
        </w:tc>
        <w:tc>
          <w:tcPr>
            <w:tcW w:w="288" w:type="dxa"/>
          </w:tcPr>
          <w:p w14:paraId="12020AC9" w14:textId="77777777" w:rsidR="00142090" w:rsidRPr="00B66211" w:rsidRDefault="00142090" w:rsidP="00C94D29">
            <w:pPr>
              <w:ind w:left="-103"/>
              <w:contextualSpacing/>
              <w:jc w:val="center"/>
            </w:pPr>
            <w:r w:rsidRPr="00B66211">
              <w:t>:</w:t>
            </w:r>
          </w:p>
        </w:tc>
        <w:tc>
          <w:tcPr>
            <w:tcW w:w="8043" w:type="dxa"/>
          </w:tcPr>
          <w:p w14:paraId="73646CB3" w14:textId="12528552" w:rsidR="00142090" w:rsidRPr="00B66211" w:rsidRDefault="00C437EB" w:rsidP="00C94D29">
            <w:pPr>
              <w:ind w:left="18"/>
              <w:contextualSpacing/>
              <w:jc w:val="both"/>
            </w:pPr>
            <w:r w:rsidRPr="00B66211">
              <w:t>C</w:t>
            </w:r>
            <w:r w:rsidR="00A441A4">
              <w:t xml:space="preserve">osto unitario de prestación del servicio </w:t>
            </w:r>
            <w:r w:rsidR="005C35FC">
              <w:t xml:space="preserve">de energía eléctrica </w:t>
            </w:r>
            <w:r w:rsidR="00A441A4">
              <w:t xml:space="preserve">mediante SISFV, aplicable para el mes </w:t>
            </w:r>
            <w:r w:rsidR="00A441A4" w:rsidRPr="00A441A4">
              <w:rPr>
                <w:i/>
              </w:rPr>
              <w:t>m</w:t>
            </w:r>
            <w:r w:rsidR="00A441A4">
              <w:t xml:space="preserve">, </w:t>
            </w:r>
            <w:r w:rsidR="00142090" w:rsidRPr="00B66211">
              <w:t>expresad</w:t>
            </w:r>
            <w:r w:rsidR="00C90C49" w:rsidRPr="00B66211">
              <w:t>o</w:t>
            </w:r>
            <w:r w:rsidR="00142090" w:rsidRPr="00B66211">
              <w:t xml:space="preserve"> en pesos al </w:t>
            </w:r>
            <w:r w:rsidR="00714731" w:rsidRPr="00B66211">
              <w:t xml:space="preserve">día </w:t>
            </w:r>
            <w:r w:rsidR="008D10F4" w:rsidRPr="00B66211">
              <w:t>($/</w:t>
            </w:r>
            <w:r w:rsidR="00714731" w:rsidRPr="00B66211">
              <w:t>día</w:t>
            </w:r>
            <w:r w:rsidR="008D10F4" w:rsidRPr="00B66211">
              <w:t>)</w:t>
            </w:r>
            <w:r w:rsidR="00142090" w:rsidRPr="00B66211">
              <w:t>.</w:t>
            </w:r>
          </w:p>
          <w:p w14:paraId="6EAB0B42" w14:textId="77777777" w:rsidR="00142090" w:rsidRPr="00B66211" w:rsidRDefault="00142090" w:rsidP="00C94D29">
            <w:pPr>
              <w:ind w:left="18"/>
              <w:contextualSpacing/>
              <w:jc w:val="both"/>
            </w:pPr>
          </w:p>
        </w:tc>
      </w:tr>
      <w:tr w:rsidR="00A441A4" w:rsidRPr="00B66211" w14:paraId="36DD3ABF" w14:textId="77777777" w:rsidTr="00231C5E">
        <w:tc>
          <w:tcPr>
            <w:tcW w:w="1025" w:type="dxa"/>
          </w:tcPr>
          <w:p w14:paraId="2A3C1787" w14:textId="06B8F5E9" w:rsidR="00A441A4" w:rsidRPr="00A441A4"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m</m:t>
                    </m:r>
                  </m:sub>
                </m:sSub>
              </m:oMath>
            </m:oMathPara>
          </w:p>
        </w:tc>
        <w:tc>
          <w:tcPr>
            <w:tcW w:w="288" w:type="dxa"/>
          </w:tcPr>
          <w:p w14:paraId="5E5F579B" w14:textId="00BEA019" w:rsidR="00A441A4" w:rsidRPr="00B66211" w:rsidRDefault="00A441A4" w:rsidP="00C94D29">
            <w:pPr>
              <w:ind w:left="-103"/>
              <w:contextualSpacing/>
              <w:jc w:val="center"/>
            </w:pPr>
            <w:r w:rsidRPr="00B66211">
              <w:t>:</w:t>
            </w:r>
          </w:p>
        </w:tc>
        <w:tc>
          <w:tcPr>
            <w:tcW w:w="8043" w:type="dxa"/>
          </w:tcPr>
          <w:p w14:paraId="2C109841" w14:textId="77777777" w:rsidR="00A441A4" w:rsidRPr="00B66211" w:rsidRDefault="00A441A4" w:rsidP="00C94D29">
            <w:pPr>
              <w:ind w:left="18"/>
              <w:contextualSpacing/>
              <w:jc w:val="both"/>
            </w:pPr>
            <w:r w:rsidRPr="00B66211">
              <w:t xml:space="preserve">Cargo máximo de inversión, aplicable durante el mes </w:t>
            </w:r>
            <w:r w:rsidRPr="00B66211">
              <w:rPr>
                <w:i/>
              </w:rPr>
              <w:t>m</w:t>
            </w:r>
            <w:r w:rsidRPr="00B66211">
              <w:t xml:space="preserve"> de prestación del servicio, expresado en pesos al día ($/día).</w:t>
            </w:r>
          </w:p>
          <w:p w14:paraId="0AB0ACAE" w14:textId="77777777" w:rsidR="00A441A4" w:rsidRPr="00B66211" w:rsidRDefault="00A441A4" w:rsidP="00C94D29">
            <w:pPr>
              <w:ind w:left="18"/>
              <w:contextualSpacing/>
              <w:jc w:val="both"/>
            </w:pPr>
          </w:p>
        </w:tc>
      </w:tr>
      <w:tr w:rsidR="00142090" w:rsidRPr="00B66211" w14:paraId="156D3D9B" w14:textId="77777777" w:rsidTr="00231C5E">
        <w:tc>
          <w:tcPr>
            <w:tcW w:w="1025" w:type="dxa"/>
          </w:tcPr>
          <w:p w14:paraId="7C7C9888" w14:textId="71EB7493" w:rsidR="00142090" w:rsidRPr="00B66211" w:rsidRDefault="005E2372" w:rsidP="00C94D29">
            <w:pPr>
              <w:contextualSpacing/>
              <w:rPr>
                <w:rFonts w:eastAsia="Calibri"/>
                <w:i/>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m</m:t>
                    </m:r>
                  </m:sub>
                </m:sSub>
              </m:oMath>
            </m:oMathPara>
          </w:p>
        </w:tc>
        <w:tc>
          <w:tcPr>
            <w:tcW w:w="288" w:type="dxa"/>
          </w:tcPr>
          <w:p w14:paraId="52F4A73F" w14:textId="77777777" w:rsidR="00142090" w:rsidRPr="00B66211" w:rsidRDefault="00142090" w:rsidP="00C94D29">
            <w:pPr>
              <w:ind w:left="-103"/>
              <w:contextualSpacing/>
              <w:jc w:val="center"/>
            </w:pPr>
            <w:r w:rsidRPr="00B66211">
              <w:t>:</w:t>
            </w:r>
          </w:p>
        </w:tc>
        <w:tc>
          <w:tcPr>
            <w:tcW w:w="8043" w:type="dxa"/>
          </w:tcPr>
          <w:p w14:paraId="5A686D24" w14:textId="4D4AB51C" w:rsidR="00142090" w:rsidRPr="00B66211" w:rsidRDefault="00E61D68" w:rsidP="00C94D29">
            <w:pPr>
              <w:ind w:left="18"/>
              <w:contextualSpacing/>
              <w:jc w:val="both"/>
            </w:pPr>
            <w:r w:rsidRPr="00B66211">
              <w:t xml:space="preserve">Cargo máximo </w:t>
            </w:r>
            <w:r w:rsidR="00CE53AB" w:rsidRPr="00B66211">
              <w:t xml:space="preserve">por administración, mantenimiento y gestión </w:t>
            </w:r>
            <w:r w:rsidRPr="00B66211">
              <w:t xml:space="preserve">comercial, </w:t>
            </w:r>
            <w:r w:rsidR="00920627" w:rsidRPr="00B66211">
              <w:t xml:space="preserve">aplicable durante </w:t>
            </w:r>
            <w:r w:rsidR="00F34F60" w:rsidRPr="00B66211">
              <w:t xml:space="preserve">el mes </w:t>
            </w:r>
            <w:r w:rsidR="00F34F60" w:rsidRPr="00B66211">
              <w:rPr>
                <w:i/>
              </w:rPr>
              <w:t>m</w:t>
            </w:r>
            <w:r w:rsidR="00F34F60" w:rsidRPr="00B66211">
              <w:t xml:space="preserve"> de prestación del servicio</w:t>
            </w:r>
            <w:r w:rsidR="00142090" w:rsidRPr="00B66211">
              <w:t>, expresad</w:t>
            </w:r>
            <w:r w:rsidR="00F34F60" w:rsidRPr="00B66211">
              <w:t>o</w:t>
            </w:r>
            <w:r w:rsidR="00142090" w:rsidRPr="00B66211">
              <w:t xml:space="preserve"> en pesos al </w:t>
            </w:r>
            <w:r w:rsidR="00920627" w:rsidRPr="00B66211">
              <w:t xml:space="preserve">día </w:t>
            </w:r>
            <w:r w:rsidR="00F34F60" w:rsidRPr="00B66211">
              <w:t>($/</w:t>
            </w:r>
            <w:r w:rsidR="00920627" w:rsidRPr="00B66211">
              <w:t>día</w:t>
            </w:r>
            <w:r w:rsidR="00F34F60" w:rsidRPr="00B66211">
              <w:t>).</w:t>
            </w:r>
          </w:p>
          <w:p w14:paraId="1C7A286A" w14:textId="4854059F" w:rsidR="00A0105F" w:rsidRPr="00B66211" w:rsidRDefault="00A0105F" w:rsidP="00C94D29">
            <w:pPr>
              <w:ind w:left="18"/>
              <w:contextualSpacing/>
              <w:jc w:val="both"/>
            </w:pPr>
          </w:p>
        </w:tc>
      </w:tr>
      <w:tr w:rsidR="00E71E28" w:rsidRPr="00B66211" w14:paraId="445A75CE" w14:textId="77777777" w:rsidTr="00231C5E">
        <w:tc>
          <w:tcPr>
            <w:tcW w:w="1025" w:type="dxa"/>
          </w:tcPr>
          <w:p w14:paraId="0DC750EE" w14:textId="7878C461" w:rsidR="00E71E28" w:rsidRPr="00B66211" w:rsidRDefault="00E15CC8" w:rsidP="00C94D29">
            <w:pPr>
              <w:contextualSpacing/>
              <w:rPr>
                <w:rFonts w:eastAsia="Calibri"/>
                <w:i/>
              </w:rPr>
            </w:pPr>
            <m:oMathPara>
              <m:oMathParaPr>
                <m:jc m:val="left"/>
              </m:oMathParaPr>
              <m:oMath>
                <m:r>
                  <w:rPr>
                    <w:rFonts w:ascii="Cambria Math" w:hAnsi="Cambria Math"/>
                  </w:rPr>
                  <m:t>m</m:t>
                </m:r>
              </m:oMath>
            </m:oMathPara>
          </w:p>
        </w:tc>
        <w:tc>
          <w:tcPr>
            <w:tcW w:w="288" w:type="dxa"/>
          </w:tcPr>
          <w:p w14:paraId="327882D8" w14:textId="3604D5DE" w:rsidR="00E71E28" w:rsidRPr="00B66211" w:rsidRDefault="00E15CC8" w:rsidP="00C94D29">
            <w:pPr>
              <w:ind w:left="-103"/>
              <w:contextualSpacing/>
              <w:jc w:val="center"/>
            </w:pPr>
            <w:r w:rsidRPr="00B66211">
              <w:t>:</w:t>
            </w:r>
          </w:p>
        </w:tc>
        <w:tc>
          <w:tcPr>
            <w:tcW w:w="8043" w:type="dxa"/>
          </w:tcPr>
          <w:p w14:paraId="54405DC7" w14:textId="280FEBBB" w:rsidR="00E15CC8" w:rsidRPr="00B66211" w:rsidRDefault="00E15CC8" w:rsidP="003C0776">
            <w:pPr>
              <w:ind w:left="18"/>
              <w:contextualSpacing/>
              <w:jc w:val="both"/>
            </w:pPr>
            <w:r w:rsidRPr="00B66211">
              <w:t xml:space="preserve">Mes </w:t>
            </w:r>
            <w:r w:rsidR="00470C31" w:rsidRPr="00B66211">
              <w:t xml:space="preserve">para el que </w:t>
            </w:r>
            <w:r w:rsidR="001E4162">
              <w:t xml:space="preserve">se calcula y </w:t>
            </w:r>
            <w:r w:rsidR="00470C31" w:rsidRPr="00B66211">
              <w:t xml:space="preserve">aplica el </w:t>
            </w:r>
            <w:r w:rsidR="00E20ADE" w:rsidRPr="00B66211">
              <w:t>costo unitario</w:t>
            </w:r>
            <w:r w:rsidRPr="00B66211">
              <w:t>.</w:t>
            </w:r>
          </w:p>
        </w:tc>
      </w:tr>
    </w:tbl>
    <w:p w14:paraId="1B415DA3" w14:textId="09C43399" w:rsidR="0025660F" w:rsidRPr="007A68C4" w:rsidRDefault="0025660F" w:rsidP="0025660F">
      <w:pPr>
        <w:pStyle w:val="Ttulo7"/>
        <w:numPr>
          <w:ilvl w:val="0"/>
          <w:numId w:val="26"/>
        </w:numPr>
        <w:tabs>
          <w:tab w:val="num" w:pos="360"/>
        </w:tabs>
        <w:spacing w:before="0" w:after="0"/>
        <w:contextualSpacing/>
        <w:jc w:val="both"/>
        <w:rPr>
          <w:rFonts w:ascii="Bookman Old Style" w:hAnsi="Bookman Old Style"/>
        </w:rPr>
      </w:pPr>
      <w:r w:rsidRPr="007A68C4">
        <w:rPr>
          <w:rFonts w:ascii="Bookman Old Style" w:hAnsi="Bookman Old Style"/>
          <w:b/>
        </w:rPr>
        <w:t xml:space="preserve">Costo unitario de prestación del servicio de energía eléctrica mediante soluciones individuales solares fotovoltaicas para esquemas de facturación prepago. </w:t>
      </w:r>
      <w:r w:rsidRPr="007A68C4">
        <w:rPr>
          <w:rFonts w:ascii="Bookman Old Style" w:hAnsi="Bookman Old Style"/>
        </w:rPr>
        <w:t>El costo unitario de prestación del servicio</w:t>
      </w:r>
      <w:r w:rsidR="00EF5F44" w:rsidRPr="007A68C4">
        <w:rPr>
          <w:rFonts w:ascii="Bookman Old Style" w:hAnsi="Bookman Old Style"/>
        </w:rPr>
        <w:t xml:space="preserve"> para esquemas de facturación prepago </w:t>
      </w:r>
      <w:r w:rsidRPr="007A68C4">
        <w:rPr>
          <w:rFonts w:ascii="Bookman Old Style" w:hAnsi="Bookman Old Style"/>
        </w:rPr>
        <w:t xml:space="preserve">dependerá de la ubicación de la SISFV y del nivel de servicio acordado con el usuario. Se expresa en pesos </w:t>
      </w:r>
      <w:r w:rsidR="004F6376" w:rsidRPr="007A68C4">
        <w:rPr>
          <w:rFonts w:ascii="Bookman Old Style" w:hAnsi="Bookman Old Style"/>
        </w:rPr>
        <w:t xml:space="preserve">por kilovatio hora </w:t>
      </w:r>
      <w:r w:rsidRPr="007A68C4">
        <w:rPr>
          <w:rFonts w:ascii="Bookman Old Style" w:hAnsi="Bookman Old Style"/>
        </w:rPr>
        <w:t>($/</w:t>
      </w:r>
      <w:r w:rsidR="004F6376" w:rsidRPr="007A68C4">
        <w:rPr>
          <w:rFonts w:ascii="Bookman Old Style" w:hAnsi="Bookman Old Style"/>
        </w:rPr>
        <w:t>kWh</w:t>
      </w:r>
      <w:r w:rsidRPr="007A68C4">
        <w:rPr>
          <w:rFonts w:ascii="Bookman Old Style" w:hAnsi="Bookman Old Style"/>
        </w:rPr>
        <w:t>) y su cálculo se efectuará aplicando la siguiente fórmula:</w:t>
      </w:r>
    </w:p>
    <w:p w14:paraId="2FFCFC6B" w14:textId="77777777" w:rsidR="003B269B" w:rsidRPr="007A68C4" w:rsidRDefault="003B269B" w:rsidP="003B269B">
      <w:pPr>
        <w:contextualSpacing/>
        <w:jc w:val="both"/>
      </w:pPr>
    </w:p>
    <w:p w14:paraId="176C66D8" w14:textId="6A393259" w:rsidR="003B269B" w:rsidRPr="007A68C4" w:rsidRDefault="005E2372" w:rsidP="003B269B">
      <w:pPr>
        <w:contextualSpacing/>
        <w:rPr>
          <w:b/>
        </w:rPr>
      </w:pPr>
      <m:oMathPara>
        <m:oMath>
          <m:sSub>
            <m:sSubPr>
              <m:ctrlPr>
                <w:rPr>
                  <w:rFonts w:ascii="Cambria Math" w:hAnsi="Cambria Math"/>
                  <w:i/>
                </w:rPr>
              </m:ctrlPr>
            </m:sSubPr>
            <m:e>
              <m:r>
                <w:rPr>
                  <w:rFonts w:ascii="Cambria Math" w:hAnsi="Cambria Math"/>
                </w:rPr>
                <m:t>CU</m:t>
              </m:r>
            </m:e>
            <m:sub>
              <m:r>
                <w:rPr>
                  <w:rFonts w:ascii="Cambria Math" w:hAnsi="Cambria Math"/>
                </w:rPr>
                <m:t>PR,Nds,m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CU</m:t>
                  </m:r>
                </m:e>
                <m:sub>
                  <m:r>
                    <w:rPr>
                      <w:rFonts w:ascii="Cambria Math" w:hAnsi="Cambria Math"/>
                    </w:rPr>
                    <m:t>m</m:t>
                  </m:r>
                </m:sub>
              </m:sSub>
              <m:r>
                <w:rPr>
                  <w:rFonts w:ascii="Cambria Math" w:eastAsiaTheme="minorEastAsia" w:hAnsi="Cambria Math"/>
                </w:rPr>
                <m:t>×1000</m:t>
              </m:r>
            </m:num>
            <m:den>
              <m:r>
                <w:rPr>
                  <w:rFonts w:ascii="Cambria Math" w:hAnsi="Cambria Math"/>
                </w:rPr>
                <m:t>Wh</m:t>
              </m:r>
              <m:sSub>
                <m:sSubPr>
                  <m:ctrlPr>
                    <w:rPr>
                      <w:rFonts w:ascii="Cambria Math" w:hAnsi="Cambria Math"/>
                      <w:i/>
                    </w:rPr>
                  </m:ctrlPr>
                </m:sSubPr>
                <m:e>
                  <m:r>
                    <w:rPr>
                      <w:rFonts w:ascii="Cambria Math" w:hAnsi="Cambria Math"/>
                    </w:rPr>
                    <m:t>d</m:t>
                  </m:r>
                </m:e>
                <m:sub>
                  <m:r>
                    <w:rPr>
                      <w:rFonts w:ascii="Cambria Math" w:hAnsi="Cambria Math"/>
                    </w:rPr>
                    <m:t>NdS</m:t>
                  </m:r>
                </m:sub>
              </m:sSub>
            </m:den>
          </m:f>
        </m:oMath>
      </m:oMathPara>
    </w:p>
    <w:p w14:paraId="34B23B5F" w14:textId="77777777" w:rsidR="003B269B" w:rsidRPr="007A68C4" w:rsidRDefault="003B269B" w:rsidP="003B269B">
      <w:pPr>
        <w:contextualSpacing/>
      </w:pPr>
    </w:p>
    <w:p w14:paraId="349C6941" w14:textId="77777777" w:rsidR="003B269B" w:rsidRPr="007A68C4" w:rsidRDefault="003B269B" w:rsidP="003B269B">
      <w:pPr>
        <w:contextualSpacing/>
      </w:pPr>
      <w:r w:rsidRPr="007A68C4">
        <w:t>En donde:</w:t>
      </w:r>
    </w:p>
    <w:p w14:paraId="6F7EAFDD" w14:textId="77777777" w:rsidR="003B269B" w:rsidRPr="007A68C4" w:rsidRDefault="003B269B" w:rsidP="003B269B">
      <w:pPr>
        <w:contextualSpacing/>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285"/>
        <w:gridCol w:w="7758"/>
      </w:tblGrid>
      <w:tr w:rsidR="003B269B" w:rsidRPr="007A68C4" w14:paraId="36701443" w14:textId="77777777" w:rsidTr="00C86145">
        <w:tc>
          <w:tcPr>
            <w:tcW w:w="1025" w:type="dxa"/>
          </w:tcPr>
          <w:p w14:paraId="6A2D9589" w14:textId="5970A7D6" w:rsidR="003B269B" w:rsidRPr="007A68C4" w:rsidRDefault="005E2372" w:rsidP="00C86145">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CU</m:t>
                    </m:r>
                  </m:e>
                  <m:sub>
                    <m:r>
                      <w:rPr>
                        <w:rFonts w:ascii="Cambria Math" w:hAnsi="Cambria Math"/>
                      </w:rPr>
                      <m:t>PR,NdS,m</m:t>
                    </m:r>
                  </m:sub>
                </m:sSub>
              </m:oMath>
            </m:oMathPara>
          </w:p>
        </w:tc>
        <w:tc>
          <w:tcPr>
            <w:tcW w:w="288" w:type="dxa"/>
          </w:tcPr>
          <w:p w14:paraId="71CEAA78" w14:textId="77777777" w:rsidR="003B269B" w:rsidRPr="007A68C4" w:rsidRDefault="003B269B" w:rsidP="00C86145">
            <w:pPr>
              <w:ind w:left="-103"/>
              <w:contextualSpacing/>
              <w:jc w:val="center"/>
            </w:pPr>
            <w:r w:rsidRPr="007A68C4">
              <w:t>:</w:t>
            </w:r>
          </w:p>
        </w:tc>
        <w:tc>
          <w:tcPr>
            <w:tcW w:w="8043" w:type="dxa"/>
          </w:tcPr>
          <w:p w14:paraId="206EA78B" w14:textId="307FA357" w:rsidR="003B269B" w:rsidRPr="007A68C4" w:rsidRDefault="003B269B" w:rsidP="00C86145">
            <w:pPr>
              <w:ind w:left="18"/>
              <w:contextualSpacing/>
              <w:jc w:val="both"/>
            </w:pPr>
            <w:r w:rsidRPr="007A68C4">
              <w:t>Costo unitario de prestación del servicio de energía eléctrica mediante SISFV</w:t>
            </w:r>
            <w:r w:rsidR="00A126F7" w:rsidRPr="007A68C4">
              <w:t xml:space="preserve"> para esquemas de facturación prepago</w:t>
            </w:r>
            <w:r w:rsidRPr="007A68C4">
              <w:t>,</w:t>
            </w:r>
            <w:r w:rsidR="0048374D" w:rsidRPr="007A68C4">
              <w:t xml:space="preserve"> correspondiente al nivel de servicio </w:t>
            </w:r>
            <w:r w:rsidR="0048374D" w:rsidRPr="007A68C4">
              <w:rPr>
                <w:i/>
                <w:iCs/>
              </w:rPr>
              <w:t>NdS</w:t>
            </w:r>
            <w:r w:rsidR="005936E4" w:rsidRPr="007A68C4">
              <w:t>,</w:t>
            </w:r>
            <w:r w:rsidRPr="007A68C4">
              <w:t xml:space="preserve"> aplicable para el mes </w:t>
            </w:r>
            <w:r w:rsidRPr="007A68C4">
              <w:rPr>
                <w:i/>
              </w:rPr>
              <w:t>m</w:t>
            </w:r>
            <w:r w:rsidRPr="007A68C4">
              <w:t xml:space="preserve">, expresado en pesos </w:t>
            </w:r>
            <w:r w:rsidR="00E7168C" w:rsidRPr="007A68C4">
              <w:t xml:space="preserve">por kilovatio hora </w:t>
            </w:r>
            <w:r w:rsidRPr="007A68C4">
              <w:t>($/</w:t>
            </w:r>
            <w:r w:rsidR="00E7168C" w:rsidRPr="007A68C4">
              <w:t>kWh)</w:t>
            </w:r>
            <w:r w:rsidRPr="007A68C4">
              <w:t>.</w:t>
            </w:r>
          </w:p>
          <w:p w14:paraId="501E5357" w14:textId="77777777" w:rsidR="003B269B" w:rsidRPr="007A68C4" w:rsidRDefault="003B269B" w:rsidP="00C86145">
            <w:pPr>
              <w:ind w:left="18"/>
              <w:contextualSpacing/>
              <w:jc w:val="both"/>
            </w:pPr>
          </w:p>
        </w:tc>
      </w:tr>
      <w:tr w:rsidR="00A126F7" w:rsidRPr="007A68C4" w14:paraId="0B8B9D88" w14:textId="77777777" w:rsidTr="00C86145">
        <w:tc>
          <w:tcPr>
            <w:tcW w:w="1025" w:type="dxa"/>
          </w:tcPr>
          <w:p w14:paraId="234F2A1F" w14:textId="075ABEAF" w:rsidR="00A126F7" w:rsidRPr="007A68C4" w:rsidRDefault="005E2372" w:rsidP="00A126F7">
            <w:pPr>
              <w:contextualSpacing/>
            </w:pPr>
            <m:oMathPara>
              <m:oMathParaPr>
                <m:jc m:val="left"/>
              </m:oMathParaPr>
              <m:oMath>
                <m:sSub>
                  <m:sSubPr>
                    <m:ctrlPr>
                      <w:rPr>
                        <w:rFonts w:ascii="Cambria Math" w:hAnsi="Cambria Math"/>
                        <w:i/>
                      </w:rPr>
                    </m:ctrlPr>
                  </m:sSubPr>
                  <m:e>
                    <m:r>
                      <w:rPr>
                        <w:rFonts w:ascii="Cambria Math" w:hAnsi="Cambria Math"/>
                      </w:rPr>
                      <m:t>CU</m:t>
                    </m:r>
                  </m:e>
                  <m:sub>
                    <m:r>
                      <w:rPr>
                        <w:rFonts w:ascii="Cambria Math" w:hAnsi="Cambria Math"/>
                      </w:rPr>
                      <m:t>m</m:t>
                    </m:r>
                  </m:sub>
                </m:sSub>
              </m:oMath>
            </m:oMathPara>
          </w:p>
        </w:tc>
        <w:tc>
          <w:tcPr>
            <w:tcW w:w="288" w:type="dxa"/>
          </w:tcPr>
          <w:p w14:paraId="2F0FAA53" w14:textId="3F51E411" w:rsidR="00A126F7" w:rsidRPr="007A68C4" w:rsidRDefault="00A126F7" w:rsidP="00A126F7">
            <w:pPr>
              <w:ind w:left="-103"/>
              <w:contextualSpacing/>
              <w:jc w:val="center"/>
            </w:pPr>
            <w:r w:rsidRPr="007A68C4">
              <w:t>:</w:t>
            </w:r>
          </w:p>
        </w:tc>
        <w:tc>
          <w:tcPr>
            <w:tcW w:w="8043" w:type="dxa"/>
          </w:tcPr>
          <w:p w14:paraId="43A72543" w14:textId="77777777" w:rsidR="00A126F7" w:rsidRPr="007A68C4" w:rsidRDefault="00A126F7" w:rsidP="00A126F7">
            <w:pPr>
              <w:ind w:left="18"/>
              <w:contextualSpacing/>
              <w:jc w:val="both"/>
            </w:pPr>
            <w:r w:rsidRPr="007A68C4">
              <w:t xml:space="preserve">Costo unitario de prestación del servicio de energía eléctrica mediante SISFV, aplicable para el mes </w:t>
            </w:r>
            <w:r w:rsidRPr="007A68C4">
              <w:rPr>
                <w:i/>
              </w:rPr>
              <w:t>m</w:t>
            </w:r>
            <w:r w:rsidRPr="007A68C4">
              <w:t>, expresado en pesos al día ($/día).</w:t>
            </w:r>
          </w:p>
          <w:p w14:paraId="0705FB70" w14:textId="77777777" w:rsidR="00A126F7" w:rsidRPr="007A68C4" w:rsidRDefault="00A126F7" w:rsidP="00A126F7">
            <w:pPr>
              <w:ind w:left="18"/>
              <w:contextualSpacing/>
              <w:jc w:val="both"/>
            </w:pPr>
          </w:p>
        </w:tc>
      </w:tr>
      <w:tr w:rsidR="003B269B" w:rsidRPr="007A68C4" w14:paraId="4B785566" w14:textId="77777777" w:rsidTr="00C86145">
        <w:tc>
          <w:tcPr>
            <w:tcW w:w="1025" w:type="dxa"/>
          </w:tcPr>
          <w:p w14:paraId="4619019D" w14:textId="49B81A9B" w:rsidR="003B269B" w:rsidRPr="007A68C4" w:rsidRDefault="0048374D" w:rsidP="00C86145">
            <w:pPr>
              <w:contextualSpacing/>
              <w:rPr>
                <w:rFonts w:eastAsia="Calibri"/>
                <w:i/>
              </w:rPr>
            </w:pPr>
            <m:oMathPara>
              <m:oMathParaPr>
                <m:jc m:val="left"/>
              </m:oMathParaPr>
              <m:oMath>
                <m:r>
                  <w:rPr>
                    <w:rFonts w:ascii="Cambria Math" w:hAnsi="Cambria Math"/>
                  </w:rPr>
                  <m:t>Wh</m:t>
                </m:r>
                <m:sSub>
                  <m:sSubPr>
                    <m:ctrlPr>
                      <w:rPr>
                        <w:rFonts w:ascii="Cambria Math" w:hAnsi="Cambria Math"/>
                        <w:i/>
                      </w:rPr>
                    </m:ctrlPr>
                  </m:sSubPr>
                  <m:e>
                    <m:r>
                      <w:rPr>
                        <w:rFonts w:ascii="Cambria Math" w:hAnsi="Cambria Math"/>
                      </w:rPr>
                      <m:t>d</m:t>
                    </m:r>
                  </m:e>
                  <m:sub>
                    <m:r>
                      <w:rPr>
                        <w:rFonts w:ascii="Cambria Math" w:hAnsi="Cambria Math"/>
                      </w:rPr>
                      <m:t>NdS</m:t>
                    </m:r>
                  </m:sub>
                </m:sSub>
              </m:oMath>
            </m:oMathPara>
          </w:p>
        </w:tc>
        <w:tc>
          <w:tcPr>
            <w:tcW w:w="288" w:type="dxa"/>
          </w:tcPr>
          <w:p w14:paraId="485FB3AF" w14:textId="71C38EC5" w:rsidR="003B269B" w:rsidRPr="007A68C4" w:rsidRDefault="0005267E" w:rsidP="00C86145">
            <w:pPr>
              <w:ind w:left="-103"/>
              <w:contextualSpacing/>
              <w:jc w:val="center"/>
            </w:pPr>
            <w:r>
              <w:t>:</w:t>
            </w:r>
          </w:p>
        </w:tc>
        <w:tc>
          <w:tcPr>
            <w:tcW w:w="8043" w:type="dxa"/>
          </w:tcPr>
          <w:p w14:paraId="34F79C5D" w14:textId="5490DA2A" w:rsidR="003B269B" w:rsidRPr="007A68C4" w:rsidRDefault="004B0721" w:rsidP="00C86145">
            <w:pPr>
              <w:ind w:left="18"/>
              <w:contextualSpacing/>
              <w:jc w:val="both"/>
            </w:pPr>
            <w:r w:rsidRPr="007A68C4">
              <w:t xml:space="preserve">Vatios hora al día del nivel de servicio acordado con el usuario, </w:t>
            </w:r>
            <w:r w:rsidR="00580CB5" w:rsidRPr="007A68C4">
              <w:t>señalad</w:t>
            </w:r>
            <w:r w:rsidR="00F22C7D" w:rsidRPr="007A68C4">
              <w:t xml:space="preserve">o en el </w:t>
            </w:r>
            <w:r w:rsidR="00E67B16">
              <w:t>A</w:t>
            </w:r>
            <w:r w:rsidR="00F22C7D" w:rsidRPr="007A68C4">
              <w:t xml:space="preserve">cuerdo </w:t>
            </w:r>
            <w:r w:rsidR="00E67B16">
              <w:t>E</w:t>
            </w:r>
            <w:r w:rsidR="00F22C7D" w:rsidRPr="007A68C4">
              <w:t>special anexo al</w:t>
            </w:r>
            <w:r w:rsidRPr="007A68C4">
              <w:t xml:space="preserve"> CCU.</w:t>
            </w:r>
          </w:p>
          <w:p w14:paraId="4CE6C09E" w14:textId="0E6432A5" w:rsidR="004B0721" w:rsidRPr="007A68C4" w:rsidRDefault="004B0721" w:rsidP="00C86145">
            <w:pPr>
              <w:ind w:left="18"/>
              <w:contextualSpacing/>
              <w:jc w:val="both"/>
            </w:pPr>
          </w:p>
        </w:tc>
      </w:tr>
      <w:tr w:rsidR="003B269B" w:rsidRPr="003B269B" w14:paraId="6BFC19CB" w14:textId="77777777" w:rsidTr="00C86145">
        <w:tc>
          <w:tcPr>
            <w:tcW w:w="1025" w:type="dxa"/>
          </w:tcPr>
          <w:p w14:paraId="62710863" w14:textId="77777777" w:rsidR="003B269B" w:rsidRPr="007A68C4" w:rsidRDefault="003B269B" w:rsidP="00C86145">
            <w:pPr>
              <w:contextualSpacing/>
              <w:rPr>
                <w:rFonts w:eastAsia="Calibri"/>
                <w:i/>
              </w:rPr>
            </w:pPr>
            <m:oMathPara>
              <m:oMathParaPr>
                <m:jc m:val="left"/>
              </m:oMathParaPr>
              <m:oMath>
                <m:r>
                  <w:rPr>
                    <w:rFonts w:ascii="Cambria Math" w:hAnsi="Cambria Math"/>
                  </w:rPr>
                  <m:t>m</m:t>
                </m:r>
              </m:oMath>
            </m:oMathPara>
          </w:p>
        </w:tc>
        <w:tc>
          <w:tcPr>
            <w:tcW w:w="288" w:type="dxa"/>
          </w:tcPr>
          <w:p w14:paraId="255BB21B" w14:textId="77777777" w:rsidR="003B269B" w:rsidRPr="007A68C4" w:rsidRDefault="003B269B" w:rsidP="00C86145">
            <w:pPr>
              <w:ind w:left="-103"/>
              <w:contextualSpacing/>
              <w:jc w:val="center"/>
            </w:pPr>
            <w:r w:rsidRPr="007A68C4">
              <w:t>:</w:t>
            </w:r>
          </w:p>
        </w:tc>
        <w:tc>
          <w:tcPr>
            <w:tcW w:w="8043" w:type="dxa"/>
          </w:tcPr>
          <w:p w14:paraId="450F033D" w14:textId="215D7C52" w:rsidR="003B269B" w:rsidRPr="007A68C4" w:rsidRDefault="003B269B" w:rsidP="007A68C4">
            <w:pPr>
              <w:ind w:left="18"/>
              <w:contextualSpacing/>
              <w:jc w:val="both"/>
            </w:pPr>
            <w:r w:rsidRPr="007A68C4">
              <w:t>Mes para el que se calcula y aplica el costo unitario.</w:t>
            </w:r>
          </w:p>
        </w:tc>
      </w:tr>
    </w:tbl>
    <w:p w14:paraId="0479AA04" w14:textId="77777777" w:rsidR="006C7176" w:rsidRPr="00B66211" w:rsidRDefault="006C7176" w:rsidP="00C94D29">
      <w:pPr>
        <w:contextualSpacing/>
        <w:jc w:val="both"/>
      </w:pPr>
    </w:p>
    <w:p w14:paraId="1E6A613A" w14:textId="2F4B35BB" w:rsidR="00C91AA6" w:rsidRPr="006113EA" w:rsidRDefault="00C91AA6" w:rsidP="00C94D29">
      <w:pPr>
        <w:pStyle w:val="Ttulo1"/>
        <w:contextualSpacing/>
      </w:pPr>
      <w:r w:rsidRPr="006113EA">
        <w:t>CAPITULO I</w:t>
      </w:r>
      <w:r w:rsidR="00FC2E6E" w:rsidRPr="006113EA">
        <w:t>V</w:t>
      </w:r>
    </w:p>
    <w:p w14:paraId="7220C030" w14:textId="77777777" w:rsidR="00C91AA6" w:rsidRPr="009107C3" w:rsidRDefault="00C91AA6" w:rsidP="00C94D29">
      <w:pPr>
        <w:contextualSpacing/>
        <w:rPr>
          <w:bCs/>
        </w:rPr>
      </w:pPr>
    </w:p>
    <w:p w14:paraId="6D79F4A2" w14:textId="2B2629EE" w:rsidR="00C91AA6" w:rsidRPr="00414788" w:rsidRDefault="002B0B9A" w:rsidP="00C94D29">
      <w:pPr>
        <w:pStyle w:val="Ttulo1"/>
        <w:contextualSpacing/>
      </w:pPr>
      <w:r w:rsidRPr="006113EA">
        <w:t xml:space="preserve">COSTOS DE </w:t>
      </w:r>
      <w:r w:rsidR="008E6AEA" w:rsidRPr="00414788">
        <w:t>INVERSIÓN</w:t>
      </w:r>
    </w:p>
    <w:p w14:paraId="3F4468A8" w14:textId="77777777" w:rsidR="00D35349" w:rsidRPr="00B66211" w:rsidRDefault="00D35349" w:rsidP="00C94D29">
      <w:pPr>
        <w:contextualSpacing/>
      </w:pPr>
    </w:p>
    <w:p w14:paraId="2089D077" w14:textId="325835DE" w:rsidR="00285C87" w:rsidRPr="006113EA" w:rsidRDefault="00D9257F" w:rsidP="00C94D29">
      <w:pPr>
        <w:pStyle w:val="Ttulo7"/>
        <w:numPr>
          <w:ilvl w:val="0"/>
          <w:numId w:val="26"/>
        </w:numPr>
        <w:tabs>
          <w:tab w:val="num" w:pos="360"/>
        </w:tabs>
        <w:spacing w:before="0" w:after="0"/>
        <w:contextualSpacing/>
        <w:jc w:val="both"/>
        <w:rPr>
          <w:rFonts w:ascii="Bookman Old Style" w:hAnsi="Bookman Old Style"/>
          <w:b/>
        </w:rPr>
      </w:pPr>
      <w:r w:rsidRPr="006113EA">
        <w:rPr>
          <w:rFonts w:ascii="Bookman Old Style" w:hAnsi="Bookman Old Style"/>
          <w:b/>
        </w:rPr>
        <w:t xml:space="preserve">Cargo máximo de </w:t>
      </w:r>
      <w:r w:rsidR="001D2363" w:rsidRPr="006113EA">
        <w:rPr>
          <w:rFonts w:ascii="Bookman Old Style" w:hAnsi="Bookman Old Style"/>
          <w:b/>
        </w:rPr>
        <w:t xml:space="preserve">inversión </w:t>
      </w:r>
      <w:r w:rsidR="00D505D4" w:rsidRPr="006113EA">
        <w:rPr>
          <w:rFonts w:ascii="Bookman Old Style" w:hAnsi="Bookman Old Style"/>
          <w:b/>
        </w:rPr>
        <w:t xml:space="preserve">para el servicio de </w:t>
      </w:r>
      <w:r w:rsidRPr="006113EA">
        <w:rPr>
          <w:rFonts w:ascii="Bookman Old Style" w:hAnsi="Bookman Old Style"/>
          <w:b/>
        </w:rPr>
        <w:t xml:space="preserve">energía eléctrica mediante soluciones individuales solares fotovoltaicas. </w:t>
      </w:r>
      <w:r w:rsidRPr="006113EA">
        <w:rPr>
          <w:rFonts w:ascii="Bookman Old Style" w:hAnsi="Bookman Old Style"/>
        </w:rPr>
        <w:t>El cargo m</w:t>
      </w:r>
      <w:r w:rsidR="0015276E" w:rsidRPr="006113EA">
        <w:rPr>
          <w:rFonts w:ascii="Bookman Old Style" w:hAnsi="Bookman Old Style"/>
        </w:rPr>
        <w:t xml:space="preserve">áximo de </w:t>
      </w:r>
      <w:r w:rsidR="00D505D4" w:rsidRPr="006113EA">
        <w:rPr>
          <w:rFonts w:ascii="Bookman Old Style" w:hAnsi="Bookman Old Style"/>
        </w:rPr>
        <w:t>inversión</w:t>
      </w:r>
      <w:r w:rsidR="004C0994" w:rsidRPr="006113EA">
        <w:rPr>
          <w:rFonts w:ascii="Bookman Old Style" w:hAnsi="Bookman Old Style"/>
        </w:rPr>
        <w:t xml:space="preserve">, </w:t>
      </w:r>
      <m:oMath>
        <m:sSub>
          <m:sSubPr>
            <m:ctrlPr>
              <w:rPr>
                <w:rFonts w:ascii="Cambria Math" w:hAnsi="Cambria Math"/>
                <w:i/>
              </w:rPr>
            </m:ctrlPr>
          </m:sSubPr>
          <m:e>
            <m:r>
              <w:rPr>
                <w:rFonts w:ascii="Cambria Math" w:hAnsi="Cambria Math"/>
              </w:rPr>
              <m:t>I</m:t>
            </m:r>
          </m:e>
          <m:sub>
            <m:r>
              <w:rPr>
                <w:rFonts w:ascii="Cambria Math" w:hAnsi="Cambria Math"/>
              </w:rPr>
              <m:t>m</m:t>
            </m:r>
          </m:sub>
        </m:sSub>
      </m:oMath>
      <w:r w:rsidR="00F50E51" w:rsidRPr="006113EA">
        <w:rPr>
          <w:rFonts w:ascii="Bookman Old Style" w:hAnsi="Bookman Old Style"/>
        </w:rPr>
        <w:t>,</w:t>
      </w:r>
      <w:r w:rsidR="00D505D4" w:rsidRPr="006113EA">
        <w:rPr>
          <w:rFonts w:ascii="Bookman Old Style" w:hAnsi="Bookman Old Style"/>
        </w:rPr>
        <w:t xml:space="preserve"> </w:t>
      </w:r>
      <w:r w:rsidR="00AC21B8" w:rsidRPr="006113EA">
        <w:rPr>
          <w:rFonts w:ascii="Bookman Old Style" w:hAnsi="Bookman Old Style"/>
        </w:rPr>
        <w:t xml:space="preserve">aplicable </w:t>
      </w:r>
      <w:r w:rsidR="00D505D4" w:rsidRPr="006113EA">
        <w:rPr>
          <w:rFonts w:ascii="Bookman Old Style" w:hAnsi="Bookman Old Style"/>
        </w:rPr>
        <w:t xml:space="preserve">durante </w:t>
      </w:r>
      <w:r w:rsidR="003F1C6A" w:rsidRPr="006113EA">
        <w:rPr>
          <w:rFonts w:ascii="Bookman Old Style" w:hAnsi="Bookman Old Style"/>
        </w:rPr>
        <w:t xml:space="preserve">el mes </w:t>
      </w:r>
      <w:r w:rsidR="003F1C6A" w:rsidRPr="006113EA">
        <w:rPr>
          <w:rFonts w:ascii="Bookman Old Style" w:hAnsi="Bookman Old Style"/>
          <w:i/>
        </w:rPr>
        <w:t>m</w:t>
      </w:r>
      <w:r w:rsidR="00EB7A2E" w:rsidRPr="006113EA">
        <w:rPr>
          <w:rFonts w:ascii="Bookman Old Style" w:hAnsi="Bookman Old Style"/>
        </w:rPr>
        <w:t xml:space="preserve">, </w:t>
      </w:r>
      <w:r w:rsidR="006D031F" w:rsidRPr="006113EA">
        <w:rPr>
          <w:rFonts w:ascii="Bookman Old Style" w:hAnsi="Bookman Old Style"/>
        </w:rPr>
        <w:t xml:space="preserve">que depende del </w:t>
      </w:r>
      <w:r w:rsidR="008769EA" w:rsidRPr="006113EA">
        <w:rPr>
          <w:rFonts w:ascii="Bookman Old Style" w:hAnsi="Bookman Old Style"/>
        </w:rPr>
        <w:t xml:space="preserve">nivel de servicio </w:t>
      </w:r>
      <w:r w:rsidR="00F22FF2" w:rsidRPr="006113EA">
        <w:rPr>
          <w:rFonts w:ascii="Bookman Old Style" w:hAnsi="Bookman Old Style"/>
        </w:rPr>
        <w:t>y</w:t>
      </w:r>
      <w:r w:rsidR="006D031F" w:rsidRPr="006113EA">
        <w:rPr>
          <w:rFonts w:ascii="Bookman Old Style" w:hAnsi="Bookman Old Style"/>
        </w:rPr>
        <w:t xml:space="preserve"> la ubicación del </w:t>
      </w:r>
      <w:r w:rsidR="006D031F" w:rsidRPr="009107C3">
        <w:rPr>
          <w:rFonts w:ascii="Bookman Old Style" w:hAnsi="Bookman Old Style"/>
        </w:rPr>
        <w:t>usuario, s</w:t>
      </w:r>
      <w:r w:rsidRPr="009107C3">
        <w:rPr>
          <w:rFonts w:ascii="Bookman Old Style" w:hAnsi="Bookman Old Style"/>
        </w:rPr>
        <w:t xml:space="preserve">e expresa en pesos </w:t>
      </w:r>
      <w:r w:rsidR="00A83EB4" w:rsidRPr="009107C3">
        <w:rPr>
          <w:rFonts w:ascii="Bookman Old Style" w:hAnsi="Bookman Old Style"/>
        </w:rPr>
        <w:t xml:space="preserve">al </w:t>
      </w:r>
      <w:r w:rsidR="00D505D4" w:rsidRPr="009107C3">
        <w:rPr>
          <w:rFonts w:ascii="Bookman Old Style" w:hAnsi="Bookman Old Style"/>
        </w:rPr>
        <w:t xml:space="preserve">día </w:t>
      </w:r>
      <w:r w:rsidRPr="009107C3">
        <w:rPr>
          <w:rFonts w:ascii="Bookman Old Style" w:hAnsi="Bookman Old Style"/>
        </w:rPr>
        <w:t>($/</w:t>
      </w:r>
      <w:r w:rsidR="00D505D4" w:rsidRPr="009107C3">
        <w:rPr>
          <w:rFonts w:ascii="Bookman Old Style" w:hAnsi="Bookman Old Style"/>
        </w:rPr>
        <w:t>día</w:t>
      </w:r>
      <w:r w:rsidRPr="009107C3">
        <w:rPr>
          <w:rFonts w:ascii="Bookman Old Style" w:hAnsi="Bookman Old Style"/>
        </w:rPr>
        <w:t>)</w:t>
      </w:r>
      <w:r w:rsidR="00A83EB4" w:rsidRPr="009107C3">
        <w:rPr>
          <w:rFonts w:ascii="Bookman Old Style" w:hAnsi="Bookman Old Style"/>
        </w:rPr>
        <w:t xml:space="preserve"> y se determina </w:t>
      </w:r>
      <w:r w:rsidRPr="009107C3">
        <w:rPr>
          <w:rFonts w:ascii="Bookman Old Style" w:hAnsi="Bookman Old Style"/>
        </w:rPr>
        <w:t>tal como se indica a continuación:</w:t>
      </w:r>
    </w:p>
    <w:p w14:paraId="3B98353F" w14:textId="593F7BB1" w:rsidR="00A54734" w:rsidRPr="00B66211" w:rsidRDefault="00A54734" w:rsidP="00C94D29">
      <w:pPr>
        <w:contextualSpacing/>
      </w:pPr>
    </w:p>
    <w:p w14:paraId="73790BEA" w14:textId="34E4F915" w:rsidR="00A54734" w:rsidRPr="00B66211" w:rsidRDefault="005E2372" w:rsidP="00C94D29">
      <w:pPr>
        <w:contextualSpacing/>
      </w:pPr>
      <m:oMathPara>
        <m:oMath>
          <m:sSub>
            <m:sSubPr>
              <m:ctrlPr>
                <w:rPr>
                  <w:rFonts w:ascii="Cambria Math" w:hAnsi="Cambria Math"/>
                  <w:i/>
                </w:rPr>
              </m:ctrlPr>
            </m:sSubPr>
            <m:e>
              <m:r>
                <w:rPr>
                  <w:rFonts w:ascii="Cambria Math" w:hAnsi="Cambria Math"/>
                </w:rPr>
                <m:t>I</m:t>
              </m:r>
            </m:e>
            <m:sub>
              <m:r>
                <w:rPr>
                  <w:rFonts w:ascii="Cambria Math" w:hAnsi="Cambria Math"/>
                </w:rPr>
                <m:t>m</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I</m:t>
                  </m:r>
                </m:e>
                <m:sub>
                  <m:r>
                    <w:rPr>
                      <w:rFonts w:ascii="Cambria Math" w:hAnsi="Cambria Math"/>
                    </w:rPr>
                    <m:t>j,m</m:t>
                  </m:r>
                </m:sub>
              </m:sSub>
            </m:e>
          </m:nary>
        </m:oMath>
      </m:oMathPara>
    </w:p>
    <w:p w14:paraId="655C9113" w14:textId="77777777" w:rsidR="008A3312" w:rsidRPr="00B66211" w:rsidRDefault="008A3312" w:rsidP="00C94D29">
      <w:pPr>
        <w:contextualSpacing/>
      </w:pPr>
    </w:p>
    <w:p w14:paraId="31A02D3F" w14:textId="21235492" w:rsidR="00862AC9" w:rsidRPr="00B66211" w:rsidRDefault="00A7618F" w:rsidP="00C94D29">
      <w:pPr>
        <w:contextualSpacing/>
      </w:pPr>
      <w:r w:rsidRPr="00B66211">
        <w:t xml:space="preserve">En donde cada </w:t>
      </w:r>
      <m:oMath>
        <m:sSub>
          <m:sSubPr>
            <m:ctrlPr>
              <w:rPr>
                <w:rFonts w:ascii="Cambria Math" w:hAnsi="Cambria Math"/>
                <w:i/>
              </w:rPr>
            </m:ctrlPr>
          </m:sSubPr>
          <m:e>
            <m:r>
              <w:rPr>
                <w:rFonts w:ascii="Cambria Math" w:hAnsi="Cambria Math"/>
              </w:rPr>
              <m:t>I</m:t>
            </m:r>
          </m:e>
          <m:sub>
            <m:r>
              <w:rPr>
                <w:rFonts w:ascii="Cambria Math" w:hAnsi="Cambria Math"/>
              </w:rPr>
              <m:t>j,m</m:t>
            </m:r>
          </m:sub>
        </m:sSub>
      </m:oMath>
      <w:r w:rsidRPr="00B66211">
        <w:t xml:space="preserve"> se </w:t>
      </w:r>
      <w:r w:rsidR="00F219FF" w:rsidRPr="00B66211">
        <w:t>obtiene aplicando la siguiente expresión:</w:t>
      </w:r>
    </w:p>
    <w:p w14:paraId="087F932F" w14:textId="77777777" w:rsidR="00862AC9" w:rsidRPr="00B66211" w:rsidRDefault="00862AC9" w:rsidP="00C94D29">
      <w:pPr>
        <w:contextualSpacing/>
      </w:pPr>
    </w:p>
    <w:p w14:paraId="6633BAEA" w14:textId="5BEBA16B" w:rsidR="00862AC9" w:rsidRPr="00B66211" w:rsidRDefault="005E2372" w:rsidP="00C94D29">
      <w:pPr>
        <w:contextualSpacing/>
      </w:pPr>
      <m:oMathPara>
        <m:oMath>
          <m:sSub>
            <m:sSubPr>
              <m:ctrlPr>
                <w:rPr>
                  <w:rFonts w:ascii="Cambria Math" w:hAnsi="Cambria Math"/>
                  <w:i/>
                </w:rPr>
              </m:ctrlPr>
            </m:sSubPr>
            <m:e>
              <m:r>
                <w:rPr>
                  <w:rFonts w:ascii="Cambria Math" w:hAnsi="Cambria Math"/>
                </w:rPr>
                <m:t>I</m:t>
              </m:r>
            </m:e>
            <m:sub>
              <m:r>
                <w:rPr>
                  <w:rFonts w:ascii="Cambria Math" w:hAnsi="Cambria Math"/>
                </w:rPr>
                <m:t>j,m</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j,0</m:t>
              </m:r>
            </m:sub>
          </m:sSub>
          <m:r>
            <w:rPr>
              <w:rFonts w:ascii="Cambria Math" w:hAnsi="Cambria Math"/>
            </w:rPr>
            <m:t>×</m:t>
          </m:r>
          <m:f>
            <m:fPr>
              <m:ctrlPr>
                <w:rPr>
                  <w:rFonts w:ascii="Cambria Math" w:eastAsiaTheme="minorEastAsia" w:hAnsi="Cambria Math"/>
                  <w:i/>
                  <w:iCs/>
                </w:rPr>
              </m:ctrlPr>
            </m:fPr>
            <m:num>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m-1</m:t>
                  </m:r>
                </m:sub>
              </m:sSub>
            </m:num>
            <m:den>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0</m:t>
                  </m:r>
                </m:sub>
              </m:sSub>
            </m:den>
          </m:f>
        </m:oMath>
      </m:oMathPara>
    </w:p>
    <w:p w14:paraId="0CBD35FB" w14:textId="77777777" w:rsidR="00862AC9" w:rsidRDefault="00862AC9" w:rsidP="00C94D29">
      <w:pPr>
        <w:contextualSpacing/>
      </w:pPr>
    </w:p>
    <w:p w14:paraId="06402B21" w14:textId="4C94A454" w:rsidR="005913A0" w:rsidRPr="00B66211" w:rsidRDefault="005913A0" w:rsidP="00C94D29">
      <w:pPr>
        <w:contextualSpacing/>
      </w:pPr>
      <w:r>
        <w:t xml:space="preserve">Y </w:t>
      </w:r>
      <w:r w:rsidRPr="00B66211">
        <w:t xml:space="preserve">cada </w:t>
      </w:r>
      <m:oMath>
        <m:sSub>
          <m:sSubPr>
            <m:ctrlPr>
              <w:rPr>
                <w:rFonts w:ascii="Cambria Math" w:hAnsi="Cambria Math"/>
                <w:i/>
              </w:rPr>
            </m:ctrlPr>
          </m:sSubPr>
          <m:e>
            <m:r>
              <w:rPr>
                <w:rFonts w:ascii="Cambria Math" w:hAnsi="Cambria Math"/>
              </w:rPr>
              <m:t>I</m:t>
            </m:r>
          </m:e>
          <m:sub>
            <m:r>
              <w:rPr>
                <w:rFonts w:ascii="Cambria Math" w:hAnsi="Cambria Math"/>
              </w:rPr>
              <m:t>j,0</m:t>
            </m:r>
          </m:sub>
        </m:sSub>
      </m:oMath>
      <w:r w:rsidRPr="00B66211">
        <w:t xml:space="preserve"> se obtiene aplicando la siguiente expresión:</w:t>
      </w:r>
    </w:p>
    <w:p w14:paraId="66C34CB4" w14:textId="77777777" w:rsidR="005913A0" w:rsidRPr="00B66211" w:rsidRDefault="005913A0" w:rsidP="00C94D29">
      <w:pPr>
        <w:contextualSpacing/>
      </w:pPr>
    </w:p>
    <w:p w14:paraId="6D628CAD" w14:textId="2D2CE1A9" w:rsidR="005913A0" w:rsidRPr="00B66211" w:rsidRDefault="005E2372" w:rsidP="00C94D29">
      <w:pPr>
        <w:contextualSpacing/>
      </w:pPr>
      <m:oMathPara>
        <m:oMath>
          <m:sSub>
            <m:sSubPr>
              <m:ctrlPr>
                <w:rPr>
                  <w:rFonts w:ascii="Cambria Math" w:hAnsi="Cambria Math"/>
                  <w:i/>
                </w:rPr>
              </m:ctrlPr>
            </m:sSubPr>
            <m:e>
              <m:r>
                <w:rPr>
                  <w:rFonts w:ascii="Cambria Math" w:hAnsi="Cambria Math"/>
                </w:rPr>
                <m:t>I</m:t>
              </m:r>
            </m:e>
            <m:sub>
              <m:r>
                <w:rPr>
                  <w:rFonts w:ascii="Cambria Math" w:hAnsi="Cambria Math"/>
                </w:rPr>
                <m:t>j,0</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365</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VI</m:t>
                  </m:r>
                </m:e>
                <m:sub>
                  <m:r>
                    <w:rPr>
                      <w:rFonts w:ascii="Cambria Math" w:hAnsi="Cambria Math"/>
                    </w:rPr>
                    <m:t>j,0</m:t>
                  </m:r>
                </m:sub>
              </m:sSub>
              <m:r>
                <w:rPr>
                  <w:rFonts w:ascii="Cambria Math" w:hAnsi="Cambria Math"/>
                </w:rPr>
                <m:t>×TD</m:t>
              </m:r>
            </m:num>
            <m:den>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1+TD</m:t>
                      </m:r>
                    </m:e>
                  </m:d>
                </m:e>
                <m:sup>
                  <m:r>
                    <w:rPr>
                      <w:rFonts w:ascii="Cambria Math" w:hAnsi="Cambria Math"/>
                    </w:rPr>
                    <m:t>-</m:t>
                  </m:r>
                  <m:sSub>
                    <m:sSubPr>
                      <m:ctrlPr>
                        <w:rPr>
                          <w:rFonts w:ascii="Cambria Math" w:hAnsi="Cambria Math"/>
                          <w:i/>
                        </w:rPr>
                      </m:ctrlPr>
                    </m:sSubPr>
                    <m:e>
                      <m:r>
                        <w:rPr>
                          <w:rFonts w:ascii="Cambria Math" w:hAnsi="Cambria Math"/>
                        </w:rPr>
                        <m:t>VU</m:t>
                      </m:r>
                    </m:e>
                    <m:sub>
                      <m:r>
                        <w:rPr>
                          <w:rFonts w:ascii="Cambria Math" w:hAnsi="Cambria Math"/>
                        </w:rPr>
                        <m:t>j</m:t>
                      </m:r>
                    </m:sub>
                  </m:sSub>
                </m:sup>
              </m:sSup>
            </m:den>
          </m:f>
        </m:oMath>
      </m:oMathPara>
    </w:p>
    <w:p w14:paraId="11EAAE2F" w14:textId="77777777" w:rsidR="005913A0" w:rsidRPr="00B66211" w:rsidRDefault="005913A0" w:rsidP="00C94D29">
      <w:pPr>
        <w:contextualSpacing/>
      </w:pPr>
    </w:p>
    <w:p w14:paraId="4F3904B5" w14:textId="3ED62C68" w:rsidR="004D1C68" w:rsidRPr="00B66211" w:rsidRDefault="002001BB" w:rsidP="00C94D29">
      <w:pPr>
        <w:contextualSpacing/>
      </w:pPr>
      <w:r w:rsidRPr="00B66211">
        <w:t>En donde:</w:t>
      </w:r>
    </w:p>
    <w:p w14:paraId="56C8B97C" w14:textId="6D80B079" w:rsidR="009F6940" w:rsidRPr="00B66211" w:rsidRDefault="009F6940" w:rsidP="00C94D29">
      <w:pPr>
        <w:contextualSpacing/>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7513"/>
      </w:tblGrid>
      <w:tr w:rsidR="009F6940" w:rsidRPr="00B66211" w14:paraId="37CE7F75" w14:textId="77777777" w:rsidTr="001E4162">
        <w:tc>
          <w:tcPr>
            <w:tcW w:w="1560" w:type="dxa"/>
          </w:tcPr>
          <w:p w14:paraId="0C500836" w14:textId="1C6923C8" w:rsidR="009F6940" w:rsidRPr="00B66211"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j,m</m:t>
                    </m:r>
                  </m:sub>
                </m:sSub>
              </m:oMath>
            </m:oMathPara>
          </w:p>
        </w:tc>
        <w:tc>
          <w:tcPr>
            <w:tcW w:w="283" w:type="dxa"/>
          </w:tcPr>
          <w:p w14:paraId="7557C67F" w14:textId="3CA34CAE" w:rsidR="009F6940" w:rsidRPr="00B66211" w:rsidRDefault="00F219FF" w:rsidP="00C94D29">
            <w:pPr>
              <w:ind w:left="-103"/>
              <w:contextualSpacing/>
              <w:jc w:val="center"/>
            </w:pPr>
            <w:r w:rsidRPr="00B66211">
              <w:t>:</w:t>
            </w:r>
          </w:p>
        </w:tc>
        <w:tc>
          <w:tcPr>
            <w:tcW w:w="7513" w:type="dxa"/>
          </w:tcPr>
          <w:p w14:paraId="48B92944" w14:textId="77777777" w:rsidR="009F6940" w:rsidRPr="00B66211" w:rsidRDefault="00A1677E" w:rsidP="00C94D29">
            <w:pPr>
              <w:contextualSpacing/>
              <w:jc w:val="both"/>
            </w:pPr>
            <w:r w:rsidRPr="00B66211">
              <w:t>Cargo máximo de inversión</w:t>
            </w:r>
            <w:r w:rsidR="0026281E" w:rsidRPr="00B66211">
              <w:t xml:space="preserve"> de la UC </w:t>
            </w:r>
            <w:r w:rsidR="0026281E" w:rsidRPr="00B66211">
              <w:rPr>
                <w:i/>
              </w:rPr>
              <w:t>j</w:t>
            </w:r>
            <w:r w:rsidRPr="00B66211">
              <w:t xml:space="preserve">, aplicable durante el mes </w:t>
            </w:r>
            <w:r w:rsidRPr="00B66211">
              <w:rPr>
                <w:i/>
              </w:rPr>
              <w:t>m</w:t>
            </w:r>
            <w:r w:rsidRPr="00B66211">
              <w:t xml:space="preserve">, </w:t>
            </w:r>
            <w:r w:rsidR="0026281E" w:rsidRPr="00B66211">
              <w:t xml:space="preserve">expresado en </w:t>
            </w:r>
            <w:r w:rsidR="00D00D6B" w:rsidRPr="00B66211">
              <w:t>pesos al día ($/día).</w:t>
            </w:r>
          </w:p>
          <w:p w14:paraId="5F0E0479" w14:textId="4E87BF0D" w:rsidR="00D00D6B" w:rsidRPr="00B66211" w:rsidRDefault="00D00D6B" w:rsidP="00C94D29">
            <w:pPr>
              <w:contextualSpacing/>
              <w:jc w:val="both"/>
            </w:pPr>
          </w:p>
        </w:tc>
      </w:tr>
      <w:tr w:rsidR="00F94CB1" w:rsidRPr="00B66211" w14:paraId="226FAF1A" w14:textId="77777777" w:rsidTr="001E4162">
        <w:tc>
          <w:tcPr>
            <w:tcW w:w="1560" w:type="dxa"/>
          </w:tcPr>
          <w:p w14:paraId="6E221A92" w14:textId="138492D4" w:rsidR="00F94CB1" w:rsidRPr="00F94CB1"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j,0</m:t>
                    </m:r>
                  </m:sub>
                </m:sSub>
              </m:oMath>
            </m:oMathPara>
          </w:p>
        </w:tc>
        <w:tc>
          <w:tcPr>
            <w:tcW w:w="283" w:type="dxa"/>
          </w:tcPr>
          <w:p w14:paraId="2D62375F" w14:textId="77777777" w:rsidR="00F94CB1" w:rsidRPr="00B66211" w:rsidRDefault="00F94CB1" w:rsidP="00C94D29">
            <w:pPr>
              <w:ind w:left="-103"/>
              <w:contextualSpacing/>
              <w:jc w:val="center"/>
            </w:pPr>
          </w:p>
        </w:tc>
        <w:tc>
          <w:tcPr>
            <w:tcW w:w="7513" w:type="dxa"/>
          </w:tcPr>
          <w:p w14:paraId="166CDEF6" w14:textId="6C7FE3EC" w:rsidR="00F94CB1" w:rsidRPr="00B66211" w:rsidRDefault="00F94CB1" w:rsidP="00C94D29">
            <w:pPr>
              <w:contextualSpacing/>
              <w:jc w:val="both"/>
            </w:pPr>
            <w:r w:rsidRPr="00B66211">
              <w:t xml:space="preserve">Cargo máximo de inversión de la UC </w:t>
            </w:r>
            <w:r w:rsidRPr="00B66211">
              <w:rPr>
                <w:i/>
              </w:rPr>
              <w:t>j</w:t>
            </w:r>
            <w:r w:rsidRPr="00B66211">
              <w:t xml:space="preserve">, </w:t>
            </w:r>
            <w:r w:rsidR="00DC60C4" w:rsidRPr="00B66211">
              <w:t>expresad</w:t>
            </w:r>
            <w:r w:rsidR="00DC60C4">
              <w:t>o</w:t>
            </w:r>
            <w:r w:rsidR="00DC60C4" w:rsidRPr="00B66211">
              <w:t xml:space="preserve"> en pesos al día ($/día), en pesos de la fecha base.</w:t>
            </w:r>
          </w:p>
          <w:p w14:paraId="2BF2F362" w14:textId="77777777" w:rsidR="00F94CB1" w:rsidRPr="00B66211" w:rsidRDefault="00F94CB1" w:rsidP="00C94D29">
            <w:pPr>
              <w:contextualSpacing/>
              <w:jc w:val="both"/>
            </w:pPr>
          </w:p>
        </w:tc>
      </w:tr>
      <w:tr w:rsidR="00F94CB1" w:rsidRPr="00B66211" w14:paraId="5B30E217" w14:textId="77777777" w:rsidTr="001E4162">
        <w:tc>
          <w:tcPr>
            <w:tcW w:w="1560" w:type="dxa"/>
          </w:tcPr>
          <w:p w14:paraId="0640DFD7" w14:textId="3C84B353" w:rsidR="00F94CB1" w:rsidRPr="00B66211"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VI</m:t>
                    </m:r>
                  </m:e>
                  <m:sub>
                    <m:r>
                      <w:rPr>
                        <w:rFonts w:ascii="Cambria Math" w:hAnsi="Cambria Math"/>
                      </w:rPr>
                      <m:t>j,0</m:t>
                    </m:r>
                  </m:sub>
                </m:sSub>
              </m:oMath>
            </m:oMathPara>
          </w:p>
        </w:tc>
        <w:tc>
          <w:tcPr>
            <w:tcW w:w="283" w:type="dxa"/>
          </w:tcPr>
          <w:p w14:paraId="01D7DBEE" w14:textId="4686526B" w:rsidR="00F94CB1" w:rsidRPr="00B66211" w:rsidRDefault="00F94CB1" w:rsidP="00C94D29">
            <w:pPr>
              <w:ind w:left="-103"/>
              <w:contextualSpacing/>
              <w:jc w:val="center"/>
            </w:pPr>
            <w:r w:rsidRPr="00B66211">
              <w:t>:</w:t>
            </w:r>
          </w:p>
        </w:tc>
        <w:tc>
          <w:tcPr>
            <w:tcW w:w="7513" w:type="dxa"/>
          </w:tcPr>
          <w:p w14:paraId="2A14AAFD" w14:textId="48B578E7" w:rsidR="00F94CB1" w:rsidRPr="00B66211" w:rsidRDefault="00F94CB1" w:rsidP="00C94D29">
            <w:pPr>
              <w:contextualSpacing/>
              <w:jc w:val="both"/>
            </w:pPr>
            <w:r w:rsidRPr="00B66211">
              <w:t xml:space="preserve">Valoración de la unidad constructiva </w:t>
            </w:r>
            <w:r w:rsidRPr="00B66211">
              <w:rPr>
                <w:i/>
              </w:rPr>
              <w:t>j</w:t>
            </w:r>
            <w:r w:rsidRPr="00B66211">
              <w:t>, expresada en pesos ($) de la fecha base.</w:t>
            </w:r>
          </w:p>
          <w:p w14:paraId="511CDC01" w14:textId="77777777" w:rsidR="00F94CB1" w:rsidRPr="00B66211" w:rsidRDefault="00F94CB1" w:rsidP="00C94D29">
            <w:pPr>
              <w:contextualSpacing/>
              <w:jc w:val="both"/>
            </w:pPr>
          </w:p>
        </w:tc>
      </w:tr>
      <w:tr w:rsidR="00F94CB1" w:rsidRPr="00B66211" w14:paraId="1518548C" w14:textId="77777777" w:rsidTr="001E4162">
        <w:tc>
          <w:tcPr>
            <w:tcW w:w="1560" w:type="dxa"/>
          </w:tcPr>
          <w:p w14:paraId="0B9E70D3" w14:textId="4AB09AB3" w:rsidR="00F94CB1" w:rsidRPr="00B66211"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VU</m:t>
                    </m:r>
                  </m:e>
                  <m:sub>
                    <m:r>
                      <w:rPr>
                        <w:rFonts w:ascii="Cambria Math" w:hAnsi="Cambria Math"/>
                      </w:rPr>
                      <m:t>j</m:t>
                    </m:r>
                  </m:sub>
                </m:sSub>
              </m:oMath>
            </m:oMathPara>
          </w:p>
        </w:tc>
        <w:tc>
          <w:tcPr>
            <w:tcW w:w="283" w:type="dxa"/>
          </w:tcPr>
          <w:p w14:paraId="585B18E8" w14:textId="4E3A3C6C" w:rsidR="00F94CB1" w:rsidRPr="00B66211" w:rsidRDefault="00F94CB1" w:rsidP="00C94D29">
            <w:pPr>
              <w:ind w:left="-103"/>
              <w:contextualSpacing/>
              <w:jc w:val="center"/>
            </w:pPr>
            <w:r w:rsidRPr="00B66211">
              <w:t>:</w:t>
            </w:r>
          </w:p>
        </w:tc>
        <w:tc>
          <w:tcPr>
            <w:tcW w:w="7513" w:type="dxa"/>
          </w:tcPr>
          <w:p w14:paraId="3DBCD563" w14:textId="40FB1261" w:rsidR="00F94CB1" w:rsidRPr="00B66211" w:rsidRDefault="00F94CB1" w:rsidP="00C94D29">
            <w:pPr>
              <w:contextualSpacing/>
              <w:jc w:val="both"/>
            </w:pPr>
            <w:r w:rsidRPr="00B66211">
              <w:t xml:space="preserve">Vida útil de la UC </w:t>
            </w:r>
            <w:r w:rsidRPr="00B66211">
              <w:rPr>
                <w:i/>
              </w:rPr>
              <w:t>j</w:t>
            </w:r>
            <w:r w:rsidRPr="00B66211">
              <w:t>, expresada en años.</w:t>
            </w:r>
          </w:p>
          <w:p w14:paraId="39D75659" w14:textId="77777777" w:rsidR="00F94CB1" w:rsidRPr="00B66211" w:rsidRDefault="00F94CB1" w:rsidP="00C94D29">
            <w:pPr>
              <w:contextualSpacing/>
              <w:jc w:val="both"/>
            </w:pPr>
          </w:p>
        </w:tc>
      </w:tr>
      <w:tr w:rsidR="00F94CB1" w:rsidRPr="00B66211" w14:paraId="1D0E8C05" w14:textId="77777777" w:rsidTr="001E4162">
        <w:tc>
          <w:tcPr>
            <w:tcW w:w="1560" w:type="dxa"/>
          </w:tcPr>
          <w:p w14:paraId="48905B7A" w14:textId="470B16FB" w:rsidR="00F94CB1" w:rsidRPr="006D69FF" w:rsidRDefault="00F94CB1" w:rsidP="00C94D29">
            <w:pPr>
              <w:contextualSpacing/>
              <w:rPr>
                <w:rFonts w:eastAsia="Calibri"/>
                <w:i/>
              </w:rPr>
            </w:pPr>
            <w:r w:rsidRPr="006D69FF">
              <w:rPr>
                <w:rFonts w:eastAsia="Calibri"/>
                <w:i/>
              </w:rPr>
              <w:t>TD</w:t>
            </w:r>
          </w:p>
        </w:tc>
        <w:tc>
          <w:tcPr>
            <w:tcW w:w="283" w:type="dxa"/>
          </w:tcPr>
          <w:p w14:paraId="65122C36" w14:textId="7913E8EA" w:rsidR="00F94CB1" w:rsidRPr="006D69FF" w:rsidRDefault="00F94CB1" w:rsidP="00C94D29">
            <w:pPr>
              <w:ind w:left="-103"/>
              <w:contextualSpacing/>
              <w:jc w:val="center"/>
            </w:pPr>
            <w:r w:rsidRPr="006D69FF">
              <w:t>:</w:t>
            </w:r>
          </w:p>
        </w:tc>
        <w:tc>
          <w:tcPr>
            <w:tcW w:w="7513" w:type="dxa"/>
          </w:tcPr>
          <w:p w14:paraId="1677C77A" w14:textId="2CD10FAB" w:rsidR="00F94CB1" w:rsidRPr="00B66211" w:rsidRDefault="009D20D7" w:rsidP="00C94D29">
            <w:pPr>
              <w:contextualSpacing/>
              <w:jc w:val="both"/>
            </w:pPr>
            <w:r w:rsidRPr="006D69FF">
              <w:t xml:space="preserve">Tasa de descuento efectiva anual, para determinar la remuneración del componente de inversión de la SISFV. </w:t>
            </w:r>
            <w:r w:rsidR="00311CE7">
              <w:t>El valor aplicable será el que defina l</w:t>
            </w:r>
            <w:r w:rsidR="00D55267" w:rsidRPr="006D69FF">
              <w:t>a Comisión</w:t>
            </w:r>
            <w:r w:rsidR="005F6FAE" w:rsidRPr="006D69FF">
              <w:t xml:space="preserve"> en resolución aparte</w:t>
            </w:r>
            <w:r w:rsidR="00D55267" w:rsidRPr="006D69FF">
              <w:t xml:space="preserve">, aplicando </w:t>
            </w:r>
            <w:r w:rsidR="00280123">
              <w:t xml:space="preserve">lo </w:t>
            </w:r>
            <w:r w:rsidR="007D3E16">
              <w:t>previst</w:t>
            </w:r>
            <w:r w:rsidR="00280123">
              <w:t xml:space="preserve">o </w:t>
            </w:r>
            <w:r w:rsidR="00D55267" w:rsidRPr="006D69FF">
              <w:t>en la Resolución CREG 004 de 2021 y aquella</w:t>
            </w:r>
            <w:r w:rsidR="000058E2" w:rsidRPr="006D69FF">
              <w:t>s</w:t>
            </w:r>
            <w:r w:rsidR="00D55267" w:rsidRPr="006D69FF">
              <w:t xml:space="preserve"> que la modifique</w:t>
            </w:r>
            <w:r w:rsidR="000058E2" w:rsidRPr="006D69FF">
              <w:t>n,</w:t>
            </w:r>
            <w:r w:rsidR="00D55267" w:rsidRPr="006D69FF">
              <w:t xml:space="preserve"> adicione</w:t>
            </w:r>
            <w:r w:rsidR="000058E2" w:rsidRPr="006D69FF">
              <w:t>n</w:t>
            </w:r>
            <w:r w:rsidR="00D55267" w:rsidRPr="006D69FF">
              <w:t xml:space="preserve"> o sustituya</w:t>
            </w:r>
            <w:r w:rsidR="000058E2" w:rsidRPr="006D69FF">
              <w:t>n</w:t>
            </w:r>
            <w:r w:rsidR="005F6FAE" w:rsidRPr="006D69FF">
              <w:t>.</w:t>
            </w:r>
          </w:p>
          <w:p w14:paraId="2BD81E48" w14:textId="0E38072B" w:rsidR="00F94CB1" w:rsidRPr="00B66211" w:rsidRDefault="00F94CB1" w:rsidP="00C94D29">
            <w:pPr>
              <w:contextualSpacing/>
              <w:jc w:val="both"/>
            </w:pPr>
          </w:p>
        </w:tc>
      </w:tr>
      <w:tr w:rsidR="00F94CB1" w:rsidRPr="00B66211" w14:paraId="554EFC9B" w14:textId="77777777" w:rsidTr="001E4162">
        <w:tc>
          <w:tcPr>
            <w:tcW w:w="1560" w:type="dxa"/>
          </w:tcPr>
          <w:p w14:paraId="3624095B" w14:textId="736A722F" w:rsidR="00F94CB1" w:rsidRPr="00B66211" w:rsidRDefault="00F94CB1" w:rsidP="00C94D29">
            <w:pPr>
              <w:contextualSpacing/>
              <w:rPr>
                <w:rFonts w:eastAsia="Calibri"/>
                <w:i/>
              </w:rPr>
            </w:pPr>
            <m:oMathPara>
              <m:oMathParaPr>
                <m:jc m:val="left"/>
              </m:oMathParaPr>
              <m:oMath>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m-1</m:t>
                    </m:r>
                    <m:ctrlPr>
                      <w:rPr>
                        <w:rFonts w:ascii="Cambria Math" w:eastAsiaTheme="minorEastAsia" w:hAnsi="Cambria Math"/>
                        <w:i/>
                      </w:rPr>
                    </m:ctrlPr>
                  </m:sub>
                </m:sSub>
              </m:oMath>
            </m:oMathPara>
          </w:p>
        </w:tc>
        <w:tc>
          <w:tcPr>
            <w:tcW w:w="283" w:type="dxa"/>
          </w:tcPr>
          <w:p w14:paraId="1F87ABDF" w14:textId="55AB623E" w:rsidR="00F94CB1" w:rsidRPr="00B66211" w:rsidRDefault="00F94CB1" w:rsidP="00C94D29">
            <w:pPr>
              <w:ind w:left="-103"/>
              <w:contextualSpacing/>
              <w:jc w:val="center"/>
            </w:pPr>
            <w:r w:rsidRPr="00B66211">
              <w:t>:</w:t>
            </w:r>
          </w:p>
        </w:tc>
        <w:tc>
          <w:tcPr>
            <w:tcW w:w="7513" w:type="dxa"/>
          </w:tcPr>
          <w:p w14:paraId="2AE4D764" w14:textId="77777777" w:rsidR="00F94CB1" w:rsidRPr="00B66211" w:rsidRDefault="00F94CB1" w:rsidP="00C94D29">
            <w:pPr>
              <w:ind w:right="142"/>
              <w:contextualSpacing/>
              <w:jc w:val="both"/>
              <w:rPr>
                <w:rFonts w:cs="Arial"/>
              </w:rPr>
            </w:pPr>
            <w:r w:rsidRPr="00B66211">
              <w:rPr>
                <w:rFonts w:cs="Arial"/>
              </w:rPr>
              <w:t xml:space="preserve">Índice de precios al productor, Oferta Interna, del mes </w:t>
            </w:r>
            <w:r w:rsidRPr="00B66211">
              <w:rPr>
                <w:rFonts w:cs="Arial"/>
                <w:i/>
              </w:rPr>
              <w:t>m-1</w:t>
            </w:r>
            <w:r w:rsidRPr="00B66211">
              <w:rPr>
                <w:rFonts w:cs="Arial"/>
              </w:rPr>
              <w:t>.</w:t>
            </w:r>
          </w:p>
          <w:p w14:paraId="32D94C40" w14:textId="77777777" w:rsidR="00F94CB1" w:rsidRPr="00B66211" w:rsidRDefault="00F94CB1" w:rsidP="00C94D29">
            <w:pPr>
              <w:contextualSpacing/>
              <w:jc w:val="both"/>
            </w:pPr>
          </w:p>
        </w:tc>
      </w:tr>
      <w:tr w:rsidR="00F94CB1" w:rsidRPr="00B66211" w14:paraId="606442A2" w14:textId="77777777" w:rsidTr="001E4162">
        <w:tc>
          <w:tcPr>
            <w:tcW w:w="1560" w:type="dxa"/>
          </w:tcPr>
          <w:p w14:paraId="7D1210F0" w14:textId="2827DC44" w:rsidR="00F94CB1" w:rsidRPr="00B66211" w:rsidRDefault="00F94CB1" w:rsidP="00C94D29">
            <w:pPr>
              <w:contextualSpacing/>
              <w:rPr>
                <w:rFonts w:eastAsia="Calibri"/>
                <w:i/>
              </w:rPr>
            </w:pPr>
            <m:oMathPara>
              <m:oMathParaPr>
                <m:jc m:val="left"/>
              </m:oMathParaPr>
              <m:oMath>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0</m:t>
                    </m:r>
                  </m:sub>
                </m:sSub>
              </m:oMath>
            </m:oMathPara>
          </w:p>
        </w:tc>
        <w:tc>
          <w:tcPr>
            <w:tcW w:w="283" w:type="dxa"/>
          </w:tcPr>
          <w:p w14:paraId="3920C465" w14:textId="1C39D461" w:rsidR="00F94CB1" w:rsidRPr="00B66211" w:rsidRDefault="00F94CB1" w:rsidP="00C94D29">
            <w:pPr>
              <w:ind w:left="-103"/>
              <w:contextualSpacing/>
              <w:jc w:val="center"/>
            </w:pPr>
            <w:r w:rsidRPr="00B66211">
              <w:t>:</w:t>
            </w:r>
          </w:p>
        </w:tc>
        <w:tc>
          <w:tcPr>
            <w:tcW w:w="7513" w:type="dxa"/>
          </w:tcPr>
          <w:p w14:paraId="71953F23" w14:textId="77777777" w:rsidR="00F94CB1" w:rsidRPr="00B66211" w:rsidRDefault="00F94CB1" w:rsidP="00C94D29">
            <w:pPr>
              <w:ind w:right="142"/>
              <w:contextualSpacing/>
              <w:jc w:val="both"/>
              <w:rPr>
                <w:rFonts w:cs="Arial"/>
              </w:rPr>
            </w:pPr>
            <w:r w:rsidRPr="00B66211">
              <w:rPr>
                <w:rFonts w:cs="Arial"/>
              </w:rPr>
              <w:t>Índice de precios al productor, Oferta Interna, de la fecha base.</w:t>
            </w:r>
          </w:p>
          <w:p w14:paraId="391B1E40" w14:textId="77777777" w:rsidR="00F94CB1" w:rsidRPr="00B66211" w:rsidRDefault="00F94CB1" w:rsidP="00C94D29">
            <w:pPr>
              <w:contextualSpacing/>
              <w:jc w:val="both"/>
            </w:pPr>
          </w:p>
        </w:tc>
      </w:tr>
      <w:tr w:rsidR="00F94CB1" w:rsidRPr="00B66211" w14:paraId="7839AF55" w14:textId="77777777" w:rsidTr="001E4162">
        <w:tc>
          <w:tcPr>
            <w:tcW w:w="1560" w:type="dxa"/>
          </w:tcPr>
          <w:p w14:paraId="198275B7" w14:textId="77777777" w:rsidR="00F94CB1" w:rsidRPr="00B66211" w:rsidRDefault="00F94CB1" w:rsidP="00C94D29">
            <w:pPr>
              <w:contextualSpacing/>
              <w:rPr>
                <w:rFonts w:eastAsia="Calibri"/>
                <w:i/>
              </w:rPr>
            </w:pPr>
            <m:oMathPara>
              <m:oMathParaPr>
                <m:jc m:val="left"/>
              </m:oMathParaPr>
              <m:oMath>
                <m:r>
                  <w:rPr>
                    <w:rFonts w:ascii="Cambria Math" w:hAnsi="Cambria Math"/>
                  </w:rPr>
                  <m:t>m</m:t>
                </m:r>
              </m:oMath>
            </m:oMathPara>
          </w:p>
        </w:tc>
        <w:tc>
          <w:tcPr>
            <w:tcW w:w="283" w:type="dxa"/>
          </w:tcPr>
          <w:p w14:paraId="3CEAB543" w14:textId="77777777" w:rsidR="00F94CB1" w:rsidRPr="00B66211" w:rsidRDefault="00F94CB1" w:rsidP="00C94D29">
            <w:pPr>
              <w:ind w:left="-103"/>
              <w:contextualSpacing/>
              <w:jc w:val="center"/>
            </w:pPr>
            <w:r w:rsidRPr="00B66211">
              <w:t>:</w:t>
            </w:r>
          </w:p>
        </w:tc>
        <w:tc>
          <w:tcPr>
            <w:tcW w:w="7513" w:type="dxa"/>
          </w:tcPr>
          <w:p w14:paraId="1338A5A2" w14:textId="49323D6C" w:rsidR="00F94CB1" w:rsidRPr="00B66211" w:rsidRDefault="00F94CB1" w:rsidP="00C94D29">
            <w:pPr>
              <w:ind w:left="18"/>
              <w:contextualSpacing/>
              <w:jc w:val="both"/>
            </w:pPr>
            <w:r w:rsidRPr="00B66211">
              <w:t xml:space="preserve">Mes para el que </w:t>
            </w:r>
            <w:r>
              <w:t xml:space="preserve">se calcula y </w:t>
            </w:r>
            <w:r w:rsidRPr="00B66211">
              <w:t>aplica el costo unitario.</w:t>
            </w:r>
          </w:p>
          <w:p w14:paraId="7F36E69A" w14:textId="77777777" w:rsidR="00F94CB1" w:rsidRPr="00B66211" w:rsidRDefault="00F94CB1" w:rsidP="00C94D29">
            <w:pPr>
              <w:ind w:left="18"/>
              <w:contextualSpacing/>
              <w:jc w:val="both"/>
            </w:pPr>
          </w:p>
        </w:tc>
      </w:tr>
    </w:tbl>
    <w:p w14:paraId="0F916E15" w14:textId="77777777" w:rsidR="00C03490" w:rsidRPr="00E44A51" w:rsidRDefault="00C03490" w:rsidP="00C94D29">
      <w:pPr>
        <w:ind w:right="142"/>
        <w:contextualSpacing/>
        <w:jc w:val="both"/>
        <w:rPr>
          <w:rFonts w:cs="Arial"/>
        </w:rPr>
      </w:pPr>
    </w:p>
    <w:p w14:paraId="1C185669" w14:textId="59FB1B02" w:rsidR="008F36B0" w:rsidRPr="00E44A51" w:rsidRDefault="00316E4B" w:rsidP="00C94D29">
      <w:pPr>
        <w:ind w:right="142"/>
        <w:contextualSpacing/>
        <w:jc w:val="both"/>
        <w:rPr>
          <w:rFonts w:cs="Arial"/>
        </w:rPr>
      </w:pPr>
      <w:r w:rsidRPr="00E44A51">
        <w:rPr>
          <w:rFonts w:cs="Arial"/>
          <w:b/>
        </w:rPr>
        <w:t>Parágrafo</w:t>
      </w:r>
      <w:r w:rsidR="00ED67CD" w:rsidRPr="00E44A51">
        <w:rPr>
          <w:rFonts w:cs="Arial"/>
          <w:b/>
        </w:rPr>
        <w:t xml:space="preserve"> </w:t>
      </w:r>
      <w:r w:rsidR="005F4978" w:rsidRPr="00E44A51">
        <w:rPr>
          <w:rFonts w:cs="Arial"/>
          <w:b/>
        </w:rPr>
        <w:t>1</w:t>
      </w:r>
      <w:r w:rsidRPr="00E44A51">
        <w:rPr>
          <w:rFonts w:cs="Arial"/>
          <w:b/>
        </w:rPr>
        <w:t>.</w:t>
      </w:r>
      <w:r w:rsidRPr="00E44A51">
        <w:rPr>
          <w:rFonts w:cs="Arial"/>
        </w:rPr>
        <w:t xml:space="preserve"> </w:t>
      </w:r>
      <w:r w:rsidR="00ED67CD" w:rsidRPr="00E44A51">
        <w:rPr>
          <w:rFonts w:cs="Arial"/>
        </w:rPr>
        <w:t>Las UC que conforman una SISFV</w:t>
      </w:r>
      <w:r w:rsidR="004451F6" w:rsidRPr="00E44A51">
        <w:rPr>
          <w:rFonts w:cs="Arial"/>
        </w:rPr>
        <w:t>,</w:t>
      </w:r>
      <w:r w:rsidR="00ED67CD" w:rsidRPr="00E44A51">
        <w:rPr>
          <w:rFonts w:cs="Arial"/>
        </w:rPr>
        <w:t xml:space="preserve"> </w:t>
      </w:r>
      <w:r w:rsidR="00063590" w:rsidRPr="00E44A51">
        <w:rPr>
          <w:rFonts w:cs="Arial"/>
        </w:rPr>
        <w:t>para un nivel de servicio y</w:t>
      </w:r>
      <w:r w:rsidR="00F8185E">
        <w:rPr>
          <w:rFonts w:cs="Arial"/>
        </w:rPr>
        <w:t xml:space="preserve"> una</w:t>
      </w:r>
      <w:r w:rsidR="00063590" w:rsidRPr="00E44A51">
        <w:rPr>
          <w:rFonts w:cs="Arial"/>
        </w:rPr>
        <w:t xml:space="preserve"> </w:t>
      </w:r>
      <w:r w:rsidR="008C2CD5" w:rsidRPr="00E44A51">
        <w:rPr>
          <w:rFonts w:cs="Arial"/>
        </w:rPr>
        <w:t>ubicación de usuario (</w:t>
      </w:r>
      <w:r w:rsidR="00063590" w:rsidRPr="00E44A51">
        <w:rPr>
          <w:rFonts w:cs="Arial"/>
        </w:rPr>
        <w:t>municipio</w:t>
      </w:r>
      <w:r w:rsidR="008C2CD5" w:rsidRPr="00E44A51">
        <w:rPr>
          <w:rFonts w:cs="Arial"/>
        </w:rPr>
        <w:t>)</w:t>
      </w:r>
      <w:r w:rsidR="005A5AE5" w:rsidRPr="00E44A51">
        <w:rPr>
          <w:rFonts w:cs="Arial"/>
        </w:rPr>
        <w:t xml:space="preserve"> </w:t>
      </w:r>
      <w:r w:rsidR="00251A8E" w:rsidRPr="00E44A51">
        <w:rPr>
          <w:rFonts w:cs="Arial"/>
        </w:rPr>
        <w:t>particular</w:t>
      </w:r>
      <w:r w:rsidR="004451F6" w:rsidRPr="00E44A51">
        <w:rPr>
          <w:rFonts w:cs="Arial"/>
        </w:rPr>
        <w:t>,</w:t>
      </w:r>
      <w:r w:rsidR="005A5AE5" w:rsidRPr="00E44A51">
        <w:rPr>
          <w:rFonts w:cs="Arial"/>
        </w:rPr>
        <w:t xml:space="preserve"> serán las que se</w:t>
      </w:r>
      <w:r w:rsidR="00DE31B8" w:rsidRPr="00E44A51">
        <w:rPr>
          <w:rFonts w:cs="Arial"/>
        </w:rPr>
        <w:t xml:space="preserve"> obtengan del modelo de cálculo publicado por la CREG como anexo a esta resolución</w:t>
      </w:r>
      <w:r w:rsidR="00CB6FF8" w:rsidRPr="00E44A51">
        <w:rPr>
          <w:rFonts w:cs="Arial"/>
        </w:rPr>
        <w:t>.</w:t>
      </w:r>
    </w:p>
    <w:p w14:paraId="457C9A30" w14:textId="77777777" w:rsidR="008F36B0" w:rsidRPr="00E44A51" w:rsidRDefault="008F36B0" w:rsidP="00C94D29">
      <w:pPr>
        <w:ind w:right="142"/>
        <w:contextualSpacing/>
        <w:jc w:val="both"/>
        <w:rPr>
          <w:rFonts w:cs="Arial"/>
        </w:rPr>
      </w:pPr>
    </w:p>
    <w:p w14:paraId="47A7DAB8" w14:textId="19C46C07" w:rsidR="005F4978" w:rsidRPr="00B66211" w:rsidRDefault="005F4978" w:rsidP="00C94D29">
      <w:pPr>
        <w:ind w:right="142"/>
        <w:contextualSpacing/>
        <w:jc w:val="both"/>
        <w:rPr>
          <w:rFonts w:cs="Arial"/>
        </w:rPr>
      </w:pPr>
      <w:r w:rsidRPr="00E44A51">
        <w:rPr>
          <w:rFonts w:cs="Arial"/>
          <w:b/>
        </w:rPr>
        <w:t xml:space="preserve">Parágrafo </w:t>
      </w:r>
      <w:r w:rsidR="00621F13" w:rsidRPr="00E44A51">
        <w:rPr>
          <w:rFonts w:cs="Arial"/>
          <w:b/>
        </w:rPr>
        <w:t>2</w:t>
      </w:r>
      <w:r w:rsidRPr="00E44A51">
        <w:rPr>
          <w:rFonts w:cs="Arial"/>
          <w:b/>
        </w:rPr>
        <w:t>.</w:t>
      </w:r>
      <w:r w:rsidRPr="00E44A51">
        <w:rPr>
          <w:rFonts w:cs="Arial"/>
        </w:rPr>
        <w:t xml:space="preserve"> Los valores </w:t>
      </w:r>
      <w:bookmarkStart w:id="2" w:name="_Hlk104976025"/>
      <m:oMath>
        <m:sSub>
          <m:sSubPr>
            <m:ctrlPr>
              <w:rPr>
                <w:rFonts w:ascii="Cambria Math" w:hAnsi="Cambria Math"/>
                <w:i/>
              </w:rPr>
            </m:ctrlPr>
          </m:sSubPr>
          <m:e>
            <m:r>
              <w:rPr>
                <w:rFonts w:ascii="Cambria Math" w:hAnsi="Cambria Math"/>
              </w:rPr>
              <m:t>VI</m:t>
            </m:r>
          </m:e>
          <m:sub>
            <m:r>
              <w:rPr>
                <w:rFonts w:ascii="Cambria Math" w:hAnsi="Cambria Math"/>
              </w:rPr>
              <m:t>j,0</m:t>
            </m:r>
          </m:sub>
        </m:sSub>
      </m:oMath>
      <w:r w:rsidR="007F4617">
        <w:rPr>
          <w:rFonts w:cs="Arial"/>
        </w:rPr>
        <w:t xml:space="preserve"> y</w:t>
      </w:r>
      <w:r w:rsidR="00ED294E" w:rsidRPr="003B488E">
        <w:rPr>
          <w:rFonts w:cs="Arial"/>
        </w:rPr>
        <w:t xml:space="preserve"> </w:t>
      </w:r>
      <m:oMath>
        <m:sSub>
          <m:sSubPr>
            <m:ctrlPr>
              <w:rPr>
                <w:rFonts w:ascii="Cambria Math" w:hAnsi="Cambria Math"/>
                <w:i/>
              </w:rPr>
            </m:ctrlPr>
          </m:sSubPr>
          <m:e>
            <m:r>
              <w:rPr>
                <w:rFonts w:ascii="Cambria Math" w:hAnsi="Cambria Math"/>
              </w:rPr>
              <m:t>VU</m:t>
            </m:r>
          </m:e>
          <m:sub>
            <m:r>
              <w:rPr>
                <w:rFonts w:ascii="Cambria Math" w:hAnsi="Cambria Math"/>
              </w:rPr>
              <m:t>j</m:t>
            </m:r>
          </m:sub>
        </m:sSub>
      </m:oMath>
      <w:r w:rsidR="00ED294E" w:rsidRPr="003B488E">
        <w:rPr>
          <w:rFonts w:cs="Arial"/>
        </w:rPr>
        <w:t xml:space="preserve"> </w:t>
      </w:r>
      <w:bookmarkEnd w:id="2"/>
      <w:r w:rsidR="004201E5" w:rsidRPr="00E44A51">
        <w:rPr>
          <w:rFonts w:cs="Arial"/>
        </w:rPr>
        <w:t>de una SISFV</w:t>
      </w:r>
      <w:r w:rsidR="004451F6" w:rsidRPr="00E44A51">
        <w:rPr>
          <w:rFonts w:cs="Arial"/>
        </w:rPr>
        <w:t xml:space="preserve"> para un nivel de servicio y </w:t>
      </w:r>
      <w:r w:rsidR="00782EF7">
        <w:rPr>
          <w:rFonts w:cs="Arial"/>
        </w:rPr>
        <w:t xml:space="preserve">una </w:t>
      </w:r>
      <w:r w:rsidR="004451F6" w:rsidRPr="00E44A51">
        <w:rPr>
          <w:rFonts w:cs="Arial"/>
        </w:rPr>
        <w:t>ubicación de usuario (municipio) particular</w:t>
      </w:r>
      <w:r w:rsidR="00DF04BE" w:rsidRPr="00E44A51">
        <w:rPr>
          <w:rFonts w:cs="Arial"/>
        </w:rPr>
        <w:t xml:space="preserve">, </w:t>
      </w:r>
      <w:r w:rsidRPr="00E44A51">
        <w:rPr>
          <w:rFonts w:cs="Arial"/>
        </w:rPr>
        <w:t xml:space="preserve">serán los que se obtengan del </w:t>
      </w:r>
      <w:bookmarkStart w:id="3" w:name="_Hlk104975113"/>
      <w:r w:rsidRPr="00E44A51">
        <w:rPr>
          <w:rFonts w:cs="Arial"/>
        </w:rPr>
        <w:t>modelo de cálculo publicado por la CREG como anexo a esta resolución</w:t>
      </w:r>
      <w:bookmarkEnd w:id="3"/>
      <w:r w:rsidRPr="00E44A51">
        <w:rPr>
          <w:rFonts w:cs="Arial"/>
        </w:rPr>
        <w:t>.</w:t>
      </w:r>
    </w:p>
    <w:p w14:paraId="7F179B25" w14:textId="77777777" w:rsidR="005F4978" w:rsidRPr="00B66211" w:rsidRDefault="005F4978" w:rsidP="00C94D29">
      <w:pPr>
        <w:ind w:right="142"/>
        <w:contextualSpacing/>
        <w:jc w:val="both"/>
        <w:rPr>
          <w:rFonts w:cs="Arial"/>
        </w:rPr>
      </w:pPr>
    </w:p>
    <w:p w14:paraId="544FF5C1" w14:textId="73590A4B" w:rsidR="002B0B9A" w:rsidRPr="00ED2DD0" w:rsidRDefault="002B0B9A" w:rsidP="00C94D29">
      <w:pPr>
        <w:pStyle w:val="Ttulo1"/>
        <w:contextualSpacing/>
      </w:pPr>
      <w:r w:rsidRPr="002331C9">
        <w:t xml:space="preserve">CAPITULO </w:t>
      </w:r>
      <w:r w:rsidRPr="00ED2DD0">
        <w:t>V</w:t>
      </w:r>
    </w:p>
    <w:p w14:paraId="1A93BF76" w14:textId="77777777" w:rsidR="002B0B9A" w:rsidRPr="00B66211" w:rsidRDefault="002B0B9A" w:rsidP="00C94D29">
      <w:pPr>
        <w:contextualSpacing/>
        <w:jc w:val="both"/>
      </w:pPr>
    </w:p>
    <w:p w14:paraId="3124DD3F" w14:textId="27954BDA" w:rsidR="002B0B9A" w:rsidRPr="00ED2DD0" w:rsidRDefault="007732C5" w:rsidP="00C94D29">
      <w:pPr>
        <w:pStyle w:val="Ttulo1"/>
        <w:contextualSpacing/>
      </w:pPr>
      <w:r w:rsidRPr="006113EA">
        <w:t>GASTOS</w:t>
      </w:r>
      <w:r w:rsidR="002B0B9A" w:rsidRPr="006113EA">
        <w:t xml:space="preserve"> DE </w:t>
      </w:r>
      <w:r w:rsidR="008E6AEA" w:rsidRPr="00ED2DD0">
        <w:t xml:space="preserve">ADMINISTRACIÓN, MANTENIMIENTO Y GESTIÓN </w:t>
      </w:r>
      <w:r w:rsidR="002B0B9A" w:rsidRPr="00ED2DD0">
        <w:t>COMERCIA</w:t>
      </w:r>
      <w:r w:rsidR="008E6AEA" w:rsidRPr="00ED2DD0">
        <w:t>L</w:t>
      </w:r>
    </w:p>
    <w:p w14:paraId="5F763158" w14:textId="77777777" w:rsidR="002B0B9A" w:rsidRPr="00B66211" w:rsidRDefault="002B0B9A" w:rsidP="00C94D29">
      <w:pPr>
        <w:contextualSpacing/>
      </w:pPr>
    </w:p>
    <w:p w14:paraId="16B74313" w14:textId="0A03B30C" w:rsidR="00194C92" w:rsidRPr="006113EA" w:rsidRDefault="00404603" w:rsidP="00C94D29">
      <w:pPr>
        <w:pStyle w:val="Ttulo7"/>
        <w:numPr>
          <w:ilvl w:val="0"/>
          <w:numId w:val="26"/>
        </w:numPr>
        <w:tabs>
          <w:tab w:val="num" w:pos="360"/>
        </w:tabs>
        <w:spacing w:before="0" w:after="0"/>
        <w:contextualSpacing/>
        <w:jc w:val="both"/>
        <w:rPr>
          <w:rFonts w:ascii="Bookman Old Style" w:hAnsi="Bookman Old Style"/>
          <w:b/>
        </w:rPr>
      </w:pPr>
      <w:r w:rsidRPr="006113EA">
        <w:rPr>
          <w:rFonts w:ascii="Bookman Old Style" w:hAnsi="Bookman Old Style"/>
          <w:b/>
        </w:rPr>
        <w:t xml:space="preserve">Cargo máximo de </w:t>
      </w:r>
      <w:r w:rsidR="00D16D31" w:rsidRPr="006113EA">
        <w:rPr>
          <w:rFonts w:ascii="Bookman Old Style" w:hAnsi="Bookman Old Style"/>
          <w:b/>
        </w:rPr>
        <w:t>administración, mantenimiento y gestión comercial</w:t>
      </w:r>
      <w:r w:rsidR="007814F8">
        <w:rPr>
          <w:rFonts w:ascii="Bookman Old Style" w:hAnsi="Bookman Old Style"/>
          <w:b/>
        </w:rPr>
        <w:t>, AMGC,</w:t>
      </w:r>
      <w:r w:rsidR="00D16D31" w:rsidRPr="006113EA">
        <w:rPr>
          <w:rFonts w:ascii="Bookman Old Style" w:hAnsi="Bookman Old Style"/>
          <w:b/>
        </w:rPr>
        <w:t xml:space="preserve"> </w:t>
      </w:r>
      <w:r w:rsidRPr="006113EA">
        <w:rPr>
          <w:rFonts w:ascii="Bookman Old Style" w:hAnsi="Bookman Old Style"/>
          <w:b/>
        </w:rPr>
        <w:t>de energía eléctrica</w:t>
      </w:r>
      <w:r w:rsidR="00EA63D3" w:rsidRPr="006113EA">
        <w:rPr>
          <w:rFonts w:ascii="Bookman Old Style" w:hAnsi="Bookman Old Style"/>
          <w:b/>
        </w:rPr>
        <w:t xml:space="preserve"> </w:t>
      </w:r>
      <w:r w:rsidR="00C56FBD" w:rsidRPr="006113EA">
        <w:rPr>
          <w:rFonts w:ascii="Bookman Old Style" w:hAnsi="Bookman Old Style"/>
          <w:b/>
        </w:rPr>
        <w:t xml:space="preserve">para usuarios atendidos mediante soluciones individuales </w:t>
      </w:r>
      <w:r w:rsidR="0079561E" w:rsidRPr="006113EA">
        <w:rPr>
          <w:rFonts w:ascii="Bookman Old Style" w:hAnsi="Bookman Old Style"/>
          <w:b/>
        </w:rPr>
        <w:t>solares</w:t>
      </w:r>
      <w:r w:rsidR="00A9217E" w:rsidRPr="006113EA">
        <w:rPr>
          <w:rFonts w:ascii="Bookman Old Style" w:hAnsi="Bookman Old Style"/>
          <w:b/>
        </w:rPr>
        <w:t xml:space="preserve"> fotovoltaicas. </w:t>
      </w:r>
      <w:r w:rsidR="00194C92" w:rsidRPr="006113EA">
        <w:rPr>
          <w:rFonts w:ascii="Bookman Old Style" w:hAnsi="Bookman Old Style"/>
        </w:rPr>
        <w:t xml:space="preserve">El cargo máximo de </w:t>
      </w:r>
      <w:r w:rsidR="00D16D31" w:rsidRPr="006113EA">
        <w:rPr>
          <w:rFonts w:ascii="Bookman Old Style" w:hAnsi="Bookman Old Style"/>
        </w:rPr>
        <w:t>administración, mantenimiento y gestión comercial</w:t>
      </w:r>
      <w:r w:rsidR="00DB6947" w:rsidRPr="006113EA">
        <w:rPr>
          <w:rFonts w:ascii="Bookman Old Style" w:hAnsi="Bookman Old Style"/>
        </w:rPr>
        <w:t>,</w:t>
      </w:r>
      <w:r w:rsidR="00DB6947" w:rsidRPr="00DB6947">
        <w:rPr>
          <w:rFonts w:ascii="Cambria Math" w:hAnsi="Cambria Math"/>
          <w:i/>
        </w:rPr>
        <w:t xml:space="preserve"> </w:t>
      </w:r>
      <m:oMath>
        <m:sSub>
          <m:sSubPr>
            <m:ctrlPr>
              <w:rPr>
                <w:rFonts w:ascii="Cambria Math" w:hAnsi="Cambria Math"/>
                <w:i/>
              </w:rPr>
            </m:ctrlPr>
          </m:sSubPr>
          <m:e>
            <m:r>
              <w:rPr>
                <w:rFonts w:ascii="Cambria Math" w:hAnsi="Cambria Math"/>
              </w:rPr>
              <m:t>AMGC</m:t>
            </m:r>
          </m:e>
          <m:sub>
            <m:r>
              <w:rPr>
                <w:rFonts w:ascii="Cambria Math" w:hAnsi="Cambria Math"/>
              </w:rPr>
              <m:t>m</m:t>
            </m:r>
          </m:sub>
        </m:sSub>
      </m:oMath>
      <w:r w:rsidR="00DB6947" w:rsidRPr="006113EA">
        <w:rPr>
          <w:rFonts w:ascii="Bookman Old Style" w:hAnsi="Bookman Old Style"/>
        </w:rPr>
        <w:t>,</w:t>
      </w:r>
      <w:r w:rsidR="0029131D" w:rsidRPr="006113EA">
        <w:rPr>
          <w:rFonts w:ascii="Bookman Old Style" w:hAnsi="Bookman Old Style"/>
        </w:rPr>
        <w:t xml:space="preserve"> </w:t>
      </w:r>
      <w:r w:rsidR="00D477E2" w:rsidRPr="006113EA">
        <w:rPr>
          <w:rFonts w:ascii="Bookman Old Style" w:hAnsi="Bookman Old Style"/>
        </w:rPr>
        <w:t xml:space="preserve">aplicable </w:t>
      </w:r>
      <w:r w:rsidR="00194C92" w:rsidRPr="006113EA">
        <w:rPr>
          <w:rFonts w:ascii="Bookman Old Style" w:hAnsi="Bookman Old Style"/>
        </w:rPr>
        <w:t xml:space="preserve">a los usuarios regulados </w:t>
      </w:r>
      <w:r w:rsidR="00205D10" w:rsidRPr="006113EA">
        <w:rPr>
          <w:rFonts w:ascii="Bookman Old Style" w:hAnsi="Bookman Old Style"/>
        </w:rPr>
        <w:t xml:space="preserve">durante </w:t>
      </w:r>
      <w:r w:rsidR="00194C92" w:rsidRPr="006113EA">
        <w:rPr>
          <w:rFonts w:ascii="Bookman Old Style" w:hAnsi="Bookman Old Style"/>
        </w:rPr>
        <w:t xml:space="preserve">el mes </w:t>
      </w:r>
      <w:r w:rsidR="00194C92" w:rsidRPr="006113EA">
        <w:rPr>
          <w:rFonts w:ascii="Bookman Old Style" w:hAnsi="Bookman Old Style"/>
          <w:i/>
        </w:rPr>
        <w:t>m</w:t>
      </w:r>
      <w:r w:rsidR="00832091" w:rsidRPr="006113EA">
        <w:rPr>
          <w:rFonts w:ascii="Bookman Old Style" w:hAnsi="Bookman Old Style"/>
        </w:rPr>
        <w:t>, s</w:t>
      </w:r>
      <w:r w:rsidR="00194C92" w:rsidRPr="006113EA">
        <w:rPr>
          <w:rFonts w:ascii="Bookman Old Style" w:hAnsi="Bookman Old Style"/>
        </w:rPr>
        <w:t xml:space="preserve">e expresa en pesos al </w:t>
      </w:r>
      <w:r w:rsidR="00205D10" w:rsidRPr="006113EA">
        <w:rPr>
          <w:rFonts w:ascii="Bookman Old Style" w:hAnsi="Bookman Old Style"/>
        </w:rPr>
        <w:t xml:space="preserve">día </w:t>
      </w:r>
      <w:r w:rsidR="00194C92" w:rsidRPr="006113EA">
        <w:rPr>
          <w:rFonts w:ascii="Bookman Old Style" w:hAnsi="Bookman Old Style"/>
        </w:rPr>
        <w:t>($/</w:t>
      </w:r>
      <w:r w:rsidR="00205D10" w:rsidRPr="006113EA">
        <w:rPr>
          <w:rFonts w:ascii="Bookman Old Style" w:hAnsi="Bookman Old Style"/>
        </w:rPr>
        <w:t>día</w:t>
      </w:r>
      <w:r w:rsidR="00194C92" w:rsidRPr="006113EA">
        <w:rPr>
          <w:rFonts w:ascii="Bookman Old Style" w:hAnsi="Bookman Old Style"/>
        </w:rPr>
        <w:t xml:space="preserve">) y se determina </w:t>
      </w:r>
      <w:r w:rsidR="005C460E" w:rsidRPr="006113EA">
        <w:rPr>
          <w:rFonts w:ascii="Bookman Old Style" w:hAnsi="Bookman Old Style"/>
        </w:rPr>
        <w:t xml:space="preserve">a partir de la siguiente </w:t>
      </w:r>
      <w:r w:rsidR="00AA355C" w:rsidRPr="006113EA">
        <w:rPr>
          <w:rFonts w:ascii="Bookman Old Style" w:hAnsi="Bookman Old Style"/>
        </w:rPr>
        <w:t>fórmula</w:t>
      </w:r>
      <w:r w:rsidR="00194C92" w:rsidRPr="006113EA">
        <w:rPr>
          <w:rFonts w:ascii="Bookman Old Style" w:hAnsi="Bookman Old Style"/>
        </w:rPr>
        <w:t>:</w:t>
      </w:r>
    </w:p>
    <w:p w14:paraId="31DC589E" w14:textId="77777777" w:rsidR="008F36B0" w:rsidRPr="00B66211" w:rsidRDefault="008F36B0" w:rsidP="00C94D29">
      <w:pPr>
        <w:contextualSpacing/>
      </w:pPr>
    </w:p>
    <w:p w14:paraId="6D406649" w14:textId="6DF1F36D" w:rsidR="008F36B0" w:rsidRPr="00B66211" w:rsidRDefault="005E2372" w:rsidP="00C94D29">
      <w:pPr>
        <w:contextualSpacing/>
      </w:pPr>
      <m:oMathPara>
        <m:oMath>
          <m:sSub>
            <m:sSubPr>
              <m:ctrlPr>
                <w:rPr>
                  <w:rFonts w:ascii="Cambria Math" w:hAnsi="Cambria Math"/>
                  <w:i/>
                </w:rPr>
              </m:ctrlPr>
            </m:sSubPr>
            <m:e>
              <m:r>
                <w:rPr>
                  <w:rFonts w:ascii="Cambria Math" w:hAnsi="Cambria Math"/>
                </w:rPr>
                <m:t>AMGC</m:t>
              </m:r>
            </m:e>
            <m:sub>
              <m:r>
                <w:rPr>
                  <w:rFonts w:ascii="Cambria Math" w:hAnsi="Cambria Math"/>
                </w:rPr>
                <m:t>m</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AMGC</m:t>
                  </m:r>
                </m:e>
                <m:sub>
                  <m:r>
                    <w:rPr>
                      <w:rFonts w:ascii="Cambria Math" w:hAnsi="Cambria Math"/>
                    </w:rPr>
                    <m:t>NU,m,0</m:t>
                  </m:r>
                </m:sub>
              </m:sSub>
              <m:r>
                <w:rPr>
                  <w:rFonts w:ascii="Cambria Math" w:hAnsi="Cambria Math"/>
                </w:rPr>
                <m:t>+</m:t>
              </m:r>
              <m:sSub>
                <m:sSubPr>
                  <m:ctrlPr>
                    <w:rPr>
                      <w:rFonts w:ascii="Cambria Math" w:hAnsi="Cambria Math"/>
                      <w:i/>
                    </w:rPr>
                  </m:ctrlPr>
                </m:sSubPr>
                <m:e>
                  <m:r>
                    <w:rPr>
                      <w:rFonts w:ascii="Cambria Math" w:hAnsi="Cambria Math"/>
                    </w:rPr>
                    <m:t>AMGC</m:t>
                  </m:r>
                </m:e>
                <m:sub>
                  <m:r>
                    <w:rPr>
                      <w:rFonts w:ascii="Cambria Math" w:hAnsi="Cambria Math"/>
                    </w:rPr>
                    <m:t>VI,0</m:t>
                  </m:r>
                </m:sub>
              </m:sSub>
              <m:r>
                <w:rPr>
                  <w:rFonts w:ascii="Cambria Math" w:hAnsi="Cambria Math"/>
                </w:rPr>
                <m:t>+</m:t>
              </m:r>
              <m:sSub>
                <m:sSubPr>
                  <m:ctrlPr>
                    <w:rPr>
                      <w:rFonts w:ascii="Cambria Math" w:hAnsi="Cambria Math"/>
                      <w:i/>
                    </w:rPr>
                  </m:ctrlPr>
                </m:sSubPr>
                <m:e>
                  <m:r>
                    <w:rPr>
                      <w:rFonts w:ascii="Cambria Math" w:hAnsi="Cambria Math"/>
                    </w:rPr>
                    <m:t>AMGC</m:t>
                  </m:r>
                </m:e>
                <m:sub>
                  <m:r>
                    <w:rPr>
                      <w:rFonts w:ascii="Cambria Math" w:hAnsi="Cambria Math"/>
                    </w:rPr>
                    <m:t>AU,0</m:t>
                  </m:r>
                </m:sub>
              </m:sSub>
              <m:r>
                <w:rPr>
                  <w:rFonts w:ascii="Cambria Math" w:hAnsi="Cambria Math"/>
                </w:rPr>
                <m:t>+</m:t>
              </m:r>
              <m:sSub>
                <m:sSubPr>
                  <m:ctrlPr>
                    <w:rPr>
                      <w:rFonts w:ascii="Cambria Math" w:hAnsi="Cambria Math"/>
                      <w:i/>
                    </w:rPr>
                  </m:ctrlPr>
                </m:sSubPr>
                <m:e>
                  <m:r>
                    <w:rPr>
                      <w:rFonts w:ascii="Cambria Math" w:hAnsi="Cambria Math"/>
                    </w:rPr>
                    <m:t>AMGC</m:t>
                  </m:r>
                </m:e>
                <m:sub>
                  <m:r>
                    <w:rPr>
                      <w:rFonts w:ascii="Cambria Math" w:hAnsi="Cambria Math"/>
                    </w:rPr>
                    <m:t>NF,m,0</m:t>
                  </m:r>
                </m:sub>
              </m:sSub>
              <m:r>
                <w:rPr>
                  <w:rFonts w:ascii="Cambria Math" w:hAnsi="Cambria Math"/>
                </w:rPr>
                <m:t>+</m:t>
              </m:r>
              <m:sSub>
                <m:sSubPr>
                  <m:ctrlPr>
                    <w:rPr>
                      <w:rFonts w:ascii="Cambria Math" w:hAnsi="Cambria Math"/>
                      <w:i/>
                    </w:rPr>
                  </m:ctrlPr>
                </m:sSubPr>
                <m:e>
                  <m:r>
                    <w:rPr>
                      <w:rFonts w:ascii="Cambria Math" w:hAnsi="Cambria Math"/>
                    </w:rPr>
                    <m:t>RP</m:t>
                  </m:r>
                </m:e>
                <m:sub>
                  <m:r>
                    <w:rPr>
                      <w:rFonts w:ascii="Cambria Math" w:hAnsi="Cambria Math"/>
                    </w:rPr>
                    <m:t>0</m:t>
                  </m:r>
                </m:sub>
              </m:sSub>
            </m:e>
          </m:d>
          <m:r>
            <w:rPr>
              <w:rFonts w:ascii="Cambria Math" w:hAnsi="Cambria Math"/>
            </w:rPr>
            <m:t>×</m:t>
          </m:r>
          <m:f>
            <m:fPr>
              <m:ctrlPr>
                <w:rPr>
                  <w:rFonts w:ascii="Cambria Math" w:eastAsiaTheme="minorEastAsia" w:hAnsi="Cambria Math"/>
                  <w:i/>
                  <w:iCs/>
                </w:rPr>
              </m:ctrlPr>
            </m:fPr>
            <m:num>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m-1</m:t>
                  </m:r>
                </m:sub>
              </m:sSub>
            </m:num>
            <m:den>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0</m:t>
                  </m:r>
                </m:sub>
              </m:sSub>
            </m:den>
          </m:f>
        </m:oMath>
      </m:oMathPara>
    </w:p>
    <w:p w14:paraId="2470E1A8" w14:textId="77777777" w:rsidR="00345A1C" w:rsidRPr="00B66211" w:rsidRDefault="00345A1C" w:rsidP="00C94D29">
      <w:pPr>
        <w:contextualSpacing/>
      </w:pPr>
    </w:p>
    <w:p w14:paraId="6953BF40" w14:textId="77777777" w:rsidR="008F36B0" w:rsidRPr="00B66211" w:rsidRDefault="008F36B0" w:rsidP="00C94D29">
      <w:pPr>
        <w:contextualSpacing/>
      </w:pPr>
      <w:r w:rsidRPr="00B66211">
        <w:t>En donde:</w:t>
      </w:r>
    </w:p>
    <w:p w14:paraId="0D3088B7" w14:textId="77777777" w:rsidR="00EE5B6B" w:rsidRPr="00B66211" w:rsidRDefault="00EE5B6B" w:rsidP="00C94D29">
      <w:pPr>
        <w:contextualSpacing/>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9"/>
        <w:gridCol w:w="293"/>
        <w:gridCol w:w="1235"/>
        <w:gridCol w:w="284"/>
        <w:gridCol w:w="6095"/>
      </w:tblGrid>
      <w:tr w:rsidR="00775D88" w:rsidRPr="00B66211" w14:paraId="72AE6012" w14:textId="77777777" w:rsidTr="00173A82">
        <w:trPr>
          <w:trHeight w:val="1490"/>
        </w:trPr>
        <w:tc>
          <w:tcPr>
            <w:tcW w:w="1449" w:type="dxa"/>
            <w:vMerge w:val="restart"/>
          </w:tcPr>
          <w:p w14:paraId="4CDCEC24" w14:textId="361A8B83" w:rsidR="00775D88" w:rsidRPr="00B66211" w:rsidRDefault="005E2372" w:rsidP="00C94D29">
            <w:pPr>
              <w:contextualSpacing/>
              <w:rPr>
                <w:i/>
              </w:rPr>
            </w:pPr>
            <m:oMathPara>
              <m:oMathParaPr>
                <m:jc m:val="left"/>
              </m:oMathParaPr>
              <m:oMath>
                <m:sSub>
                  <m:sSubPr>
                    <m:ctrlPr>
                      <w:rPr>
                        <w:rFonts w:ascii="Cambria Math" w:hAnsi="Cambria Math"/>
                        <w:i/>
                      </w:rPr>
                    </m:ctrlPr>
                  </m:sSubPr>
                  <m:e>
                    <m:r>
                      <w:rPr>
                        <w:rFonts w:ascii="Cambria Math" w:hAnsi="Cambria Math"/>
                      </w:rPr>
                      <m:t>AMGC</m:t>
                    </m:r>
                  </m:e>
                  <m:sub>
                    <m:r>
                      <w:rPr>
                        <w:rFonts w:ascii="Cambria Math" w:hAnsi="Cambria Math"/>
                      </w:rPr>
                      <m:t>NU,m,0</m:t>
                    </m:r>
                  </m:sub>
                </m:sSub>
              </m:oMath>
            </m:oMathPara>
          </w:p>
        </w:tc>
        <w:tc>
          <w:tcPr>
            <w:tcW w:w="293" w:type="dxa"/>
            <w:vMerge w:val="restart"/>
          </w:tcPr>
          <w:p w14:paraId="525BFE83" w14:textId="77777777" w:rsidR="00775D88" w:rsidRPr="00544F2E" w:rsidRDefault="00775D88" w:rsidP="00C94D29">
            <w:pPr>
              <w:contextualSpacing/>
              <w:jc w:val="center"/>
            </w:pPr>
            <w:r w:rsidRPr="00544F2E">
              <w:t>:</w:t>
            </w:r>
          </w:p>
        </w:tc>
        <w:tc>
          <w:tcPr>
            <w:tcW w:w="7614" w:type="dxa"/>
            <w:gridSpan w:val="3"/>
          </w:tcPr>
          <w:p w14:paraId="57266EBE" w14:textId="1F1568F6" w:rsidR="00775D88" w:rsidRPr="00544F2E" w:rsidRDefault="00775D88" w:rsidP="00C94D29">
            <w:pPr>
              <w:contextualSpacing/>
              <w:jc w:val="both"/>
            </w:pPr>
            <w:r w:rsidRPr="00544F2E">
              <w:t>Componente de remuneración de los gastos de AMGC que depende del número de usuarios atendidos por el prestador</w:t>
            </w:r>
            <w:r w:rsidR="00134DBE" w:rsidRPr="00544F2E">
              <w:t>,</w:t>
            </w:r>
            <w:r w:rsidRPr="00544F2E">
              <w:t xml:space="preserve"> aplicable para el mes </w:t>
            </w:r>
            <w:r w:rsidRPr="00544F2E">
              <w:rPr>
                <w:i/>
              </w:rPr>
              <w:t>m</w:t>
            </w:r>
            <w:r w:rsidRPr="00544F2E">
              <w:t>, expresado en pesos al día ($/día), en pesos de la fecha base.</w:t>
            </w:r>
          </w:p>
          <w:p w14:paraId="7CB8D5AF" w14:textId="77777777" w:rsidR="00775D88" w:rsidRPr="00544F2E" w:rsidRDefault="00775D88" w:rsidP="00C94D29">
            <w:pPr>
              <w:contextualSpacing/>
              <w:jc w:val="both"/>
            </w:pPr>
          </w:p>
          <w:p w14:paraId="2E3FD4D6" w14:textId="3A8E2326" w:rsidR="00775D88" w:rsidRPr="00544F2E" w:rsidRDefault="00775D88" w:rsidP="00C94D29">
            <w:pPr>
              <w:contextualSpacing/>
              <w:jc w:val="both"/>
            </w:pPr>
            <w:r w:rsidRPr="00544F2E">
              <w:t xml:space="preserve">El número de usuarios del mes </w:t>
            </w:r>
            <w:r w:rsidRPr="00544F2E">
              <w:rPr>
                <w:i/>
              </w:rPr>
              <w:t>m</w:t>
            </w:r>
            <w:r w:rsidRPr="00544F2E">
              <w:t xml:space="preserve"> equivaldrá al promedio mensual de usuarios atendidos por el prestador durante los doce meses anteriores al mes </w:t>
            </w:r>
            <w:r w:rsidRPr="00544F2E">
              <w:rPr>
                <w:i/>
              </w:rPr>
              <w:t>m</w:t>
            </w:r>
            <w:r w:rsidRPr="00544F2E">
              <w:t>, o, en caso de no contar con información de doce meses, para los meses que haya información disponible, según reporte de información al SUI. Deberán tenerse en cuenta el total de usuarios reportados, incluyendo tanto usuarios conectados al SIN, como usuarios en ZNI atendidos mediante redes de distribución y SISFV.</w:t>
            </w:r>
          </w:p>
          <w:p w14:paraId="3A9A969C" w14:textId="77777777" w:rsidR="00775D88" w:rsidRPr="00544F2E" w:rsidRDefault="00775D88" w:rsidP="00C94D29">
            <w:pPr>
              <w:contextualSpacing/>
            </w:pPr>
          </w:p>
          <w:p w14:paraId="5790A926" w14:textId="77777777" w:rsidR="00775D88" w:rsidRPr="00544F2E" w:rsidRDefault="00775D88" w:rsidP="00C94D29">
            <w:pPr>
              <w:ind w:right="142"/>
              <w:contextualSpacing/>
              <w:jc w:val="both"/>
              <w:rPr>
                <w:rFonts w:cs="Arial"/>
              </w:rPr>
            </w:pPr>
            <w:r w:rsidRPr="00544F2E">
              <w:rPr>
                <w:rFonts w:cs="Arial"/>
              </w:rPr>
              <w:t xml:space="preserve">El valor de </w:t>
            </w:r>
            <m:oMath>
              <m:sSub>
                <m:sSubPr>
                  <m:ctrlPr>
                    <w:rPr>
                      <w:rFonts w:ascii="Cambria Math" w:hAnsi="Cambria Math"/>
                      <w:i/>
                    </w:rPr>
                  </m:ctrlPr>
                </m:sSubPr>
                <m:e>
                  <m:r>
                    <w:rPr>
                      <w:rFonts w:ascii="Cambria Math" w:hAnsi="Cambria Math"/>
                    </w:rPr>
                    <m:t>AMGC</m:t>
                  </m:r>
                </m:e>
                <m:sub>
                  <m:r>
                    <w:rPr>
                      <w:rFonts w:ascii="Cambria Math" w:hAnsi="Cambria Math"/>
                    </w:rPr>
                    <m:t>NU,m,0</m:t>
                  </m:r>
                </m:sub>
              </m:sSub>
            </m:oMath>
            <w:r w:rsidRPr="00544F2E">
              <w:rPr>
                <w:rFonts w:cs="Arial"/>
              </w:rPr>
              <w:t xml:space="preserve"> se obtiene a partir de la siguiente fórmula:</w:t>
            </w:r>
          </w:p>
          <w:p w14:paraId="63B605C6" w14:textId="23CBB971" w:rsidR="00775D88" w:rsidRDefault="00775D88" w:rsidP="00C94D29">
            <w:pPr>
              <w:contextualSpacing/>
            </w:pPr>
          </w:p>
          <w:p w14:paraId="5995E769" w14:textId="4E4B25E4" w:rsidR="00AB2440" w:rsidRDefault="005E2372" w:rsidP="00C94D29">
            <w:pPr>
              <w:contextualSpacing/>
            </w:pPr>
            <m:oMathPara>
              <m:oMath>
                <m:sSub>
                  <m:sSubPr>
                    <m:ctrlPr>
                      <w:rPr>
                        <w:rFonts w:ascii="Cambria Math" w:hAnsi="Cambria Math"/>
                        <w:i/>
                      </w:rPr>
                    </m:ctrlPr>
                  </m:sSubPr>
                  <m:e>
                    <m:r>
                      <w:rPr>
                        <w:rFonts w:ascii="Cambria Math" w:hAnsi="Cambria Math"/>
                      </w:rPr>
                      <m:t>AMGC</m:t>
                    </m:r>
                  </m:e>
                  <m:sub>
                    <m:r>
                      <w:rPr>
                        <w:rFonts w:ascii="Cambria Math" w:hAnsi="Cambria Math"/>
                      </w:rPr>
                      <m:t>NU,m,0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NU,0</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Max</m:t>
                    </m:r>
                    <m:d>
                      <m:dPr>
                        <m:ctrlPr>
                          <w:rPr>
                            <w:rFonts w:ascii="Cambria Math" w:hAnsi="Cambria Math"/>
                            <w:i/>
                            <w:color w:val="000000" w:themeColor="text1"/>
                          </w:rPr>
                        </m:ctrlPr>
                      </m:dPr>
                      <m:e>
                        <m:r>
                          <w:rPr>
                            <w:rFonts w:ascii="Cambria Math" w:hAnsi="Cambria Math"/>
                            <w:color w:val="000000" w:themeColor="text1"/>
                          </w:rPr>
                          <m:t>50,</m:t>
                        </m:r>
                        <m:f>
                          <m:fPr>
                            <m:ctrlPr>
                              <w:rPr>
                                <w:rFonts w:ascii="Cambria Math" w:hAnsi="Cambria Math"/>
                                <w:i/>
                                <w:color w:val="000000" w:themeColor="text1"/>
                                <w:lang w:val="es-ES" w:eastAsia="es-ES"/>
                              </w:rPr>
                            </m:ctrlPr>
                          </m:fPr>
                          <m:num>
                            <m:r>
                              <w:rPr>
                                <w:rFonts w:ascii="Cambria Math" w:hAnsi="Cambria Math"/>
                                <w:color w:val="000000" w:themeColor="text1"/>
                              </w:rPr>
                              <m:t>1</m:t>
                            </m:r>
                          </m:num>
                          <m:den>
                            <m:r>
                              <w:rPr>
                                <w:rFonts w:ascii="Cambria Math" w:hAnsi="Cambria Math"/>
                                <w:color w:val="000000" w:themeColor="text1"/>
                              </w:rPr>
                              <m:t>n</m:t>
                            </m:r>
                          </m:den>
                        </m:f>
                        <m:r>
                          <w:rPr>
                            <w:rFonts w:ascii="Cambria Math" w:hAnsi="Cambria Math"/>
                            <w:color w:val="000000" w:themeColor="text1"/>
                          </w:rPr>
                          <m:t>×</m:t>
                        </m:r>
                        <m:nary>
                          <m:naryPr>
                            <m:chr m:val="∑"/>
                            <m:limLoc m:val="undOvr"/>
                            <m:ctrlPr>
                              <w:rPr>
                                <w:rFonts w:ascii="Cambria Math" w:hAnsi="Cambria Math"/>
                                <w:i/>
                              </w:rPr>
                            </m:ctrlPr>
                          </m:naryPr>
                          <m:sub>
                            <m:r>
                              <w:rPr>
                                <w:rFonts w:ascii="Cambria Math" w:hAnsi="Cambria Math"/>
                              </w:rPr>
                              <m:t>i=-n</m:t>
                            </m:r>
                          </m:sub>
                          <m:sup>
                            <m:r>
                              <w:rPr>
                                <w:rFonts w:ascii="Cambria Math" w:hAnsi="Cambria Math"/>
                              </w:rPr>
                              <m:t>m-2</m:t>
                            </m:r>
                          </m:sup>
                          <m:e>
                            <m:sSub>
                              <m:sSubPr>
                                <m:ctrlPr>
                                  <w:rPr>
                                    <w:rFonts w:ascii="Cambria Math" w:hAnsi="Cambria Math"/>
                                    <w:i/>
                                    <w:lang w:val="es-ES" w:eastAsia="es-ES"/>
                                  </w:rPr>
                                </m:ctrlPr>
                              </m:sSubPr>
                              <m:e>
                                <m:r>
                                  <w:rPr>
                                    <w:rFonts w:ascii="Cambria Math" w:hAnsi="Cambria Math"/>
                                  </w:rPr>
                                  <m:t>NU</m:t>
                                </m:r>
                              </m:e>
                              <m:sub>
                                <m:r>
                                  <w:rPr>
                                    <w:rFonts w:ascii="Cambria Math" w:hAnsi="Cambria Math"/>
                                  </w:rPr>
                                  <m:t>i</m:t>
                                </m:r>
                              </m:sub>
                            </m:sSub>
                          </m:e>
                        </m:nary>
                      </m:e>
                    </m:d>
                  </m:e>
                  <m:sup>
                    <m:r>
                      <w:rPr>
                        <w:rFonts w:ascii="Cambria Math" w:hAnsi="Cambria Math"/>
                        <w:color w:val="000000" w:themeColor="text1"/>
                      </w:rPr>
                      <m:t>α</m:t>
                    </m:r>
                  </m:sup>
                </m:sSup>
              </m:oMath>
            </m:oMathPara>
          </w:p>
          <w:p w14:paraId="3003F498" w14:textId="77777777" w:rsidR="00775D88" w:rsidRPr="00544F2E" w:rsidRDefault="00775D88" w:rsidP="00C94D29">
            <w:pPr>
              <w:contextualSpacing/>
            </w:pPr>
          </w:p>
          <w:p w14:paraId="1BE45255" w14:textId="34F19C36" w:rsidR="00775D88" w:rsidRPr="00544F2E" w:rsidRDefault="00775D88" w:rsidP="00C94D29">
            <w:pPr>
              <w:contextualSpacing/>
            </w:pPr>
            <w:r w:rsidRPr="00544F2E">
              <w:t>En donde</w:t>
            </w:r>
            <w:r w:rsidR="00B351E5" w:rsidRPr="00544F2E">
              <w:t>:</w:t>
            </w:r>
          </w:p>
          <w:p w14:paraId="78691743" w14:textId="77777777" w:rsidR="00775D88" w:rsidRPr="00544F2E" w:rsidRDefault="00775D88" w:rsidP="00C94D29">
            <w:pPr>
              <w:contextualSpacing/>
              <w:jc w:val="both"/>
            </w:pPr>
          </w:p>
        </w:tc>
      </w:tr>
      <w:tr w:rsidR="00775D88" w:rsidRPr="00B66211" w14:paraId="77FCD594" w14:textId="77777777" w:rsidTr="00A16ABA">
        <w:trPr>
          <w:trHeight w:val="477"/>
        </w:trPr>
        <w:tc>
          <w:tcPr>
            <w:tcW w:w="1449" w:type="dxa"/>
            <w:vMerge/>
          </w:tcPr>
          <w:p w14:paraId="594CF05C" w14:textId="77777777" w:rsidR="00775D88" w:rsidRPr="00B66211" w:rsidRDefault="00775D88" w:rsidP="00C94D29">
            <w:pPr>
              <w:contextualSpacing/>
            </w:pPr>
          </w:p>
        </w:tc>
        <w:tc>
          <w:tcPr>
            <w:tcW w:w="293" w:type="dxa"/>
            <w:vMerge/>
          </w:tcPr>
          <w:p w14:paraId="77ADED55" w14:textId="77777777" w:rsidR="00775D88" w:rsidRPr="00544F2E" w:rsidRDefault="00775D88" w:rsidP="00C94D29">
            <w:pPr>
              <w:contextualSpacing/>
              <w:jc w:val="center"/>
            </w:pPr>
          </w:p>
        </w:tc>
        <w:tc>
          <w:tcPr>
            <w:tcW w:w="1235" w:type="dxa"/>
          </w:tcPr>
          <w:p w14:paraId="10AA3C54" w14:textId="68575147" w:rsidR="00775D88" w:rsidRPr="00544F2E"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NU,0</m:t>
                    </m:r>
                  </m:sub>
                </m:sSub>
              </m:oMath>
            </m:oMathPara>
          </w:p>
        </w:tc>
        <w:tc>
          <w:tcPr>
            <w:tcW w:w="284" w:type="dxa"/>
          </w:tcPr>
          <w:p w14:paraId="6DD92D4B" w14:textId="27808BBF" w:rsidR="00775D88" w:rsidRPr="00544F2E" w:rsidRDefault="008300AA" w:rsidP="00C94D29">
            <w:pPr>
              <w:contextualSpacing/>
              <w:jc w:val="both"/>
            </w:pPr>
            <w:r w:rsidRPr="00544F2E">
              <w:t>:</w:t>
            </w:r>
          </w:p>
        </w:tc>
        <w:tc>
          <w:tcPr>
            <w:tcW w:w="6095" w:type="dxa"/>
          </w:tcPr>
          <w:p w14:paraId="2ED1FD40" w14:textId="2EAA7B3F" w:rsidR="00775D88" w:rsidRPr="00544F2E" w:rsidRDefault="00364DD4" w:rsidP="00C94D29">
            <w:pPr>
              <w:contextualSpacing/>
              <w:jc w:val="both"/>
            </w:pPr>
            <w:r>
              <w:t>Constante</w:t>
            </w:r>
            <w:r w:rsidR="00096155">
              <w:t>, expresada en pesos al día de la fecha base.</w:t>
            </w:r>
            <w:r w:rsidR="00A20CAA">
              <w:t xml:space="preserve"> Su valor será de $</w:t>
            </w:r>
            <w:r w:rsidR="00AA63A7">
              <w:t>9.614,32 / día</w:t>
            </w:r>
            <w:r w:rsidR="0045419B" w:rsidRPr="00544F2E">
              <w:t>.</w:t>
            </w:r>
          </w:p>
          <w:p w14:paraId="6676D601" w14:textId="5370F0C8" w:rsidR="0045419B" w:rsidRPr="00544F2E" w:rsidRDefault="0045419B" w:rsidP="00C94D29">
            <w:pPr>
              <w:contextualSpacing/>
              <w:jc w:val="both"/>
            </w:pPr>
          </w:p>
        </w:tc>
      </w:tr>
      <w:tr w:rsidR="00DD418A" w:rsidRPr="00B66211" w14:paraId="722B413C" w14:textId="77777777" w:rsidTr="00A16ABA">
        <w:trPr>
          <w:trHeight w:val="477"/>
        </w:trPr>
        <w:tc>
          <w:tcPr>
            <w:tcW w:w="1449" w:type="dxa"/>
            <w:vMerge/>
          </w:tcPr>
          <w:p w14:paraId="0C5BAD51" w14:textId="77777777" w:rsidR="00DD418A" w:rsidRPr="00B66211" w:rsidRDefault="00DD418A" w:rsidP="00DD418A">
            <w:pPr>
              <w:contextualSpacing/>
            </w:pPr>
          </w:p>
        </w:tc>
        <w:tc>
          <w:tcPr>
            <w:tcW w:w="293" w:type="dxa"/>
            <w:vMerge/>
          </w:tcPr>
          <w:p w14:paraId="3414B6CC" w14:textId="77777777" w:rsidR="00DD418A" w:rsidRPr="00544F2E" w:rsidRDefault="00DD418A" w:rsidP="00DD418A">
            <w:pPr>
              <w:contextualSpacing/>
              <w:jc w:val="center"/>
            </w:pPr>
          </w:p>
        </w:tc>
        <w:tc>
          <w:tcPr>
            <w:tcW w:w="1235" w:type="dxa"/>
          </w:tcPr>
          <w:p w14:paraId="19B576B2" w14:textId="638E4C5A" w:rsidR="00DD418A" w:rsidRPr="00D62EF0" w:rsidRDefault="005E2372" w:rsidP="00DD418A">
            <w:pPr>
              <w:contextualSpacing/>
            </w:pPr>
            <m:oMathPara>
              <m:oMathParaPr>
                <m:jc m:val="left"/>
              </m:oMathParaPr>
              <m:oMath>
                <m:sSub>
                  <m:sSubPr>
                    <m:ctrlPr>
                      <w:rPr>
                        <w:rFonts w:ascii="Cambria Math" w:hAnsi="Cambria Math"/>
                        <w:i/>
                      </w:rPr>
                    </m:ctrlPr>
                  </m:sSubPr>
                  <m:e>
                    <m:r>
                      <w:rPr>
                        <w:rFonts w:ascii="Cambria Math" w:hAnsi="Cambria Math"/>
                      </w:rPr>
                      <m:t>NU</m:t>
                    </m:r>
                  </m:e>
                  <m:sub>
                    <m:r>
                      <w:rPr>
                        <w:rFonts w:ascii="Cambria Math" w:hAnsi="Cambria Math"/>
                      </w:rPr>
                      <m:t>i</m:t>
                    </m:r>
                  </m:sub>
                </m:sSub>
              </m:oMath>
            </m:oMathPara>
          </w:p>
        </w:tc>
        <w:tc>
          <w:tcPr>
            <w:tcW w:w="284" w:type="dxa"/>
          </w:tcPr>
          <w:p w14:paraId="6197422F" w14:textId="65140FE7" w:rsidR="00DD418A" w:rsidRPr="00544F2E" w:rsidRDefault="00DD418A" w:rsidP="00DD418A">
            <w:pPr>
              <w:contextualSpacing/>
              <w:jc w:val="both"/>
            </w:pPr>
            <w:r w:rsidRPr="00544F2E">
              <w:t>:</w:t>
            </w:r>
          </w:p>
        </w:tc>
        <w:tc>
          <w:tcPr>
            <w:tcW w:w="6095" w:type="dxa"/>
          </w:tcPr>
          <w:p w14:paraId="4DB310BF" w14:textId="77777777" w:rsidR="00DD418A" w:rsidRPr="00544F2E" w:rsidRDefault="00DD418A" w:rsidP="00DD418A">
            <w:pPr>
              <w:contextualSpacing/>
              <w:jc w:val="both"/>
            </w:pPr>
            <w:r w:rsidRPr="00544F2E">
              <w:t xml:space="preserve">Número de usuarios atendidos por el prestador del servicio durante el mes </w:t>
            </w:r>
            <w:r w:rsidRPr="00544F2E">
              <w:rPr>
                <w:i/>
              </w:rPr>
              <w:t>i</w:t>
            </w:r>
            <w:r w:rsidRPr="00544F2E">
              <w:t>, según reporte al SUI.</w:t>
            </w:r>
          </w:p>
          <w:p w14:paraId="02D2F5C5" w14:textId="77777777" w:rsidR="00DD418A" w:rsidRPr="00544F2E" w:rsidRDefault="00DD418A" w:rsidP="00DD418A">
            <w:pPr>
              <w:contextualSpacing/>
              <w:jc w:val="both"/>
            </w:pPr>
          </w:p>
        </w:tc>
      </w:tr>
      <w:tr w:rsidR="009E6296" w:rsidRPr="00B66211" w14:paraId="7BE02058" w14:textId="77777777" w:rsidTr="00A16ABA">
        <w:trPr>
          <w:trHeight w:val="477"/>
        </w:trPr>
        <w:tc>
          <w:tcPr>
            <w:tcW w:w="1449" w:type="dxa"/>
            <w:vMerge/>
          </w:tcPr>
          <w:p w14:paraId="32A2C81B" w14:textId="77777777" w:rsidR="009E6296" w:rsidRPr="00B66211" w:rsidRDefault="009E6296" w:rsidP="00DD418A">
            <w:pPr>
              <w:contextualSpacing/>
            </w:pPr>
          </w:p>
        </w:tc>
        <w:tc>
          <w:tcPr>
            <w:tcW w:w="293" w:type="dxa"/>
            <w:vMerge/>
          </w:tcPr>
          <w:p w14:paraId="29E37752" w14:textId="77777777" w:rsidR="009E6296" w:rsidRPr="00544F2E" w:rsidRDefault="009E6296" w:rsidP="00DD418A">
            <w:pPr>
              <w:contextualSpacing/>
              <w:jc w:val="center"/>
            </w:pPr>
          </w:p>
        </w:tc>
        <w:tc>
          <w:tcPr>
            <w:tcW w:w="1235" w:type="dxa"/>
          </w:tcPr>
          <w:p w14:paraId="16655D05" w14:textId="3BD696D6" w:rsidR="009E6296" w:rsidRPr="004E29F1" w:rsidRDefault="004E29F1" w:rsidP="00DD418A">
            <w:pPr>
              <w:contextualSpacing/>
            </w:pPr>
            <m:oMathPara>
              <m:oMathParaPr>
                <m:jc m:val="left"/>
              </m:oMathParaPr>
              <m:oMath>
                <m:r>
                  <w:rPr>
                    <w:rFonts w:ascii="Cambria Math" w:hAnsi="Cambria Math"/>
                    <w:color w:val="000000" w:themeColor="text1"/>
                  </w:rPr>
                  <m:t>α</m:t>
                </m:r>
              </m:oMath>
            </m:oMathPara>
          </w:p>
        </w:tc>
        <w:tc>
          <w:tcPr>
            <w:tcW w:w="284" w:type="dxa"/>
          </w:tcPr>
          <w:p w14:paraId="49AE4AF1" w14:textId="326573EC" w:rsidR="009E6296" w:rsidRPr="00544F2E" w:rsidRDefault="004E29F1" w:rsidP="00DD418A">
            <w:pPr>
              <w:contextualSpacing/>
              <w:jc w:val="both"/>
            </w:pPr>
            <w:r>
              <w:t>:</w:t>
            </w:r>
          </w:p>
        </w:tc>
        <w:tc>
          <w:tcPr>
            <w:tcW w:w="6095" w:type="dxa"/>
          </w:tcPr>
          <w:p w14:paraId="678788C6" w14:textId="6A2CCF8D" w:rsidR="009E6296" w:rsidRDefault="009E6296" w:rsidP="00DD418A">
            <w:pPr>
              <w:contextualSpacing/>
              <w:jc w:val="both"/>
            </w:pPr>
            <w:r>
              <w:t>Tasa de dec</w:t>
            </w:r>
            <w:r w:rsidR="00837073">
              <w:t xml:space="preserve">recimiento </w:t>
            </w:r>
            <w:r>
              <w:t xml:space="preserve">del costo medio por usuario de los gastos de AMGC </w:t>
            </w:r>
            <w:r w:rsidR="00D72327" w:rsidRPr="00D72327">
              <w:t>que depende</w:t>
            </w:r>
            <w:r w:rsidR="00C976C2">
              <w:t>n</w:t>
            </w:r>
            <w:r w:rsidR="00D72327" w:rsidRPr="00D72327">
              <w:t xml:space="preserve"> del número de usuarios atendidos por el prestador</w:t>
            </w:r>
            <w:r w:rsidR="00C976C2">
              <w:t>. Su valor será de</w:t>
            </w:r>
            <w:r w:rsidR="00190B65">
              <w:t xml:space="preserve"> </w:t>
            </w:r>
            <m:oMath>
              <m:r>
                <w:rPr>
                  <w:rFonts w:ascii="Cambria Math" w:hAnsi="Cambria Math"/>
                  <w:color w:val="000000" w:themeColor="text1"/>
                </w:rPr>
                <m:t>-</m:t>
              </m:r>
            </m:oMath>
            <w:r w:rsidR="00EB6D6B">
              <w:t>0,307</w:t>
            </w:r>
            <w:r w:rsidR="00F52CE8">
              <w:t>.</w:t>
            </w:r>
          </w:p>
          <w:p w14:paraId="3E7DD1A3" w14:textId="791CF8F3" w:rsidR="004E29F1" w:rsidRPr="00544F2E" w:rsidRDefault="004E29F1" w:rsidP="00DD418A">
            <w:pPr>
              <w:contextualSpacing/>
              <w:jc w:val="both"/>
            </w:pPr>
          </w:p>
        </w:tc>
      </w:tr>
      <w:tr w:rsidR="00775D88" w:rsidRPr="00B66211" w14:paraId="7E24D2AE" w14:textId="77777777" w:rsidTr="00A16ABA">
        <w:trPr>
          <w:trHeight w:val="477"/>
        </w:trPr>
        <w:tc>
          <w:tcPr>
            <w:tcW w:w="1449" w:type="dxa"/>
            <w:vMerge/>
          </w:tcPr>
          <w:p w14:paraId="4E75D4B9" w14:textId="77777777" w:rsidR="00775D88" w:rsidRPr="00B66211" w:rsidRDefault="00775D88" w:rsidP="00C94D29">
            <w:pPr>
              <w:contextualSpacing/>
            </w:pPr>
          </w:p>
        </w:tc>
        <w:tc>
          <w:tcPr>
            <w:tcW w:w="293" w:type="dxa"/>
            <w:vMerge/>
          </w:tcPr>
          <w:p w14:paraId="196EAC07" w14:textId="77777777" w:rsidR="00775D88" w:rsidRPr="00544F2E" w:rsidRDefault="00775D88" w:rsidP="00C94D29">
            <w:pPr>
              <w:contextualSpacing/>
              <w:jc w:val="center"/>
            </w:pPr>
          </w:p>
        </w:tc>
        <w:tc>
          <w:tcPr>
            <w:tcW w:w="1235" w:type="dxa"/>
          </w:tcPr>
          <w:p w14:paraId="485DD33B" w14:textId="253E4E09" w:rsidR="00775D88" w:rsidRPr="00544F2E" w:rsidRDefault="002314AB" w:rsidP="00C94D29">
            <w:pPr>
              <w:contextualSpacing/>
              <w:rPr>
                <w:i/>
              </w:rPr>
            </w:pPr>
            <w:r w:rsidRPr="00544F2E">
              <w:rPr>
                <w:i/>
              </w:rPr>
              <w:t>n</w:t>
            </w:r>
          </w:p>
        </w:tc>
        <w:tc>
          <w:tcPr>
            <w:tcW w:w="284" w:type="dxa"/>
          </w:tcPr>
          <w:p w14:paraId="527D5247" w14:textId="097DE87F" w:rsidR="00775D88" w:rsidRPr="00544F2E" w:rsidRDefault="008300AA" w:rsidP="00C94D29">
            <w:pPr>
              <w:contextualSpacing/>
              <w:jc w:val="both"/>
            </w:pPr>
            <w:r w:rsidRPr="00544F2E">
              <w:t>:</w:t>
            </w:r>
          </w:p>
        </w:tc>
        <w:tc>
          <w:tcPr>
            <w:tcW w:w="6095" w:type="dxa"/>
          </w:tcPr>
          <w:p w14:paraId="4D0D77C6" w14:textId="77777777" w:rsidR="00775D88" w:rsidRDefault="00775D88" w:rsidP="004B39AE">
            <w:pPr>
              <w:contextualSpacing/>
              <w:jc w:val="both"/>
            </w:pPr>
            <w:r w:rsidRPr="00544F2E">
              <w:t xml:space="preserve">Cada uno de los 12 meses anteriores al mes </w:t>
            </w:r>
            <w:r w:rsidRPr="00544F2E">
              <w:rPr>
                <w:i/>
              </w:rPr>
              <w:t>m</w:t>
            </w:r>
            <w:r w:rsidR="0045419B" w:rsidRPr="00544F2E">
              <w:rPr>
                <w:i/>
              </w:rPr>
              <w:t>-1</w:t>
            </w:r>
            <w:r w:rsidRPr="00544F2E">
              <w:t xml:space="preserve"> para los que existe información.</w:t>
            </w:r>
          </w:p>
          <w:p w14:paraId="45CA54D2" w14:textId="46F20097" w:rsidR="004A40F9" w:rsidRPr="00544F2E" w:rsidRDefault="004A40F9" w:rsidP="004B39AE">
            <w:pPr>
              <w:contextualSpacing/>
              <w:jc w:val="both"/>
            </w:pPr>
          </w:p>
        </w:tc>
      </w:tr>
      <w:tr w:rsidR="00775D88" w:rsidRPr="00B66211" w14:paraId="2A47B3AB" w14:textId="77777777" w:rsidTr="00A16ABA">
        <w:trPr>
          <w:trHeight w:val="477"/>
        </w:trPr>
        <w:tc>
          <w:tcPr>
            <w:tcW w:w="1449" w:type="dxa"/>
            <w:vMerge/>
          </w:tcPr>
          <w:p w14:paraId="65B3479B" w14:textId="77777777" w:rsidR="00775D88" w:rsidRPr="00B66211" w:rsidRDefault="00775D88" w:rsidP="00C94D29">
            <w:pPr>
              <w:contextualSpacing/>
            </w:pPr>
          </w:p>
        </w:tc>
        <w:tc>
          <w:tcPr>
            <w:tcW w:w="293" w:type="dxa"/>
            <w:vMerge/>
          </w:tcPr>
          <w:p w14:paraId="29CF02D1" w14:textId="77777777" w:rsidR="00775D88" w:rsidRPr="00544F2E" w:rsidRDefault="00775D88" w:rsidP="00C94D29">
            <w:pPr>
              <w:contextualSpacing/>
              <w:jc w:val="center"/>
            </w:pPr>
          </w:p>
        </w:tc>
        <w:tc>
          <w:tcPr>
            <w:tcW w:w="1235" w:type="dxa"/>
          </w:tcPr>
          <w:p w14:paraId="5E16C5B1" w14:textId="3EAE5F93" w:rsidR="00775D88" w:rsidRPr="00544F2E" w:rsidRDefault="00C815A3" w:rsidP="00C94D29">
            <w:pPr>
              <w:contextualSpacing/>
              <w:rPr>
                <w:i/>
              </w:rPr>
            </w:pPr>
            <w:r w:rsidRPr="00544F2E">
              <w:rPr>
                <w:i/>
              </w:rPr>
              <w:t>m</w:t>
            </w:r>
          </w:p>
        </w:tc>
        <w:tc>
          <w:tcPr>
            <w:tcW w:w="284" w:type="dxa"/>
          </w:tcPr>
          <w:p w14:paraId="2AAB06B9" w14:textId="3E4D0167" w:rsidR="00775D88" w:rsidRPr="00544F2E" w:rsidRDefault="008300AA" w:rsidP="00C94D29">
            <w:pPr>
              <w:contextualSpacing/>
              <w:jc w:val="both"/>
            </w:pPr>
            <w:r w:rsidRPr="00544F2E">
              <w:t>:</w:t>
            </w:r>
          </w:p>
        </w:tc>
        <w:tc>
          <w:tcPr>
            <w:tcW w:w="6095" w:type="dxa"/>
          </w:tcPr>
          <w:p w14:paraId="35E1A22C" w14:textId="77777777" w:rsidR="00775D88" w:rsidRPr="00544F2E" w:rsidRDefault="00775D88" w:rsidP="00C94D29">
            <w:pPr>
              <w:ind w:left="18"/>
              <w:contextualSpacing/>
              <w:jc w:val="both"/>
            </w:pPr>
            <w:r w:rsidRPr="00544F2E">
              <w:t>Mes para el que se calcula y aplica el costo unitario.</w:t>
            </w:r>
          </w:p>
          <w:p w14:paraId="05ABC8EC" w14:textId="39BE8C3D" w:rsidR="00775D88" w:rsidRPr="00544F2E" w:rsidRDefault="00775D88" w:rsidP="00C94D29">
            <w:pPr>
              <w:contextualSpacing/>
              <w:jc w:val="both"/>
            </w:pPr>
          </w:p>
        </w:tc>
      </w:tr>
      <w:tr w:rsidR="004302B4" w:rsidRPr="00EB6091" w14:paraId="5640F588" w14:textId="77777777" w:rsidTr="00173A82">
        <w:trPr>
          <w:trHeight w:val="1197"/>
        </w:trPr>
        <w:tc>
          <w:tcPr>
            <w:tcW w:w="1449" w:type="dxa"/>
            <w:vMerge w:val="restart"/>
          </w:tcPr>
          <w:p w14:paraId="26A880C3" w14:textId="5B4795D2" w:rsidR="004302B4" w:rsidRPr="00EB6091"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AMGC</m:t>
                    </m:r>
                  </m:e>
                  <m:sub>
                    <m:r>
                      <w:rPr>
                        <w:rFonts w:ascii="Cambria Math" w:hAnsi="Cambria Math"/>
                      </w:rPr>
                      <m:t>VI,0</m:t>
                    </m:r>
                  </m:sub>
                </m:sSub>
              </m:oMath>
            </m:oMathPara>
          </w:p>
        </w:tc>
        <w:tc>
          <w:tcPr>
            <w:tcW w:w="293" w:type="dxa"/>
            <w:vMerge w:val="restart"/>
          </w:tcPr>
          <w:p w14:paraId="296073CF" w14:textId="71EE6885" w:rsidR="004302B4" w:rsidRPr="00EB6091" w:rsidRDefault="004302B4" w:rsidP="00C94D29">
            <w:pPr>
              <w:contextualSpacing/>
              <w:jc w:val="center"/>
            </w:pPr>
            <w:r w:rsidRPr="00EB6091">
              <w:t>:</w:t>
            </w:r>
          </w:p>
        </w:tc>
        <w:tc>
          <w:tcPr>
            <w:tcW w:w="7614" w:type="dxa"/>
            <w:gridSpan w:val="3"/>
          </w:tcPr>
          <w:p w14:paraId="4745C078" w14:textId="16D817FC" w:rsidR="004302B4" w:rsidRPr="00EB6091" w:rsidRDefault="004302B4" w:rsidP="00C94D29">
            <w:pPr>
              <w:contextualSpacing/>
              <w:jc w:val="both"/>
            </w:pPr>
            <w:r w:rsidRPr="00EB6091">
              <w:t>Componente de remuneración de los gastos de AMGC que depende del valor de las inversiones reconocido para la SISFV, expresado en pesos al día ($/día), en pesos de la fecha base.</w:t>
            </w:r>
          </w:p>
          <w:p w14:paraId="11FE2AA2" w14:textId="77777777" w:rsidR="004302B4" w:rsidRPr="00EB6091" w:rsidRDefault="004302B4" w:rsidP="00C94D29">
            <w:pPr>
              <w:contextualSpacing/>
            </w:pPr>
          </w:p>
          <w:p w14:paraId="5EB636EE" w14:textId="5731C9A6" w:rsidR="004302B4" w:rsidRPr="00EB6091" w:rsidRDefault="004302B4" w:rsidP="00C94D29">
            <w:pPr>
              <w:ind w:right="142"/>
              <w:contextualSpacing/>
              <w:jc w:val="both"/>
              <w:rPr>
                <w:rFonts w:cs="Arial"/>
              </w:rPr>
            </w:pPr>
            <w:r w:rsidRPr="00EB6091">
              <w:rPr>
                <w:rFonts w:cs="Arial"/>
              </w:rPr>
              <w:t xml:space="preserve">El valor de </w:t>
            </w:r>
            <m:oMath>
              <m:sSub>
                <m:sSubPr>
                  <m:ctrlPr>
                    <w:rPr>
                      <w:rFonts w:ascii="Cambria Math" w:hAnsi="Cambria Math"/>
                      <w:i/>
                    </w:rPr>
                  </m:ctrlPr>
                </m:sSubPr>
                <m:e>
                  <m:r>
                    <w:rPr>
                      <w:rFonts w:ascii="Cambria Math" w:hAnsi="Cambria Math"/>
                    </w:rPr>
                    <m:t>AMGC</m:t>
                  </m:r>
                </m:e>
                <m:sub>
                  <m:r>
                    <w:rPr>
                      <w:rFonts w:ascii="Cambria Math" w:hAnsi="Cambria Math"/>
                    </w:rPr>
                    <m:t>VI,0</m:t>
                  </m:r>
                </m:sub>
              </m:sSub>
            </m:oMath>
            <w:r w:rsidRPr="00EB6091">
              <w:rPr>
                <w:rFonts w:cs="Arial"/>
              </w:rPr>
              <w:t xml:space="preserve"> se obtiene a partir de la siguiente fórmula:</w:t>
            </w:r>
          </w:p>
          <w:p w14:paraId="0F663D81" w14:textId="77777777" w:rsidR="004302B4" w:rsidRPr="00EB6091" w:rsidRDefault="004302B4" w:rsidP="00C94D29">
            <w:pPr>
              <w:contextualSpacing/>
            </w:pPr>
          </w:p>
          <w:p w14:paraId="605226B3" w14:textId="72CA7FA0" w:rsidR="004302B4" w:rsidRPr="00EB6091" w:rsidRDefault="005E2372" w:rsidP="00C94D29">
            <w:pPr>
              <w:contextualSpacing/>
            </w:pPr>
            <m:oMathPara>
              <m:oMath>
                <m:sSub>
                  <m:sSubPr>
                    <m:ctrlPr>
                      <w:rPr>
                        <w:rFonts w:ascii="Cambria Math" w:hAnsi="Cambria Math"/>
                        <w:i/>
                        <w:iCs/>
                        <w:color w:val="000000" w:themeColor="text1"/>
                      </w:rPr>
                    </m:ctrlPr>
                  </m:sSubPr>
                  <m:e>
                    <m:r>
                      <w:rPr>
                        <w:rFonts w:ascii="Cambria Math" w:hAnsi="Cambria Math"/>
                        <w:color w:val="000000" w:themeColor="text1"/>
                      </w:rPr>
                      <m:t>AMGC</m:t>
                    </m:r>
                  </m:e>
                  <m:sub>
                    <m:r>
                      <w:rPr>
                        <w:rFonts w:ascii="Cambria Math" w:hAnsi="Cambria Math"/>
                        <w:color w:val="000000" w:themeColor="text1"/>
                      </w:rPr>
                      <m:t>VI,0</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365</m:t>
                    </m:r>
                  </m:den>
                </m:f>
                <m:r>
                  <w:rPr>
                    <w:rFonts w:ascii="Cambria Math" w:hAnsi="Cambria Math"/>
                    <w:color w:val="000000" w:themeColor="text1"/>
                  </w:rPr>
                  <m:t>×</m:t>
                </m:r>
                <m:nary>
                  <m:naryPr>
                    <m:chr m:val="∑"/>
                    <m:limLoc m:val="undOvr"/>
                    <m:supHide m:val="1"/>
                    <m:ctrlPr>
                      <w:rPr>
                        <w:rFonts w:ascii="Cambria Math" w:hAnsi="Cambria Math"/>
                        <w:i/>
                        <w:color w:val="000000" w:themeColor="text1"/>
                      </w:rPr>
                    </m:ctrlPr>
                  </m:naryPr>
                  <m:sub>
                    <m:r>
                      <w:rPr>
                        <w:rFonts w:ascii="Cambria Math" w:hAnsi="Cambria Math"/>
                        <w:color w:val="000000" w:themeColor="text1"/>
                      </w:rPr>
                      <m:t>j</m:t>
                    </m:r>
                  </m:sub>
                  <m:sup/>
                  <m:e>
                    <m:d>
                      <m:dPr>
                        <m:begChr m:val="["/>
                        <m:endChr m:val="]"/>
                        <m:ctrlPr>
                          <w:rPr>
                            <w:rFonts w:ascii="Cambria Math" w:hAnsi="Cambria Math"/>
                            <w:i/>
                            <w:color w:val="000000" w:themeColor="text1"/>
                          </w:rPr>
                        </m:ctrlPr>
                      </m:dPr>
                      <m:e>
                        <m:sSub>
                          <m:sSubPr>
                            <m:ctrlPr>
                              <w:rPr>
                                <w:rFonts w:ascii="Cambria Math" w:hAnsi="Cambria Math"/>
                                <w:i/>
                              </w:rPr>
                            </m:ctrlPr>
                          </m:sSubPr>
                          <m:e>
                            <m:r>
                              <w:rPr>
                                <w:rFonts w:ascii="Cambria Math" w:hAnsi="Cambria Math"/>
                              </w:rPr>
                              <m:t>VI</m:t>
                            </m:r>
                          </m:e>
                          <m:sub>
                            <m:r>
                              <w:rPr>
                                <w:rFonts w:ascii="Cambria Math" w:hAnsi="Cambria Math"/>
                              </w:rPr>
                              <m:t>j,0</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TFUC</m:t>
                                </m:r>
                              </m:e>
                              <m:sub>
                                <m:r>
                                  <w:rPr>
                                    <w:rFonts w:ascii="Cambria Math" w:hAnsi="Cambria Math"/>
                                  </w:rPr>
                                  <m:t>j</m:t>
                                </m:r>
                              </m:sub>
                            </m:sSub>
                            <m:r>
                              <w:rPr>
                                <w:rFonts w:ascii="Cambria Math" w:hAnsi="Cambria Math"/>
                              </w:rPr>
                              <m:t>+PAI</m:t>
                            </m:r>
                          </m:e>
                        </m:d>
                      </m:e>
                    </m:d>
                  </m:e>
                </m:nary>
              </m:oMath>
            </m:oMathPara>
          </w:p>
          <w:p w14:paraId="4AA37AA4" w14:textId="77777777" w:rsidR="004302B4" w:rsidRPr="00EB6091" w:rsidRDefault="004302B4" w:rsidP="00C94D29">
            <w:pPr>
              <w:contextualSpacing/>
            </w:pPr>
          </w:p>
          <w:p w14:paraId="7CA4C8B4" w14:textId="3402A121" w:rsidR="004302B4" w:rsidRPr="00EB6091" w:rsidRDefault="004302B4" w:rsidP="00C94D29">
            <w:pPr>
              <w:contextualSpacing/>
            </w:pPr>
            <w:r w:rsidRPr="00EB6091">
              <w:t>En donde</w:t>
            </w:r>
            <w:r w:rsidR="00B351E5" w:rsidRPr="00EB6091">
              <w:t>:</w:t>
            </w:r>
          </w:p>
          <w:p w14:paraId="7B71C289" w14:textId="41FA598E" w:rsidR="004302B4" w:rsidRPr="00EB6091" w:rsidRDefault="004302B4" w:rsidP="00C94D29">
            <w:pPr>
              <w:contextualSpacing/>
              <w:jc w:val="both"/>
            </w:pPr>
          </w:p>
        </w:tc>
      </w:tr>
      <w:tr w:rsidR="004302B4" w:rsidRPr="00B66211" w14:paraId="660E6ACD" w14:textId="77777777" w:rsidTr="00A16ABA">
        <w:trPr>
          <w:trHeight w:val="250"/>
        </w:trPr>
        <w:tc>
          <w:tcPr>
            <w:tcW w:w="1449" w:type="dxa"/>
            <w:vMerge/>
          </w:tcPr>
          <w:p w14:paraId="68F8D96D" w14:textId="77777777" w:rsidR="004302B4" w:rsidRPr="00B66211" w:rsidRDefault="004302B4" w:rsidP="00C94D29">
            <w:pPr>
              <w:contextualSpacing/>
              <w:rPr>
                <w:highlight w:val="yellow"/>
              </w:rPr>
            </w:pPr>
          </w:p>
        </w:tc>
        <w:tc>
          <w:tcPr>
            <w:tcW w:w="293" w:type="dxa"/>
            <w:vMerge/>
          </w:tcPr>
          <w:p w14:paraId="2DBA1226" w14:textId="77777777" w:rsidR="004302B4" w:rsidRPr="00B66211" w:rsidRDefault="004302B4" w:rsidP="00C94D29">
            <w:pPr>
              <w:contextualSpacing/>
              <w:jc w:val="center"/>
              <w:rPr>
                <w:highlight w:val="yellow"/>
              </w:rPr>
            </w:pPr>
          </w:p>
        </w:tc>
        <w:tc>
          <w:tcPr>
            <w:tcW w:w="1235" w:type="dxa"/>
          </w:tcPr>
          <w:p w14:paraId="5D55141D" w14:textId="63D4C92F" w:rsidR="004302B4" w:rsidRPr="00173A82" w:rsidRDefault="005E2372" w:rsidP="00C94D29">
            <w:pPr>
              <w:contextualSpacing/>
              <w:jc w:val="both"/>
            </w:pPr>
            <m:oMathPara>
              <m:oMathParaPr>
                <m:jc m:val="left"/>
              </m:oMathParaPr>
              <m:oMath>
                <m:sSub>
                  <m:sSubPr>
                    <m:ctrlPr>
                      <w:rPr>
                        <w:rFonts w:ascii="Cambria Math" w:hAnsi="Cambria Math"/>
                        <w:i/>
                      </w:rPr>
                    </m:ctrlPr>
                  </m:sSubPr>
                  <m:e>
                    <m:r>
                      <w:rPr>
                        <w:rFonts w:ascii="Cambria Math" w:hAnsi="Cambria Math"/>
                      </w:rPr>
                      <m:t>VI</m:t>
                    </m:r>
                  </m:e>
                  <m:sub>
                    <m:r>
                      <w:rPr>
                        <w:rFonts w:ascii="Cambria Math" w:hAnsi="Cambria Math"/>
                      </w:rPr>
                      <m:t>j,0</m:t>
                    </m:r>
                  </m:sub>
                </m:sSub>
              </m:oMath>
            </m:oMathPara>
          </w:p>
        </w:tc>
        <w:tc>
          <w:tcPr>
            <w:tcW w:w="284" w:type="dxa"/>
          </w:tcPr>
          <w:p w14:paraId="23F18895" w14:textId="5FA2E573" w:rsidR="004302B4" w:rsidRPr="00B66211" w:rsidRDefault="00173A82" w:rsidP="00C94D29">
            <w:pPr>
              <w:contextualSpacing/>
              <w:jc w:val="both"/>
            </w:pPr>
            <w:r>
              <w:t>:</w:t>
            </w:r>
          </w:p>
        </w:tc>
        <w:tc>
          <w:tcPr>
            <w:tcW w:w="6095" w:type="dxa"/>
          </w:tcPr>
          <w:p w14:paraId="7F73BBA6" w14:textId="77777777" w:rsidR="00173A82" w:rsidRPr="00B66211" w:rsidRDefault="00173A82" w:rsidP="00C94D29">
            <w:pPr>
              <w:contextualSpacing/>
              <w:jc w:val="both"/>
            </w:pPr>
            <w:r w:rsidRPr="00B66211">
              <w:t xml:space="preserve">Valoración de la unidad constructiva </w:t>
            </w:r>
            <w:r w:rsidRPr="00B66211">
              <w:rPr>
                <w:i/>
              </w:rPr>
              <w:t>j</w:t>
            </w:r>
            <w:r w:rsidRPr="00B66211">
              <w:t>, expresada en pesos ($) de la fecha base.</w:t>
            </w:r>
          </w:p>
          <w:p w14:paraId="565716B1" w14:textId="0C9F7B97" w:rsidR="004302B4" w:rsidRPr="00B66211" w:rsidRDefault="004302B4" w:rsidP="00C94D29">
            <w:pPr>
              <w:contextualSpacing/>
              <w:jc w:val="both"/>
            </w:pPr>
          </w:p>
        </w:tc>
      </w:tr>
      <w:tr w:rsidR="004302B4" w:rsidRPr="00B66211" w14:paraId="3853BF23" w14:textId="77777777" w:rsidTr="00A16ABA">
        <w:trPr>
          <w:trHeight w:val="249"/>
        </w:trPr>
        <w:tc>
          <w:tcPr>
            <w:tcW w:w="1449" w:type="dxa"/>
            <w:vMerge/>
          </w:tcPr>
          <w:p w14:paraId="5AF7F199" w14:textId="77777777" w:rsidR="004302B4" w:rsidRPr="00B66211" w:rsidRDefault="004302B4" w:rsidP="00C94D29">
            <w:pPr>
              <w:contextualSpacing/>
              <w:rPr>
                <w:highlight w:val="yellow"/>
              </w:rPr>
            </w:pPr>
          </w:p>
        </w:tc>
        <w:tc>
          <w:tcPr>
            <w:tcW w:w="293" w:type="dxa"/>
            <w:vMerge/>
          </w:tcPr>
          <w:p w14:paraId="74FC5218" w14:textId="77777777" w:rsidR="004302B4" w:rsidRPr="00B66211" w:rsidRDefault="004302B4" w:rsidP="00C94D29">
            <w:pPr>
              <w:contextualSpacing/>
              <w:jc w:val="center"/>
              <w:rPr>
                <w:highlight w:val="yellow"/>
              </w:rPr>
            </w:pPr>
          </w:p>
        </w:tc>
        <w:tc>
          <w:tcPr>
            <w:tcW w:w="1235" w:type="dxa"/>
          </w:tcPr>
          <w:p w14:paraId="5E32CD61" w14:textId="40C017A5" w:rsidR="004302B4" w:rsidRPr="00173A82" w:rsidRDefault="005E2372" w:rsidP="00C94D29">
            <w:pPr>
              <w:contextualSpacing/>
              <w:jc w:val="both"/>
            </w:pPr>
            <m:oMathPara>
              <m:oMathParaPr>
                <m:jc m:val="left"/>
              </m:oMathParaPr>
              <m:oMath>
                <m:sSub>
                  <m:sSubPr>
                    <m:ctrlPr>
                      <w:rPr>
                        <w:rFonts w:ascii="Cambria Math" w:hAnsi="Cambria Math"/>
                        <w:i/>
                      </w:rPr>
                    </m:ctrlPr>
                  </m:sSubPr>
                  <m:e>
                    <m:r>
                      <w:rPr>
                        <w:rFonts w:ascii="Cambria Math" w:hAnsi="Cambria Math"/>
                      </w:rPr>
                      <m:t>TFUC</m:t>
                    </m:r>
                  </m:e>
                  <m:sub>
                    <m:r>
                      <w:rPr>
                        <w:rFonts w:ascii="Cambria Math" w:hAnsi="Cambria Math"/>
                      </w:rPr>
                      <m:t>j</m:t>
                    </m:r>
                  </m:sub>
                </m:sSub>
              </m:oMath>
            </m:oMathPara>
          </w:p>
        </w:tc>
        <w:tc>
          <w:tcPr>
            <w:tcW w:w="284" w:type="dxa"/>
          </w:tcPr>
          <w:p w14:paraId="5DFDDD59" w14:textId="07495588" w:rsidR="004302B4" w:rsidRPr="00B66211" w:rsidRDefault="00173A82" w:rsidP="00C94D29">
            <w:pPr>
              <w:contextualSpacing/>
              <w:jc w:val="both"/>
            </w:pPr>
            <w:r>
              <w:t>:</w:t>
            </w:r>
          </w:p>
        </w:tc>
        <w:tc>
          <w:tcPr>
            <w:tcW w:w="6095" w:type="dxa"/>
          </w:tcPr>
          <w:p w14:paraId="7437BE14" w14:textId="77777777" w:rsidR="004302B4" w:rsidRDefault="00173A82" w:rsidP="00C94D29">
            <w:pPr>
              <w:contextualSpacing/>
              <w:jc w:val="both"/>
            </w:pPr>
            <w:r>
              <w:t xml:space="preserve">Tasa de falla anual de la unidad </w:t>
            </w:r>
            <w:r w:rsidR="00E05FB4">
              <w:t xml:space="preserve">constructiva </w:t>
            </w:r>
            <w:r w:rsidR="00E05FB4" w:rsidRPr="00E05FB4">
              <w:rPr>
                <w:i/>
              </w:rPr>
              <w:t>j</w:t>
            </w:r>
            <w:r w:rsidR="00E05FB4">
              <w:t>.</w:t>
            </w:r>
          </w:p>
          <w:p w14:paraId="0EE668EB" w14:textId="45A55EEF" w:rsidR="00E05FB4" w:rsidRPr="00B66211" w:rsidRDefault="00E05FB4" w:rsidP="00C94D29">
            <w:pPr>
              <w:contextualSpacing/>
              <w:jc w:val="both"/>
            </w:pPr>
          </w:p>
        </w:tc>
      </w:tr>
      <w:tr w:rsidR="004302B4" w:rsidRPr="00B66211" w14:paraId="284B793F" w14:textId="77777777" w:rsidTr="00A16ABA">
        <w:trPr>
          <w:trHeight w:val="249"/>
        </w:trPr>
        <w:tc>
          <w:tcPr>
            <w:tcW w:w="1449" w:type="dxa"/>
            <w:vMerge/>
          </w:tcPr>
          <w:p w14:paraId="7FD86B4A" w14:textId="77777777" w:rsidR="004302B4" w:rsidRPr="00B66211" w:rsidRDefault="004302B4" w:rsidP="00C94D29">
            <w:pPr>
              <w:contextualSpacing/>
              <w:rPr>
                <w:highlight w:val="yellow"/>
              </w:rPr>
            </w:pPr>
          </w:p>
        </w:tc>
        <w:tc>
          <w:tcPr>
            <w:tcW w:w="293" w:type="dxa"/>
            <w:vMerge/>
          </w:tcPr>
          <w:p w14:paraId="2C990453" w14:textId="77777777" w:rsidR="004302B4" w:rsidRPr="00B66211" w:rsidRDefault="004302B4" w:rsidP="00C94D29">
            <w:pPr>
              <w:contextualSpacing/>
              <w:jc w:val="center"/>
              <w:rPr>
                <w:highlight w:val="yellow"/>
              </w:rPr>
            </w:pPr>
          </w:p>
        </w:tc>
        <w:tc>
          <w:tcPr>
            <w:tcW w:w="1235" w:type="dxa"/>
          </w:tcPr>
          <w:p w14:paraId="3680C53E" w14:textId="4EFAE7BD" w:rsidR="004302B4" w:rsidRPr="00173A82" w:rsidRDefault="00716CF8" w:rsidP="00C94D29">
            <w:pPr>
              <w:contextualSpacing/>
              <w:jc w:val="both"/>
            </w:pPr>
            <m:oMathPara>
              <m:oMathParaPr>
                <m:jc m:val="left"/>
              </m:oMathParaPr>
              <m:oMath>
                <m:r>
                  <w:rPr>
                    <w:rFonts w:ascii="Cambria Math" w:hAnsi="Cambria Math"/>
                  </w:rPr>
                  <m:t>PAI</m:t>
                </m:r>
              </m:oMath>
            </m:oMathPara>
          </w:p>
        </w:tc>
        <w:tc>
          <w:tcPr>
            <w:tcW w:w="284" w:type="dxa"/>
          </w:tcPr>
          <w:p w14:paraId="051B9C57" w14:textId="2362F356" w:rsidR="004302B4" w:rsidRPr="00B66211" w:rsidRDefault="00173A82" w:rsidP="00C94D29">
            <w:pPr>
              <w:contextualSpacing/>
              <w:jc w:val="both"/>
            </w:pPr>
            <w:r>
              <w:t>:</w:t>
            </w:r>
          </w:p>
        </w:tc>
        <w:tc>
          <w:tcPr>
            <w:tcW w:w="6095" w:type="dxa"/>
          </w:tcPr>
          <w:p w14:paraId="0BEFF7E7" w14:textId="27CD687C" w:rsidR="004302B4" w:rsidRDefault="006976FF" w:rsidP="00C94D29">
            <w:pPr>
              <w:contextualSpacing/>
              <w:jc w:val="both"/>
            </w:pPr>
            <w:r w:rsidRPr="006976FF">
              <w:t xml:space="preserve">Prima anual </w:t>
            </w:r>
            <w:r w:rsidR="002E6972">
              <w:t xml:space="preserve">de aseguramiento de las </w:t>
            </w:r>
            <w:r w:rsidRPr="006976FF">
              <w:t>inversiones</w:t>
            </w:r>
            <w:r w:rsidR="00E94405">
              <w:t>.</w:t>
            </w:r>
            <w:r w:rsidR="00701F82">
              <w:t xml:space="preserve"> Su valor será de 0,5117%.</w:t>
            </w:r>
          </w:p>
          <w:p w14:paraId="0547A32C" w14:textId="123810FA" w:rsidR="002E6972" w:rsidRPr="00B66211" w:rsidRDefault="002E6972" w:rsidP="00C94D29">
            <w:pPr>
              <w:contextualSpacing/>
              <w:jc w:val="both"/>
            </w:pPr>
          </w:p>
        </w:tc>
      </w:tr>
      <w:tr w:rsidR="0010264B" w:rsidRPr="002D6EA4" w14:paraId="198D196D" w14:textId="77777777" w:rsidTr="00CA188D">
        <w:trPr>
          <w:trHeight w:val="977"/>
        </w:trPr>
        <w:tc>
          <w:tcPr>
            <w:tcW w:w="1449" w:type="dxa"/>
            <w:vMerge w:val="restart"/>
          </w:tcPr>
          <w:p w14:paraId="151854AD" w14:textId="7CC95AF9" w:rsidR="0010264B" w:rsidRPr="002D6EA4"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AMGC</m:t>
                    </m:r>
                  </m:e>
                  <m:sub>
                    <m:r>
                      <w:rPr>
                        <w:rFonts w:ascii="Cambria Math" w:hAnsi="Cambria Math"/>
                      </w:rPr>
                      <m:t>AU,0</m:t>
                    </m:r>
                  </m:sub>
                </m:sSub>
              </m:oMath>
            </m:oMathPara>
          </w:p>
        </w:tc>
        <w:tc>
          <w:tcPr>
            <w:tcW w:w="293" w:type="dxa"/>
            <w:vMerge w:val="restart"/>
          </w:tcPr>
          <w:p w14:paraId="61752466" w14:textId="622CA19D" w:rsidR="0010264B" w:rsidRPr="002D6EA4" w:rsidRDefault="0010264B" w:rsidP="00C94D29">
            <w:pPr>
              <w:contextualSpacing/>
              <w:jc w:val="center"/>
            </w:pPr>
            <w:r w:rsidRPr="002D6EA4">
              <w:t>:</w:t>
            </w:r>
          </w:p>
        </w:tc>
        <w:tc>
          <w:tcPr>
            <w:tcW w:w="7614" w:type="dxa"/>
            <w:gridSpan w:val="3"/>
          </w:tcPr>
          <w:p w14:paraId="533BE3FF" w14:textId="60A5045D" w:rsidR="0010264B" w:rsidRPr="002D6EA4" w:rsidRDefault="0010264B" w:rsidP="00C94D29">
            <w:pPr>
              <w:contextualSpacing/>
              <w:jc w:val="both"/>
            </w:pPr>
            <w:r w:rsidRPr="002D6EA4">
              <w:t>Componente de remuneración de los gastos de AMGC que reconoce los gastos en que incurre el prestador del servicio por la atención de usuarios, expresado en pesos al día ($/día), en pesos de la fecha base.</w:t>
            </w:r>
          </w:p>
          <w:p w14:paraId="2BC10631" w14:textId="77777777" w:rsidR="0010264B" w:rsidRPr="002D6EA4" w:rsidRDefault="0010264B" w:rsidP="00C94D29">
            <w:pPr>
              <w:contextualSpacing/>
            </w:pPr>
          </w:p>
          <w:p w14:paraId="271743C5" w14:textId="2AA88399" w:rsidR="0010264B" w:rsidRPr="002D6EA4" w:rsidRDefault="0010264B" w:rsidP="00C94D29">
            <w:pPr>
              <w:ind w:right="142"/>
              <w:contextualSpacing/>
              <w:jc w:val="both"/>
              <w:rPr>
                <w:rFonts w:cs="Arial"/>
              </w:rPr>
            </w:pPr>
            <w:r w:rsidRPr="002D6EA4">
              <w:rPr>
                <w:rFonts w:cs="Arial"/>
              </w:rPr>
              <w:t xml:space="preserve">El valor de </w:t>
            </w:r>
            <m:oMath>
              <m:sSub>
                <m:sSubPr>
                  <m:ctrlPr>
                    <w:rPr>
                      <w:rFonts w:ascii="Cambria Math" w:hAnsi="Cambria Math" w:cs="Arial"/>
                      <w:i/>
                    </w:rPr>
                  </m:ctrlPr>
                </m:sSubPr>
                <m:e>
                  <m:r>
                    <w:rPr>
                      <w:rFonts w:ascii="Cambria Math" w:hAnsi="Cambria Math" w:cs="Arial"/>
                    </w:rPr>
                    <m:t>AMGC</m:t>
                  </m:r>
                </m:e>
                <m:sub>
                  <m:r>
                    <w:rPr>
                      <w:rFonts w:ascii="Cambria Math" w:hAnsi="Cambria Math" w:cs="Arial"/>
                    </w:rPr>
                    <m:t>AU,0</m:t>
                  </m:r>
                </m:sub>
              </m:sSub>
            </m:oMath>
            <w:r w:rsidRPr="002D6EA4">
              <w:rPr>
                <w:rFonts w:cs="Arial"/>
              </w:rPr>
              <w:t xml:space="preserve"> se obtiene a partir de la siguiente fórmula:</w:t>
            </w:r>
          </w:p>
          <w:p w14:paraId="428F985C" w14:textId="77777777" w:rsidR="0010264B" w:rsidRPr="002D6EA4" w:rsidRDefault="0010264B" w:rsidP="00C94D29">
            <w:pPr>
              <w:contextualSpacing/>
            </w:pPr>
          </w:p>
          <w:p w14:paraId="19D4D951" w14:textId="58F2E1AB" w:rsidR="0010264B" w:rsidRPr="002D6EA4" w:rsidRDefault="005E2372" w:rsidP="00C94D29">
            <w:pPr>
              <w:contextualSpacing/>
            </w:pPr>
            <m:oMathPara>
              <m:oMath>
                <m:sSub>
                  <m:sSubPr>
                    <m:ctrlPr>
                      <w:rPr>
                        <w:rFonts w:ascii="Cambria Math" w:hAnsi="Cambria Math"/>
                        <w:i/>
                        <w:iCs/>
                        <w:color w:val="000000" w:themeColor="text1"/>
                      </w:rPr>
                    </m:ctrlPr>
                  </m:sSubPr>
                  <m:e>
                    <m:r>
                      <w:rPr>
                        <w:rFonts w:ascii="Cambria Math" w:hAnsi="Cambria Math"/>
                        <w:color w:val="000000" w:themeColor="text1"/>
                      </w:rPr>
                      <m:t>AMGC</m:t>
                    </m:r>
                  </m:e>
                  <m:sub>
                    <m:r>
                      <w:rPr>
                        <w:rFonts w:ascii="Cambria Math" w:hAnsi="Cambria Math"/>
                        <w:color w:val="000000" w:themeColor="text1"/>
                      </w:rPr>
                      <m:t>AU,0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MP</m:t>
                    </m:r>
                  </m:e>
                  <m:sub>
                    <m:r>
                      <w:rPr>
                        <w:rFonts w:ascii="Cambria Math" w:hAnsi="Cambria Math"/>
                        <w:color w:val="000000" w:themeColor="text1"/>
                      </w:rPr>
                      <m:t>NS,u,0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MC</m:t>
                    </m:r>
                  </m:e>
                  <m:sub>
                    <m:r>
                      <w:rPr>
                        <w:rFonts w:ascii="Cambria Math" w:hAnsi="Cambria Math"/>
                        <w:color w:val="000000" w:themeColor="text1"/>
                      </w:rPr>
                      <m:t>NS,u,0</m:t>
                    </m:r>
                  </m:sub>
                </m:sSub>
                <m:r>
                  <w:rPr>
                    <w:rFonts w:ascii="Cambria Math" w:hAnsi="Cambria Math"/>
                    <w:color w:val="000000" w:themeColor="text1"/>
                  </w:rPr>
                  <m:t>+G</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oMath>
            </m:oMathPara>
          </w:p>
          <w:p w14:paraId="7DD2C2EE" w14:textId="02BDAF3E" w:rsidR="0010264B" w:rsidRPr="002D6EA4" w:rsidRDefault="0010264B" w:rsidP="00C94D29">
            <w:pPr>
              <w:contextualSpacing/>
              <w:jc w:val="both"/>
            </w:pPr>
          </w:p>
        </w:tc>
      </w:tr>
      <w:tr w:rsidR="0010264B" w:rsidRPr="00B66211" w14:paraId="7427824B" w14:textId="77777777" w:rsidTr="00A16ABA">
        <w:trPr>
          <w:trHeight w:val="204"/>
        </w:trPr>
        <w:tc>
          <w:tcPr>
            <w:tcW w:w="1449" w:type="dxa"/>
            <w:vMerge/>
          </w:tcPr>
          <w:p w14:paraId="0BD2A827" w14:textId="77777777" w:rsidR="0010264B" w:rsidRPr="00B66211" w:rsidRDefault="0010264B" w:rsidP="00C94D29">
            <w:pPr>
              <w:contextualSpacing/>
              <w:rPr>
                <w:highlight w:val="yellow"/>
              </w:rPr>
            </w:pPr>
          </w:p>
        </w:tc>
        <w:tc>
          <w:tcPr>
            <w:tcW w:w="293" w:type="dxa"/>
            <w:vMerge/>
          </w:tcPr>
          <w:p w14:paraId="2B898E40" w14:textId="77777777" w:rsidR="0010264B" w:rsidRPr="00B66211" w:rsidRDefault="0010264B" w:rsidP="00C94D29">
            <w:pPr>
              <w:contextualSpacing/>
              <w:jc w:val="center"/>
              <w:rPr>
                <w:highlight w:val="yellow"/>
              </w:rPr>
            </w:pPr>
          </w:p>
        </w:tc>
        <w:tc>
          <w:tcPr>
            <w:tcW w:w="1235" w:type="dxa"/>
          </w:tcPr>
          <w:p w14:paraId="214A4FFA" w14:textId="67481893" w:rsidR="0010264B" w:rsidRPr="0010264B" w:rsidRDefault="005E2372" w:rsidP="00C94D29">
            <w:pPr>
              <w:contextualSpacing/>
              <w:jc w:val="both"/>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MP</m:t>
                    </m:r>
                  </m:e>
                  <m:sub>
                    <m:r>
                      <w:rPr>
                        <w:rFonts w:ascii="Cambria Math" w:hAnsi="Cambria Math"/>
                        <w:color w:val="000000" w:themeColor="text1"/>
                      </w:rPr>
                      <m:t>NS,u,0</m:t>
                    </m:r>
                  </m:sub>
                </m:sSub>
              </m:oMath>
            </m:oMathPara>
          </w:p>
        </w:tc>
        <w:tc>
          <w:tcPr>
            <w:tcW w:w="284" w:type="dxa"/>
          </w:tcPr>
          <w:p w14:paraId="3AEAFEF1" w14:textId="1769787A" w:rsidR="0010264B" w:rsidRPr="00B66211" w:rsidRDefault="0010264B" w:rsidP="00C94D29">
            <w:pPr>
              <w:contextualSpacing/>
              <w:jc w:val="both"/>
            </w:pPr>
            <w:r>
              <w:t>:</w:t>
            </w:r>
          </w:p>
        </w:tc>
        <w:tc>
          <w:tcPr>
            <w:tcW w:w="6095" w:type="dxa"/>
          </w:tcPr>
          <w:p w14:paraId="7375F1D7" w14:textId="5BE24EC3" w:rsidR="001D2F8D" w:rsidRDefault="001D2F8D" w:rsidP="00C94D29">
            <w:pPr>
              <w:contextualSpacing/>
              <w:jc w:val="both"/>
            </w:pPr>
            <w:r w:rsidRPr="00B66211">
              <w:t xml:space="preserve">Componente de remuneración de los gastos de AMGC que </w:t>
            </w:r>
            <w:r>
              <w:t xml:space="preserve">reconoce los gastos en que incurre el prestador del servicio por </w:t>
            </w:r>
            <w:r w:rsidR="00961466">
              <w:t xml:space="preserve">visitas de </w:t>
            </w:r>
            <w:r w:rsidR="00A34280">
              <w:t>mantenimiento preventivo a la SISFV</w:t>
            </w:r>
            <w:r w:rsidR="00D82B89">
              <w:t>,</w:t>
            </w:r>
            <w:r w:rsidR="006B738B">
              <w:t xml:space="preserve"> para un nivel de servicio </w:t>
            </w:r>
            <w:r w:rsidR="006B738B" w:rsidRPr="00610C6E">
              <w:rPr>
                <w:i/>
              </w:rPr>
              <w:t>N</w:t>
            </w:r>
            <w:r w:rsidR="00682480" w:rsidRPr="00610C6E">
              <w:rPr>
                <w:i/>
              </w:rPr>
              <w:t>S</w:t>
            </w:r>
            <w:r w:rsidR="00682480">
              <w:t xml:space="preserve"> y ubicación </w:t>
            </w:r>
            <w:r w:rsidR="00682480" w:rsidRPr="001D3857">
              <w:rPr>
                <w:i/>
              </w:rPr>
              <w:t>u</w:t>
            </w:r>
            <w:r w:rsidR="00682480">
              <w:t xml:space="preserve"> del usuario</w:t>
            </w:r>
            <w:r w:rsidRPr="00B66211">
              <w:t>, expresad</w:t>
            </w:r>
            <w:r>
              <w:t>o</w:t>
            </w:r>
            <w:r w:rsidRPr="00B66211">
              <w:t xml:space="preserve"> en pesos al día ($/día), en pesos de la fecha base.</w:t>
            </w:r>
          </w:p>
          <w:p w14:paraId="5722FBEC" w14:textId="071A9171" w:rsidR="0010264B" w:rsidRPr="00B66211" w:rsidRDefault="0010264B" w:rsidP="00C94D29">
            <w:pPr>
              <w:contextualSpacing/>
              <w:jc w:val="both"/>
            </w:pPr>
          </w:p>
        </w:tc>
      </w:tr>
      <w:tr w:rsidR="0010264B" w:rsidRPr="00B66211" w14:paraId="272D82E3" w14:textId="77777777" w:rsidTr="00A16ABA">
        <w:trPr>
          <w:trHeight w:val="202"/>
        </w:trPr>
        <w:tc>
          <w:tcPr>
            <w:tcW w:w="1449" w:type="dxa"/>
            <w:vMerge/>
          </w:tcPr>
          <w:p w14:paraId="53A726CB" w14:textId="77777777" w:rsidR="0010264B" w:rsidRPr="00B66211" w:rsidRDefault="0010264B" w:rsidP="00C94D29">
            <w:pPr>
              <w:contextualSpacing/>
              <w:rPr>
                <w:highlight w:val="yellow"/>
              </w:rPr>
            </w:pPr>
          </w:p>
        </w:tc>
        <w:tc>
          <w:tcPr>
            <w:tcW w:w="293" w:type="dxa"/>
            <w:vMerge/>
          </w:tcPr>
          <w:p w14:paraId="4E881DB3" w14:textId="77777777" w:rsidR="0010264B" w:rsidRPr="00B66211" w:rsidRDefault="0010264B" w:rsidP="00C94D29">
            <w:pPr>
              <w:contextualSpacing/>
              <w:jc w:val="center"/>
              <w:rPr>
                <w:highlight w:val="yellow"/>
              </w:rPr>
            </w:pPr>
          </w:p>
        </w:tc>
        <w:tc>
          <w:tcPr>
            <w:tcW w:w="1235" w:type="dxa"/>
          </w:tcPr>
          <w:p w14:paraId="60284FF6" w14:textId="5E0F4934" w:rsidR="0010264B" w:rsidRPr="0010264B" w:rsidRDefault="005E2372" w:rsidP="00C94D29">
            <w:pPr>
              <w:contextualSpacing/>
              <w:jc w:val="both"/>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MC</m:t>
                    </m:r>
                  </m:e>
                  <m:sub>
                    <m:r>
                      <w:rPr>
                        <w:rFonts w:ascii="Cambria Math" w:hAnsi="Cambria Math"/>
                        <w:color w:val="000000" w:themeColor="text1"/>
                      </w:rPr>
                      <m:t>NS,u,0</m:t>
                    </m:r>
                  </m:sub>
                </m:sSub>
              </m:oMath>
            </m:oMathPara>
          </w:p>
        </w:tc>
        <w:tc>
          <w:tcPr>
            <w:tcW w:w="284" w:type="dxa"/>
          </w:tcPr>
          <w:p w14:paraId="05907FF0" w14:textId="443FA93A" w:rsidR="0010264B" w:rsidRPr="00B66211" w:rsidRDefault="0010264B" w:rsidP="00C94D29">
            <w:pPr>
              <w:contextualSpacing/>
              <w:jc w:val="both"/>
            </w:pPr>
            <w:r>
              <w:t>:</w:t>
            </w:r>
          </w:p>
        </w:tc>
        <w:tc>
          <w:tcPr>
            <w:tcW w:w="6095" w:type="dxa"/>
          </w:tcPr>
          <w:p w14:paraId="2588688B" w14:textId="577BB3DA" w:rsidR="00D82B89" w:rsidRDefault="00D82B89" w:rsidP="00C94D29">
            <w:pPr>
              <w:contextualSpacing/>
              <w:jc w:val="both"/>
            </w:pPr>
            <w:r w:rsidRPr="00B66211">
              <w:t xml:space="preserve">Componente de remuneración de los gastos de AMGC que </w:t>
            </w:r>
            <w:r>
              <w:t xml:space="preserve">reconoce los gastos en que incurre el prestador del servicio por visitas de mantenimiento correctivo a la SISFV, para un nivel de servicio </w:t>
            </w:r>
            <w:r w:rsidRPr="00610C6E">
              <w:rPr>
                <w:i/>
              </w:rPr>
              <w:t>NS</w:t>
            </w:r>
            <w:r>
              <w:t xml:space="preserve"> y ubicación </w:t>
            </w:r>
            <w:r w:rsidRPr="001D3857">
              <w:rPr>
                <w:i/>
              </w:rPr>
              <w:t>u</w:t>
            </w:r>
            <w:r>
              <w:t xml:space="preserve"> del usuario</w:t>
            </w:r>
            <w:r w:rsidRPr="00B66211">
              <w:t>, expresad</w:t>
            </w:r>
            <w:r>
              <w:t>o</w:t>
            </w:r>
            <w:r w:rsidRPr="00B66211">
              <w:t xml:space="preserve"> en pesos al día ($/día), en pesos de la fecha base.</w:t>
            </w:r>
          </w:p>
          <w:p w14:paraId="56E841B4" w14:textId="04DE5324" w:rsidR="0010264B" w:rsidRPr="00B66211" w:rsidRDefault="0010264B" w:rsidP="00C94D29">
            <w:pPr>
              <w:contextualSpacing/>
              <w:jc w:val="both"/>
            </w:pPr>
          </w:p>
        </w:tc>
      </w:tr>
      <w:tr w:rsidR="0010264B" w:rsidRPr="00B66211" w14:paraId="03E626C0" w14:textId="77777777" w:rsidTr="00A16ABA">
        <w:trPr>
          <w:trHeight w:val="202"/>
        </w:trPr>
        <w:tc>
          <w:tcPr>
            <w:tcW w:w="1449" w:type="dxa"/>
            <w:vMerge/>
          </w:tcPr>
          <w:p w14:paraId="180318E8" w14:textId="77777777" w:rsidR="0010264B" w:rsidRPr="00B66211" w:rsidRDefault="0010264B" w:rsidP="00C94D29">
            <w:pPr>
              <w:contextualSpacing/>
              <w:rPr>
                <w:highlight w:val="yellow"/>
              </w:rPr>
            </w:pPr>
          </w:p>
        </w:tc>
        <w:tc>
          <w:tcPr>
            <w:tcW w:w="293" w:type="dxa"/>
            <w:vMerge/>
          </w:tcPr>
          <w:p w14:paraId="49DF38F9" w14:textId="77777777" w:rsidR="0010264B" w:rsidRPr="00B66211" w:rsidRDefault="0010264B" w:rsidP="00C94D29">
            <w:pPr>
              <w:contextualSpacing/>
              <w:jc w:val="center"/>
              <w:rPr>
                <w:highlight w:val="yellow"/>
              </w:rPr>
            </w:pPr>
          </w:p>
        </w:tc>
        <w:tc>
          <w:tcPr>
            <w:tcW w:w="1235" w:type="dxa"/>
          </w:tcPr>
          <w:p w14:paraId="21EEE781" w14:textId="3B67110E" w:rsidR="0010264B" w:rsidRPr="00797281" w:rsidRDefault="001B14E6" w:rsidP="00C94D29">
            <w:pPr>
              <w:contextualSpacing/>
              <w:jc w:val="both"/>
            </w:pPr>
            <m:oMathPara>
              <m:oMathParaPr>
                <m:jc m:val="left"/>
              </m:oMathParaPr>
              <m:oMath>
                <m:r>
                  <w:rPr>
                    <w:rFonts w:ascii="Cambria Math" w:hAnsi="Cambria Math"/>
                    <w:color w:val="000000" w:themeColor="text1"/>
                  </w:rPr>
                  <m:t>G</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0</m:t>
                    </m:r>
                  </m:sub>
                </m:sSub>
              </m:oMath>
            </m:oMathPara>
          </w:p>
        </w:tc>
        <w:tc>
          <w:tcPr>
            <w:tcW w:w="284" w:type="dxa"/>
          </w:tcPr>
          <w:p w14:paraId="653404A5" w14:textId="594BE5CB" w:rsidR="0010264B" w:rsidRPr="00B66211" w:rsidRDefault="0010264B" w:rsidP="00C94D29">
            <w:pPr>
              <w:contextualSpacing/>
              <w:jc w:val="both"/>
            </w:pPr>
            <w:r>
              <w:t>:</w:t>
            </w:r>
          </w:p>
        </w:tc>
        <w:tc>
          <w:tcPr>
            <w:tcW w:w="6095" w:type="dxa"/>
          </w:tcPr>
          <w:p w14:paraId="4D5F7E26" w14:textId="1C42F35F" w:rsidR="00D82B89" w:rsidRDefault="00D82B89" w:rsidP="00C94D29">
            <w:pPr>
              <w:contextualSpacing/>
              <w:jc w:val="both"/>
            </w:pPr>
            <w:r w:rsidRPr="00B66211">
              <w:t xml:space="preserve">Componente de remuneración de los gastos de AMGC que </w:t>
            </w:r>
            <w:r>
              <w:t xml:space="preserve">reconoce los gastos en que incurre el prestador del servicio por </w:t>
            </w:r>
            <w:r w:rsidR="00963CFD">
              <w:t xml:space="preserve">gestión comercial de los </w:t>
            </w:r>
            <w:r>
              <w:t>usuario</w:t>
            </w:r>
            <w:r w:rsidR="00963CFD">
              <w:t>s</w:t>
            </w:r>
            <w:r w:rsidRPr="00B66211">
              <w:t>, expresad</w:t>
            </w:r>
            <w:r>
              <w:t>o</w:t>
            </w:r>
            <w:r w:rsidRPr="00B66211">
              <w:t xml:space="preserve"> en pesos al día ($/día), en pesos de la fecha base.</w:t>
            </w:r>
            <w:r w:rsidR="00A44810">
              <w:t xml:space="preserve"> Su va</w:t>
            </w:r>
            <w:r w:rsidR="005264AB">
              <w:t>lor será de 51,96</w:t>
            </w:r>
            <w:r w:rsidR="00FC226E">
              <w:t xml:space="preserve"> pesos al día.</w:t>
            </w:r>
          </w:p>
          <w:p w14:paraId="1399873F" w14:textId="3C5EF522" w:rsidR="0010264B" w:rsidRPr="00B66211" w:rsidRDefault="0010264B" w:rsidP="00C94D29">
            <w:pPr>
              <w:contextualSpacing/>
              <w:jc w:val="both"/>
            </w:pPr>
          </w:p>
        </w:tc>
      </w:tr>
      <w:tr w:rsidR="0050224E" w:rsidRPr="00B66211" w14:paraId="5C3561CA" w14:textId="77777777" w:rsidTr="000E4002">
        <w:trPr>
          <w:trHeight w:val="1478"/>
        </w:trPr>
        <w:tc>
          <w:tcPr>
            <w:tcW w:w="1449" w:type="dxa"/>
            <w:vMerge w:val="restart"/>
          </w:tcPr>
          <w:p w14:paraId="551532E7" w14:textId="29864518" w:rsidR="0050224E" w:rsidRPr="007B6D27"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AMGC</m:t>
                    </m:r>
                  </m:e>
                  <m:sub>
                    <m:r>
                      <w:rPr>
                        <w:rFonts w:ascii="Cambria Math" w:hAnsi="Cambria Math"/>
                      </w:rPr>
                      <m:t>NF,m,0</m:t>
                    </m:r>
                  </m:sub>
                </m:sSub>
              </m:oMath>
            </m:oMathPara>
          </w:p>
        </w:tc>
        <w:tc>
          <w:tcPr>
            <w:tcW w:w="293" w:type="dxa"/>
            <w:vMerge w:val="restart"/>
          </w:tcPr>
          <w:p w14:paraId="294EACA0" w14:textId="6540E211" w:rsidR="0050224E" w:rsidRPr="007B6D27" w:rsidRDefault="0050224E" w:rsidP="00C94D29">
            <w:pPr>
              <w:contextualSpacing/>
              <w:jc w:val="center"/>
            </w:pPr>
            <w:r w:rsidRPr="007B6D27">
              <w:t>:</w:t>
            </w:r>
          </w:p>
        </w:tc>
        <w:tc>
          <w:tcPr>
            <w:tcW w:w="7614" w:type="dxa"/>
            <w:gridSpan w:val="3"/>
          </w:tcPr>
          <w:p w14:paraId="7DF49B94" w14:textId="5D128082" w:rsidR="0050224E" w:rsidRPr="007B6D27" w:rsidRDefault="0050224E" w:rsidP="00C94D29">
            <w:pPr>
              <w:contextualSpacing/>
              <w:jc w:val="both"/>
            </w:pPr>
            <w:r w:rsidRPr="007B6D27">
              <w:t xml:space="preserve">Componente de remuneración de los gastos de </w:t>
            </w:r>
            <w:r w:rsidR="00857A5B" w:rsidRPr="007B6D27">
              <w:t xml:space="preserve">AMGC </w:t>
            </w:r>
            <w:r w:rsidRPr="007B6D27">
              <w:t xml:space="preserve">que depende del nivel de facturación del prestador del servicio, aplicable para el mes </w:t>
            </w:r>
            <w:r w:rsidRPr="007B6D27">
              <w:rPr>
                <w:i/>
              </w:rPr>
              <w:t>m</w:t>
            </w:r>
            <w:r w:rsidRPr="007B6D27">
              <w:t>, expresado en pesos al día ($/día), en pesos de la fecha base.</w:t>
            </w:r>
          </w:p>
          <w:p w14:paraId="5165F95B" w14:textId="77777777" w:rsidR="0050224E" w:rsidRPr="007B6D27" w:rsidRDefault="0050224E" w:rsidP="00C94D29">
            <w:pPr>
              <w:contextualSpacing/>
              <w:jc w:val="both"/>
            </w:pPr>
          </w:p>
          <w:p w14:paraId="3E743A0F" w14:textId="5C12A653" w:rsidR="0050224E" w:rsidRPr="007B6D27" w:rsidRDefault="0050224E" w:rsidP="00C94D29">
            <w:pPr>
              <w:ind w:right="142"/>
              <w:contextualSpacing/>
              <w:jc w:val="both"/>
              <w:rPr>
                <w:rFonts w:cs="Arial"/>
              </w:rPr>
            </w:pPr>
            <w:r w:rsidRPr="007B6D27">
              <w:rPr>
                <w:rFonts w:cs="Arial"/>
              </w:rPr>
              <w:t xml:space="preserve">El valor de </w:t>
            </w:r>
            <m:oMath>
              <m:sSub>
                <m:sSubPr>
                  <m:ctrlPr>
                    <w:rPr>
                      <w:rFonts w:ascii="Cambria Math" w:hAnsi="Cambria Math" w:cs="Arial"/>
                      <w:i/>
                    </w:rPr>
                  </m:ctrlPr>
                </m:sSubPr>
                <m:e>
                  <m:r>
                    <w:rPr>
                      <w:rFonts w:ascii="Cambria Math" w:hAnsi="Cambria Math" w:cs="Arial"/>
                    </w:rPr>
                    <m:t>AMGC</m:t>
                  </m:r>
                </m:e>
                <m:sub>
                  <m:r>
                    <w:rPr>
                      <w:rFonts w:ascii="Cambria Math" w:hAnsi="Cambria Math" w:cs="Arial"/>
                    </w:rPr>
                    <m:t>NF,m,0</m:t>
                  </m:r>
                </m:sub>
              </m:sSub>
            </m:oMath>
            <w:r w:rsidRPr="007B6D27">
              <w:rPr>
                <w:rFonts w:cs="Arial"/>
              </w:rPr>
              <w:t xml:space="preserve"> se obtiene a partir de la siguiente fórmula:</w:t>
            </w:r>
          </w:p>
          <w:p w14:paraId="0BE42154" w14:textId="77777777" w:rsidR="0050224E" w:rsidRPr="007B6D27" w:rsidRDefault="0050224E" w:rsidP="00C94D29">
            <w:pPr>
              <w:contextualSpacing/>
            </w:pPr>
          </w:p>
          <w:p w14:paraId="49DF38C1" w14:textId="60E45C6E" w:rsidR="0050224E" w:rsidRPr="007B6D27" w:rsidRDefault="005E2372" w:rsidP="00C94D29">
            <w:pPr>
              <w:contextualSpacing/>
            </w:pPr>
            <m:oMathPara>
              <m:oMath>
                <m:sSub>
                  <m:sSubPr>
                    <m:ctrlPr>
                      <w:rPr>
                        <w:rFonts w:ascii="Cambria Math" w:hAnsi="Cambria Math"/>
                        <w:i/>
                        <w:iCs/>
                        <w:color w:val="000000" w:themeColor="text1"/>
                        <w:sz w:val="20"/>
                        <w:szCs w:val="20"/>
                      </w:rPr>
                    </m:ctrlPr>
                  </m:sSubPr>
                  <m:e>
                    <m:r>
                      <w:rPr>
                        <w:rFonts w:ascii="Cambria Math" w:hAnsi="Cambria Math"/>
                        <w:color w:val="000000" w:themeColor="text1"/>
                        <w:sz w:val="20"/>
                        <w:szCs w:val="20"/>
                      </w:rPr>
                      <m:t>AMGC</m:t>
                    </m:r>
                  </m:e>
                  <m:sub>
                    <m:r>
                      <w:rPr>
                        <w:rFonts w:ascii="Cambria Math" w:hAnsi="Cambria Math"/>
                        <w:color w:val="000000" w:themeColor="text1"/>
                        <w:sz w:val="20"/>
                        <w:szCs w:val="20"/>
                      </w:rPr>
                      <m:t>NF,m,0</m:t>
                    </m:r>
                  </m:sub>
                </m:sSub>
                <m:r>
                  <w:rPr>
                    <w:rFonts w:ascii="Cambria Math" w:hAnsi="Cambria Math"/>
                    <w:color w:val="000000" w:themeColor="text1"/>
                    <w:sz w:val="20"/>
                    <w:szCs w:val="20"/>
                  </w:rPr>
                  <m:t>=</m:t>
                </m:r>
                <m:d>
                  <m:dPr>
                    <m:ctrlPr>
                      <w:rPr>
                        <w:rFonts w:ascii="Cambria Math" w:eastAsiaTheme="minorEastAsia" w:hAnsi="Cambria Math"/>
                        <w:i/>
                        <w:sz w:val="20"/>
                        <w:szCs w:val="20"/>
                      </w:rPr>
                    </m:ctrlPr>
                  </m:dPr>
                  <m:e>
                    <m:nary>
                      <m:naryPr>
                        <m:chr m:val="∑"/>
                        <m:limLoc m:val="undOvr"/>
                        <m:supHide m:val="1"/>
                        <m:ctrlPr>
                          <w:rPr>
                            <w:rFonts w:ascii="Cambria Math" w:hAnsi="Cambria Math"/>
                            <w:i/>
                            <w:sz w:val="20"/>
                            <w:szCs w:val="20"/>
                          </w:rPr>
                        </m:ctrlPr>
                      </m:naryPr>
                      <m:sub>
                        <m:r>
                          <w:rPr>
                            <w:rFonts w:ascii="Cambria Math" w:hAnsi="Cambria Math"/>
                            <w:sz w:val="20"/>
                            <w:szCs w:val="20"/>
                          </w:rPr>
                          <m:t>j</m:t>
                        </m:r>
                      </m:sub>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I</m:t>
                                </m:r>
                              </m:e>
                              <m:sub>
                                <m:r>
                                  <w:rPr>
                                    <w:rFonts w:ascii="Cambria Math" w:hAnsi="Cambria Math"/>
                                    <w:sz w:val="20"/>
                                    <w:szCs w:val="20"/>
                                  </w:rPr>
                                  <m:t>j,0</m:t>
                                </m:r>
                              </m:sub>
                            </m:sSub>
                            <m:r>
                              <w:rPr>
                                <w:rFonts w:ascii="Cambria Math"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IS</m:t>
                                </m:r>
                              </m:e>
                              <m:sub>
                                <m:r>
                                  <w:rPr>
                                    <w:rFonts w:ascii="Cambria Math" w:eastAsiaTheme="minorEastAsia" w:hAnsi="Cambria Math"/>
                                    <w:sz w:val="20"/>
                                    <w:szCs w:val="20"/>
                                  </w:rPr>
                                  <m:t>j,m</m:t>
                                </m:r>
                              </m:sub>
                            </m:sSub>
                          </m:e>
                        </m:d>
                      </m:e>
                    </m:nary>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AMGC</m:t>
                        </m:r>
                      </m:e>
                      <m:sub>
                        <m:r>
                          <w:rPr>
                            <w:rFonts w:ascii="Cambria Math" w:hAnsi="Cambria Math"/>
                            <w:sz w:val="20"/>
                            <w:szCs w:val="20"/>
                          </w:rPr>
                          <m:t>NU,m,0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AMGC</m:t>
                        </m:r>
                      </m:e>
                      <m:sub>
                        <m:r>
                          <w:rPr>
                            <w:rFonts w:ascii="Cambria Math" w:hAnsi="Cambria Math"/>
                            <w:sz w:val="20"/>
                            <w:szCs w:val="20"/>
                          </w:rPr>
                          <m:t>VI,0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AMGC</m:t>
                        </m:r>
                      </m:e>
                      <m:sub>
                        <m:r>
                          <w:rPr>
                            <w:rFonts w:ascii="Cambria Math" w:hAnsi="Cambria Math"/>
                            <w:sz w:val="20"/>
                            <w:szCs w:val="20"/>
                          </w:rPr>
                          <m:t>AU,0</m:t>
                        </m:r>
                      </m:sub>
                    </m:sSub>
                  </m:e>
                </m:d>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TNF</m:t>
                    </m:r>
                  </m:e>
                  <m:sub>
                    <m:r>
                      <w:rPr>
                        <w:rFonts w:ascii="Cambria Math" w:eastAsiaTheme="minorEastAsia" w:hAnsi="Cambria Math"/>
                        <w:sz w:val="20"/>
                        <w:szCs w:val="20"/>
                      </w:rPr>
                      <m:t>m</m:t>
                    </m:r>
                  </m:sub>
                </m:sSub>
              </m:oMath>
            </m:oMathPara>
          </w:p>
          <w:p w14:paraId="13912885" w14:textId="77777777" w:rsidR="0050224E" w:rsidRPr="007B6D27" w:rsidRDefault="0050224E" w:rsidP="00C94D29">
            <w:pPr>
              <w:contextualSpacing/>
            </w:pPr>
          </w:p>
          <w:p w14:paraId="42CC3914" w14:textId="77777777" w:rsidR="0050224E" w:rsidRPr="007B6D27" w:rsidRDefault="0050224E" w:rsidP="00C94D29">
            <w:pPr>
              <w:contextualSpacing/>
              <w:jc w:val="both"/>
            </w:pPr>
            <w:r w:rsidRPr="007B6D27">
              <w:t>En donde:</w:t>
            </w:r>
          </w:p>
          <w:p w14:paraId="419DC257" w14:textId="5BD410BE" w:rsidR="00633AC2" w:rsidRPr="007B6D27" w:rsidRDefault="00633AC2" w:rsidP="00C94D29">
            <w:pPr>
              <w:contextualSpacing/>
              <w:jc w:val="both"/>
            </w:pPr>
          </w:p>
        </w:tc>
      </w:tr>
      <w:tr w:rsidR="0050224E" w:rsidRPr="00B66211" w14:paraId="379BEEB2" w14:textId="77777777" w:rsidTr="00E841B9">
        <w:trPr>
          <w:trHeight w:val="104"/>
        </w:trPr>
        <w:tc>
          <w:tcPr>
            <w:tcW w:w="1449" w:type="dxa"/>
            <w:vMerge/>
          </w:tcPr>
          <w:p w14:paraId="53DE40CC" w14:textId="77777777" w:rsidR="0050224E" w:rsidRPr="00B66211" w:rsidRDefault="0050224E" w:rsidP="00C94D29">
            <w:pPr>
              <w:contextualSpacing/>
              <w:rPr>
                <w:highlight w:val="yellow"/>
              </w:rPr>
            </w:pPr>
          </w:p>
        </w:tc>
        <w:tc>
          <w:tcPr>
            <w:tcW w:w="293" w:type="dxa"/>
            <w:vMerge/>
          </w:tcPr>
          <w:p w14:paraId="1068A881" w14:textId="77777777" w:rsidR="0050224E" w:rsidRPr="00B66211" w:rsidRDefault="0050224E" w:rsidP="00C94D29">
            <w:pPr>
              <w:contextualSpacing/>
              <w:jc w:val="center"/>
              <w:rPr>
                <w:highlight w:val="yellow"/>
              </w:rPr>
            </w:pPr>
          </w:p>
        </w:tc>
        <w:tc>
          <w:tcPr>
            <w:tcW w:w="1235" w:type="dxa"/>
          </w:tcPr>
          <w:p w14:paraId="44C4FCDA" w14:textId="34ABE7FF" w:rsidR="0050224E" w:rsidRPr="00DD64F8" w:rsidRDefault="005E2372" w:rsidP="00C94D29">
            <w:pPr>
              <w:contextualSpacing/>
              <w:jc w:val="both"/>
              <w:rPr>
                <w:highlight w:val="yellow"/>
              </w:rPr>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j,0</m:t>
                    </m:r>
                  </m:sub>
                </m:sSub>
              </m:oMath>
            </m:oMathPara>
          </w:p>
        </w:tc>
        <w:tc>
          <w:tcPr>
            <w:tcW w:w="284" w:type="dxa"/>
          </w:tcPr>
          <w:p w14:paraId="54251FB8" w14:textId="41EFE932" w:rsidR="0050224E" w:rsidRPr="00B66211" w:rsidRDefault="0050224E" w:rsidP="00C94D29">
            <w:pPr>
              <w:contextualSpacing/>
              <w:jc w:val="both"/>
              <w:rPr>
                <w:highlight w:val="yellow"/>
              </w:rPr>
            </w:pPr>
            <w:r w:rsidRPr="000E2A26">
              <w:t>:</w:t>
            </w:r>
          </w:p>
        </w:tc>
        <w:tc>
          <w:tcPr>
            <w:tcW w:w="6095" w:type="dxa"/>
          </w:tcPr>
          <w:p w14:paraId="2BD1E88D" w14:textId="72BC094C" w:rsidR="0050224E" w:rsidRPr="000E2A26" w:rsidRDefault="0050224E" w:rsidP="00C94D29">
            <w:pPr>
              <w:contextualSpacing/>
              <w:jc w:val="both"/>
            </w:pPr>
            <w:r w:rsidRPr="000E2A26">
              <w:t xml:space="preserve">Cargo máximo de inversión de la UC </w:t>
            </w:r>
            <w:r w:rsidRPr="000E2A26">
              <w:rPr>
                <w:i/>
              </w:rPr>
              <w:t>j</w:t>
            </w:r>
            <w:r w:rsidRPr="000E2A26">
              <w:t>, expresado en pesos al día ($/día), en pesos de la fecha base.</w:t>
            </w:r>
            <w:r w:rsidR="00096155">
              <w:t xml:space="preserve"> </w:t>
            </w:r>
          </w:p>
          <w:p w14:paraId="1A1520E7" w14:textId="070E2598" w:rsidR="0050224E" w:rsidRPr="00B66211" w:rsidRDefault="0050224E" w:rsidP="00C94D29">
            <w:pPr>
              <w:contextualSpacing/>
              <w:jc w:val="both"/>
              <w:rPr>
                <w:highlight w:val="yellow"/>
              </w:rPr>
            </w:pPr>
          </w:p>
        </w:tc>
      </w:tr>
      <w:tr w:rsidR="0050224E" w:rsidRPr="00B66211" w14:paraId="6EA4EEC1" w14:textId="77777777" w:rsidTr="00E841B9">
        <w:trPr>
          <w:trHeight w:val="1095"/>
        </w:trPr>
        <w:tc>
          <w:tcPr>
            <w:tcW w:w="1449" w:type="dxa"/>
            <w:vMerge/>
          </w:tcPr>
          <w:p w14:paraId="71E88303" w14:textId="77777777" w:rsidR="0050224E" w:rsidRPr="00B66211" w:rsidRDefault="0050224E" w:rsidP="00C94D29">
            <w:pPr>
              <w:contextualSpacing/>
              <w:rPr>
                <w:highlight w:val="yellow"/>
              </w:rPr>
            </w:pPr>
          </w:p>
        </w:tc>
        <w:tc>
          <w:tcPr>
            <w:tcW w:w="293" w:type="dxa"/>
            <w:vMerge/>
          </w:tcPr>
          <w:p w14:paraId="7FF6F037" w14:textId="77777777" w:rsidR="0050224E" w:rsidRPr="00B66211" w:rsidRDefault="0050224E" w:rsidP="00C94D29">
            <w:pPr>
              <w:contextualSpacing/>
              <w:jc w:val="center"/>
              <w:rPr>
                <w:highlight w:val="yellow"/>
              </w:rPr>
            </w:pPr>
          </w:p>
        </w:tc>
        <w:tc>
          <w:tcPr>
            <w:tcW w:w="1235" w:type="dxa"/>
          </w:tcPr>
          <w:p w14:paraId="570DF44A" w14:textId="2ED32458" w:rsidR="0050224E" w:rsidRPr="00DD64F8" w:rsidRDefault="005E2372" w:rsidP="00C94D29">
            <w:pPr>
              <w:contextualSpacing/>
              <w:jc w:val="both"/>
              <w:rPr>
                <w:highlight w:val="yellow"/>
              </w:rPr>
            </w:pPr>
            <m:oMathPara>
              <m:oMathParaPr>
                <m:jc m:val="left"/>
              </m:oMathParaPr>
              <m:oMath>
                <m:sSub>
                  <m:sSubPr>
                    <m:ctrlPr>
                      <w:rPr>
                        <w:rFonts w:ascii="Cambria Math" w:hAnsi="Cambria Math"/>
                        <w:i/>
                      </w:rPr>
                    </m:ctrlPr>
                  </m:sSubPr>
                  <m:e>
                    <m:r>
                      <w:rPr>
                        <w:rFonts w:ascii="Cambria Math" w:hAnsi="Cambria Math"/>
                      </w:rPr>
                      <m:t>IS</m:t>
                    </m:r>
                  </m:e>
                  <m:sub>
                    <m:r>
                      <w:rPr>
                        <w:rFonts w:ascii="Cambria Math" w:hAnsi="Cambria Math"/>
                      </w:rPr>
                      <m:t>j,m</m:t>
                    </m:r>
                  </m:sub>
                </m:sSub>
              </m:oMath>
            </m:oMathPara>
          </w:p>
        </w:tc>
        <w:tc>
          <w:tcPr>
            <w:tcW w:w="284" w:type="dxa"/>
          </w:tcPr>
          <w:p w14:paraId="4D61A462" w14:textId="75260381" w:rsidR="0050224E" w:rsidRPr="00B66211" w:rsidRDefault="0050224E" w:rsidP="00C94D29">
            <w:pPr>
              <w:contextualSpacing/>
              <w:jc w:val="both"/>
              <w:rPr>
                <w:highlight w:val="yellow"/>
              </w:rPr>
            </w:pPr>
            <w:r w:rsidRPr="000E2A26">
              <w:t>:</w:t>
            </w:r>
          </w:p>
        </w:tc>
        <w:tc>
          <w:tcPr>
            <w:tcW w:w="6095" w:type="dxa"/>
          </w:tcPr>
          <w:p w14:paraId="4E616D44" w14:textId="014A7212" w:rsidR="0050224E" w:rsidRDefault="0050224E" w:rsidP="00C94D29">
            <w:pPr>
              <w:ind w:left="18"/>
              <w:contextualSpacing/>
              <w:jc w:val="both"/>
            </w:pPr>
            <w:r w:rsidRPr="000E2A26">
              <w:t>Variable que toma el valor uno (1) cuando</w:t>
            </w:r>
            <w:r>
              <w:t xml:space="preserve">, en el mes </w:t>
            </w:r>
            <w:r w:rsidRPr="000E2A26">
              <w:rPr>
                <w:i/>
              </w:rPr>
              <w:t>m</w:t>
            </w:r>
            <w:r>
              <w:rPr>
                <w:i/>
              </w:rPr>
              <w:t>-1</w:t>
            </w:r>
            <w:r>
              <w:t xml:space="preserve">, </w:t>
            </w:r>
            <w:r w:rsidRPr="000E2A26">
              <w:t>la unidad constructiva es de propiedad de un privado</w:t>
            </w:r>
            <w:r w:rsidR="007C741E">
              <w:t>,</w:t>
            </w:r>
            <w:r w:rsidRPr="000E2A26">
              <w:t xml:space="preserve"> y que toma el valor cero (0) cuando esta ha sido subsidiada según lo previsto en el artículo 87.9 de la Ley 142 de 1994</w:t>
            </w:r>
            <w:r w:rsidR="00E62E74">
              <w:t xml:space="preserve"> o es de propiedad del usuario</w:t>
            </w:r>
            <w:r w:rsidRPr="000E2A26">
              <w:t>.</w:t>
            </w:r>
          </w:p>
          <w:p w14:paraId="3F6A5E00" w14:textId="170FDFEB" w:rsidR="0050224E" w:rsidRPr="00B66211" w:rsidRDefault="0050224E" w:rsidP="00C94D29">
            <w:pPr>
              <w:contextualSpacing/>
              <w:jc w:val="both"/>
              <w:rPr>
                <w:highlight w:val="yellow"/>
              </w:rPr>
            </w:pPr>
          </w:p>
        </w:tc>
      </w:tr>
      <w:tr w:rsidR="0050224E" w:rsidRPr="00B66211" w14:paraId="5BA5B1E0" w14:textId="77777777" w:rsidTr="00E841B9">
        <w:trPr>
          <w:trHeight w:val="977"/>
        </w:trPr>
        <w:tc>
          <w:tcPr>
            <w:tcW w:w="1449" w:type="dxa"/>
            <w:vMerge/>
          </w:tcPr>
          <w:p w14:paraId="48684A43" w14:textId="77777777" w:rsidR="0050224E" w:rsidRPr="00B66211" w:rsidRDefault="0050224E" w:rsidP="00C94D29">
            <w:pPr>
              <w:contextualSpacing/>
              <w:rPr>
                <w:highlight w:val="yellow"/>
              </w:rPr>
            </w:pPr>
          </w:p>
        </w:tc>
        <w:tc>
          <w:tcPr>
            <w:tcW w:w="293" w:type="dxa"/>
            <w:vMerge/>
          </w:tcPr>
          <w:p w14:paraId="63F5D8C2" w14:textId="77777777" w:rsidR="0050224E" w:rsidRPr="00B66211" w:rsidRDefault="0050224E" w:rsidP="00C94D29">
            <w:pPr>
              <w:contextualSpacing/>
              <w:jc w:val="center"/>
              <w:rPr>
                <w:highlight w:val="yellow"/>
              </w:rPr>
            </w:pPr>
          </w:p>
        </w:tc>
        <w:tc>
          <w:tcPr>
            <w:tcW w:w="1235" w:type="dxa"/>
          </w:tcPr>
          <w:p w14:paraId="59877400" w14:textId="593D57FB" w:rsidR="0050224E" w:rsidRPr="00E841B9" w:rsidRDefault="005E2372" w:rsidP="00C94D29">
            <w:pPr>
              <w:contextualSpacing/>
              <w:jc w:val="both"/>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TNF</m:t>
                    </m:r>
                  </m:e>
                  <m:sub>
                    <m:r>
                      <w:rPr>
                        <w:rFonts w:ascii="Cambria Math" w:eastAsiaTheme="minorEastAsia" w:hAnsi="Cambria Math"/>
                      </w:rPr>
                      <m:t>m</m:t>
                    </m:r>
                  </m:sub>
                </m:sSub>
              </m:oMath>
            </m:oMathPara>
          </w:p>
        </w:tc>
        <w:tc>
          <w:tcPr>
            <w:tcW w:w="284" w:type="dxa"/>
          </w:tcPr>
          <w:p w14:paraId="3C7A0662" w14:textId="27337158" w:rsidR="0050224E" w:rsidRPr="00E841B9" w:rsidRDefault="0050224E" w:rsidP="00C94D29">
            <w:pPr>
              <w:contextualSpacing/>
              <w:jc w:val="both"/>
            </w:pPr>
            <w:r w:rsidRPr="00E841B9">
              <w:t>:</w:t>
            </w:r>
          </w:p>
        </w:tc>
        <w:tc>
          <w:tcPr>
            <w:tcW w:w="6095" w:type="dxa"/>
          </w:tcPr>
          <w:p w14:paraId="6989844F" w14:textId="6A30B3BC" w:rsidR="00E841B9" w:rsidRPr="00E841B9" w:rsidRDefault="0050224E" w:rsidP="008B051F">
            <w:pPr>
              <w:ind w:left="18"/>
              <w:contextualSpacing/>
              <w:jc w:val="both"/>
            </w:pPr>
            <w:r w:rsidRPr="00E841B9">
              <w:t>Tasa mediante la que se reconoce la remuneración para los gastos de AMGC que dependen del nivel de facturación. Este valor se determina mediante la aplicación de la siguiente fórmula:</w:t>
            </w:r>
          </w:p>
        </w:tc>
      </w:tr>
      <w:tr w:rsidR="0050224E" w:rsidRPr="00B66211" w14:paraId="7E743433" w14:textId="77777777" w:rsidTr="004D199C">
        <w:trPr>
          <w:trHeight w:val="1298"/>
        </w:trPr>
        <w:tc>
          <w:tcPr>
            <w:tcW w:w="1449" w:type="dxa"/>
            <w:vMerge/>
          </w:tcPr>
          <w:p w14:paraId="724E8D61" w14:textId="77777777" w:rsidR="0050224E" w:rsidRPr="00B66211" w:rsidRDefault="0050224E" w:rsidP="00C94D29">
            <w:pPr>
              <w:contextualSpacing/>
              <w:rPr>
                <w:highlight w:val="yellow"/>
              </w:rPr>
            </w:pPr>
          </w:p>
        </w:tc>
        <w:tc>
          <w:tcPr>
            <w:tcW w:w="293" w:type="dxa"/>
            <w:vMerge/>
          </w:tcPr>
          <w:p w14:paraId="4A92AAB0" w14:textId="77777777" w:rsidR="0050224E" w:rsidRPr="00B66211" w:rsidRDefault="0050224E" w:rsidP="00C94D29">
            <w:pPr>
              <w:contextualSpacing/>
              <w:jc w:val="center"/>
              <w:rPr>
                <w:highlight w:val="yellow"/>
              </w:rPr>
            </w:pPr>
          </w:p>
        </w:tc>
        <w:tc>
          <w:tcPr>
            <w:tcW w:w="7614" w:type="dxa"/>
            <w:gridSpan w:val="3"/>
          </w:tcPr>
          <w:p w14:paraId="6E6659E9" w14:textId="77777777" w:rsidR="0050224E" w:rsidRPr="00FF3759" w:rsidRDefault="0050224E" w:rsidP="00C94D29">
            <w:pPr>
              <w:contextualSpacing/>
              <w:jc w:val="both"/>
            </w:pPr>
          </w:p>
          <w:p w14:paraId="629E893C" w14:textId="5F89C370" w:rsidR="0050224E" w:rsidRPr="00FF3759" w:rsidRDefault="005E2372" w:rsidP="00C94D29">
            <w:pPr>
              <w:contextualSpacing/>
              <w:jc w:val="both"/>
            </w:pPr>
            <m:oMathPara>
              <m:oMath>
                <m:sSub>
                  <m:sSubPr>
                    <m:ctrlPr>
                      <w:rPr>
                        <w:rFonts w:ascii="Cambria Math" w:hAnsi="Cambria Math"/>
                        <w:bCs/>
                        <w:i/>
                      </w:rPr>
                    </m:ctrlPr>
                  </m:sSubPr>
                  <m:e>
                    <m:r>
                      <w:rPr>
                        <w:rFonts w:ascii="Cambria Math" w:hAnsi="Cambria Math"/>
                      </w:rPr>
                      <m:t>TNF</m:t>
                    </m:r>
                  </m:e>
                  <m:sub>
                    <m:r>
                      <w:rPr>
                        <w:rFonts w:ascii="Cambria Math" w:hAnsi="Cambria Math"/>
                      </w:rPr>
                      <m:t>m</m:t>
                    </m:r>
                  </m:sub>
                </m:sSub>
                <m:r>
                  <w:rPr>
                    <w:rFonts w:ascii="Cambria Math" w:hAnsi="Cambria Math"/>
                  </w:rPr>
                  <m:t>=TSIC+</m:t>
                </m:r>
                <m:f>
                  <m:fPr>
                    <m:ctrlPr>
                      <w:rPr>
                        <w:rFonts w:ascii="Cambria Math" w:hAnsi="Cambria Math"/>
                        <w:bCs/>
                        <w:i/>
                      </w:rPr>
                    </m:ctrlPr>
                  </m:fPr>
                  <m:num>
                    <m:sSub>
                      <m:sSubPr>
                        <m:ctrlPr>
                          <w:rPr>
                            <w:rFonts w:ascii="Cambria Math" w:hAnsi="Cambria Math"/>
                            <w:bCs/>
                            <w:i/>
                          </w:rPr>
                        </m:ctrlPr>
                      </m:sSubPr>
                      <m:e>
                        <m:r>
                          <w:rPr>
                            <w:rFonts w:ascii="Cambria Math" w:hAnsi="Cambria Math"/>
                          </w:rPr>
                          <m:t>CVU</m:t>
                        </m:r>
                      </m:e>
                      <m:sub>
                        <m:r>
                          <w:rPr>
                            <w:rFonts w:ascii="Cambria Math" w:hAnsi="Cambria Math"/>
                          </w:rPr>
                          <m:t>m</m:t>
                        </m:r>
                      </m:sub>
                    </m:sSub>
                    <m:r>
                      <w:rPr>
                        <w:rFonts w:ascii="Cambria Math" w:hAnsi="Cambria Math"/>
                      </w:rPr>
                      <m:t>+</m:t>
                    </m:r>
                    <m:d>
                      <m:dPr>
                        <m:ctrlPr>
                          <w:rPr>
                            <w:rFonts w:ascii="Cambria Math" w:hAnsi="Cambria Math"/>
                            <w:bCs/>
                            <w:i/>
                          </w:rPr>
                        </m:ctrlPr>
                      </m:dPr>
                      <m:e>
                        <m:sSub>
                          <m:sSubPr>
                            <m:ctrlPr>
                              <w:rPr>
                                <w:rFonts w:ascii="Cambria Math" w:hAnsi="Cambria Math"/>
                                <w:bCs/>
                                <w:i/>
                              </w:rPr>
                            </m:ctrlPr>
                          </m:sSubPr>
                          <m:e>
                            <m:r>
                              <w:rPr>
                                <w:rFonts w:ascii="Cambria Math" w:hAnsi="Cambria Math"/>
                              </w:rPr>
                              <m:t>CS</m:t>
                            </m:r>
                          </m:e>
                          <m:sub>
                            <m:r>
                              <w:rPr>
                                <w:rFonts w:ascii="Cambria Math" w:hAnsi="Cambria Math"/>
                              </w:rPr>
                              <m:t>m</m:t>
                            </m:r>
                          </m:sub>
                        </m:sSub>
                        <m:r>
                          <w:rPr>
                            <w:rFonts w:ascii="Cambria Math" w:hAnsi="Cambria Math"/>
                          </w:rPr>
                          <m:t>×CFC</m:t>
                        </m:r>
                        <m:sSub>
                          <m:sSubPr>
                            <m:ctrlPr>
                              <w:rPr>
                                <w:rFonts w:ascii="Cambria Math" w:hAnsi="Cambria Math"/>
                                <w:bCs/>
                                <w:i/>
                              </w:rPr>
                            </m:ctrlPr>
                          </m:sSubPr>
                          <m:e>
                            <m:r>
                              <w:rPr>
                                <w:rFonts w:ascii="Cambria Math" w:hAnsi="Cambria Math"/>
                              </w:rPr>
                              <m:t>T</m:t>
                            </m:r>
                          </m:e>
                          <m:sub>
                            <m:r>
                              <w:rPr>
                                <w:rFonts w:ascii="Cambria Math" w:hAnsi="Cambria Math"/>
                              </w:rPr>
                              <m:t>m</m:t>
                            </m:r>
                          </m:sub>
                        </m:sSub>
                      </m:e>
                    </m:d>
                  </m:num>
                  <m:den>
                    <m:r>
                      <w:rPr>
                        <w:rFonts w:ascii="Cambria Math" w:hAnsi="Cambria Math"/>
                      </w:rPr>
                      <m:t>FSISF</m:t>
                    </m:r>
                    <m:sSub>
                      <m:sSubPr>
                        <m:ctrlPr>
                          <w:rPr>
                            <w:rFonts w:ascii="Cambria Math" w:hAnsi="Cambria Math"/>
                            <w:bCs/>
                            <w:i/>
                          </w:rPr>
                        </m:ctrlPr>
                      </m:sSubPr>
                      <m:e>
                        <m:r>
                          <w:rPr>
                            <w:rFonts w:ascii="Cambria Math" w:hAnsi="Cambria Math"/>
                          </w:rPr>
                          <m:t>V</m:t>
                        </m:r>
                      </m:e>
                      <m:sub>
                        <m:r>
                          <w:rPr>
                            <w:rFonts w:ascii="Cambria Math" w:hAnsi="Cambria Math"/>
                          </w:rPr>
                          <m:t>m</m:t>
                        </m:r>
                      </m:sub>
                    </m:sSub>
                  </m:den>
                </m:f>
              </m:oMath>
            </m:oMathPara>
          </w:p>
          <w:p w14:paraId="7703BD4D" w14:textId="77777777" w:rsidR="0050224E" w:rsidRPr="00FF3759" w:rsidRDefault="0050224E" w:rsidP="00C94D29">
            <w:pPr>
              <w:contextualSpacing/>
              <w:jc w:val="both"/>
            </w:pPr>
          </w:p>
          <w:p w14:paraId="6CB260C5" w14:textId="58A6D646" w:rsidR="0050224E" w:rsidRPr="00FF3759" w:rsidRDefault="0050224E" w:rsidP="00C94D29">
            <w:pPr>
              <w:contextualSpacing/>
              <w:jc w:val="both"/>
            </w:pPr>
            <w:r w:rsidRPr="00FF3759">
              <w:t>En donde:</w:t>
            </w:r>
          </w:p>
          <w:p w14:paraId="4923D376" w14:textId="77777777" w:rsidR="0050224E" w:rsidRPr="00FF3759" w:rsidRDefault="0050224E" w:rsidP="00C94D29">
            <w:pPr>
              <w:contextualSpacing/>
              <w:jc w:val="both"/>
            </w:pPr>
          </w:p>
        </w:tc>
      </w:tr>
      <w:tr w:rsidR="0050224E" w:rsidRPr="00B66211" w14:paraId="00541F3B" w14:textId="77777777" w:rsidTr="00A16ABA">
        <w:trPr>
          <w:trHeight w:val="171"/>
        </w:trPr>
        <w:tc>
          <w:tcPr>
            <w:tcW w:w="1449" w:type="dxa"/>
            <w:vMerge/>
          </w:tcPr>
          <w:p w14:paraId="354F4FEA" w14:textId="77777777" w:rsidR="0050224E" w:rsidRPr="00B66211" w:rsidRDefault="0050224E" w:rsidP="00C94D29">
            <w:pPr>
              <w:contextualSpacing/>
              <w:rPr>
                <w:highlight w:val="yellow"/>
              </w:rPr>
            </w:pPr>
          </w:p>
        </w:tc>
        <w:tc>
          <w:tcPr>
            <w:tcW w:w="293" w:type="dxa"/>
            <w:vMerge/>
          </w:tcPr>
          <w:p w14:paraId="3EB9A50A" w14:textId="77777777" w:rsidR="0050224E" w:rsidRPr="00B66211" w:rsidRDefault="0050224E" w:rsidP="00C94D29">
            <w:pPr>
              <w:contextualSpacing/>
              <w:jc w:val="center"/>
              <w:rPr>
                <w:highlight w:val="yellow"/>
              </w:rPr>
            </w:pPr>
          </w:p>
        </w:tc>
        <w:tc>
          <w:tcPr>
            <w:tcW w:w="1235" w:type="dxa"/>
          </w:tcPr>
          <w:p w14:paraId="6651FBDF" w14:textId="5260DD1D" w:rsidR="0050224E" w:rsidRPr="00FF3759" w:rsidRDefault="00502A23" w:rsidP="00C94D29">
            <w:pPr>
              <w:contextualSpacing/>
              <w:jc w:val="both"/>
            </w:pPr>
            <m:oMathPara>
              <m:oMathParaPr>
                <m:jc m:val="left"/>
              </m:oMathParaPr>
              <m:oMath>
                <m:r>
                  <w:rPr>
                    <w:rFonts w:ascii="Cambria Math" w:hAnsi="Cambria Math"/>
                  </w:rPr>
                  <m:t>TSIC</m:t>
                </m:r>
              </m:oMath>
            </m:oMathPara>
          </w:p>
        </w:tc>
        <w:tc>
          <w:tcPr>
            <w:tcW w:w="284" w:type="dxa"/>
          </w:tcPr>
          <w:p w14:paraId="7238830F" w14:textId="71CC30DE" w:rsidR="0050224E" w:rsidRPr="00FF3759" w:rsidRDefault="0050224E" w:rsidP="00C94D29">
            <w:pPr>
              <w:contextualSpacing/>
              <w:jc w:val="both"/>
            </w:pPr>
            <w:r w:rsidRPr="00FF3759">
              <w:t>:</w:t>
            </w:r>
          </w:p>
        </w:tc>
        <w:tc>
          <w:tcPr>
            <w:tcW w:w="6095" w:type="dxa"/>
          </w:tcPr>
          <w:p w14:paraId="5E2CAE8E" w14:textId="0B53344C" w:rsidR="0050224E" w:rsidRPr="00FF3759" w:rsidRDefault="00763EE3" w:rsidP="00C94D29">
            <w:pPr>
              <w:contextualSpacing/>
              <w:jc w:val="both"/>
            </w:pPr>
            <w:r w:rsidRPr="00FF3759">
              <w:t xml:space="preserve">Tasa </w:t>
            </w:r>
            <w:r w:rsidR="00D72182" w:rsidRPr="00FF3759">
              <w:t xml:space="preserve">que reconoce </w:t>
            </w:r>
            <w:r w:rsidR="0060493A">
              <w:t xml:space="preserve">gastos en </w:t>
            </w:r>
            <w:r w:rsidR="00D72182" w:rsidRPr="00FF3759">
              <w:t>seguros, impuestos y contribuciones</w:t>
            </w:r>
            <w:r w:rsidR="003F1F1D">
              <w:t>,</w:t>
            </w:r>
            <w:r w:rsidR="00D72182" w:rsidRPr="00FF3759">
              <w:t xml:space="preserve"> determina</w:t>
            </w:r>
            <w:r w:rsidR="003F1F1D">
              <w:t>dos</w:t>
            </w:r>
            <w:r w:rsidR="00D72182" w:rsidRPr="00FF3759">
              <w:t xml:space="preserve"> </w:t>
            </w:r>
            <w:r w:rsidR="003F1F1D">
              <w:t>a partir del nivel de</w:t>
            </w:r>
            <w:r w:rsidR="00D72182" w:rsidRPr="00FF3759">
              <w:t xml:space="preserve"> facturación del prestador</w:t>
            </w:r>
            <w:r w:rsidR="00676BFA">
              <w:t xml:space="preserve"> del servicio</w:t>
            </w:r>
            <w:r w:rsidR="00D72182" w:rsidRPr="00FF3759">
              <w:t>.</w:t>
            </w:r>
            <w:r w:rsidR="00B552F8">
              <w:t xml:space="preserve"> Su valor será de </w:t>
            </w:r>
            <w:r w:rsidR="00502A23">
              <w:t>2.64%.</w:t>
            </w:r>
          </w:p>
          <w:p w14:paraId="1597EC62" w14:textId="3020320B" w:rsidR="0050224E" w:rsidRPr="00FF3759" w:rsidRDefault="0050224E" w:rsidP="00C94D29">
            <w:pPr>
              <w:contextualSpacing/>
              <w:jc w:val="both"/>
            </w:pPr>
          </w:p>
        </w:tc>
      </w:tr>
      <w:tr w:rsidR="0050224E" w:rsidRPr="00B66211" w14:paraId="7C5F5CBC" w14:textId="77777777" w:rsidTr="00A16ABA">
        <w:trPr>
          <w:trHeight w:val="170"/>
        </w:trPr>
        <w:tc>
          <w:tcPr>
            <w:tcW w:w="1449" w:type="dxa"/>
            <w:vMerge/>
          </w:tcPr>
          <w:p w14:paraId="41FB944E" w14:textId="77777777" w:rsidR="0050224E" w:rsidRPr="00B66211" w:rsidRDefault="0050224E" w:rsidP="00C94D29">
            <w:pPr>
              <w:contextualSpacing/>
              <w:rPr>
                <w:highlight w:val="yellow"/>
              </w:rPr>
            </w:pPr>
          </w:p>
        </w:tc>
        <w:tc>
          <w:tcPr>
            <w:tcW w:w="293" w:type="dxa"/>
            <w:vMerge/>
          </w:tcPr>
          <w:p w14:paraId="6B754D20" w14:textId="77777777" w:rsidR="0050224E" w:rsidRPr="00B66211" w:rsidRDefault="0050224E" w:rsidP="00C94D29">
            <w:pPr>
              <w:contextualSpacing/>
              <w:jc w:val="center"/>
              <w:rPr>
                <w:highlight w:val="yellow"/>
              </w:rPr>
            </w:pPr>
          </w:p>
        </w:tc>
        <w:tc>
          <w:tcPr>
            <w:tcW w:w="1235" w:type="dxa"/>
          </w:tcPr>
          <w:p w14:paraId="169E3D47" w14:textId="0E5DE3E7" w:rsidR="0050224E" w:rsidRPr="004B5091" w:rsidRDefault="005E2372" w:rsidP="00C94D29">
            <w:pPr>
              <w:contextualSpacing/>
              <w:jc w:val="both"/>
            </w:pPr>
            <m:oMathPara>
              <m:oMathParaPr>
                <m:jc m:val="left"/>
              </m:oMathParaPr>
              <m:oMath>
                <m:sSub>
                  <m:sSubPr>
                    <m:ctrlPr>
                      <w:rPr>
                        <w:rFonts w:ascii="Cambria Math" w:hAnsi="Cambria Math"/>
                        <w:bCs/>
                        <w:i/>
                      </w:rPr>
                    </m:ctrlPr>
                  </m:sSubPr>
                  <m:e>
                    <m:r>
                      <w:rPr>
                        <w:rFonts w:ascii="Cambria Math" w:hAnsi="Cambria Math"/>
                      </w:rPr>
                      <m:t>CVU</m:t>
                    </m:r>
                  </m:e>
                  <m:sub>
                    <m:r>
                      <w:rPr>
                        <w:rFonts w:ascii="Cambria Math" w:hAnsi="Cambria Math"/>
                      </w:rPr>
                      <m:t>m</m:t>
                    </m:r>
                  </m:sub>
                </m:sSub>
              </m:oMath>
            </m:oMathPara>
          </w:p>
        </w:tc>
        <w:tc>
          <w:tcPr>
            <w:tcW w:w="284" w:type="dxa"/>
          </w:tcPr>
          <w:p w14:paraId="4FA194F3" w14:textId="417BB3CD" w:rsidR="0050224E" w:rsidRPr="004B5091" w:rsidRDefault="0050224E" w:rsidP="00C94D29">
            <w:pPr>
              <w:contextualSpacing/>
              <w:jc w:val="both"/>
            </w:pPr>
            <w:r w:rsidRPr="004B5091">
              <w:t>:</w:t>
            </w:r>
          </w:p>
        </w:tc>
        <w:tc>
          <w:tcPr>
            <w:tcW w:w="6095" w:type="dxa"/>
          </w:tcPr>
          <w:p w14:paraId="608A2E54" w14:textId="2382462C" w:rsidR="0050224E" w:rsidRPr="004B5091" w:rsidRDefault="00676BFA" w:rsidP="00C94D29">
            <w:pPr>
              <w:contextualSpacing/>
              <w:jc w:val="both"/>
            </w:pPr>
            <w:r w:rsidRPr="004B5091">
              <w:t>Saldo de la c</w:t>
            </w:r>
            <w:r w:rsidR="00114A11" w:rsidRPr="004B5091">
              <w:t>artera vencida con</w:t>
            </w:r>
            <w:r w:rsidR="00E652E3" w:rsidRPr="004B5091">
              <w:t xml:space="preserve"> usuarios de SISFV entre 90 y 360 días</w:t>
            </w:r>
            <w:r w:rsidR="007A1A09" w:rsidRPr="004B5091">
              <w:t xml:space="preserve">, </w:t>
            </w:r>
            <w:r w:rsidR="00F5148F" w:rsidRPr="004B5091">
              <w:t xml:space="preserve">expresado en pesos ($), </w:t>
            </w:r>
            <w:r w:rsidR="00BC3D62" w:rsidRPr="004B5091">
              <w:t>de acuerdo con el ú</w:t>
            </w:r>
            <w:r w:rsidR="00C8476E" w:rsidRPr="004B5091">
              <w:t>ltimo reporte</w:t>
            </w:r>
            <w:r w:rsidR="00114A11" w:rsidRPr="004B5091">
              <w:t xml:space="preserve"> </w:t>
            </w:r>
            <w:r w:rsidR="00BC3D62" w:rsidRPr="004B5091">
              <w:t>al SUI</w:t>
            </w:r>
            <w:r w:rsidR="002C073E" w:rsidRPr="004B5091">
              <w:t xml:space="preserve"> que de</w:t>
            </w:r>
            <w:r w:rsidR="002200DA" w:rsidRPr="004B5091">
              <w:t xml:space="preserve">bió </w:t>
            </w:r>
            <w:r w:rsidR="002C073E" w:rsidRPr="004B5091">
              <w:t xml:space="preserve">realizar el prestador del </w:t>
            </w:r>
            <w:r w:rsidR="00B422DE" w:rsidRPr="004B5091">
              <w:t>servicio</w:t>
            </w:r>
            <w:r w:rsidR="00D901CC" w:rsidRPr="004B5091">
              <w:t xml:space="preserve"> </w:t>
            </w:r>
            <w:r w:rsidR="00403F27" w:rsidRPr="004B5091">
              <w:t xml:space="preserve">en el mes </w:t>
            </w:r>
            <w:r w:rsidR="00403F27" w:rsidRPr="004B5091">
              <w:rPr>
                <w:i/>
              </w:rPr>
              <w:t>m</w:t>
            </w:r>
            <w:r w:rsidR="000F5C6D" w:rsidRPr="004B5091">
              <w:t xml:space="preserve">, </w:t>
            </w:r>
            <w:r w:rsidR="00114A11" w:rsidRPr="004B5091">
              <w:t>según la periodicidad y condiciones definidas por la SSPD.</w:t>
            </w:r>
            <w:r w:rsidR="007B33F5" w:rsidRPr="004B5091">
              <w:t xml:space="preserve"> En caso de no contar </w:t>
            </w:r>
            <w:r w:rsidR="007C741E">
              <w:t xml:space="preserve">con </w:t>
            </w:r>
            <w:r w:rsidR="007B33F5" w:rsidRPr="004B5091">
              <w:t>el respectivo reporte de información</w:t>
            </w:r>
            <w:r w:rsidR="007C741E">
              <w:t>,</w:t>
            </w:r>
            <w:r w:rsidR="007B33F5" w:rsidRPr="004B5091">
              <w:t xml:space="preserve"> este valor será cero (0).</w:t>
            </w:r>
          </w:p>
          <w:p w14:paraId="0E1CA7D5" w14:textId="62292C02" w:rsidR="0050224E" w:rsidRPr="004B5091" w:rsidRDefault="0050224E" w:rsidP="00C94D29">
            <w:pPr>
              <w:contextualSpacing/>
              <w:jc w:val="both"/>
            </w:pPr>
          </w:p>
        </w:tc>
      </w:tr>
      <w:tr w:rsidR="0050224E" w:rsidRPr="00B66211" w14:paraId="149A6C22" w14:textId="77777777" w:rsidTr="00A16ABA">
        <w:trPr>
          <w:trHeight w:val="170"/>
        </w:trPr>
        <w:tc>
          <w:tcPr>
            <w:tcW w:w="1449" w:type="dxa"/>
            <w:vMerge/>
          </w:tcPr>
          <w:p w14:paraId="717587A3" w14:textId="77777777" w:rsidR="0050224E" w:rsidRPr="00B66211" w:rsidRDefault="0050224E" w:rsidP="00C94D29">
            <w:pPr>
              <w:contextualSpacing/>
              <w:rPr>
                <w:highlight w:val="yellow"/>
              </w:rPr>
            </w:pPr>
          </w:p>
        </w:tc>
        <w:tc>
          <w:tcPr>
            <w:tcW w:w="293" w:type="dxa"/>
            <w:vMerge/>
          </w:tcPr>
          <w:p w14:paraId="44E1756C" w14:textId="77777777" w:rsidR="0050224E" w:rsidRPr="00B66211" w:rsidRDefault="0050224E" w:rsidP="00C94D29">
            <w:pPr>
              <w:contextualSpacing/>
              <w:jc w:val="center"/>
              <w:rPr>
                <w:highlight w:val="yellow"/>
              </w:rPr>
            </w:pPr>
          </w:p>
        </w:tc>
        <w:tc>
          <w:tcPr>
            <w:tcW w:w="1235" w:type="dxa"/>
          </w:tcPr>
          <w:p w14:paraId="0F7FBC29" w14:textId="530C7273" w:rsidR="0050224E" w:rsidRPr="004B5091" w:rsidRDefault="005E2372" w:rsidP="00C94D29">
            <w:pPr>
              <w:contextualSpacing/>
              <w:jc w:val="both"/>
            </w:pPr>
            <m:oMathPara>
              <m:oMathParaPr>
                <m:jc m:val="left"/>
              </m:oMathParaPr>
              <m:oMath>
                <m:sSub>
                  <m:sSubPr>
                    <m:ctrlPr>
                      <w:rPr>
                        <w:rFonts w:ascii="Cambria Math" w:hAnsi="Cambria Math"/>
                        <w:bCs/>
                        <w:i/>
                      </w:rPr>
                    </m:ctrlPr>
                  </m:sSubPr>
                  <m:e>
                    <m:r>
                      <w:rPr>
                        <w:rFonts w:ascii="Cambria Math" w:hAnsi="Cambria Math"/>
                      </w:rPr>
                      <m:t>CS</m:t>
                    </m:r>
                  </m:e>
                  <m:sub>
                    <m:r>
                      <w:rPr>
                        <w:rFonts w:ascii="Cambria Math" w:hAnsi="Cambria Math"/>
                      </w:rPr>
                      <m:t>m</m:t>
                    </m:r>
                  </m:sub>
                </m:sSub>
              </m:oMath>
            </m:oMathPara>
          </w:p>
        </w:tc>
        <w:tc>
          <w:tcPr>
            <w:tcW w:w="284" w:type="dxa"/>
          </w:tcPr>
          <w:p w14:paraId="32621C47" w14:textId="41ADA2C1" w:rsidR="0050224E" w:rsidRPr="004B5091" w:rsidRDefault="0050224E" w:rsidP="00C94D29">
            <w:pPr>
              <w:contextualSpacing/>
              <w:jc w:val="both"/>
            </w:pPr>
            <w:r w:rsidRPr="004B5091">
              <w:t>:</w:t>
            </w:r>
          </w:p>
        </w:tc>
        <w:tc>
          <w:tcPr>
            <w:tcW w:w="6095" w:type="dxa"/>
          </w:tcPr>
          <w:p w14:paraId="57551157" w14:textId="50935AAA" w:rsidR="00114A11" w:rsidRPr="004B5091" w:rsidRDefault="00A26101" w:rsidP="00C94D29">
            <w:pPr>
              <w:contextualSpacing/>
              <w:jc w:val="both"/>
            </w:pPr>
            <w:r w:rsidRPr="004B5091">
              <w:t>Saldo de la c</w:t>
            </w:r>
            <w:r w:rsidR="00D92C67" w:rsidRPr="004B5091">
              <w:t>artera generada por el menor cobro de</w:t>
            </w:r>
            <w:r w:rsidR="00501B67" w:rsidRPr="004B5091">
              <w:t>l servicio</w:t>
            </w:r>
            <w:r w:rsidR="00F96E95" w:rsidRPr="004B5091">
              <w:t xml:space="preserve">, en aplicación de </w:t>
            </w:r>
            <w:r w:rsidR="004A388E" w:rsidRPr="004B5091">
              <w:t>lo previsto en el artículo 99.10 de la Ley 142 de 1994</w:t>
            </w:r>
            <w:r w:rsidR="00F96E95" w:rsidRPr="004B5091">
              <w:t xml:space="preserve">, </w:t>
            </w:r>
            <w:r w:rsidRPr="004B5091">
              <w:t xml:space="preserve">expresado en pesos ($), de acuerdo con el último reporte al SUI que debió realizar el prestador del servicio en el mes </w:t>
            </w:r>
            <w:r w:rsidRPr="004B5091">
              <w:rPr>
                <w:i/>
              </w:rPr>
              <w:t>m</w:t>
            </w:r>
            <w:r w:rsidRPr="004B5091">
              <w:t xml:space="preserve">, según la periodicidad y condiciones definidas por la SSPD. En caso de no contar </w:t>
            </w:r>
            <w:r w:rsidR="007C741E">
              <w:t xml:space="preserve">con </w:t>
            </w:r>
            <w:r w:rsidRPr="004B5091">
              <w:t>el respectivo reporte de información</w:t>
            </w:r>
            <w:r w:rsidR="007C741E">
              <w:t>,</w:t>
            </w:r>
            <w:r w:rsidRPr="004B5091">
              <w:t xml:space="preserve"> este valor será cero (0).</w:t>
            </w:r>
          </w:p>
          <w:p w14:paraId="186277CB" w14:textId="277AF72C" w:rsidR="0050224E" w:rsidRPr="004B5091" w:rsidRDefault="0050224E" w:rsidP="00C94D29">
            <w:pPr>
              <w:contextualSpacing/>
              <w:jc w:val="both"/>
            </w:pPr>
          </w:p>
        </w:tc>
      </w:tr>
      <w:tr w:rsidR="0050224E" w:rsidRPr="00B66211" w14:paraId="786E0E6C" w14:textId="77777777" w:rsidTr="00A16ABA">
        <w:trPr>
          <w:trHeight w:val="170"/>
        </w:trPr>
        <w:tc>
          <w:tcPr>
            <w:tcW w:w="1449" w:type="dxa"/>
            <w:vMerge/>
          </w:tcPr>
          <w:p w14:paraId="03330F79" w14:textId="77777777" w:rsidR="0050224E" w:rsidRPr="00B66211" w:rsidRDefault="0050224E" w:rsidP="00C94D29">
            <w:pPr>
              <w:contextualSpacing/>
              <w:rPr>
                <w:highlight w:val="yellow"/>
              </w:rPr>
            </w:pPr>
          </w:p>
        </w:tc>
        <w:tc>
          <w:tcPr>
            <w:tcW w:w="293" w:type="dxa"/>
            <w:vMerge/>
          </w:tcPr>
          <w:p w14:paraId="58E5547F" w14:textId="77777777" w:rsidR="0050224E" w:rsidRPr="00B66211" w:rsidRDefault="0050224E" w:rsidP="00C94D29">
            <w:pPr>
              <w:contextualSpacing/>
              <w:jc w:val="center"/>
              <w:rPr>
                <w:highlight w:val="yellow"/>
              </w:rPr>
            </w:pPr>
          </w:p>
        </w:tc>
        <w:tc>
          <w:tcPr>
            <w:tcW w:w="1235" w:type="dxa"/>
          </w:tcPr>
          <w:p w14:paraId="28EE9C89" w14:textId="02747468" w:rsidR="0050224E" w:rsidRPr="004503B0" w:rsidRDefault="0050224E" w:rsidP="00C94D29">
            <w:pPr>
              <w:contextualSpacing/>
              <w:jc w:val="both"/>
            </w:pPr>
            <m:oMathPara>
              <m:oMathParaPr>
                <m:jc m:val="left"/>
              </m:oMathParaPr>
              <m:oMath>
                <m:r>
                  <w:rPr>
                    <w:rFonts w:ascii="Cambria Math" w:hAnsi="Cambria Math"/>
                  </w:rPr>
                  <m:t>FSISF</m:t>
                </m:r>
                <m:sSub>
                  <m:sSubPr>
                    <m:ctrlPr>
                      <w:rPr>
                        <w:rFonts w:ascii="Cambria Math" w:hAnsi="Cambria Math"/>
                        <w:bCs/>
                        <w:i/>
                      </w:rPr>
                    </m:ctrlPr>
                  </m:sSubPr>
                  <m:e>
                    <m:r>
                      <w:rPr>
                        <w:rFonts w:ascii="Cambria Math" w:hAnsi="Cambria Math"/>
                      </w:rPr>
                      <m:t>V</m:t>
                    </m:r>
                  </m:e>
                  <m:sub>
                    <m:r>
                      <w:rPr>
                        <w:rFonts w:ascii="Cambria Math" w:hAnsi="Cambria Math"/>
                      </w:rPr>
                      <m:t>m</m:t>
                    </m:r>
                  </m:sub>
                </m:sSub>
              </m:oMath>
            </m:oMathPara>
          </w:p>
        </w:tc>
        <w:tc>
          <w:tcPr>
            <w:tcW w:w="284" w:type="dxa"/>
          </w:tcPr>
          <w:p w14:paraId="64F7F81A" w14:textId="3D499371" w:rsidR="0050224E" w:rsidRPr="004503B0" w:rsidRDefault="0050224E" w:rsidP="00C94D29">
            <w:pPr>
              <w:contextualSpacing/>
              <w:jc w:val="both"/>
            </w:pPr>
            <w:r w:rsidRPr="004503B0">
              <w:t>:</w:t>
            </w:r>
          </w:p>
        </w:tc>
        <w:tc>
          <w:tcPr>
            <w:tcW w:w="6095" w:type="dxa"/>
          </w:tcPr>
          <w:p w14:paraId="449AA25C" w14:textId="39D20B5A" w:rsidR="00BD35FF" w:rsidRPr="004503B0" w:rsidRDefault="0040036F" w:rsidP="00C94D29">
            <w:pPr>
              <w:contextualSpacing/>
              <w:jc w:val="both"/>
            </w:pPr>
            <w:r w:rsidRPr="004503B0">
              <w:t xml:space="preserve">Suma del valor facturado por prestación del </w:t>
            </w:r>
            <w:r w:rsidR="002426B1" w:rsidRPr="004503B0">
              <w:t xml:space="preserve">servicio de </w:t>
            </w:r>
            <w:r w:rsidR="00BD35FF" w:rsidRPr="004503B0">
              <w:t>energía eléctrica mediante SISFV</w:t>
            </w:r>
            <w:r w:rsidR="003F5A38" w:rsidRPr="004503B0">
              <w:t>, expresado en pesos ($),</w:t>
            </w:r>
            <w:r w:rsidR="00BD35FF" w:rsidRPr="004503B0">
              <w:t xml:space="preserve"> durante los doce meses anteriores al mes </w:t>
            </w:r>
            <w:r w:rsidR="00BD35FF" w:rsidRPr="004503B0">
              <w:rPr>
                <w:i/>
              </w:rPr>
              <w:t>m</w:t>
            </w:r>
            <w:r w:rsidR="00F55980" w:rsidRPr="004503B0">
              <w:rPr>
                <w:i/>
              </w:rPr>
              <w:t>-1</w:t>
            </w:r>
            <w:r w:rsidR="00BD35FF" w:rsidRPr="004503B0">
              <w:t>, o, en caso de no contar con información de doce meses, para los meses que haya información disponible, según reporte de información al SUI.</w:t>
            </w:r>
          </w:p>
          <w:p w14:paraId="70E7672D" w14:textId="5698F277" w:rsidR="00BD35FF" w:rsidRPr="004503B0" w:rsidRDefault="00BD35FF" w:rsidP="00C94D29">
            <w:pPr>
              <w:contextualSpacing/>
              <w:jc w:val="both"/>
            </w:pPr>
          </w:p>
        </w:tc>
      </w:tr>
      <w:tr w:rsidR="0050224E" w:rsidRPr="00B66211" w14:paraId="073E2455" w14:textId="77777777" w:rsidTr="00A16ABA">
        <w:trPr>
          <w:trHeight w:val="170"/>
        </w:trPr>
        <w:tc>
          <w:tcPr>
            <w:tcW w:w="1449" w:type="dxa"/>
            <w:vMerge/>
          </w:tcPr>
          <w:p w14:paraId="312C46C9" w14:textId="77777777" w:rsidR="0050224E" w:rsidRPr="00B66211" w:rsidRDefault="0050224E" w:rsidP="00C94D29">
            <w:pPr>
              <w:contextualSpacing/>
              <w:rPr>
                <w:highlight w:val="yellow"/>
              </w:rPr>
            </w:pPr>
          </w:p>
        </w:tc>
        <w:tc>
          <w:tcPr>
            <w:tcW w:w="293" w:type="dxa"/>
            <w:vMerge/>
          </w:tcPr>
          <w:p w14:paraId="0AA4691C" w14:textId="77777777" w:rsidR="0050224E" w:rsidRPr="00B66211" w:rsidRDefault="0050224E" w:rsidP="00C94D29">
            <w:pPr>
              <w:contextualSpacing/>
              <w:jc w:val="center"/>
              <w:rPr>
                <w:highlight w:val="yellow"/>
              </w:rPr>
            </w:pPr>
          </w:p>
        </w:tc>
        <w:tc>
          <w:tcPr>
            <w:tcW w:w="1235" w:type="dxa"/>
          </w:tcPr>
          <w:p w14:paraId="4321A306" w14:textId="7378353C" w:rsidR="0050224E" w:rsidRPr="00535FA0" w:rsidRDefault="0050224E" w:rsidP="00C94D29">
            <w:pPr>
              <w:contextualSpacing/>
              <w:jc w:val="both"/>
            </w:pPr>
            <m:oMathPara>
              <m:oMathParaPr>
                <m:jc m:val="left"/>
              </m:oMathParaPr>
              <m:oMath>
                <m:r>
                  <w:rPr>
                    <w:rFonts w:ascii="Cambria Math" w:hAnsi="Cambria Math"/>
                  </w:rPr>
                  <m:t>CFC</m:t>
                </m:r>
                <m:sSub>
                  <m:sSubPr>
                    <m:ctrlPr>
                      <w:rPr>
                        <w:rFonts w:ascii="Cambria Math" w:hAnsi="Cambria Math"/>
                        <w:bCs/>
                        <w:i/>
                      </w:rPr>
                    </m:ctrlPr>
                  </m:sSubPr>
                  <m:e>
                    <m:r>
                      <w:rPr>
                        <w:rFonts w:ascii="Cambria Math" w:hAnsi="Cambria Math"/>
                      </w:rPr>
                      <m:t>T</m:t>
                    </m:r>
                  </m:e>
                  <m:sub>
                    <m:r>
                      <w:rPr>
                        <w:rFonts w:ascii="Cambria Math" w:hAnsi="Cambria Math"/>
                      </w:rPr>
                      <m:t>m</m:t>
                    </m:r>
                  </m:sub>
                </m:sSub>
              </m:oMath>
            </m:oMathPara>
          </w:p>
        </w:tc>
        <w:tc>
          <w:tcPr>
            <w:tcW w:w="284" w:type="dxa"/>
          </w:tcPr>
          <w:p w14:paraId="7C77F2C8" w14:textId="4AAA1AE9" w:rsidR="0050224E" w:rsidRPr="00535FA0" w:rsidRDefault="0050224E" w:rsidP="00C94D29">
            <w:pPr>
              <w:contextualSpacing/>
              <w:jc w:val="both"/>
            </w:pPr>
            <w:r w:rsidRPr="00535FA0">
              <w:t>:</w:t>
            </w:r>
          </w:p>
        </w:tc>
        <w:tc>
          <w:tcPr>
            <w:tcW w:w="6095" w:type="dxa"/>
          </w:tcPr>
          <w:p w14:paraId="17DC1716" w14:textId="47A78856" w:rsidR="0050224E" w:rsidRPr="00535FA0" w:rsidRDefault="007240D2" w:rsidP="00C94D29">
            <w:pPr>
              <w:contextualSpacing/>
              <w:jc w:val="both"/>
              <w:rPr>
                <w:rFonts w:eastAsia="Bookman Old Style" w:cs="Bookman Old Style"/>
              </w:rPr>
            </w:pPr>
            <w:r w:rsidRPr="00535FA0">
              <w:rPr>
                <w:rFonts w:eastAsia="Bookman Old Style" w:cs="Bookman Old Style"/>
              </w:rPr>
              <w:t xml:space="preserve">Costo financiero de capital de trabajo, expresado </w:t>
            </w:r>
            <w:r w:rsidR="004C6D83">
              <w:rPr>
                <w:rFonts w:eastAsia="Bookman Old Style" w:cs="Bookman Old Style"/>
              </w:rPr>
              <w:t xml:space="preserve">como </w:t>
            </w:r>
            <w:r w:rsidR="004A72A6">
              <w:rPr>
                <w:rFonts w:eastAsia="Bookman Old Style" w:cs="Bookman Old Style"/>
              </w:rPr>
              <w:t xml:space="preserve">tasa </w:t>
            </w:r>
            <w:r w:rsidRPr="00535FA0">
              <w:rPr>
                <w:rFonts w:eastAsia="Bookman Old Style" w:cs="Bookman Old Style"/>
              </w:rPr>
              <w:t>efectiv</w:t>
            </w:r>
            <w:r w:rsidR="004A72A6">
              <w:rPr>
                <w:rFonts w:eastAsia="Bookman Old Style" w:cs="Bookman Old Style"/>
              </w:rPr>
              <w:t>a</w:t>
            </w:r>
            <w:r w:rsidRPr="00535FA0">
              <w:rPr>
                <w:rFonts w:eastAsia="Bookman Old Style" w:cs="Bookman Old Style"/>
              </w:rPr>
              <w:t xml:space="preserve"> anual, aplicable para el mes </w:t>
            </w:r>
            <w:r w:rsidRPr="00535FA0">
              <w:rPr>
                <w:rFonts w:eastAsia="Bookman Old Style" w:cs="Bookman Old Style"/>
                <w:i/>
              </w:rPr>
              <w:t>m</w:t>
            </w:r>
            <w:r w:rsidRPr="00535FA0">
              <w:rPr>
                <w:rFonts w:eastAsia="Bookman Old Style" w:cs="Bookman Old Style"/>
              </w:rPr>
              <w:t xml:space="preserve">, </w:t>
            </w:r>
            <w:r w:rsidR="009A0730" w:rsidRPr="00535FA0">
              <w:rPr>
                <w:rFonts w:eastAsia="Bookman Old Style" w:cs="Bookman Old Style"/>
              </w:rPr>
              <w:t>que c</w:t>
            </w:r>
            <w:r w:rsidR="00AA17A2" w:rsidRPr="00535FA0">
              <w:rPr>
                <w:rFonts w:eastAsia="Bookman Old Style" w:cs="Bookman Old Style"/>
              </w:rPr>
              <w:t>orresponde a la tasa de colocación de créditos comerciales (</w:t>
            </w:r>
            <w:r w:rsidR="00C1682F" w:rsidRPr="00535FA0">
              <w:rPr>
                <w:rFonts w:eastAsia="Bookman Old Style" w:cs="Bookman Old Style"/>
              </w:rPr>
              <w:t>ordinarios</w:t>
            </w:r>
            <w:r w:rsidR="00AA17A2" w:rsidRPr="00535FA0">
              <w:rPr>
                <w:rFonts w:eastAsia="Bookman Old Style" w:cs="Bookman Old Style"/>
              </w:rPr>
              <w:t xml:space="preserve">), </w:t>
            </w:r>
            <w:r w:rsidR="00582EB4" w:rsidRPr="00535FA0">
              <w:rPr>
                <w:rFonts w:eastAsia="Bookman Old Style" w:cs="Bookman Old Style"/>
              </w:rPr>
              <w:t xml:space="preserve">entre 31 y 365 </w:t>
            </w:r>
            <w:r w:rsidR="00AA17A2" w:rsidRPr="00535FA0">
              <w:rPr>
                <w:rFonts w:eastAsia="Bookman Old Style" w:cs="Bookman Old Style"/>
              </w:rPr>
              <w:t xml:space="preserve">días, del total de establecimientos, </w:t>
            </w:r>
            <w:r w:rsidR="00AE4254" w:rsidRPr="00535FA0">
              <w:rPr>
                <w:rFonts w:eastAsia="Bookman Old Style" w:cs="Bookman Old Style"/>
              </w:rPr>
              <w:t xml:space="preserve">para el mes </w:t>
            </w:r>
            <w:r w:rsidR="00AE4254" w:rsidRPr="00535FA0">
              <w:rPr>
                <w:rFonts w:eastAsia="Bookman Old Style" w:cs="Bookman Old Style"/>
                <w:i/>
              </w:rPr>
              <w:t>m-2</w:t>
            </w:r>
            <w:r w:rsidR="00AA17A2" w:rsidRPr="00535FA0">
              <w:rPr>
                <w:rFonts w:eastAsia="Bookman Old Style" w:cs="Bookman Old Style"/>
              </w:rPr>
              <w:t xml:space="preserve">, del histórico </w:t>
            </w:r>
            <w:r w:rsidR="00056F11" w:rsidRPr="00535FA0">
              <w:rPr>
                <w:rFonts w:eastAsia="Bookman Old Style" w:cs="Bookman Old Style"/>
              </w:rPr>
              <w:t xml:space="preserve">mensual </w:t>
            </w:r>
            <w:r w:rsidR="00AA17A2" w:rsidRPr="00535FA0">
              <w:rPr>
                <w:rFonts w:eastAsia="Bookman Old Style" w:cs="Bookman Old Style"/>
              </w:rPr>
              <w:t>por tipo de cuenta, publicado por el Banco de la República con base en la información del formato 088 de la Superintendencia Financiera de Colombia.</w:t>
            </w:r>
          </w:p>
          <w:p w14:paraId="606113B6" w14:textId="2174C5FC" w:rsidR="008E24BD" w:rsidRPr="00535FA0" w:rsidRDefault="008E24BD" w:rsidP="00C94D29">
            <w:pPr>
              <w:contextualSpacing/>
              <w:jc w:val="both"/>
            </w:pPr>
          </w:p>
        </w:tc>
      </w:tr>
      <w:tr w:rsidR="00DF7D9C" w:rsidRPr="003B488E" w14:paraId="480A5831" w14:textId="77777777" w:rsidTr="002B7073">
        <w:trPr>
          <w:trHeight w:val="1141"/>
        </w:trPr>
        <w:tc>
          <w:tcPr>
            <w:tcW w:w="1449" w:type="dxa"/>
            <w:vMerge w:val="restart"/>
          </w:tcPr>
          <w:p w14:paraId="06F56897" w14:textId="5563C6CB" w:rsidR="00DF7D9C" w:rsidRPr="003B488E"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RP</m:t>
                    </m:r>
                  </m:e>
                  <m:sub>
                    <m:r>
                      <w:rPr>
                        <w:rFonts w:ascii="Cambria Math" w:hAnsi="Cambria Math"/>
                      </w:rPr>
                      <m:t>m,0</m:t>
                    </m:r>
                  </m:sub>
                </m:sSub>
              </m:oMath>
            </m:oMathPara>
          </w:p>
        </w:tc>
        <w:tc>
          <w:tcPr>
            <w:tcW w:w="293" w:type="dxa"/>
            <w:vMerge w:val="restart"/>
          </w:tcPr>
          <w:p w14:paraId="0FBA130B" w14:textId="052DA4CF" w:rsidR="00DF7D9C" w:rsidRPr="003B488E" w:rsidRDefault="00DF7D9C" w:rsidP="00C94D29">
            <w:pPr>
              <w:contextualSpacing/>
              <w:jc w:val="center"/>
            </w:pPr>
            <w:r w:rsidRPr="003B488E">
              <w:t>:</w:t>
            </w:r>
          </w:p>
        </w:tc>
        <w:tc>
          <w:tcPr>
            <w:tcW w:w="7614" w:type="dxa"/>
            <w:gridSpan w:val="3"/>
          </w:tcPr>
          <w:p w14:paraId="75070562" w14:textId="1C3A9037" w:rsidR="00DF7D9C" w:rsidRPr="003B488E" w:rsidRDefault="00DF7D9C" w:rsidP="00C94D29">
            <w:pPr>
              <w:contextualSpacing/>
              <w:jc w:val="both"/>
            </w:pPr>
            <w:r w:rsidRPr="003B488E">
              <w:t xml:space="preserve">Componente de remuneración para el prestador del servicio, aplicable para el mes </w:t>
            </w:r>
            <w:r w:rsidRPr="003B488E">
              <w:rPr>
                <w:i/>
              </w:rPr>
              <w:t>m</w:t>
            </w:r>
            <w:r w:rsidRPr="003B488E">
              <w:t>, expresado en pesos al día ($/día), en pesos de la fecha base.</w:t>
            </w:r>
          </w:p>
          <w:p w14:paraId="1B65F9DC" w14:textId="77777777" w:rsidR="00DF7D9C" w:rsidRPr="003B488E" w:rsidRDefault="00DF7D9C" w:rsidP="00C94D29">
            <w:pPr>
              <w:contextualSpacing/>
              <w:jc w:val="both"/>
            </w:pPr>
          </w:p>
          <w:p w14:paraId="36245D3D" w14:textId="57D9ADEB" w:rsidR="00DF7D9C" w:rsidRPr="003B488E" w:rsidRDefault="00DF7D9C" w:rsidP="00C94D29">
            <w:pPr>
              <w:ind w:right="142"/>
              <w:contextualSpacing/>
              <w:jc w:val="both"/>
              <w:rPr>
                <w:rFonts w:cs="Arial"/>
              </w:rPr>
            </w:pPr>
            <w:r w:rsidRPr="003B488E">
              <w:rPr>
                <w:rFonts w:cs="Arial"/>
              </w:rPr>
              <w:t xml:space="preserve">El valor de </w:t>
            </w:r>
            <m:oMath>
              <m:sSub>
                <m:sSubPr>
                  <m:ctrlPr>
                    <w:rPr>
                      <w:rFonts w:ascii="Cambria Math" w:hAnsi="Cambria Math" w:cs="Arial"/>
                      <w:i/>
                    </w:rPr>
                  </m:ctrlPr>
                </m:sSubPr>
                <m:e>
                  <m:r>
                    <w:rPr>
                      <w:rFonts w:ascii="Cambria Math" w:hAnsi="Cambria Math" w:cs="Arial"/>
                    </w:rPr>
                    <m:t>RP</m:t>
                  </m:r>
                </m:e>
                <m:sub>
                  <m:r>
                    <w:rPr>
                      <w:rFonts w:ascii="Cambria Math" w:hAnsi="Cambria Math" w:cs="Arial"/>
                    </w:rPr>
                    <m:t>m,0</m:t>
                  </m:r>
                </m:sub>
              </m:sSub>
            </m:oMath>
            <w:r w:rsidRPr="003B488E">
              <w:rPr>
                <w:rFonts w:cs="Arial"/>
              </w:rPr>
              <w:t xml:space="preserve"> se obtiene a partir de la siguiente fórmula:</w:t>
            </w:r>
          </w:p>
          <w:p w14:paraId="2C19B325" w14:textId="77777777" w:rsidR="00DF7D9C" w:rsidRPr="003B488E" w:rsidRDefault="00DF7D9C" w:rsidP="00C94D29">
            <w:pPr>
              <w:contextualSpacing/>
            </w:pPr>
          </w:p>
          <w:p w14:paraId="712718DD" w14:textId="7B34C273" w:rsidR="00DF7D9C" w:rsidRPr="003B488E" w:rsidRDefault="005E2372" w:rsidP="00C94D29">
            <w:pPr>
              <w:contextualSpacing/>
            </w:pPr>
            <m:oMathPara>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RP</m:t>
                    </m:r>
                  </m:e>
                  <m:sub>
                    <m:r>
                      <w:rPr>
                        <w:rFonts w:ascii="Cambria Math" w:hAnsi="Cambria Math"/>
                        <w:color w:val="000000" w:themeColor="text1"/>
                        <w:sz w:val="18"/>
                        <w:szCs w:val="18"/>
                      </w:rPr>
                      <m:t>m,0</m:t>
                    </m:r>
                  </m:sub>
                </m:sSub>
                <m:r>
                  <w:rPr>
                    <w:rFonts w:ascii="Cambria Math" w:hAnsi="Cambria Math"/>
                    <w:color w:val="000000" w:themeColor="text1"/>
                    <w:sz w:val="18"/>
                    <w:szCs w:val="18"/>
                  </w:rPr>
                  <m:t>=</m:t>
                </m:r>
                <m:d>
                  <m:dPr>
                    <m:ctrlPr>
                      <w:rPr>
                        <w:rFonts w:ascii="Cambria Math" w:eastAsiaTheme="minorEastAsia" w:hAnsi="Cambria Math"/>
                        <w:i/>
                        <w:sz w:val="18"/>
                        <w:szCs w:val="18"/>
                      </w:rPr>
                    </m:ctrlPr>
                  </m:dPr>
                  <m:e>
                    <m:sSub>
                      <m:sSubPr>
                        <m:ctrlPr>
                          <w:rPr>
                            <w:rFonts w:ascii="Cambria Math" w:eastAsiaTheme="minorEastAsia" w:hAnsi="Cambria Math"/>
                            <w:i/>
                            <w:sz w:val="18"/>
                            <w:szCs w:val="18"/>
                          </w:rPr>
                        </m:ctrlPr>
                      </m:sSubPr>
                      <m:e>
                        <m:r>
                          <w:rPr>
                            <w:rFonts w:ascii="Cambria Math" w:eastAsiaTheme="minorEastAsia" w:hAnsi="Cambria Math"/>
                            <w:sz w:val="18"/>
                            <w:szCs w:val="18"/>
                          </w:rPr>
                          <m:t>AI</m:t>
                        </m:r>
                      </m:e>
                      <m:sub>
                        <m:r>
                          <w:rPr>
                            <w:rFonts w:ascii="Cambria Math" w:eastAsiaTheme="minorEastAsia" w:hAnsi="Cambria Math"/>
                            <w:sz w:val="18"/>
                            <w:szCs w:val="18"/>
                          </w:rPr>
                          <m:t>0</m:t>
                        </m:r>
                      </m:sub>
                    </m:sSub>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1-</m:t>
                        </m:r>
                        <m:sSub>
                          <m:sSubPr>
                            <m:ctrlPr>
                              <w:rPr>
                                <w:rFonts w:ascii="Cambria Math" w:eastAsiaTheme="minorEastAsia" w:hAnsi="Cambria Math"/>
                                <w:i/>
                                <w:sz w:val="18"/>
                                <w:szCs w:val="18"/>
                              </w:rPr>
                            </m:ctrlPr>
                          </m:sSubPr>
                          <m:e>
                            <m:r>
                              <w:rPr>
                                <w:rFonts w:ascii="Cambria Math" w:eastAsiaTheme="minorEastAsia" w:hAnsi="Cambria Math"/>
                                <w:sz w:val="18"/>
                                <w:szCs w:val="18"/>
                              </w:rPr>
                              <m:t>PP</m:t>
                            </m:r>
                          </m:e>
                          <m:sub>
                            <m:r>
                              <w:rPr>
                                <w:rFonts w:ascii="Cambria Math" w:eastAsiaTheme="minorEastAsia" w:hAnsi="Cambria Math"/>
                                <w:sz w:val="18"/>
                                <w:szCs w:val="18"/>
                              </w:rPr>
                              <m:t>m</m:t>
                            </m:r>
                          </m:sub>
                        </m:sSub>
                      </m:e>
                    </m:d>
                    <m:r>
                      <w:rPr>
                        <w:rFonts w:ascii="Cambria Math" w:eastAsiaTheme="minorEastAsia" w:hAnsi="Cambria Math"/>
                        <w:sz w:val="18"/>
                        <w:szCs w:val="18"/>
                      </w:rPr>
                      <m:t>+</m:t>
                    </m:r>
                    <m:sSub>
                      <m:sSubPr>
                        <m:ctrlPr>
                          <w:rPr>
                            <w:rFonts w:ascii="Cambria Math" w:hAnsi="Cambria Math"/>
                            <w:i/>
                            <w:sz w:val="18"/>
                            <w:szCs w:val="18"/>
                          </w:rPr>
                        </m:ctrlPr>
                      </m:sSubPr>
                      <m:e>
                        <m:r>
                          <w:rPr>
                            <w:rFonts w:ascii="Cambria Math" w:hAnsi="Cambria Math"/>
                            <w:sz w:val="18"/>
                            <w:szCs w:val="18"/>
                          </w:rPr>
                          <m:t>AMGC</m:t>
                        </m:r>
                      </m:e>
                      <m:sub>
                        <m:r>
                          <w:rPr>
                            <w:rFonts w:ascii="Cambria Math" w:hAnsi="Cambria Math"/>
                            <w:sz w:val="18"/>
                            <w:szCs w:val="18"/>
                          </w:rPr>
                          <m:t>NU,m,0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AMGC</m:t>
                        </m:r>
                      </m:e>
                      <m:sub>
                        <m:r>
                          <w:rPr>
                            <w:rFonts w:ascii="Cambria Math" w:hAnsi="Cambria Math"/>
                            <w:sz w:val="18"/>
                            <w:szCs w:val="18"/>
                          </w:rPr>
                          <m:t>VI,0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AMGC</m:t>
                        </m:r>
                      </m:e>
                      <m:sub>
                        <m:r>
                          <w:rPr>
                            <w:rFonts w:ascii="Cambria Math" w:hAnsi="Cambria Math"/>
                            <w:sz w:val="18"/>
                            <w:szCs w:val="18"/>
                          </w:rPr>
                          <m:t>AU,0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AMGC</m:t>
                        </m:r>
                      </m:e>
                      <m:sub>
                        <m:r>
                          <w:rPr>
                            <w:rFonts w:ascii="Cambria Math" w:hAnsi="Cambria Math"/>
                            <w:sz w:val="18"/>
                            <w:szCs w:val="18"/>
                          </w:rPr>
                          <m:t>NF,m,0</m:t>
                        </m:r>
                      </m:sub>
                    </m:sSub>
                  </m:e>
                </m:d>
                <m:r>
                  <w:rPr>
                    <w:rFonts w:ascii="Cambria Math" w:eastAsiaTheme="minorEastAsia" w:hAnsi="Cambria Math"/>
                    <w:sz w:val="18"/>
                    <w:szCs w:val="18"/>
                  </w:rPr>
                  <m:t>×MP</m:t>
                </m:r>
              </m:oMath>
            </m:oMathPara>
          </w:p>
          <w:p w14:paraId="58141708" w14:textId="77777777" w:rsidR="00DF7D9C" w:rsidRPr="003B488E" w:rsidRDefault="00DF7D9C" w:rsidP="00C94D29">
            <w:pPr>
              <w:contextualSpacing/>
              <w:jc w:val="both"/>
            </w:pPr>
          </w:p>
          <w:p w14:paraId="066F282A" w14:textId="77777777" w:rsidR="00DF7D9C" w:rsidRPr="003B488E" w:rsidRDefault="00DF7D9C" w:rsidP="00C94D29">
            <w:pPr>
              <w:contextualSpacing/>
              <w:jc w:val="both"/>
            </w:pPr>
            <w:r w:rsidRPr="003B488E">
              <w:t>En donde:</w:t>
            </w:r>
          </w:p>
          <w:p w14:paraId="782F422B" w14:textId="65E7BDF4" w:rsidR="00F360F8" w:rsidRPr="003B488E" w:rsidRDefault="00F360F8" w:rsidP="00C94D29">
            <w:pPr>
              <w:contextualSpacing/>
              <w:jc w:val="both"/>
            </w:pPr>
          </w:p>
        </w:tc>
      </w:tr>
      <w:tr w:rsidR="00DF7D9C" w:rsidRPr="003B488E" w14:paraId="758C6CC5" w14:textId="77777777" w:rsidTr="00A16ABA">
        <w:trPr>
          <w:trHeight w:val="356"/>
        </w:trPr>
        <w:tc>
          <w:tcPr>
            <w:tcW w:w="1449" w:type="dxa"/>
            <w:vMerge/>
          </w:tcPr>
          <w:p w14:paraId="5183D7A2" w14:textId="77777777" w:rsidR="00DF7D9C" w:rsidRPr="003B488E" w:rsidRDefault="00DF7D9C" w:rsidP="00C94D29">
            <w:pPr>
              <w:contextualSpacing/>
            </w:pPr>
          </w:p>
        </w:tc>
        <w:tc>
          <w:tcPr>
            <w:tcW w:w="293" w:type="dxa"/>
            <w:vMerge/>
          </w:tcPr>
          <w:p w14:paraId="49F441E9" w14:textId="77777777" w:rsidR="00DF7D9C" w:rsidRPr="003B488E" w:rsidRDefault="00DF7D9C" w:rsidP="00C94D29">
            <w:pPr>
              <w:contextualSpacing/>
              <w:jc w:val="center"/>
            </w:pPr>
          </w:p>
        </w:tc>
        <w:tc>
          <w:tcPr>
            <w:tcW w:w="1235" w:type="dxa"/>
          </w:tcPr>
          <w:p w14:paraId="202028E7" w14:textId="6CBBC454" w:rsidR="00DF7D9C" w:rsidRPr="003B488E" w:rsidRDefault="00DF7D9C" w:rsidP="00C94D29">
            <w:pPr>
              <w:contextualSpacing/>
              <w:jc w:val="both"/>
            </w:pPr>
            <m:oMathPara>
              <m:oMathParaPr>
                <m:jc m:val="left"/>
              </m:oMathParaPr>
              <m:oMath>
                <m:r>
                  <w:rPr>
                    <w:rFonts w:ascii="Cambria Math" w:eastAsiaTheme="minorEastAsia" w:hAnsi="Cambria Math"/>
                  </w:rPr>
                  <m:t>MP</m:t>
                </m:r>
              </m:oMath>
            </m:oMathPara>
          </w:p>
        </w:tc>
        <w:tc>
          <w:tcPr>
            <w:tcW w:w="284" w:type="dxa"/>
          </w:tcPr>
          <w:p w14:paraId="0CCDF5DF" w14:textId="45F5CC80" w:rsidR="00DF7D9C" w:rsidRPr="003B488E" w:rsidRDefault="00DF7D9C" w:rsidP="00C94D29">
            <w:pPr>
              <w:contextualSpacing/>
              <w:jc w:val="both"/>
            </w:pPr>
            <w:r w:rsidRPr="003B488E">
              <w:t>:</w:t>
            </w:r>
          </w:p>
        </w:tc>
        <w:tc>
          <w:tcPr>
            <w:tcW w:w="6095" w:type="dxa"/>
          </w:tcPr>
          <w:p w14:paraId="20EC15AC" w14:textId="5C39E23C" w:rsidR="00DF7D9C" w:rsidRPr="003B488E" w:rsidRDefault="00DF7D9C" w:rsidP="00C94D29">
            <w:pPr>
              <w:contextualSpacing/>
              <w:jc w:val="both"/>
            </w:pPr>
            <w:r w:rsidRPr="007B3D18">
              <w:t xml:space="preserve">Margen de </w:t>
            </w:r>
            <w:r w:rsidR="00986672" w:rsidRPr="007B3D18">
              <w:t>prestación del s</w:t>
            </w:r>
            <w:r w:rsidR="006C0A3E" w:rsidRPr="007B3D18">
              <w:t>e</w:t>
            </w:r>
            <w:r w:rsidR="00986672" w:rsidRPr="007B3D18">
              <w:t>rvicio</w:t>
            </w:r>
            <w:r w:rsidRPr="007B3D18">
              <w:t>. Este valor será 10,</w:t>
            </w:r>
            <w:r w:rsidR="00220F3B" w:rsidRPr="007B3D18">
              <w:t>7</w:t>
            </w:r>
            <w:r w:rsidRPr="007B3D18">
              <w:t>7%.</w:t>
            </w:r>
          </w:p>
          <w:p w14:paraId="3A915C3D" w14:textId="109AE266" w:rsidR="00DF7D9C" w:rsidRPr="003B488E" w:rsidRDefault="00DF7D9C" w:rsidP="00C94D29">
            <w:pPr>
              <w:contextualSpacing/>
              <w:jc w:val="both"/>
            </w:pPr>
          </w:p>
        </w:tc>
      </w:tr>
      <w:tr w:rsidR="00DF7D9C" w:rsidRPr="003B488E" w14:paraId="73D134E9" w14:textId="77777777" w:rsidTr="00A16ABA">
        <w:trPr>
          <w:trHeight w:val="749"/>
        </w:trPr>
        <w:tc>
          <w:tcPr>
            <w:tcW w:w="1449" w:type="dxa"/>
            <w:vMerge/>
          </w:tcPr>
          <w:p w14:paraId="03C6E78E" w14:textId="77777777" w:rsidR="00DF7D9C" w:rsidRPr="003B488E" w:rsidRDefault="00DF7D9C" w:rsidP="00C94D29">
            <w:pPr>
              <w:contextualSpacing/>
            </w:pPr>
          </w:p>
        </w:tc>
        <w:tc>
          <w:tcPr>
            <w:tcW w:w="293" w:type="dxa"/>
            <w:vMerge/>
          </w:tcPr>
          <w:p w14:paraId="00ADF580" w14:textId="77777777" w:rsidR="00DF7D9C" w:rsidRPr="003B488E" w:rsidRDefault="00DF7D9C" w:rsidP="00C94D29">
            <w:pPr>
              <w:contextualSpacing/>
              <w:jc w:val="center"/>
            </w:pPr>
          </w:p>
        </w:tc>
        <w:tc>
          <w:tcPr>
            <w:tcW w:w="1235" w:type="dxa"/>
          </w:tcPr>
          <w:p w14:paraId="42E6E759" w14:textId="283F3FAC" w:rsidR="00DF7D9C" w:rsidRPr="003B488E" w:rsidRDefault="005E2372" w:rsidP="00C94D29">
            <w:pPr>
              <w:contextualSpacing/>
              <w:jc w:val="both"/>
            </w:pPr>
            <m:oMathPara>
              <m:oMathParaPr>
                <m:jc m:val="left"/>
              </m:oMathParaPr>
              <m:oMath>
                <m:sSub>
                  <m:sSubPr>
                    <m:ctrlPr>
                      <w:rPr>
                        <w:rFonts w:ascii="Cambria Math" w:hAnsi="Cambria Math" w:cs="Arial"/>
                        <w:i/>
                      </w:rPr>
                    </m:ctrlPr>
                  </m:sSubPr>
                  <m:e>
                    <m:r>
                      <w:rPr>
                        <w:rFonts w:ascii="Cambria Math" w:hAnsi="Cambria Math" w:cs="Arial"/>
                      </w:rPr>
                      <m:t>AI</m:t>
                    </m:r>
                  </m:e>
                  <m:sub>
                    <m:r>
                      <w:rPr>
                        <w:rFonts w:ascii="Cambria Math" w:hAnsi="Cambria Math" w:cs="Arial"/>
                      </w:rPr>
                      <m:t>0</m:t>
                    </m:r>
                  </m:sub>
                </m:sSub>
              </m:oMath>
            </m:oMathPara>
          </w:p>
        </w:tc>
        <w:tc>
          <w:tcPr>
            <w:tcW w:w="284" w:type="dxa"/>
          </w:tcPr>
          <w:p w14:paraId="2F460FDC" w14:textId="2261A787" w:rsidR="00DF7D9C" w:rsidRPr="003B488E" w:rsidRDefault="00637F0E" w:rsidP="00C94D29">
            <w:pPr>
              <w:contextualSpacing/>
              <w:jc w:val="both"/>
            </w:pPr>
            <w:r w:rsidRPr="003B488E">
              <w:t>:</w:t>
            </w:r>
          </w:p>
        </w:tc>
        <w:tc>
          <w:tcPr>
            <w:tcW w:w="6095" w:type="dxa"/>
          </w:tcPr>
          <w:p w14:paraId="50F71728" w14:textId="0240F7EF" w:rsidR="00A84DFF" w:rsidRPr="003B488E" w:rsidRDefault="00EB6C3B" w:rsidP="00A84DFF">
            <w:pPr>
              <w:contextualSpacing/>
              <w:jc w:val="both"/>
            </w:pPr>
            <w:r w:rsidRPr="003B488E">
              <w:rPr>
                <w:rFonts w:cs="Arial"/>
              </w:rPr>
              <w:t>Alícuota del valor de la inversión</w:t>
            </w:r>
            <w:r w:rsidR="00B56AF0" w:rsidRPr="003B488E">
              <w:rPr>
                <w:rFonts w:cs="Arial"/>
              </w:rPr>
              <w:t xml:space="preserve"> según la </w:t>
            </w:r>
            <w:r w:rsidR="00D02F44" w:rsidRPr="003B488E">
              <w:rPr>
                <w:rFonts w:cs="Arial"/>
              </w:rPr>
              <w:t>vida útil de cada UC</w:t>
            </w:r>
            <w:r w:rsidR="008B1A48" w:rsidRPr="003B488E">
              <w:rPr>
                <w:rFonts w:cs="Arial"/>
              </w:rPr>
              <w:t xml:space="preserve">, </w:t>
            </w:r>
            <w:r w:rsidR="00172DDF" w:rsidRPr="003B488E">
              <w:t>expresada en pesos al día ($/día), en pesos de la fecha base</w:t>
            </w:r>
            <w:r w:rsidR="00A84DFF" w:rsidRPr="003B488E">
              <w:rPr>
                <w:rFonts w:cs="Arial"/>
              </w:rPr>
              <w:t xml:space="preserve">. El valor de </w:t>
            </w:r>
            <m:oMath>
              <m:sSub>
                <m:sSubPr>
                  <m:ctrlPr>
                    <w:rPr>
                      <w:rFonts w:ascii="Cambria Math" w:hAnsi="Cambria Math" w:cs="Arial"/>
                      <w:i/>
                    </w:rPr>
                  </m:ctrlPr>
                </m:sSubPr>
                <m:e>
                  <m:r>
                    <w:rPr>
                      <w:rFonts w:ascii="Cambria Math" w:hAnsi="Cambria Math" w:cs="Arial"/>
                    </w:rPr>
                    <m:t>AI</m:t>
                  </m:r>
                </m:e>
                <m:sub>
                  <m:r>
                    <w:rPr>
                      <w:rFonts w:ascii="Cambria Math" w:hAnsi="Cambria Math" w:cs="Arial"/>
                    </w:rPr>
                    <m:t>0</m:t>
                  </m:r>
                </m:sub>
              </m:sSub>
            </m:oMath>
            <w:r w:rsidR="00A84DFF" w:rsidRPr="003B488E">
              <w:rPr>
                <w:rFonts w:cs="Arial"/>
              </w:rPr>
              <w:t xml:space="preserve"> se obtiene a partir de la siguiente fórmula:</w:t>
            </w:r>
          </w:p>
          <w:p w14:paraId="328C8F4A" w14:textId="77777777" w:rsidR="009F1FA5" w:rsidRPr="003B488E" w:rsidRDefault="009F1FA5" w:rsidP="00C94D29">
            <w:pPr>
              <w:contextualSpacing/>
              <w:jc w:val="both"/>
            </w:pPr>
          </w:p>
          <w:p w14:paraId="237ECF04" w14:textId="742AB421" w:rsidR="009F1FA5" w:rsidRPr="003B488E" w:rsidRDefault="005E2372" w:rsidP="00C94D29">
            <w:pPr>
              <w:contextualSpacing/>
              <w:jc w:val="both"/>
            </w:pPr>
            <m:oMathPara>
              <m:oMath>
                <m:sSub>
                  <m:sSubPr>
                    <m:ctrlPr>
                      <w:rPr>
                        <w:rFonts w:ascii="Cambria Math" w:hAnsi="Cambria Math"/>
                        <w:i/>
                      </w:rPr>
                    </m:ctrlPr>
                  </m:sSubPr>
                  <m:e>
                    <m:r>
                      <w:rPr>
                        <w:rFonts w:ascii="Cambria Math" w:hAnsi="Cambria Math"/>
                      </w:rPr>
                      <m:t>AI</m:t>
                    </m:r>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f>
                      <m:fPr>
                        <m:ctrlPr>
                          <w:rPr>
                            <w:rFonts w:ascii="Cambria Math" w:hAnsi="Cambria Math"/>
                            <w:i/>
                          </w:rPr>
                        </m:ctrlPr>
                      </m:fPr>
                      <m:num>
                        <m:sSub>
                          <m:sSubPr>
                            <m:ctrlPr>
                              <w:rPr>
                                <w:rFonts w:ascii="Cambria Math" w:hAnsi="Cambria Math"/>
                                <w:i/>
                              </w:rPr>
                            </m:ctrlPr>
                          </m:sSubPr>
                          <m:e>
                            <m:r>
                              <w:rPr>
                                <w:rFonts w:ascii="Cambria Math" w:hAnsi="Cambria Math"/>
                              </w:rPr>
                              <m:t>VI</m:t>
                            </m:r>
                          </m:e>
                          <m:sub>
                            <m:r>
                              <w:rPr>
                                <w:rFonts w:ascii="Cambria Math" w:hAnsi="Cambria Math"/>
                              </w:rPr>
                              <m:t>j,0</m:t>
                            </m:r>
                          </m:sub>
                        </m:sSub>
                      </m:num>
                      <m:den>
                        <m:sSub>
                          <m:sSubPr>
                            <m:ctrlPr>
                              <w:rPr>
                                <w:rFonts w:ascii="Cambria Math" w:hAnsi="Cambria Math"/>
                                <w:i/>
                              </w:rPr>
                            </m:ctrlPr>
                          </m:sSubPr>
                          <m:e>
                            <m:r>
                              <w:rPr>
                                <w:rFonts w:ascii="Cambria Math" w:hAnsi="Cambria Math"/>
                              </w:rPr>
                              <m:t>VU</m:t>
                            </m:r>
                          </m:e>
                          <m:sub>
                            <m:r>
                              <w:rPr>
                                <w:rFonts w:ascii="Cambria Math" w:hAnsi="Cambria Math"/>
                              </w:rPr>
                              <m:t>j</m:t>
                            </m:r>
                          </m:sub>
                        </m:sSub>
                        <m:r>
                          <w:rPr>
                            <w:rFonts w:ascii="Cambria Math" w:hAnsi="Cambria Math"/>
                          </w:rPr>
                          <m:t>×365</m:t>
                        </m:r>
                      </m:den>
                    </m:f>
                  </m:e>
                </m:nary>
              </m:oMath>
            </m:oMathPara>
          </w:p>
          <w:p w14:paraId="5970DF72" w14:textId="77777777" w:rsidR="009F1FA5" w:rsidRPr="003B488E" w:rsidRDefault="009F1FA5" w:rsidP="00C94D29">
            <w:pPr>
              <w:contextualSpacing/>
              <w:jc w:val="both"/>
            </w:pPr>
          </w:p>
          <w:p w14:paraId="536F3AFC" w14:textId="004E26E5" w:rsidR="0033214A" w:rsidRPr="003B488E" w:rsidRDefault="0033214A" w:rsidP="00C94D29">
            <w:pPr>
              <w:contextualSpacing/>
              <w:jc w:val="both"/>
            </w:pPr>
            <w:r w:rsidRPr="003B488E">
              <w:t>En donde</w:t>
            </w:r>
            <w:r w:rsidR="00236FD5" w:rsidRPr="003B488E">
              <w:t>:</w:t>
            </w:r>
          </w:p>
          <w:p w14:paraId="2CAFEAD8" w14:textId="5A390BF4" w:rsidR="009F1FA5" w:rsidRPr="003B488E" w:rsidRDefault="009F1FA5" w:rsidP="00C94D29">
            <w:pPr>
              <w:contextualSpacing/>
              <w:jc w:val="both"/>
            </w:pPr>
          </w:p>
        </w:tc>
      </w:tr>
      <w:tr w:rsidR="00714156" w:rsidRPr="003B488E" w14:paraId="3C7273BD" w14:textId="77777777" w:rsidTr="006624D6">
        <w:trPr>
          <w:trHeight w:val="370"/>
        </w:trPr>
        <w:tc>
          <w:tcPr>
            <w:tcW w:w="1449" w:type="dxa"/>
            <w:vMerge/>
          </w:tcPr>
          <w:p w14:paraId="7D556947" w14:textId="77777777" w:rsidR="00714156" w:rsidRPr="003B488E" w:rsidRDefault="00714156" w:rsidP="00714156">
            <w:pPr>
              <w:contextualSpacing/>
            </w:pPr>
          </w:p>
        </w:tc>
        <w:tc>
          <w:tcPr>
            <w:tcW w:w="293" w:type="dxa"/>
            <w:vMerge/>
          </w:tcPr>
          <w:p w14:paraId="50B4B776" w14:textId="77777777" w:rsidR="00714156" w:rsidRPr="003B488E" w:rsidRDefault="00714156" w:rsidP="00714156">
            <w:pPr>
              <w:contextualSpacing/>
              <w:jc w:val="center"/>
            </w:pPr>
          </w:p>
        </w:tc>
        <w:tc>
          <w:tcPr>
            <w:tcW w:w="1235" w:type="dxa"/>
          </w:tcPr>
          <w:p w14:paraId="3FEF0EA5" w14:textId="1FC1C850" w:rsidR="00714156" w:rsidRPr="003B488E" w:rsidRDefault="005E2372" w:rsidP="00714156">
            <w:pPr>
              <w:contextualSpacing/>
              <w:jc w:val="both"/>
            </w:pPr>
            <m:oMathPara>
              <m:oMathParaPr>
                <m:jc m:val="left"/>
              </m:oMathParaPr>
              <m:oMath>
                <m:sSub>
                  <m:sSubPr>
                    <m:ctrlPr>
                      <w:rPr>
                        <w:rFonts w:ascii="Cambria Math" w:hAnsi="Cambria Math"/>
                        <w:i/>
                      </w:rPr>
                    </m:ctrlPr>
                  </m:sSubPr>
                  <m:e>
                    <m:r>
                      <w:rPr>
                        <w:rFonts w:ascii="Cambria Math" w:hAnsi="Cambria Math"/>
                      </w:rPr>
                      <m:t>VU</m:t>
                    </m:r>
                  </m:e>
                  <m:sub>
                    <m:r>
                      <w:rPr>
                        <w:rFonts w:ascii="Cambria Math" w:hAnsi="Cambria Math"/>
                      </w:rPr>
                      <m:t>j</m:t>
                    </m:r>
                  </m:sub>
                </m:sSub>
              </m:oMath>
            </m:oMathPara>
          </w:p>
        </w:tc>
        <w:tc>
          <w:tcPr>
            <w:tcW w:w="284" w:type="dxa"/>
          </w:tcPr>
          <w:p w14:paraId="5111B58B" w14:textId="682E5B02" w:rsidR="00714156" w:rsidRPr="003B488E" w:rsidRDefault="00714156" w:rsidP="00714156">
            <w:pPr>
              <w:contextualSpacing/>
              <w:jc w:val="both"/>
            </w:pPr>
            <w:r w:rsidRPr="003B488E">
              <w:t>:</w:t>
            </w:r>
          </w:p>
        </w:tc>
        <w:tc>
          <w:tcPr>
            <w:tcW w:w="6095" w:type="dxa"/>
          </w:tcPr>
          <w:p w14:paraId="55665389" w14:textId="77777777" w:rsidR="00714156" w:rsidRPr="003B488E" w:rsidRDefault="00714156" w:rsidP="00714156">
            <w:pPr>
              <w:contextualSpacing/>
              <w:jc w:val="both"/>
            </w:pPr>
            <w:r w:rsidRPr="003B488E">
              <w:t xml:space="preserve">Vida útil de la UC </w:t>
            </w:r>
            <w:r w:rsidRPr="003B488E">
              <w:rPr>
                <w:i/>
              </w:rPr>
              <w:t>j</w:t>
            </w:r>
            <w:r w:rsidRPr="003B488E">
              <w:t>, expresada en años.</w:t>
            </w:r>
          </w:p>
          <w:p w14:paraId="2F6E7B06" w14:textId="77777777" w:rsidR="00714156" w:rsidRPr="003B488E" w:rsidRDefault="00714156" w:rsidP="00714156">
            <w:pPr>
              <w:contextualSpacing/>
              <w:jc w:val="both"/>
              <w:rPr>
                <w:rFonts w:cs="Arial"/>
              </w:rPr>
            </w:pPr>
          </w:p>
        </w:tc>
      </w:tr>
      <w:tr w:rsidR="00DF0F99" w:rsidRPr="003B488E" w14:paraId="369D3C05" w14:textId="77777777" w:rsidTr="00A16ABA">
        <w:trPr>
          <w:trHeight w:val="749"/>
        </w:trPr>
        <w:tc>
          <w:tcPr>
            <w:tcW w:w="1449" w:type="dxa"/>
            <w:vMerge/>
          </w:tcPr>
          <w:p w14:paraId="31B4A32C" w14:textId="77777777" w:rsidR="00DF0F99" w:rsidRPr="003B488E" w:rsidRDefault="00DF0F99" w:rsidP="00DF0F99">
            <w:pPr>
              <w:contextualSpacing/>
            </w:pPr>
          </w:p>
        </w:tc>
        <w:tc>
          <w:tcPr>
            <w:tcW w:w="293" w:type="dxa"/>
            <w:vMerge/>
          </w:tcPr>
          <w:p w14:paraId="79E49590" w14:textId="77777777" w:rsidR="00DF0F99" w:rsidRPr="003B488E" w:rsidRDefault="00DF0F99" w:rsidP="00DF0F99">
            <w:pPr>
              <w:contextualSpacing/>
              <w:jc w:val="center"/>
            </w:pPr>
          </w:p>
        </w:tc>
        <w:tc>
          <w:tcPr>
            <w:tcW w:w="1235" w:type="dxa"/>
          </w:tcPr>
          <w:p w14:paraId="514AB98F" w14:textId="1DE7184D" w:rsidR="00DF0F99" w:rsidRPr="003B488E" w:rsidRDefault="00DF0F99" w:rsidP="00DF0F99">
            <w:pPr>
              <w:contextualSpacing/>
              <w:jc w:val="both"/>
            </w:pPr>
            <m:oMathPara>
              <m:oMathParaPr>
                <m:jc m:val="left"/>
              </m:oMathParaP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m:oMathPara>
          </w:p>
        </w:tc>
        <w:tc>
          <w:tcPr>
            <w:tcW w:w="284" w:type="dxa"/>
          </w:tcPr>
          <w:p w14:paraId="3ABD93B8" w14:textId="459C1658" w:rsidR="00DF0F99" w:rsidRPr="003B488E" w:rsidRDefault="00DF0F99" w:rsidP="00DF0F99">
            <w:pPr>
              <w:contextualSpacing/>
              <w:jc w:val="both"/>
            </w:pPr>
            <w:r w:rsidRPr="003B488E">
              <w:t>:</w:t>
            </w:r>
          </w:p>
        </w:tc>
        <w:tc>
          <w:tcPr>
            <w:tcW w:w="6095" w:type="dxa"/>
          </w:tcPr>
          <w:p w14:paraId="1011F5AE" w14:textId="77777777" w:rsidR="00DF0F99" w:rsidRPr="003B488E" w:rsidRDefault="00DF0F99" w:rsidP="00DF0F99">
            <w:pPr>
              <w:contextualSpacing/>
              <w:jc w:val="both"/>
            </w:pPr>
            <w:r w:rsidRPr="003B488E">
              <w:rPr>
                <w:rFonts w:cs="Arial"/>
              </w:rPr>
              <w:t xml:space="preserve">Proporción entre inversiones de propiedad del privado y el total de inversiones. El valor de </w:t>
            </w:r>
            <m:oMath>
              <m:sSub>
                <m:sSubPr>
                  <m:ctrlPr>
                    <w:rPr>
                      <w:rFonts w:ascii="Cambria Math" w:hAnsi="Cambria Math" w:cs="Arial"/>
                      <w:i/>
                    </w:rPr>
                  </m:ctrlPr>
                </m:sSubPr>
                <m:e>
                  <m:r>
                    <w:rPr>
                      <w:rFonts w:ascii="Cambria Math" w:hAnsi="Cambria Math" w:cs="Arial"/>
                    </w:rPr>
                    <m:t>PP</m:t>
                  </m:r>
                </m:e>
                <m:sub>
                  <m:r>
                    <w:rPr>
                      <w:rFonts w:ascii="Cambria Math" w:hAnsi="Cambria Math" w:cs="Arial"/>
                    </w:rPr>
                    <m:t>m</m:t>
                  </m:r>
                </m:sub>
              </m:sSub>
            </m:oMath>
            <w:r w:rsidRPr="003B488E">
              <w:rPr>
                <w:rFonts w:cs="Arial"/>
              </w:rPr>
              <w:t xml:space="preserve"> se obtiene a partir de la siguiente fórmula:</w:t>
            </w:r>
          </w:p>
          <w:p w14:paraId="1C0AC12C" w14:textId="77777777" w:rsidR="00DF0F99" w:rsidRPr="003B488E" w:rsidRDefault="00DF0F99" w:rsidP="00DF0F99">
            <w:pPr>
              <w:contextualSpacing/>
              <w:jc w:val="both"/>
            </w:pPr>
          </w:p>
          <w:p w14:paraId="63A167DC" w14:textId="7EAB8B43" w:rsidR="00DF0F99" w:rsidRPr="003B488E" w:rsidRDefault="00DF0F99" w:rsidP="00DF0F99">
            <w:pPr>
              <w:contextualSpacing/>
              <w:jc w:val="both"/>
            </w:pPr>
            <m:oMathPara>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j,0</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IS</m:t>
                                </m:r>
                              </m:e>
                              <m:sub>
                                <m:r>
                                  <w:rPr>
                                    <w:rFonts w:ascii="Cambria Math" w:eastAsiaTheme="minorEastAsia" w:hAnsi="Cambria Math"/>
                                  </w:rPr>
                                  <m:t>j,m</m:t>
                                </m:r>
                              </m:sub>
                            </m:sSub>
                          </m:e>
                        </m:d>
                      </m:e>
                    </m:nary>
                  </m:num>
                  <m:den>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sSub>
                          <m:sSubPr>
                            <m:ctrlPr>
                              <w:rPr>
                                <w:rFonts w:ascii="Cambria Math" w:hAnsi="Cambria Math"/>
                                <w:i/>
                              </w:rPr>
                            </m:ctrlPr>
                          </m:sSubPr>
                          <m:e>
                            <m:r>
                              <w:rPr>
                                <w:rFonts w:ascii="Cambria Math" w:hAnsi="Cambria Math"/>
                              </w:rPr>
                              <m:t>I</m:t>
                            </m:r>
                          </m:e>
                          <m:sub>
                            <m:r>
                              <w:rPr>
                                <w:rFonts w:ascii="Cambria Math" w:hAnsi="Cambria Math"/>
                              </w:rPr>
                              <m:t>j,0</m:t>
                            </m:r>
                          </m:sub>
                        </m:sSub>
                      </m:e>
                    </m:nary>
                  </m:den>
                </m:f>
              </m:oMath>
            </m:oMathPara>
          </w:p>
          <w:p w14:paraId="15D8BB7C" w14:textId="77777777" w:rsidR="00DF0F99" w:rsidRPr="003B488E" w:rsidRDefault="00DF0F99" w:rsidP="00DF0F99">
            <w:pPr>
              <w:contextualSpacing/>
              <w:jc w:val="both"/>
              <w:rPr>
                <w:rFonts w:cs="Arial"/>
              </w:rPr>
            </w:pPr>
          </w:p>
        </w:tc>
      </w:tr>
      <w:tr w:rsidR="00EA2C49" w:rsidRPr="003B488E" w14:paraId="4FB6C759" w14:textId="77777777" w:rsidTr="00173A82">
        <w:tc>
          <w:tcPr>
            <w:tcW w:w="1449" w:type="dxa"/>
          </w:tcPr>
          <w:p w14:paraId="16447EA0" w14:textId="53A300E1" w:rsidR="00EA2C49" w:rsidRPr="003B488E" w:rsidRDefault="00EA2C49" w:rsidP="00EA2C49">
            <w:pPr>
              <w:contextualSpacing/>
            </w:pPr>
            <m:oMathPara>
              <m:oMathParaPr>
                <m:jc m:val="left"/>
              </m:oMathParaPr>
              <m:oMath>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m-1</m:t>
                    </m:r>
                    <m:ctrlPr>
                      <w:rPr>
                        <w:rFonts w:ascii="Cambria Math" w:eastAsiaTheme="minorEastAsia" w:hAnsi="Cambria Math"/>
                        <w:i/>
                      </w:rPr>
                    </m:ctrlPr>
                  </m:sub>
                </m:sSub>
              </m:oMath>
            </m:oMathPara>
          </w:p>
        </w:tc>
        <w:tc>
          <w:tcPr>
            <w:tcW w:w="293" w:type="dxa"/>
          </w:tcPr>
          <w:p w14:paraId="5CBA8FFF" w14:textId="2F65A85B" w:rsidR="00EA2C49" w:rsidRPr="003B488E" w:rsidRDefault="00EA2C49" w:rsidP="00EA2C49">
            <w:pPr>
              <w:contextualSpacing/>
              <w:jc w:val="center"/>
            </w:pPr>
            <w:r w:rsidRPr="003B488E">
              <w:t>:</w:t>
            </w:r>
          </w:p>
        </w:tc>
        <w:tc>
          <w:tcPr>
            <w:tcW w:w="7614" w:type="dxa"/>
            <w:gridSpan w:val="3"/>
          </w:tcPr>
          <w:p w14:paraId="69F8851F" w14:textId="77777777" w:rsidR="00EA2C49" w:rsidRPr="003B488E" w:rsidRDefault="00EA2C49" w:rsidP="00EA2C49">
            <w:pPr>
              <w:ind w:right="142"/>
              <w:contextualSpacing/>
              <w:jc w:val="both"/>
              <w:rPr>
                <w:rFonts w:cs="Arial"/>
              </w:rPr>
            </w:pPr>
            <w:r w:rsidRPr="003B488E">
              <w:rPr>
                <w:rFonts w:cs="Arial"/>
              </w:rPr>
              <w:t xml:space="preserve">Índice de precios al productor, Oferta Interna, del mes </w:t>
            </w:r>
            <w:r w:rsidRPr="003B488E">
              <w:rPr>
                <w:rFonts w:cs="Arial"/>
                <w:i/>
              </w:rPr>
              <w:t>m-1</w:t>
            </w:r>
            <w:r w:rsidRPr="003B488E">
              <w:rPr>
                <w:rFonts w:cs="Arial"/>
              </w:rPr>
              <w:t>.</w:t>
            </w:r>
          </w:p>
          <w:p w14:paraId="7C331B99" w14:textId="77777777" w:rsidR="00EA2C49" w:rsidRPr="003B488E" w:rsidRDefault="00EA2C49" w:rsidP="00EA2C49">
            <w:pPr>
              <w:contextualSpacing/>
              <w:jc w:val="both"/>
            </w:pPr>
          </w:p>
        </w:tc>
      </w:tr>
      <w:tr w:rsidR="00EA2C49" w:rsidRPr="003B488E" w14:paraId="3551EF0D" w14:textId="77777777" w:rsidTr="00173A82">
        <w:tc>
          <w:tcPr>
            <w:tcW w:w="1449" w:type="dxa"/>
          </w:tcPr>
          <w:p w14:paraId="36AFECD3" w14:textId="7E17DCD6" w:rsidR="00EA2C49" w:rsidRPr="003B488E" w:rsidRDefault="00EA2C49" w:rsidP="00EA2C49">
            <w:pPr>
              <w:contextualSpacing/>
            </w:pPr>
            <m:oMathPara>
              <m:oMathParaPr>
                <m:jc m:val="left"/>
              </m:oMathParaPr>
              <m:oMath>
                <m:r>
                  <w:rPr>
                    <w:rFonts w:ascii="Cambria Math" w:eastAsiaTheme="minorEastAsia" w:hAnsi="Cambria Math"/>
                  </w:rPr>
                  <m:t>IP</m:t>
                </m:r>
                <m:sSub>
                  <m:sSubPr>
                    <m:ctrlPr>
                      <w:rPr>
                        <w:rFonts w:ascii="Cambria Math" w:eastAsiaTheme="minorEastAsia" w:hAnsi="Cambria Math"/>
                        <w:i/>
                        <w:iCs/>
                      </w:rPr>
                    </m:ctrlPr>
                  </m:sSubPr>
                  <m:e>
                    <m:r>
                      <w:rPr>
                        <w:rFonts w:ascii="Cambria Math" w:eastAsiaTheme="minorEastAsia" w:hAnsi="Cambria Math"/>
                      </w:rPr>
                      <m:t>P</m:t>
                    </m:r>
                  </m:e>
                  <m:sub>
                    <m:r>
                      <w:rPr>
                        <w:rFonts w:ascii="Cambria Math" w:eastAsiaTheme="minorEastAsia" w:hAnsi="Cambria Math"/>
                      </w:rPr>
                      <m:t>0</m:t>
                    </m:r>
                  </m:sub>
                </m:sSub>
              </m:oMath>
            </m:oMathPara>
          </w:p>
        </w:tc>
        <w:tc>
          <w:tcPr>
            <w:tcW w:w="293" w:type="dxa"/>
          </w:tcPr>
          <w:p w14:paraId="161D30E6" w14:textId="747FF121" w:rsidR="00EA2C49" w:rsidRPr="003B488E" w:rsidRDefault="00EA2C49" w:rsidP="00EA2C49">
            <w:pPr>
              <w:contextualSpacing/>
              <w:jc w:val="center"/>
            </w:pPr>
            <w:r w:rsidRPr="003B488E">
              <w:t>:</w:t>
            </w:r>
          </w:p>
        </w:tc>
        <w:tc>
          <w:tcPr>
            <w:tcW w:w="7614" w:type="dxa"/>
            <w:gridSpan w:val="3"/>
          </w:tcPr>
          <w:p w14:paraId="6B5274B3" w14:textId="77777777" w:rsidR="00EA2C49" w:rsidRPr="003B488E" w:rsidRDefault="00EA2C49" w:rsidP="00EA2C49">
            <w:pPr>
              <w:ind w:right="142"/>
              <w:contextualSpacing/>
              <w:jc w:val="both"/>
              <w:rPr>
                <w:rFonts w:cs="Arial"/>
              </w:rPr>
            </w:pPr>
            <w:r w:rsidRPr="003B488E">
              <w:rPr>
                <w:rFonts w:cs="Arial"/>
              </w:rPr>
              <w:t>Índice de precios al productor, Oferta Interna, de la fecha base.</w:t>
            </w:r>
          </w:p>
          <w:p w14:paraId="78E99DA6" w14:textId="77777777" w:rsidR="00EA2C49" w:rsidRPr="003B488E" w:rsidRDefault="00EA2C49" w:rsidP="00EA2C49">
            <w:pPr>
              <w:contextualSpacing/>
              <w:jc w:val="both"/>
            </w:pPr>
          </w:p>
        </w:tc>
      </w:tr>
    </w:tbl>
    <w:p w14:paraId="50BCF4C0" w14:textId="77777777" w:rsidR="00C75ED2" w:rsidRPr="003B488E" w:rsidRDefault="00C75ED2" w:rsidP="00C94D29">
      <w:pPr>
        <w:contextualSpacing/>
      </w:pPr>
    </w:p>
    <w:p w14:paraId="13F1534E" w14:textId="7E60A148" w:rsidR="005D7631" w:rsidRDefault="004A022E" w:rsidP="00C94D29">
      <w:pPr>
        <w:ind w:right="142"/>
        <w:contextualSpacing/>
        <w:jc w:val="both"/>
        <w:rPr>
          <w:rFonts w:cs="Arial"/>
        </w:rPr>
      </w:pPr>
      <w:r w:rsidRPr="003B488E">
        <w:rPr>
          <w:b/>
        </w:rPr>
        <w:t>Parágrafo.</w:t>
      </w:r>
      <w:r w:rsidRPr="003B488E">
        <w:t xml:space="preserve"> </w:t>
      </w:r>
      <w:r w:rsidR="005D7631" w:rsidRPr="003B488E">
        <w:rPr>
          <w:rFonts w:cs="Arial"/>
        </w:rPr>
        <w:t xml:space="preserve">Los valores de </w:t>
      </w:r>
      <m:oMath>
        <m:sSub>
          <m:sSubPr>
            <m:ctrlPr>
              <w:rPr>
                <w:rFonts w:ascii="Cambria Math" w:hAnsi="Cambria Math"/>
                <w:i/>
              </w:rPr>
            </m:ctrlPr>
          </m:sSubPr>
          <m:e>
            <m:r>
              <w:rPr>
                <w:rFonts w:ascii="Cambria Math" w:hAnsi="Cambria Math"/>
              </w:rPr>
              <m:t>VI</m:t>
            </m:r>
          </m:e>
          <m:sub>
            <m:r>
              <w:rPr>
                <w:rFonts w:ascii="Cambria Math" w:hAnsi="Cambria Math"/>
              </w:rPr>
              <m:t>j,0</m:t>
            </m:r>
          </m:sub>
        </m:sSub>
      </m:oMath>
      <w:r w:rsidR="00AA5743" w:rsidRPr="003B488E">
        <w:rPr>
          <w:rFonts w:cs="Arial"/>
        </w:rPr>
        <w:t>,</w:t>
      </w:r>
      <w:r w:rsidR="00F916A9" w:rsidRPr="003B488E">
        <w:rPr>
          <w:rFonts w:cs="Arial"/>
        </w:rPr>
        <w:t xml:space="preserve"> </w:t>
      </w:r>
      <m:oMath>
        <m:sSub>
          <m:sSubPr>
            <m:ctrlPr>
              <w:rPr>
                <w:rFonts w:ascii="Cambria Math" w:hAnsi="Cambria Math"/>
                <w:i/>
              </w:rPr>
            </m:ctrlPr>
          </m:sSubPr>
          <m:e>
            <m:r>
              <w:rPr>
                <w:rFonts w:ascii="Cambria Math" w:hAnsi="Cambria Math"/>
              </w:rPr>
              <m:t>VU</m:t>
            </m:r>
          </m:e>
          <m:sub>
            <m:r>
              <w:rPr>
                <w:rFonts w:ascii="Cambria Math" w:hAnsi="Cambria Math"/>
              </w:rPr>
              <m:t>j</m:t>
            </m:r>
          </m:sub>
        </m:sSub>
      </m:oMath>
      <w:r w:rsidR="00541A78" w:rsidRPr="003B488E">
        <w:rPr>
          <w:rFonts w:cs="Arial"/>
        </w:rPr>
        <w:t>,</w:t>
      </w:r>
      <w:r w:rsidR="00F26277" w:rsidRPr="003B488E">
        <w:rPr>
          <w:rFonts w:cs="Arial"/>
        </w:rPr>
        <w:t xml:space="preserve"> </w:t>
      </w:r>
      <m:oMath>
        <m:sSub>
          <m:sSubPr>
            <m:ctrlPr>
              <w:rPr>
                <w:rFonts w:ascii="Cambria Math" w:hAnsi="Cambria Math"/>
                <w:i/>
              </w:rPr>
            </m:ctrlPr>
          </m:sSubPr>
          <m:e>
            <m:r>
              <w:rPr>
                <w:rFonts w:ascii="Cambria Math" w:hAnsi="Cambria Math"/>
              </w:rPr>
              <m:t>TFUC</m:t>
            </m:r>
          </m:e>
          <m:sub>
            <m:r>
              <w:rPr>
                <w:rFonts w:ascii="Cambria Math" w:hAnsi="Cambria Math"/>
              </w:rPr>
              <m:t>j</m:t>
            </m:r>
          </m:sub>
        </m:sSub>
      </m:oMath>
      <w:r w:rsidR="00857A5B" w:rsidRPr="003B488E">
        <w:rPr>
          <w:rFonts w:cs="Arial"/>
        </w:rPr>
        <w:t xml:space="preserve">, </w:t>
      </w:r>
      <m:oMath>
        <m:sSub>
          <m:sSubPr>
            <m:ctrlPr>
              <w:rPr>
                <w:rFonts w:ascii="Cambria Math" w:hAnsi="Cambria Math"/>
                <w:i/>
                <w:color w:val="000000" w:themeColor="text1"/>
              </w:rPr>
            </m:ctrlPr>
          </m:sSubPr>
          <m:e>
            <m:r>
              <w:rPr>
                <w:rFonts w:ascii="Cambria Math" w:hAnsi="Cambria Math"/>
                <w:color w:val="000000" w:themeColor="text1"/>
              </w:rPr>
              <m:t>MP</m:t>
            </m:r>
          </m:e>
          <m:sub>
            <m:r>
              <w:rPr>
                <w:rFonts w:ascii="Cambria Math" w:hAnsi="Cambria Math"/>
                <w:color w:val="000000" w:themeColor="text1"/>
              </w:rPr>
              <m:t>NS,u,0</m:t>
            </m:r>
          </m:sub>
        </m:sSub>
      </m:oMath>
      <w:r w:rsidR="00857A5B" w:rsidRPr="003B488E">
        <w:rPr>
          <w:rFonts w:cs="Arial"/>
        </w:rPr>
        <w:t xml:space="preserve">, </w:t>
      </w:r>
      <m:oMath>
        <m:sSub>
          <m:sSubPr>
            <m:ctrlPr>
              <w:rPr>
                <w:rFonts w:ascii="Cambria Math" w:hAnsi="Cambria Math"/>
                <w:i/>
                <w:color w:val="000000" w:themeColor="text1"/>
              </w:rPr>
            </m:ctrlPr>
          </m:sSubPr>
          <m:e>
            <m:r>
              <w:rPr>
                <w:rFonts w:ascii="Cambria Math" w:hAnsi="Cambria Math"/>
                <w:color w:val="000000" w:themeColor="text1"/>
              </w:rPr>
              <m:t>MC</m:t>
            </m:r>
          </m:e>
          <m:sub>
            <m:r>
              <w:rPr>
                <w:rFonts w:ascii="Cambria Math" w:hAnsi="Cambria Math"/>
                <w:color w:val="000000" w:themeColor="text1"/>
              </w:rPr>
              <m:t>NS,u,0</m:t>
            </m:r>
          </m:sub>
        </m:sSub>
      </m:oMath>
      <w:r w:rsidR="005D7631" w:rsidRPr="003B488E">
        <w:rPr>
          <w:rFonts w:cs="Arial"/>
        </w:rPr>
        <w:t xml:space="preserve">, de una SISFV para un nivel de servicio y </w:t>
      </w:r>
      <w:r w:rsidR="00931632">
        <w:rPr>
          <w:rFonts w:cs="Arial"/>
        </w:rPr>
        <w:t xml:space="preserve">una </w:t>
      </w:r>
      <w:r w:rsidR="005D7631" w:rsidRPr="003B488E">
        <w:rPr>
          <w:rFonts w:cs="Arial"/>
        </w:rPr>
        <w:t>ubicación de usuario (municipio) particular, serán los que se obtengan del modelo de cálculo publicado por la CREG como anexo a esta</w:t>
      </w:r>
      <w:r w:rsidR="005D7631" w:rsidRPr="00E44A51">
        <w:rPr>
          <w:rFonts w:cs="Arial"/>
        </w:rPr>
        <w:t xml:space="preserve"> resolución.</w:t>
      </w:r>
    </w:p>
    <w:p w14:paraId="2525D6F0" w14:textId="77777777" w:rsidR="004A022E" w:rsidRPr="00B66211" w:rsidRDefault="004A022E" w:rsidP="00C94D29">
      <w:pPr>
        <w:contextualSpacing/>
        <w:jc w:val="both"/>
      </w:pPr>
    </w:p>
    <w:p w14:paraId="5249C48C" w14:textId="2394FA9B" w:rsidR="00506096" w:rsidRPr="001825C9" w:rsidRDefault="00506096" w:rsidP="00C94D29">
      <w:pPr>
        <w:pStyle w:val="Ttulo1"/>
        <w:contextualSpacing/>
      </w:pPr>
      <w:r w:rsidRPr="001825C9">
        <w:t>CAPITULO VI</w:t>
      </w:r>
    </w:p>
    <w:p w14:paraId="73061C7A" w14:textId="77777777" w:rsidR="00506096" w:rsidRPr="001825C9" w:rsidRDefault="00506096" w:rsidP="00C94D29">
      <w:pPr>
        <w:contextualSpacing/>
        <w:rPr>
          <w:rStyle w:val="nfasis"/>
          <w:i w:val="0"/>
        </w:rPr>
      </w:pPr>
    </w:p>
    <w:p w14:paraId="6CBFD789" w14:textId="33413188" w:rsidR="00797D12" w:rsidRDefault="00797D12" w:rsidP="00C94D29">
      <w:pPr>
        <w:pStyle w:val="Ttulo1"/>
        <w:contextualSpacing/>
      </w:pPr>
      <w:r w:rsidRPr="001825C9">
        <w:t>TRASLADO DE COSTOS AL USUARIO</w:t>
      </w:r>
    </w:p>
    <w:p w14:paraId="0B613983" w14:textId="77777777" w:rsidR="00BE52BF" w:rsidRPr="00BE52BF" w:rsidRDefault="00BE52BF" w:rsidP="00C94D29">
      <w:pPr>
        <w:contextualSpacing/>
      </w:pPr>
    </w:p>
    <w:p w14:paraId="652EC8EB" w14:textId="39D5C250" w:rsidR="00BD2F0C" w:rsidRPr="00BE52BF" w:rsidRDefault="00BD2F0C" w:rsidP="00C94D29">
      <w:pPr>
        <w:pStyle w:val="Ttulo7"/>
        <w:numPr>
          <w:ilvl w:val="0"/>
          <w:numId w:val="26"/>
        </w:numPr>
        <w:tabs>
          <w:tab w:val="num" w:pos="360"/>
        </w:tabs>
        <w:spacing w:before="0" w:after="0"/>
        <w:contextualSpacing/>
        <w:jc w:val="both"/>
        <w:rPr>
          <w:rFonts w:ascii="Bookman Old Style" w:hAnsi="Bookman Old Style"/>
        </w:rPr>
      </w:pPr>
      <w:r w:rsidRPr="00BE52BF">
        <w:rPr>
          <w:rFonts w:ascii="Bookman Old Style" w:hAnsi="Bookman Old Style"/>
          <w:b/>
        </w:rPr>
        <w:t xml:space="preserve">Tarifa aplicable al usuario. </w:t>
      </w:r>
      <w:r w:rsidRPr="00BE52BF">
        <w:rPr>
          <w:rFonts w:ascii="Bookman Old Style" w:hAnsi="Bookman Old Style"/>
        </w:rPr>
        <w:t xml:space="preserve">El valor </w:t>
      </w:r>
      <w:r w:rsidR="007D38E1" w:rsidRPr="00BE52BF">
        <w:rPr>
          <w:rFonts w:ascii="Bookman Old Style" w:hAnsi="Bookman Old Style"/>
        </w:rPr>
        <w:t xml:space="preserve">máximo </w:t>
      </w:r>
      <w:r w:rsidRPr="00BE52BF">
        <w:rPr>
          <w:rFonts w:ascii="Bookman Old Style" w:hAnsi="Bookman Old Style"/>
        </w:rPr>
        <w:t>que el prestador del servicio le trasladar</w:t>
      </w:r>
      <w:r w:rsidR="00F81414" w:rsidRPr="00BE52BF">
        <w:rPr>
          <w:rFonts w:ascii="Bookman Old Style" w:hAnsi="Bookman Old Style"/>
        </w:rPr>
        <w:t>á</w:t>
      </w:r>
      <w:r w:rsidRPr="00BE52BF">
        <w:rPr>
          <w:rFonts w:ascii="Bookman Old Style" w:hAnsi="Bookman Old Style"/>
        </w:rPr>
        <w:t xml:space="preserve"> a</w:t>
      </w:r>
      <w:r w:rsidR="004F6343" w:rsidRPr="00BE52BF">
        <w:rPr>
          <w:rFonts w:ascii="Bookman Old Style" w:hAnsi="Bookman Old Style"/>
        </w:rPr>
        <w:t xml:space="preserve"> un </w:t>
      </w:r>
      <w:r w:rsidRPr="00BE52BF">
        <w:rPr>
          <w:rFonts w:ascii="Bookman Old Style" w:hAnsi="Bookman Old Style"/>
        </w:rPr>
        <w:t xml:space="preserve">usuario </w:t>
      </w:r>
      <w:r w:rsidR="004F6343" w:rsidRPr="00BE52BF">
        <w:rPr>
          <w:rFonts w:ascii="Bookman Old Style" w:hAnsi="Bookman Old Style"/>
        </w:rPr>
        <w:t xml:space="preserve">regulado </w:t>
      </w:r>
      <w:r w:rsidRPr="00BE52BF">
        <w:rPr>
          <w:rFonts w:ascii="Bookman Old Style" w:hAnsi="Bookman Old Style"/>
        </w:rPr>
        <w:t>por el servicio de energía eléctrica prestado mediante SISFV, en cada ciclo de facturación, expresado en pesos por factura ($/factura), se determinará aplicando la siguiente expresión:</w:t>
      </w:r>
    </w:p>
    <w:p w14:paraId="4EDED4EF" w14:textId="77777777" w:rsidR="00BD2F0C" w:rsidRPr="00B66211" w:rsidRDefault="00BD2F0C" w:rsidP="00C94D29">
      <w:pPr>
        <w:contextualSpacing/>
        <w:jc w:val="both"/>
      </w:pPr>
    </w:p>
    <w:p w14:paraId="559BAE70" w14:textId="2F8230E4" w:rsidR="00BD2F0C" w:rsidRPr="006A533D" w:rsidRDefault="005E2372" w:rsidP="00C94D29">
      <w:pPr>
        <w:contextualSpacing/>
        <w:jc w:val="both"/>
      </w:pPr>
      <m:oMathPara>
        <m:oMath>
          <m:sSub>
            <m:sSubPr>
              <m:ctrlPr>
                <w:rPr>
                  <w:rFonts w:ascii="Cambria Math" w:hAnsi="Cambria Math"/>
                  <w:i/>
                </w:rPr>
              </m:ctrlPr>
            </m:sSubPr>
            <m:e>
              <m:r>
                <w:rPr>
                  <w:rFonts w:ascii="Cambria Math" w:hAnsi="Cambria Math"/>
                </w:rPr>
                <m:t>T</m:t>
              </m:r>
            </m:e>
            <m:sub>
              <m:r>
                <w:rPr>
                  <w:rFonts w:ascii="Cambria Math" w:hAnsi="Cambria Math"/>
                </w:rPr>
                <m:t>cf</m:t>
              </m:r>
            </m:sub>
          </m:sSub>
          <m:r>
            <w:rPr>
              <w:rFonts w:ascii="Cambria Math" w:hAnsi="Cambria Math"/>
            </w:rPr>
            <m:t>=</m:t>
          </m:r>
          <m:nary>
            <m:naryPr>
              <m:chr m:val="∑"/>
              <m:limLoc m:val="undOvr"/>
              <m:ctrlPr>
                <w:rPr>
                  <w:rFonts w:ascii="Cambria Math" w:hAnsi="Cambria Math"/>
                  <w:i/>
                </w:rPr>
              </m:ctrlPr>
            </m:naryPr>
            <m:sub>
              <m:r>
                <w:rPr>
                  <w:rFonts w:ascii="Cambria Math" w:hAnsi="Cambria Math"/>
                </w:rPr>
                <m:t>i=-n</m:t>
              </m:r>
            </m:sub>
            <m:sup>
              <m:r>
                <w:rPr>
                  <w:rFonts w:ascii="Cambria Math" w:hAnsi="Cambria Math"/>
                </w:rPr>
                <m:t>m-1</m:t>
              </m:r>
            </m:sup>
            <m:e>
              <m:d>
                <m:dPr>
                  <m:begChr m:val="["/>
                  <m:endChr m:val="]"/>
                  <m:ctrlPr>
                    <w:rPr>
                      <w:rFonts w:ascii="Cambria Math" w:hAnsi="Cambria Math"/>
                      <w:i/>
                    </w:rPr>
                  </m:ctrlPr>
                </m:dPr>
                <m:e>
                  <m:nary>
                    <m:naryPr>
                      <m:chr m:val="∑"/>
                      <m:limLoc m:val="undOvr"/>
                      <m:supHide m:val="1"/>
                      <m:ctrlPr>
                        <w:rPr>
                          <w:rFonts w:ascii="Cambria Math" w:eastAsiaTheme="minorEastAsia" w:hAnsi="Cambria Math"/>
                          <w:i/>
                        </w:rPr>
                      </m:ctrlPr>
                    </m:naryPr>
                    <m:sub>
                      <m:r>
                        <w:rPr>
                          <w:rFonts w:ascii="Cambria Math" w:eastAsiaTheme="minorEastAsia" w:hAnsi="Cambria Math"/>
                        </w:rPr>
                        <m:t>k</m:t>
                      </m:r>
                    </m:sub>
                    <m:sup/>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k,i</m:t>
                          </m:r>
                        </m:sub>
                      </m:sSub>
                    </m:e>
                  </m:nary>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i</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j,i</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IS</m:t>
                                  </m:r>
                                </m:e>
                                <m:sub>
                                  <m:r>
                                    <w:rPr>
                                      <w:rFonts w:ascii="Cambria Math" w:eastAsiaTheme="minorEastAsia" w:hAnsi="Cambria Math"/>
                                    </w:rPr>
                                    <m:t>j,i</m:t>
                                  </m:r>
                                </m:sub>
                              </m:sSub>
                            </m:e>
                          </m:d>
                        </m:e>
                      </m:nary>
                    </m:e>
                  </m:d>
                </m:e>
              </m:d>
            </m:e>
          </m:nary>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cf</m:t>
              </m:r>
            </m:sub>
          </m:sSub>
        </m:oMath>
      </m:oMathPara>
    </w:p>
    <w:p w14:paraId="507FE1D1" w14:textId="77777777" w:rsidR="00BD2F0C" w:rsidRPr="006A533D" w:rsidRDefault="00BD2F0C" w:rsidP="00C94D29">
      <w:pPr>
        <w:contextualSpacing/>
        <w:jc w:val="both"/>
      </w:pPr>
    </w:p>
    <w:p w14:paraId="5506F4AD" w14:textId="77777777" w:rsidR="00BD2F0C" w:rsidRPr="00B66211" w:rsidRDefault="00BD2F0C" w:rsidP="00C94D29">
      <w:pPr>
        <w:contextualSpacing/>
        <w:jc w:val="both"/>
      </w:pPr>
      <w:r w:rsidRPr="006A533D">
        <w:t>En donde:</w:t>
      </w:r>
    </w:p>
    <w:p w14:paraId="06E58451" w14:textId="77777777" w:rsidR="00BD2F0C" w:rsidRPr="00B66211" w:rsidRDefault="00BD2F0C" w:rsidP="00C94D29">
      <w:pPr>
        <w:contextualSpacing/>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
        <w:gridCol w:w="288"/>
        <w:gridCol w:w="1379"/>
        <w:gridCol w:w="311"/>
        <w:gridCol w:w="6353"/>
      </w:tblGrid>
      <w:tr w:rsidR="00BD2F0C" w:rsidRPr="00B66211" w14:paraId="265C1BB0" w14:textId="77777777" w:rsidTr="00135C5F">
        <w:tc>
          <w:tcPr>
            <w:tcW w:w="1025" w:type="dxa"/>
          </w:tcPr>
          <w:p w14:paraId="2E11C762" w14:textId="77777777" w:rsidR="00BD2F0C" w:rsidRPr="00D9588D" w:rsidRDefault="005E2372" w:rsidP="00C94D29">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cf</m:t>
                    </m:r>
                  </m:sub>
                </m:sSub>
              </m:oMath>
            </m:oMathPara>
          </w:p>
        </w:tc>
        <w:tc>
          <w:tcPr>
            <w:tcW w:w="288" w:type="dxa"/>
          </w:tcPr>
          <w:p w14:paraId="7B1AB7AA" w14:textId="77777777" w:rsidR="00BD2F0C" w:rsidRPr="00D9588D" w:rsidRDefault="00BD2F0C" w:rsidP="00C94D29">
            <w:pPr>
              <w:ind w:left="-103"/>
              <w:contextualSpacing/>
              <w:jc w:val="center"/>
            </w:pPr>
            <w:r w:rsidRPr="00D9588D">
              <w:t>:</w:t>
            </w:r>
          </w:p>
        </w:tc>
        <w:tc>
          <w:tcPr>
            <w:tcW w:w="8043" w:type="dxa"/>
            <w:gridSpan w:val="3"/>
          </w:tcPr>
          <w:p w14:paraId="4B04F662" w14:textId="4A34314B" w:rsidR="00BD2F0C" w:rsidRPr="006A533D" w:rsidRDefault="00BD2F0C" w:rsidP="00C94D29">
            <w:pPr>
              <w:ind w:left="18"/>
              <w:contextualSpacing/>
              <w:jc w:val="both"/>
            </w:pPr>
            <w:r w:rsidRPr="006A533D">
              <w:t xml:space="preserve">Tarifa aplicable al usuario para el ciclo de facturación </w:t>
            </w:r>
            <w:r w:rsidRPr="006A533D">
              <w:rPr>
                <w:i/>
              </w:rPr>
              <w:t>cf</w:t>
            </w:r>
            <w:r w:rsidRPr="006A533D">
              <w:t xml:space="preserve"> de prestación del servicio, expresado en pesos </w:t>
            </w:r>
            <w:r w:rsidR="00FB024A" w:rsidRPr="006A533D">
              <w:t xml:space="preserve">por factura </w:t>
            </w:r>
            <w:r w:rsidRPr="006A533D">
              <w:t>($</w:t>
            </w:r>
            <w:r w:rsidR="00FB024A" w:rsidRPr="006A533D">
              <w:t>/factura</w:t>
            </w:r>
            <w:r w:rsidRPr="006A533D">
              <w:t>).</w:t>
            </w:r>
          </w:p>
          <w:p w14:paraId="186CF0BC" w14:textId="77777777" w:rsidR="00BD2F0C" w:rsidRPr="006A533D" w:rsidRDefault="00BD2F0C" w:rsidP="00C94D29">
            <w:pPr>
              <w:ind w:left="18"/>
              <w:contextualSpacing/>
              <w:jc w:val="both"/>
            </w:pPr>
          </w:p>
        </w:tc>
      </w:tr>
      <w:tr w:rsidR="00ED2D7B" w:rsidRPr="00B66211" w14:paraId="7243856E" w14:textId="77777777" w:rsidTr="00ED2D7B">
        <w:trPr>
          <w:trHeight w:val="1171"/>
        </w:trPr>
        <w:tc>
          <w:tcPr>
            <w:tcW w:w="1025" w:type="dxa"/>
            <w:vMerge w:val="restart"/>
          </w:tcPr>
          <w:p w14:paraId="369EFC0A" w14:textId="524BCEBC" w:rsidR="00ED2D7B" w:rsidRPr="00D9588D" w:rsidRDefault="005E2372" w:rsidP="00C94D29">
            <w:pPr>
              <w:contextualSpacing/>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k,i</m:t>
                    </m:r>
                  </m:sub>
                </m:sSub>
              </m:oMath>
            </m:oMathPara>
          </w:p>
        </w:tc>
        <w:tc>
          <w:tcPr>
            <w:tcW w:w="288" w:type="dxa"/>
            <w:vMerge w:val="restart"/>
          </w:tcPr>
          <w:p w14:paraId="0C37E1F4" w14:textId="77777777" w:rsidR="00ED2D7B" w:rsidRPr="00D9588D" w:rsidRDefault="00ED2D7B" w:rsidP="00C94D29">
            <w:pPr>
              <w:ind w:left="-103"/>
              <w:contextualSpacing/>
              <w:jc w:val="center"/>
            </w:pPr>
            <w:r w:rsidRPr="00D9588D">
              <w:t>:</w:t>
            </w:r>
          </w:p>
        </w:tc>
        <w:tc>
          <w:tcPr>
            <w:tcW w:w="8043" w:type="dxa"/>
            <w:gridSpan w:val="3"/>
          </w:tcPr>
          <w:p w14:paraId="56E40AB5" w14:textId="5AF3F46B" w:rsidR="00ED2D7B" w:rsidRPr="006A533D" w:rsidRDefault="00ED2D7B" w:rsidP="00C94D29">
            <w:pPr>
              <w:ind w:left="18"/>
              <w:contextualSpacing/>
              <w:jc w:val="both"/>
            </w:pPr>
            <w:r w:rsidRPr="006A533D">
              <w:t xml:space="preserve">Disponibilidad del servicio de energía eléctrica del día </w:t>
            </w:r>
            <w:r w:rsidRPr="006A533D">
              <w:rPr>
                <w:i/>
                <w:iCs/>
              </w:rPr>
              <w:t>k</w:t>
            </w:r>
            <w:r w:rsidRPr="006A533D">
              <w:t xml:space="preserve"> y mes </w:t>
            </w:r>
            <w:r w:rsidRPr="006A533D">
              <w:rPr>
                <w:i/>
              </w:rPr>
              <w:t>i</w:t>
            </w:r>
            <w:r w:rsidRPr="006A533D">
              <w:t>.</w:t>
            </w:r>
          </w:p>
          <w:p w14:paraId="536FD148" w14:textId="77777777" w:rsidR="00ED2D7B" w:rsidRPr="006A533D" w:rsidRDefault="00ED2D7B" w:rsidP="00C94D29">
            <w:pPr>
              <w:ind w:left="18"/>
              <w:contextualSpacing/>
              <w:jc w:val="both"/>
              <w:rPr>
                <w:i/>
              </w:rPr>
            </w:pPr>
          </w:p>
          <w:p w14:paraId="6CB92037" w14:textId="70EAD197" w:rsidR="00ED2D7B" w:rsidRPr="006A533D" w:rsidRDefault="005E2372" w:rsidP="00C94D29">
            <w:pPr>
              <w:ind w:left="18"/>
              <w:contextualSpacing/>
              <w:jc w:val="both"/>
              <w:rPr>
                <w:i/>
              </w:rPr>
            </w:pPr>
            <m:oMathPara>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k,i</m:t>
                    </m:r>
                  </m:sub>
                </m:sSub>
                <m:r>
                  <w:rPr>
                    <w:rFonts w:ascii="Cambria Math" w:eastAsiaTheme="minorEastAsia" w:hAnsi="Cambria Math"/>
                  </w:rPr>
                  <m:t>=Min</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k,i</m:t>
                            </m:r>
                          </m:sub>
                        </m:sSub>
                      </m:num>
                      <m:den>
                        <m:r>
                          <w:rPr>
                            <w:rFonts w:ascii="Cambria Math" w:eastAsiaTheme="minorEastAsia" w:hAnsi="Cambria Math"/>
                          </w:rPr>
                          <m:t>Wh</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NdS</m:t>
                            </m:r>
                          </m:sub>
                        </m:sSub>
                      </m:den>
                    </m:f>
                    <m:r>
                      <w:rPr>
                        <w:rFonts w:ascii="Cambria Math" w:eastAsiaTheme="minorEastAsia" w:hAnsi="Cambria Math"/>
                      </w:rPr>
                      <m:t>, 1</m:t>
                    </m:r>
                  </m:e>
                </m:d>
              </m:oMath>
            </m:oMathPara>
          </w:p>
          <w:p w14:paraId="459C7339" w14:textId="77777777" w:rsidR="00161616" w:rsidRPr="006A533D" w:rsidRDefault="00161616" w:rsidP="00E66292">
            <w:pPr>
              <w:ind w:left="18"/>
              <w:contextualSpacing/>
              <w:jc w:val="both"/>
            </w:pPr>
          </w:p>
          <w:p w14:paraId="06107D3A" w14:textId="092B0B0C" w:rsidR="00ED2D7B" w:rsidRPr="006A533D" w:rsidRDefault="00161616" w:rsidP="00E66292">
            <w:pPr>
              <w:ind w:left="18"/>
              <w:contextualSpacing/>
              <w:jc w:val="both"/>
            </w:pPr>
            <w:r w:rsidRPr="006A533D">
              <w:t>En d</w:t>
            </w:r>
            <w:r w:rsidR="003765EF" w:rsidRPr="006A533D">
              <w:t>onde:</w:t>
            </w:r>
          </w:p>
          <w:p w14:paraId="057B9D05" w14:textId="170B3663" w:rsidR="00ED2D7B" w:rsidRPr="006A533D" w:rsidRDefault="00ED2D7B" w:rsidP="00E66292">
            <w:pPr>
              <w:ind w:left="18"/>
              <w:contextualSpacing/>
              <w:jc w:val="both"/>
            </w:pPr>
          </w:p>
        </w:tc>
      </w:tr>
      <w:tr w:rsidR="00ED2D7B" w:rsidRPr="00B66211" w14:paraId="48C1B6BA" w14:textId="77777777" w:rsidTr="00ED2D7B">
        <w:trPr>
          <w:trHeight w:val="489"/>
        </w:trPr>
        <w:tc>
          <w:tcPr>
            <w:tcW w:w="1025" w:type="dxa"/>
            <w:vMerge/>
          </w:tcPr>
          <w:p w14:paraId="0E3E0AEA" w14:textId="77777777" w:rsidR="00ED2D7B" w:rsidRDefault="00ED2D7B" w:rsidP="00C94D29">
            <w:pPr>
              <w:contextualSpacing/>
            </w:pPr>
          </w:p>
        </w:tc>
        <w:tc>
          <w:tcPr>
            <w:tcW w:w="288" w:type="dxa"/>
            <w:vMerge/>
          </w:tcPr>
          <w:p w14:paraId="7D3560B6" w14:textId="77777777" w:rsidR="00ED2D7B" w:rsidRPr="00D9588D" w:rsidRDefault="00ED2D7B" w:rsidP="00C94D29">
            <w:pPr>
              <w:ind w:left="-103"/>
              <w:contextualSpacing/>
              <w:jc w:val="center"/>
            </w:pPr>
          </w:p>
        </w:tc>
        <w:tc>
          <w:tcPr>
            <w:tcW w:w="1381" w:type="dxa"/>
          </w:tcPr>
          <w:p w14:paraId="41D34AB5" w14:textId="0902E585" w:rsidR="00ED2D7B" w:rsidRPr="008574A7" w:rsidRDefault="005E2372" w:rsidP="00C94D29">
            <w:pPr>
              <w:ind w:left="18"/>
              <w:contextualSpacing/>
              <w:jc w:val="both"/>
              <w:rPr>
                <w:highlight w:val="yellow"/>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k,i</m:t>
                    </m:r>
                  </m:sub>
                </m:sSub>
              </m:oMath>
            </m:oMathPara>
          </w:p>
        </w:tc>
        <w:tc>
          <w:tcPr>
            <w:tcW w:w="283" w:type="dxa"/>
          </w:tcPr>
          <w:p w14:paraId="61E5E45C" w14:textId="77777777" w:rsidR="00ED2D7B" w:rsidRPr="00BE3540" w:rsidRDefault="00ED2D7B" w:rsidP="00C94D29">
            <w:pPr>
              <w:ind w:left="18"/>
              <w:contextualSpacing/>
              <w:jc w:val="both"/>
              <w:rPr>
                <w:highlight w:val="yellow"/>
              </w:rPr>
            </w:pPr>
          </w:p>
        </w:tc>
        <w:tc>
          <w:tcPr>
            <w:tcW w:w="6379" w:type="dxa"/>
          </w:tcPr>
          <w:p w14:paraId="2EBCD7D1" w14:textId="141760F1" w:rsidR="00ED2D7B" w:rsidRDefault="00161616" w:rsidP="00C94D29">
            <w:pPr>
              <w:ind w:left="18"/>
              <w:contextualSpacing/>
              <w:jc w:val="both"/>
            </w:pPr>
            <w:r>
              <w:t>C</w:t>
            </w:r>
            <w:r w:rsidRPr="00161616">
              <w:t xml:space="preserve">antidad mínima de energía que pudo consumir </w:t>
            </w:r>
            <w:r w:rsidR="000E768F">
              <w:t>el</w:t>
            </w:r>
            <w:r w:rsidRPr="00161616">
              <w:t xml:space="preserve"> usuario</w:t>
            </w:r>
            <w:r w:rsidR="00F929AB">
              <w:t xml:space="preserve"> en el día </w:t>
            </w:r>
            <w:r w:rsidR="00F929AB" w:rsidRPr="000E768F">
              <w:rPr>
                <w:i/>
                <w:iCs/>
              </w:rPr>
              <w:t>k</w:t>
            </w:r>
            <w:r w:rsidR="00F929AB">
              <w:t xml:space="preserve"> del mes </w:t>
            </w:r>
            <w:r w:rsidR="00F929AB" w:rsidRPr="000E768F">
              <w:rPr>
                <w:i/>
                <w:iCs/>
              </w:rPr>
              <w:t>i</w:t>
            </w:r>
            <w:r w:rsidR="007C5816" w:rsidRPr="007C5816">
              <w:t>,</w:t>
            </w:r>
            <w:r w:rsidR="007C5816">
              <w:rPr>
                <w:i/>
                <w:iCs/>
              </w:rPr>
              <w:t xml:space="preserve"> </w:t>
            </w:r>
            <w:r w:rsidR="007C5816">
              <w:t xml:space="preserve">expresada en vatios hora al día </w:t>
            </w:r>
            <w:r w:rsidR="00E637A0">
              <w:t>(</w:t>
            </w:r>
            <w:r w:rsidR="007C5816">
              <w:t>Whd</w:t>
            </w:r>
            <w:r w:rsidR="00E637A0">
              <w:t>)</w:t>
            </w:r>
            <w:r w:rsidR="00F929AB">
              <w:t>.</w:t>
            </w:r>
          </w:p>
          <w:p w14:paraId="03CC1EAE" w14:textId="77706AC4" w:rsidR="000E768F" w:rsidRPr="00BE3540" w:rsidRDefault="000E768F" w:rsidP="00C94D29">
            <w:pPr>
              <w:ind w:left="18"/>
              <w:contextualSpacing/>
              <w:jc w:val="both"/>
              <w:rPr>
                <w:highlight w:val="yellow"/>
              </w:rPr>
            </w:pPr>
          </w:p>
        </w:tc>
      </w:tr>
      <w:tr w:rsidR="00ED2D7B" w:rsidRPr="00B66211" w14:paraId="56C9EAEF" w14:textId="77777777" w:rsidTr="00ED2D7B">
        <w:trPr>
          <w:trHeight w:val="488"/>
        </w:trPr>
        <w:tc>
          <w:tcPr>
            <w:tcW w:w="1025" w:type="dxa"/>
            <w:vMerge/>
          </w:tcPr>
          <w:p w14:paraId="56193C2F" w14:textId="77777777" w:rsidR="00ED2D7B" w:rsidRDefault="00ED2D7B" w:rsidP="00ED2D7B">
            <w:pPr>
              <w:contextualSpacing/>
            </w:pPr>
          </w:p>
        </w:tc>
        <w:tc>
          <w:tcPr>
            <w:tcW w:w="288" w:type="dxa"/>
            <w:vMerge/>
          </w:tcPr>
          <w:p w14:paraId="2126BA48" w14:textId="77777777" w:rsidR="00ED2D7B" w:rsidRPr="00D9588D" w:rsidRDefault="00ED2D7B" w:rsidP="00ED2D7B">
            <w:pPr>
              <w:ind w:left="-103"/>
              <w:contextualSpacing/>
              <w:jc w:val="center"/>
            </w:pPr>
          </w:p>
        </w:tc>
        <w:tc>
          <w:tcPr>
            <w:tcW w:w="1381" w:type="dxa"/>
          </w:tcPr>
          <w:p w14:paraId="17ED7B8F" w14:textId="6F98130A" w:rsidR="00ED2D7B" w:rsidRPr="001C25A5" w:rsidRDefault="001C25A5" w:rsidP="00ED2D7B">
            <w:pPr>
              <w:ind w:left="18"/>
              <w:contextualSpacing/>
              <w:jc w:val="both"/>
            </w:pPr>
            <m:oMathPara>
              <m:oMathParaPr>
                <m:jc m:val="left"/>
              </m:oMathParaPr>
              <m:oMath>
                <m:r>
                  <w:rPr>
                    <w:rFonts w:ascii="Cambria Math" w:hAnsi="Cambria Math"/>
                  </w:rPr>
                  <m:t>Wh</m:t>
                </m:r>
                <m:sSub>
                  <m:sSubPr>
                    <m:ctrlPr>
                      <w:rPr>
                        <w:rFonts w:ascii="Cambria Math" w:hAnsi="Cambria Math"/>
                        <w:i/>
                      </w:rPr>
                    </m:ctrlPr>
                  </m:sSubPr>
                  <m:e>
                    <m:r>
                      <w:rPr>
                        <w:rFonts w:ascii="Cambria Math" w:hAnsi="Cambria Math"/>
                      </w:rPr>
                      <m:t>d</m:t>
                    </m:r>
                  </m:e>
                  <m:sub>
                    <m:r>
                      <w:rPr>
                        <w:rFonts w:ascii="Cambria Math" w:hAnsi="Cambria Math"/>
                      </w:rPr>
                      <m:t>NdS</m:t>
                    </m:r>
                  </m:sub>
                </m:sSub>
              </m:oMath>
            </m:oMathPara>
          </w:p>
        </w:tc>
        <w:tc>
          <w:tcPr>
            <w:tcW w:w="283" w:type="dxa"/>
          </w:tcPr>
          <w:p w14:paraId="0CA9D347" w14:textId="16FD4E50" w:rsidR="00ED2D7B" w:rsidRPr="001C25A5" w:rsidRDefault="00ED2D7B" w:rsidP="00ED2D7B">
            <w:pPr>
              <w:ind w:left="18"/>
              <w:contextualSpacing/>
              <w:jc w:val="both"/>
            </w:pPr>
            <w:r w:rsidRPr="001C25A5">
              <w:t>:</w:t>
            </w:r>
          </w:p>
        </w:tc>
        <w:tc>
          <w:tcPr>
            <w:tcW w:w="6379" w:type="dxa"/>
          </w:tcPr>
          <w:p w14:paraId="34CEDEF8" w14:textId="206807CC" w:rsidR="00ED2D7B" w:rsidRPr="001C25A5" w:rsidRDefault="00ED2D7B" w:rsidP="00ED2D7B">
            <w:pPr>
              <w:ind w:left="18"/>
              <w:contextualSpacing/>
              <w:jc w:val="both"/>
            </w:pPr>
            <w:r w:rsidRPr="001C25A5">
              <w:t xml:space="preserve">Vatios hora al día del nivel de servicio acordado con el usuario, señalado en el </w:t>
            </w:r>
            <w:r w:rsidR="00D637E4" w:rsidRPr="001C25A5">
              <w:t>A</w:t>
            </w:r>
            <w:r w:rsidRPr="001C25A5">
              <w:t xml:space="preserve">cuerdo </w:t>
            </w:r>
            <w:r w:rsidR="00D637E4" w:rsidRPr="001C25A5">
              <w:t>E</w:t>
            </w:r>
            <w:r w:rsidRPr="001C25A5">
              <w:t>special anexo al CCU.</w:t>
            </w:r>
          </w:p>
          <w:p w14:paraId="65C52283" w14:textId="1682185E" w:rsidR="00ED2D7B" w:rsidRPr="001C25A5" w:rsidRDefault="00ED2D7B" w:rsidP="00ED2D7B">
            <w:pPr>
              <w:ind w:left="18"/>
              <w:contextualSpacing/>
              <w:jc w:val="both"/>
            </w:pPr>
          </w:p>
        </w:tc>
      </w:tr>
      <w:tr w:rsidR="00BD2F0C" w:rsidRPr="00B66211" w14:paraId="3BD2FD06" w14:textId="77777777" w:rsidTr="00135C5F">
        <w:tc>
          <w:tcPr>
            <w:tcW w:w="1025" w:type="dxa"/>
          </w:tcPr>
          <w:p w14:paraId="2362CB24" w14:textId="77777777" w:rsidR="00BD2F0C" w:rsidRPr="007732C5" w:rsidRDefault="005E2372" w:rsidP="00C94D29">
            <w:pPr>
              <w:contextualSpacing/>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i</m:t>
                    </m:r>
                  </m:sub>
                </m:sSub>
              </m:oMath>
            </m:oMathPara>
          </w:p>
        </w:tc>
        <w:tc>
          <w:tcPr>
            <w:tcW w:w="288" w:type="dxa"/>
          </w:tcPr>
          <w:p w14:paraId="2017F96C" w14:textId="77777777" w:rsidR="00BD2F0C" w:rsidRPr="007732C5" w:rsidRDefault="00BD2F0C" w:rsidP="00C94D29">
            <w:pPr>
              <w:ind w:left="-103"/>
              <w:contextualSpacing/>
              <w:jc w:val="center"/>
            </w:pPr>
            <w:r w:rsidRPr="007732C5">
              <w:t>:</w:t>
            </w:r>
          </w:p>
        </w:tc>
        <w:tc>
          <w:tcPr>
            <w:tcW w:w="8043" w:type="dxa"/>
            <w:gridSpan w:val="3"/>
          </w:tcPr>
          <w:p w14:paraId="706C4232" w14:textId="77777777" w:rsidR="00BD2F0C" w:rsidRDefault="00BD2F0C" w:rsidP="004B39AE">
            <w:pPr>
              <w:ind w:left="18"/>
              <w:contextualSpacing/>
              <w:jc w:val="both"/>
            </w:pPr>
            <w:r w:rsidRPr="007732C5">
              <w:t xml:space="preserve">Cargo máximo por administración, mantenimiento y gestión comercial, aplicable durante el mes </w:t>
            </w:r>
            <w:r w:rsidRPr="007732C5">
              <w:rPr>
                <w:i/>
              </w:rPr>
              <w:t>i</w:t>
            </w:r>
            <w:r w:rsidRPr="007732C5">
              <w:t xml:space="preserve"> de prestación del servicio, para cada uno de los meses que cubra el ciclo de facturación </w:t>
            </w:r>
            <w:r w:rsidRPr="007732C5">
              <w:rPr>
                <w:i/>
              </w:rPr>
              <w:t>cf</w:t>
            </w:r>
            <w:r w:rsidRPr="007732C5">
              <w:t>, expresado en pesos al día ($/día).</w:t>
            </w:r>
          </w:p>
          <w:p w14:paraId="6FF597F1" w14:textId="26C1B5E8" w:rsidR="00E637A0" w:rsidRPr="007732C5" w:rsidRDefault="00E637A0" w:rsidP="004B39AE">
            <w:pPr>
              <w:ind w:left="18"/>
              <w:contextualSpacing/>
              <w:jc w:val="both"/>
            </w:pPr>
          </w:p>
        </w:tc>
      </w:tr>
      <w:tr w:rsidR="00BD2F0C" w:rsidRPr="00B66211" w14:paraId="614FC137" w14:textId="77777777" w:rsidTr="00135C5F">
        <w:tc>
          <w:tcPr>
            <w:tcW w:w="1025" w:type="dxa"/>
          </w:tcPr>
          <w:p w14:paraId="2841AE6A" w14:textId="77777777" w:rsidR="00BD2F0C" w:rsidRPr="007732C5"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j,i</m:t>
                    </m:r>
                  </m:sub>
                </m:sSub>
              </m:oMath>
            </m:oMathPara>
          </w:p>
        </w:tc>
        <w:tc>
          <w:tcPr>
            <w:tcW w:w="288" w:type="dxa"/>
          </w:tcPr>
          <w:p w14:paraId="7ACCED2C" w14:textId="77777777" w:rsidR="00BD2F0C" w:rsidRPr="007732C5" w:rsidRDefault="00BD2F0C" w:rsidP="00C94D29">
            <w:pPr>
              <w:ind w:left="-103"/>
              <w:contextualSpacing/>
              <w:jc w:val="center"/>
            </w:pPr>
            <w:r w:rsidRPr="007732C5">
              <w:t>:</w:t>
            </w:r>
          </w:p>
        </w:tc>
        <w:tc>
          <w:tcPr>
            <w:tcW w:w="8043" w:type="dxa"/>
            <w:gridSpan w:val="3"/>
          </w:tcPr>
          <w:p w14:paraId="22B3BAEE" w14:textId="77777777" w:rsidR="00BD2F0C" w:rsidRPr="007732C5" w:rsidRDefault="00BD2F0C" w:rsidP="00C94D29">
            <w:pPr>
              <w:ind w:left="18"/>
              <w:contextualSpacing/>
              <w:jc w:val="both"/>
            </w:pPr>
            <w:r w:rsidRPr="007732C5">
              <w:t xml:space="preserve">Cargo máximo de inversión que remunera la unidad constructiva </w:t>
            </w:r>
            <w:r w:rsidRPr="007732C5">
              <w:rPr>
                <w:i/>
              </w:rPr>
              <w:t>j</w:t>
            </w:r>
            <w:r w:rsidRPr="007732C5">
              <w:t xml:space="preserve">, aplicable durante el mes </w:t>
            </w:r>
            <w:r w:rsidRPr="007732C5">
              <w:rPr>
                <w:i/>
              </w:rPr>
              <w:t>i</w:t>
            </w:r>
            <w:r w:rsidRPr="007732C5">
              <w:t xml:space="preserve"> de prestación del servicio, expresado en pesos al día ($/día).</w:t>
            </w:r>
          </w:p>
          <w:p w14:paraId="6416FF5F" w14:textId="77777777" w:rsidR="00BD2F0C" w:rsidRPr="007732C5" w:rsidRDefault="00BD2F0C" w:rsidP="00C94D29">
            <w:pPr>
              <w:ind w:left="18"/>
              <w:contextualSpacing/>
              <w:jc w:val="both"/>
            </w:pPr>
          </w:p>
        </w:tc>
      </w:tr>
      <w:tr w:rsidR="00BD2F0C" w:rsidRPr="00B66211" w14:paraId="07661681" w14:textId="77777777" w:rsidTr="007732C5">
        <w:tc>
          <w:tcPr>
            <w:tcW w:w="1025" w:type="dxa"/>
            <w:shd w:val="clear" w:color="auto" w:fill="auto"/>
          </w:tcPr>
          <w:p w14:paraId="4BB455CA" w14:textId="77777777" w:rsidR="00BD2F0C" w:rsidRPr="007732C5" w:rsidRDefault="005E2372" w:rsidP="00C94D29">
            <w:pPr>
              <w:contextualSpacing/>
            </w:pPr>
            <m:oMathPara>
              <m:oMathParaPr>
                <m:jc m:val="left"/>
              </m:oMathParaPr>
              <m:oMath>
                <m:sSub>
                  <m:sSubPr>
                    <m:ctrlPr>
                      <w:rPr>
                        <w:rFonts w:ascii="Cambria Math" w:hAnsi="Cambria Math"/>
                        <w:i/>
                      </w:rPr>
                    </m:ctrlPr>
                  </m:sSubPr>
                  <m:e>
                    <m:r>
                      <w:rPr>
                        <w:rFonts w:ascii="Cambria Math" w:hAnsi="Cambria Math"/>
                      </w:rPr>
                      <m:t>IS</m:t>
                    </m:r>
                  </m:e>
                  <m:sub>
                    <m:r>
                      <w:rPr>
                        <w:rFonts w:ascii="Cambria Math" w:hAnsi="Cambria Math"/>
                      </w:rPr>
                      <m:t>j,i</m:t>
                    </m:r>
                  </m:sub>
                </m:sSub>
              </m:oMath>
            </m:oMathPara>
          </w:p>
        </w:tc>
        <w:tc>
          <w:tcPr>
            <w:tcW w:w="288" w:type="dxa"/>
            <w:shd w:val="clear" w:color="auto" w:fill="auto"/>
          </w:tcPr>
          <w:p w14:paraId="604BF50E" w14:textId="77777777" w:rsidR="00BD2F0C" w:rsidRPr="007732C5" w:rsidRDefault="00BD2F0C" w:rsidP="00C94D29">
            <w:pPr>
              <w:ind w:left="-103"/>
              <w:contextualSpacing/>
              <w:jc w:val="center"/>
            </w:pPr>
            <w:r w:rsidRPr="007732C5">
              <w:t>:</w:t>
            </w:r>
          </w:p>
        </w:tc>
        <w:tc>
          <w:tcPr>
            <w:tcW w:w="8043" w:type="dxa"/>
            <w:gridSpan w:val="3"/>
            <w:shd w:val="clear" w:color="auto" w:fill="auto"/>
          </w:tcPr>
          <w:p w14:paraId="5D050FA6" w14:textId="521CEA52" w:rsidR="00BD2F0C" w:rsidRPr="007732C5" w:rsidRDefault="00BD2F0C" w:rsidP="00C94D29">
            <w:pPr>
              <w:ind w:left="18"/>
              <w:contextualSpacing/>
              <w:jc w:val="both"/>
            </w:pPr>
            <w:r w:rsidRPr="007732C5">
              <w:t xml:space="preserve">Variable que, durante el mes </w:t>
            </w:r>
            <w:r w:rsidRPr="007732C5">
              <w:rPr>
                <w:i/>
              </w:rPr>
              <w:t>i</w:t>
            </w:r>
            <w:r w:rsidRPr="007732C5">
              <w:t xml:space="preserve"> que sea aplicable</w:t>
            </w:r>
            <w:r w:rsidR="007732C5">
              <w:t xml:space="preserve"> el </w:t>
            </w:r>
            <m:oMath>
              <m:sSub>
                <m:sSubPr>
                  <m:ctrlPr>
                    <w:rPr>
                      <w:rFonts w:ascii="Cambria Math" w:hAnsi="Cambria Math"/>
                      <w:i/>
                    </w:rPr>
                  </m:ctrlPr>
                </m:sSubPr>
                <m:e>
                  <m:r>
                    <w:rPr>
                      <w:rFonts w:ascii="Cambria Math" w:hAnsi="Cambria Math"/>
                    </w:rPr>
                    <m:t>I</m:t>
                  </m:r>
                </m:e>
                <m:sub>
                  <m:r>
                    <w:rPr>
                      <w:rFonts w:ascii="Cambria Math" w:hAnsi="Cambria Math"/>
                    </w:rPr>
                    <m:t>j,i</m:t>
                  </m:r>
                </m:sub>
              </m:sSub>
            </m:oMath>
            <w:r w:rsidR="007732C5">
              <w:t>,</w:t>
            </w:r>
            <w:r w:rsidR="00C17337">
              <w:t xml:space="preserve"> </w:t>
            </w:r>
            <w:r w:rsidRPr="007732C5">
              <w:t>toma el valor uno (1) cuando la unidad constructiva es de propiedad de un privado</w:t>
            </w:r>
            <w:r w:rsidR="007C741E">
              <w:t>,</w:t>
            </w:r>
            <w:r w:rsidRPr="007732C5">
              <w:t xml:space="preserve"> y que toma el valor cero (0) cuando esta ha sido subsidiada según lo previsto en el artículo 87.9 de la Ley 142 de 1994</w:t>
            </w:r>
            <w:r w:rsidR="00CD39F9">
              <w:t xml:space="preserve"> o es de propiedad del usuario</w:t>
            </w:r>
            <w:r w:rsidRPr="007732C5">
              <w:t>.</w:t>
            </w:r>
          </w:p>
          <w:p w14:paraId="26362CEC" w14:textId="77777777" w:rsidR="00BD2F0C" w:rsidRPr="007732C5" w:rsidRDefault="00BD2F0C" w:rsidP="00C94D29">
            <w:pPr>
              <w:ind w:left="18"/>
              <w:contextualSpacing/>
              <w:jc w:val="both"/>
            </w:pPr>
          </w:p>
        </w:tc>
      </w:tr>
      <w:tr w:rsidR="00BD2F0C" w:rsidRPr="00B66211" w14:paraId="590CAA49" w14:textId="77777777" w:rsidTr="00135C5F">
        <w:tc>
          <w:tcPr>
            <w:tcW w:w="1025" w:type="dxa"/>
          </w:tcPr>
          <w:p w14:paraId="727A1240" w14:textId="77777777" w:rsidR="00BD2F0C" w:rsidRPr="007732C5" w:rsidRDefault="005E2372" w:rsidP="00C94D29">
            <w:pPr>
              <w:contextualSpacing/>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cf</m:t>
                    </m:r>
                  </m:sub>
                </m:sSub>
              </m:oMath>
            </m:oMathPara>
          </w:p>
        </w:tc>
        <w:tc>
          <w:tcPr>
            <w:tcW w:w="288" w:type="dxa"/>
          </w:tcPr>
          <w:p w14:paraId="501B14B7" w14:textId="77777777" w:rsidR="00BD2F0C" w:rsidRPr="007732C5" w:rsidRDefault="00BD2F0C" w:rsidP="00C94D29">
            <w:pPr>
              <w:ind w:left="-103"/>
              <w:contextualSpacing/>
              <w:jc w:val="center"/>
            </w:pPr>
            <w:r w:rsidRPr="007732C5">
              <w:t>:</w:t>
            </w:r>
          </w:p>
        </w:tc>
        <w:tc>
          <w:tcPr>
            <w:tcW w:w="8043" w:type="dxa"/>
            <w:gridSpan w:val="3"/>
          </w:tcPr>
          <w:p w14:paraId="39F686E0" w14:textId="00EAFDE5" w:rsidR="00BD2F0C" w:rsidRPr="007732C5" w:rsidRDefault="00BD2F0C" w:rsidP="00C94D29">
            <w:pPr>
              <w:ind w:left="18"/>
              <w:contextualSpacing/>
              <w:jc w:val="both"/>
            </w:pPr>
            <w:r w:rsidRPr="007732C5">
              <w:t xml:space="preserve">Valor de los subsidios aplicables al ciclo de facturación </w:t>
            </w:r>
            <w:r w:rsidRPr="007732C5">
              <w:rPr>
                <w:i/>
              </w:rPr>
              <w:t>cf</w:t>
            </w:r>
            <w:r w:rsidRPr="007732C5">
              <w:t>, según lo previsto en el artículo 99</w:t>
            </w:r>
            <w:r w:rsidR="00E25930">
              <w:t xml:space="preserve"> </w:t>
            </w:r>
            <w:r w:rsidRPr="007732C5">
              <w:t>de la Ley 142 de 1994</w:t>
            </w:r>
            <w:r w:rsidR="00E25930">
              <w:t>, en part</w:t>
            </w:r>
            <w:r w:rsidR="00D845AE">
              <w:t>icular lo previsto en su numeral 10,</w:t>
            </w:r>
            <w:r w:rsidR="00211CAA">
              <w:t xml:space="preserve"> </w:t>
            </w:r>
            <w:r w:rsidRPr="007732C5">
              <w:t>expresado en pesos ($).</w:t>
            </w:r>
          </w:p>
          <w:p w14:paraId="41A10369" w14:textId="77777777" w:rsidR="00BD2F0C" w:rsidRPr="007732C5" w:rsidRDefault="00BD2F0C" w:rsidP="00C94D29">
            <w:pPr>
              <w:ind w:left="18"/>
              <w:contextualSpacing/>
              <w:jc w:val="both"/>
            </w:pPr>
          </w:p>
        </w:tc>
      </w:tr>
    </w:tbl>
    <w:p w14:paraId="1087A673" w14:textId="77777777" w:rsidR="00321AF7" w:rsidRPr="00F352E1" w:rsidRDefault="00321AF7" w:rsidP="00321AF7">
      <w:pPr>
        <w:contextualSpacing/>
        <w:jc w:val="both"/>
      </w:pPr>
    </w:p>
    <w:p w14:paraId="59A68CB6" w14:textId="5FE0CEDE" w:rsidR="00321AF7" w:rsidRPr="00AE0070" w:rsidRDefault="00FB3D1E" w:rsidP="00C94D29">
      <w:pPr>
        <w:pStyle w:val="Ttulo7"/>
        <w:numPr>
          <w:ilvl w:val="0"/>
          <w:numId w:val="26"/>
        </w:numPr>
        <w:tabs>
          <w:tab w:val="num" w:pos="360"/>
        </w:tabs>
        <w:spacing w:before="0" w:after="0"/>
        <w:contextualSpacing/>
        <w:jc w:val="both"/>
        <w:rPr>
          <w:rFonts w:ascii="Bookman Old Style" w:hAnsi="Bookman Old Style"/>
        </w:rPr>
      </w:pPr>
      <w:r w:rsidRPr="00AE0070">
        <w:rPr>
          <w:rFonts w:ascii="Bookman Old Style" w:hAnsi="Bookman Old Style"/>
          <w:b/>
          <w:bCs/>
        </w:rPr>
        <w:t>Tarifa aplicable al usuario</w:t>
      </w:r>
      <w:r w:rsidR="00F352E1" w:rsidRPr="00AE0070">
        <w:rPr>
          <w:rFonts w:ascii="Bookman Old Style" w:hAnsi="Bookman Old Style"/>
          <w:b/>
          <w:bCs/>
        </w:rPr>
        <w:t xml:space="preserve"> para esquemas de facturación </w:t>
      </w:r>
      <w:r w:rsidR="000D5D44" w:rsidRPr="00AE0070">
        <w:rPr>
          <w:rFonts w:ascii="Bookman Old Style" w:hAnsi="Bookman Old Style"/>
          <w:b/>
          <w:bCs/>
        </w:rPr>
        <w:t>prepago.</w:t>
      </w:r>
      <w:r w:rsidR="000D5D44" w:rsidRPr="00AE0070">
        <w:rPr>
          <w:rFonts w:ascii="Bookman Old Style" w:hAnsi="Bookman Old Style"/>
        </w:rPr>
        <w:t xml:space="preserve"> </w:t>
      </w:r>
      <w:r w:rsidRPr="00AE0070">
        <w:rPr>
          <w:rFonts w:ascii="Bookman Old Style" w:hAnsi="Bookman Old Style"/>
        </w:rPr>
        <w:t xml:space="preserve">El valor máximo que el prestador del servicio le trasladará a un usuario regulado por el servicio de energía eléctrica prestado mediante SISFV, en </w:t>
      </w:r>
      <w:r w:rsidR="000D5D44" w:rsidRPr="00AE0070">
        <w:rPr>
          <w:rFonts w:ascii="Bookman Old Style" w:hAnsi="Bookman Old Style"/>
        </w:rPr>
        <w:t xml:space="preserve">esquemas de </w:t>
      </w:r>
      <w:r w:rsidRPr="00AE0070">
        <w:rPr>
          <w:rFonts w:ascii="Bookman Old Style" w:hAnsi="Bookman Old Style"/>
        </w:rPr>
        <w:t>facturación</w:t>
      </w:r>
      <w:r w:rsidR="000D5D44" w:rsidRPr="00AE0070">
        <w:rPr>
          <w:rFonts w:ascii="Bookman Old Style" w:hAnsi="Bookman Old Style"/>
        </w:rPr>
        <w:t xml:space="preserve"> prepago</w:t>
      </w:r>
      <w:r w:rsidRPr="00AE0070">
        <w:rPr>
          <w:rFonts w:ascii="Bookman Old Style" w:hAnsi="Bookman Old Style"/>
        </w:rPr>
        <w:t xml:space="preserve">, expresado en pesos por </w:t>
      </w:r>
      <w:r w:rsidR="00A516F4" w:rsidRPr="00AE0070">
        <w:rPr>
          <w:rFonts w:ascii="Bookman Old Style" w:hAnsi="Bookman Old Style"/>
        </w:rPr>
        <w:t xml:space="preserve">factura </w:t>
      </w:r>
      <w:r w:rsidRPr="00AE0070">
        <w:rPr>
          <w:rFonts w:ascii="Bookman Old Style" w:hAnsi="Bookman Old Style"/>
        </w:rPr>
        <w:t>($/</w:t>
      </w:r>
      <w:r w:rsidR="00A516F4" w:rsidRPr="00AE0070">
        <w:rPr>
          <w:rFonts w:ascii="Bookman Old Style" w:hAnsi="Bookman Old Style"/>
        </w:rPr>
        <w:t>factura</w:t>
      </w:r>
      <w:r w:rsidRPr="00AE0070">
        <w:rPr>
          <w:rFonts w:ascii="Bookman Old Style" w:hAnsi="Bookman Old Style"/>
        </w:rPr>
        <w:t>), se determinará aplicando la siguiente expresión:</w:t>
      </w:r>
    </w:p>
    <w:p w14:paraId="53F43002" w14:textId="77777777" w:rsidR="00D93F72" w:rsidRPr="00AE0070" w:rsidRDefault="00D93F72" w:rsidP="00C94D29">
      <w:pPr>
        <w:contextualSpacing/>
        <w:jc w:val="both"/>
        <w:rPr>
          <w:lang w:val="en-US"/>
        </w:rPr>
      </w:pPr>
    </w:p>
    <w:p w14:paraId="11C9EF1F" w14:textId="6D289E4D" w:rsidR="00C11F67" w:rsidRDefault="005E2372" w:rsidP="00C11F67">
      <w:pPr>
        <w:contextualSpacing/>
        <w:jc w:val="both"/>
      </w:pPr>
      <m:oMathPara>
        <m:oMath>
          <m:sSub>
            <m:sSubPr>
              <m:ctrlPr>
                <w:rPr>
                  <w:rFonts w:ascii="Cambria Math" w:hAnsi="Cambria Math"/>
                  <w:i/>
                </w:rPr>
              </m:ctrlPr>
            </m:sSubPr>
            <m:e>
              <m:r>
                <w:rPr>
                  <w:rFonts w:ascii="Cambria Math" w:hAnsi="Cambria Math"/>
                </w:rPr>
                <m:t>T</m:t>
              </m:r>
            </m:e>
            <m:sub>
              <m:r>
                <w:rPr>
                  <w:rFonts w:ascii="Cambria Math" w:hAnsi="Cambria Math"/>
                </w:rPr>
                <m:t>PR,NdS</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rPr>
                  </m:ctrlPr>
                </m:sSubPr>
                <m:e>
                  <m:r>
                    <w:rPr>
                      <w:rFonts w:ascii="Cambria Math" w:hAnsi="Cambria Math"/>
                    </w:rPr>
                    <m:t>E</m:t>
                  </m:r>
                </m:e>
                <m:sub>
                  <m:r>
                    <w:rPr>
                      <w:rFonts w:ascii="Cambria Math" w:hAnsi="Cambria Math"/>
                    </w:rPr>
                    <m:t>PR</m:t>
                  </m:r>
                </m:sub>
              </m:sSub>
            </m:num>
            <m:den>
              <m:r>
                <w:rPr>
                  <w:rFonts w:ascii="Cambria Math" w:hAnsi="Cambria Math"/>
                  <w:lang w:val="en-US"/>
                </w:rPr>
                <m:t>1-%</m:t>
              </m:r>
              <m:r>
                <w:rPr>
                  <w:rFonts w:ascii="Cambria Math" w:hAnsi="Cambria Math"/>
                </w:rPr>
                <m:t>RCA</m:t>
              </m:r>
            </m:den>
          </m:f>
          <m:r>
            <w:rPr>
              <w:rFonts w:ascii="Cambria Math" w:hAnsi="Cambria Math"/>
              <w:lang w:val="en-US"/>
            </w:rPr>
            <m:t>×</m:t>
          </m:r>
          <m:d>
            <m:dPr>
              <m:begChr m:val="["/>
              <m:endChr m:val="]"/>
              <m:ctrlPr>
                <w:rPr>
                  <w:rFonts w:ascii="Cambria Math" w:hAnsi="Cambria Math"/>
                  <w:i/>
                  <w:lang w:val="en-US"/>
                </w:rPr>
              </m:ctrlPr>
            </m:dPr>
            <m:e>
              <m:f>
                <m:fPr>
                  <m:ctrlPr>
                    <w:rPr>
                      <w:rFonts w:ascii="Cambria Math" w:eastAsiaTheme="minorEastAsia" w:hAnsi="Cambria Math"/>
                      <w:i/>
                      <w:lang w:val="en-US"/>
                    </w:rPr>
                  </m:ctrlPr>
                </m:fPr>
                <m:num>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i</m:t>
                          </m:r>
                        </m:sub>
                      </m:sSub>
                      <m:r>
                        <w:rPr>
                          <w:rFonts w:ascii="Cambria Math" w:eastAsiaTheme="minorEastAsia" w:hAnsi="Cambria Math"/>
                          <w:lang w:val="en-US"/>
                        </w:rPr>
                        <m:t>+</m:t>
                      </m:r>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j</m:t>
                                  </m:r>
                                  <m:r>
                                    <w:rPr>
                                      <w:rFonts w:ascii="Cambria Math" w:hAnsi="Cambria Math"/>
                                      <w:lang w:val="en-US"/>
                                    </w:rPr>
                                    <m:t>,</m:t>
                                  </m:r>
                                  <m:r>
                                    <w:rPr>
                                      <w:rFonts w:ascii="Cambria Math" w:hAnsi="Cambria Math"/>
                                    </w:rPr>
                                    <m:t>i</m:t>
                                  </m:r>
                                </m:sub>
                              </m:sSub>
                              <m:r>
                                <w:rPr>
                                  <w:rFonts w:ascii="Cambria Math" w:hAnsi="Cambria Math"/>
                                  <w:lang w:val="en-US"/>
                                </w:rPr>
                                <m:t>×</m:t>
                              </m:r>
                              <m:sSub>
                                <m:sSubPr>
                                  <m:ctrlPr>
                                    <w:rPr>
                                      <w:rFonts w:ascii="Cambria Math" w:eastAsiaTheme="minorEastAsia" w:hAnsi="Cambria Math"/>
                                      <w:i/>
                                    </w:rPr>
                                  </m:ctrlPr>
                                </m:sSubPr>
                                <m:e>
                                  <m:r>
                                    <w:rPr>
                                      <w:rFonts w:ascii="Cambria Math" w:eastAsiaTheme="minorEastAsia" w:hAnsi="Cambria Math"/>
                                    </w:rPr>
                                    <m:t>IS</m:t>
                                  </m:r>
                                </m:e>
                                <m:sub>
                                  <m:r>
                                    <w:rPr>
                                      <w:rFonts w:ascii="Cambria Math" w:eastAsiaTheme="minorEastAsia" w:hAnsi="Cambria Math"/>
                                    </w:rPr>
                                    <m:t>j</m:t>
                                  </m:r>
                                  <m:r>
                                    <w:rPr>
                                      <w:rFonts w:ascii="Cambria Math" w:eastAsiaTheme="minorEastAsia" w:hAnsi="Cambria Math"/>
                                      <w:lang w:val="en-US"/>
                                    </w:rPr>
                                    <m:t>,</m:t>
                                  </m:r>
                                  <m:r>
                                    <w:rPr>
                                      <w:rFonts w:ascii="Cambria Math" w:eastAsiaTheme="minorEastAsia" w:hAnsi="Cambria Math"/>
                                    </w:rPr>
                                    <m:t>i</m:t>
                                  </m:r>
                                </m:sub>
                              </m:sSub>
                            </m:e>
                          </m:d>
                        </m:e>
                      </m:nary>
                    </m:e>
                  </m:d>
                  <m:r>
                    <w:rPr>
                      <w:rFonts w:ascii="Cambria Math" w:eastAsiaTheme="minorEastAsia" w:hAnsi="Cambria Math"/>
                    </w:rPr>
                    <m:t>×1000</m:t>
                  </m:r>
                </m:num>
                <m:den>
                  <m:r>
                    <w:rPr>
                      <w:rFonts w:ascii="Cambria Math" w:hAnsi="Cambria Math"/>
                    </w:rPr>
                    <m:t>Wh</m:t>
                  </m:r>
                  <m:sSub>
                    <m:sSubPr>
                      <m:ctrlPr>
                        <w:rPr>
                          <w:rFonts w:ascii="Cambria Math" w:hAnsi="Cambria Math"/>
                          <w:i/>
                        </w:rPr>
                      </m:ctrlPr>
                    </m:sSubPr>
                    <m:e>
                      <m:r>
                        <w:rPr>
                          <w:rFonts w:ascii="Cambria Math" w:hAnsi="Cambria Math"/>
                        </w:rPr>
                        <m:t>d</m:t>
                      </m:r>
                    </m:e>
                    <m:sub>
                      <m:r>
                        <w:rPr>
                          <w:rFonts w:ascii="Cambria Math" w:hAnsi="Cambria Math"/>
                        </w:rPr>
                        <m:t>NdS</m:t>
                      </m:r>
                    </m:sub>
                  </m:sSub>
                </m:den>
              </m:f>
              <m:r>
                <w:rPr>
                  <w:rFonts w:ascii="Cambria Math" w:eastAsiaTheme="minorEastAsia" w:hAnsi="Cambria Math"/>
                  <w:lang w:val="en-US"/>
                </w:rPr>
                <m:t>-S</m:t>
              </m:r>
            </m:e>
          </m:d>
        </m:oMath>
      </m:oMathPara>
    </w:p>
    <w:p w14:paraId="787AEFCC" w14:textId="77777777" w:rsidR="00340313" w:rsidRPr="00AE0070" w:rsidRDefault="00340313" w:rsidP="00340313">
      <w:pPr>
        <w:contextualSpacing/>
        <w:jc w:val="both"/>
      </w:pPr>
    </w:p>
    <w:p w14:paraId="1F4E6BC2" w14:textId="77777777" w:rsidR="00340313" w:rsidRPr="00AE0070" w:rsidRDefault="00340313" w:rsidP="00340313">
      <w:pPr>
        <w:contextualSpacing/>
        <w:jc w:val="both"/>
      </w:pPr>
      <w:r w:rsidRPr="00AE0070">
        <w:t>En donde:</w:t>
      </w:r>
    </w:p>
    <w:p w14:paraId="1E88B4B1" w14:textId="77777777" w:rsidR="00340313" w:rsidRPr="00AE0070" w:rsidRDefault="00340313" w:rsidP="00340313">
      <w:pPr>
        <w:contextualSpacing/>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84"/>
        <w:gridCol w:w="7767"/>
      </w:tblGrid>
      <w:tr w:rsidR="00340313" w:rsidRPr="00A369CC" w14:paraId="5F040702" w14:textId="77777777" w:rsidTr="007054B9">
        <w:tc>
          <w:tcPr>
            <w:tcW w:w="1305" w:type="dxa"/>
          </w:tcPr>
          <w:p w14:paraId="7D889B27" w14:textId="2620396B" w:rsidR="00340313" w:rsidRPr="00A369CC" w:rsidRDefault="005E2372" w:rsidP="00B33B31">
            <w:pPr>
              <w:contextualSpacing/>
              <w:rPr>
                <w:rFonts w:eastAsia="Calibri"/>
                <w:i/>
              </w:rPr>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PR, NdS</m:t>
                    </m:r>
                  </m:sub>
                </m:sSub>
              </m:oMath>
            </m:oMathPara>
          </w:p>
        </w:tc>
        <w:tc>
          <w:tcPr>
            <w:tcW w:w="284" w:type="dxa"/>
          </w:tcPr>
          <w:p w14:paraId="7CB5117D" w14:textId="77777777" w:rsidR="00340313" w:rsidRPr="00A369CC" w:rsidRDefault="00340313" w:rsidP="00B33B31">
            <w:pPr>
              <w:ind w:left="-103"/>
              <w:contextualSpacing/>
              <w:jc w:val="center"/>
            </w:pPr>
            <w:r w:rsidRPr="00A369CC">
              <w:t>:</w:t>
            </w:r>
          </w:p>
        </w:tc>
        <w:tc>
          <w:tcPr>
            <w:tcW w:w="7767" w:type="dxa"/>
          </w:tcPr>
          <w:p w14:paraId="496CDF05" w14:textId="46BE7D3F" w:rsidR="00340313" w:rsidRPr="00A369CC" w:rsidRDefault="00340313" w:rsidP="00B33B31">
            <w:pPr>
              <w:ind w:left="18"/>
              <w:contextualSpacing/>
              <w:jc w:val="both"/>
            </w:pPr>
            <w:r w:rsidRPr="00A369CC">
              <w:t xml:space="preserve">Tarifa aplicable al usuario </w:t>
            </w:r>
            <w:r w:rsidR="002D599E" w:rsidRPr="00A369CC">
              <w:t>en esquema de facturación prepago</w:t>
            </w:r>
            <w:r w:rsidRPr="00A369CC">
              <w:t xml:space="preserve">, </w:t>
            </w:r>
            <w:r w:rsidR="004C06A5" w:rsidRPr="00A369CC">
              <w:t xml:space="preserve">para el </w:t>
            </w:r>
            <w:r w:rsidR="00742901" w:rsidRPr="00A369CC">
              <w:t xml:space="preserve">nivel de servicio </w:t>
            </w:r>
            <w:r w:rsidR="00742901" w:rsidRPr="00A369CC">
              <w:rPr>
                <w:i/>
                <w:iCs/>
              </w:rPr>
              <w:t>NdS</w:t>
            </w:r>
            <w:r w:rsidR="00742901" w:rsidRPr="00A369CC">
              <w:t xml:space="preserve">, </w:t>
            </w:r>
            <w:r w:rsidRPr="00A369CC">
              <w:t>expresad</w:t>
            </w:r>
            <w:r w:rsidR="00201354" w:rsidRPr="00A369CC">
              <w:t>a</w:t>
            </w:r>
            <w:r w:rsidRPr="00A369CC">
              <w:t xml:space="preserve"> en pesos por factura ($/factura).</w:t>
            </w:r>
          </w:p>
          <w:p w14:paraId="70B4B155" w14:textId="77777777" w:rsidR="00340313" w:rsidRPr="00A369CC" w:rsidRDefault="00340313" w:rsidP="00B33B31">
            <w:pPr>
              <w:ind w:left="18"/>
              <w:contextualSpacing/>
              <w:jc w:val="both"/>
            </w:pPr>
          </w:p>
        </w:tc>
      </w:tr>
      <w:tr w:rsidR="00AA3ECF" w:rsidRPr="00A369CC" w14:paraId="60180804" w14:textId="77777777" w:rsidTr="007054B9">
        <w:tc>
          <w:tcPr>
            <w:tcW w:w="1305" w:type="dxa"/>
          </w:tcPr>
          <w:p w14:paraId="72A8867C" w14:textId="5E362A17" w:rsidR="00AA3ECF" w:rsidRPr="00A369CC" w:rsidRDefault="005E2372" w:rsidP="00B33B31">
            <w:pPr>
              <w:contextualSpacing/>
            </w:pPr>
            <m:oMathPara>
              <m:oMathParaPr>
                <m:jc m:val="left"/>
              </m:oMathParaPr>
              <m:oMath>
                <m:sSub>
                  <m:sSubPr>
                    <m:ctrlPr>
                      <w:rPr>
                        <w:rFonts w:ascii="Cambria Math" w:hAnsi="Cambria Math"/>
                        <w:i/>
                      </w:rPr>
                    </m:ctrlPr>
                  </m:sSubPr>
                  <m:e>
                    <m:r>
                      <w:rPr>
                        <w:rFonts w:ascii="Cambria Math" w:hAnsi="Cambria Math"/>
                      </w:rPr>
                      <m:t>E</m:t>
                    </m:r>
                  </m:e>
                  <m:sub>
                    <m:r>
                      <w:rPr>
                        <w:rFonts w:ascii="Cambria Math" w:hAnsi="Cambria Math"/>
                      </w:rPr>
                      <m:t>PR</m:t>
                    </m:r>
                  </m:sub>
                </m:sSub>
              </m:oMath>
            </m:oMathPara>
          </w:p>
        </w:tc>
        <w:tc>
          <w:tcPr>
            <w:tcW w:w="284" w:type="dxa"/>
          </w:tcPr>
          <w:p w14:paraId="463C316B" w14:textId="77777777" w:rsidR="00AA3ECF" w:rsidRPr="00A369CC" w:rsidRDefault="00AA3ECF" w:rsidP="00B33B31">
            <w:pPr>
              <w:ind w:left="-103"/>
              <w:contextualSpacing/>
              <w:jc w:val="center"/>
            </w:pPr>
          </w:p>
        </w:tc>
        <w:tc>
          <w:tcPr>
            <w:tcW w:w="7767" w:type="dxa"/>
          </w:tcPr>
          <w:p w14:paraId="14F8657C" w14:textId="5A299C2D" w:rsidR="00AA3ECF" w:rsidRPr="00A369CC" w:rsidRDefault="0052749F" w:rsidP="00AA3ECF">
            <w:pPr>
              <w:contextualSpacing/>
              <w:jc w:val="both"/>
            </w:pPr>
            <w:r w:rsidRPr="00A369CC">
              <w:t xml:space="preserve">Energía </w:t>
            </w:r>
            <w:r w:rsidR="00437651" w:rsidRPr="00A369CC">
              <w:t xml:space="preserve">a ser prepagada </w:t>
            </w:r>
            <w:r w:rsidRPr="00A369CC">
              <w:t>por el usuario</w:t>
            </w:r>
            <w:r w:rsidR="00EA2E4E" w:rsidRPr="00A369CC">
              <w:t xml:space="preserve">, expresada en </w:t>
            </w:r>
            <w:r w:rsidR="00A05849" w:rsidRPr="00A369CC">
              <w:t>kilovatios hora</w:t>
            </w:r>
            <w:r w:rsidR="00B31A95" w:rsidRPr="00A369CC">
              <w:t xml:space="preserve"> (kWh)</w:t>
            </w:r>
            <w:r w:rsidR="003C5B99" w:rsidRPr="00A369CC">
              <w:t>. Este valor debe</w:t>
            </w:r>
            <w:r w:rsidR="007016E4" w:rsidRPr="00A369CC">
              <w:t xml:space="preserve"> </w:t>
            </w:r>
            <w:r w:rsidR="0090401A" w:rsidRPr="00A369CC">
              <w:t xml:space="preserve">indicarse </w:t>
            </w:r>
            <w:r w:rsidR="00131B98" w:rsidRPr="00A369CC">
              <w:t>h</w:t>
            </w:r>
            <w:r w:rsidR="00AA3ECF" w:rsidRPr="00A369CC">
              <w:t>asta el tercer decimal.</w:t>
            </w:r>
          </w:p>
          <w:p w14:paraId="0E409EC8" w14:textId="77777777" w:rsidR="00AA3ECF" w:rsidRPr="00A369CC" w:rsidRDefault="00AA3ECF" w:rsidP="00B33B31">
            <w:pPr>
              <w:ind w:left="18"/>
              <w:contextualSpacing/>
              <w:jc w:val="both"/>
            </w:pPr>
          </w:p>
        </w:tc>
      </w:tr>
      <w:tr w:rsidR="00340313" w:rsidRPr="00A369CC" w14:paraId="099CB2E6" w14:textId="77777777" w:rsidTr="007054B9">
        <w:tc>
          <w:tcPr>
            <w:tcW w:w="1305" w:type="dxa"/>
          </w:tcPr>
          <w:p w14:paraId="335BB2B2" w14:textId="77777777" w:rsidR="00340313" w:rsidRPr="00A369CC" w:rsidRDefault="005E2372" w:rsidP="00B33B31">
            <w:pPr>
              <w:contextualSpacing/>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AMGC</m:t>
                    </m:r>
                  </m:e>
                  <m:sub>
                    <m:r>
                      <w:rPr>
                        <w:rFonts w:ascii="Cambria Math" w:eastAsiaTheme="minorEastAsia" w:hAnsi="Cambria Math"/>
                      </w:rPr>
                      <m:t>i</m:t>
                    </m:r>
                  </m:sub>
                </m:sSub>
              </m:oMath>
            </m:oMathPara>
          </w:p>
        </w:tc>
        <w:tc>
          <w:tcPr>
            <w:tcW w:w="284" w:type="dxa"/>
          </w:tcPr>
          <w:p w14:paraId="5FE33539" w14:textId="77777777" w:rsidR="00340313" w:rsidRPr="00A369CC" w:rsidRDefault="00340313" w:rsidP="00B33B31">
            <w:pPr>
              <w:ind w:left="-103"/>
              <w:contextualSpacing/>
              <w:jc w:val="center"/>
            </w:pPr>
            <w:r w:rsidRPr="00A369CC">
              <w:t>:</w:t>
            </w:r>
          </w:p>
        </w:tc>
        <w:tc>
          <w:tcPr>
            <w:tcW w:w="7767" w:type="dxa"/>
          </w:tcPr>
          <w:p w14:paraId="2A7DAE64" w14:textId="095953A0" w:rsidR="00340313" w:rsidRPr="00A369CC" w:rsidRDefault="00340313" w:rsidP="00B33B31">
            <w:pPr>
              <w:ind w:left="18"/>
              <w:contextualSpacing/>
              <w:jc w:val="both"/>
            </w:pPr>
            <w:r w:rsidRPr="00A369CC">
              <w:t xml:space="preserve">Cargo máximo por administración, mantenimiento y gestión comercial, aplicable durante el mes </w:t>
            </w:r>
            <w:r w:rsidRPr="00A369CC">
              <w:rPr>
                <w:i/>
              </w:rPr>
              <w:t>i</w:t>
            </w:r>
            <w:r w:rsidRPr="00A369CC">
              <w:t xml:space="preserve"> de prestación del servicio, expresado en pesos al día ($/día).</w:t>
            </w:r>
          </w:p>
          <w:p w14:paraId="3297EE46" w14:textId="77777777" w:rsidR="00340313" w:rsidRPr="00A369CC" w:rsidRDefault="00340313" w:rsidP="00B33B31">
            <w:pPr>
              <w:ind w:left="18"/>
              <w:contextualSpacing/>
              <w:jc w:val="both"/>
            </w:pPr>
          </w:p>
        </w:tc>
      </w:tr>
      <w:tr w:rsidR="00340313" w:rsidRPr="00A369CC" w14:paraId="678EAAD0" w14:textId="77777777" w:rsidTr="007054B9">
        <w:tc>
          <w:tcPr>
            <w:tcW w:w="1305" w:type="dxa"/>
          </w:tcPr>
          <w:p w14:paraId="5B87CF42" w14:textId="77777777" w:rsidR="00340313" w:rsidRPr="00A369CC" w:rsidRDefault="005E2372" w:rsidP="00B33B31">
            <w:pPr>
              <w:contextualSpacing/>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j,i</m:t>
                    </m:r>
                  </m:sub>
                </m:sSub>
              </m:oMath>
            </m:oMathPara>
          </w:p>
        </w:tc>
        <w:tc>
          <w:tcPr>
            <w:tcW w:w="284" w:type="dxa"/>
          </w:tcPr>
          <w:p w14:paraId="04270F8A" w14:textId="77777777" w:rsidR="00340313" w:rsidRPr="00A369CC" w:rsidRDefault="00340313" w:rsidP="00B33B31">
            <w:pPr>
              <w:ind w:left="-103"/>
              <w:contextualSpacing/>
              <w:jc w:val="center"/>
            </w:pPr>
            <w:r w:rsidRPr="00A369CC">
              <w:t>:</w:t>
            </w:r>
          </w:p>
        </w:tc>
        <w:tc>
          <w:tcPr>
            <w:tcW w:w="7767" w:type="dxa"/>
          </w:tcPr>
          <w:p w14:paraId="698BDE92" w14:textId="77777777" w:rsidR="00340313" w:rsidRPr="00A369CC" w:rsidRDefault="00340313" w:rsidP="00B33B31">
            <w:pPr>
              <w:ind w:left="18"/>
              <w:contextualSpacing/>
              <w:jc w:val="both"/>
            </w:pPr>
            <w:r w:rsidRPr="00A369CC">
              <w:t xml:space="preserve">Cargo máximo de inversión que remunera la unidad constructiva </w:t>
            </w:r>
            <w:r w:rsidRPr="00A369CC">
              <w:rPr>
                <w:i/>
              </w:rPr>
              <w:t>j</w:t>
            </w:r>
            <w:r w:rsidRPr="00A369CC">
              <w:t xml:space="preserve">, aplicable durante el mes </w:t>
            </w:r>
            <w:r w:rsidRPr="00A369CC">
              <w:rPr>
                <w:i/>
              </w:rPr>
              <w:t>i</w:t>
            </w:r>
            <w:r w:rsidRPr="00A369CC">
              <w:t xml:space="preserve"> de prestación del servicio, expresado en pesos al día ($/día).</w:t>
            </w:r>
          </w:p>
          <w:p w14:paraId="35E68525" w14:textId="77777777" w:rsidR="00340313" w:rsidRPr="00A369CC" w:rsidRDefault="00340313" w:rsidP="00B33B31">
            <w:pPr>
              <w:ind w:left="18"/>
              <w:contextualSpacing/>
              <w:jc w:val="both"/>
            </w:pPr>
          </w:p>
        </w:tc>
      </w:tr>
      <w:tr w:rsidR="00340313" w:rsidRPr="00A369CC" w14:paraId="7229A483" w14:textId="77777777" w:rsidTr="007054B9">
        <w:tc>
          <w:tcPr>
            <w:tcW w:w="1305" w:type="dxa"/>
            <w:shd w:val="clear" w:color="auto" w:fill="auto"/>
          </w:tcPr>
          <w:p w14:paraId="673BED9D" w14:textId="77777777" w:rsidR="00340313" w:rsidRPr="00A369CC" w:rsidRDefault="005E2372" w:rsidP="00B33B31">
            <w:pPr>
              <w:contextualSpacing/>
            </w:pPr>
            <m:oMathPara>
              <m:oMathParaPr>
                <m:jc m:val="left"/>
              </m:oMathParaPr>
              <m:oMath>
                <m:sSub>
                  <m:sSubPr>
                    <m:ctrlPr>
                      <w:rPr>
                        <w:rFonts w:ascii="Cambria Math" w:hAnsi="Cambria Math"/>
                        <w:i/>
                      </w:rPr>
                    </m:ctrlPr>
                  </m:sSubPr>
                  <m:e>
                    <m:r>
                      <w:rPr>
                        <w:rFonts w:ascii="Cambria Math" w:hAnsi="Cambria Math"/>
                      </w:rPr>
                      <m:t>IS</m:t>
                    </m:r>
                  </m:e>
                  <m:sub>
                    <m:r>
                      <w:rPr>
                        <w:rFonts w:ascii="Cambria Math" w:hAnsi="Cambria Math"/>
                      </w:rPr>
                      <m:t>j,i</m:t>
                    </m:r>
                  </m:sub>
                </m:sSub>
              </m:oMath>
            </m:oMathPara>
          </w:p>
        </w:tc>
        <w:tc>
          <w:tcPr>
            <w:tcW w:w="284" w:type="dxa"/>
            <w:shd w:val="clear" w:color="auto" w:fill="auto"/>
          </w:tcPr>
          <w:p w14:paraId="01178A23" w14:textId="77777777" w:rsidR="00340313" w:rsidRPr="00A369CC" w:rsidRDefault="00340313" w:rsidP="00B33B31">
            <w:pPr>
              <w:ind w:left="-103"/>
              <w:contextualSpacing/>
              <w:jc w:val="center"/>
            </w:pPr>
            <w:r w:rsidRPr="00A369CC">
              <w:t>:</w:t>
            </w:r>
          </w:p>
        </w:tc>
        <w:tc>
          <w:tcPr>
            <w:tcW w:w="7767" w:type="dxa"/>
            <w:shd w:val="clear" w:color="auto" w:fill="auto"/>
          </w:tcPr>
          <w:p w14:paraId="7F1B1BFB" w14:textId="77777777" w:rsidR="00340313" w:rsidRPr="00A369CC" w:rsidRDefault="00340313" w:rsidP="00B33B31">
            <w:pPr>
              <w:ind w:left="18"/>
              <w:contextualSpacing/>
              <w:jc w:val="both"/>
            </w:pPr>
            <w:r w:rsidRPr="00A369CC">
              <w:t xml:space="preserve">Variable que, durante el mes </w:t>
            </w:r>
            <w:r w:rsidRPr="00A369CC">
              <w:rPr>
                <w:i/>
              </w:rPr>
              <w:t>i</w:t>
            </w:r>
            <w:r w:rsidRPr="00A369CC">
              <w:t xml:space="preserve"> que sea aplicable el </w:t>
            </w:r>
            <m:oMath>
              <m:sSub>
                <m:sSubPr>
                  <m:ctrlPr>
                    <w:rPr>
                      <w:rFonts w:ascii="Cambria Math" w:hAnsi="Cambria Math"/>
                      <w:i/>
                    </w:rPr>
                  </m:ctrlPr>
                </m:sSubPr>
                <m:e>
                  <m:r>
                    <w:rPr>
                      <w:rFonts w:ascii="Cambria Math" w:hAnsi="Cambria Math"/>
                    </w:rPr>
                    <m:t>I</m:t>
                  </m:r>
                </m:e>
                <m:sub>
                  <m:r>
                    <w:rPr>
                      <w:rFonts w:ascii="Cambria Math" w:hAnsi="Cambria Math"/>
                    </w:rPr>
                    <m:t>j,i</m:t>
                  </m:r>
                </m:sub>
              </m:sSub>
            </m:oMath>
            <w:r w:rsidRPr="00A369CC">
              <w:t>, toma el valor uno (1) cuando la unidad constructiva es de propiedad de un privado, y que toma el valor cero (0) cuando esta ha sido subsidiada según lo previsto en el artículo 87.9 de la Ley 142 de 1994 o es de propiedad del usuario.</w:t>
            </w:r>
          </w:p>
          <w:p w14:paraId="4E0D6006" w14:textId="77777777" w:rsidR="00340313" w:rsidRPr="00A369CC" w:rsidRDefault="00340313" w:rsidP="00B33B31">
            <w:pPr>
              <w:ind w:left="18"/>
              <w:contextualSpacing/>
              <w:jc w:val="both"/>
            </w:pPr>
          </w:p>
        </w:tc>
      </w:tr>
      <w:tr w:rsidR="006D2D00" w:rsidRPr="00A369CC" w14:paraId="593CAA75" w14:textId="77777777" w:rsidTr="007054B9">
        <w:tc>
          <w:tcPr>
            <w:tcW w:w="1305" w:type="dxa"/>
            <w:shd w:val="clear" w:color="auto" w:fill="auto"/>
          </w:tcPr>
          <w:p w14:paraId="39D4897C" w14:textId="08103AA0" w:rsidR="006D2D00" w:rsidRPr="00A369CC" w:rsidRDefault="00437651" w:rsidP="006D2D00">
            <w:pPr>
              <w:contextualSpacing/>
            </w:pPr>
            <m:oMathPara>
              <m:oMathParaPr>
                <m:jc m:val="left"/>
              </m:oMathParaPr>
              <m:oMath>
                <m:r>
                  <w:rPr>
                    <w:rFonts w:ascii="Cambria Math" w:hAnsi="Cambria Math"/>
                  </w:rPr>
                  <m:t>Wh</m:t>
                </m:r>
                <m:sSub>
                  <m:sSubPr>
                    <m:ctrlPr>
                      <w:rPr>
                        <w:rFonts w:ascii="Cambria Math" w:hAnsi="Cambria Math"/>
                        <w:i/>
                      </w:rPr>
                    </m:ctrlPr>
                  </m:sSubPr>
                  <m:e>
                    <m:r>
                      <w:rPr>
                        <w:rFonts w:ascii="Cambria Math" w:hAnsi="Cambria Math"/>
                      </w:rPr>
                      <m:t>d</m:t>
                    </m:r>
                  </m:e>
                  <m:sub>
                    <m:r>
                      <w:rPr>
                        <w:rFonts w:ascii="Cambria Math" w:hAnsi="Cambria Math"/>
                      </w:rPr>
                      <m:t>NdS</m:t>
                    </m:r>
                  </m:sub>
                </m:sSub>
              </m:oMath>
            </m:oMathPara>
          </w:p>
        </w:tc>
        <w:tc>
          <w:tcPr>
            <w:tcW w:w="284" w:type="dxa"/>
            <w:shd w:val="clear" w:color="auto" w:fill="auto"/>
          </w:tcPr>
          <w:p w14:paraId="29AB26A0" w14:textId="75949FED" w:rsidR="006D2D00" w:rsidRPr="00A369CC" w:rsidRDefault="006D2D00" w:rsidP="006D2D00">
            <w:pPr>
              <w:ind w:left="-103"/>
              <w:contextualSpacing/>
              <w:jc w:val="center"/>
            </w:pPr>
            <w:r w:rsidRPr="00A369CC">
              <w:t>:</w:t>
            </w:r>
          </w:p>
        </w:tc>
        <w:tc>
          <w:tcPr>
            <w:tcW w:w="7767" w:type="dxa"/>
            <w:shd w:val="clear" w:color="auto" w:fill="auto"/>
          </w:tcPr>
          <w:p w14:paraId="61C82AC0" w14:textId="28224C5B" w:rsidR="006D2D00" w:rsidRPr="00A369CC" w:rsidRDefault="006D2D00" w:rsidP="006D2D00">
            <w:pPr>
              <w:ind w:left="18"/>
              <w:contextualSpacing/>
              <w:jc w:val="both"/>
            </w:pPr>
            <w:r w:rsidRPr="00A369CC">
              <w:t xml:space="preserve">Vatios hora al día del nivel de servicio acordado con el usuario, señalado en el </w:t>
            </w:r>
            <w:r w:rsidR="00D637E4" w:rsidRPr="00A369CC">
              <w:t>A</w:t>
            </w:r>
            <w:r w:rsidRPr="00A369CC">
              <w:t xml:space="preserve">cuerdo </w:t>
            </w:r>
            <w:r w:rsidR="00D637E4" w:rsidRPr="00A369CC">
              <w:t>E</w:t>
            </w:r>
            <w:r w:rsidRPr="00A369CC">
              <w:t>special anexo al CCU.</w:t>
            </w:r>
          </w:p>
          <w:p w14:paraId="25F59407" w14:textId="77777777" w:rsidR="006D2D00" w:rsidRPr="00A369CC" w:rsidRDefault="006D2D00" w:rsidP="006D2D00">
            <w:pPr>
              <w:ind w:left="18"/>
              <w:contextualSpacing/>
              <w:jc w:val="both"/>
            </w:pPr>
          </w:p>
        </w:tc>
      </w:tr>
      <w:tr w:rsidR="00340313" w:rsidRPr="00A369CC" w14:paraId="265F1481" w14:textId="77777777" w:rsidTr="007054B9">
        <w:tc>
          <w:tcPr>
            <w:tcW w:w="1305" w:type="dxa"/>
          </w:tcPr>
          <w:p w14:paraId="429929BB" w14:textId="7C5BC50E" w:rsidR="00340313" w:rsidRPr="00A369CC" w:rsidRDefault="00116DCC" w:rsidP="00B33B31">
            <w:pPr>
              <w:contextualSpacing/>
            </w:pPr>
            <m:oMathPara>
              <m:oMathParaPr>
                <m:jc m:val="left"/>
              </m:oMathParaPr>
              <m:oMath>
                <m:r>
                  <w:rPr>
                    <w:rFonts w:ascii="Cambria Math" w:eastAsiaTheme="minorEastAsia" w:hAnsi="Cambria Math"/>
                  </w:rPr>
                  <m:t>S</m:t>
                </m:r>
              </m:oMath>
            </m:oMathPara>
          </w:p>
        </w:tc>
        <w:tc>
          <w:tcPr>
            <w:tcW w:w="284" w:type="dxa"/>
          </w:tcPr>
          <w:p w14:paraId="08E2B365" w14:textId="77777777" w:rsidR="00340313" w:rsidRPr="00A369CC" w:rsidRDefault="00340313" w:rsidP="00B33B31">
            <w:pPr>
              <w:ind w:left="-103"/>
              <w:contextualSpacing/>
              <w:jc w:val="center"/>
            </w:pPr>
            <w:r w:rsidRPr="00A369CC">
              <w:t>:</w:t>
            </w:r>
          </w:p>
        </w:tc>
        <w:tc>
          <w:tcPr>
            <w:tcW w:w="7767" w:type="dxa"/>
          </w:tcPr>
          <w:p w14:paraId="7C08CF9A" w14:textId="255C3E09" w:rsidR="00340313" w:rsidRPr="00A369CC" w:rsidRDefault="00CE424C" w:rsidP="00B33B31">
            <w:pPr>
              <w:ind w:left="18"/>
              <w:contextualSpacing/>
              <w:jc w:val="both"/>
            </w:pPr>
            <w:r w:rsidRPr="00A369CC">
              <w:t xml:space="preserve">Valor de los subsidios aplicables, según lo previsto en el artículo 99 de la Ley 142 de 1994, en particular lo previsto en su numeral 10, </w:t>
            </w:r>
            <w:r w:rsidR="00340313" w:rsidRPr="00A369CC">
              <w:t xml:space="preserve">expresado en pesos </w:t>
            </w:r>
            <w:r w:rsidR="006B7FA1" w:rsidRPr="00A369CC">
              <w:t xml:space="preserve">por kilovatio hora </w:t>
            </w:r>
            <w:r w:rsidR="00340313" w:rsidRPr="00A369CC">
              <w:t>($</w:t>
            </w:r>
            <w:r w:rsidR="006B7FA1" w:rsidRPr="00A369CC">
              <w:t>/kWh</w:t>
            </w:r>
            <w:r w:rsidR="00340313" w:rsidRPr="00A369CC">
              <w:t>).</w:t>
            </w:r>
          </w:p>
          <w:p w14:paraId="791143B3" w14:textId="77777777" w:rsidR="00340313" w:rsidRPr="00A369CC" w:rsidRDefault="00340313" w:rsidP="00B33B31">
            <w:pPr>
              <w:ind w:left="18"/>
              <w:contextualSpacing/>
              <w:jc w:val="both"/>
            </w:pPr>
          </w:p>
        </w:tc>
      </w:tr>
      <w:tr w:rsidR="00116DCC" w:rsidRPr="00F952FA" w14:paraId="34E7580A" w14:textId="77777777" w:rsidTr="007054B9">
        <w:tc>
          <w:tcPr>
            <w:tcW w:w="1305" w:type="dxa"/>
          </w:tcPr>
          <w:p w14:paraId="09210DD0" w14:textId="5DE97AC5" w:rsidR="00116DCC" w:rsidRPr="00A369CC" w:rsidRDefault="00116DCC" w:rsidP="00116DCC">
            <w:pPr>
              <w:contextualSpacing/>
            </w:pPr>
            <m:oMathPara>
              <m:oMathParaPr>
                <m:jc m:val="left"/>
              </m:oMathParaPr>
              <m:oMath>
                <m:r>
                  <w:rPr>
                    <w:rFonts w:ascii="Cambria Math" w:hAnsi="Cambria Math"/>
                    <w:lang w:val="en-US"/>
                  </w:rPr>
                  <m:t>%RCA</m:t>
                </m:r>
              </m:oMath>
            </m:oMathPara>
          </w:p>
        </w:tc>
        <w:tc>
          <w:tcPr>
            <w:tcW w:w="284" w:type="dxa"/>
          </w:tcPr>
          <w:p w14:paraId="541B9723" w14:textId="68C28CDF" w:rsidR="00116DCC" w:rsidRPr="00A369CC" w:rsidRDefault="00116DCC" w:rsidP="00116DCC">
            <w:pPr>
              <w:ind w:left="-103"/>
              <w:contextualSpacing/>
              <w:jc w:val="center"/>
            </w:pPr>
            <w:r w:rsidRPr="00A369CC">
              <w:t>:</w:t>
            </w:r>
          </w:p>
        </w:tc>
        <w:tc>
          <w:tcPr>
            <w:tcW w:w="7767" w:type="dxa"/>
          </w:tcPr>
          <w:p w14:paraId="41820ADB" w14:textId="286F4896" w:rsidR="00116DCC" w:rsidRPr="00A369CC" w:rsidRDefault="00240751" w:rsidP="00614D77">
            <w:pPr>
              <w:ind w:left="18"/>
              <w:contextualSpacing/>
              <w:jc w:val="both"/>
            </w:pPr>
            <w:r w:rsidRPr="00A369CC">
              <w:t xml:space="preserve">Porcentaje que impute el prestador del servicio al usuario </w:t>
            </w:r>
            <w:r w:rsidR="00CF3E8E" w:rsidRPr="00A369CC">
              <w:t xml:space="preserve">por concepto del consumo que </w:t>
            </w:r>
            <w:r w:rsidR="001907B3" w:rsidRPr="00A369CC">
              <w:t>e</w:t>
            </w:r>
            <w:r w:rsidR="00CF3E8E" w:rsidRPr="00A369CC">
              <w:t>ste adeude</w:t>
            </w:r>
            <w:r w:rsidR="00A36F68" w:rsidRPr="00A369CC">
              <w:t>, s</w:t>
            </w:r>
            <w:r w:rsidR="00924C53" w:rsidRPr="00A369CC">
              <w:t xml:space="preserve">egún lo previsto en el artículo 4 de la Resolución CREG 096 de 2004, modificado </w:t>
            </w:r>
            <w:r w:rsidR="00BC5360" w:rsidRPr="00A369CC">
              <w:t xml:space="preserve">por el artículo </w:t>
            </w:r>
            <w:r w:rsidR="00BB43E2" w:rsidRPr="00A369CC">
              <w:t xml:space="preserve">1 de </w:t>
            </w:r>
            <w:r w:rsidR="00BC5360" w:rsidRPr="00A369CC">
              <w:t>la Resolución CREG 046 de 2012</w:t>
            </w:r>
            <w:r w:rsidR="00B64176" w:rsidRPr="00A369CC">
              <w:t>.</w:t>
            </w:r>
          </w:p>
        </w:tc>
      </w:tr>
    </w:tbl>
    <w:p w14:paraId="7C9F255B" w14:textId="77777777" w:rsidR="00E744C0" w:rsidRPr="002F06FB" w:rsidRDefault="00E744C0" w:rsidP="00C94D29">
      <w:pPr>
        <w:contextualSpacing/>
        <w:jc w:val="both"/>
      </w:pPr>
    </w:p>
    <w:p w14:paraId="36D1747A" w14:textId="6D194692" w:rsidR="00B86AEA" w:rsidRPr="00B66211" w:rsidRDefault="00B86AEA" w:rsidP="00C94D29">
      <w:pPr>
        <w:pStyle w:val="Ttulo1"/>
        <w:contextualSpacing/>
      </w:pPr>
      <w:r w:rsidRPr="00B66211">
        <w:t>CAPITULO V</w:t>
      </w:r>
      <w:r w:rsidR="00A46430" w:rsidRPr="00B66211">
        <w:t>I</w:t>
      </w:r>
      <w:r w:rsidR="0037430A" w:rsidRPr="00B66211">
        <w:t>I</w:t>
      </w:r>
    </w:p>
    <w:p w14:paraId="1C6E396D" w14:textId="77777777" w:rsidR="00B86AEA" w:rsidRPr="00B66211" w:rsidRDefault="00B86AEA" w:rsidP="00C94D29">
      <w:pPr>
        <w:contextualSpacing/>
      </w:pPr>
    </w:p>
    <w:p w14:paraId="4B9DBA8D" w14:textId="64D63578" w:rsidR="00B86AEA" w:rsidRPr="00B66211" w:rsidRDefault="00B86AEA" w:rsidP="00C94D29">
      <w:pPr>
        <w:pStyle w:val="Ttulo1"/>
        <w:contextualSpacing/>
      </w:pPr>
      <w:r w:rsidRPr="00B66211">
        <w:t>DISPOSICIONES GENERALES</w:t>
      </w:r>
    </w:p>
    <w:p w14:paraId="16AF409F" w14:textId="77777777" w:rsidR="00CF66DC" w:rsidRDefault="00CF66DC" w:rsidP="00C94D29">
      <w:pPr>
        <w:contextualSpacing/>
      </w:pPr>
    </w:p>
    <w:p w14:paraId="62F6E541" w14:textId="36EB5E95" w:rsidR="005B43E2" w:rsidRPr="00AC51E5" w:rsidRDefault="005B43E2" w:rsidP="00C94D29">
      <w:pPr>
        <w:pStyle w:val="Ttulo7"/>
        <w:numPr>
          <w:ilvl w:val="0"/>
          <w:numId w:val="26"/>
        </w:numPr>
        <w:tabs>
          <w:tab w:val="num" w:pos="360"/>
        </w:tabs>
        <w:spacing w:before="0" w:after="0"/>
        <w:contextualSpacing/>
        <w:jc w:val="both"/>
        <w:rPr>
          <w:rFonts w:ascii="Bookman Old Style" w:hAnsi="Bookman Old Style" w:cs="--unknown-1--"/>
        </w:rPr>
      </w:pPr>
      <w:r w:rsidRPr="00AC51E5">
        <w:rPr>
          <w:rFonts w:ascii="Bookman Old Style" w:hAnsi="Bookman Old Style" w:cs="--unknown-1--"/>
          <w:b/>
        </w:rPr>
        <w:t xml:space="preserve">Contenido mínimo del </w:t>
      </w:r>
      <w:r w:rsidR="00D637E4">
        <w:rPr>
          <w:rFonts w:ascii="Bookman Old Style" w:hAnsi="Bookman Old Style" w:cs="--unknown-1--"/>
          <w:b/>
        </w:rPr>
        <w:t>A</w:t>
      </w:r>
      <w:r w:rsidRPr="00AC51E5">
        <w:rPr>
          <w:rFonts w:ascii="Bookman Old Style" w:hAnsi="Bookman Old Style" w:cs="--unknown-1--"/>
          <w:b/>
        </w:rPr>
        <w:t xml:space="preserve">cuerdo </w:t>
      </w:r>
      <w:r w:rsidR="00D637E4">
        <w:rPr>
          <w:rFonts w:ascii="Bookman Old Style" w:hAnsi="Bookman Old Style" w:cs="--unknown-1--"/>
          <w:b/>
        </w:rPr>
        <w:t>E</w:t>
      </w:r>
      <w:r w:rsidRPr="00AC51E5">
        <w:rPr>
          <w:rFonts w:ascii="Bookman Old Style" w:hAnsi="Bookman Old Style" w:cs="--unknown-1--"/>
          <w:b/>
        </w:rPr>
        <w:t>special.</w:t>
      </w:r>
      <w:r w:rsidR="00472407" w:rsidRPr="00AC51E5">
        <w:rPr>
          <w:rFonts w:ascii="Bookman Old Style" w:hAnsi="Bookman Old Style" w:cs="--unknown-1--"/>
          <w:b/>
        </w:rPr>
        <w:t xml:space="preserve"> </w:t>
      </w:r>
      <w:r w:rsidR="00472407" w:rsidRPr="00AC51E5">
        <w:rPr>
          <w:rFonts w:ascii="Bookman Old Style" w:hAnsi="Bookman Old Style" w:cs="--unknown-1--"/>
        </w:rPr>
        <w:t xml:space="preserve">El contenido mínimo del </w:t>
      </w:r>
      <w:r w:rsidR="00D637E4">
        <w:rPr>
          <w:rFonts w:ascii="Bookman Old Style" w:hAnsi="Bookman Old Style" w:cs="--unknown-1--"/>
        </w:rPr>
        <w:t>A</w:t>
      </w:r>
      <w:r w:rsidR="00472407" w:rsidRPr="00AC51E5">
        <w:rPr>
          <w:rFonts w:ascii="Bookman Old Style" w:hAnsi="Bookman Old Style" w:cs="--unknown-1--"/>
        </w:rPr>
        <w:t xml:space="preserve">cuerdo </w:t>
      </w:r>
      <w:r w:rsidR="00D637E4">
        <w:rPr>
          <w:rFonts w:ascii="Bookman Old Style" w:hAnsi="Bookman Old Style" w:cs="--unknown-1--"/>
        </w:rPr>
        <w:t>E</w:t>
      </w:r>
      <w:r w:rsidR="00472407" w:rsidRPr="00AC51E5">
        <w:rPr>
          <w:rFonts w:ascii="Bookman Old Style" w:hAnsi="Bookman Old Style" w:cs="--unknown-1--"/>
        </w:rPr>
        <w:t>special será el siguiente:</w:t>
      </w:r>
    </w:p>
    <w:p w14:paraId="7E2DA5C4" w14:textId="77777777" w:rsidR="00156E9D" w:rsidRPr="00AC51E5" w:rsidRDefault="00156E9D" w:rsidP="00C94D29">
      <w:pPr>
        <w:contextualSpacing/>
      </w:pPr>
    </w:p>
    <w:p w14:paraId="1AE75BA5" w14:textId="0D898B7C" w:rsidR="00156E9D" w:rsidRPr="00636BB0" w:rsidRDefault="00156E9D" w:rsidP="00C94D29">
      <w:pPr>
        <w:pStyle w:val="Prrafodelista"/>
        <w:numPr>
          <w:ilvl w:val="0"/>
          <w:numId w:val="27"/>
        </w:numPr>
        <w:ind w:left="426" w:hanging="426"/>
        <w:contextualSpacing/>
        <w:jc w:val="both"/>
        <w:rPr>
          <w:sz w:val="24"/>
          <w:szCs w:val="24"/>
        </w:rPr>
      </w:pPr>
      <w:r w:rsidRPr="00636BB0">
        <w:rPr>
          <w:sz w:val="24"/>
          <w:szCs w:val="24"/>
        </w:rPr>
        <w:t xml:space="preserve">Nivel de servicio acordado con el usuario, </w:t>
      </w:r>
      <w:r w:rsidR="008101A0" w:rsidRPr="00636BB0">
        <w:rPr>
          <w:sz w:val="24"/>
          <w:szCs w:val="24"/>
        </w:rPr>
        <w:t xml:space="preserve">sobre </w:t>
      </w:r>
      <w:r w:rsidRPr="00636BB0">
        <w:rPr>
          <w:sz w:val="24"/>
          <w:szCs w:val="24"/>
        </w:rPr>
        <w:t xml:space="preserve">el cual </w:t>
      </w:r>
      <w:r w:rsidR="008101A0" w:rsidRPr="00636BB0">
        <w:rPr>
          <w:sz w:val="24"/>
          <w:szCs w:val="24"/>
        </w:rPr>
        <w:t xml:space="preserve">se </w:t>
      </w:r>
      <w:r w:rsidRPr="00636BB0">
        <w:rPr>
          <w:sz w:val="24"/>
          <w:szCs w:val="24"/>
        </w:rPr>
        <w:t>deberá</w:t>
      </w:r>
      <w:r w:rsidR="00714391" w:rsidRPr="00636BB0">
        <w:rPr>
          <w:sz w:val="24"/>
          <w:szCs w:val="24"/>
        </w:rPr>
        <w:t xml:space="preserve"> indicar</w:t>
      </w:r>
      <w:r w:rsidR="008101A0" w:rsidRPr="00636BB0">
        <w:rPr>
          <w:sz w:val="24"/>
          <w:szCs w:val="24"/>
        </w:rPr>
        <w:t>: i)</w:t>
      </w:r>
      <w:r w:rsidRPr="00636BB0">
        <w:rPr>
          <w:sz w:val="24"/>
          <w:szCs w:val="24"/>
        </w:rPr>
        <w:t xml:space="preserve"> </w:t>
      </w:r>
      <w:r w:rsidR="00EA5108" w:rsidRPr="00636BB0">
        <w:rPr>
          <w:sz w:val="24"/>
          <w:szCs w:val="24"/>
        </w:rPr>
        <w:t xml:space="preserve">tipo de </w:t>
      </w:r>
      <w:r w:rsidR="00714391" w:rsidRPr="00636BB0">
        <w:rPr>
          <w:sz w:val="24"/>
          <w:szCs w:val="24"/>
        </w:rPr>
        <w:t>sistema</w:t>
      </w:r>
      <w:r w:rsidR="008101A0" w:rsidRPr="00636BB0">
        <w:rPr>
          <w:sz w:val="24"/>
          <w:szCs w:val="24"/>
        </w:rPr>
        <w:t xml:space="preserve">; ii) </w:t>
      </w:r>
      <w:r w:rsidR="00C87EB2" w:rsidRPr="00636BB0">
        <w:rPr>
          <w:sz w:val="24"/>
          <w:szCs w:val="24"/>
        </w:rPr>
        <w:t xml:space="preserve">si se ofrece o no el </w:t>
      </w:r>
      <w:r w:rsidR="00EA5108" w:rsidRPr="00636BB0">
        <w:rPr>
          <w:sz w:val="24"/>
          <w:szCs w:val="24"/>
        </w:rPr>
        <w:t>almacenamiento</w:t>
      </w:r>
      <w:r w:rsidR="00866066" w:rsidRPr="00636BB0">
        <w:rPr>
          <w:sz w:val="24"/>
          <w:szCs w:val="24"/>
        </w:rPr>
        <w:t xml:space="preserve">; iii) </w:t>
      </w:r>
      <w:r w:rsidR="001719BB" w:rsidRPr="00636BB0">
        <w:rPr>
          <w:sz w:val="24"/>
          <w:szCs w:val="24"/>
        </w:rPr>
        <w:t xml:space="preserve">cantidad mínima de energía, expresada en vatios hora, Wh, que podría consumir </w:t>
      </w:r>
      <w:r w:rsidR="00B40B94" w:rsidRPr="00636BB0">
        <w:rPr>
          <w:sz w:val="24"/>
          <w:szCs w:val="24"/>
        </w:rPr>
        <w:t xml:space="preserve">el </w:t>
      </w:r>
      <w:r w:rsidR="001719BB" w:rsidRPr="00636BB0">
        <w:rPr>
          <w:sz w:val="24"/>
          <w:szCs w:val="24"/>
        </w:rPr>
        <w:t>usuario en un día</w:t>
      </w:r>
      <w:r w:rsidR="00C87EB2" w:rsidRPr="00636BB0">
        <w:rPr>
          <w:sz w:val="24"/>
          <w:szCs w:val="24"/>
        </w:rPr>
        <w:t>.</w:t>
      </w:r>
    </w:p>
    <w:p w14:paraId="6DF52BA7" w14:textId="77777777" w:rsidR="006745E0" w:rsidRPr="006745E0" w:rsidRDefault="006745E0" w:rsidP="00C94D29">
      <w:pPr>
        <w:pStyle w:val="Prrafodelista"/>
        <w:ind w:left="426"/>
        <w:contextualSpacing/>
        <w:jc w:val="both"/>
        <w:rPr>
          <w:sz w:val="24"/>
          <w:szCs w:val="24"/>
        </w:rPr>
      </w:pPr>
    </w:p>
    <w:p w14:paraId="15A90840" w14:textId="72BD2129" w:rsidR="00C87EB2" w:rsidRDefault="00C87EB2" w:rsidP="00C94D29">
      <w:pPr>
        <w:pStyle w:val="Prrafodelista"/>
        <w:numPr>
          <w:ilvl w:val="0"/>
          <w:numId w:val="27"/>
        </w:numPr>
        <w:ind w:left="426" w:hanging="426"/>
        <w:contextualSpacing/>
        <w:jc w:val="both"/>
        <w:rPr>
          <w:sz w:val="24"/>
          <w:szCs w:val="24"/>
        </w:rPr>
      </w:pPr>
      <w:r w:rsidRPr="006745E0">
        <w:rPr>
          <w:sz w:val="24"/>
          <w:szCs w:val="24"/>
        </w:rPr>
        <w:t>Relación de unidades constructivas que componen la SISFV, indicando cuáles de estas son subsidiadas</w:t>
      </w:r>
      <w:r w:rsidR="009654E1" w:rsidRPr="006745E0">
        <w:rPr>
          <w:sz w:val="24"/>
          <w:szCs w:val="24"/>
        </w:rPr>
        <w:t>, según lo previsto en el artículo 87.9 de la Ley 142 de 1994</w:t>
      </w:r>
      <w:r w:rsidR="007C741E">
        <w:rPr>
          <w:sz w:val="24"/>
          <w:szCs w:val="24"/>
        </w:rPr>
        <w:t>,</w:t>
      </w:r>
      <w:r w:rsidRPr="006745E0">
        <w:rPr>
          <w:sz w:val="24"/>
          <w:szCs w:val="24"/>
        </w:rPr>
        <w:t xml:space="preserve"> y cu</w:t>
      </w:r>
      <w:r w:rsidR="006745E0" w:rsidRPr="006745E0">
        <w:rPr>
          <w:sz w:val="24"/>
          <w:szCs w:val="24"/>
        </w:rPr>
        <w:t>á</w:t>
      </w:r>
      <w:r w:rsidRPr="006745E0">
        <w:rPr>
          <w:sz w:val="24"/>
          <w:szCs w:val="24"/>
        </w:rPr>
        <w:t>les no</w:t>
      </w:r>
      <w:r w:rsidR="006745E0" w:rsidRPr="006745E0">
        <w:rPr>
          <w:sz w:val="24"/>
          <w:szCs w:val="24"/>
        </w:rPr>
        <w:t>.</w:t>
      </w:r>
    </w:p>
    <w:p w14:paraId="08E0C52C" w14:textId="77777777" w:rsidR="006745E0" w:rsidRPr="006745E0" w:rsidRDefault="006745E0" w:rsidP="00C94D29">
      <w:pPr>
        <w:pStyle w:val="Prrafodelista"/>
        <w:ind w:left="426"/>
        <w:contextualSpacing/>
        <w:jc w:val="both"/>
        <w:rPr>
          <w:sz w:val="24"/>
          <w:szCs w:val="24"/>
        </w:rPr>
      </w:pPr>
    </w:p>
    <w:p w14:paraId="5EDE4198" w14:textId="54E86994" w:rsidR="006745E0" w:rsidRPr="006745E0" w:rsidRDefault="006745E0" w:rsidP="00C94D29">
      <w:pPr>
        <w:pStyle w:val="Prrafodelista"/>
        <w:numPr>
          <w:ilvl w:val="0"/>
          <w:numId w:val="27"/>
        </w:numPr>
        <w:ind w:left="426" w:hanging="426"/>
        <w:contextualSpacing/>
        <w:jc w:val="both"/>
        <w:rPr>
          <w:sz w:val="24"/>
          <w:szCs w:val="24"/>
        </w:rPr>
      </w:pPr>
      <w:r w:rsidRPr="006745E0">
        <w:rPr>
          <w:sz w:val="24"/>
          <w:szCs w:val="24"/>
        </w:rPr>
        <w:t>Periodicidad del ciclo de facturación.</w:t>
      </w:r>
    </w:p>
    <w:p w14:paraId="6C9EAA25" w14:textId="77777777" w:rsidR="00AC51E5" w:rsidRPr="00B66211" w:rsidRDefault="00AC51E5" w:rsidP="00C94D29">
      <w:pPr>
        <w:contextualSpacing/>
      </w:pPr>
    </w:p>
    <w:p w14:paraId="7CC1279A" w14:textId="13296951" w:rsidR="002C301D" w:rsidRDefault="00085B16" w:rsidP="00C94D29">
      <w:pPr>
        <w:pStyle w:val="Ttulo7"/>
        <w:numPr>
          <w:ilvl w:val="0"/>
          <w:numId w:val="26"/>
        </w:numPr>
        <w:tabs>
          <w:tab w:val="num" w:pos="360"/>
          <w:tab w:val="left" w:pos="1701"/>
        </w:tabs>
        <w:spacing w:before="0" w:after="0"/>
        <w:contextualSpacing/>
        <w:jc w:val="both"/>
        <w:rPr>
          <w:rFonts w:ascii="Bookman Old Style" w:hAnsi="Bookman Old Style" w:cs="--unknown-1--"/>
          <w:bCs/>
        </w:rPr>
      </w:pPr>
      <w:r w:rsidRPr="00085B16">
        <w:rPr>
          <w:rFonts w:ascii="Bookman Old Style" w:hAnsi="Bookman Old Style" w:cs="--unknown-1--"/>
          <w:b/>
        </w:rPr>
        <w:t xml:space="preserve">Publicación de costos unitarios y cargos máximos. </w:t>
      </w:r>
      <w:r w:rsidRPr="007754B9">
        <w:rPr>
          <w:rFonts w:ascii="Bookman Old Style" w:hAnsi="Bookman Old Style" w:cs="--unknown-1--"/>
          <w:bCs/>
        </w:rPr>
        <w:t>Mensualmente y antes de su aplicación, el prestador del servicio hará públicos el costo unitario</w:t>
      </w:r>
      <w:r w:rsidR="00E37DE6" w:rsidRPr="007754B9">
        <w:rPr>
          <w:rFonts w:ascii="Bookman Old Style" w:hAnsi="Bookman Old Style" w:cs="--unknown-1--"/>
          <w:bCs/>
        </w:rPr>
        <w:t>,</w:t>
      </w:r>
      <w:r w:rsidRPr="007754B9">
        <w:rPr>
          <w:rFonts w:ascii="Bookman Old Style" w:hAnsi="Bookman Old Style" w:cs="--unknown-1--"/>
          <w:bCs/>
        </w:rPr>
        <w:t xml:space="preserve"> los cargos máximos de prestación del servicio </w:t>
      </w:r>
      <w:r w:rsidR="000317E8" w:rsidRPr="007754B9">
        <w:rPr>
          <w:rFonts w:ascii="Bookman Old Style" w:hAnsi="Bookman Old Style" w:cs="--unknown-1--"/>
          <w:bCs/>
        </w:rPr>
        <w:t xml:space="preserve">y las tarifas </w:t>
      </w:r>
      <w:r w:rsidRPr="007754B9">
        <w:rPr>
          <w:rFonts w:ascii="Bookman Old Style" w:hAnsi="Bookman Old Style" w:cs="--unknown-1--"/>
          <w:bCs/>
        </w:rPr>
        <w:t xml:space="preserve">que aplicará a los usuarios en forma simple y comprensible, a través un medio de </w:t>
      </w:r>
      <w:r w:rsidRPr="00C11F67">
        <w:rPr>
          <w:rFonts w:ascii="Bookman Old Style" w:hAnsi="Bookman Old Style" w:cs="--unknown-1--"/>
          <w:bCs/>
        </w:rPr>
        <w:t>comunicación de amplia divulgación, en los municipios donde preste el servicio</w:t>
      </w:r>
      <w:r w:rsidR="00C11F67" w:rsidRPr="00C11F67">
        <w:rPr>
          <w:rFonts w:ascii="Bookman Old Style" w:hAnsi="Bookman Old Style" w:cs="--unknown-1--"/>
          <w:bCs/>
        </w:rPr>
        <w:t xml:space="preserve">, </w:t>
      </w:r>
      <w:r w:rsidR="00C11F67" w:rsidRPr="00C11F67">
        <w:rPr>
          <w:rFonts w:ascii="Bookman Old Style" w:hAnsi="Bookman Old Style" w:cs="--unknown-1--"/>
        </w:rPr>
        <w:t>o en caso de no contarse con ello, a</w:t>
      </w:r>
      <w:r w:rsidR="00C11F67" w:rsidRPr="00C11F67">
        <w:rPr>
          <w:rFonts w:ascii="Bookman Old Style" w:hAnsi="Bookman Old Style" w:cs="--unknown-1--"/>
          <w:bCs/>
        </w:rPr>
        <w:t xml:space="preserve"> </w:t>
      </w:r>
      <w:r w:rsidR="00C11F67" w:rsidRPr="00C11F67">
        <w:rPr>
          <w:rFonts w:ascii="Bookman Old Style" w:hAnsi="Bookman Old Style" w:cs="--unknown-1--"/>
        </w:rPr>
        <w:t>través de un medio de comunicación idóneo y que garantice que cualquier</w:t>
      </w:r>
      <w:r w:rsidR="00C11F67" w:rsidRPr="00C11F67">
        <w:rPr>
          <w:rFonts w:ascii="Bookman Old Style" w:hAnsi="Bookman Old Style" w:cs="--unknown-1--"/>
          <w:bCs/>
        </w:rPr>
        <w:t xml:space="preserve"> </w:t>
      </w:r>
      <w:r w:rsidR="00C11F67" w:rsidRPr="00C11F67">
        <w:rPr>
          <w:rFonts w:ascii="Bookman Old Style" w:hAnsi="Bookman Old Style" w:cs="--unknown-1--"/>
        </w:rPr>
        <w:t>usuario puede tener acceso efectivo y oportuno a dicha información</w:t>
      </w:r>
      <w:r w:rsidRPr="00C11F67">
        <w:rPr>
          <w:rFonts w:ascii="Bookman Old Style" w:hAnsi="Bookman Old Style" w:cs="--unknown-1--"/>
          <w:bCs/>
        </w:rPr>
        <w:t>. Dicha</w:t>
      </w:r>
      <w:r w:rsidRPr="00AC51E5">
        <w:rPr>
          <w:rFonts w:ascii="Bookman Old Style" w:hAnsi="Bookman Old Style" w:cs="--unknown-1--"/>
          <w:bCs/>
        </w:rPr>
        <w:t xml:space="preserve"> publicación incluirá los valores de cada componente del costo de prestación del servicio. Los nuevos valores deberán ser comunicados a la Superintendencia de Servicios Públicos Domiciliarios y a la Comisión de Regulación de Energía y Gas.</w:t>
      </w:r>
    </w:p>
    <w:p w14:paraId="5D205983" w14:textId="3D16DD8B" w:rsidR="009474CC" w:rsidRDefault="009474CC" w:rsidP="009474CC"/>
    <w:p w14:paraId="313DE701" w14:textId="37F3685E" w:rsidR="009474CC" w:rsidRPr="009474CC" w:rsidRDefault="009474CC" w:rsidP="009474CC">
      <w:r w:rsidRPr="000E3439">
        <w:rPr>
          <w:b/>
          <w:bCs/>
        </w:rPr>
        <w:t>Parágrafo:</w:t>
      </w:r>
      <w:r>
        <w:t xml:space="preserve"> </w:t>
      </w:r>
      <w:r w:rsidR="000E3439">
        <w:t>E</w:t>
      </w:r>
      <w:r w:rsidR="00A30E4E">
        <w:t xml:space="preserve">n el caso particular de los esquemas de facturación </w:t>
      </w:r>
      <w:r w:rsidR="003816E6">
        <w:t xml:space="preserve">en </w:t>
      </w:r>
      <w:r w:rsidR="00A30E4E">
        <w:t>prepago</w:t>
      </w:r>
      <w:r w:rsidR="003816E6">
        <w:t xml:space="preserve">, el prestador del servicio deberá </w:t>
      </w:r>
      <w:r w:rsidR="00874A79">
        <w:t xml:space="preserve">efectuar su publicación </w:t>
      </w:r>
      <w:r w:rsidR="00995007">
        <w:t xml:space="preserve">en valores equivalentes a </w:t>
      </w:r>
      <w:r w:rsidRPr="009474CC">
        <w:t xml:space="preserve">un </w:t>
      </w:r>
      <w:r w:rsidR="00995007">
        <w:t xml:space="preserve">(1) </w:t>
      </w:r>
      <w:r w:rsidRPr="009474CC">
        <w:t>kilovatio hora, para los distintos niveles de servicio que ofrezca.</w:t>
      </w:r>
    </w:p>
    <w:p w14:paraId="04774D9B" w14:textId="77777777" w:rsidR="009268FA" w:rsidRPr="00122422" w:rsidRDefault="009268FA" w:rsidP="00C94D29">
      <w:pPr>
        <w:contextualSpacing/>
      </w:pPr>
    </w:p>
    <w:p w14:paraId="669F1085" w14:textId="3C039052" w:rsidR="00AC51E5" w:rsidRPr="000D7501" w:rsidRDefault="00AC51E5" w:rsidP="00C94D29">
      <w:pPr>
        <w:pStyle w:val="Ttulo7"/>
        <w:numPr>
          <w:ilvl w:val="0"/>
          <w:numId w:val="26"/>
        </w:numPr>
        <w:tabs>
          <w:tab w:val="num" w:pos="360"/>
          <w:tab w:val="left" w:pos="1701"/>
        </w:tabs>
        <w:spacing w:before="0" w:after="0"/>
        <w:contextualSpacing/>
        <w:jc w:val="both"/>
        <w:rPr>
          <w:rFonts w:ascii="Bookman Old Style" w:hAnsi="Bookman Old Style" w:cs="--unknown-1--"/>
        </w:rPr>
      </w:pPr>
      <w:r w:rsidRPr="000D7501">
        <w:rPr>
          <w:rFonts w:ascii="Bookman Old Style" w:hAnsi="Bookman Old Style" w:cs="--unknown-1--"/>
          <w:b/>
        </w:rPr>
        <w:t>Contenido mínimo de la factura.</w:t>
      </w:r>
      <w:r w:rsidR="00BB2DD8" w:rsidRPr="000D7501">
        <w:rPr>
          <w:rFonts w:ascii="Bookman Old Style" w:hAnsi="Bookman Old Style" w:cs="--unknown-1--"/>
          <w:b/>
        </w:rPr>
        <w:t xml:space="preserve"> </w:t>
      </w:r>
      <w:r w:rsidR="00BB2DD8" w:rsidRPr="000D7501">
        <w:rPr>
          <w:rFonts w:ascii="Bookman Old Style" w:hAnsi="Bookman Old Style" w:cs="--unknown-1--"/>
          <w:bCs/>
        </w:rPr>
        <w:t>El prestador del servicio deberá informarle al usuario, dentro de la factura, como mínimo:</w:t>
      </w:r>
    </w:p>
    <w:p w14:paraId="5CBD4E5E" w14:textId="77777777" w:rsidR="00BB2DD8" w:rsidRPr="000D7501" w:rsidRDefault="00BB2DD8" w:rsidP="00C94D29">
      <w:pPr>
        <w:tabs>
          <w:tab w:val="left" w:pos="1701"/>
        </w:tabs>
        <w:contextualSpacing/>
        <w:jc w:val="both"/>
        <w:rPr>
          <w:rFonts w:cs="--unknown-1--"/>
        </w:rPr>
      </w:pPr>
    </w:p>
    <w:p w14:paraId="6202D17A" w14:textId="0C61E3D4" w:rsidR="001630A3" w:rsidRPr="006A7AFF" w:rsidRDefault="00BB2DD8"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C</w:t>
      </w:r>
      <w:r w:rsidR="00AC51E5" w:rsidRPr="006A7AFF">
        <w:rPr>
          <w:rFonts w:cs="--unknown-1--"/>
          <w:sz w:val="24"/>
          <w:szCs w:val="24"/>
        </w:rPr>
        <w:t>osto unitario</w:t>
      </w:r>
      <w:r w:rsidR="00B65CC3" w:rsidRPr="006A7AFF">
        <w:rPr>
          <w:rFonts w:cs="--unknown-1--"/>
          <w:sz w:val="24"/>
          <w:szCs w:val="24"/>
        </w:rPr>
        <w:t xml:space="preserve"> aplicable para cada mes del ciclo de facturación</w:t>
      </w:r>
      <w:r w:rsidR="00840AB8" w:rsidRPr="006A7AFF">
        <w:rPr>
          <w:rFonts w:cs="--unknown-1--"/>
          <w:sz w:val="24"/>
          <w:szCs w:val="24"/>
        </w:rPr>
        <w:t xml:space="preserve"> o</w:t>
      </w:r>
      <w:r w:rsidR="0077286D" w:rsidRPr="006A7AFF">
        <w:rPr>
          <w:rFonts w:cs="--unknown-1--"/>
          <w:sz w:val="24"/>
          <w:szCs w:val="24"/>
        </w:rPr>
        <w:t xml:space="preserve">, en el caso de energía prepagada, </w:t>
      </w:r>
      <w:r w:rsidR="00840AB8" w:rsidRPr="006A7AFF">
        <w:rPr>
          <w:rFonts w:cs="--unknown-1--"/>
          <w:sz w:val="24"/>
          <w:szCs w:val="24"/>
        </w:rPr>
        <w:t xml:space="preserve">para la </w:t>
      </w:r>
      <w:r w:rsidR="00F4597D" w:rsidRPr="006A7AFF">
        <w:rPr>
          <w:rFonts w:cs="--unknown-1--"/>
          <w:sz w:val="24"/>
          <w:szCs w:val="24"/>
        </w:rPr>
        <w:t>respectiva factura</w:t>
      </w:r>
      <w:r w:rsidR="00044870" w:rsidRPr="006A7AFF">
        <w:rPr>
          <w:rFonts w:cs="--unknown-1--"/>
          <w:sz w:val="24"/>
          <w:szCs w:val="24"/>
        </w:rPr>
        <w:t xml:space="preserve">, </w:t>
      </w:r>
      <w:r w:rsidR="00F22FFA" w:rsidRPr="006A7AFF">
        <w:rPr>
          <w:rFonts w:cs="--unknown-1--"/>
          <w:sz w:val="24"/>
          <w:szCs w:val="24"/>
        </w:rPr>
        <w:t>discriminando los valores de cada componente.</w:t>
      </w:r>
    </w:p>
    <w:p w14:paraId="63CCC422" w14:textId="77777777" w:rsidR="00AA73A4" w:rsidRPr="006A7AFF" w:rsidRDefault="00AA73A4" w:rsidP="00C94D29">
      <w:pPr>
        <w:pStyle w:val="Prrafodelista"/>
        <w:tabs>
          <w:tab w:val="left" w:pos="1701"/>
        </w:tabs>
        <w:ind w:left="426"/>
        <w:contextualSpacing/>
        <w:jc w:val="both"/>
        <w:rPr>
          <w:rFonts w:cs="--unknown-1--"/>
          <w:sz w:val="24"/>
          <w:szCs w:val="24"/>
        </w:rPr>
      </w:pPr>
    </w:p>
    <w:p w14:paraId="645C3A38" w14:textId="226DFE67" w:rsidR="000751B2" w:rsidRPr="006A7AFF" w:rsidRDefault="001630A3"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C</w:t>
      </w:r>
      <w:r w:rsidR="00AC51E5" w:rsidRPr="006A7AFF">
        <w:rPr>
          <w:rFonts w:cs="--unknown-1--"/>
          <w:sz w:val="24"/>
          <w:szCs w:val="24"/>
        </w:rPr>
        <w:t>argos máximos</w:t>
      </w:r>
      <w:r w:rsidR="000360BA" w:rsidRPr="006A7AFF">
        <w:rPr>
          <w:rFonts w:cs="--unknown-1--"/>
          <w:sz w:val="24"/>
          <w:szCs w:val="24"/>
        </w:rPr>
        <w:t xml:space="preserve"> aplicables para cada mes del ciclo de facturación</w:t>
      </w:r>
      <w:r w:rsidR="0008524A" w:rsidRPr="006A7AFF">
        <w:rPr>
          <w:rFonts w:cs="--unknown-1--"/>
          <w:sz w:val="24"/>
          <w:szCs w:val="24"/>
        </w:rPr>
        <w:t xml:space="preserve"> </w:t>
      </w:r>
      <w:r w:rsidR="00044870" w:rsidRPr="006A7AFF">
        <w:rPr>
          <w:rFonts w:cs="--unknown-1--"/>
          <w:sz w:val="24"/>
          <w:szCs w:val="24"/>
        </w:rPr>
        <w:t>o, en el caso de energía prepagada, para la respectiva factura,</w:t>
      </w:r>
      <w:r w:rsidR="007B1071" w:rsidRPr="006A7AFF">
        <w:rPr>
          <w:rFonts w:cs="--unknown-1--"/>
          <w:sz w:val="24"/>
          <w:szCs w:val="24"/>
        </w:rPr>
        <w:t xml:space="preserve"> </w:t>
      </w:r>
      <w:r w:rsidR="00F22FFA" w:rsidRPr="006A7AFF">
        <w:rPr>
          <w:rFonts w:cs="--unknown-1--"/>
          <w:sz w:val="24"/>
          <w:szCs w:val="24"/>
        </w:rPr>
        <w:t xml:space="preserve">informando </w:t>
      </w:r>
      <w:r w:rsidR="00AC51E5" w:rsidRPr="006A7AFF">
        <w:rPr>
          <w:rFonts w:cs="--unknown-1--"/>
          <w:sz w:val="24"/>
          <w:szCs w:val="24"/>
        </w:rPr>
        <w:t>los valores de cada component</w:t>
      </w:r>
      <w:r w:rsidR="00A4004C" w:rsidRPr="006A7AFF">
        <w:rPr>
          <w:rFonts w:cs="--unknown-1--"/>
          <w:sz w:val="24"/>
          <w:szCs w:val="24"/>
        </w:rPr>
        <w:t>e, tanto de inversión como de gastos de AMGC.</w:t>
      </w:r>
    </w:p>
    <w:p w14:paraId="6F6AD6D0" w14:textId="77777777" w:rsidR="00AA73A4" w:rsidRPr="006A7AFF" w:rsidRDefault="00AA73A4" w:rsidP="00C94D29">
      <w:pPr>
        <w:pStyle w:val="Prrafodelista"/>
        <w:tabs>
          <w:tab w:val="left" w:pos="1701"/>
        </w:tabs>
        <w:ind w:left="426"/>
        <w:contextualSpacing/>
        <w:jc w:val="both"/>
        <w:rPr>
          <w:rFonts w:cs="--unknown-1--"/>
          <w:sz w:val="24"/>
          <w:szCs w:val="24"/>
        </w:rPr>
      </w:pPr>
    </w:p>
    <w:p w14:paraId="18FE2DE0" w14:textId="77777777" w:rsidR="00D66E69" w:rsidRPr="006A7AFF" w:rsidRDefault="00BA344C" w:rsidP="00C94D29">
      <w:pPr>
        <w:pStyle w:val="Prrafodelista"/>
        <w:numPr>
          <w:ilvl w:val="0"/>
          <w:numId w:val="28"/>
        </w:numPr>
        <w:tabs>
          <w:tab w:val="left" w:pos="1701"/>
        </w:tabs>
        <w:ind w:left="426" w:hanging="426"/>
        <w:contextualSpacing/>
        <w:jc w:val="both"/>
        <w:rPr>
          <w:sz w:val="24"/>
          <w:szCs w:val="24"/>
        </w:rPr>
      </w:pPr>
      <w:r w:rsidRPr="006A7AFF">
        <w:rPr>
          <w:rFonts w:cs="--unknown-1--"/>
          <w:sz w:val="24"/>
          <w:szCs w:val="24"/>
        </w:rPr>
        <w:t xml:space="preserve">Valores </w:t>
      </w:r>
      <w:r w:rsidR="00AC51E5" w:rsidRPr="006A7AFF">
        <w:rPr>
          <w:rFonts w:cs="--unknown-1--"/>
          <w:sz w:val="24"/>
          <w:szCs w:val="24"/>
        </w:rPr>
        <w:t>del costo de prestación del servicio</w:t>
      </w:r>
      <w:r w:rsidRPr="006A7AFF">
        <w:rPr>
          <w:rFonts w:cs="--unknown-1--"/>
          <w:sz w:val="24"/>
          <w:szCs w:val="24"/>
        </w:rPr>
        <w:t xml:space="preserve"> que no le serán traslados al usuario, según lo previsto en el </w:t>
      </w:r>
      <w:r w:rsidRPr="006A7AFF">
        <w:rPr>
          <w:sz w:val="24"/>
          <w:szCs w:val="24"/>
        </w:rPr>
        <w:t>artículo 87.9 de la Ley 142 de 1994</w:t>
      </w:r>
      <w:r w:rsidR="00D66E69" w:rsidRPr="006A7AFF">
        <w:rPr>
          <w:sz w:val="24"/>
          <w:szCs w:val="24"/>
        </w:rPr>
        <w:t>.</w:t>
      </w:r>
    </w:p>
    <w:p w14:paraId="495B2A19" w14:textId="77777777" w:rsidR="00AA73A4" w:rsidRPr="006A7AFF" w:rsidRDefault="00AA73A4" w:rsidP="00C94D29">
      <w:pPr>
        <w:pStyle w:val="Prrafodelista"/>
        <w:tabs>
          <w:tab w:val="left" w:pos="1701"/>
        </w:tabs>
        <w:ind w:left="426"/>
        <w:contextualSpacing/>
        <w:jc w:val="both"/>
        <w:rPr>
          <w:sz w:val="24"/>
          <w:szCs w:val="24"/>
        </w:rPr>
      </w:pPr>
    </w:p>
    <w:p w14:paraId="6C6374D6" w14:textId="4A59554F" w:rsidR="00D66E69" w:rsidRPr="006A7AFF" w:rsidRDefault="00D66E69" w:rsidP="00C94D29">
      <w:pPr>
        <w:pStyle w:val="Prrafodelista"/>
        <w:numPr>
          <w:ilvl w:val="0"/>
          <w:numId w:val="28"/>
        </w:numPr>
        <w:tabs>
          <w:tab w:val="left" w:pos="1701"/>
        </w:tabs>
        <w:ind w:left="426" w:hanging="426"/>
        <w:contextualSpacing/>
        <w:jc w:val="both"/>
        <w:rPr>
          <w:sz w:val="24"/>
          <w:szCs w:val="24"/>
        </w:rPr>
      </w:pPr>
      <w:r w:rsidRPr="006A7AFF">
        <w:rPr>
          <w:rFonts w:cs="--unknown-1--"/>
          <w:sz w:val="24"/>
          <w:szCs w:val="24"/>
        </w:rPr>
        <w:t xml:space="preserve">Valores del costo de prestación del servicio que no le serán traslados al usuario, </w:t>
      </w:r>
      <w:r w:rsidR="00D937E2" w:rsidRPr="006A7AFF">
        <w:rPr>
          <w:rFonts w:cs="--unknown-1--"/>
          <w:sz w:val="24"/>
          <w:szCs w:val="24"/>
        </w:rPr>
        <w:t xml:space="preserve">según lo previsto en el </w:t>
      </w:r>
      <w:r w:rsidR="00D937E2" w:rsidRPr="006A7AFF">
        <w:rPr>
          <w:sz w:val="24"/>
          <w:szCs w:val="24"/>
        </w:rPr>
        <w:t>artículo 99 de la Ley 142 de 1994, en particular lo previsto en su numeral 10</w:t>
      </w:r>
      <w:r w:rsidRPr="006A7AFF">
        <w:rPr>
          <w:sz w:val="24"/>
          <w:szCs w:val="24"/>
        </w:rPr>
        <w:t>.</w:t>
      </w:r>
    </w:p>
    <w:p w14:paraId="6F4F127F" w14:textId="77777777" w:rsidR="00AA73A4" w:rsidRPr="006A7AFF" w:rsidRDefault="00AA73A4" w:rsidP="00C94D29">
      <w:pPr>
        <w:pStyle w:val="Prrafodelista"/>
        <w:tabs>
          <w:tab w:val="left" w:pos="1701"/>
        </w:tabs>
        <w:ind w:left="426"/>
        <w:contextualSpacing/>
        <w:jc w:val="both"/>
        <w:rPr>
          <w:sz w:val="24"/>
          <w:szCs w:val="24"/>
        </w:rPr>
      </w:pPr>
    </w:p>
    <w:p w14:paraId="48672549" w14:textId="0125CD70" w:rsidR="00AC51E5" w:rsidRPr="006A7AFF" w:rsidRDefault="00AA73A4"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Valor total a cargo del usuario.</w:t>
      </w:r>
    </w:p>
    <w:p w14:paraId="2299E93A" w14:textId="77777777" w:rsidR="00EF7D31" w:rsidRPr="006A7AFF" w:rsidRDefault="00EF7D31" w:rsidP="00C94D29">
      <w:pPr>
        <w:pStyle w:val="Prrafodelista"/>
        <w:tabs>
          <w:tab w:val="left" w:pos="1701"/>
        </w:tabs>
        <w:ind w:left="426"/>
        <w:contextualSpacing/>
        <w:jc w:val="both"/>
        <w:rPr>
          <w:rFonts w:cs="--unknown-1--"/>
          <w:sz w:val="24"/>
          <w:szCs w:val="24"/>
        </w:rPr>
      </w:pPr>
    </w:p>
    <w:p w14:paraId="653B0B01" w14:textId="7C08A649" w:rsidR="00EF7D31" w:rsidRPr="006A7AFF" w:rsidRDefault="00EE40D7"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D</w:t>
      </w:r>
      <w:r w:rsidR="00EF7D31" w:rsidRPr="006A7AFF">
        <w:rPr>
          <w:rFonts w:cs="--unknown-1--"/>
          <w:sz w:val="24"/>
          <w:szCs w:val="24"/>
        </w:rPr>
        <w:t>isponibilidad del servicio para cada mes del ciclo de facturación</w:t>
      </w:r>
      <w:r w:rsidR="00DC2785" w:rsidRPr="006A7AFF">
        <w:rPr>
          <w:rFonts w:cs="--unknown-1--"/>
          <w:sz w:val="24"/>
          <w:szCs w:val="24"/>
        </w:rPr>
        <w:t xml:space="preserve"> o, en el caso de energía prepagada, </w:t>
      </w:r>
      <w:r w:rsidR="008040F6" w:rsidRPr="006A7AFF">
        <w:rPr>
          <w:rFonts w:cs="--unknown-1--"/>
          <w:sz w:val="24"/>
          <w:szCs w:val="24"/>
        </w:rPr>
        <w:t xml:space="preserve">la cantidad de energía </w:t>
      </w:r>
      <w:r w:rsidR="003A3990" w:rsidRPr="006A7AFF">
        <w:rPr>
          <w:rFonts w:cs="--unknown-1--"/>
          <w:sz w:val="24"/>
          <w:szCs w:val="24"/>
        </w:rPr>
        <w:t>prepagada y la cantidad</w:t>
      </w:r>
      <w:r w:rsidR="00E3626D" w:rsidRPr="006A7AFF">
        <w:rPr>
          <w:rFonts w:cs="--unknown-1--"/>
          <w:sz w:val="24"/>
          <w:szCs w:val="24"/>
        </w:rPr>
        <w:t xml:space="preserve"> diaria de energía disponible según el </w:t>
      </w:r>
      <w:r w:rsidR="00DC13D9" w:rsidRPr="006A7AFF">
        <w:rPr>
          <w:rFonts w:cs="--unknown-1--"/>
          <w:sz w:val="24"/>
          <w:szCs w:val="24"/>
        </w:rPr>
        <w:t>nivel de servicio</w:t>
      </w:r>
      <w:r w:rsidR="00EF7D31" w:rsidRPr="006A7AFF">
        <w:rPr>
          <w:rFonts w:cs="--unknown-1--"/>
          <w:sz w:val="24"/>
          <w:szCs w:val="24"/>
        </w:rPr>
        <w:t>.</w:t>
      </w:r>
    </w:p>
    <w:p w14:paraId="112F1178" w14:textId="77777777" w:rsidR="00EF7D31" w:rsidRPr="006A7AFF" w:rsidRDefault="00EF7D31" w:rsidP="00C94D29">
      <w:pPr>
        <w:pStyle w:val="Prrafodelista"/>
        <w:tabs>
          <w:tab w:val="left" w:pos="1701"/>
        </w:tabs>
        <w:ind w:left="426"/>
        <w:contextualSpacing/>
        <w:jc w:val="both"/>
        <w:rPr>
          <w:rFonts w:cs="--unknown-1--"/>
          <w:sz w:val="24"/>
          <w:szCs w:val="24"/>
        </w:rPr>
      </w:pPr>
    </w:p>
    <w:p w14:paraId="4E861317" w14:textId="5697F71E" w:rsidR="00B16ED4" w:rsidRPr="006A7AFF" w:rsidRDefault="00B16ED4"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 xml:space="preserve">Fecha de inicio y de terminación del respectivo ciclo de </w:t>
      </w:r>
      <w:r w:rsidR="00BA12CA" w:rsidRPr="006A7AFF">
        <w:rPr>
          <w:rFonts w:cs="--unknown-1--"/>
          <w:sz w:val="24"/>
          <w:szCs w:val="24"/>
        </w:rPr>
        <w:t>facturación o, en el caso de energía prepagada,</w:t>
      </w:r>
      <w:r w:rsidR="00AC72C4" w:rsidRPr="006A7AFF">
        <w:rPr>
          <w:rFonts w:cs="--unknown-1--"/>
          <w:sz w:val="24"/>
          <w:szCs w:val="24"/>
        </w:rPr>
        <w:t xml:space="preserve"> fecha hasta la cual puede hacer uso de l</w:t>
      </w:r>
      <w:r w:rsidR="008E6784" w:rsidRPr="006A7AFF">
        <w:rPr>
          <w:rFonts w:cs="--unknown-1--"/>
          <w:sz w:val="24"/>
          <w:szCs w:val="24"/>
        </w:rPr>
        <w:t>a energía</w:t>
      </w:r>
      <w:r w:rsidRPr="006A7AFF">
        <w:rPr>
          <w:rFonts w:cs="--unknown-1--"/>
          <w:sz w:val="24"/>
          <w:szCs w:val="24"/>
        </w:rPr>
        <w:t>.</w:t>
      </w:r>
    </w:p>
    <w:p w14:paraId="10449A40" w14:textId="77777777" w:rsidR="00462921" w:rsidRPr="006A7AFF" w:rsidRDefault="00462921" w:rsidP="00462921">
      <w:pPr>
        <w:pStyle w:val="Prrafodelista"/>
        <w:tabs>
          <w:tab w:val="left" w:pos="1701"/>
        </w:tabs>
        <w:ind w:left="426"/>
        <w:contextualSpacing/>
        <w:jc w:val="both"/>
        <w:rPr>
          <w:rFonts w:cs="--unknown-1--"/>
          <w:sz w:val="24"/>
          <w:szCs w:val="24"/>
        </w:rPr>
      </w:pPr>
    </w:p>
    <w:p w14:paraId="797527B1" w14:textId="347C68BE" w:rsidR="0090192F" w:rsidRPr="006A7AFF" w:rsidRDefault="0090192F" w:rsidP="00C94D29">
      <w:pPr>
        <w:pStyle w:val="Prrafodelista"/>
        <w:numPr>
          <w:ilvl w:val="0"/>
          <w:numId w:val="28"/>
        </w:numPr>
        <w:tabs>
          <w:tab w:val="left" w:pos="1701"/>
        </w:tabs>
        <w:ind w:left="426" w:hanging="426"/>
        <w:contextualSpacing/>
        <w:jc w:val="both"/>
        <w:rPr>
          <w:rFonts w:cs="--unknown-1--"/>
          <w:sz w:val="24"/>
          <w:szCs w:val="24"/>
        </w:rPr>
      </w:pPr>
      <w:r w:rsidRPr="006A7AFF">
        <w:rPr>
          <w:rFonts w:cs="--unknown-1--"/>
          <w:sz w:val="24"/>
          <w:szCs w:val="24"/>
        </w:rPr>
        <w:t>Los valores no relacionados con la prestación del servicio que el us</w:t>
      </w:r>
      <w:r w:rsidR="00462921" w:rsidRPr="006A7AFF">
        <w:rPr>
          <w:rFonts w:cs="--unknown-1--"/>
          <w:sz w:val="24"/>
          <w:szCs w:val="24"/>
        </w:rPr>
        <w:t>u</w:t>
      </w:r>
      <w:r w:rsidRPr="006A7AFF">
        <w:rPr>
          <w:rFonts w:cs="--unknown-1--"/>
          <w:sz w:val="24"/>
          <w:szCs w:val="24"/>
        </w:rPr>
        <w:t xml:space="preserve">ario autorice </w:t>
      </w:r>
      <w:r w:rsidR="00462921" w:rsidRPr="006A7AFF">
        <w:rPr>
          <w:rFonts w:cs="--unknown-1--"/>
          <w:sz w:val="24"/>
          <w:szCs w:val="24"/>
        </w:rPr>
        <w:t xml:space="preserve">expresamente </w:t>
      </w:r>
      <w:r w:rsidRPr="006A7AFF">
        <w:rPr>
          <w:rFonts w:cs="--unknown-1--"/>
          <w:sz w:val="24"/>
          <w:szCs w:val="24"/>
        </w:rPr>
        <w:t xml:space="preserve">para que sean </w:t>
      </w:r>
      <w:r w:rsidR="00462921" w:rsidRPr="006A7AFF">
        <w:rPr>
          <w:rFonts w:cs="--unknown-1--"/>
          <w:sz w:val="24"/>
          <w:szCs w:val="24"/>
        </w:rPr>
        <w:t>incluidos en la factura.</w:t>
      </w:r>
    </w:p>
    <w:p w14:paraId="4149C119" w14:textId="77777777" w:rsidR="00B00115" w:rsidRPr="005C550A" w:rsidRDefault="00B00115" w:rsidP="007C6943">
      <w:pPr>
        <w:ind w:left="426"/>
        <w:rPr>
          <w:rFonts w:cs="--unknown-1--"/>
        </w:rPr>
      </w:pPr>
    </w:p>
    <w:p w14:paraId="23CB174E" w14:textId="154C773A" w:rsidR="00B00115" w:rsidRPr="005C550A" w:rsidRDefault="00B00115" w:rsidP="00C94D29">
      <w:pPr>
        <w:pStyle w:val="Prrafodelista"/>
        <w:numPr>
          <w:ilvl w:val="0"/>
          <w:numId w:val="28"/>
        </w:numPr>
        <w:tabs>
          <w:tab w:val="left" w:pos="1701"/>
        </w:tabs>
        <w:ind w:left="426" w:hanging="426"/>
        <w:contextualSpacing/>
        <w:jc w:val="both"/>
        <w:rPr>
          <w:rFonts w:cs="--unknown-1--"/>
          <w:sz w:val="24"/>
          <w:szCs w:val="24"/>
        </w:rPr>
      </w:pPr>
      <w:r w:rsidRPr="005C550A">
        <w:rPr>
          <w:rFonts w:cs="--unknown-1--"/>
          <w:sz w:val="24"/>
          <w:szCs w:val="24"/>
        </w:rPr>
        <w:t xml:space="preserve">Lo demás </w:t>
      </w:r>
      <w:r w:rsidR="00230B9B">
        <w:rPr>
          <w:rFonts w:cs="--unknown-1--"/>
          <w:sz w:val="24"/>
          <w:szCs w:val="24"/>
        </w:rPr>
        <w:t xml:space="preserve">que indique </w:t>
      </w:r>
      <w:r w:rsidR="00172433" w:rsidRPr="005C550A">
        <w:rPr>
          <w:rFonts w:cs="--unknown-1--"/>
          <w:sz w:val="24"/>
          <w:szCs w:val="24"/>
        </w:rPr>
        <w:t xml:space="preserve">la Resolución CREG </w:t>
      </w:r>
      <w:r w:rsidR="000174E2" w:rsidRPr="005C550A">
        <w:rPr>
          <w:rFonts w:cs="--unknown-1--"/>
          <w:sz w:val="24"/>
          <w:szCs w:val="24"/>
        </w:rPr>
        <w:t>108</w:t>
      </w:r>
      <w:r w:rsidR="00E31CB0" w:rsidRPr="005C550A">
        <w:rPr>
          <w:rFonts w:cs="--unknown-1--"/>
          <w:sz w:val="24"/>
          <w:szCs w:val="24"/>
        </w:rPr>
        <w:t xml:space="preserve"> de </w:t>
      </w:r>
      <w:r w:rsidR="00DE3CCD" w:rsidRPr="005C550A">
        <w:rPr>
          <w:rFonts w:cs="--unknown-1--"/>
          <w:sz w:val="24"/>
          <w:szCs w:val="24"/>
        </w:rPr>
        <w:t>1997</w:t>
      </w:r>
      <w:r w:rsidR="005C550A" w:rsidRPr="005C550A">
        <w:rPr>
          <w:rFonts w:cs="--unknown-1--"/>
          <w:sz w:val="24"/>
          <w:szCs w:val="24"/>
        </w:rPr>
        <w:t>, o aquellas que la modifiquen, adicionen o sustituyan.</w:t>
      </w:r>
    </w:p>
    <w:p w14:paraId="789C7BAC" w14:textId="77777777" w:rsidR="00AC51E5" w:rsidRDefault="00AC51E5" w:rsidP="00C94D29">
      <w:pPr>
        <w:tabs>
          <w:tab w:val="left" w:pos="1701"/>
        </w:tabs>
        <w:contextualSpacing/>
        <w:jc w:val="both"/>
        <w:rPr>
          <w:rFonts w:cs="--unknown-1--"/>
        </w:rPr>
      </w:pPr>
    </w:p>
    <w:p w14:paraId="0F28B88B" w14:textId="7AEF6323" w:rsidR="00821C0C" w:rsidRPr="00AA6039" w:rsidRDefault="00F15F03" w:rsidP="00C94D29">
      <w:pPr>
        <w:pStyle w:val="Ttulo7"/>
        <w:numPr>
          <w:ilvl w:val="0"/>
          <w:numId w:val="26"/>
        </w:numPr>
        <w:tabs>
          <w:tab w:val="num" w:pos="360"/>
          <w:tab w:val="left" w:pos="1701"/>
        </w:tabs>
        <w:spacing w:before="0" w:after="0"/>
        <w:contextualSpacing/>
        <w:jc w:val="both"/>
        <w:rPr>
          <w:rFonts w:ascii="Bookman Old Style" w:hAnsi="Bookman Old Style"/>
        </w:rPr>
      </w:pPr>
      <w:r w:rsidRPr="00AA6039">
        <w:rPr>
          <w:rFonts w:ascii="Bookman Old Style" w:hAnsi="Bookman Old Style"/>
          <w:b/>
        </w:rPr>
        <w:t>Solicitud de aprobación de cargos.</w:t>
      </w:r>
      <w:r w:rsidRPr="00AA6039">
        <w:rPr>
          <w:rFonts w:ascii="Bookman Old Style" w:hAnsi="Bookman Old Style"/>
          <w:bCs/>
        </w:rPr>
        <w:t xml:space="preserve"> Los prestadores del servicio no requerirán de la aprobación de cargos por parte de la CREG. Deberán determinar el valor a trasladar al usuario a partir de las fórmulas y valores especificados en esta resolución</w:t>
      </w:r>
      <w:r w:rsidR="00510F91" w:rsidRPr="00AA6039">
        <w:rPr>
          <w:rFonts w:ascii="Bookman Old Style" w:hAnsi="Bookman Old Style"/>
          <w:bCs/>
        </w:rPr>
        <w:t xml:space="preserve"> sin perjuicio </w:t>
      </w:r>
      <w:r w:rsidR="00B44DC8" w:rsidRPr="00AA6039">
        <w:rPr>
          <w:rFonts w:ascii="Bookman Old Style" w:hAnsi="Bookman Old Style"/>
          <w:bCs/>
        </w:rPr>
        <w:t xml:space="preserve">del ejercicio de </w:t>
      </w:r>
      <w:r w:rsidR="001E490E" w:rsidRPr="00AA6039">
        <w:rPr>
          <w:rFonts w:ascii="Bookman Old Style" w:hAnsi="Bookman Old Style"/>
          <w:bCs/>
        </w:rPr>
        <w:t>las</w:t>
      </w:r>
      <w:r w:rsidR="00B44DC8" w:rsidRPr="00AA6039">
        <w:rPr>
          <w:rFonts w:ascii="Bookman Old Style" w:hAnsi="Bookman Old Style"/>
          <w:bCs/>
        </w:rPr>
        <w:t xml:space="preserve"> funciones de vigilancia y control</w:t>
      </w:r>
      <w:r w:rsidR="00AD0F1B" w:rsidRPr="00AA6039">
        <w:rPr>
          <w:rFonts w:ascii="Bookman Old Style" w:hAnsi="Bookman Old Style"/>
          <w:bCs/>
        </w:rPr>
        <w:t xml:space="preserve"> que </w:t>
      </w:r>
      <w:r w:rsidR="00255497" w:rsidRPr="00AA6039">
        <w:rPr>
          <w:rFonts w:ascii="Bookman Old Style" w:hAnsi="Bookman Old Style"/>
          <w:bCs/>
        </w:rPr>
        <w:t>pueda ejercer</w:t>
      </w:r>
      <w:r w:rsidR="00AD0F1B" w:rsidRPr="00AA6039">
        <w:rPr>
          <w:rFonts w:ascii="Bookman Old Style" w:hAnsi="Bookman Old Style"/>
          <w:bCs/>
        </w:rPr>
        <w:t xml:space="preserve"> la SSPD</w:t>
      </w:r>
      <w:r w:rsidR="001E490E" w:rsidRPr="00AA6039">
        <w:rPr>
          <w:rFonts w:ascii="Bookman Old Style" w:hAnsi="Bookman Old Style"/>
          <w:bCs/>
        </w:rPr>
        <w:t xml:space="preserve"> </w:t>
      </w:r>
      <w:r w:rsidR="00511C1A" w:rsidRPr="00AA6039">
        <w:rPr>
          <w:rFonts w:ascii="Bookman Old Style" w:hAnsi="Bookman Old Style"/>
          <w:bCs/>
        </w:rPr>
        <w:t xml:space="preserve">para la verificación de su </w:t>
      </w:r>
      <w:r w:rsidR="00255497" w:rsidRPr="00AA6039">
        <w:rPr>
          <w:rFonts w:ascii="Bookman Old Style" w:hAnsi="Bookman Old Style"/>
          <w:bCs/>
        </w:rPr>
        <w:t xml:space="preserve">correcta </w:t>
      </w:r>
      <w:r w:rsidR="00511C1A" w:rsidRPr="00AA6039">
        <w:rPr>
          <w:rFonts w:ascii="Bookman Old Style" w:hAnsi="Bookman Old Style"/>
          <w:bCs/>
        </w:rPr>
        <w:t>aplicación.</w:t>
      </w:r>
    </w:p>
    <w:p w14:paraId="580423CD" w14:textId="77777777" w:rsidR="006A17DB" w:rsidRPr="00821C0C" w:rsidRDefault="006A17DB" w:rsidP="00C94D29">
      <w:pPr>
        <w:contextualSpacing/>
      </w:pPr>
    </w:p>
    <w:p w14:paraId="0B9319C8" w14:textId="5076EBBE" w:rsidR="00EB1E10" w:rsidRPr="00420CA2" w:rsidRDefault="0065523F" w:rsidP="00EB1E10">
      <w:pPr>
        <w:pStyle w:val="Ttulo7"/>
        <w:numPr>
          <w:ilvl w:val="0"/>
          <w:numId w:val="26"/>
        </w:numPr>
        <w:tabs>
          <w:tab w:val="num" w:pos="360"/>
          <w:tab w:val="left" w:pos="1701"/>
        </w:tabs>
        <w:spacing w:before="0" w:after="0"/>
        <w:contextualSpacing/>
        <w:jc w:val="both"/>
      </w:pPr>
      <w:r w:rsidRPr="00420CA2">
        <w:rPr>
          <w:rFonts w:ascii="Bookman Old Style" w:hAnsi="Bookman Old Style"/>
          <w:b/>
        </w:rPr>
        <w:t>Actualización</w:t>
      </w:r>
      <w:r w:rsidR="008158C5" w:rsidRPr="00420CA2">
        <w:rPr>
          <w:rFonts w:ascii="Bookman Old Style" w:hAnsi="Bookman Old Style"/>
          <w:b/>
        </w:rPr>
        <w:t xml:space="preserve"> de</w:t>
      </w:r>
      <w:r w:rsidR="008B7B5E">
        <w:rPr>
          <w:rFonts w:ascii="Bookman Old Style" w:hAnsi="Bookman Old Style"/>
          <w:b/>
        </w:rPr>
        <w:t xml:space="preserve"> parámetros</w:t>
      </w:r>
      <w:r w:rsidR="00D379EF">
        <w:rPr>
          <w:rFonts w:ascii="Bookman Old Style" w:hAnsi="Bookman Old Style"/>
          <w:b/>
        </w:rPr>
        <w:t xml:space="preserve"> de cálculo y</w:t>
      </w:r>
      <w:r w:rsidR="008158C5" w:rsidRPr="00420CA2">
        <w:rPr>
          <w:rFonts w:ascii="Bookman Old Style" w:hAnsi="Bookman Old Style"/>
          <w:b/>
        </w:rPr>
        <w:t xml:space="preserve"> </w:t>
      </w:r>
      <w:r w:rsidR="001211AC" w:rsidRPr="00420CA2">
        <w:rPr>
          <w:rFonts w:ascii="Bookman Old Style" w:hAnsi="Bookman Old Style"/>
          <w:b/>
        </w:rPr>
        <w:t>UC</w:t>
      </w:r>
      <w:r w:rsidR="008158C5" w:rsidRPr="00420CA2">
        <w:rPr>
          <w:rFonts w:ascii="Bookman Old Style" w:hAnsi="Bookman Old Style"/>
          <w:b/>
        </w:rPr>
        <w:t>.</w:t>
      </w:r>
      <w:r w:rsidR="00E74DB8" w:rsidRPr="00420CA2">
        <w:rPr>
          <w:rFonts w:ascii="Bookman Old Style" w:hAnsi="Bookman Old Style"/>
          <w:b/>
        </w:rPr>
        <w:t xml:space="preserve"> </w:t>
      </w:r>
      <w:r w:rsidR="00347D13" w:rsidRPr="00420CA2">
        <w:rPr>
          <w:rFonts w:ascii="Bookman Old Style" w:hAnsi="Bookman Old Style"/>
        </w:rPr>
        <w:t>De considerarlo pertinente,</w:t>
      </w:r>
      <w:r w:rsidR="00347D13" w:rsidRPr="00420CA2">
        <w:rPr>
          <w:rFonts w:ascii="Bookman Old Style" w:hAnsi="Bookman Old Style"/>
          <w:b/>
          <w:bCs/>
        </w:rPr>
        <w:t xml:space="preserve"> </w:t>
      </w:r>
      <w:r w:rsidR="00347D13" w:rsidRPr="00420CA2">
        <w:rPr>
          <w:rFonts w:ascii="Bookman Old Style" w:hAnsi="Bookman Old Style"/>
          <w:bCs/>
        </w:rPr>
        <w:t>l</w:t>
      </w:r>
      <w:r w:rsidR="00281676" w:rsidRPr="00420CA2">
        <w:rPr>
          <w:rFonts w:ascii="Bookman Old Style" w:hAnsi="Bookman Old Style"/>
          <w:bCs/>
        </w:rPr>
        <w:t xml:space="preserve">a </w:t>
      </w:r>
      <w:r w:rsidR="00281676" w:rsidRPr="00420CA2">
        <w:rPr>
          <w:rFonts w:ascii="Bookman Old Style" w:hAnsi="Bookman Old Style"/>
        </w:rPr>
        <w:t>CREG</w:t>
      </w:r>
      <w:r w:rsidR="00281676" w:rsidRPr="00420CA2">
        <w:rPr>
          <w:rFonts w:ascii="Bookman Old Style" w:hAnsi="Bookman Old Style"/>
          <w:b/>
        </w:rPr>
        <w:t xml:space="preserve"> </w:t>
      </w:r>
      <w:r w:rsidR="00281676" w:rsidRPr="00420CA2">
        <w:rPr>
          <w:rFonts w:ascii="Bookman Old Style" w:hAnsi="Bookman Old Style"/>
        </w:rPr>
        <w:t xml:space="preserve">podrá actualizar </w:t>
      </w:r>
      <w:r w:rsidR="00F2677A" w:rsidRPr="00420CA2">
        <w:rPr>
          <w:rFonts w:ascii="Bookman Old Style" w:hAnsi="Bookman Old Style"/>
          <w:bCs/>
        </w:rPr>
        <w:t>de oficio</w:t>
      </w:r>
      <w:r w:rsidR="008B7B5E">
        <w:rPr>
          <w:rFonts w:ascii="Bookman Old Style" w:hAnsi="Bookman Old Style"/>
          <w:bCs/>
        </w:rPr>
        <w:t xml:space="preserve"> los parámetros que determinan el valor de las variables de cálculo </w:t>
      </w:r>
      <m:oMath>
        <m:sSub>
          <m:sSubPr>
            <m:ctrlPr>
              <w:rPr>
                <w:rFonts w:ascii="Cambria Math" w:hAnsi="Cambria Math"/>
                <w:i/>
              </w:rPr>
            </m:ctrlPr>
          </m:sSubPr>
          <m:e>
            <m:r>
              <w:rPr>
                <w:rFonts w:ascii="Cambria Math" w:hAnsi="Cambria Math"/>
              </w:rPr>
              <m:t>VI</m:t>
            </m:r>
          </m:e>
          <m:sub>
            <m:r>
              <w:rPr>
                <w:rFonts w:ascii="Cambria Math" w:hAnsi="Cambria Math"/>
              </w:rPr>
              <m:t>j,0</m:t>
            </m:r>
          </m:sub>
        </m:sSub>
      </m:oMath>
      <w:r w:rsidR="008B7B5E" w:rsidRPr="003B488E">
        <w:rPr>
          <w:rFonts w:cs="Arial"/>
        </w:rPr>
        <w:t xml:space="preserve">, </w:t>
      </w:r>
      <m:oMath>
        <m:sSub>
          <m:sSubPr>
            <m:ctrlPr>
              <w:rPr>
                <w:rFonts w:ascii="Cambria Math" w:hAnsi="Cambria Math"/>
                <w:i/>
              </w:rPr>
            </m:ctrlPr>
          </m:sSubPr>
          <m:e>
            <m:r>
              <w:rPr>
                <w:rFonts w:ascii="Cambria Math" w:hAnsi="Cambria Math"/>
              </w:rPr>
              <m:t>VU</m:t>
            </m:r>
          </m:e>
          <m:sub>
            <m:r>
              <w:rPr>
                <w:rFonts w:ascii="Cambria Math" w:hAnsi="Cambria Math"/>
              </w:rPr>
              <m:t>j</m:t>
            </m:r>
          </m:sub>
        </m:sSub>
      </m:oMath>
      <w:r w:rsidR="008B7B5E" w:rsidRPr="003B488E">
        <w:rPr>
          <w:rFonts w:cs="Arial"/>
        </w:rPr>
        <w:t xml:space="preserve">, </w:t>
      </w:r>
      <m:oMath>
        <m:sSub>
          <m:sSubPr>
            <m:ctrlPr>
              <w:rPr>
                <w:rFonts w:ascii="Cambria Math" w:hAnsi="Cambria Math"/>
                <w:i/>
              </w:rPr>
            </m:ctrlPr>
          </m:sSubPr>
          <m:e>
            <m:r>
              <w:rPr>
                <w:rFonts w:ascii="Cambria Math" w:hAnsi="Cambria Math"/>
              </w:rPr>
              <m:t>TFUC</m:t>
            </m:r>
          </m:e>
          <m:sub>
            <m:r>
              <w:rPr>
                <w:rFonts w:ascii="Cambria Math" w:hAnsi="Cambria Math"/>
              </w:rPr>
              <m:t>j</m:t>
            </m:r>
          </m:sub>
        </m:sSub>
      </m:oMath>
      <w:r w:rsidR="008B7B5E" w:rsidRPr="003B488E">
        <w:rPr>
          <w:rFonts w:cs="Arial"/>
        </w:rPr>
        <w:t xml:space="preserve">, </w:t>
      </w:r>
      <m:oMath>
        <m:sSub>
          <m:sSubPr>
            <m:ctrlPr>
              <w:rPr>
                <w:rFonts w:ascii="Cambria Math" w:hAnsi="Cambria Math"/>
                <w:i/>
                <w:color w:val="000000" w:themeColor="text1"/>
              </w:rPr>
            </m:ctrlPr>
          </m:sSubPr>
          <m:e>
            <m:r>
              <w:rPr>
                <w:rFonts w:ascii="Cambria Math" w:hAnsi="Cambria Math"/>
                <w:color w:val="000000" w:themeColor="text1"/>
              </w:rPr>
              <m:t>MP</m:t>
            </m:r>
          </m:e>
          <m:sub>
            <m:r>
              <w:rPr>
                <w:rFonts w:ascii="Cambria Math" w:hAnsi="Cambria Math"/>
                <w:color w:val="000000" w:themeColor="text1"/>
              </w:rPr>
              <m:t>NS,u,0</m:t>
            </m:r>
          </m:sub>
        </m:sSub>
      </m:oMath>
      <w:r w:rsidR="008B7B5E" w:rsidRPr="003B488E">
        <w:rPr>
          <w:rFonts w:cs="Arial"/>
        </w:rPr>
        <w:t xml:space="preserve">, </w:t>
      </w:r>
      <m:oMath>
        <m:sSub>
          <m:sSubPr>
            <m:ctrlPr>
              <w:rPr>
                <w:rFonts w:ascii="Cambria Math" w:hAnsi="Cambria Math"/>
                <w:i/>
                <w:color w:val="000000" w:themeColor="text1"/>
              </w:rPr>
            </m:ctrlPr>
          </m:sSubPr>
          <m:e>
            <m:r>
              <w:rPr>
                <w:rFonts w:ascii="Cambria Math" w:hAnsi="Cambria Math"/>
                <w:color w:val="000000" w:themeColor="text1"/>
              </w:rPr>
              <m:t>MC</m:t>
            </m:r>
          </m:e>
          <m:sub>
            <m:r>
              <w:rPr>
                <w:rFonts w:ascii="Cambria Math" w:hAnsi="Cambria Math"/>
                <w:color w:val="000000" w:themeColor="text1"/>
              </w:rPr>
              <m:t>NS,u,0</m:t>
            </m:r>
          </m:sub>
        </m:sSub>
      </m:oMath>
      <w:r w:rsidR="00F2677A" w:rsidRPr="00420CA2">
        <w:rPr>
          <w:rFonts w:ascii="Bookman Old Style" w:hAnsi="Bookman Old Style"/>
          <w:bCs/>
        </w:rPr>
        <w:t xml:space="preserve"> </w:t>
      </w:r>
      <w:r w:rsidR="008B7B5E">
        <w:rPr>
          <w:rFonts w:ascii="Bookman Old Style" w:hAnsi="Bookman Old Style"/>
          <w:bCs/>
        </w:rPr>
        <w:t xml:space="preserve">y </w:t>
      </w:r>
      <w:r w:rsidR="00281676" w:rsidRPr="00420CA2">
        <w:rPr>
          <w:rFonts w:ascii="Bookman Old Style" w:hAnsi="Bookman Old Style"/>
        </w:rPr>
        <w:t xml:space="preserve">el valor </w:t>
      </w:r>
      <w:r w:rsidR="00E611A3" w:rsidRPr="00420CA2">
        <w:rPr>
          <w:rFonts w:ascii="Bookman Old Style" w:hAnsi="Bookman Old Style"/>
        </w:rPr>
        <w:t xml:space="preserve">de </w:t>
      </w:r>
      <w:r w:rsidR="00477C3E" w:rsidRPr="00420CA2">
        <w:rPr>
          <w:rFonts w:ascii="Bookman Old Style" w:hAnsi="Bookman Old Style"/>
        </w:rPr>
        <w:t>inversión de las unidades constructivas</w:t>
      </w:r>
      <w:r w:rsidR="00AD477D" w:rsidRPr="00420CA2">
        <w:rPr>
          <w:rFonts w:ascii="Bookman Old Style" w:hAnsi="Bookman Old Style"/>
          <w:bCs/>
        </w:rPr>
        <w:t xml:space="preserve">, </w:t>
      </w:r>
      <w:r w:rsidR="00AD477D" w:rsidRPr="00420CA2">
        <w:rPr>
          <w:rFonts w:ascii="Bookman Old Style" w:hAnsi="Bookman Old Style"/>
        </w:rPr>
        <w:t>en función de</w:t>
      </w:r>
      <w:r w:rsidR="00794391" w:rsidRPr="00420CA2">
        <w:rPr>
          <w:rFonts w:ascii="Bookman Old Style" w:hAnsi="Bookman Old Style"/>
        </w:rPr>
        <w:t>l comportamiento del costo de dichos elementos</w:t>
      </w:r>
      <w:r w:rsidR="00316E83" w:rsidRPr="00420CA2">
        <w:rPr>
          <w:rFonts w:ascii="Bookman Old Style" w:hAnsi="Bookman Old Style"/>
          <w:bCs/>
        </w:rPr>
        <w:t xml:space="preserve">, cambios en los parámetros </w:t>
      </w:r>
      <w:r w:rsidR="00E55A36" w:rsidRPr="00420CA2">
        <w:rPr>
          <w:rFonts w:ascii="Bookman Old Style" w:hAnsi="Bookman Old Style"/>
          <w:bCs/>
        </w:rPr>
        <w:t xml:space="preserve">de cálculo </w:t>
      </w:r>
      <w:r w:rsidR="00E13DC6" w:rsidRPr="00420CA2">
        <w:rPr>
          <w:rFonts w:ascii="Bookman Old Style" w:hAnsi="Bookman Old Style"/>
          <w:bCs/>
        </w:rPr>
        <w:t xml:space="preserve">o mejoras en </w:t>
      </w:r>
      <w:r w:rsidR="00347D13" w:rsidRPr="00420CA2">
        <w:rPr>
          <w:rFonts w:ascii="Bookman Old Style" w:hAnsi="Bookman Old Style"/>
          <w:bCs/>
        </w:rPr>
        <w:t xml:space="preserve">la </w:t>
      </w:r>
      <w:r w:rsidR="00E13DC6" w:rsidRPr="00420CA2">
        <w:rPr>
          <w:rFonts w:ascii="Bookman Old Style" w:hAnsi="Bookman Old Style"/>
          <w:bCs/>
        </w:rPr>
        <w:t>tecnología</w:t>
      </w:r>
      <w:r w:rsidR="00794391" w:rsidRPr="00420CA2">
        <w:rPr>
          <w:rFonts w:ascii="Bookman Old Style" w:hAnsi="Bookman Old Style"/>
          <w:bCs/>
        </w:rPr>
        <w:t xml:space="preserve">. </w:t>
      </w:r>
      <w:r w:rsidR="007A7348" w:rsidRPr="00420CA2">
        <w:rPr>
          <w:rFonts w:ascii="Bookman Old Style" w:hAnsi="Bookman Old Style"/>
          <w:bCs/>
        </w:rPr>
        <w:t>Para la actualización de los nuevos valores se tendrán en cuenta las siguientes reglas</w:t>
      </w:r>
      <w:r w:rsidR="00B47DDF" w:rsidRPr="00420CA2">
        <w:rPr>
          <w:rFonts w:ascii="Bookman Old Style" w:hAnsi="Bookman Old Style"/>
          <w:bCs/>
        </w:rPr>
        <w:t xml:space="preserve">: </w:t>
      </w:r>
    </w:p>
    <w:p w14:paraId="287AEB17" w14:textId="77777777" w:rsidR="00EB1E10" w:rsidRPr="00420CA2" w:rsidRDefault="00EB1E10" w:rsidP="00EB1E10">
      <w:pPr>
        <w:pStyle w:val="Ttulo7"/>
        <w:tabs>
          <w:tab w:val="left" w:pos="1701"/>
        </w:tabs>
        <w:spacing w:before="0" w:after="0"/>
        <w:contextualSpacing/>
        <w:jc w:val="both"/>
        <w:rPr>
          <w:rFonts w:ascii="Bookman Old Style" w:hAnsi="Bookman Old Style"/>
          <w:b/>
        </w:rPr>
      </w:pPr>
    </w:p>
    <w:p w14:paraId="66822BB4" w14:textId="387D14BD" w:rsidR="0030558F" w:rsidRPr="00420CA2" w:rsidRDefault="0019193E" w:rsidP="00DA39E5">
      <w:pPr>
        <w:pStyle w:val="Prrafodelista"/>
        <w:numPr>
          <w:ilvl w:val="0"/>
          <w:numId w:val="30"/>
        </w:numPr>
        <w:tabs>
          <w:tab w:val="left" w:pos="1701"/>
        </w:tabs>
        <w:ind w:left="426" w:hanging="426"/>
        <w:contextualSpacing/>
        <w:jc w:val="both"/>
        <w:rPr>
          <w:rFonts w:cs="--unknown-1--"/>
          <w:sz w:val="24"/>
          <w:szCs w:val="24"/>
        </w:rPr>
      </w:pPr>
      <w:r w:rsidRPr="00420CA2">
        <w:rPr>
          <w:rFonts w:cs="--unknown-1--"/>
          <w:sz w:val="24"/>
          <w:szCs w:val="24"/>
        </w:rPr>
        <w:t xml:space="preserve">Los nuevos valores serán aplicables al cálculo de cargos solo para aquellas </w:t>
      </w:r>
      <w:r w:rsidR="00EE03EF" w:rsidRPr="00420CA2">
        <w:rPr>
          <w:rFonts w:cs="--unknown-1--"/>
          <w:sz w:val="24"/>
          <w:szCs w:val="24"/>
        </w:rPr>
        <w:t xml:space="preserve">inversiones efectuadas </w:t>
      </w:r>
      <w:r w:rsidRPr="00420CA2">
        <w:rPr>
          <w:rFonts w:cs="--unknown-1--"/>
          <w:sz w:val="24"/>
          <w:szCs w:val="24"/>
        </w:rPr>
        <w:t>con posterior</w:t>
      </w:r>
      <w:r w:rsidR="00FB6F01" w:rsidRPr="00420CA2">
        <w:rPr>
          <w:rFonts w:cs="--unknown-1--"/>
          <w:sz w:val="24"/>
          <w:szCs w:val="24"/>
        </w:rPr>
        <w:t>idad</w:t>
      </w:r>
      <w:r w:rsidRPr="00420CA2">
        <w:rPr>
          <w:rFonts w:cs="--unknown-1--"/>
          <w:sz w:val="24"/>
          <w:szCs w:val="24"/>
        </w:rPr>
        <w:t xml:space="preserve"> a la correspondiente actualización</w:t>
      </w:r>
      <w:r w:rsidR="006E3C79">
        <w:rPr>
          <w:rFonts w:cs="--unknown-1--"/>
          <w:sz w:val="24"/>
          <w:szCs w:val="24"/>
        </w:rPr>
        <w:t xml:space="preserve"> o</w:t>
      </w:r>
      <w:r w:rsidR="005E025E">
        <w:rPr>
          <w:rFonts w:cs="--unknown-1--"/>
          <w:sz w:val="24"/>
          <w:szCs w:val="24"/>
        </w:rPr>
        <w:t xml:space="preserve"> para el caso</w:t>
      </w:r>
      <w:r w:rsidR="006E3C79">
        <w:rPr>
          <w:rFonts w:cs="--unknown-1--"/>
          <w:sz w:val="24"/>
          <w:szCs w:val="24"/>
        </w:rPr>
        <w:t xml:space="preserve"> cuando se atiendan nuevos usuarios</w:t>
      </w:r>
      <w:r w:rsidRPr="00420CA2">
        <w:rPr>
          <w:rFonts w:cs="--unknown-1--"/>
          <w:sz w:val="24"/>
          <w:szCs w:val="24"/>
        </w:rPr>
        <w:t>.</w:t>
      </w:r>
    </w:p>
    <w:p w14:paraId="4424DA51" w14:textId="77777777" w:rsidR="00DA39E5" w:rsidRPr="00420CA2" w:rsidRDefault="00DA39E5" w:rsidP="00DA39E5">
      <w:pPr>
        <w:pStyle w:val="Prrafodelista"/>
        <w:tabs>
          <w:tab w:val="left" w:pos="1701"/>
        </w:tabs>
        <w:ind w:left="426"/>
        <w:contextualSpacing/>
        <w:jc w:val="both"/>
        <w:rPr>
          <w:rFonts w:cs="--unknown-1--"/>
          <w:sz w:val="24"/>
          <w:szCs w:val="24"/>
        </w:rPr>
      </w:pPr>
    </w:p>
    <w:p w14:paraId="28AEB3E6" w14:textId="6AABD488" w:rsidR="00E504F3" w:rsidRPr="00420CA2" w:rsidRDefault="00E20A01" w:rsidP="00DA39E5">
      <w:pPr>
        <w:pStyle w:val="Prrafodelista"/>
        <w:numPr>
          <w:ilvl w:val="0"/>
          <w:numId w:val="30"/>
        </w:numPr>
        <w:tabs>
          <w:tab w:val="left" w:pos="1701"/>
        </w:tabs>
        <w:ind w:left="426" w:hanging="426"/>
        <w:contextualSpacing/>
        <w:jc w:val="both"/>
        <w:rPr>
          <w:rFonts w:cs="--unknown-1--"/>
          <w:sz w:val="24"/>
          <w:szCs w:val="24"/>
        </w:rPr>
      </w:pPr>
      <w:r w:rsidRPr="00420CA2">
        <w:rPr>
          <w:rFonts w:cs="--unknown-1--"/>
          <w:sz w:val="24"/>
          <w:szCs w:val="24"/>
        </w:rPr>
        <w:t>En</w:t>
      </w:r>
      <w:r w:rsidR="004631A7" w:rsidRPr="00420CA2">
        <w:rPr>
          <w:rFonts w:cs="--unknown-1--"/>
          <w:sz w:val="24"/>
          <w:szCs w:val="24"/>
        </w:rPr>
        <w:t xml:space="preserve"> caso de que un prestador del servicio lo considere, podrá solicitar a esta Comisión</w:t>
      </w:r>
      <w:r w:rsidR="0030558F" w:rsidRPr="00420CA2">
        <w:rPr>
          <w:rFonts w:cs="--unknown-1--"/>
          <w:sz w:val="24"/>
          <w:szCs w:val="24"/>
        </w:rPr>
        <w:t xml:space="preserve">, con los soportes </w:t>
      </w:r>
      <w:r w:rsidR="00E504F3" w:rsidRPr="00420CA2">
        <w:rPr>
          <w:rFonts w:cs="--unknown-1--"/>
          <w:sz w:val="24"/>
          <w:szCs w:val="24"/>
        </w:rPr>
        <w:t>correspondientes, la</w:t>
      </w:r>
      <w:r w:rsidR="00471C06" w:rsidRPr="00420CA2">
        <w:rPr>
          <w:rFonts w:cs="--unknown-1--"/>
          <w:sz w:val="24"/>
          <w:szCs w:val="24"/>
        </w:rPr>
        <w:t xml:space="preserve"> </w:t>
      </w:r>
      <w:r w:rsidR="005B7A2E" w:rsidRPr="00420CA2">
        <w:rPr>
          <w:rFonts w:cs="--unknown-1--"/>
          <w:sz w:val="24"/>
          <w:szCs w:val="24"/>
        </w:rPr>
        <w:t>actualización de</w:t>
      </w:r>
      <w:r w:rsidR="00471C06" w:rsidRPr="00420CA2">
        <w:rPr>
          <w:rFonts w:cs="--unknown-1--"/>
          <w:sz w:val="24"/>
          <w:szCs w:val="24"/>
        </w:rPr>
        <w:t xml:space="preserve"> los valores de </w:t>
      </w:r>
      <w:r w:rsidR="006531E4">
        <w:rPr>
          <w:rFonts w:cs="--unknown-1--"/>
          <w:sz w:val="24"/>
          <w:szCs w:val="24"/>
        </w:rPr>
        <w:t xml:space="preserve">los parámetros indicados en este artículo y de las </w:t>
      </w:r>
      <w:r w:rsidR="00471C06" w:rsidRPr="00420CA2">
        <w:rPr>
          <w:rFonts w:cs="--unknown-1--"/>
          <w:sz w:val="24"/>
          <w:szCs w:val="24"/>
        </w:rPr>
        <w:t xml:space="preserve">unidades constructivas, así como la </w:t>
      </w:r>
      <w:r w:rsidR="004631A7" w:rsidRPr="00420CA2">
        <w:rPr>
          <w:rFonts w:cs="--unknown-1--"/>
          <w:sz w:val="24"/>
          <w:szCs w:val="24"/>
        </w:rPr>
        <w:t xml:space="preserve">inclusión de </w:t>
      </w:r>
      <w:r w:rsidR="00471C06" w:rsidRPr="00420CA2">
        <w:rPr>
          <w:rFonts w:cs="--unknown-1--"/>
          <w:sz w:val="24"/>
          <w:szCs w:val="24"/>
        </w:rPr>
        <w:t>nuevas</w:t>
      </w:r>
      <w:r w:rsidR="006C0220" w:rsidRPr="00420CA2">
        <w:rPr>
          <w:rFonts w:cs="--unknown-1--"/>
          <w:sz w:val="24"/>
          <w:szCs w:val="24"/>
        </w:rPr>
        <w:t xml:space="preserve"> unidades constructivas.</w:t>
      </w:r>
    </w:p>
    <w:p w14:paraId="6D1935B3" w14:textId="77777777" w:rsidR="00DA39E5" w:rsidRPr="00420CA2" w:rsidRDefault="00DA39E5" w:rsidP="00DA39E5">
      <w:pPr>
        <w:pStyle w:val="Prrafodelista"/>
        <w:tabs>
          <w:tab w:val="left" w:pos="1701"/>
        </w:tabs>
        <w:ind w:left="426"/>
        <w:contextualSpacing/>
        <w:jc w:val="both"/>
        <w:rPr>
          <w:rFonts w:cs="--unknown-1--"/>
          <w:sz w:val="24"/>
          <w:szCs w:val="24"/>
        </w:rPr>
      </w:pPr>
    </w:p>
    <w:p w14:paraId="52B133A5" w14:textId="07F4B5AD" w:rsidR="00C85ADC" w:rsidRPr="00420CA2" w:rsidRDefault="00A27AB8" w:rsidP="00DA39E5">
      <w:pPr>
        <w:pStyle w:val="Prrafodelista"/>
        <w:numPr>
          <w:ilvl w:val="0"/>
          <w:numId w:val="30"/>
        </w:numPr>
        <w:tabs>
          <w:tab w:val="left" w:pos="1701"/>
        </w:tabs>
        <w:ind w:left="426" w:hanging="426"/>
        <w:contextualSpacing/>
        <w:jc w:val="both"/>
        <w:rPr>
          <w:rFonts w:cs="--unknown-1--"/>
          <w:sz w:val="24"/>
          <w:szCs w:val="24"/>
        </w:rPr>
      </w:pPr>
      <w:r w:rsidRPr="00420CA2">
        <w:rPr>
          <w:rFonts w:cs="--unknown-1--"/>
          <w:sz w:val="24"/>
          <w:szCs w:val="24"/>
        </w:rPr>
        <w:t>Los nuevos valores o nuevas unidades constructivas</w:t>
      </w:r>
      <w:r w:rsidR="004631A7" w:rsidRPr="00420CA2">
        <w:rPr>
          <w:rFonts w:cs="--unknown-1--"/>
          <w:sz w:val="24"/>
          <w:szCs w:val="24"/>
        </w:rPr>
        <w:t xml:space="preserve"> serán incorporadas a esta metodología tarifaria mediante</w:t>
      </w:r>
      <w:r w:rsidR="000820D5" w:rsidRPr="00420CA2">
        <w:rPr>
          <w:rFonts w:cs="--unknown-1--"/>
          <w:sz w:val="24"/>
          <w:szCs w:val="24"/>
        </w:rPr>
        <w:t xml:space="preserve"> acto administrativo de</w:t>
      </w:r>
      <w:r w:rsidR="00B453C2" w:rsidRPr="00420CA2">
        <w:rPr>
          <w:rFonts w:cs="--unknown-1--"/>
          <w:sz w:val="24"/>
          <w:szCs w:val="24"/>
        </w:rPr>
        <w:t xml:space="preserve"> carácter general </w:t>
      </w:r>
      <w:r w:rsidR="000820D5" w:rsidRPr="00420CA2">
        <w:rPr>
          <w:rFonts w:cs="--unknown-1--"/>
          <w:sz w:val="24"/>
          <w:szCs w:val="24"/>
        </w:rPr>
        <w:t xml:space="preserve">que </w:t>
      </w:r>
      <w:r w:rsidR="004631A7" w:rsidRPr="00420CA2">
        <w:rPr>
          <w:rFonts w:cs="--unknown-1--"/>
          <w:sz w:val="24"/>
          <w:szCs w:val="24"/>
        </w:rPr>
        <w:t>adici</w:t>
      </w:r>
      <w:r w:rsidR="002B3C96" w:rsidRPr="00420CA2">
        <w:rPr>
          <w:rFonts w:cs="--unknown-1--"/>
          <w:sz w:val="24"/>
          <w:szCs w:val="24"/>
        </w:rPr>
        <w:t>on</w:t>
      </w:r>
      <w:r w:rsidR="00B453C2" w:rsidRPr="00420CA2">
        <w:rPr>
          <w:rFonts w:cs="--unknown-1--"/>
          <w:sz w:val="24"/>
          <w:szCs w:val="24"/>
        </w:rPr>
        <w:t>ará</w:t>
      </w:r>
      <w:r w:rsidR="00546253" w:rsidRPr="00420CA2">
        <w:rPr>
          <w:rFonts w:cs="--unknown-1--"/>
          <w:sz w:val="24"/>
          <w:szCs w:val="24"/>
        </w:rPr>
        <w:t xml:space="preserve"> esta resolución</w:t>
      </w:r>
      <w:r w:rsidR="00420CA2" w:rsidRPr="00420CA2">
        <w:rPr>
          <w:rFonts w:cs="--unknown-1--"/>
          <w:sz w:val="24"/>
          <w:szCs w:val="24"/>
        </w:rPr>
        <w:t>.</w:t>
      </w:r>
    </w:p>
    <w:p w14:paraId="3A56E387" w14:textId="77777777" w:rsidR="008C2B5A" w:rsidRDefault="008C2B5A" w:rsidP="00C94D29">
      <w:pPr>
        <w:contextualSpacing/>
      </w:pPr>
    </w:p>
    <w:p w14:paraId="03E4713D" w14:textId="0DBADF32" w:rsidR="00E0277C" w:rsidRDefault="00BA6CE2" w:rsidP="00045016">
      <w:pPr>
        <w:pStyle w:val="Ttulo7"/>
        <w:numPr>
          <w:ilvl w:val="0"/>
          <w:numId w:val="26"/>
        </w:numPr>
        <w:tabs>
          <w:tab w:val="num" w:pos="360"/>
          <w:tab w:val="left" w:pos="1701"/>
        </w:tabs>
        <w:spacing w:before="0" w:after="0"/>
        <w:contextualSpacing/>
        <w:jc w:val="both"/>
        <w:rPr>
          <w:rFonts w:ascii="Bookman Old Style" w:hAnsi="Bookman Old Style"/>
          <w:bCs/>
        </w:rPr>
      </w:pPr>
      <w:r w:rsidRPr="008F739D">
        <w:rPr>
          <w:rFonts w:ascii="Bookman Old Style" w:hAnsi="Bookman Old Style"/>
          <w:b/>
        </w:rPr>
        <w:t>Elemento para determina</w:t>
      </w:r>
      <w:r w:rsidR="008F739D" w:rsidRPr="008F739D">
        <w:rPr>
          <w:rFonts w:ascii="Bookman Old Style" w:hAnsi="Bookman Old Style"/>
          <w:b/>
        </w:rPr>
        <w:t>r</w:t>
      </w:r>
      <w:r w:rsidRPr="008F739D">
        <w:rPr>
          <w:rFonts w:ascii="Bookman Old Style" w:hAnsi="Bookman Old Style"/>
          <w:b/>
        </w:rPr>
        <w:t xml:space="preserve"> de la disponibilidad del servicio.</w:t>
      </w:r>
      <w:r w:rsidRPr="008F739D">
        <w:rPr>
          <w:rFonts w:ascii="Bookman Old Style" w:hAnsi="Bookman Old Style"/>
          <w:bCs/>
        </w:rPr>
        <w:t xml:space="preserve"> </w:t>
      </w:r>
      <w:r w:rsidR="00E0277C" w:rsidRPr="008F739D">
        <w:rPr>
          <w:rFonts w:ascii="Bookman Old Style" w:hAnsi="Bookman Old Style"/>
          <w:bCs/>
        </w:rPr>
        <w:t xml:space="preserve">Los prestadores del servicio </w:t>
      </w:r>
      <w:r w:rsidRPr="008F739D">
        <w:rPr>
          <w:rFonts w:ascii="Bookman Old Style" w:hAnsi="Bookman Old Style"/>
          <w:bCs/>
        </w:rPr>
        <w:t xml:space="preserve">contarán con un </w:t>
      </w:r>
      <w:r w:rsidR="00E0277C" w:rsidRPr="008F739D">
        <w:rPr>
          <w:rFonts w:ascii="Bookman Old Style" w:hAnsi="Bookman Old Style"/>
          <w:bCs/>
        </w:rPr>
        <w:t xml:space="preserve">periodo de seis (6) meses </w:t>
      </w:r>
      <w:r w:rsidRPr="008F739D">
        <w:rPr>
          <w:rFonts w:ascii="Bookman Old Style" w:hAnsi="Bookman Old Style"/>
          <w:bCs/>
        </w:rPr>
        <w:t xml:space="preserve">contados a partir de la entrada en vigencia de la presente resolución </w:t>
      </w:r>
      <w:r w:rsidR="00E0277C" w:rsidRPr="008F739D">
        <w:rPr>
          <w:rFonts w:ascii="Bookman Old Style" w:hAnsi="Bookman Old Style"/>
          <w:bCs/>
        </w:rPr>
        <w:t xml:space="preserve">para </w:t>
      </w:r>
      <w:r w:rsidRPr="008F739D">
        <w:rPr>
          <w:rFonts w:ascii="Bookman Old Style" w:hAnsi="Bookman Old Style"/>
          <w:bCs/>
        </w:rPr>
        <w:t>instalar</w:t>
      </w:r>
      <w:r w:rsidR="00E0277C" w:rsidRPr="008F739D">
        <w:rPr>
          <w:rFonts w:ascii="Bookman Old Style" w:hAnsi="Bookman Old Style"/>
          <w:bCs/>
        </w:rPr>
        <w:t xml:space="preserve"> el elemento</w:t>
      </w:r>
      <w:r w:rsidRPr="008F739D">
        <w:rPr>
          <w:rFonts w:ascii="Bookman Old Style" w:hAnsi="Bookman Old Style"/>
          <w:bCs/>
        </w:rPr>
        <w:t xml:space="preserve"> </w:t>
      </w:r>
      <w:r w:rsidR="008F739D" w:rsidRPr="008F739D">
        <w:rPr>
          <w:rFonts w:ascii="Bookman Old Style" w:hAnsi="Bookman Old Style"/>
          <w:bCs/>
        </w:rPr>
        <w:t xml:space="preserve">que consideren </w:t>
      </w:r>
      <w:r w:rsidRPr="008F739D">
        <w:rPr>
          <w:rFonts w:ascii="Bookman Old Style" w:hAnsi="Bookman Old Style"/>
          <w:bCs/>
        </w:rPr>
        <w:t xml:space="preserve">idóneo para determinar la disponibilidad de la prestación del servicio. Lo anterior, </w:t>
      </w:r>
      <w:r w:rsidR="00E0277C" w:rsidRPr="008F739D">
        <w:rPr>
          <w:rFonts w:ascii="Bookman Old Style" w:hAnsi="Bookman Old Style"/>
          <w:bCs/>
        </w:rPr>
        <w:t xml:space="preserve">sin perjuicio </w:t>
      </w:r>
      <w:r w:rsidR="008F739D">
        <w:rPr>
          <w:rFonts w:ascii="Bookman Old Style" w:hAnsi="Bookman Old Style"/>
          <w:bCs/>
        </w:rPr>
        <w:t xml:space="preserve">de </w:t>
      </w:r>
      <w:r w:rsidR="00E0277C" w:rsidRPr="008F739D">
        <w:rPr>
          <w:rFonts w:ascii="Bookman Old Style" w:hAnsi="Bookman Old Style"/>
          <w:bCs/>
        </w:rPr>
        <w:t xml:space="preserve">que </w:t>
      </w:r>
      <w:r w:rsidR="000A7CE0">
        <w:rPr>
          <w:rFonts w:ascii="Bookman Old Style" w:hAnsi="Bookman Old Style"/>
          <w:bCs/>
        </w:rPr>
        <w:t xml:space="preserve">durante este plazo </w:t>
      </w:r>
      <w:r w:rsidR="008F739D" w:rsidRPr="008F739D">
        <w:rPr>
          <w:rFonts w:ascii="Bookman Old Style" w:hAnsi="Bookman Old Style"/>
          <w:bCs/>
        </w:rPr>
        <w:t xml:space="preserve">el usuario </w:t>
      </w:r>
      <w:r w:rsidR="00850CCD">
        <w:rPr>
          <w:rFonts w:ascii="Bookman Old Style" w:hAnsi="Bookman Old Style"/>
          <w:bCs/>
        </w:rPr>
        <w:t>reciba</w:t>
      </w:r>
      <w:r w:rsidR="008F739D" w:rsidRPr="008F739D">
        <w:rPr>
          <w:rFonts w:ascii="Bookman Old Style" w:hAnsi="Bookman Old Style"/>
          <w:bCs/>
        </w:rPr>
        <w:t xml:space="preserve"> el servicio </w:t>
      </w:r>
      <w:r w:rsidR="000A7CE0">
        <w:rPr>
          <w:rFonts w:ascii="Bookman Old Style" w:hAnsi="Bookman Old Style"/>
          <w:bCs/>
        </w:rPr>
        <w:t>de acuerdo con</w:t>
      </w:r>
      <w:r w:rsidR="008F739D" w:rsidRPr="008F739D">
        <w:rPr>
          <w:rFonts w:ascii="Bookman Old Style" w:hAnsi="Bookman Old Style"/>
          <w:bCs/>
        </w:rPr>
        <w:t xml:space="preserve"> las condiciones que han sido definidas en el Acuerdo Especial</w:t>
      </w:r>
      <w:r w:rsidR="008F739D">
        <w:rPr>
          <w:rFonts w:ascii="Bookman Old Style" w:hAnsi="Bookman Old Style"/>
          <w:bCs/>
        </w:rPr>
        <w:t>.</w:t>
      </w:r>
    </w:p>
    <w:p w14:paraId="557C81BE" w14:textId="77777777" w:rsidR="008F739D" w:rsidRPr="008F739D" w:rsidRDefault="008F739D" w:rsidP="008F739D"/>
    <w:p w14:paraId="61F3D64B" w14:textId="09A5866C" w:rsidR="00DE061A" w:rsidRDefault="00B55360" w:rsidP="00DE061A">
      <w:pPr>
        <w:pStyle w:val="Ttulo7"/>
        <w:numPr>
          <w:ilvl w:val="0"/>
          <w:numId w:val="26"/>
        </w:numPr>
        <w:tabs>
          <w:tab w:val="num" w:pos="360"/>
          <w:tab w:val="left" w:pos="1701"/>
        </w:tabs>
        <w:spacing w:before="0" w:after="0"/>
        <w:contextualSpacing/>
        <w:jc w:val="both"/>
        <w:rPr>
          <w:rFonts w:ascii="Bookman Old Style" w:hAnsi="Bookman Old Style"/>
          <w:bCs/>
        </w:rPr>
      </w:pPr>
      <w:r>
        <w:rPr>
          <w:rFonts w:ascii="Bookman Old Style" w:hAnsi="Bookman Old Style"/>
          <w:b/>
        </w:rPr>
        <w:t>Cálculo de cargos sin información del SUI</w:t>
      </w:r>
      <w:r w:rsidR="00843961" w:rsidRPr="005244CF">
        <w:rPr>
          <w:rFonts w:ascii="Bookman Old Style" w:hAnsi="Bookman Old Style"/>
          <w:b/>
        </w:rPr>
        <w:t xml:space="preserve">. </w:t>
      </w:r>
      <w:r w:rsidR="00B03BDC" w:rsidRPr="005244CF">
        <w:rPr>
          <w:rFonts w:ascii="Bookman Old Style" w:hAnsi="Bookman Old Style"/>
          <w:bCs/>
        </w:rPr>
        <w:t>Hasta tanto la SSPD establezca los formatos para el reporte de información al SUI requerida para la determinación d</w:t>
      </w:r>
      <w:r w:rsidR="005B68D9">
        <w:rPr>
          <w:rFonts w:ascii="Bookman Old Style" w:hAnsi="Bookman Old Style"/>
          <w:bCs/>
        </w:rPr>
        <w:t xml:space="preserve">el costo unitario y </w:t>
      </w:r>
      <w:r w:rsidR="00325392">
        <w:rPr>
          <w:rFonts w:ascii="Bookman Old Style" w:hAnsi="Bookman Old Style"/>
          <w:bCs/>
        </w:rPr>
        <w:t xml:space="preserve">los </w:t>
      </w:r>
      <w:r w:rsidR="005B68D9">
        <w:rPr>
          <w:rFonts w:ascii="Bookman Old Style" w:hAnsi="Bookman Old Style"/>
          <w:bCs/>
        </w:rPr>
        <w:t>cargos máximos</w:t>
      </w:r>
      <w:r w:rsidR="00F60125">
        <w:rPr>
          <w:rFonts w:ascii="Bookman Old Style" w:hAnsi="Bookman Old Style"/>
          <w:bCs/>
        </w:rPr>
        <w:t xml:space="preserve"> que</w:t>
      </w:r>
      <w:r w:rsidR="005B68D9">
        <w:rPr>
          <w:rFonts w:ascii="Bookman Old Style" w:hAnsi="Bookman Old Style"/>
          <w:bCs/>
        </w:rPr>
        <w:t xml:space="preserve"> </w:t>
      </w:r>
      <w:r w:rsidR="00B03BDC" w:rsidRPr="005244CF">
        <w:rPr>
          <w:rFonts w:ascii="Bookman Old Style" w:hAnsi="Bookman Old Style"/>
          <w:bCs/>
        </w:rPr>
        <w:t>los prestadores del servicio trasladar</w:t>
      </w:r>
      <w:r w:rsidR="00D07CE0">
        <w:rPr>
          <w:rFonts w:ascii="Bookman Old Style" w:hAnsi="Bookman Old Style"/>
          <w:bCs/>
        </w:rPr>
        <w:t>án</w:t>
      </w:r>
      <w:r w:rsidR="00B03BDC" w:rsidRPr="005244CF">
        <w:rPr>
          <w:rFonts w:ascii="Bookman Old Style" w:hAnsi="Bookman Old Style"/>
          <w:bCs/>
        </w:rPr>
        <w:t xml:space="preserve"> a usuarios regulados</w:t>
      </w:r>
      <w:r w:rsidR="004F1388">
        <w:rPr>
          <w:rFonts w:ascii="Bookman Old Style" w:hAnsi="Bookman Old Style"/>
          <w:bCs/>
        </w:rPr>
        <w:t>,</w:t>
      </w:r>
      <w:r w:rsidR="00002D2A" w:rsidRPr="005244CF">
        <w:rPr>
          <w:rFonts w:ascii="Bookman Old Style" w:hAnsi="Bookman Old Style"/>
          <w:bCs/>
        </w:rPr>
        <w:t xml:space="preserve"> </w:t>
      </w:r>
      <w:r w:rsidR="00B03BDC" w:rsidRPr="005244CF">
        <w:rPr>
          <w:rFonts w:ascii="Bookman Old Style" w:hAnsi="Bookman Old Style"/>
          <w:bCs/>
        </w:rPr>
        <w:t xml:space="preserve">estos podrán </w:t>
      </w:r>
      <w:r w:rsidR="00F406F4" w:rsidRPr="005244CF">
        <w:rPr>
          <w:rFonts w:ascii="Bookman Old Style" w:hAnsi="Bookman Old Style"/>
          <w:bCs/>
        </w:rPr>
        <w:t>efectuar l</w:t>
      </w:r>
      <w:r w:rsidR="000565EB">
        <w:rPr>
          <w:rFonts w:ascii="Bookman Old Style" w:hAnsi="Bookman Old Style"/>
          <w:bCs/>
        </w:rPr>
        <w:t>os</w:t>
      </w:r>
      <w:r w:rsidR="00F406F4" w:rsidRPr="005244CF">
        <w:rPr>
          <w:rFonts w:ascii="Bookman Old Style" w:hAnsi="Bookman Old Style"/>
          <w:bCs/>
        </w:rPr>
        <w:t xml:space="preserve"> cálculo</w:t>
      </w:r>
      <w:r w:rsidR="008667D1">
        <w:rPr>
          <w:rFonts w:ascii="Bookman Old Style" w:hAnsi="Bookman Old Style"/>
          <w:bCs/>
        </w:rPr>
        <w:t>s</w:t>
      </w:r>
      <w:r w:rsidR="00F406F4" w:rsidRPr="005244CF">
        <w:rPr>
          <w:rFonts w:ascii="Bookman Old Style" w:hAnsi="Bookman Old Style"/>
          <w:bCs/>
        </w:rPr>
        <w:t xml:space="preserve"> </w:t>
      </w:r>
      <w:r w:rsidR="005C5151" w:rsidRPr="005244CF">
        <w:rPr>
          <w:rFonts w:ascii="Bookman Old Style" w:hAnsi="Bookman Old Style"/>
          <w:bCs/>
        </w:rPr>
        <w:t xml:space="preserve">reflejando las condiciones </w:t>
      </w:r>
      <w:r w:rsidR="003E653E" w:rsidRPr="005244CF">
        <w:rPr>
          <w:rFonts w:ascii="Bookman Old Style" w:hAnsi="Bookman Old Style"/>
          <w:bCs/>
        </w:rPr>
        <w:t xml:space="preserve">de </w:t>
      </w:r>
      <w:r w:rsidR="00C709EC" w:rsidRPr="005244CF">
        <w:rPr>
          <w:rFonts w:ascii="Bookman Old Style" w:hAnsi="Bookman Old Style"/>
          <w:bCs/>
        </w:rPr>
        <w:t xml:space="preserve">la </w:t>
      </w:r>
      <w:r w:rsidR="003E653E" w:rsidRPr="005244CF">
        <w:rPr>
          <w:rFonts w:ascii="Bookman Old Style" w:hAnsi="Bookman Old Style"/>
          <w:bCs/>
        </w:rPr>
        <w:t xml:space="preserve">prestación </w:t>
      </w:r>
      <w:r w:rsidR="00C709EC" w:rsidRPr="005244CF">
        <w:rPr>
          <w:rFonts w:ascii="Bookman Old Style" w:hAnsi="Bookman Old Style"/>
          <w:bCs/>
        </w:rPr>
        <w:t xml:space="preserve">del </w:t>
      </w:r>
      <w:r w:rsidR="003E653E" w:rsidRPr="005244CF">
        <w:rPr>
          <w:rFonts w:ascii="Bookman Old Style" w:hAnsi="Bookman Old Style"/>
          <w:bCs/>
        </w:rPr>
        <w:t>servicio</w:t>
      </w:r>
      <w:r w:rsidR="00F83643">
        <w:rPr>
          <w:rFonts w:ascii="Bookman Old Style" w:hAnsi="Bookman Old Style"/>
          <w:bCs/>
        </w:rPr>
        <w:t xml:space="preserve">, atendiendo </w:t>
      </w:r>
      <w:r w:rsidR="00F83643" w:rsidRPr="005244CF">
        <w:rPr>
          <w:rFonts w:ascii="Bookman Old Style" w:hAnsi="Bookman Old Style"/>
          <w:bCs/>
        </w:rPr>
        <w:t>lo previsto en el artículo 4 de la Resolución CREG 080 de 2019</w:t>
      </w:r>
      <w:r w:rsidR="00BB141E">
        <w:rPr>
          <w:rFonts w:ascii="Bookman Old Style" w:hAnsi="Bookman Old Style"/>
          <w:bCs/>
        </w:rPr>
        <w:t>,</w:t>
      </w:r>
      <w:r w:rsidR="00F83643">
        <w:rPr>
          <w:rFonts w:ascii="Bookman Old Style" w:hAnsi="Bookman Old Style"/>
          <w:bCs/>
        </w:rPr>
        <w:t xml:space="preserve"> y</w:t>
      </w:r>
      <w:r w:rsidR="00F406F4" w:rsidRPr="005244CF">
        <w:rPr>
          <w:rFonts w:ascii="Bookman Old Style" w:hAnsi="Bookman Old Style"/>
          <w:bCs/>
        </w:rPr>
        <w:t xml:space="preserve"> conserva</w:t>
      </w:r>
      <w:r w:rsidR="00104B7B">
        <w:rPr>
          <w:rFonts w:ascii="Bookman Old Style" w:hAnsi="Bookman Old Style"/>
          <w:bCs/>
        </w:rPr>
        <w:t>ndo</w:t>
      </w:r>
      <w:r w:rsidR="00F406F4" w:rsidRPr="005244CF">
        <w:rPr>
          <w:rFonts w:ascii="Bookman Old Style" w:hAnsi="Bookman Old Style"/>
          <w:bCs/>
        </w:rPr>
        <w:t xml:space="preserve"> toda la documentación que permita la trazabilidad </w:t>
      </w:r>
      <w:r w:rsidR="00BB141E">
        <w:rPr>
          <w:rFonts w:ascii="Bookman Old Style" w:hAnsi="Bookman Old Style"/>
          <w:bCs/>
        </w:rPr>
        <w:t xml:space="preserve">por parte de </w:t>
      </w:r>
      <w:r w:rsidR="00FB4EAA" w:rsidRPr="005244CF">
        <w:rPr>
          <w:rFonts w:ascii="Bookman Old Style" w:hAnsi="Bookman Old Style"/>
          <w:bCs/>
        </w:rPr>
        <w:t xml:space="preserve">la SSPD </w:t>
      </w:r>
      <w:r w:rsidR="00D72BE7" w:rsidRPr="005244CF">
        <w:rPr>
          <w:rFonts w:ascii="Bookman Old Style" w:hAnsi="Bookman Old Style"/>
          <w:bCs/>
        </w:rPr>
        <w:t>para efectos de</w:t>
      </w:r>
      <w:r w:rsidR="00495A9A" w:rsidRPr="005244CF">
        <w:rPr>
          <w:rFonts w:ascii="Bookman Old Style" w:hAnsi="Bookman Old Style"/>
          <w:bCs/>
        </w:rPr>
        <w:t xml:space="preserve">l ejercicio de sus funciones de </w:t>
      </w:r>
      <w:r w:rsidR="00480DCA" w:rsidRPr="005244CF">
        <w:rPr>
          <w:rFonts w:ascii="Bookman Old Style" w:hAnsi="Bookman Old Style"/>
          <w:bCs/>
        </w:rPr>
        <w:t xml:space="preserve">vigilancia </w:t>
      </w:r>
      <w:r w:rsidR="00495A9A" w:rsidRPr="005244CF">
        <w:rPr>
          <w:rFonts w:ascii="Bookman Old Style" w:hAnsi="Bookman Old Style"/>
          <w:bCs/>
        </w:rPr>
        <w:t>y control</w:t>
      </w:r>
      <w:r w:rsidR="00BB141E">
        <w:rPr>
          <w:rFonts w:ascii="Bookman Old Style" w:hAnsi="Bookman Old Style"/>
          <w:bCs/>
        </w:rPr>
        <w:t>, o de cualquier otra autoridad competente</w:t>
      </w:r>
      <w:r w:rsidR="00FB4EAA" w:rsidRPr="005244CF">
        <w:rPr>
          <w:rFonts w:ascii="Bookman Old Style" w:hAnsi="Bookman Old Style"/>
          <w:bCs/>
        </w:rPr>
        <w:t>.</w:t>
      </w:r>
    </w:p>
    <w:p w14:paraId="330CF7DB" w14:textId="77777777" w:rsidR="00DE061A" w:rsidRPr="00DE061A" w:rsidRDefault="00DE061A" w:rsidP="00DE061A"/>
    <w:p w14:paraId="6FE2719A" w14:textId="5E944074" w:rsidR="00DE061A" w:rsidRPr="00B66211" w:rsidRDefault="00DE061A" w:rsidP="00906944">
      <w:pPr>
        <w:pStyle w:val="Ttulo7"/>
        <w:numPr>
          <w:ilvl w:val="0"/>
          <w:numId w:val="26"/>
        </w:numPr>
        <w:tabs>
          <w:tab w:val="left" w:pos="1701"/>
        </w:tabs>
        <w:spacing w:before="0" w:after="0"/>
        <w:contextualSpacing/>
        <w:jc w:val="both"/>
      </w:pPr>
      <w:r w:rsidRPr="00DE061A">
        <w:rPr>
          <w:rFonts w:ascii="Bookman Old Style" w:hAnsi="Bookman Old Style"/>
          <w:b/>
        </w:rPr>
        <w:t>Modelo de cálculo.</w:t>
      </w:r>
      <w:r w:rsidRPr="00DE061A">
        <w:t xml:space="preserve"> </w:t>
      </w:r>
      <w:r w:rsidR="005570DA">
        <w:rPr>
          <w:rFonts w:ascii="Bookman Old Style" w:hAnsi="Bookman Old Style"/>
          <w:bCs/>
        </w:rPr>
        <w:t>La utilización de</w:t>
      </w:r>
      <w:r w:rsidR="005570DA">
        <w:t xml:space="preserve">l </w:t>
      </w:r>
      <w:r w:rsidRPr="00DE061A">
        <w:rPr>
          <w:rFonts w:ascii="Bookman Old Style" w:hAnsi="Bookman Old Style"/>
          <w:bCs/>
        </w:rPr>
        <w:t>modelo de</w:t>
      </w:r>
      <w:r w:rsidR="005570DA">
        <w:rPr>
          <w:rFonts w:ascii="Bookman Old Style" w:hAnsi="Bookman Old Style"/>
          <w:bCs/>
        </w:rPr>
        <w:t xml:space="preserve"> </w:t>
      </w:r>
      <w:r w:rsidRPr="00DE061A">
        <w:rPr>
          <w:rFonts w:ascii="Bookman Old Style" w:hAnsi="Bookman Old Style"/>
          <w:bCs/>
        </w:rPr>
        <w:t xml:space="preserve">cálculo publicado por la CREG como anexo a </w:t>
      </w:r>
      <w:r w:rsidR="005570DA">
        <w:rPr>
          <w:rFonts w:ascii="Bookman Old Style" w:hAnsi="Bookman Old Style"/>
          <w:bCs/>
        </w:rPr>
        <w:t>la presente</w:t>
      </w:r>
      <w:r w:rsidRPr="00DE061A">
        <w:rPr>
          <w:rFonts w:ascii="Bookman Old Style" w:hAnsi="Bookman Old Style"/>
          <w:bCs/>
        </w:rPr>
        <w:t xml:space="preserve"> </w:t>
      </w:r>
      <w:r>
        <w:rPr>
          <w:rFonts w:ascii="Bookman Old Style" w:hAnsi="Bookman Old Style"/>
          <w:bCs/>
        </w:rPr>
        <w:t xml:space="preserve">resolución no exime de la responsabilidad </w:t>
      </w:r>
      <w:r w:rsidR="006531E4">
        <w:rPr>
          <w:rFonts w:ascii="Bookman Old Style" w:hAnsi="Bookman Old Style"/>
          <w:bCs/>
        </w:rPr>
        <w:t xml:space="preserve">a </w:t>
      </w:r>
      <w:r>
        <w:rPr>
          <w:rFonts w:ascii="Bookman Old Style" w:hAnsi="Bookman Old Style"/>
          <w:bCs/>
        </w:rPr>
        <w:t xml:space="preserve">los prestadores del servicio </w:t>
      </w:r>
      <w:r w:rsidR="005570DA">
        <w:rPr>
          <w:rFonts w:ascii="Bookman Old Style" w:hAnsi="Bookman Old Style"/>
          <w:bCs/>
        </w:rPr>
        <w:t xml:space="preserve">de realizar el cálculo de los cargos tarifarios y la publicación de las tarifas.  </w:t>
      </w:r>
    </w:p>
    <w:p w14:paraId="70ADF62E" w14:textId="77777777" w:rsidR="006745E0" w:rsidRPr="00B66211" w:rsidRDefault="006745E0" w:rsidP="00C94D29">
      <w:pPr>
        <w:tabs>
          <w:tab w:val="left" w:pos="1701"/>
        </w:tabs>
        <w:contextualSpacing/>
        <w:jc w:val="both"/>
        <w:rPr>
          <w:rFonts w:cs="--unknown-1--"/>
        </w:rPr>
      </w:pPr>
    </w:p>
    <w:p w14:paraId="6327627F" w14:textId="542830DF" w:rsidR="00C92722" w:rsidRPr="005244CF" w:rsidRDefault="00C92722" w:rsidP="00C94D29">
      <w:pPr>
        <w:pStyle w:val="Ttulo7"/>
        <w:numPr>
          <w:ilvl w:val="0"/>
          <w:numId w:val="26"/>
        </w:numPr>
        <w:tabs>
          <w:tab w:val="num" w:pos="360"/>
          <w:tab w:val="left" w:pos="1701"/>
        </w:tabs>
        <w:spacing w:before="0" w:after="0"/>
        <w:contextualSpacing/>
        <w:jc w:val="both"/>
        <w:rPr>
          <w:rFonts w:ascii="Bookman Old Style" w:hAnsi="Bookman Old Style"/>
        </w:rPr>
      </w:pPr>
      <w:r w:rsidRPr="005244CF">
        <w:rPr>
          <w:rFonts w:ascii="Bookman Old Style" w:hAnsi="Bookman Old Style"/>
          <w:b/>
        </w:rPr>
        <w:t>Vigencia</w:t>
      </w:r>
      <w:r w:rsidR="00EF6613">
        <w:rPr>
          <w:rFonts w:ascii="Bookman Old Style" w:hAnsi="Bookman Old Style"/>
          <w:b/>
        </w:rPr>
        <w:t xml:space="preserve"> y derogatorias</w:t>
      </w:r>
      <w:r w:rsidRPr="005244CF">
        <w:rPr>
          <w:rFonts w:ascii="Bookman Old Style" w:hAnsi="Bookman Old Style"/>
          <w:b/>
        </w:rPr>
        <w:t xml:space="preserve">. </w:t>
      </w:r>
      <w:r w:rsidRPr="005244CF">
        <w:rPr>
          <w:rFonts w:ascii="Bookman Old Style" w:hAnsi="Bookman Old Style"/>
        </w:rPr>
        <w:t xml:space="preserve">Esta resolución rige a partir de </w:t>
      </w:r>
      <w:r w:rsidR="00952108">
        <w:rPr>
          <w:rFonts w:ascii="Bookman Old Style" w:hAnsi="Bookman Old Style"/>
        </w:rPr>
        <w:t xml:space="preserve">la fecha </w:t>
      </w:r>
      <w:r w:rsidR="006B59B0">
        <w:rPr>
          <w:rFonts w:ascii="Bookman Old Style" w:hAnsi="Bookman Old Style"/>
        </w:rPr>
        <w:t xml:space="preserve">de </w:t>
      </w:r>
      <w:r w:rsidRPr="005244CF">
        <w:rPr>
          <w:rFonts w:ascii="Bookman Old Style" w:hAnsi="Bookman Old Style"/>
        </w:rPr>
        <w:t xml:space="preserve">su publicación en el </w:t>
      </w:r>
      <w:r w:rsidRPr="005244CF">
        <w:rPr>
          <w:rFonts w:ascii="Bookman Old Style" w:hAnsi="Bookman Old Style"/>
          <w:i/>
        </w:rPr>
        <w:t>Diario Oficial</w:t>
      </w:r>
      <w:r w:rsidR="00ED5BC5" w:rsidRPr="005244CF">
        <w:rPr>
          <w:rFonts w:ascii="Bookman Old Style" w:hAnsi="Bookman Old Style"/>
          <w:i/>
        </w:rPr>
        <w:t xml:space="preserve"> </w:t>
      </w:r>
      <w:r w:rsidR="00ED5BC5" w:rsidRPr="005244CF">
        <w:rPr>
          <w:rFonts w:ascii="Bookman Old Style" w:hAnsi="Bookman Old Style"/>
        </w:rPr>
        <w:t xml:space="preserve">y deroga </w:t>
      </w:r>
      <w:r w:rsidR="00675BF7" w:rsidRPr="005244CF">
        <w:rPr>
          <w:rFonts w:ascii="Bookman Old Style" w:hAnsi="Bookman Old Style"/>
        </w:rPr>
        <w:t xml:space="preserve">todas las disposiciones que le sean contrarias, </w:t>
      </w:r>
      <w:r w:rsidR="003B6757" w:rsidRPr="005244CF">
        <w:rPr>
          <w:rFonts w:ascii="Bookman Old Style" w:hAnsi="Bookman Old Style"/>
        </w:rPr>
        <w:t xml:space="preserve">en especial las disposiciones </w:t>
      </w:r>
      <w:r w:rsidR="004A43AC" w:rsidRPr="005244CF">
        <w:rPr>
          <w:rFonts w:ascii="Bookman Old Style" w:hAnsi="Bookman Old Style"/>
        </w:rPr>
        <w:t xml:space="preserve">contenidas en </w:t>
      </w:r>
      <w:r w:rsidR="000176EB" w:rsidRPr="005244CF">
        <w:rPr>
          <w:rFonts w:ascii="Bookman Old Style" w:hAnsi="Bookman Old Style"/>
        </w:rPr>
        <w:t>el literal c del artículo 22</w:t>
      </w:r>
      <w:r w:rsidR="00947032">
        <w:rPr>
          <w:rFonts w:ascii="Bookman Old Style" w:hAnsi="Bookman Old Style"/>
        </w:rPr>
        <w:t>,</w:t>
      </w:r>
      <w:r w:rsidR="000176EB" w:rsidRPr="005244CF">
        <w:rPr>
          <w:rFonts w:ascii="Bookman Old Style" w:hAnsi="Bookman Old Style"/>
        </w:rPr>
        <w:t xml:space="preserve"> el numeral </w:t>
      </w:r>
      <w:r w:rsidR="001A034C">
        <w:rPr>
          <w:rFonts w:ascii="Bookman Old Style" w:hAnsi="Bookman Old Style"/>
        </w:rPr>
        <w:t>24.4</w:t>
      </w:r>
      <w:r w:rsidR="000176EB" w:rsidRPr="005244CF">
        <w:rPr>
          <w:rFonts w:ascii="Bookman Old Style" w:hAnsi="Bookman Old Style"/>
        </w:rPr>
        <w:t xml:space="preserve"> </w:t>
      </w:r>
      <w:r w:rsidR="00CB378B" w:rsidRPr="005244CF">
        <w:rPr>
          <w:rFonts w:ascii="Bookman Old Style" w:hAnsi="Bookman Old Style"/>
        </w:rPr>
        <w:t>del artículo 24</w:t>
      </w:r>
      <w:r w:rsidR="003B3138">
        <w:rPr>
          <w:rFonts w:ascii="Bookman Old Style" w:hAnsi="Bookman Old Style"/>
        </w:rPr>
        <w:t>, el literal c del artículo 25</w:t>
      </w:r>
      <w:r w:rsidR="00CB378B" w:rsidRPr="005244CF">
        <w:rPr>
          <w:rFonts w:ascii="Bookman Old Style" w:hAnsi="Bookman Old Style"/>
        </w:rPr>
        <w:t xml:space="preserve"> </w:t>
      </w:r>
      <w:r w:rsidR="00947032">
        <w:rPr>
          <w:rFonts w:ascii="Bookman Old Style" w:hAnsi="Bookman Old Style"/>
        </w:rPr>
        <w:t xml:space="preserve">y el artículo 41 </w:t>
      </w:r>
      <w:r w:rsidR="007F46D7" w:rsidRPr="005244CF">
        <w:rPr>
          <w:rFonts w:ascii="Bookman Old Style" w:hAnsi="Bookman Old Style"/>
        </w:rPr>
        <w:t>de la Resolución CREG 091 de 2007</w:t>
      </w:r>
      <w:r w:rsidR="00962D95" w:rsidRPr="005244CF">
        <w:rPr>
          <w:rFonts w:ascii="Bookman Old Style" w:hAnsi="Bookman Old Style"/>
        </w:rPr>
        <w:t>,</w:t>
      </w:r>
      <w:r w:rsidR="007F46D7" w:rsidRPr="005244CF">
        <w:rPr>
          <w:rFonts w:ascii="Bookman Old Style" w:hAnsi="Bookman Old Style"/>
        </w:rPr>
        <w:t xml:space="preserve"> </w:t>
      </w:r>
      <w:r w:rsidR="004A43AC" w:rsidRPr="005244CF">
        <w:rPr>
          <w:rFonts w:ascii="Bookman Old Style" w:hAnsi="Bookman Old Style"/>
        </w:rPr>
        <w:t>la Resolución CREG 072 de 2013</w:t>
      </w:r>
      <w:r w:rsidR="00EF6613">
        <w:rPr>
          <w:rFonts w:ascii="Bookman Old Style" w:hAnsi="Bookman Old Style"/>
        </w:rPr>
        <w:t xml:space="preserve"> y la Resolución CREG 166 de 2020</w:t>
      </w:r>
      <w:r w:rsidRPr="005244CF">
        <w:rPr>
          <w:rFonts w:ascii="Bookman Old Style" w:hAnsi="Bookman Old Style"/>
        </w:rPr>
        <w:t>.</w:t>
      </w:r>
    </w:p>
    <w:p w14:paraId="78FA8736" w14:textId="77777777" w:rsidR="00C92722" w:rsidRPr="00B66211" w:rsidRDefault="00C92722" w:rsidP="00C94D29">
      <w:pPr>
        <w:contextualSpacing/>
        <w:jc w:val="both"/>
      </w:pPr>
    </w:p>
    <w:p w14:paraId="7B334D25" w14:textId="77777777" w:rsidR="00C92722" w:rsidRPr="00B66211" w:rsidRDefault="00C92722" w:rsidP="00C94D29">
      <w:pPr>
        <w:contextualSpacing/>
        <w:jc w:val="center"/>
        <w:rPr>
          <w:b/>
        </w:rPr>
      </w:pPr>
      <w:r w:rsidRPr="00B66211">
        <w:rPr>
          <w:b/>
        </w:rPr>
        <w:t>PUBLÍQUESE Y CÚMPLASE</w:t>
      </w:r>
    </w:p>
    <w:p w14:paraId="7A23876A" w14:textId="77777777" w:rsidR="00C92722" w:rsidRPr="00B66211" w:rsidRDefault="00C92722" w:rsidP="00C94D29">
      <w:pPr>
        <w:contextualSpacing/>
      </w:pPr>
    </w:p>
    <w:sectPr w:rsidR="00C92722" w:rsidRPr="00B66211"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2F4B" w14:textId="77777777" w:rsidR="00FE70F1" w:rsidRDefault="00FE70F1">
      <w:r>
        <w:separator/>
      </w:r>
    </w:p>
  </w:endnote>
  <w:endnote w:type="continuationSeparator" w:id="0">
    <w:p w14:paraId="4E572477" w14:textId="77777777" w:rsidR="00FE70F1" w:rsidRDefault="00FE70F1">
      <w:r>
        <w:continuationSeparator/>
      </w:r>
    </w:p>
  </w:endnote>
  <w:endnote w:type="continuationNotice" w:id="1">
    <w:p w14:paraId="37F79229" w14:textId="77777777" w:rsidR="00FE70F1" w:rsidRDefault="00FE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Liberation Mono">
    <w:altName w:val="Courier New"/>
    <w:charset w:val="01"/>
    <w:family w:val="modern"/>
    <w:pitch w:val="fixed"/>
  </w:font>
  <w:font w:name="--unknown-2--">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0" w:usb2="00000012" w:usb3="00000000" w:csb0="0002009F" w:csb1="00000000"/>
  </w:font>
  <w:font w:name="--unknown-1--">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642E" w14:textId="77777777" w:rsidR="00FE70F1" w:rsidRDefault="00FE70F1">
      <w:r>
        <w:separator/>
      </w:r>
    </w:p>
  </w:footnote>
  <w:footnote w:type="continuationSeparator" w:id="0">
    <w:p w14:paraId="1C7B5241" w14:textId="77777777" w:rsidR="00FE70F1" w:rsidRDefault="00FE70F1">
      <w:r>
        <w:continuationSeparator/>
      </w:r>
    </w:p>
  </w:footnote>
  <w:footnote w:type="continuationNotice" w:id="1">
    <w:p w14:paraId="5CB3FA87" w14:textId="77777777" w:rsidR="00FE70F1" w:rsidRDefault="00FE70F1"/>
  </w:footnote>
  <w:footnote w:id="2">
    <w:p w14:paraId="2FE9861D" w14:textId="2098FDBD" w:rsidR="000446C9" w:rsidRPr="00614A06" w:rsidRDefault="000446C9">
      <w:pPr>
        <w:pStyle w:val="Textonotapie"/>
        <w:rPr>
          <w:rFonts w:ascii="Bookman Old Style" w:eastAsia="Calibri" w:hAnsi="Bookman Old Style"/>
          <w:lang w:eastAsia="en-US"/>
        </w:rPr>
      </w:pPr>
      <w:r w:rsidRPr="00614A06">
        <w:rPr>
          <w:rStyle w:val="Refdenotaalpie"/>
          <w:rFonts w:ascii="Bookman Old Style" w:hAnsi="Bookman Old Style"/>
        </w:rPr>
        <w:footnoteRef/>
      </w:r>
      <w:r w:rsidRPr="00614A06">
        <w:rPr>
          <w:rFonts w:ascii="Bookman Old Style" w:hAnsi="Bookman Old Style"/>
        </w:rPr>
        <w:t xml:space="preserve"> </w:t>
      </w:r>
      <w:r w:rsidRPr="00614A06">
        <w:rPr>
          <w:rFonts w:ascii="Bookman Old Style" w:hAnsi="Bookman Old Style"/>
          <w:lang w:val="es-MX"/>
        </w:rPr>
        <w:t xml:space="preserve">Corte Constitucional, </w:t>
      </w:r>
      <w:r w:rsidRPr="00614A06">
        <w:rPr>
          <w:rFonts w:ascii="Bookman Old Style" w:eastAsia="Calibri" w:hAnsi="Bookman Old Style"/>
          <w:lang w:val="es-CO" w:eastAsia="en-US"/>
        </w:rPr>
        <w:t>Sentencia C-</w:t>
      </w:r>
      <w:r w:rsidR="17CBF76D" w:rsidRPr="00614A06">
        <w:rPr>
          <w:rFonts w:ascii="Bookman Old Style" w:eastAsia="Calibri" w:hAnsi="Bookman Old Style"/>
          <w:lang w:val="es-CO" w:eastAsia="en-US"/>
        </w:rPr>
        <w:t>041</w:t>
      </w:r>
      <w:r w:rsidRPr="00614A06">
        <w:rPr>
          <w:rFonts w:ascii="Bookman Old Style" w:eastAsia="Calibri" w:hAnsi="Bookman Old Style"/>
          <w:lang w:val="es-CO" w:eastAsia="en-US"/>
        </w:rPr>
        <w:t xml:space="preserve"> de 2003 -Magistrado Ponente Jaime Córdoba Triviño</w:t>
      </w:r>
      <w:r w:rsidR="0F24F28A" w:rsidRPr="00614A06">
        <w:rPr>
          <w:rFonts w:ascii="Bookman Old Style" w:eastAsia="Calibri" w:hAnsi="Bookman Old Style"/>
          <w:lang w:val="es-CO" w:eastAsia="en-US"/>
        </w:rPr>
        <w:t>.</w:t>
      </w:r>
    </w:p>
  </w:footnote>
  <w:footnote w:id="3">
    <w:p w14:paraId="520958AE" w14:textId="76DA210C" w:rsidR="5C6EDEBB" w:rsidRPr="000E75B1" w:rsidRDefault="5C6EDEBB">
      <w:pPr>
        <w:rPr>
          <w:sz w:val="20"/>
          <w:szCs w:val="20"/>
          <w:lang w:val="es-MX"/>
        </w:rPr>
      </w:pPr>
      <w:r w:rsidRPr="000E75B1">
        <w:rPr>
          <w:sz w:val="20"/>
          <w:szCs w:val="20"/>
        </w:rPr>
        <w:footnoteRef/>
      </w:r>
      <w:r w:rsidR="51F3562C" w:rsidRPr="000E75B1">
        <w:rPr>
          <w:sz w:val="20"/>
          <w:szCs w:val="20"/>
        </w:rPr>
        <w:t xml:space="preserve"> Corte </w:t>
      </w:r>
      <w:r w:rsidR="321D405E" w:rsidRPr="000E75B1">
        <w:rPr>
          <w:sz w:val="20"/>
          <w:szCs w:val="20"/>
        </w:rPr>
        <w:t xml:space="preserve">Constitucional. </w:t>
      </w:r>
      <w:r w:rsidR="321D405E" w:rsidRPr="000E75B1">
        <w:rPr>
          <w:rFonts w:eastAsia="Calibri"/>
          <w:sz w:val="20"/>
          <w:szCs w:val="20"/>
          <w:lang w:eastAsia="en-US"/>
        </w:rPr>
        <w:t>Sentencia</w:t>
      </w:r>
      <w:r w:rsidR="51F3562C" w:rsidRPr="000E75B1">
        <w:rPr>
          <w:rFonts w:eastAsia="Calibri"/>
          <w:sz w:val="20"/>
          <w:szCs w:val="20"/>
          <w:lang w:eastAsia="en-US"/>
        </w:rPr>
        <w:t xml:space="preserve"> C-353 de 2006 -Magistrado Ponente Clara Inés Vargas</w:t>
      </w:r>
      <w:r w:rsidR="321D405E" w:rsidRPr="000E75B1">
        <w:rPr>
          <w:rFonts w:eastAsia="Calibri"/>
          <w:sz w:val="20"/>
          <w:szCs w:val="20"/>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BBB8" w14:textId="7FF58A4D" w:rsidR="000446C9" w:rsidRPr="00011C11" w:rsidRDefault="000446C9" w:rsidP="00011C11"/>
  <w:p w14:paraId="77D67B39" w14:textId="3ED27F65" w:rsidR="000446C9" w:rsidRPr="00951F79" w:rsidRDefault="000446C9" w:rsidP="009F4BEC">
    <w:pPr>
      <w:pStyle w:val="Ttulo1"/>
      <w:ind w:right="6"/>
      <w:jc w:val="left"/>
      <w:rPr>
        <w:rFonts w:cs="Arial"/>
        <w:b w:val="0"/>
        <w:sz w:val="22"/>
        <w:szCs w:val="22"/>
      </w:rPr>
    </w:pPr>
    <w:r w:rsidRPr="00654384">
      <w:rPr>
        <w:rFonts w:cs="Arial"/>
        <w:b w:val="0"/>
        <w:sz w:val="22"/>
        <w:szCs w:val="22"/>
      </w:rPr>
      <w:t>RESOLUCIÓN No.</w:t>
    </w:r>
    <w:r>
      <w:rPr>
        <w:rFonts w:cs="Arial"/>
        <w:sz w:val="22"/>
        <w:szCs w:val="22"/>
        <w:u w:val="single"/>
      </w:rPr>
      <w:t xml:space="preserve"> </w:t>
    </w:r>
    <w:r w:rsidR="008023B7">
      <w:rPr>
        <w:rFonts w:cs="Arial"/>
        <w:sz w:val="22"/>
        <w:szCs w:val="22"/>
        <w:u w:val="single"/>
      </w:rPr>
      <w:t>1</w:t>
    </w:r>
    <w:r w:rsidR="00FC0542">
      <w:rPr>
        <w:rFonts w:cs="Arial"/>
        <w:sz w:val="22"/>
        <w:szCs w:val="22"/>
        <w:u w:val="single"/>
      </w:rPr>
      <w:t xml:space="preserve">01 </w:t>
    </w:r>
    <w:r w:rsidR="008023B7">
      <w:rPr>
        <w:rFonts w:cs="Arial"/>
        <w:sz w:val="22"/>
        <w:szCs w:val="22"/>
        <w:u w:val="single"/>
      </w:rPr>
      <w:t>XXX</w:t>
    </w:r>
    <w:r>
      <w:rPr>
        <w:rFonts w:cs="Arial"/>
        <w:sz w:val="22"/>
        <w:szCs w:val="22"/>
        <w:u w:val="single"/>
      </w:rPr>
      <w:t xml:space="preserve">       </w:t>
    </w:r>
    <w:r>
      <w:rPr>
        <w:rFonts w:cs="Arial"/>
        <w:b w:val="0"/>
        <w:sz w:val="22"/>
        <w:szCs w:val="22"/>
      </w:rPr>
      <w:t xml:space="preserve">   </w:t>
    </w:r>
    <w:r w:rsidRPr="00654384">
      <w:rPr>
        <w:rFonts w:cs="Arial"/>
        <w:b w:val="0"/>
        <w:sz w:val="22"/>
        <w:szCs w:val="22"/>
      </w:rPr>
      <w:tab/>
    </w:r>
    <w:r>
      <w:rPr>
        <w:rFonts w:cs="Arial"/>
        <w:b w:val="0"/>
        <w:sz w:val="22"/>
        <w:szCs w:val="22"/>
      </w:rPr>
      <w:t xml:space="preserve">DE  </w:t>
    </w:r>
    <w:r>
      <w:rPr>
        <w:rFonts w:cs="Arial"/>
        <w:sz w:val="22"/>
        <w:szCs w:val="22"/>
        <w:u w:val="single"/>
      </w:rPr>
      <w:t xml:space="preserve">   </w:t>
    </w:r>
    <w:r w:rsidR="008023B7">
      <w:rPr>
        <w:rFonts w:cs="Arial"/>
        <w:sz w:val="22"/>
        <w:szCs w:val="22"/>
        <w:u w:val="single"/>
      </w:rPr>
      <w:t>XX</w:t>
    </w:r>
    <w:r w:rsidR="004B39AE">
      <w:rPr>
        <w:rFonts w:cs="Arial"/>
        <w:sz w:val="22"/>
        <w:szCs w:val="22"/>
        <w:u w:val="single"/>
      </w:rPr>
      <w:t xml:space="preserve"> </w:t>
    </w:r>
    <w:r w:rsidR="008023B7">
      <w:rPr>
        <w:rFonts w:cs="Arial"/>
        <w:sz w:val="22"/>
        <w:szCs w:val="22"/>
        <w:u w:val="single"/>
      </w:rPr>
      <w:t>XXX</w:t>
    </w:r>
    <w:r>
      <w:rPr>
        <w:rFonts w:cs="Arial"/>
        <w:sz w:val="22"/>
        <w:szCs w:val="22"/>
        <w:u w:val="single"/>
      </w:rPr>
      <w:t>.</w:t>
    </w:r>
    <w:r w:rsidR="004B39AE">
      <w:rPr>
        <w:rFonts w:cs="Arial"/>
        <w:sz w:val="22"/>
        <w:szCs w:val="22"/>
        <w:u w:val="single"/>
      </w:rPr>
      <w:t xml:space="preserve"> </w:t>
    </w:r>
    <w:r>
      <w:rPr>
        <w:rFonts w:cs="Arial"/>
        <w:sz w:val="22"/>
        <w:szCs w:val="22"/>
        <w:u w:val="single"/>
      </w:rPr>
      <w:t>202</w:t>
    </w:r>
    <w:r w:rsidR="00E0525A">
      <w:rPr>
        <w:rFonts w:cs="Arial"/>
        <w:sz w:val="22"/>
        <w:szCs w:val="22"/>
        <w:u w:val="single"/>
      </w:rPr>
      <w:t>2</w:t>
    </w:r>
    <w:r>
      <w:rPr>
        <w:rFonts w:cs="Arial"/>
        <w:sz w:val="22"/>
        <w:szCs w:val="22"/>
        <w:u w:val="single"/>
      </w:rPr>
      <w:t xml:space="preserve">     </w:t>
    </w:r>
    <w:r>
      <w:rPr>
        <w:rFonts w:cs="Arial"/>
        <w:b w:val="0"/>
        <w:sz w:val="22"/>
        <w:szCs w:val="22"/>
      </w:rPr>
      <w:tab/>
    </w:r>
    <w:r w:rsidRPr="00654384">
      <w:rPr>
        <w:rFonts w:cs="Arial"/>
        <w:b w:val="0"/>
        <w:sz w:val="22"/>
        <w:szCs w:val="22"/>
      </w:rPr>
      <w:t xml:space="preserve">HOJA No. </w:t>
    </w:r>
    <w:r w:rsidRPr="00654384">
      <w:rPr>
        <w:rFonts w:cs="Arial"/>
        <w:b w:val="0"/>
        <w:sz w:val="22"/>
        <w:szCs w:val="22"/>
      </w:rPr>
      <w:fldChar w:fldCharType="begin"/>
    </w:r>
    <w:r w:rsidRPr="00654384">
      <w:rPr>
        <w:rFonts w:cs="Arial"/>
        <w:b w:val="0"/>
        <w:sz w:val="22"/>
        <w:szCs w:val="22"/>
      </w:rPr>
      <w:instrText xml:space="preserve"> PAGE   \* MERGEFORMAT </w:instrText>
    </w:r>
    <w:r w:rsidRPr="00654384">
      <w:rPr>
        <w:rFonts w:cs="Arial"/>
        <w:b w:val="0"/>
        <w:sz w:val="22"/>
        <w:szCs w:val="22"/>
      </w:rPr>
      <w:fldChar w:fldCharType="separate"/>
    </w:r>
    <w:r>
      <w:rPr>
        <w:rFonts w:cs="Arial"/>
        <w:b w:val="0"/>
        <w:sz w:val="22"/>
        <w:szCs w:val="22"/>
      </w:rPr>
      <w:t>43</w:t>
    </w:r>
    <w:r w:rsidRPr="00654384">
      <w:rPr>
        <w:rFonts w:cs="Arial"/>
        <w:b w:val="0"/>
        <w:sz w:val="22"/>
        <w:szCs w:val="22"/>
      </w:rPr>
      <w:fldChar w:fldCharType="end"/>
    </w:r>
    <w:r w:rsidRPr="00654384">
      <w:rPr>
        <w:rFonts w:cs="Arial"/>
        <w:b w:val="0"/>
        <w:sz w:val="22"/>
        <w:szCs w:val="22"/>
      </w:rPr>
      <w:t>/</w:t>
    </w:r>
    <w:r w:rsidR="005E2372">
      <w:fldChar w:fldCharType="begin"/>
    </w:r>
    <w:r w:rsidR="005E2372">
      <w:instrText>NUMPAGES  \* MERGEFORMAT</w:instrText>
    </w:r>
    <w:r w:rsidR="005E2372">
      <w:fldChar w:fldCharType="separate"/>
    </w:r>
    <w:r w:rsidRPr="002973FC">
      <w:rPr>
        <w:rFonts w:cs="Arial"/>
        <w:b w:val="0"/>
        <w:sz w:val="22"/>
        <w:szCs w:val="22"/>
      </w:rPr>
      <w:t>76</w:t>
    </w:r>
    <w:r w:rsidR="005E2372">
      <w:rPr>
        <w:rFonts w:cs="Arial"/>
        <w:b w:val="0"/>
        <w:sz w:val="22"/>
        <w:szCs w:val="22"/>
      </w:rPr>
      <w:fldChar w:fldCharType="end"/>
    </w:r>
  </w:p>
  <w:p w14:paraId="7A4243CC" w14:textId="77777777" w:rsidR="000446C9" w:rsidRDefault="000446C9" w:rsidP="00AD01E4">
    <w:pPr>
      <w:ind w:left="142" w:right="148"/>
      <w:rPr>
        <w:rFonts w:cs="Arial"/>
      </w:rPr>
    </w:pPr>
    <w:r w:rsidRPr="0042068C">
      <w:rPr>
        <w:noProof/>
      </w:rPr>
      <mc:AlternateContent>
        <mc:Choice Requires="wps">
          <w:drawing>
            <wp:anchor distT="0" distB="0" distL="114300" distR="114300" simplePos="0" relativeHeight="251658241" behindDoc="0" locked="0" layoutInCell="1" allowOverlap="1" wp14:anchorId="6061B4A9" wp14:editId="1F5CA145">
              <wp:simplePos x="0" y="0"/>
              <wp:positionH relativeFrom="column">
                <wp:posOffset>-184785</wp:posOffset>
              </wp:positionH>
              <wp:positionV relativeFrom="paragraph">
                <wp:posOffset>88899</wp:posOffset>
              </wp:positionV>
              <wp:extent cx="6267450" cy="99104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104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E710809">
            <v:rect id="Rectangle 1" style="position:absolute;margin-left:-14.55pt;margin-top:7pt;width:493.5pt;height:78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3226AE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"/>
          </w:pict>
        </mc:Fallback>
      </mc:AlternateContent>
    </w:r>
  </w:p>
  <w:p w14:paraId="7C083776" w14:textId="1006E705" w:rsidR="005455D8" w:rsidRPr="005455D8" w:rsidRDefault="005455D8" w:rsidP="005455D8">
    <w:pPr>
      <w:contextualSpacing/>
      <w:jc w:val="both"/>
      <w:rPr>
        <w:iCs/>
        <w:sz w:val="22"/>
        <w:szCs w:val="22"/>
      </w:rPr>
    </w:pPr>
    <w:r w:rsidRPr="005455D8">
      <w:rPr>
        <w:iCs/>
        <w:sz w:val="22"/>
        <w:szCs w:val="22"/>
      </w:rPr>
      <w:t xml:space="preserve">Por la cual se define la fórmula tarifaria general para establecer la remuneración de la prestación del servicio de energía eléctrica mediante Soluciones Individuales Solares </w:t>
    </w:r>
    <w:r w:rsidRPr="005B1A20">
      <w:rPr>
        <w:iCs/>
        <w:sz w:val="22"/>
        <w:szCs w:val="22"/>
      </w:rPr>
      <w:t>Fotovoltaicas</w:t>
    </w:r>
    <w:r w:rsidR="00FF5B78" w:rsidRPr="005B1A20">
      <w:rPr>
        <w:iCs/>
        <w:sz w:val="22"/>
        <w:szCs w:val="22"/>
      </w:rPr>
      <w:t xml:space="preserve"> </w:t>
    </w:r>
    <w:r w:rsidR="00FF5B78" w:rsidRPr="005B1A20">
      <w:rPr>
        <w:iCs/>
      </w:rPr>
      <w:t>en Zonas No Interconectadas</w:t>
    </w:r>
  </w:p>
  <w:p w14:paraId="32A6C87A" w14:textId="4CD0A9A0" w:rsidR="000446C9" w:rsidRPr="00E3707C" w:rsidRDefault="000446C9" w:rsidP="00EE0454">
    <w:pPr>
      <w:pBdr>
        <w:bottom w:val="single" w:sz="4" w:space="1" w:color="auto"/>
      </w:pBdr>
      <w:jc w:val="both"/>
      <w:rPr>
        <w:sz w:val="22"/>
        <w:szCs w:val="22"/>
      </w:rPr>
    </w:pPr>
  </w:p>
  <w:p w14:paraId="56BD8354" w14:textId="4365B8DA" w:rsidR="000446C9" w:rsidRPr="00045D3D" w:rsidRDefault="000446C9" w:rsidP="00B31302">
    <w:pPr>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1BB8" w14:textId="002D0741" w:rsidR="000446C9" w:rsidRDefault="000446C9" w:rsidP="00C906CD">
    <w:pPr>
      <w:pStyle w:val="Encabezado"/>
      <w:jc w:val="center"/>
      <w:rPr>
        <w:rFonts w:ascii="Arial" w:hAnsi="Arial" w:cs="Arial"/>
        <w:spacing w:val="20"/>
        <w:sz w:val="20"/>
      </w:rPr>
    </w:pPr>
    <w:r>
      <w:rPr>
        <w:rFonts w:ascii="Arial" w:hAnsi="Arial" w:cs="Arial"/>
        <w:spacing w:val="20"/>
        <w:sz w:val="20"/>
      </w:rPr>
      <w:t>República de Colombia</w:t>
    </w:r>
  </w:p>
  <w:p w14:paraId="133854F0" w14:textId="77777777" w:rsidR="000446C9" w:rsidRDefault="000446C9">
    <w:pPr>
      <w:pStyle w:val="Encabezado"/>
      <w:jc w:val="center"/>
      <w:rPr>
        <w:rFonts w:ascii="Arial" w:hAnsi="Arial" w:cs="Arial"/>
        <w:spacing w:val="20"/>
        <w:sz w:val="20"/>
      </w:rPr>
    </w:pPr>
  </w:p>
  <w:p w14:paraId="731F2EA9" w14:textId="77777777" w:rsidR="000446C9" w:rsidRDefault="000446C9" w:rsidP="00CA77FB">
    <w:pPr>
      <w:pStyle w:val="Encabezado"/>
      <w:jc w:val="center"/>
    </w:pPr>
    <w:r w:rsidRPr="0042068C">
      <w:rPr>
        <w:rFonts w:ascii="Arial" w:hAnsi="Arial" w:cs="Arial"/>
        <w:noProof/>
        <w:spacing w:val="20"/>
        <w:sz w:val="20"/>
      </w:rPr>
      <mc:AlternateContent>
        <mc:Choice Requires="wps">
          <w:drawing>
            <wp:anchor distT="0" distB="0" distL="114300" distR="114300" simplePos="0" relativeHeight="251658240" behindDoc="0" locked="0" layoutInCell="1" allowOverlap="1" wp14:anchorId="3FA3A0CB" wp14:editId="035C6597">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9698D81">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9F72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B420EC3"/>
    <w:multiLevelType w:val="hybridMultilevel"/>
    <w:tmpl w:val="ED4076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D8419B"/>
    <w:multiLevelType w:val="multilevel"/>
    <w:tmpl w:val="8D4AF78C"/>
    <w:lvl w:ilvl="0">
      <w:start w:val="1"/>
      <w:numFmt w:val="decimal"/>
      <w:lvlText w:val="Artículo %1."/>
      <w:lvlJc w:val="right"/>
      <w:pPr>
        <w:tabs>
          <w:tab w:val="num" w:pos="957"/>
        </w:tabs>
        <w:ind w:left="-76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ascii="Bookman Old Style" w:hAnsi="Bookman Old Style"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25620BC"/>
    <w:multiLevelType w:val="hybridMultilevel"/>
    <w:tmpl w:val="F2E4BD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164C93"/>
    <w:multiLevelType w:val="hybridMultilevel"/>
    <w:tmpl w:val="2214AC12"/>
    <w:lvl w:ilvl="0" w:tplc="9822F20A">
      <w:start w:val="1"/>
      <w:numFmt w:val="decimal"/>
      <w:lvlText w:val="Artículo %1."/>
      <w:lvlJc w:val="left"/>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AA3385"/>
    <w:multiLevelType w:val="hybridMultilevel"/>
    <w:tmpl w:val="40AA2B7A"/>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D14B03"/>
    <w:multiLevelType w:val="hybridMultilevel"/>
    <w:tmpl w:val="C0761C3E"/>
    <w:lvl w:ilvl="0" w:tplc="D362CD8E">
      <w:start w:val="1"/>
      <w:numFmt w:val="lowerLetter"/>
      <w:lvlText w:val="%1)"/>
      <w:lvlJc w:val="left"/>
      <w:pPr>
        <w:ind w:left="927" w:hanging="360"/>
      </w:pPr>
      <w:rPr>
        <w:rFonts w:hint="default"/>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D561068"/>
    <w:multiLevelType w:val="hybridMultilevel"/>
    <w:tmpl w:val="16F8ABCA"/>
    <w:lvl w:ilvl="0" w:tplc="0C0A0019">
      <w:start w:val="1"/>
      <w:numFmt w:val="lowerLetter"/>
      <w:lvlText w:val="%1."/>
      <w:lvlJc w:val="left"/>
      <w:pPr>
        <w:ind w:left="927" w:hanging="360"/>
      </w:pPr>
      <w:rPr>
        <w:rFonts w:hint="default"/>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225840C1"/>
    <w:multiLevelType w:val="hybridMultilevel"/>
    <w:tmpl w:val="F424B2B0"/>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EE312F"/>
    <w:multiLevelType w:val="hybridMultilevel"/>
    <w:tmpl w:val="2870DADE"/>
    <w:lvl w:ilvl="0" w:tplc="0C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103AD9"/>
    <w:multiLevelType w:val="hybridMultilevel"/>
    <w:tmpl w:val="9F1C741A"/>
    <w:lvl w:ilvl="0" w:tplc="240A001B">
      <w:start w:val="1"/>
      <w:numFmt w:val="lowerRoman"/>
      <w:lvlText w:val="%1."/>
      <w:lvlJc w:val="right"/>
      <w:pPr>
        <w:ind w:left="1713" w:hanging="360"/>
      </w:pPr>
    </w:lvl>
    <w:lvl w:ilvl="1" w:tplc="240A0019" w:tentative="1">
      <w:start w:val="1"/>
      <w:numFmt w:val="lowerLetter"/>
      <w:lvlText w:val="%2."/>
      <w:lvlJc w:val="left"/>
      <w:pPr>
        <w:ind w:left="2433" w:hanging="360"/>
      </w:pPr>
    </w:lvl>
    <w:lvl w:ilvl="2" w:tplc="240A001B" w:tentative="1">
      <w:start w:val="1"/>
      <w:numFmt w:val="lowerRoman"/>
      <w:lvlText w:val="%3."/>
      <w:lvlJc w:val="right"/>
      <w:pPr>
        <w:ind w:left="3153" w:hanging="180"/>
      </w:pPr>
    </w:lvl>
    <w:lvl w:ilvl="3" w:tplc="240A000F" w:tentative="1">
      <w:start w:val="1"/>
      <w:numFmt w:val="decimal"/>
      <w:lvlText w:val="%4."/>
      <w:lvlJc w:val="left"/>
      <w:pPr>
        <w:ind w:left="3873" w:hanging="360"/>
      </w:pPr>
    </w:lvl>
    <w:lvl w:ilvl="4" w:tplc="240A0019" w:tentative="1">
      <w:start w:val="1"/>
      <w:numFmt w:val="lowerLetter"/>
      <w:lvlText w:val="%5."/>
      <w:lvlJc w:val="left"/>
      <w:pPr>
        <w:ind w:left="4593" w:hanging="360"/>
      </w:pPr>
    </w:lvl>
    <w:lvl w:ilvl="5" w:tplc="240A001B" w:tentative="1">
      <w:start w:val="1"/>
      <w:numFmt w:val="lowerRoman"/>
      <w:lvlText w:val="%6."/>
      <w:lvlJc w:val="right"/>
      <w:pPr>
        <w:ind w:left="5313" w:hanging="180"/>
      </w:pPr>
    </w:lvl>
    <w:lvl w:ilvl="6" w:tplc="240A000F" w:tentative="1">
      <w:start w:val="1"/>
      <w:numFmt w:val="decimal"/>
      <w:lvlText w:val="%7."/>
      <w:lvlJc w:val="left"/>
      <w:pPr>
        <w:ind w:left="6033" w:hanging="360"/>
      </w:pPr>
    </w:lvl>
    <w:lvl w:ilvl="7" w:tplc="240A0019" w:tentative="1">
      <w:start w:val="1"/>
      <w:numFmt w:val="lowerLetter"/>
      <w:lvlText w:val="%8."/>
      <w:lvlJc w:val="left"/>
      <w:pPr>
        <w:ind w:left="6753" w:hanging="360"/>
      </w:pPr>
    </w:lvl>
    <w:lvl w:ilvl="8" w:tplc="240A001B" w:tentative="1">
      <w:start w:val="1"/>
      <w:numFmt w:val="lowerRoman"/>
      <w:lvlText w:val="%9."/>
      <w:lvlJc w:val="right"/>
      <w:pPr>
        <w:ind w:left="7473" w:hanging="180"/>
      </w:pPr>
    </w:lvl>
  </w:abstractNum>
  <w:abstractNum w:abstractNumId="12" w15:restartNumberingAfterBreak="0">
    <w:nsid w:val="25265962"/>
    <w:multiLevelType w:val="hybridMultilevel"/>
    <w:tmpl w:val="8BB2B3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5F2D95"/>
    <w:multiLevelType w:val="hybridMultilevel"/>
    <w:tmpl w:val="11066F36"/>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54DB1"/>
    <w:multiLevelType w:val="hybridMultilevel"/>
    <w:tmpl w:val="54D613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DA5CD8"/>
    <w:multiLevelType w:val="hybridMultilevel"/>
    <w:tmpl w:val="F81E1E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E452FF"/>
    <w:multiLevelType w:val="hybridMultilevel"/>
    <w:tmpl w:val="EABA9202"/>
    <w:lvl w:ilvl="0" w:tplc="A4FA9DFA">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48E3396"/>
    <w:multiLevelType w:val="hybridMultilevel"/>
    <w:tmpl w:val="C900A9DA"/>
    <w:lvl w:ilvl="0" w:tplc="E926DE0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9241BF9"/>
    <w:multiLevelType w:val="hybridMultilevel"/>
    <w:tmpl w:val="C0761C3E"/>
    <w:lvl w:ilvl="0" w:tplc="D362CD8E">
      <w:start w:val="1"/>
      <w:numFmt w:val="lowerLetter"/>
      <w:lvlText w:val="%1)"/>
      <w:lvlJc w:val="left"/>
      <w:pPr>
        <w:ind w:left="927" w:hanging="360"/>
      </w:pPr>
      <w:rPr>
        <w:rFonts w:hint="default"/>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4A060FFB"/>
    <w:multiLevelType w:val="hybridMultilevel"/>
    <w:tmpl w:val="11066F36"/>
    <w:lvl w:ilvl="0" w:tplc="3EA81AD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B7412A"/>
    <w:multiLevelType w:val="hybridMultilevel"/>
    <w:tmpl w:val="2D5A37E8"/>
    <w:lvl w:ilvl="0" w:tplc="78329038">
      <w:start w:val="1"/>
      <w:numFmt w:val="decimal"/>
      <w:lvlText w:val="Artículo %1."/>
      <w:lvlJc w:val="left"/>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F86CE7"/>
    <w:multiLevelType w:val="hybridMultilevel"/>
    <w:tmpl w:val="2CCC0DAA"/>
    <w:lvl w:ilvl="0" w:tplc="75C0B086">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7033DA"/>
    <w:multiLevelType w:val="hybridMultilevel"/>
    <w:tmpl w:val="F6E43496"/>
    <w:lvl w:ilvl="0" w:tplc="080A0011">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62981E78"/>
    <w:multiLevelType w:val="hybridMultilevel"/>
    <w:tmpl w:val="3CCE07AE"/>
    <w:lvl w:ilvl="0" w:tplc="240A0019">
      <w:start w:val="1"/>
      <w:numFmt w:val="lowerLetter"/>
      <w:lvlText w:val="%1."/>
      <w:lvlJc w:val="left"/>
      <w:pPr>
        <w:ind w:left="927" w:hanging="360"/>
      </w:pPr>
      <w:rPr>
        <w:rFonts w:hint="default"/>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63D82553"/>
    <w:multiLevelType w:val="hybridMultilevel"/>
    <w:tmpl w:val="56AEB64A"/>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125173"/>
    <w:multiLevelType w:val="hybridMultilevel"/>
    <w:tmpl w:val="F81E1E9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8" w15:restartNumberingAfterBreak="0">
    <w:nsid w:val="73432BD8"/>
    <w:multiLevelType w:val="hybridMultilevel"/>
    <w:tmpl w:val="CD8859D2"/>
    <w:lvl w:ilvl="0" w:tplc="3E349DFC">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939" w:hanging="360"/>
      </w:pPr>
    </w:lvl>
    <w:lvl w:ilvl="2" w:tplc="240A000F">
      <w:start w:val="1"/>
      <w:numFmt w:val="decimal"/>
      <w:lvlText w:val="%3."/>
      <w:lvlJc w:val="left"/>
      <w:pPr>
        <w:ind w:left="1659" w:hanging="180"/>
      </w:pPr>
    </w:lvl>
    <w:lvl w:ilvl="3" w:tplc="94AE6346">
      <w:start w:val="1"/>
      <w:numFmt w:val="upperLetter"/>
      <w:lvlText w:val="%4."/>
      <w:lvlJc w:val="left"/>
      <w:pPr>
        <w:ind w:left="2379" w:hanging="360"/>
      </w:pPr>
      <w:rPr>
        <w:rFonts w:hint="default"/>
      </w:rPr>
    </w:lvl>
    <w:lvl w:ilvl="4" w:tplc="240A0019" w:tentative="1">
      <w:start w:val="1"/>
      <w:numFmt w:val="lowerLetter"/>
      <w:lvlText w:val="%5."/>
      <w:lvlJc w:val="left"/>
      <w:pPr>
        <w:ind w:left="3099" w:hanging="360"/>
      </w:pPr>
    </w:lvl>
    <w:lvl w:ilvl="5" w:tplc="240A001B" w:tentative="1">
      <w:start w:val="1"/>
      <w:numFmt w:val="lowerRoman"/>
      <w:lvlText w:val="%6."/>
      <w:lvlJc w:val="right"/>
      <w:pPr>
        <w:ind w:left="3819" w:hanging="180"/>
      </w:pPr>
    </w:lvl>
    <w:lvl w:ilvl="6" w:tplc="240A000F" w:tentative="1">
      <w:start w:val="1"/>
      <w:numFmt w:val="decimal"/>
      <w:lvlText w:val="%7."/>
      <w:lvlJc w:val="left"/>
      <w:pPr>
        <w:ind w:left="4539" w:hanging="360"/>
      </w:pPr>
    </w:lvl>
    <w:lvl w:ilvl="7" w:tplc="240A0019" w:tentative="1">
      <w:start w:val="1"/>
      <w:numFmt w:val="lowerLetter"/>
      <w:lvlText w:val="%8."/>
      <w:lvlJc w:val="left"/>
      <w:pPr>
        <w:ind w:left="5259" w:hanging="360"/>
      </w:pPr>
    </w:lvl>
    <w:lvl w:ilvl="8" w:tplc="240A001B" w:tentative="1">
      <w:start w:val="1"/>
      <w:numFmt w:val="lowerRoman"/>
      <w:lvlText w:val="%9."/>
      <w:lvlJc w:val="right"/>
      <w:pPr>
        <w:ind w:left="5979" w:hanging="180"/>
      </w:pPr>
    </w:lvl>
  </w:abstractNum>
  <w:abstractNum w:abstractNumId="29" w15:restartNumberingAfterBreak="0">
    <w:nsid w:val="76B01834"/>
    <w:multiLevelType w:val="hybridMultilevel"/>
    <w:tmpl w:val="B596DDD6"/>
    <w:lvl w:ilvl="0" w:tplc="DA7EC0AA">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A22F13"/>
    <w:multiLevelType w:val="hybridMultilevel"/>
    <w:tmpl w:val="4772776E"/>
    <w:lvl w:ilvl="0" w:tplc="5106A75E">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85528780">
    <w:abstractNumId w:val="1"/>
  </w:num>
  <w:num w:numId="2" w16cid:durableId="1128160204">
    <w:abstractNumId w:val="28"/>
  </w:num>
  <w:num w:numId="3" w16cid:durableId="1280142276">
    <w:abstractNumId w:val="22"/>
  </w:num>
  <w:num w:numId="4" w16cid:durableId="652565747">
    <w:abstractNumId w:val="27"/>
  </w:num>
  <w:num w:numId="5" w16cid:durableId="1547645071">
    <w:abstractNumId w:val="23"/>
  </w:num>
  <w:num w:numId="6" w16cid:durableId="1284193938">
    <w:abstractNumId w:val="4"/>
  </w:num>
  <w:num w:numId="7" w16cid:durableId="1433353249">
    <w:abstractNumId w:val="18"/>
  </w:num>
  <w:num w:numId="8" w16cid:durableId="441998066">
    <w:abstractNumId w:val="7"/>
  </w:num>
  <w:num w:numId="9" w16cid:durableId="1995181651">
    <w:abstractNumId w:val="25"/>
  </w:num>
  <w:num w:numId="10" w16cid:durableId="919211799">
    <w:abstractNumId w:val="19"/>
  </w:num>
  <w:num w:numId="11" w16cid:durableId="1956403381">
    <w:abstractNumId w:val="8"/>
  </w:num>
  <w:num w:numId="12" w16cid:durableId="743800372">
    <w:abstractNumId w:val="24"/>
  </w:num>
  <w:num w:numId="13" w16cid:durableId="1766340691">
    <w:abstractNumId w:val="10"/>
  </w:num>
  <w:num w:numId="14" w16cid:durableId="680742388">
    <w:abstractNumId w:val="3"/>
  </w:num>
  <w:num w:numId="15" w16cid:durableId="12850934">
    <w:abstractNumId w:val="9"/>
  </w:num>
  <w:num w:numId="16" w16cid:durableId="787546378">
    <w:abstractNumId w:val="6"/>
  </w:num>
  <w:num w:numId="17" w16cid:durableId="31462495">
    <w:abstractNumId w:val="14"/>
  </w:num>
  <w:num w:numId="18" w16cid:durableId="1525434370">
    <w:abstractNumId w:val="17"/>
  </w:num>
  <w:num w:numId="19" w16cid:durableId="1405033591">
    <w:abstractNumId w:val="11"/>
  </w:num>
  <w:num w:numId="20" w16cid:durableId="1018501704">
    <w:abstractNumId w:val="21"/>
  </w:num>
  <w:num w:numId="21" w16cid:durableId="1265841502">
    <w:abstractNumId w:val="30"/>
  </w:num>
  <w:num w:numId="22" w16cid:durableId="568466076">
    <w:abstractNumId w:val="2"/>
  </w:num>
  <w:num w:numId="23" w16cid:durableId="543178657">
    <w:abstractNumId w:val="29"/>
  </w:num>
  <w:num w:numId="24" w16cid:durableId="202406238">
    <w:abstractNumId w:val="16"/>
  </w:num>
  <w:num w:numId="25" w16cid:durableId="2112357450">
    <w:abstractNumId w:val="5"/>
  </w:num>
  <w:num w:numId="26" w16cid:durableId="228998644">
    <w:abstractNumId w:val="20"/>
  </w:num>
  <w:num w:numId="27" w16cid:durableId="1422603129">
    <w:abstractNumId w:val="13"/>
  </w:num>
  <w:num w:numId="28" w16cid:durableId="474570968">
    <w:abstractNumId w:val="26"/>
  </w:num>
  <w:num w:numId="29" w16cid:durableId="806319215">
    <w:abstractNumId w:val="12"/>
  </w:num>
  <w:num w:numId="30" w16cid:durableId="5715429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4096" w:nlCheck="1" w:checkStyle="0"/>
  <w:activeWritingStyle w:appName="MSWord" w:lang="en-GB" w:vendorID="64" w:dllVersion="4096" w:nlCheck="1" w:checkStyle="0"/>
  <w:activeWritingStyle w:appName="MSWord" w:lang="es-CO"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CO" w:vendorID="64" w:dllVersion="4096" w:nlCheck="1" w:checkStyle="0"/>
  <w:activeWritingStyle w:appName="MSWord" w:lang="es-MX" w:vendorID="64" w:dllVersion="0" w:nlCheck="1" w:checkStyle="0"/>
  <w:attachedTemplate r:id="rId1"/>
  <w:doNotTrackFormatting/>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B9"/>
    <w:rsid w:val="00001A75"/>
    <w:rsid w:val="00001DC3"/>
    <w:rsid w:val="00001E43"/>
    <w:rsid w:val="00002288"/>
    <w:rsid w:val="000022E6"/>
    <w:rsid w:val="00002D2A"/>
    <w:rsid w:val="000044CC"/>
    <w:rsid w:val="000045BD"/>
    <w:rsid w:val="000048CF"/>
    <w:rsid w:val="0000496D"/>
    <w:rsid w:val="000049B4"/>
    <w:rsid w:val="0000509B"/>
    <w:rsid w:val="000058E2"/>
    <w:rsid w:val="000065BA"/>
    <w:rsid w:val="00006AE2"/>
    <w:rsid w:val="000075D2"/>
    <w:rsid w:val="00007653"/>
    <w:rsid w:val="000076A1"/>
    <w:rsid w:val="00007D54"/>
    <w:rsid w:val="00007E82"/>
    <w:rsid w:val="000104C6"/>
    <w:rsid w:val="000107BB"/>
    <w:rsid w:val="00011101"/>
    <w:rsid w:val="000116B9"/>
    <w:rsid w:val="000118E5"/>
    <w:rsid w:val="00011C11"/>
    <w:rsid w:val="00012259"/>
    <w:rsid w:val="0001308F"/>
    <w:rsid w:val="0001399C"/>
    <w:rsid w:val="00013EBE"/>
    <w:rsid w:val="00013F39"/>
    <w:rsid w:val="0001477F"/>
    <w:rsid w:val="00014861"/>
    <w:rsid w:val="00015318"/>
    <w:rsid w:val="000155C9"/>
    <w:rsid w:val="00015762"/>
    <w:rsid w:val="00015E7D"/>
    <w:rsid w:val="00016526"/>
    <w:rsid w:val="000167B4"/>
    <w:rsid w:val="00016936"/>
    <w:rsid w:val="00016ABE"/>
    <w:rsid w:val="00016CDD"/>
    <w:rsid w:val="00016D1C"/>
    <w:rsid w:val="00016EB4"/>
    <w:rsid w:val="000174E2"/>
    <w:rsid w:val="000175AD"/>
    <w:rsid w:val="000176EB"/>
    <w:rsid w:val="00017DCF"/>
    <w:rsid w:val="00020239"/>
    <w:rsid w:val="000202A1"/>
    <w:rsid w:val="000204FA"/>
    <w:rsid w:val="000206FB"/>
    <w:rsid w:val="000207B9"/>
    <w:rsid w:val="0002088D"/>
    <w:rsid w:val="00021351"/>
    <w:rsid w:val="00021880"/>
    <w:rsid w:val="00021A13"/>
    <w:rsid w:val="00021A19"/>
    <w:rsid w:val="00021C5A"/>
    <w:rsid w:val="00021D16"/>
    <w:rsid w:val="000220EB"/>
    <w:rsid w:val="00022823"/>
    <w:rsid w:val="00022D91"/>
    <w:rsid w:val="000237AB"/>
    <w:rsid w:val="00023ABF"/>
    <w:rsid w:val="000240D6"/>
    <w:rsid w:val="00024536"/>
    <w:rsid w:val="00024590"/>
    <w:rsid w:val="00024699"/>
    <w:rsid w:val="00025383"/>
    <w:rsid w:val="00025438"/>
    <w:rsid w:val="00025494"/>
    <w:rsid w:val="000254D9"/>
    <w:rsid w:val="00025F67"/>
    <w:rsid w:val="00026055"/>
    <w:rsid w:val="0002633B"/>
    <w:rsid w:val="00026AD6"/>
    <w:rsid w:val="00026C22"/>
    <w:rsid w:val="00030065"/>
    <w:rsid w:val="0003018C"/>
    <w:rsid w:val="000303F9"/>
    <w:rsid w:val="00030BE7"/>
    <w:rsid w:val="00030C6E"/>
    <w:rsid w:val="000317E8"/>
    <w:rsid w:val="00031BA9"/>
    <w:rsid w:val="00031DC4"/>
    <w:rsid w:val="00031DCB"/>
    <w:rsid w:val="00031EE1"/>
    <w:rsid w:val="0003275F"/>
    <w:rsid w:val="00033151"/>
    <w:rsid w:val="000339B9"/>
    <w:rsid w:val="0003424B"/>
    <w:rsid w:val="000342A1"/>
    <w:rsid w:val="00034661"/>
    <w:rsid w:val="00034A1C"/>
    <w:rsid w:val="00034CF8"/>
    <w:rsid w:val="0003593F"/>
    <w:rsid w:val="000359C8"/>
    <w:rsid w:val="00035BAA"/>
    <w:rsid w:val="000360BA"/>
    <w:rsid w:val="00036F36"/>
    <w:rsid w:val="000371F9"/>
    <w:rsid w:val="000374E6"/>
    <w:rsid w:val="00037A98"/>
    <w:rsid w:val="00037BA8"/>
    <w:rsid w:val="00037FF3"/>
    <w:rsid w:val="0004007D"/>
    <w:rsid w:val="00040562"/>
    <w:rsid w:val="00040824"/>
    <w:rsid w:val="0004092D"/>
    <w:rsid w:val="00041228"/>
    <w:rsid w:val="000414B5"/>
    <w:rsid w:val="000414B9"/>
    <w:rsid w:val="00041920"/>
    <w:rsid w:val="000422ED"/>
    <w:rsid w:val="00042357"/>
    <w:rsid w:val="00042793"/>
    <w:rsid w:val="0004281C"/>
    <w:rsid w:val="00043070"/>
    <w:rsid w:val="00043126"/>
    <w:rsid w:val="000432D2"/>
    <w:rsid w:val="00044012"/>
    <w:rsid w:val="0004408C"/>
    <w:rsid w:val="000441F5"/>
    <w:rsid w:val="000445E9"/>
    <w:rsid w:val="000446C9"/>
    <w:rsid w:val="00044870"/>
    <w:rsid w:val="00044C24"/>
    <w:rsid w:val="00044E11"/>
    <w:rsid w:val="00045291"/>
    <w:rsid w:val="0004550E"/>
    <w:rsid w:val="00045739"/>
    <w:rsid w:val="00045C23"/>
    <w:rsid w:val="00045D3D"/>
    <w:rsid w:val="000460FF"/>
    <w:rsid w:val="000462B7"/>
    <w:rsid w:val="00046368"/>
    <w:rsid w:val="00046621"/>
    <w:rsid w:val="000468E5"/>
    <w:rsid w:val="00046AFD"/>
    <w:rsid w:val="00046B42"/>
    <w:rsid w:val="00046F06"/>
    <w:rsid w:val="00047404"/>
    <w:rsid w:val="00047A16"/>
    <w:rsid w:val="00047DDA"/>
    <w:rsid w:val="00050051"/>
    <w:rsid w:val="000511B0"/>
    <w:rsid w:val="00051540"/>
    <w:rsid w:val="00051D5A"/>
    <w:rsid w:val="000524F9"/>
    <w:rsid w:val="0005267E"/>
    <w:rsid w:val="00052913"/>
    <w:rsid w:val="00052BBD"/>
    <w:rsid w:val="00052BD1"/>
    <w:rsid w:val="00053BF0"/>
    <w:rsid w:val="00053D3E"/>
    <w:rsid w:val="00054B2B"/>
    <w:rsid w:val="00054C46"/>
    <w:rsid w:val="00055750"/>
    <w:rsid w:val="00055B77"/>
    <w:rsid w:val="00056170"/>
    <w:rsid w:val="000565EB"/>
    <w:rsid w:val="000567AD"/>
    <w:rsid w:val="00056F11"/>
    <w:rsid w:val="0005731D"/>
    <w:rsid w:val="00057979"/>
    <w:rsid w:val="00057DCE"/>
    <w:rsid w:val="00060C64"/>
    <w:rsid w:val="00060E74"/>
    <w:rsid w:val="00060E81"/>
    <w:rsid w:val="0006112F"/>
    <w:rsid w:val="000613D1"/>
    <w:rsid w:val="000618DD"/>
    <w:rsid w:val="00061A29"/>
    <w:rsid w:val="00061A73"/>
    <w:rsid w:val="000621A4"/>
    <w:rsid w:val="00063590"/>
    <w:rsid w:val="0006359D"/>
    <w:rsid w:val="00063657"/>
    <w:rsid w:val="00063D86"/>
    <w:rsid w:val="00063DC6"/>
    <w:rsid w:val="00063DE8"/>
    <w:rsid w:val="00064831"/>
    <w:rsid w:val="0006483F"/>
    <w:rsid w:val="000649D5"/>
    <w:rsid w:val="00064EB3"/>
    <w:rsid w:val="00064FC0"/>
    <w:rsid w:val="00065438"/>
    <w:rsid w:val="00065981"/>
    <w:rsid w:val="00065E74"/>
    <w:rsid w:val="00065E99"/>
    <w:rsid w:val="0006655C"/>
    <w:rsid w:val="000665DA"/>
    <w:rsid w:val="00067102"/>
    <w:rsid w:val="0006719B"/>
    <w:rsid w:val="00067C34"/>
    <w:rsid w:val="000706E5"/>
    <w:rsid w:val="00070877"/>
    <w:rsid w:val="0007088B"/>
    <w:rsid w:val="000708BA"/>
    <w:rsid w:val="000708BD"/>
    <w:rsid w:val="000709C5"/>
    <w:rsid w:val="00070A2A"/>
    <w:rsid w:val="0007108C"/>
    <w:rsid w:val="0007109E"/>
    <w:rsid w:val="00071121"/>
    <w:rsid w:val="000713BF"/>
    <w:rsid w:val="00071621"/>
    <w:rsid w:val="000719EE"/>
    <w:rsid w:val="00071BD4"/>
    <w:rsid w:val="00072280"/>
    <w:rsid w:val="00072AF2"/>
    <w:rsid w:val="00072B0B"/>
    <w:rsid w:val="000747D4"/>
    <w:rsid w:val="00074966"/>
    <w:rsid w:val="00074B83"/>
    <w:rsid w:val="00075103"/>
    <w:rsid w:val="000751B2"/>
    <w:rsid w:val="00075541"/>
    <w:rsid w:val="00075B34"/>
    <w:rsid w:val="00076227"/>
    <w:rsid w:val="00076680"/>
    <w:rsid w:val="00076A1D"/>
    <w:rsid w:val="00077AAB"/>
    <w:rsid w:val="00080129"/>
    <w:rsid w:val="000801CF"/>
    <w:rsid w:val="000805B9"/>
    <w:rsid w:val="0008073E"/>
    <w:rsid w:val="00080BF2"/>
    <w:rsid w:val="00080D39"/>
    <w:rsid w:val="00080F54"/>
    <w:rsid w:val="0008129B"/>
    <w:rsid w:val="00081343"/>
    <w:rsid w:val="00081759"/>
    <w:rsid w:val="000819C7"/>
    <w:rsid w:val="00081A73"/>
    <w:rsid w:val="00081AE9"/>
    <w:rsid w:val="00082056"/>
    <w:rsid w:val="000820D5"/>
    <w:rsid w:val="000823FB"/>
    <w:rsid w:val="00082524"/>
    <w:rsid w:val="0008252D"/>
    <w:rsid w:val="00082A7F"/>
    <w:rsid w:val="00082CF0"/>
    <w:rsid w:val="00082D8A"/>
    <w:rsid w:val="0008332C"/>
    <w:rsid w:val="00083AEA"/>
    <w:rsid w:val="00083B60"/>
    <w:rsid w:val="00083D21"/>
    <w:rsid w:val="00083FC8"/>
    <w:rsid w:val="000845F1"/>
    <w:rsid w:val="0008472C"/>
    <w:rsid w:val="00084879"/>
    <w:rsid w:val="000849E4"/>
    <w:rsid w:val="00084B98"/>
    <w:rsid w:val="00084CB0"/>
    <w:rsid w:val="00084D17"/>
    <w:rsid w:val="00084D94"/>
    <w:rsid w:val="00084E11"/>
    <w:rsid w:val="00084F57"/>
    <w:rsid w:val="0008509F"/>
    <w:rsid w:val="00085107"/>
    <w:rsid w:val="0008524A"/>
    <w:rsid w:val="000852F9"/>
    <w:rsid w:val="000857EF"/>
    <w:rsid w:val="00085B16"/>
    <w:rsid w:val="00085DA3"/>
    <w:rsid w:val="00085ECA"/>
    <w:rsid w:val="00086018"/>
    <w:rsid w:val="00086124"/>
    <w:rsid w:val="0008623F"/>
    <w:rsid w:val="0008645A"/>
    <w:rsid w:val="0008684F"/>
    <w:rsid w:val="00086FB3"/>
    <w:rsid w:val="000879B5"/>
    <w:rsid w:val="00090522"/>
    <w:rsid w:val="00091351"/>
    <w:rsid w:val="00091CDB"/>
    <w:rsid w:val="00091D1E"/>
    <w:rsid w:val="0009245B"/>
    <w:rsid w:val="000925A8"/>
    <w:rsid w:val="000932F6"/>
    <w:rsid w:val="00093300"/>
    <w:rsid w:val="000933A7"/>
    <w:rsid w:val="000935F9"/>
    <w:rsid w:val="000946B1"/>
    <w:rsid w:val="00094921"/>
    <w:rsid w:val="0009493C"/>
    <w:rsid w:val="000949A5"/>
    <w:rsid w:val="000949F4"/>
    <w:rsid w:val="00094E34"/>
    <w:rsid w:val="00094F50"/>
    <w:rsid w:val="0009588C"/>
    <w:rsid w:val="000960B9"/>
    <w:rsid w:val="00096155"/>
    <w:rsid w:val="000961AE"/>
    <w:rsid w:val="0009696E"/>
    <w:rsid w:val="00096BAD"/>
    <w:rsid w:val="000972A4"/>
    <w:rsid w:val="00097A2C"/>
    <w:rsid w:val="00097BA7"/>
    <w:rsid w:val="000A0048"/>
    <w:rsid w:val="000A1014"/>
    <w:rsid w:val="000A1058"/>
    <w:rsid w:val="000A10B8"/>
    <w:rsid w:val="000A1428"/>
    <w:rsid w:val="000A1578"/>
    <w:rsid w:val="000A19AC"/>
    <w:rsid w:val="000A1A3F"/>
    <w:rsid w:val="000A1C76"/>
    <w:rsid w:val="000A1FD2"/>
    <w:rsid w:val="000A20F9"/>
    <w:rsid w:val="000A2464"/>
    <w:rsid w:val="000A2566"/>
    <w:rsid w:val="000A2C98"/>
    <w:rsid w:val="000A2D06"/>
    <w:rsid w:val="000A379C"/>
    <w:rsid w:val="000A3B54"/>
    <w:rsid w:val="000A5051"/>
    <w:rsid w:val="000A50B2"/>
    <w:rsid w:val="000A51B5"/>
    <w:rsid w:val="000A5555"/>
    <w:rsid w:val="000A58E5"/>
    <w:rsid w:val="000A5EC0"/>
    <w:rsid w:val="000A6505"/>
    <w:rsid w:val="000A672A"/>
    <w:rsid w:val="000A680B"/>
    <w:rsid w:val="000A6837"/>
    <w:rsid w:val="000A6AD1"/>
    <w:rsid w:val="000A78B4"/>
    <w:rsid w:val="000A7CE0"/>
    <w:rsid w:val="000A7F3A"/>
    <w:rsid w:val="000B0216"/>
    <w:rsid w:val="000B035B"/>
    <w:rsid w:val="000B0D40"/>
    <w:rsid w:val="000B1549"/>
    <w:rsid w:val="000B159D"/>
    <w:rsid w:val="000B1687"/>
    <w:rsid w:val="000B1B31"/>
    <w:rsid w:val="000B1C24"/>
    <w:rsid w:val="000B20F3"/>
    <w:rsid w:val="000B25CE"/>
    <w:rsid w:val="000B27BC"/>
    <w:rsid w:val="000B2CA3"/>
    <w:rsid w:val="000B2EC9"/>
    <w:rsid w:val="000B3D6A"/>
    <w:rsid w:val="000B41F9"/>
    <w:rsid w:val="000B4267"/>
    <w:rsid w:val="000B436A"/>
    <w:rsid w:val="000B43D2"/>
    <w:rsid w:val="000B44C7"/>
    <w:rsid w:val="000B4520"/>
    <w:rsid w:val="000B45AD"/>
    <w:rsid w:val="000B4703"/>
    <w:rsid w:val="000B4E09"/>
    <w:rsid w:val="000B5008"/>
    <w:rsid w:val="000B5380"/>
    <w:rsid w:val="000B5BD9"/>
    <w:rsid w:val="000B5E9F"/>
    <w:rsid w:val="000B600F"/>
    <w:rsid w:val="000B61B0"/>
    <w:rsid w:val="000B62A7"/>
    <w:rsid w:val="000B6C3A"/>
    <w:rsid w:val="000B71D8"/>
    <w:rsid w:val="000C05E6"/>
    <w:rsid w:val="000C0E35"/>
    <w:rsid w:val="000C154E"/>
    <w:rsid w:val="000C1995"/>
    <w:rsid w:val="000C2058"/>
    <w:rsid w:val="000C25C0"/>
    <w:rsid w:val="000C2609"/>
    <w:rsid w:val="000C26BC"/>
    <w:rsid w:val="000C26F4"/>
    <w:rsid w:val="000C3139"/>
    <w:rsid w:val="000C34CB"/>
    <w:rsid w:val="000C34DA"/>
    <w:rsid w:val="000C47AF"/>
    <w:rsid w:val="000C5F62"/>
    <w:rsid w:val="000C5FB7"/>
    <w:rsid w:val="000C609F"/>
    <w:rsid w:val="000C66FC"/>
    <w:rsid w:val="000C6749"/>
    <w:rsid w:val="000C6BC6"/>
    <w:rsid w:val="000C71E8"/>
    <w:rsid w:val="000C74A5"/>
    <w:rsid w:val="000C7703"/>
    <w:rsid w:val="000C7924"/>
    <w:rsid w:val="000D0043"/>
    <w:rsid w:val="000D0789"/>
    <w:rsid w:val="000D0D6A"/>
    <w:rsid w:val="000D0F8E"/>
    <w:rsid w:val="000D17DE"/>
    <w:rsid w:val="000D2088"/>
    <w:rsid w:val="000D20E0"/>
    <w:rsid w:val="000D21D4"/>
    <w:rsid w:val="000D240A"/>
    <w:rsid w:val="000D244B"/>
    <w:rsid w:val="000D26F8"/>
    <w:rsid w:val="000D2C2F"/>
    <w:rsid w:val="000D332F"/>
    <w:rsid w:val="000D342D"/>
    <w:rsid w:val="000D3588"/>
    <w:rsid w:val="000D4112"/>
    <w:rsid w:val="000D4567"/>
    <w:rsid w:val="000D45DE"/>
    <w:rsid w:val="000D4BB4"/>
    <w:rsid w:val="000D4F1B"/>
    <w:rsid w:val="000D55CA"/>
    <w:rsid w:val="000D564D"/>
    <w:rsid w:val="000D5D44"/>
    <w:rsid w:val="000D6FF9"/>
    <w:rsid w:val="000D726C"/>
    <w:rsid w:val="000D7300"/>
    <w:rsid w:val="000D7501"/>
    <w:rsid w:val="000D7C0F"/>
    <w:rsid w:val="000D7C64"/>
    <w:rsid w:val="000D7D04"/>
    <w:rsid w:val="000D7D06"/>
    <w:rsid w:val="000E032F"/>
    <w:rsid w:val="000E0980"/>
    <w:rsid w:val="000E0A5D"/>
    <w:rsid w:val="000E0B19"/>
    <w:rsid w:val="000E0B48"/>
    <w:rsid w:val="000E1166"/>
    <w:rsid w:val="000E1330"/>
    <w:rsid w:val="000E1864"/>
    <w:rsid w:val="000E1C74"/>
    <w:rsid w:val="000E1DEE"/>
    <w:rsid w:val="000E1E97"/>
    <w:rsid w:val="000E216C"/>
    <w:rsid w:val="000E2257"/>
    <w:rsid w:val="000E243B"/>
    <w:rsid w:val="000E281B"/>
    <w:rsid w:val="000E2A26"/>
    <w:rsid w:val="000E2CCA"/>
    <w:rsid w:val="000E2E1C"/>
    <w:rsid w:val="000E30B7"/>
    <w:rsid w:val="000E3439"/>
    <w:rsid w:val="000E3A0F"/>
    <w:rsid w:val="000E4002"/>
    <w:rsid w:val="000E4408"/>
    <w:rsid w:val="000E462F"/>
    <w:rsid w:val="000E46FB"/>
    <w:rsid w:val="000E4791"/>
    <w:rsid w:val="000E4DA1"/>
    <w:rsid w:val="000E4E74"/>
    <w:rsid w:val="000E52BC"/>
    <w:rsid w:val="000E53EF"/>
    <w:rsid w:val="000E5709"/>
    <w:rsid w:val="000E5DAF"/>
    <w:rsid w:val="000E62C6"/>
    <w:rsid w:val="000E6678"/>
    <w:rsid w:val="000E685E"/>
    <w:rsid w:val="000E6A42"/>
    <w:rsid w:val="000E6A83"/>
    <w:rsid w:val="000E6FB0"/>
    <w:rsid w:val="000E70A4"/>
    <w:rsid w:val="000E7285"/>
    <w:rsid w:val="000E75B1"/>
    <w:rsid w:val="000E768F"/>
    <w:rsid w:val="000E7CE3"/>
    <w:rsid w:val="000F0209"/>
    <w:rsid w:val="000F02FE"/>
    <w:rsid w:val="000F0437"/>
    <w:rsid w:val="000F0CF5"/>
    <w:rsid w:val="000F0D98"/>
    <w:rsid w:val="000F10F3"/>
    <w:rsid w:val="000F17BE"/>
    <w:rsid w:val="000F1F99"/>
    <w:rsid w:val="000F2059"/>
    <w:rsid w:val="000F2105"/>
    <w:rsid w:val="000F232B"/>
    <w:rsid w:val="000F24D8"/>
    <w:rsid w:val="000F2774"/>
    <w:rsid w:val="000F2D57"/>
    <w:rsid w:val="000F2FD2"/>
    <w:rsid w:val="000F3703"/>
    <w:rsid w:val="000F378B"/>
    <w:rsid w:val="000F3E7C"/>
    <w:rsid w:val="000F4507"/>
    <w:rsid w:val="000F4B1C"/>
    <w:rsid w:val="000F4B56"/>
    <w:rsid w:val="000F4DD3"/>
    <w:rsid w:val="000F5BCF"/>
    <w:rsid w:val="000F5C6D"/>
    <w:rsid w:val="000F5C8C"/>
    <w:rsid w:val="000F5D30"/>
    <w:rsid w:val="000F5E0F"/>
    <w:rsid w:val="000F6D89"/>
    <w:rsid w:val="000F7307"/>
    <w:rsid w:val="000F73EB"/>
    <w:rsid w:val="0010032A"/>
    <w:rsid w:val="00100614"/>
    <w:rsid w:val="00100995"/>
    <w:rsid w:val="00100CC3"/>
    <w:rsid w:val="00100E94"/>
    <w:rsid w:val="00100EF5"/>
    <w:rsid w:val="00101568"/>
    <w:rsid w:val="00102301"/>
    <w:rsid w:val="0010264B"/>
    <w:rsid w:val="00103300"/>
    <w:rsid w:val="001033C1"/>
    <w:rsid w:val="00103D87"/>
    <w:rsid w:val="00104B7B"/>
    <w:rsid w:val="00104C9B"/>
    <w:rsid w:val="00104E35"/>
    <w:rsid w:val="001054A6"/>
    <w:rsid w:val="0010551E"/>
    <w:rsid w:val="00105573"/>
    <w:rsid w:val="001058CB"/>
    <w:rsid w:val="00105923"/>
    <w:rsid w:val="00106445"/>
    <w:rsid w:val="00106654"/>
    <w:rsid w:val="00106905"/>
    <w:rsid w:val="00106BA3"/>
    <w:rsid w:val="00106DB4"/>
    <w:rsid w:val="00106EE4"/>
    <w:rsid w:val="0010711F"/>
    <w:rsid w:val="001072DB"/>
    <w:rsid w:val="00107368"/>
    <w:rsid w:val="00107767"/>
    <w:rsid w:val="00107BDB"/>
    <w:rsid w:val="00107E39"/>
    <w:rsid w:val="00107EB6"/>
    <w:rsid w:val="0011021E"/>
    <w:rsid w:val="00110F07"/>
    <w:rsid w:val="00110FD3"/>
    <w:rsid w:val="0011111F"/>
    <w:rsid w:val="0011142B"/>
    <w:rsid w:val="0011166E"/>
    <w:rsid w:val="00112030"/>
    <w:rsid w:val="00112341"/>
    <w:rsid w:val="001123BC"/>
    <w:rsid w:val="00112A21"/>
    <w:rsid w:val="00112EE0"/>
    <w:rsid w:val="0011310F"/>
    <w:rsid w:val="00113198"/>
    <w:rsid w:val="00113B94"/>
    <w:rsid w:val="00114039"/>
    <w:rsid w:val="0011408B"/>
    <w:rsid w:val="00114A11"/>
    <w:rsid w:val="00114D8D"/>
    <w:rsid w:val="0011586A"/>
    <w:rsid w:val="00115ECA"/>
    <w:rsid w:val="0011655B"/>
    <w:rsid w:val="00116DCC"/>
    <w:rsid w:val="0011742D"/>
    <w:rsid w:val="001174B0"/>
    <w:rsid w:val="00117911"/>
    <w:rsid w:val="00120195"/>
    <w:rsid w:val="00120279"/>
    <w:rsid w:val="001204EF"/>
    <w:rsid w:val="001210F1"/>
    <w:rsid w:val="001211AC"/>
    <w:rsid w:val="00121DCF"/>
    <w:rsid w:val="00121F9B"/>
    <w:rsid w:val="00122422"/>
    <w:rsid w:val="001228D0"/>
    <w:rsid w:val="00122C07"/>
    <w:rsid w:val="00123882"/>
    <w:rsid w:val="001238F3"/>
    <w:rsid w:val="00123A35"/>
    <w:rsid w:val="00123C15"/>
    <w:rsid w:val="00124546"/>
    <w:rsid w:val="001246A5"/>
    <w:rsid w:val="00124D11"/>
    <w:rsid w:val="00124D60"/>
    <w:rsid w:val="00124DC5"/>
    <w:rsid w:val="00125084"/>
    <w:rsid w:val="0012527A"/>
    <w:rsid w:val="00125433"/>
    <w:rsid w:val="00125563"/>
    <w:rsid w:val="00125F25"/>
    <w:rsid w:val="00125F79"/>
    <w:rsid w:val="00126722"/>
    <w:rsid w:val="00127412"/>
    <w:rsid w:val="00127B56"/>
    <w:rsid w:val="00127C9A"/>
    <w:rsid w:val="00127CE0"/>
    <w:rsid w:val="00130426"/>
    <w:rsid w:val="00130459"/>
    <w:rsid w:val="00130749"/>
    <w:rsid w:val="001307BB"/>
    <w:rsid w:val="00130860"/>
    <w:rsid w:val="0013138D"/>
    <w:rsid w:val="001319F7"/>
    <w:rsid w:val="00131B04"/>
    <w:rsid w:val="00131B98"/>
    <w:rsid w:val="00131CED"/>
    <w:rsid w:val="00131E40"/>
    <w:rsid w:val="00131E74"/>
    <w:rsid w:val="00131EEA"/>
    <w:rsid w:val="001325D4"/>
    <w:rsid w:val="00132685"/>
    <w:rsid w:val="001330B3"/>
    <w:rsid w:val="001330C0"/>
    <w:rsid w:val="0013311B"/>
    <w:rsid w:val="0013343F"/>
    <w:rsid w:val="00133A3E"/>
    <w:rsid w:val="00133FBA"/>
    <w:rsid w:val="001340AE"/>
    <w:rsid w:val="001341FC"/>
    <w:rsid w:val="00134A20"/>
    <w:rsid w:val="00134DBE"/>
    <w:rsid w:val="0013526C"/>
    <w:rsid w:val="0013578C"/>
    <w:rsid w:val="00135C5F"/>
    <w:rsid w:val="00135CD6"/>
    <w:rsid w:val="001364C3"/>
    <w:rsid w:val="0013651B"/>
    <w:rsid w:val="00136736"/>
    <w:rsid w:val="0013702C"/>
    <w:rsid w:val="00137044"/>
    <w:rsid w:val="00137061"/>
    <w:rsid w:val="00137072"/>
    <w:rsid w:val="001370E6"/>
    <w:rsid w:val="001373E2"/>
    <w:rsid w:val="00137628"/>
    <w:rsid w:val="00137D38"/>
    <w:rsid w:val="00137DAA"/>
    <w:rsid w:val="001405C6"/>
    <w:rsid w:val="0014096D"/>
    <w:rsid w:val="00140D2A"/>
    <w:rsid w:val="00141013"/>
    <w:rsid w:val="001410C1"/>
    <w:rsid w:val="0014157E"/>
    <w:rsid w:val="001416EE"/>
    <w:rsid w:val="00141714"/>
    <w:rsid w:val="00141989"/>
    <w:rsid w:val="00141CD0"/>
    <w:rsid w:val="00141FC5"/>
    <w:rsid w:val="00142090"/>
    <w:rsid w:val="0014218E"/>
    <w:rsid w:val="00142D6D"/>
    <w:rsid w:val="001430A5"/>
    <w:rsid w:val="00143390"/>
    <w:rsid w:val="00143523"/>
    <w:rsid w:val="0014369F"/>
    <w:rsid w:val="0014371E"/>
    <w:rsid w:val="00143C23"/>
    <w:rsid w:val="00143E44"/>
    <w:rsid w:val="00143FCA"/>
    <w:rsid w:val="00144309"/>
    <w:rsid w:val="00144BF5"/>
    <w:rsid w:val="0014531B"/>
    <w:rsid w:val="00145A84"/>
    <w:rsid w:val="00145ED1"/>
    <w:rsid w:val="001461B7"/>
    <w:rsid w:val="001462B2"/>
    <w:rsid w:val="00146BE7"/>
    <w:rsid w:val="00146C94"/>
    <w:rsid w:val="00147238"/>
    <w:rsid w:val="0014780D"/>
    <w:rsid w:val="0014789B"/>
    <w:rsid w:val="001478DA"/>
    <w:rsid w:val="00147AAA"/>
    <w:rsid w:val="00147CBF"/>
    <w:rsid w:val="00147CF6"/>
    <w:rsid w:val="00147EAD"/>
    <w:rsid w:val="00150372"/>
    <w:rsid w:val="001503C9"/>
    <w:rsid w:val="001509B4"/>
    <w:rsid w:val="00150B27"/>
    <w:rsid w:val="00151353"/>
    <w:rsid w:val="001513CD"/>
    <w:rsid w:val="00151E4C"/>
    <w:rsid w:val="001521B5"/>
    <w:rsid w:val="0015276E"/>
    <w:rsid w:val="00152846"/>
    <w:rsid w:val="00152CE6"/>
    <w:rsid w:val="00153423"/>
    <w:rsid w:val="00153850"/>
    <w:rsid w:val="00153EEF"/>
    <w:rsid w:val="001540E0"/>
    <w:rsid w:val="0015435B"/>
    <w:rsid w:val="0015471D"/>
    <w:rsid w:val="00154A45"/>
    <w:rsid w:val="00154CDD"/>
    <w:rsid w:val="0015516D"/>
    <w:rsid w:val="0015526F"/>
    <w:rsid w:val="0015553E"/>
    <w:rsid w:val="0015587B"/>
    <w:rsid w:val="00155DB2"/>
    <w:rsid w:val="00156151"/>
    <w:rsid w:val="00156C2D"/>
    <w:rsid w:val="00156E9D"/>
    <w:rsid w:val="00157495"/>
    <w:rsid w:val="00157652"/>
    <w:rsid w:val="00160057"/>
    <w:rsid w:val="001606F5"/>
    <w:rsid w:val="00161616"/>
    <w:rsid w:val="00161E30"/>
    <w:rsid w:val="00161FD7"/>
    <w:rsid w:val="00162931"/>
    <w:rsid w:val="001630A3"/>
    <w:rsid w:val="00163503"/>
    <w:rsid w:val="00163514"/>
    <w:rsid w:val="0016385E"/>
    <w:rsid w:val="00163D16"/>
    <w:rsid w:val="00163DBC"/>
    <w:rsid w:val="001644D9"/>
    <w:rsid w:val="00164C61"/>
    <w:rsid w:val="00165484"/>
    <w:rsid w:val="00165635"/>
    <w:rsid w:val="00165F1D"/>
    <w:rsid w:val="001661E2"/>
    <w:rsid w:val="001664E8"/>
    <w:rsid w:val="001666F0"/>
    <w:rsid w:val="00166E26"/>
    <w:rsid w:val="00167245"/>
    <w:rsid w:val="0016766E"/>
    <w:rsid w:val="001677A3"/>
    <w:rsid w:val="00167AE8"/>
    <w:rsid w:val="0017007D"/>
    <w:rsid w:val="0017058E"/>
    <w:rsid w:val="00170944"/>
    <w:rsid w:val="00170F66"/>
    <w:rsid w:val="0017153A"/>
    <w:rsid w:val="00171676"/>
    <w:rsid w:val="001719BB"/>
    <w:rsid w:val="001723F4"/>
    <w:rsid w:val="00172433"/>
    <w:rsid w:val="0017296B"/>
    <w:rsid w:val="00172BF9"/>
    <w:rsid w:val="00172C28"/>
    <w:rsid w:val="00172DDF"/>
    <w:rsid w:val="0017326E"/>
    <w:rsid w:val="00173A19"/>
    <w:rsid w:val="00173A7B"/>
    <w:rsid w:val="00173A82"/>
    <w:rsid w:val="00173E37"/>
    <w:rsid w:val="001740B0"/>
    <w:rsid w:val="001740E3"/>
    <w:rsid w:val="00174D32"/>
    <w:rsid w:val="00174D79"/>
    <w:rsid w:val="00174E7E"/>
    <w:rsid w:val="001752DF"/>
    <w:rsid w:val="0017548F"/>
    <w:rsid w:val="0017553E"/>
    <w:rsid w:val="001761C2"/>
    <w:rsid w:val="00176334"/>
    <w:rsid w:val="001768E9"/>
    <w:rsid w:val="00176AA0"/>
    <w:rsid w:val="0017737C"/>
    <w:rsid w:val="00177D6C"/>
    <w:rsid w:val="0018005F"/>
    <w:rsid w:val="00180273"/>
    <w:rsid w:val="00180694"/>
    <w:rsid w:val="00180B05"/>
    <w:rsid w:val="00180BBA"/>
    <w:rsid w:val="00180C47"/>
    <w:rsid w:val="00180E07"/>
    <w:rsid w:val="00180F9A"/>
    <w:rsid w:val="0018102F"/>
    <w:rsid w:val="001815B9"/>
    <w:rsid w:val="001825C9"/>
    <w:rsid w:val="00182739"/>
    <w:rsid w:val="0018278A"/>
    <w:rsid w:val="00182F02"/>
    <w:rsid w:val="0018316F"/>
    <w:rsid w:val="00183498"/>
    <w:rsid w:val="00183C42"/>
    <w:rsid w:val="00183E6B"/>
    <w:rsid w:val="00183FCB"/>
    <w:rsid w:val="00184352"/>
    <w:rsid w:val="00184639"/>
    <w:rsid w:val="001848F4"/>
    <w:rsid w:val="00185277"/>
    <w:rsid w:val="00186067"/>
    <w:rsid w:val="00186133"/>
    <w:rsid w:val="001861AF"/>
    <w:rsid w:val="00186325"/>
    <w:rsid w:val="00186576"/>
    <w:rsid w:val="0018692C"/>
    <w:rsid w:val="00186944"/>
    <w:rsid w:val="00186B01"/>
    <w:rsid w:val="00186B10"/>
    <w:rsid w:val="001871AE"/>
    <w:rsid w:val="001873B1"/>
    <w:rsid w:val="001877C9"/>
    <w:rsid w:val="00187E5D"/>
    <w:rsid w:val="00187EE0"/>
    <w:rsid w:val="001904BC"/>
    <w:rsid w:val="001904FC"/>
    <w:rsid w:val="001907B3"/>
    <w:rsid w:val="00190B65"/>
    <w:rsid w:val="001912B8"/>
    <w:rsid w:val="0019145C"/>
    <w:rsid w:val="001917B0"/>
    <w:rsid w:val="0019193E"/>
    <w:rsid w:val="00191E5C"/>
    <w:rsid w:val="00191EC7"/>
    <w:rsid w:val="00191ED0"/>
    <w:rsid w:val="00192067"/>
    <w:rsid w:val="001920A7"/>
    <w:rsid w:val="00192660"/>
    <w:rsid w:val="001926FF"/>
    <w:rsid w:val="001929A9"/>
    <w:rsid w:val="00192CBF"/>
    <w:rsid w:val="00192CCC"/>
    <w:rsid w:val="00192E53"/>
    <w:rsid w:val="00192FF1"/>
    <w:rsid w:val="00193043"/>
    <w:rsid w:val="0019368F"/>
    <w:rsid w:val="00193BC4"/>
    <w:rsid w:val="00193ED3"/>
    <w:rsid w:val="00194032"/>
    <w:rsid w:val="0019406E"/>
    <w:rsid w:val="001945B4"/>
    <w:rsid w:val="00194967"/>
    <w:rsid w:val="001949B5"/>
    <w:rsid w:val="00194C92"/>
    <w:rsid w:val="0019547E"/>
    <w:rsid w:val="001956AD"/>
    <w:rsid w:val="001956DF"/>
    <w:rsid w:val="00195C4F"/>
    <w:rsid w:val="00195FB4"/>
    <w:rsid w:val="0019678F"/>
    <w:rsid w:val="00196B5D"/>
    <w:rsid w:val="00196BBF"/>
    <w:rsid w:val="00196C84"/>
    <w:rsid w:val="00197017"/>
    <w:rsid w:val="00197311"/>
    <w:rsid w:val="0019757F"/>
    <w:rsid w:val="00197DC0"/>
    <w:rsid w:val="00197E67"/>
    <w:rsid w:val="001A034C"/>
    <w:rsid w:val="001A0477"/>
    <w:rsid w:val="001A0F20"/>
    <w:rsid w:val="001A0F82"/>
    <w:rsid w:val="001A11C0"/>
    <w:rsid w:val="001A1567"/>
    <w:rsid w:val="001A1E2A"/>
    <w:rsid w:val="001A25DD"/>
    <w:rsid w:val="001A2C06"/>
    <w:rsid w:val="001A2F4A"/>
    <w:rsid w:val="001A2F62"/>
    <w:rsid w:val="001A3174"/>
    <w:rsid w:val="001A328C"/>
    <w:rsid w:val="001A3AAD"/>
    <w:rsid w:val="001A46FE"/>
    <w:rsid w:val="001A4B33"/>
    <w:rsid w:val="001A4C20"/>
    <w:rsid w:val="001A51ED"/>
    <w:rsid w:val="001A54B1"/>
    <w:rsid w:val="001A5741"/>
    <w:rsid w:val="001A581F"/>
    <w:rsid w:val="001A5880"/>
    <w:rsid w:val="001A5B85"/>
    <w:rsid w:val="001A5CBB"/>
    <w:rsid w:val="001A5F1B"/>
    <w:rsid w:val="001A62C1"/>
    <w:rsid w:val="001A6627"/>
    <w:rsid w:val="001A67D5"/>
    <w:rsid w:val="001A6B83"/>
    <w:rsid w:val="001A710B"/>
    <w:rsid w:val="001A71A6"/>
    <w:rsid w:val="001A71EA"/>
    <w:rsid w:val="001A73BC"/>
    <w:rsid w:val="001A7E31"/>
    <w:rsid w:val="001B0793"/>
    <w:rsid w:val="001B10F4"/>
    <w:rsid w:val="001B11BC"/>
    <w:rsid w:val="001B14E6"/>
    <w:rsid w:val="001B19B0"/>
    <w:rsid w:val="001B1AFD"/>
    <w:rsid w:val="001B1C22"/>
    <w:rsid w:val="001B265A"/>
    <w:rsid w:val="001B27E1"/>
    <w:rsid w:val="001B348F"/>
    <w:rsid w:val="001B34C6"/>
    <w:rsid w:val="001B3EBD"/>
    <w:rsid w:val="001B412E"/>
    <w:rsid w:val="001B424A"/>
    <w:rsid w:val="001B42E9"/>
    <w:rsid w:val="001B433C"/>
    <w:rsid w:val="001B4515"/>
    <w:rsid w:val="001B4578"/>
    <w:rsid w:val="001B463E"/>
    <w:rsid w:val="001B46F9"/>
    <w:rsid w:val="001B5004"/>
    <w:rsid w:val="001B5235"/>
    <w:rsid w:val="001B5613"/>
    <w:rsid w:val="001B56B2"/>
    <w:rsid w:val="001B59BB"/>
    <w:rsid w:val="001B59C6"/>
    <w:rsid w:val="001B60A8"/>
    <w:rsid w:val="001B63AC"/>
    <w:rsid w:val="001B68D2"/>
    <w:rsid w:val="001B6A41"/>
    <w:rsid w:val="001B6DEF"/>
    <w:rsid w:val="001B6F63"/>
    <w:rsid w:val="001B725B"/>
    <w:rsid w:val="001B737C"/>
    <w:rsid w:val="001B7884"/>
    <w:rsid w:val="001B78C4"/>
    <w:rsid w:val="001B7B54"/>
    <w:rsid w:val="001B7DFD"/>
    <w:rsid w:val="001C02D3"/>
    <w:rsid w:val="001C05C1"/>
    <w:rsid w:val="001C081E"/>
    <w:rsid w:val="001C0B9B"/>
    <w:rsid w:val="001C12C4"/>
    <w:rsid w:val="001C2092"/>
    <w:rsid w:val="001C235C"/>
    <w:rsid w:val="001C25A5"/>
    <w:rsid w:val="001C26AB"/>
    <w:rsid w:val="001C2816"/>
    <w:rsid w:val="001C2896"/>
    <w:rsid w:val="001C29B5"/>
    <w:rsid w:val="001C2D40"/>
    <w:rsid w:val="001C2DD5"/>
    <w:rsid w:val="001C3CD8"/>
    <w:rsid w:val="001C3FFE"/>
    <w:rsid w:val="001C4172"/>
    <w:rsid w:val="001C43DA"/>
    <w:rsid w:val="001C484D"/>
    <w:rsid w:val="001C4A79"/>
    <w:rsid w:val="001C4B16"/>
    <w:rsid w:val="001C55A7"/>
    <w:rsid w:val="001C56C8"/>
    <w:rsid w:val="001C614D"/>
    <w:rsid w:val="001C6448"/>
    <w:rsid w:val="001C64BB"/>
    <w:rsid w:val="001C6B35"/>
    <w:rsid w:val="001C72DC"/>
    <w:rsid w:val="001C78FF"/>
    <w:rsid w:val="001C796F"/>
    <w:rsid w:val="001C7DE4"/>
    <w:rsid w:val="001D0C0D"/>
    <w:rsid w:val="001D0ECA"/>
    <w:rsid w:val="001D0FCF"/>
    <w:rsid w:val="001D0FE2"/>
    <w:rsid w:val="001D13A1"/>
    <w:rsid w:val="001D13B4"/>
    <w:rsid w:val="001D145C"/>
    <w:rsid w:val="001D156A"/>
    <w:rsid w:val="001D1826"/>
    <w:rsid w:val="001D18AC"/>
    <w:rsid w:val="001D1A78"/>
    <w:rsid w:val="001D1CCB"/>
    <w:rsid w:val="001D2046"/>
    <w:rsid w:val="001D20AA"/>
    <w:rsid w:val="001D2363"/>
    <w:rsid w:val="001D25CA"/>
    <w:rsid w:val="001D28D9"/>
    <w:rsid w:val="001D2DA8"/>
    <w:rsid w:val="001D2E31"/>
    <w:rsid w:val="001D2EDD"/>
    <w:rsid w:val="001D2F16"/>
    <w:rsid w:val="001D2F8D"/>
    <w:rsid w:val="001D345A"/>
    <w:rsid w:val="001D3857"/>
    <w:rsid w:val="001D3A2F"/>
    <w:rsid w:val="001D3A61"/>
    <w:rsid w:val="001D3CD7"/>
    <w:rsid w:val="001D40E9"/>
    <w:rsid w:val="001D4507"/>
    <w:rsid w:val="001D525B"/>
    <w:rsid w:val="001D57F3"/>
    <w:rsid w:val="001D5BBD"/>
    <w:rsid w:val="001D6376"/>
    <w:rsid w:val="001D6579"/>
    <w:rsid w:val="001D7832"/>
    <w:rsid w:val="001D7EE6"/>
    <w:rsid w:val="001E0572"/>
    <w:rsid w:val="001E0C33"/>
    <w:rsid w:val="001E0F8B"/>
    <w:rsid w:val="001E1591"/>
    <w:rsid w:val="001E1A50"/>
    <w:rsid w:val="001E1E2F"/>
    <w:rsid w:val="001E28B2"/>
    <w:rsid w:val="001E2D26"/>
    <w:rsid w:val="001E3373"/>
    <w:rsid w:val="001E3466"/>
    <w:rsid w:val="001E3A72"/>
    <w:rsid w:val="001E3D47"/>
    <w:rsid w:val="001E4162"/>
    <w:rsid w:val="001E4843"/>
    <w:rsid w:val="001E490E"/>
    <w:rsid w:val="001E4AAB"/>
    <w:rsid w:val="001E529F"/>
    <w:rsid w:val="001E62AD"/>
    <w:rsid w:val="001E62F9"/>
    <w:rsid w:val="001E6EC8"/>
    <w:rsid w:val="001E75DE"/>
    <w:rsid w:val="001E7AFD"/>
    <w:rsid w:val="001F0445"/>
    <w:rsid w:val="001F0841"/>
    <w:rsid w:val="001F1014"/>
    <w:rsid w:val="001F12FE"/>
    <w:rsid w:val="001F185C"/>
    <w:rsid w:val="001F1ACB"/>
    <w:rsid w:val="001F1D52"/>
    <w:rsid w:val="001F1DB1"/>
    <w:rsid w:val="001F21C5"/>
    <w:rsid w:val="001F224A"/>
    <w:rsid w:val="001F2738"/>
    <w:rsid w:val="001F2AEE"/>
    <w:rsid w:val="001F2AF7"/>
    <w:rsid w:val="001F2D61"/>
    <w:rsid w:val="001F3266"/>
    <w:rsid w:val="001F36C9"/>
    <w:rsid w:val="001F391E"/>
    <w:rsid w:val="001F3BD7"/>
    <w:rsid w:val="001F3CD2"/>
    <w:rsid w:val="001F46E8"/>
    <w:rsid w:val="001F47B6"/>
    <w:rsid w:val="001F486E"/>
    <w:rsid w:val="001F4968"/>
    <w:rsid w:val="001F4A5B"/>
    <w:rsid w:val="001F4D7C"/>
    <w:rsid w:val="001F4EEC"/>
    <w:rsid w:val="001F53DD"/>
    <w:rsid w:val="001F6397"/>
    <w:rsid w:val="001F6993"/>
    <w:rsid w:val="001F6AD5"/>
    <w:rsid w:val="001F73AC"/>
    <w:rsid w:val="001F768A"/>
    <w:rsid w:val="001F76DB"/>
    <w:rsid w:val="001F7A7F"/>
    <w:rsid w:val="001F7ADB"/>
    <w:rsid w:val="002001BB"/>
    <w:rsid w:val="0020091A"/>
    <w:rsid w:val="00200D00"/>
    <w:rsid w:val="00200FA1"/>
    <w:rsid w:val="002012E5"/>
    <w:rsid w:val="00201354"/>
    <w:rsid w:val="002015AD"/>
    <w:rsid w:val="00201640"/>
    <w:rsid w:val="00201996"/>
    <w:rsid w:val="00201D72"/>
    <w:rsid w:val="00201EE1"/>
    <w:rsid w:val="0020214E"/>
    <w:rsid w:val="002025DF"/>
    <w:rsid w:val="002027B5"/>
    <w:rsid w:val="00202D89"/>
    <w:rsid w:val="00202EA1"/>
    <w:rsid w:val="00203634"/>
    <w:rsid w:val="0020401E"/>
    <w:rsid w:val="0020415D"/>
    <w:rsid w:val="002049D0"/>
    <w:rsid w:val="00204E60"/>
    <w:rsid w:val="00204EDD"/>
    <w:rsid w:val="00204FAE"/>
    <w:rsid w:val="002052F1"/>
    <w:rsid w:val="002054AA"/>
    <w:rsid w:val="00205740"/>
    <w:rsid w:val="00205A54"/>
    <w:rsid w:val="00205B16"/>
    <w:rsid w:val="00205D10"/>
    <w:rsid w:val="00206064"/>
    <w:rsid w:val="00206107"/>
    <w:rsid w:val="00206AE2"/>
    <w:rsid w:val="00206ED6"/>
    <w:rsid w:val="002074B2"/>
    <w:rsid w:val="00207759"/>
    <w:rsid w:val="002079FC"/>
    <w:rsid w:val="00207FB7"/>
    <w:rsid w:val="00210DC1"/>
    <w:rsid w:val="00210F45"/>
    <w:rsid w:val="00211059"/>
    <w:rsid w:val="00211137"/>
    <w:rsid w:val="0021113E"/>
    <w:rsid w:val="00211C87"/>
    <w:rsid w:val="00211CAA"/>
    <w:rsid w:val="00211D34"/>
    <w:rsid w:val="0021240E"/>
    <w:rsid w:val="00212623"/>
    <w:rsid w:val="0021269D"/>
    <w:rsid w:val="00212D3B"/>
    <w:rsid w:val="00213205"/>
    <w:rsid w:val="00213436"/>
    <w:rsid w:val="00213455"/>
    <w:rsid w:val="002134CB"/>
    <w:rsid w:val="002135CA"/>
    <w:rsid w:val="002137F5"/>
    <w:rsid w:val="002142D2"/>
    <w:rsid w:val="00214574"/>
    <w:rsid w:val="00214B85"/>
    <w:rsid w:val="00214F04"/>
    <w:rsid w:val="00214F82"/>
    <w:rsid w:val="00214FB1"/>
    <w:rsid w:val="0021528E"/>
    <w:rsid w:val="002152CB"/>
    <w:rsid w:val="002155B7"/>
    <w:rsid w:val="00215B76"/>
    <w:rsid w:val="0021616B"/>
    <w:rsid w:val="002170B9"/>
    <w:rsid w:val="00217A9C"/>
    <w:rsid w:val="002200DA"/>
    <w:rsid w:val="00220396"/>
    <w:rsid w:val="002204A4"/>
    <w:rsid w:val="00220AB5"/>
    <w:rsid w:val="00220F3B"/>
    <w:rsid w:val="00220FC6"/>
    <w:rsid w:val="0022132E"/>
    <w:rsid w:val="00221574"/>
    <w:rsid w:val="00221833"/>
    <w:rsid w:val="00221E41"/>
    <w:rsid w:val="002237DC"/>
    <w:rsid w:val="00223D38"/>
    <w:rsid w:val="0022483F"/>
    <w:rsid w:val="00224D87"/>
    <w:rsid w:val="002250CD"/>
    <w:rsid w:val="00225455"/>
    <w:rsid w:val="00225922"/>
    <w:rsid w:val="002259EA"/>
    <w:rsid w:val="002263EC"/>
    <w:rsid w:val="0022644C"/>
    <w:rsid w:val="00226567"/>
    <w:rsid w:val="0022682A"/>
    <w:rsid w:val="00226C06"/>
    <w:rsid w:val="00226C30"/>
    <w:rsid w:val="00227209"/>
    <w:rsid w:val="002272D5"/>
    <w:rsid w:val="002274D8"/>
    <w:rsid w:val="002301B7"/>
    <w:rsid w:val="00230372"/>
    <w:rsid w:val="00230B9B"/>
    <w:rsid w:val="00230E37"/>
    <w:rsid w:val="0023107C"/>
    <w:rsid w:val="0023111F"/>
    <w:rsid w:val="002314AB"/>
    <w:rsid w:val="0023195B"/>
    <w:rsid w:val="002319F2"/>
    <w:rsid w:val="00231B54"/>
    <w:rsid w:val="00231C5E"/>
    <w:rsid w:val="00231DDB"/>
    <w:rsid w:val="00231F07"/>
    <w:rsid w:val="00232196"/>
    <w:rsid w:val="002325FE"/>
    <w:rsid w:val="002328F3"/>
    <w:rsid w:val="002329E4"/>
    <w:rsid w:val="00233072"/>
    <w:rsid w:val="002331C9"/>
    <w:rsid w:val="00233588"/>
    <w:rsid w:val="00233747"/>
    <w:rsid w:val="00234F5D"/>
    <w:rsid w:val="002352B9"/>
    <w:rsid w:val="00235B4D"/>
    <w:rsid w:val="00235CFA"/>
    <w:rsid w:val="00236100"/>
    <w:rsid w:val="00236564"/>
    <w:rsid w:val="00236C0A"/>
    <w:rsid w:val="00236E02"/>
    <w:rsid w:val="00236FD5"/>
    <w:rsid w:val="00237001"/>
    <w:rsid w:val="00237048"/>
    <w:rsid w:val="00237050"/>
    <w:rsid w:val="0023731C"/>
    <w:rsid w:val="00237D0E"/>
    <w:rsid w:val="00240751"/>
    <w:rsid w:val="00240825"/>
    <w:rsid w:val="00240C04"/>
    <w:rsid w:val="0024132B"/>
    <w:rsid w:val="00241810"/>
    <w:rsid w:val="0024185E"/>
    <w:rsid w:val="00241C54"/>
    <w:rsid w:val="00241C63"/>
    <w:rsid w:val="0024268A"/>
    <w:rsid w:val="002426B1"/>
    <w:rsid w:val="0024281E"/>
    <w:rsid w:val="00242C5A"/>
    <w:rsid w:val="00242CD1"/>
    <w:rsid w:val="00242FA0"/>
    <w:rsid w:val="002431FA"/>
    <w:rsid w:val="002437ED"/>
    <w:rsid w:val="00243B5A"/>
    <w:rsid w:val="00243DEA"/>
    <w:rsid w:val="002442C8"/>
    <w:rsid w:val="002443C5"/>
    <w:rsid w:val="002444D2"/>
    <w:rsid w:val="00244ADC"/>
    <w:rsid w:val="00244B78"/>
    <w:rsid w:val="0024518C"/>
    <w:rsid w:val="00245C39"/>
    <w:rsid w:val="00245D50"/>
    <w:rsid w:val="00245E25"/>
    <w:rsid w:val="00246643"/>
    <w:rsid w:val="002467A1"/>
    <w:rsid w:val="00246AC4"/>
    <w:rsid w:val="00247292"/>
    <w:rsid w:val="00247461"/>
    <w:rsid w:val="00247478"/>
    <w:rsid w:val="0024765F"/>
    <w:rsid w:val="0024775B"/>
    <w:rsid w:val="00247FC6"/>
    <w:rsid w:val="002504A4"/>
    <w:rsid w:val="002507AE"/>
    <w:rsid w:val="00250CEE"/>
    <w:rsid w:val="002512B8"/>
    <w:rsid w:val="00251A8E"/>
    <w:rsid w:val="00251E41"/>
    <w:rsid w:val="00251FCB"/>
    <w:rsid w:val="0025208B"/>
    <w:rsid w:val="00252384"/>
    <w:rsid w:val="002529E4"/>
    <w:rsid w:val="00252BC1"/>
    <w:rsid w:val="00252BC5"/>
    <w:rsid w:val="00252E83"/>
    <w:rsid w:val="00252F0F"/>
    <w:rsid w:val="0025309B"/>
    <w:rsid w:val="002534DB"/>
    <w:rsid w:val="00253CF6"/>
    <w:rsid w:val="002544C0"/>
    <w:rsid w:val="0025525E"/>
    <w:rsid w:val="00255497"/>
    <w:rsid w:val="00255752"/>
    <w:rsid w:val="00255A5F"/>
    <w:rsid w:val="00255FCF"/>
    <w:rsid w:val="002563BD"/>
    <w:rsid w:val="0025660F"/>
    <w:rsid w:val="00256B57"/>
    <w:rsid w:val="00256DD2"/>
    <w:rsid w:val="0025714E"/>
    <w:rsid w:val="0025731F"/>
    <w:rsid w:val="00257C27"/>
    <w:rsid w:val="0026013B"/>
    <w:rsid w:val="00260463"/>
    <w:rsid w:val="00260877"/>
    <w:rsid w:val="00260D5B"/>
    <w:rsid w:val="00260F3C"/>
    <w:rsid w:val="002612C5"/>
    <w:rsid w:val="002617BA"/>
    <w:rsid w:val="002617BE"/>
    <w:rsid w:val="00261800"/>
    <w:rsid w:val="00261808"/>
    <w:rsid w:val="00261821"/>
    <w:rsid w:val="00261BBC"/>
    <w:rsid w:val="00262197"/>
    <w:rsid w:val="002626CB"/>
    <w:rsid w:val="00262807"/>
    <w:rsid w:val="0026281E"/>
    <w:rsid w:val="00262B99"/>
    <w:rsid w:val="00263230"/>
    <w:rsid w:val="00264192"/>
    <w:rsid w:val="0026471E"/>
    <w:rsid w:val="002648A2"/>
    <w:rsid w:val="00264D1C"/>
    <w:rsid w:val="00264EB9"/>
    <w:rsid w:val="00265219"/>
    <w:rsid w:val="002658AE"/>
    <w:rsid w:val="00265922"/>
    <w:rsid w:val="00265B41"/>
    <w:rsid w:val="00265B8E"/>
    <w:rsid w:val="00265C32"/>
    <w:rsid w:val="002660F5"/>
    <w:rsid w:val="00266715"/>
    <w:rsid w:val="00266BDB"/>
    <w:rsid w:val="00266CD6"/>
    <w:rsid w:val="00266D82"/>
    <w:rsid w:val="00266F56"/>
    <w:rsid w:val="002673AC"/>
    <w:rsid w:val="0026765A"/>
    <w:rsid w:val="002677C6"/>
    <w:rsid w:val="002700CB"/>
    <w:rsid w:val="0027055C"/>
    <w:rsid w:val="00270580"/>
    <w:rsid w:val="00270BF7"/>
    <w:rsid w:val="00271634"/>
    <w:rsid w:val="002718AC"/>
    <w:rsid w:val="00271F4A"/>
    <w:rsid w:val="002725DC"/>
    <w:rsid w:val="00272A65"/>
    <w:rsid w:val="00272B42"/>
    <w:rsid w:val="00272BD8"/>
    <w:rsid w:val="00272CC4"/>
    <w:rsid w:val="002735FE"/>
    <w:rsid w:val="00273B5F"/>
    <w:rsid w:val="0027411E"/>
    <w:rsid w:val="002747A1"/>
    <w:rsid w:val="00274A9C"/>
    <w:rsid w:val="00274AA0"/>
    <w:rsid w:val="00274E84"/>
    <w:rsid w:val="002753D3"/>
    <w:rsid w:val="00275DAB"/>
    <w:rsid w:val="002760EC"/>
    <w:rsid w:val="002763F5"/>
    <w:rsid w:val="00277002"/>
    <w:rsid w:val="002776F9"/>
    <w:rsid w:val="00277766"/>
    <w:rsid w:val="00277992"/>
    <w:rsid w:val="002800CC"/>
    <w:rsid w:val="00280123"/>
    <w:rsid w:val="0028119B"/>
    <w:rsid w:val="002812CE"/>
    <w:rsid w:val="00281613"/>
    <w:rsid w:val="00281676"/>
    <w:rsid w:val="00281738"/>
    <w:rsid w:val="00281A2D"/>
    <w:rsid w:val="00281AD6"/>
    <w:rsid w:val="00281CF5"/>
    <w:rsid w:val="0028220E"/>
    <w:rsid w:val="00282DA2"/>
    <w:rsid w:val="00283627"/>
    <w:rsid w:val="00283E13"/>
    <w:rsid w:val="002840E9"/>
    <w:rsid w:val="0028451B"/>
    <w:rsid w:val="00284ADA"/>
    <w:rsid w:val="00284D2D"/>
    <w:rsid w:val="00284EEA"/>
    <w:rsid w:val="002852C2"/>
    <w:rsid w:val="002853EA"/>
    <w:rsid w:val="002856D2"/>
    <w:rsid w:val="00285C87"/>
    <w:rsid w:val="00286140"/>
    <w:rsid w:val="002862C1"/>
    <w:rsid w:val="00286C11"/>
    <w:rsid w:val="00286FEB"/>
    <w:rsid w:val="00287579"/>
    <w:rsid w:val="002876E6"/>
    <w:rsid w:val="002879C2"/>
    <w:rsid w:val="00287FF1"/>
    <w:rsid w:val="00290391"/>
    <w:rsid w:val="002903C0"/>
    <w:rsid w:val="00290A4E"/>
    <w:rsid w:val="0029131D"/>
    <w:rsid w:val="0029193F"/>
    <w:rsid w:val="00291B0E"/>
    <w:rsid w:val="00292130"/>
    <w:rsid w:val="00292296"/>
    <w:rsid w:val="0029273E"/>
    <w:rsid w:val="002927AB"/>
    <w:rsid w:val="00292FA9"/>
    <w:rsid w:val="0029330B"/>
    <w:rsid w:val="0029330F"/>
    <w:rsid w:val="00293CFB"/>
    <w:rsid w:val="00294B06"/>
    <w:rsid w:val="00294C2E"/>
    <w:rsid w:val="002958E5"/>
    <w:rsid w:val="00295B6F"/>
    <w:rsid w:val="00295E5E"/>
    <w:rsid w:val="00296CA5"/>
    <w:rsid w:val="00296DB6"/>
    <w:rsid w:val="00296ED1"/>
    <w:rsid w:val="00297107"/>
    <w:rsid w:val="00297243"/>
    <w:rsid w:val="00297367"/>
    <w:rsid w:val="002973FC"/>
    <w:rsid w:val="00297B40"/>
    <w:rsid w:val="00297C72"/>
    <w:rsid w:val="00297EF7"/>
    <w:rsid w:val="00297FB6"/>
    <w:rsid w:val="002A01EF"/>
    <w:rsid w:val="002A0268"/>
    <w:rsid w:val="002A0A59"/>
    <w:rsid w:val="002A1842"/>
    <w:rsid w:val="002A1897"/>
    <w:rsid w:val="002A200B"/>
    <w:rsid w:val="002A2813"/>
    <w:rsid w:val="002A2C82"/>
    <w:rsid w:val="002A2FAE"/>
    <w:rsid w:val="002A3232"/>
    <w:rsid w:val="002A3456"/>
    <w:rsid w:val="002A34A1"/>
    <w:rsid w:val="002A3805"/>
    <w:rsid w:val="002A4353"/>
    <w:rsid w:val="002A4920"/>
    <w:rsid w:val="002A4DC9"/>
    <w:rsid w:val="002A51FE"/>
    <w:rsid w:val="002A59E2"/>
    <w:rsid w:val="002A5B9F"/>
    <w:rsid w:val="002A5DE7"/>
    <w:rsid w:val="002A6759"/>
    <w:rsid w:val="002A6AED"/>
    <w:rsid w:val="002A7380"/>
    <w:rsid w:val="002A758E"/>
    <w:rsid w:val="002A782A"/>
    <w:rsid w:val="002B02FB"/>
    <w:rsid w:val="002B0703"/>
    <w:rsid w:val="002B0B9A"/>
    <w:rsid w:val="002B0FBD"/>
    <w:rsid w:val="002B11E2"/>
    <w:rsid w:val="002B150D"/>
    <w:rsid w:val="002B157A"/>
    <w:rsid w:val="002B15FE"/>
    <w:rsid w:val="002B20EA"/>
    <w:rsid w:val="002B24B8"/>
    <w:rsid w:val="002B251A"/>
    <w:rsid w:val="002B29A6"/>
    <w:rsid w:val="002B2D1D"/>
    <w:rsid w:val="002B2DC0"/>
    <w:rsid w:val="002B2FFC"/>
    <w:rsid w:val="002B34A0"/>
    <w:rsid w:val="002B3C54"/>
    <w:rsid w:val="002B3C96"/>
    <w:rsid w:val="002B451A"/>
    <w:rsid w:val="002B4647"/>
    <w:rsid w:val="002B4ED5"/>
    <w:rsid w:val="002B5128"/>
    <w:rsid w:val="002B514B"/>
    <w:rsid w:val="002B546F"/>
    <w:rsid w:val="002B5C04"/>
    <w:rsid w:val="002B5D44"/>
    <w:rsid w:val="002B6188"/>
    <w:rsid w:val="002B6889"/>
    <w:rsid w:val="002B6A1D"/>
    <w:rsid w:val="002B6D66"/>
    <w:rsid w:val="002B6D7E"/>
    <w:rsid w:val="002B7073"/>
    <w:rsid w:val="002B71A7"/>
    <w:rsid w:val="002B744C"/>
    <w:rsid w:val="002B76C8"/>
    <w:rsid w:val="002B7A2D"/>
    <w:rsid w:val="002B7BE0"/>
    <w:rsid w:val="002B7C23"/>
    <w:rsid w:val="002B7FA2"/>
    <w:rsid w:val="002C03BF"/>
    <w:rsid w:val="002C0411"/>
    <w:rsid w:val="002C0565"/>
    <w:rsid w:val="002C073E"/>
    <w:rsid w:val="002C09E8"/>
    <w:rsid w:val="002C0A60"/>
    <w:rsid w:val="002C0F0B"/>
    <w:rsid w:val="002C1191"/>
    <w:rsid w:val="002C125A"/>
    <w:rsid w:val="002C137E"/>
    <w:rsid w:val="002C1636"/>
    <w:rsid w:val="002C1693"/>
    <w:rsid w:val="002C1D88"/>
    <w:rsid w:val="002C2137"/>
    <w:rsid w:val="002C2212"/>
    <w:rsid w:val="002C254B"/>
    <w:rsid w:val="002C273E"/>
    <w:rsid w:val="002C2782"/>
    <w:rsid w:val="002C29F6"/>
    <w:rsid w:val="002C301D"/>
    <w:rsid w:val="002C4952"/>
    <w:rsid w:val="002C4995"/>
    <w:rsid w:val="002C4A8A"/>
    <w:rsid w:val="002C4B6E"/>
    <w:rsid w:val="002C54A4"/>
    <w:rsid w:val="002C5C1E"/>
    <w:rsid w:val="002C5F54"/>
    <w:rsid w:val="002C613B"/>
    <w:rsid w:val="002C621D"/>
    <w:rsid w:val="002C6416"/>
    <w:rsid w:val="002C678F"/>
    <w:rsid w:val="002C7328"/>
    <w:rsid w:val="002C735A"/>
    <w:rsid w:val="002C744E"/>
    <w:rsid w:val="002D0066"/>
    <w:rsid w:val="002D020E"/>
    <w:rsid w:val="002D0545"/>
    <w:rsid w:val="002D067B"/>
    <w:rsid w:val="002D089C"/>
    <w:rsid w:val="002D1489"/>
    <w:rsid w:val="002D153F"/>
    <w:rsid w:val="002D18BF"/>
    <w:rsid w:val="002D1970"/>
    <w:rsid w:val="002D1B0D"/>
    <w:rsid w:val="002D1B86"/>
    <w:rsid w:val="002D1C90"/>
    <w:rsid w:val="002D1DEA"/>
    <w:rsid w:val="002D21B5"/>
    <w:rsid w:val="002D2A49"/>
    <w:rsid w:val="002D2B71"/>
    <w:rsid w:val="002D2E8D"/>
    <w:rsid w:val="002D3666"/>
    <w:rsid w:val="002D3AE9"/>
    <w:rsid w:val="002D3CD0"/>
    <w:rsid w:val="002D44BA"/>
    <w:rsid w:val="002D4510"/>
    <w:rsid w:val="002D452E"/>
    <w:rsid w:val="002D4813"/>
    <w:rsid w:val="002D4C8B"/>
    <w:rsid w:val="002D4E1E"/>
    <w:rsid w:val="002D525E"/>
    <w:rsid w:val="002D599E"/>
    <w:rsid w:val="002D5A8E"/>
    <w:rsid w:val="002D5B86"/>
    <w:rsid w:val="002D5BCA"/>
    <w:rsid w:val="002D5C32"/>
    <w:rsid w:val="002D5C55"/>
    <w:rsid w:val="002D6169"/>
    <w:rsid w:val="002D66E9"/>
    <w:rsid w:val="002D6CAE"/>
    <w:rsid w:val="002D6EA4"/>
    <w:rsid w:val="002D7645"/>
    <w:rsid w:val="002D7809"/>
    <w:rsid w:val="002D7A6D"/>
    <w:rsid w:val="002D7AA0"/>
    <w:rsid w:val="002E003E"/>
    <w:rsid w:val="002E0ED6"/>
    <w:rsid w:val="002E10E1"/>
    <w:rsid w:val="002E1204"/>
    <w:rsid w:val="002E12B5"/>
    <w:rsid w:val="002E1583"/>
    <w:rsid w:val="002E1962"/>
    <w:rsid w:val="002E1A83"/>
    <w:rsid w:val="002E1CDA"/>
    <w:rsid w:val="002E224F"/>
    <w:rsid w:val="002E2635"/>
    <w:rsid w:val="002E2CDA"/>
    <w:rsid w:val="002E36A6"/>
    <w:rsid w:val="002E3977"/>
    <w:rsid w:val="002E3AD4"/>
    <w:rsid w:val="002E3BC5"/>
    <w:rsid w:val="002E4037"/>
    <w:rsid w:val="002E426F"/>
    <w:rsid w:val="002E44B8"/>
    <w:rsid w:val="002E4C4C"/>
    <w:rsid w:val="002E4E28"/>
    <w:rsid w:val="002E4E3D"/>
    <w:rsid w:val="002E5095"/>
    <w:rsid w:val="002E5AC8"/>
    <w:rsid w:val="002E5F49"/>
    <w:rsid w:val="002E5FC1"/>
    <w:rsid w:val="002E6299"/>
    <w:rsid w:val="002E6606"/>
    <w:rsid w:val="002E6972"/>
    <w:rsid w:val="002E7120"/>
    <w:rsid w:val="002E7258"/>
    <w:rsid w:val="002E7654"/>
    <w:rsid w:val="002E7B1F"/>
    <w:rsid w:val="002E7D1D"/>
    <w:rsid w:val="002E7E1E"/>
    <w:rsid w:val="002F005B"/>
    <w:rsid w:val="002F023A"/>
    <w:rsid w:val="002F02FD"/>
    <w:rsid w:val="002F04CF"/>
    <w:rsid w:val="002F06FB"/>
    <w:rsid w:val="002F071C"/>
    <w:rsid w:val="002F0734"/>
    <w:rsid w:val="002F0844"/>
    <w:rsid w:val="002F0899"/>
    <w:rsid w:val="002F0947"/>
    <w:rsid w:val="002F0DF5"/>
    <w:rsid w:val="002F0E10"/>
    <w:rsid w:val="002F16E7"/>
    <w:rsid w:val="002F1783"/>
    <w:rsid w:val="002F1937"/>
    <w:rsid w:val="002F1A97"/>
    <w:rsid w:val="002F1BA4"/>
    <w:rsid w:val="002F1D84"/>
    <w:rsid w:val="002F2065"/>
    <w:rsid w:val="002F2209"/>
    <w:rsid w:val="002F2557"/>
    <w:rsid w:val="002F2689"/>
    <w:rsid w:val="002F27B8"/>
    <w:rsid w:val="002F28EC"/>
    <w:rsid w:val="002F2F98"/>
    <w:rsid w:val="002F3115"/>
    <w:rsid w:val="002F369B"/>
    <w:rsid w:val="002F37D5"/>
    <w:rsid w:val="002F3D0A"/>
    <w:rsid w:val="002F43F4"/>
    <w:rsid w:val="002F4441"/>
    <w:rsid w:val="002F46E7"/>
    <w:rsid w:val="002F4F89"/>
    <w:rsid w:val="002F547F"/>
    <w:rsid w:val="002F56BC"/>
    <w:rsid w:val="002F6871"/>
    <w:rsid w:val="002F6DD4"/>
    <w:rsid w:val="002F736E"/>
    <w:rsid w:val="002F7D54"/>
    <w:rsid w:val="003004B4"/>
    <w:rsid w:val="003005FF"/>
    <w:rsid w:val="00300BB9"/>
    <w:rsid w:val="003011B5"/>
    <w:rsid w:val="003018BE"/>
    <w:rsid w:val="003018DE"/>
    <w:rsid w:val="0030193D"/>
    <w:rsid w:val="00301BAF"/>
    <w:rsid w:val="00302543"/>
    <w:rsid w:val="003025F4"/>
    <w:rsid w:val="0030281A"/>
    <w:rsid w:val="00302B0B"/>
    <w:rsid w:val="00303495"/>
    <w:rsid w:val="003036DC"/>
    <w:rsid w:val="00303702"/>
    <w:rsid w:val="003038DA"/>
    <w:rsid w:val="00303DFE"/>
    <w:rsid w:val="003041DA"/>
    <w:rsid w:val="0030431D"/>
    <w:rsid w:val="003047CD"/>
    <w:rsid w:val="00304923"/>
    <w:rsid w:val="00304B2C"/>
    <w:rsid w:val="003050EE"/>
    <w:rsid w:val="00305288"/>
    <w:rsid w:val="0030544E"/>
    <w:rsid w:val="0030558F"/>
    <w:rsid w:val="00305AF1"/>
    <w:rsid w:val="00305CC4"/>
    <w:rsid w:val="0030638A"/>
    <w:rsid w:val="0030679F"/>
    <w:rsid w:val="00306824"/>
    <w:rsid w:val="00306909"/>
    <w:rsid w:val="00306BB6"/>
    <w:rsid w:val="00306FA5"/>
    <w:rsid w:val="00307500"/>
    <w:rsid w:val="00307F1F"/>
    <w:rsid w:val="0031016E"/>
    <w:rsid w:val="003101DA"/>
    <w:rsid w:val="0031069B"/>
    <w:rsid w:val="00310782"/>
    <w:rsid w:val="003111C3"/>
    <w:rsid w:val="00311CE7"/>
    <w:rsid w:val="0031202B"/>
    <w:rsid w:val="00312305"/>
    <w:rsid w:val="00312ACB"/>
    <w:rsid w:val="00312D43"/>
    <w:rsid w:val="00312F75"/>
    <w:rsid w:val="003133DF"/>
    <w:rsid w:val="003139AC"/>
    <w:rsid w:val="003141A1"/>
    <w:rsid w:val="0031464F"/>
    <w:rsid w:val="00314705"/>
    <w:rsid w:val="00314757"/>
    <w:rsid w:val="003147C3"/>
    <w:rsid w:val="00314B1D"/>
    <w:rsid w:val="00315466"/>
    <w:rsid w:val="00315639"/>
    <w:rsid w:val="00315955"/>
    <w:rsid w:val="003162C6"/>
    <w:rsid w:val="003163BC"/>
    <w:rsid w:val="003163C1"/>
    <w:rsid w:val="003163CC"/>
    <w:rsid w:val="00316A7C"/>
    <w:rsid w:val="00316E4B"/>
    <w:rsid w:val="00316E83"/>
    <w:rsid w:val="0031706C"/>
    <w:rsid w:val="0031758E"/>
    <w:rsid w:val="00317753"/>
    <w:rsid w:val="00317C7E"/>
    <w:rsid w:val="0032055E"/>
    <w:rsid w:val="003207F5"/>
    <w:rsid w:val="00320977"/>
    <w:rsid w:val="003209D2"/>
    <w:rsid w:val="003211CE"/>
    <w:rsid w:val="00321AF7"/>
    <w:rsid w:val="00321BE9"/>
    <w:rsid w:val="00321C3D"/>
    <w:rsid w:val="00321FB6"/>
    <w:rsid w:val="0032205B"/>
    <w:rsid w:val="003220D1"/>
    <w:rsid w:val="003226CF"/>
    <w:rsid w:val="003232D0"/>
    <w:rsid w:val="0032378E"/>
    <w:rsid w:val="00323C24"/>
    <w:rsid w:val="00323D2A"/>
    <w:rsid w:val="00323DB6"/>
    <w:rsid w:val="00323EC9"/>
    <w:rsid w:val="00324EC0"/>
    <w:rsid w:val="00324FB5"/>
    <w:rsid w:val="00325392"/>
    <w:rsid w:val="00325AAB"/>
    <w:rsid w:val="00325C7F"/>
    <w:rsid w:val="0032644A"/>
    <w:rsid w:val="0032673A"/>
    <w:rsid w:val="00326C2D"/>
    <w:rsid w:val="00326F21"/>
    <w:rsid w:val="0032716D"/>
    <w:rsid w:val="0032762F"/>
    <w:rsid w:val="00327766"/>
    <w:rsid w:val="003277E7"/>
    <w:rsid w:val="00327E3E"/>
    <w:rsid w:val="003300FA"/>
    <w:rsid w:val="0033087D"/>
    <w:rsid w:val="00330EF4"/>
    <w:rsid w:val="00330F15"/>
    <w:rsid w:val="00330FD2"/>
    <w:rsid w:val="00330FF9"/>
    <w:rsid w:val="003310EB"/>
    <w:rsid w:val="00331FAF"/>
    <w:rsid w:val="0033214A"/>
    <w:rsid w:val="00332280"/>
    <w:rsid w:val="003327D6"/>
    <w:rsid w:val="00332B6A"/>
    <w:rsid w:val="003335D3"/>
    <w:rsid w:val="00333BA1"/>
    <w:rsid w:val="00334022"/>
    <w:rsid w:val="0033474D"/>
    <w:rsid w:val="00335810"/>
    <w:rsid w:val="00335938"/>
    <w:rsid w:val="00335FD2"/>
    <w:rsid w:val="00336BBC"/>
    <w:rsid w:val="00336BD9"/>
    <w:rsid w:val="00336D6B"/>
    <w:rsid w:val="00337F41"/>
    <w:rsid w:val="00340313"/>
    <w:rsid w:val="00340767"/>
    <w:rsid w:val="0034097C"/>
    <w:rsid w:val="00340AEE"/>
    <w:rsid w:val="00340DF9"/>
    <w:rsid w:val="00340E2A"/>
    <w:rsid w:val="003417FF"/>
    <w:rsid w:val="003429F4"/>
    <w:rsid w:val="00342FF9"/>
    <w:rsid w:val="00343678"/>
    <w:rsid w:val="003437D4"/>
    <w:rsid w:val="00343842"/>
    <w:rsid w:val="00343982"/>
    <w:rsid w:val="003440C1"/>
    <w:rsid w:val="00344A17"/>
    <w:rsid w:val="00344AB6"/>
    <w:rsid w:val="00345506"/>
    <w:rsid w:val="00345A1C"/>
    <w:rsid w:val="00345C3A"/>
    <w:rsid w:val="00346049"/>
    <w:rsid w:val="0034621A"/>
    <w:rsid w:val="003464AE"/>
    <w:rsid w:val="00346F40"/>
    <w:rsid w:val="00347AF2"/>
    <w:rsid w:val="00347D13"/>
    <w:rsid w:val="00350140"/>
    <w:rsid w:val="003503F6"/>
    <w:rsid w:val="00350B20"/>
    <w:rsid w:val="00350CA7"/>
    <w:rsid w:val="00350CB8"/>
    <w:rsid w:val="00351967"/>
    <w:rsid w:val="00351AFB"/>
    <w:rsid w:val="00351E44"/>
    <w:rsid w:val="003524D2"/>
    <w:rsid w:val="003527E3"/>
    <w:rsid w:val="0035284D"/>
    <w:rsid w:val="00352AA5"/>
    <w:rsid w:val="00353362"/>
    <w:rsid w:val="00353B4A"/>
    <w:rsid w:val="00353CE4"/>
    <w:rsid w:val="00353DC4"/>
    <w:rsid w:val="0035403A"/>
    <w:rsid w:val="00354346"/>
    <w:rsid w:val="003545C1"/>
    <w:rsid w:val="0035486D"/>
    <w:rsid w:val="00354C2D"/>
    <w:rsid w:val="00354C71"/>
    <w:rsid w:val="00354FAC"/>
    <w:rsid w:val="00355A9F"/>
    <w:rsid w:val="00355BDB"/>
    <w:rsid w:val="00355D0B"/>
    <w:rsid w:val="00356C86"/>
    <w:rsid w:val="00357140"/>
    <w:rsid w:val="00357C3F"/>
    <w:rsid w:val="00357D77"/>
    <w:rsid w:val="003607BB"/>
    <w:rsid w:val="00360A6B"/>
    <w:rsid w:val="00361004"/>
    <w:rsid w:val="00361870"/>
    <w:rsid w:val="00361C30"/>
    <w:rsid w:val="00361DB2"/>
    <w:rsid w:val="003622BB"/>
    <w:rsid w:val="0036271F"/>
    <w:rsid w:val="00362F7C"/>
    <w:rsid w:val="003636E2"/>
    <w:rsid w:val="0036394B"/>
    <w:rsid w:val="00363EB4"/>
    <w:rsid w:val="0036461C"/>
    <w:rsid w:val="00364DD4"/>
    <w:rsid w:val="0036563C"/>
    <w:rsid w:val="0036587F"/>
    <w:rsid w:val="00365B36"/>
    <w:rsid w:val="00365DB1"/>
    <w:rsid w:val="00365EEF"/>
    <w:rsid w:val="00366173"/>
    <w:rsid w:val="003661F6"/>
    <w:rsid w:val="00366692"/>
    <w:rsid w:val="00366755"/>
    <w:rsid w:val="00366C7F"/>
    <w:rsid w:val="00366DB6"/>
    <w:rsid w:val="003673B2"/>
    <w:rsid w:val="00367D89"/>
    <w:rsid w:val="00370031"/>
    <w:rsid w:val="003704FF"/>
    <w:rsid w:val="00370821"/>
    <w:rsid w:val="003709B5"/>
    <w:rsid w:val="003709C3"/>
    <w:rsid w:val="00370AAA"/>
    <w:rsid w:val="0037125B"/>
    <w:rsid w:val="0037125C"/>
    <w:rsid w:val="003713AF"/>
    <w:rsid w:val="00371DB0"/>
    <w:rsid w:val="00371DB5"/>
    <w:rsid w:val="00371EA4"/>
    <w:rsid w:val="0037260D"/>
    <w:rsid w:val="003726F7"/>
    <w:rsid w:val="00373087"/>
    <w:rsid w:val="00373DA3"/>
    <w:rsid w:val="00373FB4"/>
    <w:rsid w:val="0037430A"/>
    <w:rsid w:val="00374317"/>
    <w:rsid w:val="003746AC"/>
    <w:rsid w:val="00374830"/>
    <w:rsid w:val="003748E7"/>
    <w:rsid w:val="003754D9"/>
    <w:rsid w:val="003759C2"/>
    <w:rsid w:val="00375B7E"/>
    <w:rsid w:val="00375E15"/>
    <w:rsid w:val="00375F16"/>
    <w:rsid w:val="003765EF"/>
    <w:rsid w:val="00376B62"/>
    <w:rsid w:val="00376BB2"/>
    <w:rsid w:val="0037751A"/>
    <w:rsid w:val="00377521"/>
    <w:rsid w:val="00377DCE"/>
    <w:rsid w:val="0038002F"/>
    <w:rsid w:val="00380706"/>
    <w:rsid w:val="003808B5"/>
    <w:rsid w:val="00380A2E"/>
    <w:rsid w:val="003811D7"/>
    <w:rsid w:val="00381569"/>
    <w:rsid w:val="003816E6"/>
    <w:rsid w:val="003820E3"/>
    <w:rsid w:val="003828BF"/>
    <w:rsid w:val="00382A82"/>
    <w:rsid w:val="00382D16"/>
    <w:rsid w:val="00383051"/>
    <w:rsid w:val="003832B2"/>
    <w:rsid w:val="003833F7"/>
    <w:rsid w:val="0038341E"/>
    <w:rsid w:val="00383563"/>
    <w:rsid w:val="003835F4"/>
    <w:rsid w:val="00383626"/>
    <w:rsid w:val="003836EC"/>
    <w:rsid w:val="00383702"/>
    <w:rsid w:val="00383DB3"/>
    <w:rsid w:val="0038402A"/>
    <w:rsid w:val="00384B7F"/>
    <w:rsid w:val="00385034"/>
    <w:rsid w:val="00385047"/>
    <w:rsid w:val="00385627"/>
    <w:rsid w:val="00385B20"/>
    <w:rsid w:val="003862EB"/>
    <w:rsid w:val="0038633B"/>
    <w:rsid w:val="00386382"/>
    <w:rsid w:val="00386435"/>
    <w:rsid w:val="003873FE"/>
    <w:rsid w:val="00387858"/>
    <w:rsid w:val="00387BC1"/>
    <w:rsid w:val="00387BED"/>
    <w:rsid w:val="00391343"/>
    <w:rsid w:val="00391359"/>
    <w:rsid w:val="003916CF"/>
    <w:rsid w:val="0039205D"/>
    <w:rsid w:val="0039230C"/>
    <w:rsid w:val="003923C1"/>
    <w:rsid w:val="00392753"/>
    <w:rsid w:val="00393307"/>
    <w:rsid w:val="003933D2"/>
    <w:rsid w:val="00393960"/>
    <w:rsid w:val="003939A6"/>
    <w:rsid w:val="00393A23"/>
    <w:rsid w:val="00393B5C"/>
    <w:rsid w:val="00393E6B"/>
    <w:rsid w:val="00394835"/>
    <w:rsid w:val="00394CFC"/>
    <w:rsid w:val="003951AD"/>
    <w:rsid w:val="003954FC"/>
    <w:rsid w:val="0039552C"/>
    <w:rsid w:val="00395884"/>
    <w:rsid w:val="00395BE6"/>
    <w:rsid w:val="00395E0A"/>
    <w:rsid w:val="00396127"/>
    <w:rsid w:val="00396EB8"/>
    <w:rsid w:val="00396F14"/>
    <w:rsid w:val="00397283"/>
    <w:rsid w:val="00397365"/>
    <w:rsid w:val="003977F3"/>
    <w:rsid w:val="00397961"/>
    <w:rsid w:val="003979B8"/>
    <w:rsid w:val="00397C85"/>
    <w:rsid w:val="003A0288"/>
    <w:rsid w:val="003A0521"/>
    <w:rsid w:val="003A0545"/>
    <w:rsid w:val="003A06AA"/>
    <w:rsid w:val="003A1563"/>
    <w:rsid w:val="003A186B"/>
    <w:rsid w:val="003A23F6"/>
    <w:rsid w:val="003A27C7"/>
    <w:rsid w:val="003A27F3"/>
    <w:rsid w:val="003A290E"/>
    <w:rsid w:val="003A2B57"/>
    <w:rsid w:val="003A31AE"/>
    <w:rsid w:val="003A31F6"/>
    <w:rsid w:val="003A3345"/>
    <w:rsid w:val="003A3990"/>
    <w:rsid w:val="003A3CD1"/>
    <w:rsid w:val="003A3D4F"/>
    <w:rsid w:val="003A3E40"/>
    <w:rsid w:val="003A3F9B"/>
    <w:rsid w:val="003A4771"/>
    <w:rsid w:val="003A4F68"/>
    <w:rsid w:val="003A5001"/>
    <w:rsid w:val="003A52D1"/>
    <w:rsid w:val="003A5777"/>
    <w:rsid w:val="003A5A17"/>
    <w:rsid w:val="003A5E28"/>
    <w:rsid w:val="003A6424"/>
    <w:rsid w:val="003A6478"/>
    <w:rsid w:val="003A66EA"/>
    <w:rsid w:val="003A6739"/>
    <w:rsid w:val="003A6893"/>
    <w:rsid w:val="003A698B"/>
    <w:rsid w:val="003A69D7"/>
    <w:rsid w:val="003A74D5"/>
    <w:rsid w:val="003A75E2"/>
    <w:rsid w:val="003A7F30"/>
    <w:rsid w:val="003B006D"/>
    <w:rsid w:val="003B0D4D"/>
    <w:rsid w:val="003B1060"/>
    <w:rsid w:val="003B1B7E"/>
    <w:rsid w:val="003B224E"/>
    <w:rsid w:val="003B2575"/>
    <w:rsid w:val="003B262E"/>
    <w:rsid w:val="003B269B"/>
    <w:rsid w:val="003B3138"/>
    <w:rsid w:val="003B33FF"/>
    <w:rsid w:val="003B39D6"/>
    <w:rsid w:val="003B3AA4"/>
    <w:rsid w:val="003B3C5B"/>
    <w:rsid w:val="003B3DC6"/>
    <w:rsid w:val="003B402A"/>
    <w:rsid w:val="003B484C"/>
    <w:rsid w:val="003B488E"/>
    <w:rsid w:val="003B48BE"/>
    <w:rsid w:val="003B4B1D"/>
    <w:rsid w:val="003B4B60"/>
    <w:rsid w:val="003B4C0B"/>
    <w:rsid w:val="003B528D"/>
    <w:rsid w:val="003B5347"/>
    <w:rsid w:val="003B54F0"/>
    <w:rsid w:val="003B559A"/>
    <w:rsid w:val="003B5773"/>
    <w:rsid w:val="003B61FA"/>
    <w:rsid w:val="003B62B8"/>
    <w:rsid w:val="003B62F4"/>
    <w:rsid w:val="003B6757"/>
    <w:rsid w:val="003B7270"/>
    <w:rsid w:val="003B7373"/>
    <w:rsid w:val="003B75AF"/>
    <w:rsid w:val="003B7643"/>
    <w:rsid w:val="003B782C"/>
    <w:rsid w:val="003B793A"/>
    <w:rsid w:val="003B7B1B"/>
    <w:rsid w:val="003B7BFB"/>
    <w:rsid w:val="003C007C"/>
    <w:rsid w:val="003C0219"/>
    <w:rsid w:val="003C040B"/>
    <w:rsid w:val="003C0776"/>
    <w:rsid w:val="003C08A6"/>
    <w:rsid w:val="003C1C71"/>
    <w:rsid w:val="003C262B"/>
    <w:rsid w:val="003C2950"/>
    <w:rsid w:val="003C2AFC"/>
    <w:rsid w:val="003C2B63"/>
    <w:rsid w:val="003C2BC9"/>
    <w:rsid w:val="003C2D00"/>
    <w:rsid w:val="003C2DF1"/>
    <w:rsid w:val="003C2F31"/>
    <w:rsid w:val="003C3085"/>
    <w:rsid w:val="003C31A8"/>
    <w:rsid w:val="003C3447"/>
    <w:rsid w:val="003C39E3"/>
    <w:rsid w:val="003C45C5"/>
    <w:rsid w:val="003C4F8F"/>
    <w:rsid w:val="003C5554"/>
    <w:rsid w:val="003C5B99"/>
    <w:rsid w:val="003C5DE7"/>
    <w:rsid w:val="003C61BB"/>
    <w:rsid w:val="003C6751"/>
    <w:rsid w:val="003C6A04"/>
    <w:rsid w:val="003C6C99"/>
    <w:rsid w:val="003C6FE4"/>
    <w:rsid w:val="003C7D54"/>
    <w:rsid w:val="003C7DCB"/>
    <w:rsid w:val="003D06AA"/>
    <w:rsid w:val="003D0717"/>
    <w:rsid w:val="003D076C"/>
    <w:rsid w:val="003D07DC"/>
    <w:rsid w:val="003D0804"/>
    <w:rsid w:val="003D0E3C"/>
    <w:rsid w:val="003D0EA4"/>
    <w:rsid w:val="003D1007"/>
    <w:rsid w:val="003D1657"/>
    <w:rsid w:val="003D17A1"/>
    <w:rsid w:val="003D19DE"/>
    <w:rsid w:val="003D1F8D"/>
    <w:rsid w:val="003D221F"/>
    <w:rsid w:val="003D2552"/>
    <w:rsid w:val="003D2D13"/>
    <w:rsid w:val="003D3286"/>
    <w:rsid w:val="003D32B8"/>
    <w:rsid w:val="003D4B46"/>
    <w:rsid w:val="003D4F35"/>
    <w:rsid w:val="003D4FDA"/>
    <w:rsid w:val="003D515E"/>
    <w:rsid w:val="003D52AC"/>
    <w:rsid w:val="003D54A6"/>
    <w:rsid w:val="003D5886"/>
    <w:rsid w:val="003D59E0"/>
    <w:rsid w:val="003D5FF4"/>
    <w:rsid w:val="003D656D"/>
    <w:rsid w:val="003D67BB"/>
    <w:rsid w:val="003D6B26"/>
    <w:rsid w:val="003D6E30"/>
    <w:rsid w:val="003D6EBD"/>
    <w:rsid w:val="003D6F9D"/>
    <w:rsid w:val="003D7273"/>
    <w:rsid w:val="003D7C97"/>
    <w:rsid w:val="003D7E72"/>
    <w:rsid w:val="003D7F94"/>
    <w:rsid w:val="003E0128"/>
    <w:rsid w:val="003E02CF"/>
    <w:rsid w:val="003E04E7"/>
    <w:rsid w:val="003E0EBF"/>
    <w:rsid w:val="003E1030"/>
    <w:rsid w:val="003E104D"/>
    <w:rsid w:val="003E12AA"/>
    <w:rsid w:val="003E19C7"/>
    <w:rsid w:val="003E1C98"/>
    <w:rsid w:val="003E1E4D"/>
    <w:rsid w:val="003E25F0"/>
    <w:rsid w:val="003E27A3"/>
    <w:rsid w:val="003E33B8"/>
    <w:rsid w:val="003E3560"/>
    <w:rsid w:val="003E3727"/>
    <w:rsid w:val="003E3B0B"/>
    <w:rsid w:val="003E3ECB"/>
    <w:rsid w:val="003E3FF1"/>
    <w:rsid w:val="003E4465"/>
    <w:rsid w:val="003E44E6"/>
    <w:rsid w:val="003E45E6"/>
    <w:rsid w:val="003E48DA"/>
    <w:rsid w:val="003E4B76"/>
    <w:rsid w:val="003E4C0A"/>
    <w:rsid w:val="003E4ED4"/>
    <w:rsid w:val="003E5179"/>
    <w:rsid w:val="003E653E"/>
    <w:rsid w:val="003E69AF"/>
    <w:rsid w:val="003E7509"/>
    <w:rsid w:val="003E75CA"/>
    <w:rsid w:val="003E7811"/>
    <w:rsid w:val="003E783C"/>
    <w:rsid w:val="003E78B5"/>
    <w:rsid w:val="003E78DB"/>
    <w:rsid w:val="003E7A93"/>
    <w:rsid w:val="003E7ACF"/>
    <w:rsid w:val="003E7F52"/>
    <w:rsid w:val="003F0878"/>
    <w:rsid w:val="003F09A3"/>
    <w:rsid w:val="003F0AA5"/>
    <w:rsid w:val="003F0BAD"/>
    <w:rsid w:val="003F0D5D"/>
    <w:rsid w:val="003F12E8"/>
    <w:rsid w:val="003F135E"/>
    <w:rsid w:val="003F1754"/>
    <w:rsid w:val="003F17E9"/>
    <w:rsid w:val="003F1C40"/>
    <w:rsid w:val="003F1C6A"/>
    <w:rsid w:val="003F1F1D"/>
    <w:rsid w:val="003F1F81"/>
    <w:rsid w:val="003F2178"/>
    <w:rsid w:val="003F26ED"/>
    <w:rsid w:val="003F2B2C"/>
    <w:rsid w:val="003F2C59"/>
    <w:rsid w:val="003F2C6E"/>
    <w:rsid w:val="003F33C9"/>
    <w:rsid w:val="003F3698"/>
    <w:rsid w:val="003F38E5"/>
    <w:rsid w:val="003F3A66"/>
    <w:rsid w:val="003F3FFC"/>
    <w:rsid w:val="003F400A"/>
    <w:rsid w:val="003F4834"/>
    <w:rsid w:val="003F493F"/>
    <w:rsid w:val="003F4E8B"/>
    <w:rsid w:val="003F5090"/>
    <w:rsid w:val="003F570B"/>
    <w:rsid w:val="003F57B2"/>
    <w:rsid w:val="003F5A38"/>
    <w:rsid w:val="003F5EE1"/>
    <w:rsid w:val="003F60E6"/>
    <w:rsid w:val="003F6102"/>
    <w:rsid w:val="003F6159"/>
    <w:rsid w:val="003F6737"/>
    <w:rsid w:val="003F694D"/>
    <w:rsid w:val="003F6BB5"/>
    <w:rsid w:val="003F6F64"/>
    <w:rsid w:val="003F7060"/>
    <w:rsid w:val="003F7D5B"/>
    <w:rsid w:val="0040036F"/>
    <w:rsid w:val="00400504"/>
    <w:rsid w:val="0040054E"/>
    <w:rsid w:val="00401628"/>
    <w:rsid w:val="00401EBA"/>
    <w:rsid w:val="00401FFD"/>
    <w:rsid w:val="004024F2"/>
    <w:rsid w:val="00402665"/>
    <w:rsid w:val="004027AD"/>
    <w:rsid w:val="00402B9A"/>
    <w:rsid w:val="00402CDD"/>
    <w:rsid w:val="00402CFC"/>
    <w:rsid w:val="00403574"/>
    <w:rsid w:val="00403721"/>
    <w:rsid w:val="004039B9"/>
    <w:rsid w:val="00403C2D"/>
    <w:rsid w:val="00403F27"/>
    <w:rsid w:val="004042E4"/>
    <w:rsid w:val="00404488"/>
    <w:rsid w:val="00404603"/>
    <w:rsid w:val="004047C4"/>
    <w:rsid w:val="00404F6B"/>
    <w:rsid w:val="00405B0C"/>
    <w:rsid w:val="00406033"/>
    <w:rsid w:val="004062CD"/>
    <w:rsid w:val="00406863"/>
    <w:rsid w:val="00406A49"/>
    <w:rsid w:val="00406BA5"/>
    <w:rsid w:val="00406D97"/>
    <w:rsid w:val="00406E82"/>
    <w:rsid w:val="004079BF"/>
    <w:rsid w:val="004106F3"/>
    <w:rsid w:val="00410BA9"/>
    <w:rsid w:val="004116A2"/>
    <w:rsid w:val="0041177E"/>
    <w:rsid w:val="00411C8B"/>
    <w:rsid w:val="0041257A"/>
    <w:rsid w:val="004126C3"/>
    <w:rsid w:val="00412877"/>
    <w:rsid w:val="004128CD"/>
    <w:rsid w:val="00412B85"/>
    <w:rsid w:val="00412BD9"/>
    <w:rsid w:val="004134F0"/>
    <w:rsid w:val="00413C19"/>
    <w:rsid w:val="00413E18"/>
    <w:rsid w:val="0041456A"/>
    <w:rsid w:val="004146F2"/>
    <w:rsid w:val="00414788"/>
    <w:rsid w:val="0041529D"/>
    <w:rsid w:val="004156A5"/>
    <w:rsid w:val="00415BAB"/>
    <w:rsid w:val="00415ED2"/>
    <w:rsid w:val="00420095"/>
    <w:rsid w:val="004201E5"/>
    <w:rsid w:val="004204B5"/>
    <w:rsid w:val="004205BA"/>
    <w:rsid w:val="004205F7"/>
    <w:rsid w:val="0042068C"/>
    <w:rsid w:val="00420BFA"/>
    <w:rsid w:val="00420CA2"/>
    <w:rsid w:val="00421AC9"/>
    <w:rsid w:val="00422123"/>
    <w:rsid w:val="004221F9"/>
    <w:rsid w:val="00422DB3"/>
    <w:rsid w:val="00422E8B"/>
    <w:rsid w:val="00423256"/>
    <w:rsid w:val="00423338"/>
    <w:rsid w:val="0042357C"/>
    <w:rsid w:val="004238C8"/>
    <w:rsid w:val="00423AFB"/>
    <w:rsid w:val="004241D7"/>
    <w:rsid w:val="0042420F"/>
    <w:rsid w:val="00424CF1"/>
    <w:rsid w:val="00425EB9"/>
    <w:rsid w:val="0042616F"/>
    <w:rsid w:val="004266F1"/>
    <w:rsid w:val="004267D2"/>
    <w:rsid w:val="0042740E"/>
    <w:rsid w:val="0042754A"/>
    <w:rsid w:val="004279A2"/>
    <w:rsid w:val="004302B4"/>
    <w:rsid w:val="004303B6"/>
    <w:rsid w:val="0043084A"/>
    <w:rsid w:val="00430976"/>
    <w:rsid w:val="00431B1A"/>
    <w:rsid w:val="004324AC"/>
    <w:rsid w:val="0043267B"/>
    <w:rsid w:val="00432857"/>
    <w:rsid w:val="00432CD1"/>
    <w:rsid w:val="0043314A"/>
    <w:rsid w:val="00433384"/>
    <w:rsid w:val="00433E87"/>
    <w:rsid w:val="00433EFF"/>
    <w:rsid w:val="00433FC9"/>
    <w:rsid w:val="004342F3"/>
    <w:rsid w:val="0043499D"/>
    <w:rsid w:val="00434B7A"/>
    <w:rsid w:val="00435371"/>
    <w:rsid w:val="0043538F"/>
    <w:rsid w:val="004354BD"/>
    <w:rsid w:val="004356DB"/>
    <w:rsid w:val="00435986"/>
    <w:rsid w:val="004359BE"/>
    <w:rsid w:val="00435B6E"/>
    <w:rsid w:val="004360B6"/>
    <w:rsid w:val="00436257"/>
    <w:rsid w:val="00436CAF"/>
    <w:rsid w:val="00436E0E"/>
    <w:rsid w:val="00436E36"/>
    <w:rsid w:val="00436EB6"/>
    <w:rsid w:val="00436F49"/>
    <w:rsid w:val="00437157"/>
    <w:rsid w:val="0043737E"/>
    <w:rsid w:val="0043758F"/>
    <w:rsid w:val="00437651"/>
    <w:rsid w:val="00437765"/>
    <w:rsid w:val="004378C5"/>
    <w:rsid w:val="00437A39"/>
    <w:rsid w:val="004400EB"/>
    <w:rsid w:val="00440994"/>
    <w:rsid w:val="00440999"/>
    <w:rsid w:val="00440CF6"/>
    <w:rsid w:val="0044105D"/>
    <w:rsid w:val="00441555"/>
    <w:rsid w:val="004416C5"/>
    <w:rsid w:val="00441A86"/>
    <w:rsid w:val="00441E50"/>
    <w:rsid w:val="00442E85"/>
    <w:rsid w:val="0044318E"/>
    <w:rsid w:val="00443488"/>
    <w:rsid w:val="00443784"/>
    <w:rsid w:val="00443B35"/>
    <w:rsid w:val="00443C0A"/>
    <w:rsid w:val="0044482D"/>
    <w:rsid w:val="00444C5C"/>
    <w:rsid w:val="004451E5"/>
    <w:rsid w:val="004451F6"/>
    <w:rsid w:val="004452C5"/>
    <w:rsid w:val="004453A7"/>
    <w:rsid w:val="00445531"/>
    <w:rsid w:val="0044571F"/>
    <w:rsid w:val="00445E58"/>
    <w:rsid w:val="0044644C"/>
    <w:rsid w:val="0044713E"/>
    <w:rsid w:val="00447A4D"/>
    <w:rsid w:val="004500D1"/>
    <w:rsid w:val="004503B0"/>
    <w:rsid w:val="004504FE"/>
    <w:rsid w:val="00450569"/>
    <w:rsid w:val="00450899"/>
    <w:rsid w:val="00450F51"/>
    <w:rsid w:val="004512FF"/>
    <w:rsid w:val="00451A68"/>
    <w:rsid w:val="00451AB0"/>
    <w:rsid w:val="00452595"/>
    <w:rsid w:val="00452730"/>
    <w:rsid w:val="00452B5F"/>
    <w:rsid w:val="00452E5D"/>
    <w:rsid w:val="00453D16"/>
    <w:rsid w:val="0045419B"/>
    <w:rsid w:val="00454282"/>
    <w:rsid w:val="004548BF"/>
    <w:rsid w:val="00455060"/>
    <w:rsid w:val="00455290"/>
    <w:rsid w:val="004552C7"/>
    <w:rsid w:val="00455523"/>
    <w:rsid w:val="004556F3"/>
    <w:rsid w:val="00455EC0"/>
    <w:rsid w:val="004560B1"/>
    <w:rsid w:val="00456725"/>
    <w:rsid w:val="00456939"/>
    <w:rsid w:val="00456BA3"/>
    <w:rsid w:val="00456CBE"/>
    <w:rsid w:val="00456E41"/>
    <w:rsid w:val="004570A7"/>
    <w:rsid w:val="004579D9"/>
    <w:rsid w:val="004579F7"/>
    <w:rsid w:val="00457D4D"/>
    <w:rsid w:val="0046054F"/>
    <w:rsid w:val="0046129E"/>
    <w:rsid w:val="004618CE"/>
    <w:rsid w:val="00461B6A"/>
    <w:rsid w:val="00461D30"/>
    <w:rsid w:val="0046201D"/>
    <w:rsid w:val="00462271"/>
    <w:rsid w:val="0046232F"/>
    <w:rsid w:val="004623D8"/>
    <w:rsid w:val="0046288C"/>
    <w:rsid w:val="00462921"/>
    <w:rsid w:val="00462B81"/>
    <w:rsid w:val="004631A7"/>
    <w:rsid w:val="004638C8"/>
    <w:rsid w:val="00463A03"/>
    <w:rsid w:val="00463AE1"/>
    <w:rsid w:val="00463F07"/>
    <w:rsid w:val="0046491A"/>
    <w:rsid w:val="00464D42"/>
    <w:rsid w:val="00464E1E"/>
    <w:rsid w:val="00465020"/>
    <w:rsid w:val="00466A2E"/>
    <w:rsid w:val="00466C2C"/>
    <w:rsid w:val="00466C79"/>
    <w:rsid w:val="00466E20"/>
    <w:rsid w:val="00466E77"/>
    <w:rsid w:val="00467672"/>
    <w:rsid w:val="00467775"/>
    <w:rsid w:val="00467A9A"/>
    <w:rsid w:val="0047010E"/>
    <w:rsid w:val="00470C31"/>
    <w:rsid w:val="00470C43"/>
    <w:rsid w:val="0047122B"/>
    <w:rsid w:val="00471C06"/>
    <w:rsid w:val="0047207E"/>
    <w:rsid w:val="0047224A"/>
    <w:rsid w:val="00472407"/>
    <w:rsid w:val="0047261B"/>
    <w:rsid w:val="0047262E"/>
    <w:rsid w:val="00472C4A"/>
    <w:rsid w:val="0047315E"/>
    <w:rsid w:val="004732F2"/>
    <w:rsid w:val="004736C1"/>
    <w:rsid w:val="00473B7A"/>
    <w:rsid w:val="00473D6D"/>
    <w:rsid w:val="004742B3"/>
    <w:rsid w:val="00474410"/>
    <w:rsid w:val="004745A5"/>
    <w:rsid w:val="00474868"/>
    <w:rsid w:val="00474A18"/>
    <w:rsid w:val="00474AC1"/>
    <w:rsid w:val="00474ECF"/>
    <w:rsid w:val="00474F8D"/>
    <w:rsid w:val="004750D6"/>
    <w:rsid w:val="0047524C"/>
    <w:rsid w:val="0047576F"/>
    <w:rsid w:val="004758BF"/>
    <w:rsid w:val="00475922"/>
    <w:rsid w:val="00476216"/>
    <w:rsid w:val="0047679D"/>
    <w:rsid w:val="0047687E"/>
    <w:rsid w:val="00476FA8"/>
    <w:rsid w:val="00477015"/>
    <w:rsid w:val="00477282"/>
    <w:rsid w:val="004777D6"/>
    <w:rsid w:val="00477C3E"/>
    <w:rsid w:val="00477C97"/>
    <w:rsid w:val="00477DEE"/>
    <w:rsid w:val="00480804"/>
    <w:rsid w:val="00480AB7"/>
    <w:rsid w:val="00480DCA"/>
    <w:rsid w:val="00480E32"/>
    <w:rsid w:val="00480EED"/>
    <w:rsid w:val="00481273"/>
    <w:rsid w:val="004812F9"/>
    <w:rsid w:val="00481386"/>
    <w:rsid w:val="004815C5"/>
    <w:rsid w:val="00481AA9"/>
    <w:rsid w:val="004820B5"/>
    <w:rsid w:val="0048293C"/>
    <w:rsid w:val="00482FB7"/>
    <w:rsid w:val="004834A8"/>
    <w:rsid w:val="00483520"/>
    <w:rsid w:val="0048374D"/>
    <w:rsid w:val="00484302"/>
    <w:rsid w:val="004843A3"/>
    <w:rsid w:val="00484740"/>
    <w:rsid w:val="00484B4E"/>
    <w:rsid w:val="00485056"/>
    <w:rsid w:val="00485684"/>
    <w:rsid w:val="004856C4"/>
    <w:rsid w:val="004859F3"/>
    <w:rsid w:val="00485F30"/>
    <w:rsid w:val="00486986"/>
    <w:rsid w:val="00487147"/>
    <w:rsid w:val="00487277"/>
    <w:rsid w:val="00487D1F"/>
    <w:rsid w:val="00487E11"/>
    <w:rsid w:val="00490BF1"/>
    <w:rsid w:val="00490C9B"/>
    <w:rsid w:val="00490D2D"/>
    <w:rsid w:val="00490FB5"/>
    <w:rsid w:val="00491FEC"/>
    <w:rsid w:val="00492225"/>
    <w:rsid w:val="00492DEA"/>
    <w:rsid w:val="00492F8E"/>
    <w:rsid w:val="00492FF4"/>
    <w:rsid w:val="0049315C"/>
    <w:rsid w:val="00493304"/>
    <w:rsid w:val="00493C79"/>
    <w:rsid w:val="004945D6"/>
    <w:rsid w:val="00494BAC"/>
    <w:rsid w:val="00495A38"/>
    <w:rsid w:val="00495A9A"/>
    <w:rsid w:val="00495DDA"/>
    <w:rsid w:val="004960E9"/>
    <w:rsid w:val="00496752"/>
    <w:rsid w:val="00496C6B"/>
    <w:rsid w:val="00496FBE"/>
    <w:rsid w:val="00497117"/>
    <w:rsid w:val="0049712C"/>
    <w:rsid w:val="00497215"/>
    <w:rsid w:val="00497237"/>
    <w:rsid w:val="00497575"/>
    <w:rsid w:val="00497641"/>
    <w:rsid w:val="00497B66"/>
    <w:rsid w:val="00497C5F"/>
    <w:rsid w:val="004A022E"/>
    <w:rsid w:val="004A029A"/>
    <w:rsid w:val="004A05AD"/>
    <w:rsid w:val="004A0632"/>
    <w:rsid w:val="004A0C43"/>
    <w:rsid w:val="004A15CE"/>
    <w:rsid w:val="004A18B8"/>
    <w:rsid w:val="004A1BFF"/>
    <w:rsid w:val="004A212A"/>
    <w:rsid w:val="004A22E5"/>
    <w:rsid w:val="004A23B0"/>
    <w:rsid w:val="004A2BDB"/>
    <w:rsid w:val="004A2E88"/>
    <w:rsid w:val="004A3174"/>
    <w:rsid w:val="004A320B"/>
    <w:rsid w:val="004A327F"/>
    <w:rsid w:val="004A388E"/>
    <w:rsid w:val="004A39C6"/>
    <w:rsid w:val="004A3E44"/>
    <w:rsid w:val="004A40F9"/>
    <w:rsid w:val="004A43AC"/>
    <w:rsid w:val="004A4473"/>
    <w:rsid w:val="004A4DAD"/>
    <w:rsid w:val="004A5305"/>
    <w:rsid w:val="004A54F6"/>
    <w:rsid w:val="004A5752"/>
    <w:rsid w:val="004A5EF8"/>
    <w:rsid w:val="004A603A"/>
    <w:rsid w:val="004A61A0"/>
    <w:rsid w:val="004A6428"/>
    <w:rsid w:val="004A70EE"/>
    <w:rsid w:val="004A72A6"/>
    <w:rsid w:val="004A7550"/>
    <w:rsid w:val="004A7826"/>
    <w:rsid w:val="004A78FA"/>
    <w:rsid w:val="004A7DAA"/>
    <w:rsid w:val="004A7DBF"/>
    <w:rsid w:val="004B0721"/>
    <w:rsid w:val="004B0BEF"/>
    <w:rsid w:val="004B0F0B"/>
    <w:rsid w:val="004B1C27"/>
    <w:rsid w:val="004B1CDC"/>
    <w:rsid w:val="004B20F2"/>
    <w:rsid w:val="004B255B"/>
    <w:rsid w:val="004B2743"/>
    <w:rsid w:val="004B2844"/>
    <w:rsid w:val="004B2D9B"/>
    <w:rsid w:val="004B2DA2"/>
    <w:rsid w:val="004B2DFB"/>
    <w:rsid w:val="004B3286"/>
    <w:rsid w:val="004B39AE"/>
    <w:rsid w:val="004B3A46"/>
    <w:rsid w:val="004B3C66"/>
    <w:rsid w:val="004B43E6"/>
    <w:rsid w:val="004B4456"/>
    <w:rsid w:val="004B4CFB"/>
    <w:rsid w:val="004B4D70"/>
    <w:rsid w:val="004B4DA2"/>
    <w:rsid w:val="004B5091"/>
    <w:rsid w:val="004B5107"/>
    <w:rsid w:val="004B52B3"/>
    <w:rsid w:val="004B547B"/>
    <w:rsid w:val="004B5BF4"/>
    <w:rsid w:val="004B5C0A"/>
    <w:rsid w:val="004B605D"/>
    <w:rsid w:val="004B637B"/>
    <w:rsid w:val="004B666F"/>
    <w:rsid w:val="004B698D"/>
    <w:rsid w:val="004B6CB5"/>
    <w:rsid w:val="004B7134"/>
    <w:rsid w:val="004B7156"/>
    <w:rsid w:val="004B77E3"/>
    <w:rsid w:val="004B77FC"/>
    <w:rsid w:val="004B7CA6"/>
    <w:rsid w:val="004B7FCF"/>
    <w:rsid w:val="004C0190"/>
    <w:rsid w:val="004C0338"/>
    <w:rsid w:val="004C03EB"/>
    <w:rsid w:val="004C05EC"/>
    <w:rsid w:val="004C06A5"/>
    <w:rsid w:val="004C0994"/>
    <w:rsid w:val="004C0D81"/>
    <w:rsid w:val="004C16CD"/>
    <w:rsid w:val="004C1AB9"/>
    <w:rsid w:val="004C1B8A"/>
    <w:rsid w:val="004C21C7"/>
    <w:rsid w:val="004C230D"/>
    <w:rsid w:val="004C252E"/>
    <w:rsid w:val="004C264E"/>
    <w:rsid w:val="004C26EE"/>
    <w:rsid w:val="004C2934"/>
    <w:rsid w:val="004C2B7D"/>
    <w:rsid w:val="004C2C1E"/>
    <w:rsid w:val="004C2EF9"/>
    <w:rsid w:val="004C3165"/>
    <w:rsid w:val="004C319B"/>
    <w:rsid w:val="004C3300"/>
    <w:rsid w:val="004C3798"/>
    <w:rsid w:val="004C3EC5"/>
    <w:rsid w:val="004C4819"/>
    <w:rsid w:val="004C4D6B"/>
    <w:rsid w:val="004C4E21"/>
    <w:rsid w:val="004C5510"/>
    <w:rsid w:val="004C591E"/>
    <w:rsid w:val="004C5E11"/>
    <w:rsid w:val="004C628A"/>
    <w:rsid w:val="004C6315"/>
    <w:rsid w:val="004C6466"/>
    <w:rsid w:val="004C6D83"/>
    <w:rsid w:val="004C6E61"/>
    <w:rsid w:val="004C75E7"/>
    <w:rsid w:val="004C7DF4"/>
    <w:rsid w:val="004C7E7B"/>
    <w:rsid w:val="004D013C"/>
    <w:rsid w:val="004D08D5"/>
    <w:rsid w:val="004D115B"/>
    <w:rsid w:val="004D1478"/>
    <w:rsid w:val="004D15F4"/>
    <w:rsid w:val="004D1613"/>
    <w:rsid w:val="004D199C"/>
    <w:rsid w:val="004D1AFC"/>
    <w:rsid w:val="004D1C68"/>
    <w:rsid w:val="004D25C9"/>
    <w:rsid w:val="004D28F2"/>
    <w:rsid w:val="004D30DC"/>
    <w:rsid w:val="004D476A"/>
    <w:rsid w:val="004D5B32"/>
    <w:rsid w:val="004D64C5"/>
    <w:rsid w:val="004D65A1"/>
    <w:rsid w:val="004D68B5"/>
    <w:rsid w:val="004D6E8E"/>
    <w:rsid w:val="004D74F6"/>
    <w:rsid w:val="004D7634"/>
    <w:rsid w:val="004D79E0"/>
    <w:rsid w:val="004E0538"/>
    <w:rsid w:val="004E09AC"/>
    <w:rsid w:val="004E0CEF"/>
    <w:rsid w:val="004E161C"/>
    <w:rsid w:val="004E1861"/>
    <w:rsid w:val="004E1DE5"/>
    <w:rsid w:val="004E1F0E"/>
    <w:rsid w:val="004E21A5"/>
    <w:rsid w:val="004E29F1"/>
    <w:rsid w:val="004E2C06"/>
    <w:rsid w:val="004E2F07"/>
    <w:rsid w:val="004E3053"/>
    <w:rsid w:val="004E41CA"/>
    <w:rsid w:val="004E456A"/>
    <w:rsid w:val="004E4EEF"/>
    <w:rsid w:val="004E4F4E"/>
    <w:rsid w:val="004E5411"/>
    <w:rsid w:val="004E54A9"/>
    <w:rsid w:val="004E5641"/>
    <w:rsid w:val="004E611A"/>
    <w:rsid w:val="004E6370"/>
    <w:rsid w:val="004E6583"/>
    <w:rsid w:val="004E685E"/>
    <w:rsid w:val="004E689D"/>
    <w:rsid w:val="004E6ADE"/>
    <w:rsid w:val="004E6CA9"/>
    <w:rsid w:val="004E6CB9"/>
    <w:rsid w:val="004E6E11"/>
    <w:rsid w:val="004E729F"/>
    <w:rsid w:val="004E7E5E"/>
    <w:rsid w:val="004F0199"/>
    <w:rsid w:val="004F0366"/>
    <w:rsid w:val="004F0497"/>
    <w:rsid w:val="004F064E"/>
    <w:rsid w:val="004F1388"/>
    <w:rsid w:val="004F1593"/>
    <w:rsid w:val="004F1C74"/>
    <w:rsid w:val="004F1EAB"/>
    <w:rsid w:val="004F20AE"/>
    <w:rsid w:val="004F240F"/>
    <w:rsid w:val="004F2606"/>
    <w:rsid w:val="004F263E"/>
    <w:rsid w:val="004F295C"/>
    <w:rsid w:val="004F2C6A"/>
    <w:rsid w:val="004F2D3C"/>
    <w:rsid w:val="004F2EE6"/>
    <w:rsid w:val="004F2FBB"/>
    <w:rsid w:val="004F32E1"/>
    <w:rsid w:val="004F339C"/>
    <w:rsid w:val="004F3A13"/>
    <w:rsid w:val="004F3B17"/>
    <w:rsid w:val="004F40D1"/>
    <w:rsid w:val="004F40FB"/>
    <w:rsid w:val="004F486E"/>
    <w:rsid w:val="004F48E1"/>
    <w:rsid w:val="004F4998"/>
    <w:rsid w:val="004F4BFD"/>
    <w:rsid w:val="004F4F84"/>
    <w:rsid w:val="004F52D4"/>
    <w:rsid w:val="004F54D2"/>
    <w:rsid w:val="004F5835"/>
    <w:rsid w:val="004F5FAE"/>
    <w:rsid w:val="004F61B8"/>
    <w:rsid w:val="004F6343"/>
    <w:rsid w:val="004F6376"/>
    <w:rsid w:val="004F6460"/>
    <w:rsid w:val="004F6D31"/>
    <w:rsid w:val="004F6D70"/>
    <w:rsid w:val="004F75BB"/>
    <w:rsid w:val="004F773B"/>
    <w:rsid w:val="004F792F"/>
    <w:rsid w:val="004F7A9F"/>
    <w:rsid w:val="004F7AA3"/>
    <w:rsid w:val="004F7B54"/>
    <w:rsid w:val="004F7B71"/>
    <w:rsid w:val="004F7B7F"/>
    <w:rsid w:val="00500D9F"/>
    <w:rsid w:val="00500E0C"/>
    <w:rsid w:val="0050183F"/>
    <w:rsid w:val="005018F8"/>
    <w:rsid w:val="00501B67"/>
    <w:rsid w:val="00501C3B"/>
    <w:rsid w:val="00502109"/>
    <w:rsid w:val="0050224E"/>
    <w:rsid w:val="00502518"/>
    <w:rsid w:val="00502896"/>
    <w:rsid w:val="00502903"/>
    <w:rsid w:val="00502A23"/>
    <w:rsid w:val="00502B23"/>
    <w:rsid w:val="00502D8F"/>
    <w:rsid w:val="00502F74"/>
    <w:rsid w:val="00503ACB"/>
    <w:rsid w:val="00503CA8"/>
    <w:rsid w:val="00504260"/>
    <w:rsid w:val="00504328"/>
    <w:rsid w:val="005049CB"/>
    <w:rsid w:val="00504A0D"/>
    <w:rsid w:val="00504B18"/>
    <w:rsid w:val="00504BEB"/>
    <w:rsid w:val="00504F80"/>
    <w:rsid w:val="00504FF9"/>
    <w:rsid w:val="005053A5"/>
    <w:rsid w:val="005055D9"/>
    <w:rsid w:val="00505634"/>
    <w:rsid w:val="00505696"/>
    <w:rsid w:val="00505BBB"/>
    <w:rsid w:val="00506021"/>
    <w:rsid w:val="00506096"/>
    <w:rsid w:val="0050610E"/>
    <w:rsid w:val="005061DB"/>
    <w:rsid w:val="005063E0"/>
    <w:rsid w:val="0050652B"/>
    <w:rsid w:val="00506C8C"/>
    <w:rsid w:val="00506E22"/>
    <w:rsid w:val="00506F42"/>
    <w:rsid w:val="00507873"/>
    <w:rsid w:val="00507AC8"/>
    <w:rsid w:val="005102EF"/>
    <w:rsid w:val="005106A0"/>
    <w:rsid w:val="005109AC"/>
    <w:rsid w:val="00510EFC"/>
    <w:rsid w:val="00510F31"/>
    <w:rsid w:val="00510F91"/>
    <w:rsid w:val="005110B5"/>
    <w:rsid w:val="00511365"/>
    <w:rsid w:val="0051162A"/>
    <w:rsid w:val="005118DB"/>
    <w:rsid w:val="00511C1A"/>
    <w:rsid w:val="00511F2C"/>
    <w:rsid w:val="00511F4C"/>
    <w:rsid w:val="00513289"/>
    <w:rsid w:val="0051375F"/>
    <w:rsid w:val="005145AE"/>
    <w:rsid w:val="00514BC8"/>
    <w:rsid w:val="00514D5B"/>
    <w:rsid w:val="005159EB"/>
    <w:rsid w:val="00515DB5"/>
    <w:rsid w:val="00515E95"/>
    <w:rsid w:val="00516615"/>
    <w:rsid w:val="005171AC"/>
    <w:rsid w:val="005175E7"/>
    <w:rsid w:val="00517C22"/>
    <w:rsid w:val="00517D6D"/>
    <w:rsid w:val="0052010A"/>
    <w:rsid w:val="005204AA"/>
    <w:rsid w:val="005207E1"/>
    <w:rsid w:val="00520B11"/>
    <w:rsid w:val="00520E07"/>
    <w:rsid w:val="00521157"/>
    <w:rsid w:val="0052117A"/>
    <w:rsid w:val="0052157E"/>
    <w:rsid w:val="00521654"/>
    <w:rsid w:val="00521A53"/>
    <w:rsid w:val="00521DC9"/>
    <w:rsid w:val="00522062"/>
    <w:rsid w:val="0052248A"/>
    <w:rsid w:val="00522543"/>
    <w:rsid w:val="00522983"/>
    <w:rsid w:val="00522EA2"/>
    <w:rsid w:val="00523260"/>
    <w:rsid w:val="00523292"/>
    <w:rsid w:val="005234C8"/>
    <w:rsid w:val="00523528"/>
    <w:rsid w:val="00523684"/>
    <w:rsid w:val="00523D42"/>
    <w:rsid w:val="00523DB3"/>
    <w:rsid w:val="00523E3C"/>
    <w:rsid w:val="00524112"/>
    <w:rsid w:val="00524472"/>
    <w:rsid w:val="005244CF"/>
    <w:rsid w:val="00524783"/>
    <w:rsid w:val="00524C90"/>
    <w:rsid w:val="00524D3D"/>
    <w:rsid w:val="005250E1"/>
    <w:rsid w:val="00525212"/>
    <w:rsid w:val="00525288"/>
    <w:rsid w:val="0052557C"/>
    <w:rsid w:val="005259F8"/>
    <w:rsid w:val="00525B5B"/>
    <w:rsid w:val="00525C64"/>
    <w:rsid w:val="00526207"/>
    <w:rsid w:val="005264AB"/>
    <w:rsid w:val="0052653D"/>
    <w:rsid w:val="005265DD"/>
    <w:rsid w:val="00526B96"/>
    <w:rsid w:val="00527147"/>
    <w:rsid w:val="00527234"/>
    <w:rsid w:val="00527258"/>
    <w:rsid w:val="0052738E"/>
    <w:rsid w:val="0052749F"/>
    <w:rsid w:val="00527F38"/>
    <w:rsid w:val="00530011"/>
    <w:rsid w:val="005300D3"/>
    <w:rsid w:val="00530CE0"/>
    <w:rsid w:val="005312EE"/>
    <w:rsid w:val="00531623"/>
    <w:rsid w:val="00531B83"/>
    <w:rsid w:val="00531C11"/>
    <w:rsid w:val="00531C8F"/>
    <w:rsid w:val="00532614"/>
    <w:rsid w:val="00532A99"/>
    <w:rsid w:val="00533079"/>
    <w:rsid w:val="00533492"/>
    <w:rsid w:val="005337ED"/>
    <w:rsid w:val="00533A58"/>
    <w:rsid w:val="00533ACB"/>
    <w:rsid w:val="00533C27"/>
    <w:rsid w:val="00533DCE"/>
    <w:rsid w:val="00533EFC"/>
    <w:rsid w:val="0053422A"/>
    <w:rsid w:val="00534257"/>
    <w:rsid w:val="00534FDE"/>
    <w:rsid w:val="00535209"/>
    <w:rsid w:val="00535AB7"/>
    <w:rsid w:val="00535B0B"/>
    <w:rsid w:val="00535C6E"/>
    <w:rsid w:val="00535D04"/>
    <w:rsid w:val="00535FA0"/>
    <w:rsid w:val="00536101"/>
    <w:rsid w:val="005366B1"/>
    <w:rsid w:val="00536BEF"/>
    <w:rsid w:val="00536E1F"/>
    <w:rsid w:val="00536E2C"/>
    <w:rsid w:val="00536FA9"/>
    <w:rsid w:val="00537296"/>
    <w:rsid w:val="005373F5"/>
    <w:rsid w:val="00537654"/>
    <w:rsid w:val="005376B2"/>
    <w:rsid w:val="0053785F"/>
    <w:rsid w:val="00537C18"/>
    <w:rsid w:val="00537C40"/>
    <w:rsid w:val="00537E69"/>
    <w:rsid w:val="005402CA"/>
    <w:rsid w:val="00540577"/>
    <w:rsid w:val="0054059C"/>
    <w:rsid w:val="005408C4"/>
    <w:rsid w:val="00540944"/>
    <w:rsid w:val="00540E1E"/>
    <w:rsid w:val="005414C8"/>
    <w:rsid w:val="005419CC"/>
    <w:rsid w:val="00541A78"/>
    <w:rsid w:val="0054237D"/>
    <w:rsid w:val="00542A10"/>
    <w:rsid w:val="00542E84"/>
    <w:rsid w:val="005435CD"/>
    <w:rsid w:val="00543B39"/>
    <w:rsid w:val="00543E9E"/>
    <w:rsid w:val="00543F36"/>
    <w:rsid w:val="005440D8"/>
    <w:rsid w:val="0054466A"/>
    <w:rsid w:val="0054469C"/>
    <w:rsid w:val="00544A66"/>
    <w:rsid w:val="00544F2E"/>
    <w:rsid w:val="00544F82"/>
    <w:rsid w:val="00545093"/>
    <w:rsid w:val="00545247"/>
    <w:rsid w:val="005455D8"/>
    <w:rsid w:val="00545643"/>
    <w:rsid w:val="00545961"/>
    <w:rsid w:val="00545A0D"/>
    <w:rsid w:val="00545B63"/>
    <w:rsid w:val="00546253"/>
    <w:rsid w:val="00546359"/>
    <w:rsid w:val="00546392"/>
    <w:rsid w:val="005471CB"/>
    <w:rsid w:val="00547591"/>
    <w:rsid w:val="00547A92"/>
    <w:rsid w:val="00547B49"/>
    <w:rsid w:val="00547ED5"/>
    <w:rsid w:val="005502B0"/>
    <w:rsid w:val="005503C3"/>
    <w:rsid w:val="00550611"/>
    <w:rsid w:val="0055062F"/>
    <w:rsid w:val="005507DA"/>
    <w:rsid w:val="005509D2"/>
    <w:rsid w:val="005515E3"/>
    <w:rsid w:val="00551C9F"/>
    <w:rsid w:val="00551F84"/>
    <w:rsid w:val="00552283"/>
    <w:rsid w:val="005522B3"/>
    <w:rsid w:val="00552C81"/>
    <w:rsid w:val="00552D19"/>
    <w:rsid w:val="005535D7"/>
    <w:rsid w:val="00553A25"/>
    <w:rsid w:val="00553B94"/>
    <w:rsid w:val="005541AA"/>
    <w:rsid w:val="005547FD"/>
    <w:rsid w:val="00554B6D"/>
    <w:rsid w:val="00555186"/>
    <w:rsid w:val="005557B0"/>
    <w:rsid w:val="0055631F"/>
    <w:rsid w:val="005564B5"/>
    <w:rsid w:val="005566D3"/>
    <w:rsid w:val="005569EE"/>
    <w:rsid w:val="00556DFF"/>
    <w:rsid w:val="00556F4E"/>
    <w:rsid w:val="005570DA"/>
    <w:rsid w:val="00557234"/>
    <w:rsid w:val="00557909"/>
    <w:rsid w:val="00557EB0"/>
    <w:rsid w:val="00560194"/>
    <w:rsid w:val="005608BD"/>
    <w:rsid w:val="00560CA3"/>
    <w:rsid w:val="00560DD3"/>
    <w:rsid w:val="00560E65"/>
    <w:rsid w:val="00560EED"/>
    <w:rsid w:val="00561523"/>
    <w:rsid w:val="00562199"/>
    <w:rsid w:val="005627B5"/>
    <w:rsid w:val="00562BE7"/>
    <w:rsid w:val="00562C15"/>
    <w:rsid w:val="00563ACB"/>
    <w:rsid w:val="00563CCA"/>
    <w:rsid w:val="00563FB0"/>
    <w:rsid w:val="005643C4"/>
    <w:rsid w:val="00564637"/>
    <w:rsid w:val="005648AC"/>
    <w:rsid w:val="005649EC"/>
    <w:rsid w:val="00564C72"/>
    <w:rsid w:val="00564F5C"/>
    <w:rsid w:val="00565161"/>
    <w:rsid w:val="00565423"/>
    <w:rsid w:val="005654D1"/>
    <w:rsid w:val="005654DA"/>
    <w:rsid w:val="005655D0"/>
    <w:rsid w:val="005657C9"/>
    <w:rsid w:val="00565A27"/>
    <w:rsid w:val="00565B83"/>
    <w:rsid w:val="00565C09"/>
    <w:rsid w:val="00565CFA"/>
    <w:rsid w:val="005671BB"/>
    <w:rsid w:val="00567361"/>
    <w:rsid w:val="0056744E"/>
    <w:rsid w:val="00567D3B"/>
    <w:rsid w:val="00567DBF"/>
    <w:rsid w:val="00570056"/>
    <w:rsid w:val="00570151"/>
    <w:rsid w:val="00570579"/>
    <w:rsid w:val="00570C34"/>
    <w:rsid w:val="00570C7D"/>
    <w:rsid w:val="00570EBC"/>
    <w:rsid w:val="00570F82"/>
    <w:rsid w:val="00571051"/>
    <w:rsid w:val="005711FE"/>
    <w:rsid w:val="00571637"/>
    <w:rsid w:val="005717AB"/>
    <w:rsid w:val="0057210A"/>
    <w:rsid w:val="00572255"/>
    <w:rsid w:val="00573011"/>
    <w:rsid w:val="00573054"/>
    <w:rsid w:val="00573228"/>
    <w:rsid w:val="0057387B"/>
    <w:rsid w:val="00573D33"/>
    <w:rsid w:val="0057427A"/>
    <w:rsid w:val="005748B9"/>
    <w:rsid w:val="005749A3"/>
    <w:rsid w:val="00574F69"/>
    <w:rsid w:val="00575078"/>
    <w:rsid w:val="00575162"/>
    <w:rsid w:val="005753EB"/>
    <w:rsid w:val="005756EB"/>
    <w:rsid w:val="005757B9"/>
    <w:rsid w:val="005757CA"/>
    <w:rsid w:val="005757EC"/>
    <w:rsid w:val="00575849"/>
    <w:rsid w:val="00575DF8"/>
    <w:rsid w:val="00575F98"/>
    <w:rsid w:val="00576B69"/>
    <w:rsid w:val="00576C74"/>
    <w:rsid w:val="00576DF9"/>
    <w:rsid w:val="00577401"/>
    <w:rsid w:val="00577671"/>
    <w:rsid w:val="005778D1"/>
    <w:rsid w:val="00577B37"/>
    <w:rsid w:val="00577D7A"/>
    <w:rsid w:val="005800D5"/>
    <w:rsid w:val="00580784"/>
    <w:rsid w:val="00580C16"/>
    <w:rsid w:val="00580CB5"/>
    <w:rsid w:val="00580D05"/>
    <w:rsid w:val="00580D6A"/>
    <w:rsid w:val="00580FCD"/>
    <w:rsid w:val="00581448"/>
    <w:rsid w:val="005816D8"/>
    <w:rsid w:val="0058170D"/>
    <w:rsid w:val="00581786"/>
    <w:rsid w:val="00581B0B"/>
    <w:rsid w:val="00582EB4"/>
    <w:rsid w:val="00584006"/>
    <w:rsid w:val="0058409C"/>
    <w:rsid w:val="00584137"/>
    <w:rsid w:val="0058421F"/>
    <w:rsid w:val="005846B2"/>
    <w:rsid w:val="00584C85"/>
    <w:rsid w:val="00584FBF"/>
    <w:rsid w:val="00585670"/>
    <w:rsid w:val="0058573D"/>
    <w:rsid w:val="00585B4D"/>
    <w:rsid w:val="00585BB2"/>
    <w:rsid w:val="00585E13"/>
    <w:rsid w:val="00586254"/>
    <w:rsid w:val="005862BD"/>
    <w:rsid w:val="005868BF"/>
    <w:rsid w:val="00586900"/>
    <w:rsid w:val="00586A94"/>
    <w:rsid w:val="00586BE2"/>
    <w:rsid w:val="00586DE7"/>
    <w:rsid w:val="00586FA4"/>
    <w:rsid w:val="00587CC6"/>
    <w:rsid w:val="00587EBB"/>
    <w:rsid w:val="00587F89"/>
    <w:rsid w:val="00590372"/>
    <w:rsid w:val="005907D5"/>
    <w:rsid w:val="00590D41"/>
    <w:rsid w:val="00590D9E"/>
    <w:rsid w:val="00590FA4"/>
    <w:rsid w:val="005913A0"/>
    <w:rsid w:val="00591C7B"/>
    <w:rsid w:val="00591F66"/>
    <w:rsid w:val="00592202"/>
    <w:rsid w:val="00592433"/>
    <w:rsid w:val="00593374"/>
    <w:rsid w:val="005934AD"/>
    <w:rsid w:val="005936E4"/>
    <w:rsid w:val="00593740"/>
    <w:rsid w:val="005937C8"/>
    <w:rsid w:val="00593ABE"/>
    <w:rsid w:val="00593C4F"/>
    <w:rsid w:val="0059404B"/>
    <w:rsid w:val="005946A8"/>
    <w:rsid w:val="00594FCB"/>
    <w:rsid w:val="0059530C"/>
    <w:rsid w:val="005953DD"/>
    <w:rsid w:val="00595513"/>
    <w:rsid w:val="005957AD"/>
    <w:rsid w:val="00595C16"/>
    <w:rsid w:val="00595E07"/>
    <w:rsid w:val="00595E88"/>
    <w:rsid w:val="00596243"/>
    <w:rsid w:val="00596746"/>
    <w:rsid w:val="00596AFA"/>
    <w:rsid w:val="00596FAF"/>
    <w:rsid w:val="0059765C"/>
    <w:rsid w:val="00597797"/>
    <w:rsid w:val="00597A19"/>
    <w:rsid w:val="005A07FA"/>
    <w:rsid w:val="005A08ED"/>
    <w:rsid w:val="005A13A0"/>
    <w:rsid w:val="005A15BB"/>
    <w:rsid w:val="005A197D"/>
    <w:rsid w:val="005A2B1C"/>
    <w:rsid w:val="005A32EE"/>
    <w:rsid w:val="005A3639"/>
    <w:rsid w:val="005A3EB4"/>
    <w:rsid w:val="005A40B8"/>
    <w:rsid w:val="005A42D2"/>
    <w:rsid w:val="005A42DD"/>
    <w:rsid w:val="005A4407"/>
    <w:rsid w:val="005A4653"/>
    <w:rsid w:val="005A47A6"/>
    <w:rsid w:val="005A4A3A"/>
    <w:rsid w:val="005A4FE8"/>
    <w:rsid w:val="005A55E3"/>
    <w:rsid w:val="005A5879"/>
    <w:rsid w:val="005A58E6"/>
    <w:rsid w:val="005A59E4"/>
    <w:rsid w:val="005A59EF"/>
    <w:rsid w:val="005A5AE5"/>
    <w:rsid w:val="005A6375"/>
    <w:rsid w:val="005A6D8D"/>
    <w:rsid w:val="005A6F51"/>
    <w:rsid w:val="005A6FD7"/>
    <w:rsid w:val="005A7496"/>
    <w:rsid w:val="005A74EE"/>
    <w:rsid w:val="005A7518"/>
    <w:rsid w:val="005A7B90"/>
    <w:rsid w:val="005A7C3B"/>
    <w:rsid w:val="005B0598"/>
    <w:rsid w:val="005B066B"/>
    <w:rsid w:val="005B0783"/>
    <w:rsid w:val="005B099A"/>
    <w:rsid w:val="005B0C8F"/>
    <w:rsid w:val="005B18E0"/>
    <w:rsid w:val="005B1A20"/>
    <w:rsid w:val="005B1C7E"/>
    <w:rsid w:val="005B23BD"/>
    <w:rsid w:val="005B27DE"/>
    <w:rsid w:val="005B2D63"/>
    <w:rsid w:val="005B2F69"/>
    <w:rsid w:val="005B30D0"/>
    <w:rsid w:val="005B30E0"/>
    <w:rsid w:val="005B37A8"/>
    <w:rsid w:val="005B3B15"/>
    <w:rsid w:val="005B400D"/>
    <w:rsid w:val="005B43E2"/>
    <w:rsid w:val="005B4C92"/>
    <w:rsid w:val="005B4ED7"/>
    <w:rsid w:val="005B4EF8"/>
    <w:rsid w:val="005B57B4"/>
    <w:rsid w:val="005B5C28"/>
    <w:rsid w:val="005B5FBF"/>
    <w:rsid w:val="005B68D9"/>
    <w:rsid w:val="005B7437"/>
    <w:rsid w:val="005B759F"/>
    <w:rsid w:val="005B7A2E"/>
    <w:rsid w:val="005B7CC0"/>
    <w:rsid w:val="005C02BE"/>
    <w:rsid w:val="005C1281"/>
    <w:rsid w:val="005C2060"/>
    <w:rsid w:val="005C23AD"/>
    <w:rsid w:val="005C2582"/>
    <w:rsid w:val="005C2773"/>
    <w:rsid w:val="005C28A7"/>
    <w:rsid w:val="005C320C"/>
    <w:rsid w:val="005C35FC"/>
    <w:rsid w:val="005C36BF"/>
    <w:rsid w:val="005C3803"/>
    <w:rsid w:val="005C3840"/>
    <w:rsid w:val="005C3A24"/>
    <w:rsid w:val="005C3C2F"/>
    <w:rsid w:val="005C3DC0"/>
    <w:rsid w:val="005C460E"/>
    <w:rsid w:val="005C48F8"/>
    <w:rsid w:val="005C4D79"/>
    <w:rsid w:val="005C4DF2"/>
    <w:rsid w:val="005C5151"/>
    <w:rsid w:val="005C550A"/>
    <w:rsid w:val="005C5611"/>
    <w:rsid w:val="005C63BC"/>
    <w:rsid w:val="005C6644"/>
    <w:rsid w:val="005C6655"/>
    <w:rsid w:val="005C6759"/>
    <w:rsid w:val="005C6976"/>
    <w:rsid w:val="005C6B18"/>
    <w:rsid w:val="005C6C8E"/>
    <w:rsid w:val="005C6CA6"/>
    <w:rsid w:val="005C6D48"/>
    <w:rsid w:val="005C7243"/>
    <w:rsid w:val="005C74DA"/>
    <w:rsid w:val="005C7877"/>
    <w:rsid w:val="005C7988"/>
    <w:rsid w:val="005C7EDC"/>
    <w:rsid w:val="005C7FF4"/>
    <w:rsid w:val="005D0447"/>
    <w:rsid w:val="005D18B7"/>
    <w:rsid w:val="005D1900"/>
    <w:rsid w:val="005D1BCD"/>
    <w:rsid w:val="005D27AC"/>
    <w:rsid w:val="005D27D7"/>
    <w:rsid w:val="005D2878"/>
    <w:rsid w:val="005D2D99"/>
    <w:rsid w:val="005D2F6F"/>
    <w:rsid w:val="005D30F4"/>
    <w:rsid w:val="005D3527"/>
    <w:rsid w:val="005D36A8"/>
    <w:rsid w:val="005D3B05"/>
    <w:rsid w:val="005D5869"/>
    <w:rsid w:val="005D5F76"/>
    <w:rsid w:val="005D6CD3"/>
    <w:rsid w:val="005D6E2E"/>
    <w:rsid w:val="005D7631"/>
    <w:rsid w:val="005D76C9"/>
    <w:rsid w:val="005D77CC"/>
    <w:rsid w:val="005D79FD"/>
    <w:rsid w:val="005D7CF5"/>
    <w:rsid w:val="005D7F62"/>
    <w:rsid w:val="005E00C8"/>
    <w:rsid w:val="005E025E"/>
    <w:rsid w:val="005E0354"/>
    <w:rsid w:val="005E06C9"/>
    <w:rsid w:val="005E08C6"/>
    <w:rsid w:val="005E08DC"/>
    <w:rsid w:val="005E13F4"/>
    <w:rsid w:val="005E1504"/>
    <w:rsid w:val="005E1706"/>
    <w:rsid w:val="005E22BB"/>
    <w:rsid w:val="005E2372"/>
    <w:rsid w:val="005E2C56"/>
    <w:rsid w:val="005E2CC4"/>
    <w:rsid w:val="005E2EC1"/>
    <w:rsid w:val="005E2FBE"/>
    <w:rsid w:val="005E2FD8"/>
    <w:rsid w:val="005E49BF"/>
    <w:rsid w:val="005E4E0B"/>
    <w:rsid w:val="005E53AB"/>
    <w:rsid w:val="005E5A22"/>
    <w:rsid w:val="005E6035"/>
    <w:rsid w:val="005E6411"/>
    <w:rsid w:val="005E6A33"/>
    <w:rsid w:val="005E6F55"/>
    <w:rsid w:val="005E7204"/>
    <w:rsid w:val="005E7628"/>
    <w:rsid w:val="005E765E"/>
    <w:rsid w:val="005E7D83"/>
    <w:rsid w:val="005F02F0"/>
    <w:rsid w:val="005F0AFE"/>
    <w:rsid w:val="005F0DCD"/>
    <w:rsid w:val="005F1615"/>
    <w:rsid w:val="005F1CA6"/>
    <w:rsid w:val="005F242F"/>
    <w:rsid w:val="005F29FE"/>
    <w:rsid w:val="005F39E1"/>
    <w:rsid w:val="005F44F3"/>
    <w:rsid w:val="005F4978"/>
    <w:rsid w:val="005F577E"/>
    <w:rsid w:val="005F58D9"/>
    <w:rsid w:val="005F5D47"/>
    <w:rsid w:val="005F5EFC"/>
    <w:rsid w:val="005F61AC"/>
    <w:rsid w:val="005F6867"/>
    <w:rsid w:val="005F6D6C"/>
    <w:rsid w:val="005F6F41"/>
    <w:rsid w:val="005F6FAE"/>
    <w:rsid w:val="005F7407"/>
    <w:rsid w:val="0060032F"/>
    <w:rsid w:val="00600A5E"/>
    <w:rsid w:val="006018C8"/>
    <w:rsid w:val="00601B76"/>
    <w:rsid w:val="00601B78"/>
    <w:rsid w:val="00601E2A"/>
    <w:rsid w:val="006028DB"/>
    <w:rsid w:val="0060364A"/>
    <w:rsid w:val="00603873"/>
    <w:rsid w:val="00603A3C"/>
    <w:rsid w:val="00603FAD"/>
    <w:rsid w:val="0060493A"/>
    <w:rsid w:val="00604BB7"/>
    <w:rsid w:val="00604D24"/>
    <w:rsid w:val="00604D98"/>
    <w:rsid w:val="0060585D"/>
    <w:rsid w:val="00605C9D"/>
    <w:rsid w:val="00606018"/>
    <w:rsid w:val="00606AF8"/>
    <w:rsid w:val="00606F74"/>
    <w:rsid w:val="00607358"/>
    <w:rsid w:val="00607448"/>
    <w:rsid w:val="006074C4"/>
    <w:rsid w:val="0060752A"/>
    <w:rsid w:val="00607678"/>
    <w:rsid w:val="0060775D"/>
    <w:rsid w:val="006077EA"/>
    <w:rsid w:val="00607AFF"/>
    <w:rsid w:val="00607CF9"/>
    <w:rsid w:val="00607D41"/>
    <w:rsid w:val="00610015"/>
    <w:rsid w:val="006107E2"/>
    <w:rsid w:val="006108F5"/>
    <w:rsid w:val="00610C6E"/>
    <w:rsid w:val="006110C5"/>
    <w:rsid w:val="0061121E"/>
    <w:rsid w:val="006113EA"/>
    <w:rsid w:val="006116F8"/>
    <w:rsid w:val="0061171D"/>
    <w:rsid w:val="00611AB9"/>
    <w:rsid w:val="00611EE5"/>
    <w:rsid w:val="0061221C"/>
    <w:rsid w:val="00612273"/>
    <w:rsid w:val="00612FD6"/>
    <w:rsid w:val="006137EE"/>
    <w:rsid w:val="00613B8B"/>
    <w:rsid w:val="00614478"/>
    <w:rsid w:val="00614A06"/>
    <w:rsid w:val="00614D46"/>
    <w:rsid w:val="00614D77"/>
    <w:rsid w:val="0061522C"/>
    <w:rsid w:val="006153C5"/>
    <w:rsid w:val="00615CD5"/>
    <w:rsid w:val="006162BA"/>
    <w:rsid w:val="006162F6"/>
    <w:rsid w:val="00616541"/>
    <w:rsid w:val="006168A7"/>
    <w:rsid w:val="00616B71"/>
    <w:rsid w:val="00616D4F"/>
    <w:rsid w:val="00617293"/>
    <w:rsid w:val="006175B6"/>
    <w:rsid w:val="00620793"/>
    <w:rsid w:val="00620816"/>
    <w:rsid w:val="00620A03"/>
    <w:rsid w:val="00621625"/>
    <w:rsid w:val="00621CCF"/>
    <w:rsid w:val="00621F13"/>
    <w:rsid w:val="00622F7C"/>
    <w:rsid w:val="00622FC2"/>
    <w:rsid w:val="006231CB"/>
    <w:rsid w:val="00623589"/>
    <w:rsid w:val="0062370F"/>
    <w:rsid w:val="00623E30"/>
    <w:rsid w:val="006241DC"/>
    <w:rsid w:val="006246CC"/>
    <w:rsid w:val="006248E4"/>
    <w:rsid w:val="00624F7F"/>
    <w:rsid w:val="006250CA"/>
    <w:rsid w:val="006251F6"/>
    <w:rsid w:val="00625DC6"/>
    <w:rsid w:val="006263F3"/>
    <w:rsid w:val="00626452"/>
    <w:rsid w:val="0062694D"/>
    <w:rsid w:val="00627467"/>
    <w:rsid w:val="00627E18"/>
    <w:rsid w:val="006302C3"/>
    <w:rsid w:val="00630A65"/>
    <w:rsid w:val="00631219"/>
    <w:rsid w:val="00631560"/>
    <w:rsid w:val="00631E3B"/>
    <w:rsid w:val="006320BE"/>
    <w:rsid w:val="006320D1"/>
    <w:rsid w:val="00632A9B"/>
    <w:rsid w:val="00632B2E"/>
    <w:rsid w:val="00632BF2"/>
    <w:rsid w:val="006333D0"/>
    <w:rsid w:val="006335F6"/>
    <w:rsid w:val="00633AC2"/>
    <w:rsid w:val="00633E28"/>
    <w:rsid w:val="006346F0"/>
    <w:rsid w:val="00634B38"/>
    <w:rsid w:val="006351B2"/>
    <w:rsid w:val="00635449"/>
    <w:rsid w:val="006355AD"/>
    <w:rsid w:val="0063581C"/>
    <w:rsid w:val="00635989"/>
    <w:rsid w:val="006359B3"/>
    <w:rsid w:val="00635D33"/>
    <w:rsid w:val="00635F3F"/>
    <w:rsid w:val="006362B8"/>
    <w:rsid w:val="00636BB0"/>
    <w:rsid w:val="00637685"/>
    <w:rsid w:val="00637724"/>
    <w:rsid w:val="006379B6"/>
    <w:rsid w:val="00637A2E"/>
    <w:rsid w:val="00637E47"/>
    <w:rsid w:val="00637F0E"/>
    <w:rsid w:val="006407B5"/>
    <w:rsid w:val="006411CC"/>
    <w:rsid w:val="00641399"/>
    <w:rsid w:val="006414A3"/>
    <w:rsid w:val="0064227A"/>
    <w:rsid w:val="0064273F"/>
    <w:rsid w:val="006430F9"/>
    <w:rsid w:val="0064312F"/>
    <w:rsid w:val="00643638"/>
    <w:rsid w:val="006437D9"/>
    <w:rsid w:val="0064391D"/>
    <w:rsid w:val="00643DDC"/>
    <w:rsid w:val="00644386"/>
    <w:rsid w:val="0064489D"/>
    <w:rsid w:val="00644918"/>
    <w:rsid w:val="00644974"/>
    <w:rsid w:val="00645532"/>
    <w:rsid w:val="00645C92"/>
    <w:rsid w:val="00646025"/>
    <w:rsid w:val="006463AF"/>
    <w:rsid w:val="006463DF"/>
    <w:rsid w:val="006463EE"/>
    <w:rsid w:val="006466E5"/>
    <w:rsid w:val="006467DC"/>
    <w:rsid w:val="00646F72"/>
    <w:rsid w:val="00647416"/>
    <w:rsid w:val="00647472"/>
    <w:rsid w:val="00647E43"/>
    <w:rsid w:val="00650234"/>
    <w:rsid w:val="00650296"/>
    <w:rsid w:val="006507B0"/>
    <w:rsid w:val="006508CF"/>
    <w:rsid w:val="00650A80"/>
    <w:rsid w:val="00651334"/>
    <w:rsid w:val="00651821"/>
    <w:rsid w:val="0065191E"/>
    <w:rsid w:val="00651DDB"/>
    <w:rsid w:val="00651FEF"/>
    <w:rsid w:val="006528ED"/>
    <w:rsid w:val="00652964"/>
    <w:rsid w:val="00652C39"/>
    <w:rsid w:val="00652E82"/>
    <w:rsid w:val="00652FFC"/>
    <w:rsid w:val="0065300C"/>
    <w:rsid w:val="006531E4"/>
    <w:rsid w:val="00653A47"/>
    <w:rsid w:val="00653BBD"/>
    <w:rsid w:val="00653DFF"/>
    <w:rsid w:val="00654384"/>
    <w:rsid w:val="006543E4"/>
    <w:rsid w:val="00654506"/>
    <w:rsid w:val="0065451B"/>
    <w:rsid w:val="006545DE"/>
    <w:rsid w:val="00654824"/>
    <w:rsid w:val="00654AAA"/>
    <w:rsid w:val="006550EC"/>
    <w:rsid w:val="0065523F"/>
    <w:rsid w:val="00655475"/>
    <w:rsid w:val="0065587E"/>
    <w:rsid w:val="00655ACE"/>
    <w:rsid w:val="00655AF6"/>
    <w:rsid w:val="00655AF9"/>
    <w:rsid w:val="006561A6"/>
    <w:rsid w:val="0065636A"/>
    <w:rsid w:val="0065671C"/>
    <w:rsid w:val="006569B9"/>
    <w:rsid w:val="00656D04"/>
    <w:rsid w:val="006570B1"/>
    <w:rsid w:val="00660205"/>
    <w:rsid w:val="00660970"/>
    <w:rsid w:val="00660FB6"/>
    <w:rsid w:val="006615C7"/>
    <w:rsid w:val="0066217A"/>
    <w:rsid w:val="0066230E"/>
    <w:rsid w:val="006624D6"/>
    <w:rsid w:val="00662A0D"/>
    <w:rsid w:val="00662CF8"/>
    <w:rsid w:val="00662F8F"/>
    <w:rsid w:val="00663A42"/>
    <w:rsid w:val="00663AB2"/>
    <w:rsid w:val="00663B00"/>
    <w:rsid w:val="00664081"/>
    <w:rsid w:val="0066408F"/>
    <w:rsid w:val="006640BD"/>
    <w:rsid w:val="0066440C"/>
    <w:rsid w:val="00664A97"/>
    <w:rsid w:val="006651A1"/>
    <w:rsid w:val="00665324"/>
    <w:rsid w:val="0066541B"/>
    <w:rsid w:val="006655A5"/>
    <w:rsid w:val="00665603"/>
    <w:rsid w:val="0066660A"/>
    <w:rsid w:val="006667EB"/>
    <w:rsid w:val="00666B50"/>
    <w:rsid w:val="00667046"/>
    <w:rsid w:val="006675CD"/>
    <w:rsid w:val="00667AB4"/>
    <w:rsid w:val="00670A14"/>
    <w:rsid w:val="0067117A"/>
    <w:rsid w:val="00671BD6"/>
    <w:rsid w:val="00671DEF"/>
    <w:rsid w:val="0067209A"/>
    <w:rsid w:val="006720CC"/>
    <w:rsid w:val="00672F78"/>
    <w:rsid w:val="006734EE"/>
    <w:rsid w:val="0067375F"/>
    <w:rsid w:val="006737BC"/>
    <w:rsid w:val="00673825"/>
    <w:rsid w:val="006738C1"/>
    <w:rsid w:val="006741C2"/>
    <w:rsid w:val="006745A9"/>
    <w:rsid w:val="006745E0"/>
    <w:rsid w:val="006745FC"/>
    <w:rsid w:val="0067497D"/>
    <w:rsid w:val="00674E3E"/>
    <w:rsid w:val="00674F13"/>
    <w:rsid w:val="00674F9E"/>
    <w:rsid w:val="006752E5"/>
    <w:rsid w:val="00675BF7"/>
    <w:rsid w:val="00675CCE"/>
    <w:rsid w:val="0067604D"/>
    <w:rsid w:val="00676056"/>
    <w:rsid w:val="00676808"/>
    <w:rsid w:val="00676BFA"/>
    <w:rsid w:val="00676DAC"/>
    <w:rsid w:val="00677250"/>
    <w:rsid w:val="00677A2C"/>
    <w:rsid w:val="00677E6F"/>
    <w:rsid w:val="006800D4"/>
    <w:rsid w:val="0068015B"/>
    <w:rsid w:val="00681004"/>
    <w:rsid w:val="00681CC4"/>
    <w:rsid w:val="00682480"/>
    <w:rsid w:val="00682610"/>
    <w:rsid w:val="00683211"/>
    <w:rsid w:val="006836AF"/>
    <w:rsid w:val="006838A5"/>
    <w:rsid w:val="00683B74"/>
    <w:rsid w:val="00684550"/>
    <w:rsid w:val="00684A92"/>
    <w:rsid w:val="00684D9B"/>
    <w:rsid w:val="0068510A"/>
    <w:rsid w:val="006852B9"/>
    <w:rsid w:val="00685A14"/>
    <w:rsid w:val="00685FD7"/>
    <w:rsid w:val="0068656D"/>
    <w:rsid w:val="00686EDA"/>
    <w:rsid w:val="00687A78"/>
    <w:rsid w:val="00687F2D"/>
    <w:rsid w:val="00687FA4"/>
    <w:rsid w:val="00690005"/>
    <w:rsid w:val="0069047B"/>
    <w:rsid w:val="00691A6A"/>
    <w:rsid w:val="00691B18"/>
    <w:rsid w:val="00691F91"/>
    <w:rsid w:val="006921C9"/>
    <w:rsid w:val="00692ACD"/>
    <w:rsid w:val="00693065"/>
    <w:rsid w:val="00693350"/>
    <w:rsid w:val="00693664"/>
    <w:rsid w:val="00693886"/>
    <w:rsid w:val="00694336"/>
    <w:rsid w:val="00694648"/>
    <w:rsid w:val="006948D5"/>
    <w:rsid w:val="00694A0C"/>
    <w:rsid w:val="00694A25"/>
    <w:rsid w:val="006950C1"/>
    <w:rsid w:val="00695838"/>
    <w:rsid w:val="00695B40"/>
    <w:rsid w:val="00695DCC"/>
    <w:rsid w:val="0069659D"/>
    <w:rsid w:val="006969C0"/>
    <w:rsid w:val="00696BB7"/>
    <w:rsid w:val="00697556"/>
    <w:rsid w:val="006976FF"/>
    <w:rsid w:val="006A0E07"/>
    <w:rsid w:val="006A0E0F"/>
    <w:rsid w:val="006A0E83"/>
    <w:rsid w:val="006A1676"/>
    <w:rsid w:val="006A167B"/>
    <w:rsid w:val="006A17DB"/>
    <w:rsid w:val="006A194A"/>
    <w:rsid w:val="006A1BA6"/>
    <w:rsid w:val="006A2A6C"/>
    <w:rsid w:val="006A2DFB"/>
    <w:rsid w:val="006A3200"/>
    <w:rsid w:val="006A34A9"/>
    <w:rsid w:val="006A4108"/>
    <w:rsid w:val="006A4850"/>
    <w:rsid w:val="006A4FEE"/>
    <w:rsid w:val="006A533D"/>
    <w:rsid w:val="006A544C"/>
    <w:rsid w:val="006A58B2"/>
    <w:rsid w:val="006A64DF"/>
    <w:rsid w:val="006A6694"/>
    <w:rsid w:val="006A6B70"/>
    <w:rsid w:val="006A6EEE"/>
    <w:rsid w:val="006A6EF1"/>
    <w:rsid w:val="006A761A"/>
    <w:rsid w:val="006A78E7"/>
    <w:rsid w:val="006A78ED"/>
    <w:rsid w:val="006A7AFF"/>
    <w:rsid w:val="006A7F1C"/>
    <w:rsid w:val="006B0107"/>
    <w:rsid w:val="006B0253"/>
    <w:rsid w:val="006B0309"/>
    <w:rsid w:val="006B0A70"/>
    <w:rsid w:val="006B0B12"/>
    <w:rsid w:val="006B18B9"/>
    <w:rsid w:val="006B1A8C"/>
    <w:rsid w:val="006B1C63"/>
    <w:rsid w:val="006B1D50"/>
    <w:rsid w:val="006B2676"/>
    <w:rsid w:val="006B2D9C"/>
    <w:rsid w:val="006B3535"/>
    <w:rsid w:val="006B37CC"/>
    <w:rsid w:val="006B3A67"/>
    <w:rsid w:val="006B3D2E"/>
    <w:rsid w:val="006B3E6E"/>
    <w:rsid w:val="006B43E3"/>
    <w:rsid w:val="006B4647"/>
    <w:rsid w:val="006B4A60"/>
    <w:rsid w:val="006B4C2B"/>
    <w:rsid w:val="006B4CF1"/>
    <w:rsid w:val="006B59B0"/>
    <w:rsid w:val="006B5ACD"/>
    <w:rsid w:val="006B6194"/>
    <w:rsid w:val="006B65DC"/>
    <w:rsid w:val="006B6D47"/>
    <w:rsid w:val="006B7302"/>
    <w:rsid w:val="006B738B"/>
    <w:rsid w:val="006B7A9B"/>
    <w:rsid w:val="006B7D8C"/>
    <w:rsid w:val="006B7FA1"/>
    <w:rsid w:val="006C0220"/>
    <w:rsid w:val="006C0427"/>
    <w:rsid w:val="006C0887"/>
    <w:rsid w:val="006C0A3E"/>
    <w:rsid w:val="006C0B14"/>
    <w:rsid w:val="006C1397"/>
    <w:rsid w:val="006C16AC"/>
    <w:rsid w:val="006C1969"/>
    <w:rsid w:val="006C1F86"/>
    <w:rsid w:val="006C239B"/>
    <w:rsid w:val="006C33A6"/>
    <w:rsid w:val="006C3513"/>
    <w:rsid w:val="006C37AC"/>
    <w:rsid w:val="006C3C13"/>
    <w:rsid w:val="006C3D74"/>
    <w:rsid w:val="006C4549"/>
    <w:rsid w:val="006C466E"/>
    <w:rsid w:val="006C4A43"/>
    <w:rsid w:val="006C4A56"/>
    <w:rsid w:val="006C5113"/>
    <w:rsid w:val="006C560C"/>
    <w:rsid w:val="006C5AFE"/>
    <w:rsid w:val="006C6037"/>
    <w:rsid w:val="006C6ADE"/>
    <w:rsid w:val="006C7176"/>
    <w:rsid w:val="006C744E"/>
    <w:rsid w:val="006C74AB"/>
    <w:rsid w:val="006C7538"/>
    <w:rsid w:val="006C7602"/>
    <w:rsid w:val="006C76F0"/>
    <w:rsid w:val="006D031F"/>
    <w:rsid w:val="006D040E"/>
    <w:rsid w:val="006D0EAA"/>
    <w:rsid w:val="006D1AF8"/>
    <w:rsid w:val="006D1B8F"/>
    <w:rsid w:val="006D25E9"/>
    <w:rsid w:val="006D2854"/>
    <w:rsid w:val="006D2D00"/>
    <w:rsid w:val="006D3039"/>
    <w:rsid w:val="006D335E"/>
    <w:rsid w:val="006D37A2"/>
    <w:rsid w:val="006D3B99"/>
    <w:rsid w:val="006D3E5A"/>
    <w:rsid w:val="006D3E74"/>
    <w:rsid w:val="006D4807"/>
    <w:rsid w:val="006D49FB"/>
    <w:rsid w:val="006D4C2D"/>
    <w:rsid w:val="006D4FF2"/>
    <w:rsid w:val="006D5BA2"/>
    <w:rsid w:val="006D60AB"/>
    <w:rsid w:val="006D617B"/>
    <w:rsid w:val="006D67FE"/>
    <w:rsid w:val="006D693C"/>
    <w:rsid w:val="006D69FF"/>
    <w:rsid w:val="006D6CA1"/>
    <w:rsid w:val="006D7B48"/>
    <w:rsid w:val="006D7BBA"/>
    <w:rsid w:val="006E088E"/>
    <w:rsid w:val="006E0B08"/>
    <w:rsid w:val="006E1410"/>
    <w:rsid w:val="006E19C0"/>
    <w:rsid w:val="006E1ED9"/>
    <w:rsid w:val="006E2099"/>
    <w:rsid w:val="006E23B4"/>
    <w:rsid w:val="006E26D3"/>
    <w:rsid w:val="006E27D5"/>
    <w:rsid w:val="006E3735"/>
    <w:rsid w:val="006E383A"/>
    <w:rsid w:val="006E3BA4"/>
    <w:rsid w:val="006E3C79"/>
    <w:rsid w:val="006E3D04"/>
    <w:rsid w:val="006E410B"/>
    <w:rsid w:val="006E43FA"/>
    <w:rsid w:val="006E47DA"/>
    <w:rsid w:val="006E488C"/>
    <w:rsid w:val="006E4E4A"/>
    <w:rsid w:val="006E50FE"/>
    <w:rsid w:val="006E5302"/>
    <w:rsid w:val="006E556B"/>
    <w:rsid w:val="006E5C0C"/>
    <w:rsid w:val="006E640F"/>
    <w:rsid w:val="006E660F"/>
    <w:rsid w:val="006E673F"/>
    <w:rsid w:val="006E6980"/>
    <w:rsid w:val="006E6C2A"/>
    <w:rsid w:val="006E6CDD"/>
    <w:rsid w:val="006E6DD2"/>
    <w:rsid w:val="006E7153"/>
    <w:rsid w:val="006E7D19"/>
    <w:rsid w:val="006F00BB"/>
    <w:rsid w:val="006F060E"/>
    <w:rsid w:val="006F0AFE"/>
    <w:rsid w:val="006F0D8B"/>
    <w:rsid w:val="006F0EFA"/>
    <w:rsid w:val="006F112E"/>
    <w:rsid w:val="006F1333"/>
    <w:rsid w:val="006F1AB0"/>
    <w:rsid w:val="006F21C2"/>
    <w:rsid w:val="006F2958"/>
    <w:rsid w:val="006F2EC8"/>
    <w:rsid w:val="006F3041"/>
    <w:rsid w:val="006F36F1"/>
    <w:rsid w:val="006F3819"/>
    <w:rsid w:val="006F3F59"/>
    <w:rsid w:val="006F4010"/>
    <w:rsid w:val="006F408A"/>
    <w:rsid w:val="006F41EA"/>
    <w:rsid w:val="006F4366"/>
    <w:rsid w:val="006F450A"/>
    <w:rsid w:val="006F451A"/>
    <w:rsid w:val="006F4ACF"/>
    <w:rsid w:val="006F4F5B"/>
    <w:rsid w:val="006F52AB"/>
    <w:rsid w:val="006F57A4"/>
    <w:rsid w:val="006F5C45"/>
    <w:rsid w:val="006F5CEE"/>
    <w:rsid w:val="006F6D95"/>
    <w:rsid w:val="006F75B2"/>
    <w:rsid w:val="006F76F2"/>
    <w:rsid w:val="006F78EA"/>
    <w:rsid w:val="006F7B9A"/>
    <w:rsid w:val="00700756"/>
    <w:rsid w:val="007008E6"/>
    <w:rsid w:val="00700CB0"/>
    <w:rsid w:val="00700E24"/>
    <w:rsid w:val="0070112E"/>
    <w:rsid w:val="007016E4"/>
    <w:rsid w:val="00701BD3"/>
    <w:rsid w:val="00701F82"/>
    <w:rsid w:val="007026C2"/>
    <w:rsid w:val="0070294A"/>
    <w:rsid w:val="00702A0A"/>
    <w:rsid w:val="00702D83"/>
    <w:rsid w:val="00702D8E"/>
    <w:rsid w:val="00703431"/>
    <w:rsid w:val="007035AE"/>
    <w:rsid w:val="007035ED"/>
    <w:rsid w:val="00703C53"/>
    <w:rsid w:val="00704019"/>
    <w:rsid w:val="0070410C"/>
    <w:rsid w:val="007042A6"/>
    <w:rsid w:val="00704356"/>
    <w:rsid w:val="007043DE"/>
    <w:rsid w:val="00704A73"/>
    <w:rsid w:val="007054B9"/>
    <w:rsid w:val="007056A6"/>
    <w:rsid w:val="0070631C"/>
    <w:rsid w:val="0070639A"/>
    <w:rsid w:val="007066E5"/>
    <w:rsid w:val="00706A87"/>
    <w:rsid w:val="00706F13"/>
    <w:rsid w:val="00706F43"/>
    <w:rsid w:val="007072E8"/>
    <w:rsid w:val="007077F6"/>
    <w:rsid w:val="007079BA"/>
    <w:rsid w:val="00707D2E"/>
    <w:rsid w:val="007107DD"/>
    <w:rsid w:val="0071083C"/>
    <w:rsid w:val="00710CCA"/>
    <w:rsid w:val="00711376"/>
    <w:rsid w:val="00711901"/>
    <w:rsid w:val="00711971"/>
    <w:rsid w:val="00711D13"/>
    <w:rsid w:val="007123D3"/>
    <w:rsid w:val="007124A6"/>
    <w:rsid w:val="007124F4"/>
    <w:rsid w:val="00712563"/>
    <w:rsid w:val="00712A72"/>
    <w:rsid w:val="007132D1"/>
    <w:rsid w:val="007132ED"/>
    <w:rsid w:val="007135EE"/>
    <w:rsid w:val="0071379C"/>
    <w:rsid w:val="0071405F"/>
    <w:rsid w:val="00714156"/>
    <w:rsid w:val="00714391"/>
    <w:rsid w:val="007145CC"/>
    <w:rsid w:val="00714731"/>
    <w:rsid w:val="00715039"/>
    <w:rsid w:val="0071534A"/>
    <w:rsid w:val="007158ED"/>
    <w:rsid w:val="0071595B"/>
    <w:rsid w:val="0071618D"/>
    <w:rsid w:val="007162FF"/>
    <w:rsid w:val="00716379"/>
    <w:rsid w:val="00716815"/>
    <w:rsid w:val="00716CF8"/>
    <w:rsid w:val="007171BE"/>
    <w:rsid w:val="0071768B"/>
    <w:rsid w:val="00717716"/>
    <w:rsid w:val="0071781A"/>
    <w:rsid w:val="00717A21"/>
    <w:rsid w:val="00717A5A"/>
    <w:rsid w:val="00720220"/>
    <w:rsid w:val="00720256"/>
    <w:rsid w:val="007203A8"/>
    <w:rsid w:val="00720850"/>
    <w:rsid w:val="007208E1"/>
    <w:rsid w:val="007213EF"/>
    <w:rsid w:val="007214EE"/>
    <w:rsid w:val="00721FA3"/>
    <w:rsid w:val="007226E6"/>
    <w:rsid w:val="0072273D"/>
    <w:rsid w:val="0072287F"/>
    <w:rsid w:val="00722914"/>
    <w:rsid w:val="00722980"/>
    <w:rsid w:val="00722C23"/>
    <w:rsid w:val="00722E3A"/>
    <w:rsid w:val="00723CFC"/>
    <w:rsid w:val="007240D2"/>
    <w:rsid w:val="00724253"/>
    <w:rsid w:val="00724BBB"/>
    <w:rsid w:val="00725064"/>
    <w:rsid w:val="00725245"/>
    <w:rsid w:val="0072552E"/>
    <w:rsid w:val="007257C2"/>
    <w:rsid w:val="00725BCB"/>
    <w:rsid w:val="00725E6A"/>
    <w:rsid w:val="00725FA4"/>
    <w:rsid w:val="00726113"/>
    <w:rsid w:val="00726AB4"/>
    <w:rsid w:val="007270B3"/>
    <w:rsid w:val="00727345"/>
    <w:rsid w:val="007273A4"/>
    <w:rsid w:val="0072793F"/>
    <w:rsid w:val="00727AD4"/>
    <w:rsid w:val="00727FC9"/>
    <w:rsid w:val="00730BCF"/>
    <w:rsid w:val="00730C42"/>
    <w:rsid w:val="00730EDC"/>
    <w:rsid w:val="00730FFA"/>
    <w:rsid w:val="0073137B"/>
    <w:rsid w:val="0073199E"/>
    <w:rsid w:val="00731F7A"/>
    <w:rsid w:val="007321EB"/>
    <w:rsid w:val="00732334"/>
    <w:rsid w:val="007327AB"/>
    <w:rsid w:val="00732A73"/>
    <w:rsid w:val="00732BDF"/>
    <w:rsid w:val="00733461"/>
    <w:rsid w:val="00733C0C"/>
    <w:rsid w:val="00734705"/>
    <w:rsid w:val="00734D55"/>
    <w:rsid w:val="00735742"/>
    <w:rsid w:val="00735E3E"/>
    <w:rsid w:val="007361CC"/>
    <w:rsid w:val="007363BC"/>
    <w:rsid w:val="00736E7C"/>
    <w:rsid w:val="0073753A"/>
    <w:rsid w:val="007376B0"/>
    <w:rsid w:val="00737A9D"/>
    <w:rsid w:val="00737C02"/>
    <w:rsid w:val="00737CF0"/>
    <w:rsid w:val="00737D4B"/>
    <w:rsid w:val="00740005"/>
    <w:rsid w:val="007400C0"/>
    <w:rsid w:val="007403E5"/>
    <w:rsid w:val="00740446"/>
    <w:rsid w:val="0074073F"/>
    <w:rsid w:val="00740904"/>
    <w:rsid w:val="00740EE9"/>
    <w:rsid w:val="007411B0"/>
    <w:rsid w:val="007413AB"/>
    <w:rsid w:val="0074172F"/>
    <w:rsid w:val="00741FEF"/>
    <w:rsid w:val="0074206B"/>
    <w:rsid w:val="0074208F"/>
    <w:rsid w:val="00742294"/>
    <w:rsid w:val="007422FE"/>
    <w:rsid w:val="007427E8"/>
    <w:rsid w:val="00742901"/>
    <w:rsid w:val="0074299B"/>
    <w:rsid w:val="007438A9"/>
    <w:rsid w:val="00744159"/>
    <w:rsid w:val="0074415D"/>
    <w:rsid w:val="00744505"/>
    <w:rsid w:val="0074478E"/>
    <w:rsid w:val="0074491E"/>
    <w:rsid w:val="00744F50"/>
    <w:rsid w:val="00745BEF"/>
    <w:rsid w:val="00745D91"/>
    <w:rsid w:val="007465B6"/>
    <w:rsid w:val="00746BC5"/>
    <w:rsid w:val="00746D77"/>
    <w:rsid w:val="00747397"/>
    <w:rsid w:val="00747EA3"/>
    <w:rsid w:val="007504FD"/>
    <w:rsid w:val="0075081E"/>
    <w:rsid w:val="00751643"/>
    <w:rsid w:val="007516A1"/>
    <w:rsid w:val="00751A7D"/>
    <w:rsid w:val="00752293"/>
    <w:rsid w:val="007525DB"/>
    <w:rsid w:val="0075266B"/>
    <w:rsid w:val="00752836"/>
    <w:rsid w:val="00752A23"/>
    <w:rsid w:val="00753243"/>
    <w:rsid w:val="007535D9"/>
    <w:rsid w:val="007538AA"/>
    <w:rsid w:val="00753BF0"/>
    <w:rsid w:val="00753CD7"/>
    <w:rsid w:val="00754216"/>
    <w:rsid w:val="00754228"/>
    <w:rsid w:val="007542F5"/>
    <w:rsid w:val="0075447B"/>
    <w:rsid w:val="0075519C"/>
    <w:rsid w:val="007551AD"/>
    <w:rsid w:val="00755329"/>
    <w:rsid w:val="0075584F"/>
    <w:rsid w:val="007559B3"/>
    <w:rsid w:val="00756603"/>
    <w:rsid w:val="00756B0A"/>
    <w:rsid w:val="00756CA1"/>
    <w:rsid w:val="00756CB3"/>
    <w:rsid w:val="00756F0F"/>
    <w:rsid w:val="007570B9"/>
    <w:rsid w:val="00757344"/>
    <w:rsid w:val="00757435"/>
    <w:rsid w:val="007579F5"/>
    <w:rsid w:val="00757E88"/>
    <w:rsid w:val="00760D05"/>
    <w:rsid w:val="00760E81"/>
    <w:rsid w:val="00760FF4"/>
    <w:rsid w:val="00761B74"/>
    <w:rsid w:val="00761DF8"/>
    <w:rsid w:val="007622CF"/>
    <w:rsid w:val="00762371"/>
    <w:rsid w:val="0076247A"/>
    <w:rsid w:val="007627B1"/>
    <w:rsid w:val="00762B69"/>
    <w:rsid w:val="007637A8"/>
    <w:rsid w:val="00763B24"/>
    <w:rsid w:val="00763EE3"/>
    <w:rsid w:val="00764100"/>
    <w:rsid w:val="0076424D"/>
    <w:rsid w:val="00764D38"/>
    <w:rsid w:val="00764EE7"/>
    <w:rsid w:val="007652D2"/>
    <w:rsid w:val="00765301"/>
    <w:rsid w:val="007654BB"/>
    <w:rsid w:val="007659D0"/>
    <w:rsid w:val="00765B91"/>
    <w:rsid w:val="00765FD6"/>
    <w:rsid w:val="007663F6"/>
    <w:rsid w:val="007667E6"/>
    <w:rsid w:val="00766D49"/>
    <w:rsid w:val="00766E24"/>
    <w:rsid w:val="0076724A"/>
    <w:rsid w:val="00767258"/>
    <w:rsid w:val="00767761"/>
    <w:rsid w:val="007678C0"/>
    <w:rsid w:val="00767D78"/>
    <w:rsid w:val="00767EB8"/>
    <w:rsid w:val="00767F75"/>
    <w:rsid w:val="007702ED"/>
    <w:rsid w:val="00770353"/>
    <w:rsid w:val="00770626"/>
    <w:rsid w:val="0077066F"/>
    <w:rsid w:val="007706D5"/>
    <w:rsid w:val="007709E8"/>
    <w:rsid w:val="00770D47"/>
    <w:rsid w:val="00770DA7"/>
    <w:rsid w:val="00771D1E"/>
    <w:rsid w:val="00771DB1"/>
    <w:rsid w:val="0077286D"/>
    <w:rsid w:val="007732C5"/>
    <w:rsid w:val="0077392D"/>
    <w:rsid w:val="00773B10"/>
    <w:rsid w:val="00773FF0"/>
    <w:rsid w:val="0077427E"/>
    <w:rsid w:val="00774B11"/>
    <w:rsid w:val="00774B33"/>
    <w:rsid w:val="00774DD2"/>
    <w:rsid w:val="00774EC6"/>
    <w:rsid w:val="007754B9"/>
    <w:rsid w:val="0077558A"/>
    <w:rsid w:val="00775964"/>
    <w:rsid w:val="00775D88"/>
    <w:rsid w:val="0077606E"/>
    <w:rsid w:val="007762C1"/>
    <w:rsid w:val="007763C6"/>
    <w:rsid w:val="007765FE"/>
    <w:rsid w:val="00777158"/>
    <w:rsid w:val="00777AB8"/>
    <w:rsid w:val="00777AF8"/>
    <w:rsid w:val="0078047A"/>
    <w:rsid w:val="00780624"/>
    <w:rsid w:val="007806A4"/>
    <w:rsid w:val="0078134F"/>
    <w:rsid w:val="007814F8"/>
    <w:rsid w:val="0078229F"/>
    <w:rsid w:val="007823EC"/>
    <w:rsid w:val="007824BA"/>
    <w:rsid w:val="00782506"/>
    <w:rsid w:val="00782857"/>
    <w:rsid w:val="00782EF7"/>
    <w:rsid w:val="00782F70"/>
    <w:rsid w:val="0078339B"/>
    <w:rsid w:val="00783DF6"/>
    <w:rsid w:val="00783F29"/>
    <w:rsid w:val="007844C2"/>
    <w:rsid w:val="007848BB"/>
    <w:rsid w:val="00785233"/>
    <w:rsid w:val="0078558E"/>
    <w:rsid w:val="007856EF"/>
    <w:rsid w:val="00785A05"/>
    <w:rsid w:val="00785B77"/>
    <w:rsid w:val="00785B8B"/>
    <w:rsid w:val="00785EB5"/>
    <w:rsid w:val="00786243"/>
    <w:rsid w:val="00786587"/>
    <w:rsid w:val="00786889"/>
    <w:rsid w:val="007869E8"/>
    <w:rsid w:val="00786BE6"/>
    <w:rsid w:val="00787796"/>
    <w:rsid w:val="00790299"/>
    <w:rsid w:val="007903DC"/>
    <w:rsid w:val="00790632"/>
    <w:rsid w:val="00790648"/>
    <w:rsid w:val="007906A1"/>
    <w:rsid w:val="007906AC"/>
    <w:rsid w:val="007909D3"/>
    <w:rsid w:val="00791586"/>
    <w:rsid w:val="00791A49"/>
    <w:rsid w:val="00791EC5"/>
    <w:rsid w:val="007920D0"/>
    <w:rsid w:val="007923D6"/>
    <w:rsid w:val="0079244D"/>
    <w:rsid w:val="00792784"/>
    <w:rsid w:val="0079398A"/>
    <w:rsid w:val="00794391"/>
    <w:rsid w:val="007946A2"/>
    <w:rsid w:val="007949F4"/>
    <w:rsid w:val="00794AB1"/>
    <w:rsid w:val="00794E2E"/>
    <w:rsid w:val="00794EEA"/>
    <w:rsid w:val="0079535D"/>
    <w:rsid w:val="007955C9"/>
    <w:rsid w:val="0079561E"/>
    <w:rsid w:val="00795BFB"/>
    <w:rsid w:val="00795C4F"/>
    <w:rsid w:val="007963B5"/>
    <w:rsid w:val="0079668F"/>
    <w:rsid w:val="00796DC2"/>
    <w:rsid w:val="00797127"/>
    <w:rsid w:val="00797281"/>
    <w:rsid w:val="0079765F"/>
    <w:rsid w:val="0079768B"/>
    <w:rsid w:val="00797728"/>
    <w:rsid w:val="0079776F"/>
    <w:rsid w:val="0079778F"/>
    <w:rsid w:val="007977CE"/>
    <w:rsid w:val="00797B9E"/>
    <w:rsid w:val="00797D12"/>
    <w:rsid w:val="007A02B4"/>
    <w:rsid w:val="007A041D"/>
    <w:rsid w:val="007A0AE7"/>
    <w:rsid w:val="007A188D"/>
    <w:rsid w:val="007A1A09"/>
    <w:rsid w:val="007A1AC5"/>
    <w:rsid w:val="007A20CC"/>
    <w:rsid w:val="007A2A20"/>
    <w:rsid w:val="007A2F70"/>
    <w:rsid w:val="007A34E7"/>
    <w:rsid w:val="007A3A19"/>
    <w:rsid w:val="007A3C7B"/>
    <w:rsid w:val="007A40EE"/>
    <w:rsid w:val="007A42D5"/>
    <w:rsid w:val="007A4326"/>
    <w:rsid w:val="007A477F"/>
    <w:rsid w:val="007A4F2C"/>
    <w:rsid w:val="007A4F76"/>
    <w:rsid w:val="007A5B3F"/>
    <w:rsid w:val="007A5C59"/>
    <w:rsid w:val="007A6012"/>
    <w:rsid w:val="007A68C4"/>
    <w:rsid w:val="007A6A73"/>
    <w:rsid w:val="007A6E74"/>
    <w:rsid w:val="007A6E94"/>
    <w:rsid w:val="007A717B"/>
    <w:rsid w:val="007A7348"/>
    <w:rsid w:val="007A7489"/>
    <w:rsid w:val="007A7C81"/>
    <w:rsid w:val="007A7CA3"/>
    <w:rsid w:val="007B0209"/>
    <w:rsid w:val="007B0621"/>
    <w:rsid w:val="007B0B91"/>
    <w:rsid w:val="007B0D2C"/>
    <w:rsid w:val="007B1071"/>
    <w:rsid w:val="007B13D9"/>
    <w:rsid w:val="007B1BD8"/>
    <w:rsid w:val="007B1C3D"/>
    <w:rsid w:val="007B1DDB"/>
    <w:rsid w:val="007B2760"/>
    <w:rsid w:val="007B28D5"/>
    <w:rsid w:val="007B29A9"/>
    <w:rsid w:val="007B2CF6"/>
    <w:rsid w:val="007B2CF8"/>
    <w:rsid w:val="007B33F5"/>
    <w:rsid w:val="007B35C5"/>
    <w:rsid w:val="007B379D"/>
    <w:rsid w:val="007B3A12"/>
    <w:rsid w:val="007B3A7D"/>
    <w:rsid w:val="007B3D18"/>
    <w:rsid w:val="007B3F2E"/>
    <w:rsid w:val="007B4656"/>
    <w:rsid w:val="007B47AB"/>
    <w:rsid w:val="007B481E"/>
    <w:rsid w:val="007B4F34"/>
    <w:rsid w:val="007B51D6"/>
    <w:rsid w:val="007B5238"/>
    <w:rsid w:val="007B5249"/>
    <w:rsid w:val="007B52A2"/>
    <w:rsid w:val="007B629B"/>
    <w:rsid w:val="007B62E1"/>
    <w:rsid w:val="007B6855"/>
    <w:rsid w:val="007B6B72"/>
    <w:rsid w:val="007B6D27"/>
    <w:rsid w:val="007B6E6E"/>
    <w:rsid w:val="007B739D"/>
    <w:rsid w:val="007B7525"/>
    <w:rsid w:val="007B7635"/>
    <w:rsid w:val="007B7E2F"/>
    <w:rsid w:val="007C0060"/>
    <w:rsid w:val="007C007F"/>
    <w:rsid w:val="007C027B"/>
    <w:rsid w:val="007C07EF"/>
    <w:rsid w:val="007C0C6C"/>
    <w:rsid w:val="007C0C9D"/>
    <w:rsid w:val="007C0DF8"/>
    <w:rsid w:val="007C16C8"/>
    <w:rsid w:val="007C1EF5"/>
    <w:rsid w:val="007C1F44"/>
    <w:rsid w:val="007C2144"/>
    <w:rsid w:val="007C26AC"/>
    <w:rsid w:val="007C299A"/>
    <w:rsid w:val="007C3190"/>
    <w:rsid w:val="007C3525"/>
    <w:rsid w:val="007C3557"/>
    <w:rsid w:val="007C3C11"/>
    <w:rsid w:val="007C42DD"/>
    <w:rsid w:val="007C4463"/>
    <w:rsid w:val="007C4B27"/>
    <w:rsid w:val="007C5093"/>
    <w:rsid w:val="007C572C"/>
    <w:rsid w:val="007C5816"/>
    <w:rsid w:val="007C5CDC"/>
    <w:rsid w:val="007C5D9A"/>
    <w:rsid w:val="007C641E"/>
    <w:rsid w:val="007C6943"/>
    <w:rsid w:val="007C69AB"/>
    <w:rsid w:val="007C73E0"/>
    <w:rsid w:val="007C741E"/>
    <w:rsid w:val="007C766E"/>
    <w:rsid w:val="007C7B0A"/>
    <w:rsid w:val="007C7B1A"/>
    <w:rsid w:val="007C7F45"/>
    <w:rsid w:val="007D072E"/>
    <w:rsid w:val="007D0878"/>
    <w:rsid w:val="007D087A"/>
    <w:rsid w:val="007D0FC8"/>
    <w:rsid w:val="007D1F24"/>
    <w:rsid w:val="007D1FFD"/>
    <w:rsid w:val="007D22B7"/>
    <w:rsid w:val="007D244B"/>
    <w:rsid w:val="007D262F"/>
    <w:rsid w:val="007D26BC"/>
    <w:rsid w:val="007D2DB2"/>
    <w:rsid w:val="007D32B7"/>
    <w:rsid w:val="007D34CE"/>
    <w:rsid w:val="007D37AF"/>
    <w:rsid w:val="007D38E1"/>
    <w:rsid w:val="007D3D56"/>
    <w:rsid w:val="007D3E16"/>
    <w:rsid w:val="007D3F7D"/>
    <w:rsid w:val="007D47F7"/>
    <w:rsid w:val="007D4C10"/>
    <w:rsid w:val="007D4D5B"/>
    <w:rsid w:val="007D4F53"/>
    <w:rsid w:val="007D53D8"/>
    <w:rsid w:val="007D5EC7"/>
    <w:rsid w:val="007D62AA"/>
    <w:rsid w:val="007D66EF"/>
    <w:rsid w:val="007D67A3"/>
    <w:rsid w:val="007D70B1"/>
    <w:rsid w:val="007D769D"/>
    <w:rsid w:val="007D7898"/>
    <w:rsid w:val="007D7C54"/>
    <w:rsid w:val="007D7C92"/>
    <w:rsid w:val="007E0636"/>
    <w:rsid w:val="007E0EB8"/>
    <w:rsid w:val="007E11BD"/>
    <w:rsid w:val="007E14A9"/>
    <w:rsid w:val="007E163C"/>
    <w:rsid w:val="007E194B"/>
    <w:rsid w:val="007E1E56"/>
    <w:rsid w:val="007E2435"/>
    <w:rsid w:val="007E266E"/>
    <w:rsid w:val="007E28DF"/>
    <w:rsid w:val="007E30D2"/>
    <w:rsid w:val="007E333D"/>
    <w:rsid w:val="007E385B"/>
    <w:rsid w:val="007E38E5"/>
    <w:rsid w:val="007E3BFE"/>
    <w:rsid w:val="007E40EB"/>
    <w:rsid w:val="007E4EDE"/>
    <w:rsid w:val="007E52FB"/>
    <w:rsid w:val="007E53C6"/>
    <w:rsid w:val="007E55FC"/>
    <w:rsid w:val="007E6021"/>
    <w:rsid w:val="007E6379"/>
    <w:rsid w:val="007E6B1E"/>
    <w:rsid w:val="007E6F59"/>
    <w:rsid w:val="007E6FC3"/>
    <w:rsid w:val="007E7117"/>
    <w:rsid w:val="007E7233"/>
    <w:rsid w:val="007F0128"/>
    <w:rsid w:val="007F0155"/>
    <w:rsid w:val="007F0896"/>
    <w:rsid w:val="007F08FD"/>
    <w:rsid w:val="007F0952"/>
    <w:rsid w:val="007F0A33"/>
    <w:rsid w:val="007F0D5E"/>
    <w:rsid w:val="007F104E"/>
    <w:rsid w:val="007F1303"/>
    <w:rsid w:val="007F13CE"/>
    <w:rsid w:val="007F1BF0"/>
    <w:rsid w:val="007F25CE"/>
    <w:rsid w:val="007F28DF"/>
    <w:rsid w:val="007F2DDA"/>
    <w:rsid w:val="007F2F14"/>
    <w:rsid w:val="007F3552"/>
    <w:rsid w:val="007F3E1D"/>
    <w:rsid w:val="007F3E39"/>
    <w:rsid w:val="007F440A"/>
    <w:rsid w:val="007F45EB"/>
    <w:rsid w:val="007F4617"/>
    <w:rsid w:val="007F46D7"/>
    <w:rsid w:val="007F4CC8"/>
    <w:rsid w:val="007F54C2"/>
    <w:rsid w:val="007F5F79"/>
    <w:rsid w:val="007F63ED"/>
    <w:rsid w:val="007F647F"/>
    <w:rsid w:val="007F6880"/>
    <w:rsid w:val="007F7581"/>
    <w:rsid w:val="007F77A3"/>
    <w:rsid w:val="007F77D7"/>
    <w:rsid w:val="007F78B7"/>
    <w:rsid w:val="007F7A1E"/>
    <w:rsid w:val="0080061F"/>
    <w:rsid w:val="00800A88"/>
    <w:rsid w:val="00800F93"/>
    <w:rsid w:val="00801406"/>
    <w:rsid w:val="0080176A"/>
    <w:rsid w:val="00801875"/>
    <w:rsid w:val="00801BD6"/>
    <w:rsid w:val="00801E2E"/>
    <w:rsid w:val="008022B0"/>
    <w:rsid w:val="008022CC"/>
    <w:rsid w:val="008023B7"/>
    <w:rsid w:val="0080242B"/>
    <w:rsid w:val="008025A6"/>
    <w:rsid w:val="00802CFD"/>
    <w:rsid w:val="00802EEE"/>
    <w:rsid w:val="00802F2A"/>
    <w:rsid w:val="008030B3"/>
    <w:rsid w:val="00803772"/>
    <w:rsid w:val="00803784"/>
    <w:rsid w:val="00803863"/>
    <w:rsid w:val="00803E3F"/>
    <w:rsid w:val="008040F6"/>
    <w:rsid w:val="0080425B"/>
    <w:rsid w:val="0080430E"/>
    <w:rsid w:val="00804337"/>
    <w:rsid w:val="008043FB"/>
    <w:rsid w:val="00804F09"/>
    <w:rsid w:val="008055AA"/>
    <w:rsid w:val="00805711"/>
    <w:rsid w:val="00805D48"/>
    <w:rsid w:val="00805DAF"/>
    <w:rsid w:val="00806628"/>
    <w:rsid w:val="00806C01"/>
    <w:rsid w:val="00806D64"/>
    <w:rsid w:val="00807520"/>
    <w:rsid w:val="00807FD9"/>
    <w:rsid w:val="008100FD"/>
    <w:rsid w:val="008101A0"/>
    <w:rsid w:val="008105BD"/>
    <w:rsid w:val="0081076A"/>
    <w:rsid w:val="008107F3"/>
    <w:rsid w:val="00810A70"/>
    <w:rsid w:val="00810CF6"/>
    <w:rsid w:val="00810FB4"/>
    <w:rsid w:val="008110ED"/>
    <w:rsid w:val="00811134"/>
    <w:rsid w:val="008119AD"/>
    <w:rsid w:val="00811E5B"/>
    <w:rsid w:val="0081235E"/>
    <w:rsid w:val="008124C9"/>
    <w:rsid w:val="0081250B"/>
    <w:rsid w:val="00812790"/>
    <w:rsid w:val="008127EE"/>
    <w:rsid w:val="00812CDC"/>
    <w:rsid w:val="00812E0E"/>
    <w:rsid w:val="00812EEE"/>
    <w:rsid w:val="00813912"/>
    <w:rsid w:val="008139CF"/>
    <w:rsid w:val="00813CA0"/>
    <w:rsid w:val="0081422C"/>
    <w:rsid w:val="008143ED"/>
    <w:rsid w:val="008148CC"/>
    <w:rsid w:val="00814986"/>
    <w:rsid w:val="00814CCF"/>
    <w:rsid w:val="00814E8F"/>
    <w:rsid w:val="008150A9"/>
    <w:rsid w:val="008150F3"/>
    <w:rsid w:val="008152AD"/>
    <w:rsid w:val="00815448"/>
    <w:rsid w:val="008155E1"/>
    <w:rsid w:val="00815657"/>
    <w:rsid w:val="008158C5"/>
    <w:rsid w:val="00815958"/>
    <w:rsid w:val="00815FE4"/>
    <w:rsid w:val="00816184"/>
    <w:rsid w:val="0081667A"/>
    <w:rsid w:val="008166B6"/>
    <w:rsid w:val="008166C1"/>
    <w:rsid w:val="008170A7"/>
    <w:rsid w:val="008170B0"/>
    <w:rsid w:val="0081760B"/>
    <w:rsid w:val="00817E74"/>
    <w:rsid w:val="00817EA6"/>
    <w:rsid w:val="0082065D"/>
    <w:rsid w:val="00820A1B"/>
    <w:rsid w:val="00820A9F"/>
    <w:rsid w:val="00820D27"/>
    <w:rsid w:val="008211A4"/>
    <w:rsid w:val="008214FC"/>
    <w:rsid w:val="0082177A"/>
    <w:rsid w:val="0082197D"/>
    <w:rsid w:val="008219BD"/>
    <w:rsid w:val="00821B9B"/>
    <w:rsid w:val="00821C0C"/>
    <w:rsid w:val="00821CF4"/>
    <w:rsid w:val="00821E2D"/>
    <w:rsid w:val="00821E70"/>
    <w:rsid w:val="0082212F"/>
    <w:rsid w:val="00822C84"/>
    <w:rsid w:val="00823115"/>
    <w:rsid w:val="00823202"/>
    <w:rsid w:val="008234D5"/>
    <w:rsid w:val="0082356C"/>
    <w:rsid w:val="008237E5"/>
    <w:rsid w:val="008241EF"/>
    <w:rsid w:val="00824426"/>
    <w:rsid w:val="00825238"/>
    <w:rsid w:val="008259E5"/>
    <w:rsid w:val="00825FF2"/>
    <w:rsid w:val="008268C2"/>
    <w:rsid w:val="00826AB1"/>
    <w:rsid w:val="008275EF"/>
    <w:rsid w:val="008300AA"/>
    <w:rsid w:val="0083040D"/>
    <w:rsid w:val="00830A93"/>
    <w:rsid w:val="00830EE1"/>
    <w:rsid w:val="00830F5D"/>
    <w:rsid w:val="0083103B"/>
    <w:rsid w:val="0083112D"/>
    <w:rsid w:val="00831582"/>
    <w:rsid w:val="0083160E"/>
    <w:rsid w:val="00831721"/>
    <w:rsid w:val="00832091"/>
    <w:rsid w:val="0083234F"/>
    <w:rsid w:val="00832528"/>
    <w:rsid w:val="0083258F"/>
    <w:rsid w:val="00832E51"/>
    <w:rsid w:val="0083336C"/>
    <w:rsid w:val="00833BB4"/>
    <w:rsid w:val="008342C7"/>
    <w:rsid w:val="0083443D"/>
    <w:rsid w:val="00834E8E"/>
    <w:rsid w:val="0083507F"/>
    <w:rsid w:val="008352A8"/>
    <w:rsid w:val="00835647"/>
    <w:rsid w:val="0083566D"/>
    <w:rsid w:val="00835BF5"/>
    <w:rsid w:val="00835F1E"/>
    <w:rsid w:val="008361AF"/>
    <w:rsid w:val="00836345"/>
    <w:rsid w:val="008365D2"/>
    <w:rsid w:val="00836826"/>
    <w:rsid w:val="00836DF7"/>
    <w:rsid w:val="00836F24"/>
    <w:rsid w:val="00837073"/>
    <w:rsid w:val="00837AA3"/>
    <w:rsid w:val="00840105"/>
    <w:rsid w:val="008406DD"/>
    <w:rsid w:val="0084078B"/>
    <w:rsid w:val="008407C6"/>
    <w:rsid w:val="00840AB8"/>
    <w:rsid w:val="00840AE5"/>
    <w:rsid w:val="00840F1B"/>
    <w:rsid w:val="00841015"/>
    <w:rsid w:val="00841242"/>
    <w:rsid w:val="00841309"/>
    <w:rsid w:val="008415FC"/>
    <w:rsid w:val="008417B3"/>
    <w:rsid w:val="00841B36"/>
    <w:rsid w:val="00841F49"/>
    <w:rsid w:val="00842297"/>
    <w:rsid w:val="008424E3"/>
    <w:rsid w:val="008426D7"/>
    <w:rsid w:val="00842AFF"/>
    <w:rsid w:val="00842E0B"/>
    <w:rsid w:val="00843291"/>
    <w:rsid w:val="0084336E"/>
    <w:rsid w:val="00843640"/>
    <w:rsid w:val="008436CB"/>
    <w:rsid w:val="00843961"/>
    <w:rsid w:val="00843A47"/>
    <w:rsid w:val="00843AE5"/>
    <w:rsid w:val="00844062"/>
    <w:rsid w:val="00844369"/>
    <w:rsid w:val="008445EA"/>
    <w:rsid w:val="0084493E"/>
    <w:rsid w:val="008450E1"/>
    <w:rsid w:val="00845500"/>
    <w:rsid w:val="0084693A"/>
    <w:rsid w:val="0084701E"/>
    <w:rsid w:val="0084751F"/>
    <w:rsid w:val="00847868"/>
    <w:rsid w:val="00847B45"/>
    <w:rsid w:val="008505B3"/>
    <w:rsid w:val="008506CB"/>
    <w:rsid w:val="00850AE5"/>
    <w:rsid w:val="00850C34"/>
    <w:rsid w:val="00850CCD"/>
    <w:rsid w:val="0085130A"/>
    <w:rsid w:val="008515A2"/>
    <w:rsid w:val="00851B15"/>
    <w:rsid w:val="008523AF"/>
    <w:rsid w:val="00852502"/>
    <w:rsid w:val="00853124"/>
    <w:rsid w:val="0085315A"/>
    <w:rsid w:val="00853998"/>
    <w:rsid w:val="00853DD2"/>
    <w:rsid w:val="0085447D"/>
    <w:rsid w:val="00854FB6"/>
    <w:rsid w:val="0085533C"/>
    <w:rsid w:val="008557A8"/>
    <w:rsid w:val="008557B9"/>
    <w:rsid w:val="00855884"/>
    <w:rsid w:val="008558BC"/>
    <w:rsid w:val="00855ECA"/>
    <w:rsid w:val="008561C7"/>
    <w:rsid w:val="00856223"/>
    <w:rsid w:val="0085660D"/>
    <w:rsid w:val="008566D6"/>
    <w:rsid w:val="00856BC2"/>
    <w:rsid w:val="008570FC"/>
    <w:rsid w:val="0085744E"/>
    <w:rsid w:val="008574A7"/>
    <w:rsid w:val="00857563"/>
    <w:rsid w:val="00857812"/>
    <w:rsid w:val="00857A5B"/>
    <w:rsid w:val="00857ECB"/>
    <w:rsid w:val="00860032"/>
    <w:rsid w:val="0086004C"/>
    <w:rsid w:val="0086083F"/>
    <w:rsid w:val="00860912"/>
    <w:rsid w:val="00861A6C"/>
    <w:rsid w:val="00861AA3"/>
    <w:rsid w:val="00862530"/>
    <w:rsid w:val="00862AC9"/>
    <w:rsid w:val="008637FB"/>
    <w:rsid w:val="00863FF7"/>
    <w:rsid w:val="00864044"/>
    <w:rsid w:val="00864187"/>
    <w:rsid w:val="0086429F"/>
    <w:rsid w:val="00864804"/>
    <w:rsid w:val="00864981"/>
    <w:rsid w:val="00865B15"/>
    <w:rsid w:val="00866066"/>
    <w:rsid w:val="00866617"/>
    <w:rsid w:val="00866621"/>
    <w:rsid w:val="008667D1"/>
    <w:rsid w:val="00866B43"/>
    <w:rsid w:val="00866CFB"/>
    <w:rsid w:val="008672CF"/>
    <w:rsid w:val="0086758E"/>
    <w:rsid w:val="0086785B"/>
    <w:rsid w:val="00867AD1"/>
    <w:rsid w:val="00867B7C"/>
    <w:rsid w:val="00867DA1"/>
    <w:rsid w:val="00867DB2"/>
    <w:rsid w:val="008702E1"/>
    <w:rsid w:val="008706D7"/>
    <w:rsid w:val="00870D7F"/>
    <w:rsid w:val="00871A97"/>
    <w:rsid w:val="00871C56"/>
    <w:rsid w:val="008721AD"/>
    <w:rsid w:val="008721BD"/>
    <w:rsid w:val="00872356"/>
    <w:rsid w:val="008725E3"/>
    <w:rsid w:val="00872683"/>
    <w:rsid w:val="0087278F"/>
    <w:rsid w:val="00872CF2"/>
    <w:rsid w:val="00873150"/>
    <w:rsid w:val="0087354A"/>
    <w:rsid w:val="0087369E"/>
    <w:rsid w:val="008739E1"/>
    <w:rsid w:val="00874558"/>
    <w:rsid w:val="00874A79"/>
    <w:rsid w:val="00874D06"/>
    <w:rsid w:val="00875279"/>
    <w:rsid w:val="0087581B"/>
    <w:rsid w:val="00875AC1"/>
    <w:rsid w:val="00875B62"/>
    <w:rsid w:val="00875D86"/>
    <w:rsid w:val="00875DA2"/>
    <w:rsid w:val="00875F25"/>
    <w:rsid w:val="0087629A"/>
    <w:rsid w:val="0087657D"/>
    <w:rsid w:val="008769EA"/>
    <w:rsid w:val="00877079"/>
    <w:rsid w:val="00877653"/>
    <w:rsid w:val="00877B58"/>
    <w:rsid w:val="00877C21"/>
    <w:rsid w:val="0088051E"/>
    <w:rsid w:val="00880577"/>
    <w:rsid w:val="0088077A"/>
    <w:rsid w:val="008807D5"/>
    <w:rsid w:val="00880832"/>
    <w:rsid w:val="00880DF6"/>
    <w:rsid w:val="008815C9"/>
    <w:rsid w:val="00882795"/>
    <w:rsid w:val="00882C8A"/>
    <w:rsid w:val="008836F9"/>
    <w:rsid w:val="008838FC"/>
    <w:rsid w:val="00883974"/>
    <w:rsid w:val="00883E7F"/>
    <w:rsid w:val="00883EA0"/>
    <w:rsid w:val="00884580"/>
    <w:rsid w:val="00884A70"/>
    <w:rsid w:val="00884E11"/>
    <w:rsid w:val="0088597C"/>
    <w:rsid w:val="00885FBE"/>
    <w:rsid w:val="0088607C"/>
    <w:rsid w:val="00886459"/>
    <w:rsid w:val="008865AF"/>
    <w:rsid w:val="008866F1"/>
    <w:rsid w:val="0088679B"/>
    <w:rsid w:val="00886D86"/>
    <w:rsid w:val="00886EE1"/>
    <w:rsid w:val="008871EB"/>
    <w:rsid w:val="0088727D"/>
    <w:rsid w:val="00887571"/>
    <w:rsid w:val="0088770F"/>
    <w:rsid w:val="00887791"/>
    <w:rsid w:val="00887849"/>
    <w:rsid w:val="00887A26"/>
    <w:rsid w:val="00890119"/>
    <w:rsid w:val="008902A1"/>
    <w:rsid w:val="00890582"/>
    <w:rsid w:val="00890706"/>
    <w:rsid w:val="00891520"/>
    <w:rsid w:val="008917DD"/>
    <w:rsid w:val="008918E1"/>
    <w:rsid w:val="00891C6F"/>
    <w:rsid w:val="00891C87"/>
    <w:rsid w:val="00891D1E"/>
    <w:rsid w:val="00891D79"/>
    <w:rsid w:val="008920B7"/>
    <w:rsid w:val="0089222E"/>
    <w:rsid w:val="00892266"/>
    <w:rsid w:val="008925AB"/>
    <w:rsid w:val="008927C3"/>
    <w:rsid w:val="008937A6"/>
    <w:rsid w:val="00893BCA"/>
    <w:rsid w:val="00893C3A"/>
    <w:rsid w:val="00893CB2"/>
    <w:rsid w:val="00893D64"/>
    <w:rsid w:val="00894100"/>
    <w:rsid w:val="00894293"/>
    <w:rsid w:val="008942BA"/>
    <w:rsid w:val="008942E2"/>
    <w:rsid w:val="008944C6"/>
    <w:rsid w:val="00894AB7"/>
    <w:rsid w:val="00894B97"/>
    <w:rsid w:val="00894D64"/>
    <w:rsid w:val="0089512A"/>
    <w:rsid w:val="00895742"/>
    <w:rsid w:val="00895BD2"/>
    <w:rsid w:val="008961DF"/>
    <w:rsid w:val="00897696"/>
    <w:rsid w:val="00897770"/>
    <w:rsid w:val="008977BA"/>
    <w:rsid w:val="00897C75"/>
    <w:rsid w:val="00897D27"/>
    <w:rsid w:val="00897DEE"/>
    <w:rsid w:val="008A01DF"/>
    <w:rsid w:val="008A03E6"/>
    <w:rsid w:val="008A050C"/>
    <w:rsid w:val="008A0B4A"/>
    <w:rsid w:val="008A0B57"/>
    <w:rsid w:val="008A1413"/>
    <w:rsid w:val="008A1B73"/>
    <w:rsid w:val="008A2B67"/>
    <w:rsid w:val="008A2E82"/>
    <w:rsid w:val="008A32E2"/>
    <w:rsid w:val="008A3312"/>
    <w:rsid w:val="008A360D"/>
    <w:rsid w:val="008A3781"/>
    <w:rsid w:val="008A38F9"/>
    <w:rsid w:val="008A3D40"/>
    <w:rsid w:val="008A4514"/>
    <w:rsid w:val="008A4A24"/>
    <w:rsid w:val="008A4B67"/>
    <w:rsid w:val="008A502C"/>
    <w:rsid w:val="008A5655"/>
    <w:rsid w:val="008A57C7"/>
    <w:rsid w:val="008A5C79"/>
    <w:rsid w:val="008A64F9"/>
    <w:rsid w:val="008A666A"/>
    <w:rsid w:val="008A746A"/>
    <w:rsid w:val="008A7512"/>
    <w:rsid w:val="008A7A12"/>
    <w:rsid w:val="008B0414"/>
    <w:rsid w:val="008B051F"/>
    <w:rsid w:val="008B08CB"/>
    <w:rsid w:val="008B0B97"/>
    <w:rsid w:val="008B158F"/>
    <w:rsid w:val="008B162A"/>
    <w:rsid w:val="008B19A6"/>
    <w:rsid w:val="008B1A48"/>
    <w:rsid w:val="008B1CE9"/>
    <w:rsid w:val="008B2821"/>
    <w:rsid w:val="008B2AF5"/>
    <w:rsid w:val="008B2CFE"/>
    <w:rsid w:val="008B2DF3"/>
    <w:rsid w:val="008B3262"/>
    <w:rsid w:val="008B3533"/>
    <w:rsid w:val="008B3680"/>
    <w:rsid w:val="008B380E"/>
    <w:rsid w:val="008B417E"/>
    <w:rsid w:val="008B45BD"/>
    <w:rsid w:val="008B4841"/>
    <w:rsid w:val="008B4B11"/>
    <w:rsid w:val="008B4B1E"/>
    <w:rsid w:val="008B4FC3"/>
    <w:rsid w:val="008B5549"/>
    <w:rsid w:val="008B5A84"/>
    <w:rsid w:val="008B5CCD"/>
    <w:rsid w:val="008B5CEB"/>
    <w:rsid w:val="008B691C"/>
    <w:rsid w:val="008B6A41"/>
    <w:rsid w:val="008B6B5A"/>
    <w:rsid w:val="008B7B5E"/>
    <w:rsid w:val="008B7B6D"/>
    <w:rsid w:val="008B7C51"/>
    <w:rsid w:val="008C0012"/>
    <w:rsid w:val="008C006E"/>
    <w:rsid w:val="008C0CD7"/>
    <w:rsid w:val="008C1130"/>
    <w:rsid w:val="008C1584"/>
    <w:rsid w:val="008C18A6"/>
    <w:rsid w:val="008C1B17"/>
    <w:rsid w:val="008C1BA9"/>
    <w:rsid w:val="008C2123"/>
    <w:rsid w:val="008C21F0"/>
    <w:rsid w:val="008C224E"/>
    <w:rsid w:val="008C22D3"/>
    <w:rsid w:val="008C2552"/>
    <w:rsid w:val="008C255A"/>
    <w:rsid w:val="008C268F"/>
    <w:rsid w:val="008C294E"/>
    <w:rsid w:val="008C2B5A"/>
    <w:rsid w:val="008C2C4C"/>
    <w:rsid w:val="008C2CD5"/>
    <w:rsid w:val="008C2DD6"/>
    <w:rsid w:val="008C3FAB"/>
    <w:rsid w:val="008C43F7"/>
    <w:rsid w:val="008C44A1"/>
    <w:rsid w:val="008C4DAD"/>
    <w:rsid w:val="008C50F2"/>
    <w:rsid w:val="008C544D"/>
    <w:rsid w:val="008C5898"/>
    <w:rsid w:val="008C58EE"/>
    <w:rsid w:val="008C5CB6"/>
    <w:rsid w:val="008C5CB7"/>
    <w:rsid w:val="008C5CEC"/>
    <w:rsid w:val="008C5CF7"/>
    <w:rsid w:val="008C5EE4"/>
    <w:rsid w:val="008C62DF"/>
    <w:rsid w:val="008C6754"/>
    <w:rsid w:val="008C68C3"/>
    <w:rsid w:val="008C6999"/>
    <w:rsid w:val="008C6C77"/>
    <w:rsid w:val="008C6DD6"/>
    <w:rsid w:val="008C6E03"/>
    <w:rsid w:val="008C7151"/>
    <w:rsid w:val="008C737E"/>
    <w:rsid w:val="008C7CD3"/>
    <w:rsid w:val="008D06EE"/>
    <w:rsid w:val="008D086A"/>
    <w:rsid w:val="008D0C03"/>
    <w:rsid w:val="008D10F4"/>
    <w:rsid w:val="008D18E6"/>
    <w:rsid w:val="008D19C9"/>
    <w:rsid w:val="008D1B82"/>
    <w:rsid w:val="008D1C0B"/>
    <w:rsid w:val="008D1C1F"/>
    <w:rsid w:val="008D1E91"/>
    <w:rsid w:val="008D24CE"/>
    <w:rsid w:val="008D26C6"/>
    <w:rsid w:val="008D291C"/>
    <w:rsid w:val="008D324E"/>
    <w:rsid w:val="008D3471"/>
    <w:rsid w:val="008D3B39"/>
    <w:rsid w:val="008D3D90"/>
    <w:rsid w:val="008D3FDD"/>
    <w:rsid w:val="008D41D8"/>
    <w:rsid w:val="008D426E"/>
    <w:rsid w:val="008D463E"/>
    <w:rsid w:val="008D4AD5"/>
    <w:rsid w:val="008D4F14"/>
    <w:rsid w:val="008D4F93"/>
    <w:rsid w:val="008D53E7"/>
    <w:rsid w:val="008D55D1"/>
    <w:rsid w:val="008D561D"/>
    <w:rsid w:val="008D5929"/>
    <w:rsid w:val="008D5D38"/>
    <w:rsid w:val="008D62FC"/>
    <w:rsid w:val="008D64F3"/>
    <w:rsid w:val="008D655E"/>
    <w:rsid w:val="008D69CF"/>
    <w:rsid w:val="008D6BBF"/>
    <w:rsid w:val="008D6E93"/>
    <w:rsid w:val="008D783C"/>
    <w:rsid w:val="008D7A9B"/>
    <w:rsid w:val="008D7B25"/>
    <w:rsid w:val="008E0060"/>
    <w:rsid w:val="008E01BA"/>
    <w:rsid w:val="008E0EFD"/>
    <w:rsid w:val="008E105C"/>
    <w:rsid w:val="008E15A9"/>
    <w:rsid w:val="008E24BD"/>
    <w:rsid w:val="008E2AE3"/>
    <w:rsid w:val="008E361E"/>
    <w:rsid w:val="008E57EC"/>
    <w:rsid w:val="008E5A85"/>
    <w:rsid w:val="008E5B2F"/>
    <w:rsid w:val="008E5BC9"/>
    <w:rsid w:val="008E6015"/>
    <w:rsid w:val="008E64D2"/>
    <w:rsid w:val="008E65E3"/>
    <w:rsid w:val="008E6784"/>
    <w:rsid w:val="008E6AEA"/>
    <w:rsid w:val="008E6BC5"/>
    <w:rsid w:val="008E6F10"/>
    <w:rsid w:val="008E7091"/>
    <w:rsid w:val="008E70C7"/>
    <w:rsid w:val="008E76A9"/>
    <w:rsid w:val="008E76AC"/>
    <w:rsid w:val="008E7CBC"/>
    <w:rsid w:val="008E7D8F"/>
    <w:rsid w:val="008E7F00"/>
    <w:rsid w:val="008F0C03"/>
    <w:rsid w:val="008F1C16"/>
    <w:rsid w:val="008F1CC9"/>
    <w:rsid w:val="008F1D39"/>
    <w:rsid w:val="008F21F6"/>
    <w:rsid w:val="008F2305"/>
    <w:rsid w:val="008F2D9A"/>
    <w:rsid w:val="008F2FC0"/>
    <w:rsid w:val="008F3052"/>
    <w:rsid w:val="008F31D8"/>
    <w:rsid w:val="008F359E"/>
    <w:rsid w:val="008F36B0"/>
    <w:rsid w:val="008F399E"/>
    <w:rsid w:val="008F4487"/>
    <w:rsid w:val="008F49E2"/>
    <w:rsid w:val="008F5074"/>
    <w:rsid w:val="008F55CF"/>
    <w:rsid w:val="008F5ADA"/>
    <w:rsid w:val="008F6126"/>
    <w:rsid w:val="008F61E5"/>
    <w:rsid w:val="008F6707"/>
    <w:rsid w:val="008F7157"/>
    <w:rsid w:val="008F739D"/>
    <w:rsid w:val="008F78FC"/>
    <w:rsid w:val="00900862"/>
    <w:rsid w:val="00900A07"/>
    <w:rsid w:val="009010F2"/>
    <w:rsid w:val="009011D0"/>
    <w:rsid w:val="00901689"/>
    <w:rsid w:val="0090192F"/>
    <w:rsid w:val="00901C5A"/>
    <w:rsid w:val="00902196"/>
    <w:rsid w:val="0090401A"/>
    <w:rsid w:val="00904252"/>
    <w:rsid w:val="00904D27"/>
    <w:rsid w:val="0090571C"/>
    <w:rsid w:val="00905824"/>
    <w:rsid w:val="009063DD"/>
    <w:rsid w:val="00906496"/>
    <w:rsid w:val="009064E6"/>
    <w:rsid w:val="00906688"/>
    <w:rsid w:val="00906B5E"/>
    <w:rsid w:val="009075FC"/>
    <w:rsid w:val="009079EB"/>
    <w:rsid w:val="00907D39"/>
    <w:rsid w:val="00907DE2"/>
    <w:rsid w:val="00910321"/>
    <w:rsid w:val="0091075F"/>
    <w:rsid w:val="009107C3"/>
    <w:rsid w:val="00910F82"/>
    <w:rsid w:val="00911D06"/>
    <w:rsid w:val="00911DFF"/>
    <w:rsid w:val="0091248D"/>
    <w:rsid w:val="00912808"/>
    <w:rsid w:val="00912AD3"/>
    <w:rsid w:val="00912BCA"/>
    <w:rsid w:val="00912F46"/>
    <w:rsid w:val="00913F65"/>
    <w:rsid w:val="00914595"/>
    <w:rsid w:val="0091514D"/>
    <w:rsid w:val="009155C2"/>
    <w:rsid w:val="00915AA4"/>
    <w:rsid w:val="009160C0"/>
    <w:rsid w:val="009162BD"/>
    <w:rsid w:val="00916413"/>
    <w:rsid w:val="0091644C"/>
    <w:rsid w:val="00916862"/>
    <w:rsid w:val="0091693C"/>
    <w:rsid w:val="0091697D"/>
    <w:rsid w:val="009169E8"/>
    <w:rsid w:val="00916B90"/>
    <w:rsid w:val="00916BE4"/>
    <w:rsid w:val="00917009"/>
    <w:rsid w:val="00917A1D"/>
    <w:rsid w:val="00917B2D"/>
    <w:rsid w:val="00917FD4"/>
    <w:rsid w:val="009205D9"/>
    <w:rsid w:val="00920627"/>
    <w:rsid w:val="00920696"/>
    <w:rsid w:val="00920A5F"/>
    <w:rsid w:val="00920B83"/>
    <w:rsid w:val="00920EC0"/>
    <w:rsid w:val="009216B2"/>
    <w:rsid w:val="00921A03"/>
    <w:rsid w:val="00921E26"/>
    <w:rsid w:val="00922100"/>
    <w:rsid w:val="009221AC"/>
    <w:rsid w:val="0092236C"/>
    <w:rsid w:val="00922855"/>
    <w:rsid w:val="00922C08"/>
    <w:rsid w:val="00922F30"/>
    <w:rsid w:val="00923FEC"/>
    <w:rsid w:val="0092467E"/>
    <w:rsid w:val="0092492F"/>
    <w:rsid w:val="00924C53"/>
    <w:rsid w:val="00925061"/>
    <w:rsid w:val="009255E5"/>
    <w:rsid w:val="00925A8A"/>
    <w:rsid w:val="00925D72"/>
    <w:rsid w:val="00926077"/>
    <w:rsid w:val="00926861"/>
    <w:rsid w:val="009268FA"/>
    <w:rsid w:val="00926A42"/>
    <w:rsid w:val="00926B36"/>
    <w:rsid w:val="00927053"/>
    <w:rsid w:val="009273A3"/>
    <w:rsid w:val="009277B8"/>
    <w:rsid w:val="0092791D"/>
    <w:rsid w:val="00927928"/>
    <w:rsid w:val="00927D26"/>
    <w:rsid w:val="00927DAA"/>
    <w:rsid w:val="009300DA"/>
    <w:rsid w:val="00930BCD"/>
    <w:rsid w:val="00931632"/>
    <w:rsid w:val="00931713"/>
    <w:rsid w:val="009319BA"/>
    <w:rsid w:val="00931A59"/>
    <w:rsid w:val="00931AB9"/>
    <w:rsid w:val="00931EAA"/>
    <w:rsid w:val="00932533"/>
    <w:rsid w:val="0093297E"/>
    <w:rsid w:val="00932E83"/>
    <w:rsid w:val="0093302B"/>
    <w:rsid w:val="009332A8"/>
    <w:rsid w:val="0093354F"/>
    <w:rsid w:val="009336B6"/>
    <w:rsid w:val="009337EF"/>
    <w:rsid w:val="009342FA"/>
    <w:rsid w:val="009343F8"/>
    <w:rsid w:val="009349D2"/>
    <w:rsid w:val="00935BEC"/>
    <w:rsid w:val="00935D2E"/>
    <w:rsid w:val="00935EAA"/>
    <w:rsid w:val="00936516"/>
    <w:rsid w:val="009365C7"/>
    <w:rsid w:val="0093674C"/>
    <w:rsid w:val="00936BA5"/>
    <w:rsid w:val="00936D04"/>
    <w:rsid w:val="00936E2B"/>
    <w:rsid w:val="009372F2"/>
    <w:rsid w:val="00937476"/>
    <w:rsid w:val="0093777B"/>
    <w:rsid w:val="00937A84"/>
    <w:rsid w:val="00937B2F"/>
    <w:rsid w:val="0094055C"/>
    <w:rsid w:val="0094066C"/>
    <w:rsid w:val="00940AC5"/>
    <w:rsid w:val="00940F71"/>
    <w:rsid w:val="0094121B"/>
    <w:rsid w:val="00941818"/>
    <w:rsid w:val="00941856"/>
    <w:rsid w:val="009418F8"/>
    <w:rsid w:val="00941910"/>
    <w:rsid w:val="00941B0C"/>
    <w:rsid w:val="00942109"/>
    <w:rsid w:val="009421F0"/>
    <w:rsid w:val="0094232E"/>
    <w:rsid w:val="00942505"/>
    <w:rsid w:val="00942815"/>
    <w:rsid w:val="0094283D"/>
    <w:rsid w:val="00942BB6"/>
    <w:rsid w:val="00943774"/>
    <w:rsid w:val="00944099"/>
    <w:rsid w:val="009444FE"/>
    <w:rsid w:val="009448F4"/>
    <w:rsid w:val="00944D62"/>
    <w:rsid w:val="00945764"/>
    <w:rsid w:val="00945B63"/>
    <w:rsid w:val="00945E30"/>
    <w:rsid w:val="00945F3F"/>
    <w:rsid w:val="00946190"/>
    <w:rsid w:val="009462E2"/>
    <w:rsid w:val="0094640E"/>
    <w:rsid w:val="00946543"/>
    <w:rsid w:val="009467B4"/>
    <w:rsid w:val="0094687A"/>
    <w:rsid w:val="00946D00"/>
    <w:rsid w:val="00946F3E"/>
    <w:rsid w:val="00947032"/>
    <w:rsid w:val="009470E4"/>
    <w:rsid w:val="009472C4"/>
    <w:rsid w:val="009474CC"/>
    <w:rsid w:val="009475C6"/>
    <w:rsid w:val="00947E93"/>
    <w:rsid w:val="009500B3"/>
    <w:rsid w:val="0095043B"/>
    <w:rsid w:val="00950B26"/>
    <w:rsid w:val="00950D2A"/>
    <w:rsid w:val="00950EE3"/>
    <w:rsid w:val="00950FB5"/>
    <w:rsid w:val="00951548"/>
    <w:rsid w:val="00951958"/>
    <w:rsid w:val="00951E82"/>
    <w:rsid w:val="00951F79"/>
    <w:rsid w:val="0095201F"/>
    <w:rsid w:val="0095203C"/>
    <w:rsid w:val="00952108"/>
    <w:rsid w:val="00952C62"/>
    <w:rsid w:val="00952E3E"/>
    <w:rsid w:val="00952EF2"/>
    <w:rsid w:val="00952F3C"/>
    <w:rsid w:val="00953080"/>
    <w:rsid w:val="009536BF"/>
    <w:rsid w:val="00953812"/>
    <w:rsid w:val="0095389E"/>
    <w:rsid w:val="00953CED"/>
    <w:rsid w:val="00953D8D"/>
    <w:rsid w:val="00953EE5"/>
    <w:rsid w:val="009544E0"/>
    <w:rsid w:val="00955239"/>
    <w:rsid w:val="00955687"/>
    <w:rsid w:val="009562FF"/>
    <w:rsid w:val="0095638A"/>
    <w:rsid w:val="009567EA"/>
    <w:rsid w:val="009569B8"/>
    <w:rsid w:val="00957264"/>
    <w:rsid w:val="0095759E"/>
    <w:rsid w:val="00957B13"/>
    <w:rsid w:val="00957E29"/>
    <w:rsid w:val="00957F21"/>
    <w:rsid w:val="00960761"/>
    <w:rsid w:val="009609A9"/>
    <w:rsid w:val="00961466"/>
    <w:rsid w:val="0096198F"/>
    <w:rsid w:val="0096225C"/>
    <w:rsid w:val="00962619"/>
    <w:rsid w:val="00962D95"/>
    <w:rsid w:val="00963054"/>
    <w:rsid w:val="0096329D"/>
    <w:rsid w:val="00963460"/>
    <w:rsid w:val="00963CFD"/>
    <w:rsid w:val="00964034"/>
    <w:rsid w:val="0096410F"/>
    <w:rsid w:val="00964A5D"/>
    <w:rsid w:val="00965418"/>
    <w:rsid w:val="009654E1"/>
    <w:rsid w:val="009659BC"/>
    <w:rsid w:val="0096636D"/>
    <w:rsid w:val="009666DE"/>
    <w:rsid w:val="00966BCE"/>
    <w:rsid w:val="00966F01"/>
    <w:rsid w:val="00967237"/>
    <w:rsid w:val="00967427"/>
    <w:rsid w:val="00967AC5"/>
    <w:rsid w:val="0097047D"/>
    <w:rsid w:val="00970AEF"/>
    <w:rsid w:val="00970DE9"/>
    <w:rsid w:val="009712DA"/>
    <w:rsid w:val="009713BC"/>
    <w:rsid w:val="00971858"/>
    <w:rsid w:val="0097196D"/>
    <w:rsid w:val="00971B65"/>
    <w:rsid w:val="00972034"/>
    <w:rsid w:val="009722F4"/>
    <w:rsid w:val="00972345"/>
    <w:rsid w:val="00972425"/>
    <w:rsid w:val="0097292B"/>
    <w:rsid w:val="00972A2E"/>
    <w:rsid w:val="00972CBE"/>
    <w:rsid w:val="0097335A"/>
    <w:rsid w:val="0097368E"/>
    <w:rsid w:val="009741A1"/>
    <w:rsid w:val="00974AB5"/>
    <w:rsid w:val="00974BAC"/>
    <w:rsid w:val="00974F26"/>
    <w:rsid w:val="00974F7B"/>
    <w:rsid w:val="00975288"/>
    <w:rsid w:val="0097558E"/>
    <w:rsid w:val="00975CB2"/>
    <w:rsid w:val="009763E5"/>
    <w:rsid w:val="00976646"/>
    <w:rsid w:val="0097685C"/>
    <w:rsid w:val="00976B9B"/>
    <w:rsid w:val="00977417"/>
    <w:rsid w:val="00977B59"/>
    <w:rsid w:val="00977C43"/>
    <w:rsid w:val="00977D9F"/>
    <w:rsid w:val="00980266"/>
    <w:rsid w:val="009803D6"/>
    <w:rsid w:val="009812E1"/>
    <w:rsid w:val="009814EE"/>
    <w:rsid w:val="00981639"/>
    <w:rsid w:val="00981D88"/>
    <w:rsid w:val="00981E06"/>
    <w:rsid w:val="00981F34"/>
    <w:rsid w:val="00981FB2"/>
    <w:rsid w:val="00982010"/>
    <w:rsid w:val="00982269"/>
    <w:rsid w:val="00982358"/>
    <w:rsid w:val="00982660"/>
    <w:rsid w:val="00982B81"/>
    <w:rsid w:val="009832F1"/>
    <w:rsid w:val="009838FC"/>
    <w:rsid w:val="009839AB"/>
    <w:rsid w:val="00984865"/>
    <w:rsid w:val="00984DE0"/>
    <w:rsid w:val="00984EFD"/>
    <w:rsid w:val="00984F09"/>
    <w:rsid w:val="009850B9"/>
    <w:rsid w:val="009854B9"/>
    <w:rsid w:val="00985677"/>
    <w:rsid w:val="00985751"/>
    <w:rsid w:val="009857BE"/>
    <w:rsid w:val="00985D7C"/>
    <w:rsid w:val="00985F67"/>
    <w:rsid w:val="009862A3"/>
    <w:rsid w:val="00986630"/>
    <w:rsid w:val="0098665F"/>
    <w:rsid w:val="00986672"/>
    <w:rsid w:val="0098684E"/>
    <w:rsid w:val="0098706D"/>
    <w:rsid w:val="00987A00"/>
    <w:rsid w:val="00990302"/>
    <w:rsid w:val="0099104D"/>
    <w:rsid w:val="0099125A"/>
    <w:rsid w:val="009913CA"/>
    <w:rsid w:val="00991AEC"/>
    <w:rsid w:val="00991E25"/>
    <w:rsid w:val="0099250A"/>
    <w:rsid w:val="00992B17"/>
    <w:rsid w:val="00992F00"/>
    <w:rsid w:val="00992FEF"/>
    <w:rsid w:val="009935FB"/>
    <w:rsid w:val="00993E9C"/>
    <w:rsid w:val="00993F1F"/>
    <w:rsid w:val="00994C5D"/>
    <w:rsid w:val="00995007"/>
    <w:rsid w:val="00995DBA"/>
    <w:rsid w:val="00995F60"/>
    <w:rsid w:val="009964CA"/>
    <w:rsid w:val="00996970"/>
    <w:rsid w:val="00996BB9"/>
    <w:rsid w:val="00996D59"/>
    <w:rsid w:val="0099784F"/>
    <w:rsid w:val="00997939"/>
    <w:rsid w:val="00997E11"/>
    <w:rsid w:val="009A02D2"/>
    <w:rsid w:val="009A064A"/>
    <w:rsid w:val="009A0730"/>
    <w:rsid w:val="009A09A0"/>
    <w:rsid w:val="009A0E4C"/>
    <w:rsid w:val="009A1297"/>
    <w:rsid w:val="009A167F"/>
    <w:rsid w:val="009A1F68"/>
    <w:rsid w:val="009A1F71"/>
    <w:rsid w:val="009A2044"/>
    <w:rsid w:val="009A22F0"/>
    <w:rsid w:val="009A24D1"/>
    <w:rsid w:val="009A29F8"/>
    <w:rsid w:val="009A2B22"/>
    <w:rsid w:val="009A2E35"/>
    <w:rsid w:val="009A2EE3"/>
    <w:rsid w:val="009A2F61"/>
    <w:rsid w:val="009A336B"/>
    <w:rsid w:val="009A3540"/>
    <w:rsid w:val="009A3546"/>
    <w:rsid w:val="009A3705"/>
    <w:rsid w:val="009A3835"/>
    <w:rsid w:val="009A398B"/>
    <w:rsid w:val="009A3D1D"/>
    <w:rsid w:val="009A3D6E"/>
    <w:rsid w:val="009A3E36"/>
    <w:rsid w:val="009A4F03"/>
    <w:rsid w:val="009A51AF"/>
    <w:rsid w:val="009A52F1"/>
    <w:rsid w:val="009A5417"/>
    <w:rsid w:val="009A554E"/>
    <w:rsid w:val="009A5674"/>
    <w:rsid w:val="009A56A9"/>
    <w:rsid w:val="009A6A86"/>
    <w:rsid w:val="009A6AA0"/>
    <w:rsid w:val="009A6CF8"/>
    <w:rsid w:val="009A6FD9"/>
    <w:rsid w:val="009A7BA8"/>
    <w:rsid w:val="009A7D94"/>
    <w:rsid w:val="009B068F"/>
    <w:rsid w:val="009B1999"/>
    <w:rsid w:val="009B1A5D"/>
    <w:rsid w:val="009B1AD6"/>
    <w:rsid w:val="009B2844"/>
    <w:rsid w:val="009B2AFE"/>
    <w:rsid w:val="009B2C1A"/>
    <w:rsid w:val="009B2F49"/>
    <w:rsid w:val="009B314A"/>
    <w:rsid w:val="009B31D4"/>
    <w:rsid w:val="009B31ED"/>
    <w:rsid w:val="009B35BD"/>
    <w:rsid w:val="009B3685"/>
    <w:rsid w:val="009B379F"/>
    <w:rsid w:val="009B396E"/>
    <w:rsid w:val="009B428F"/>
    <w:rsid w:val="009B4312"/>
    <w:rsid w:val="009B4338"/>
    <w:rsid w:val="009B490E"/>
    <w:rsid w:val="009B4CC3"/>
    <w:rsid w:val="009B534B"/>
    <w:rsid w:val="009B5475"/>
    <w:rsid w:val="009B5C8D"/>
    <w:rsid w:val="009B63FA"/>
    <w:rsid w:val="009B6543"/>
    <w:rsid w:val="009B66DC"/>
    <w:rsid w:val="009B6B1C"/>
    <w:rsid w:val="009B6B62"/>
    <w:rsid w:val="009B6C9D"/>
    <w:rsid w:val="009B6EAE"/>
    <w:rsid w:val="009B70AA"/>
    <w:rsid w:val="009B70EE"/>
    <w:rsid w:val="009B7183"/>
    <w:rsid w:val="009B7218"/>
    <w:rsid w:val="009B73FA"/>
    <w:rsid w:val="009B76CD"/>
    <w:rsid w:val="009B7B72"/>
    <w:rsid w:val="009B7C69"/>
    <w:rsid w:val="009B7E82"/>
    <w:rsid w:val="009C047F"/>
    <w:rsid w:val="009C0786"/>
    <w:rsid w:val="009C10B0"/>
    <w:rsid w:val="009C145D"/>
    <w:rsid w:val="009C1940"/>
    <w:rsid w:val="009C1C3C"/>
    <w:rsid w:val="009C2620"/>
    <w:rsid w:val="009C262E"/>
    <w:rsid w:val="009C2E79"/>
    <w:rsid w:val="009C3D99"/>
    <w:rsid w:val="009C3E44"/>
    <w:rsid w:val="009C3F49"/>
    <w:rsid w:val="009C400F"/>
    <w:rsid w:val="009C45EE"/>
    <w:rsid w:val="009C4871"/>
    <w:rsid w:val="009C5296"/>
    <w:rsid w:val="009C54F6"/>
    <w:rsid w:val="009C5627"/>
    <w:rsid w:val="009C5E6B"/>
    <w:rsid w:val="009C5F32"/>
    <w:rsid w:val="009C6532"/>
    <w:rsid w:val="009C6545"/>
    <w:rsid w:val="009C7E77"/>
    <w:rsid w:val="009D084D"/>
    <w:rsid w:val="009D0975"/>
    <w:rsid w:val="009D0FCD"/>
    <w:rsid w:val="009D10F7"/>
    <w:rsid w:val="009D1319"/>
    <w:rsid w:val="009D1838"/>
    <w:rsid w:val="009D1C38"/>
    <w:rsid w:val="009D1D84"/>
    <w:rsid w:val="009D20D7"/>
    <w:rsid w:val="009D2879"/>
    <w:rsid w:val="009D3A8F"/>
    <w:rsid w:val="009D3B67"/>
    <w:rsid w:val="009D3E14"/>
    <w:rsid w:val="009D441B"/>
    <w:rsid w:val="009D45B2"/>
    <w:rsid w:val="009D4DC9"/>
    <w:rsid w:val="009D4F25"/>
    <w:rsid w:val="009D5316"/>
    <w:rsid w:val="009D5362"/>
    <w:rsid w:val="009D5637"/>
    <w:rsid w:val="009D6BA2"/>
    <w:rsid w:val="009D6D4C"/>
    <w:rsid w:val="009D740B"/>
    <w:rsid w:val="009D7600"/>
    <w:rsid w:val="009D76D1"/>
    <w:rsid w:val="009D7737"/>
    <w:rsid w:val="009D7C24"/>
    <w:rsid w:val="009E05C6"/>
    <w:rsid w:val="009E0642"/>
    <w:rsid w:val="009E0C45"/>
    <w:rsid w:val="009E1D8F"/>
    <w:rsid w:val="009E2513"/>
    <w:rsid w:val="009E2CCD"/>
    <w:rsid w:val="009E2D9E"/>
    <w:rsid w:val="009E3215"/>
    <w:rsid w:val="009E3987"/>
    <w:rsid w:val="009E3CCB"/>
    <w:rsid w:val="009E3EEC"/>
    <w:rsid w:val="009E425D"/>
    <w:rsid w:val="009E4290"/>
    <w:rsid w:val="009E4D1E"/>
    <w:rsid w:val="009E53F3"/>
    <w:rsid w:val="009E5F17"/>
    <w:rsid w:val="009E5F94"/>
    <w:rsid w:val="009E61AB"/>
    <w:rsid w:val="009E6296"/>
    <w:rsid w:val="009E7074"/>
    <w:rsid w:val="009E7482"/>
    <w:rsid w:val="009E7ECB"/>
    <w:rsid w:val="009F0738"/>
    <w:rsid w:val="009F0788"/>
    <w:rsid w:val="009F086C"/>
    <w:rsid w:val="009F09BC"/>
    <w:rsid w:val="009F0AE8"/>
    <w:rsid w:val="009F0B34"/>
    <w:rsid w:val="009F0E6C"/>
    <w:rsid w:val="009F10B7"/>
    <w:rsid w:val="009F1573"/>
    <w:rsid w:val="009F1FA5"/>
    <w:rsid w:val="009F2F5F"/>
    <w:rsid w:val="009F408D"/>
    <w:rsid w:val="009F4412"/>
    <w:rsid w:val="009F4496"/>
    <w:rsid w:val="009F44A7"/>
    <w:rsid w:val="009F4797"/>
    <w:rsid w:val="009F4901"/>
    <w:rsid w:val="009F4A54"/>
    <w:rsid w:val="009F4B7D"/>
    <w:rsid w:val="009F4BEC"/>
    <w:rsid w:val="009F54B6"/>
    <w:rsid w:val="009F5627"/>
    <w:rsid w:val="009F5690"/>
    <w:rsid w:val="009F576D"/>
    <w:rsid w:val="009F5874"/>
    <w:rsid w:val="009F5F34"/>
    <w:rsid w:val="009F5F51"/>
    <w:rsid w:val="009F668A"/>
    <w:rsid w:val="009F6940"/>
    <w:rsid w:val="009F6C36"/>
    <w:rsid w:val="009F6E25"/>
    <w:rsid w:val="009F7137"/>
    <w:rsid w:val="009F75E4"/>
    <w:rsid w:val="009F7649"/>
    <w:rsid w:val="009F773E"/>
    <w:rsid w:val="009F7901"/>
    <w:rsid w:val="009F79E9"/>
    <w:rsid w:val="009F7A0B"/>
    <w:rsid w:val="00A000C5"/>
    <w:rsid w:val="00A00363"/>
    <w:rsid w:val="00A00703"/>
    <w:rsid w:val="00A0078F"/>
    <w:rsid w:val="00A009D6"/>
    <w:rsid w:val="00A0105F"/>
    <w:rsid w:val="00A015AA"/>
    <w:rsid w:val="00A018BF"/>
    <w:rsid w:val="00A01AF7"/>
    <w:rsid w:val="00A01B4E"/>
    <w:rsid w:val="00A01BAD"/>
    <w:rsid w:val="00A01C0B"/>
    <w:rsid w:val="00A01F5F"/>
    <w:rsid w:val="00A025AC"/>
    <w:rsid w:val="00A02643"/>
    <w:rsid w:val="00A0271B"/>
    <w:rsid w:val="00A02750"/>
    <w:rsid w:val="00A02E9E"/>
    <w:rsid w:val="00A02F2F"/>
    <w:rsid w:val="00A02F54"/>
    <w:rsid w:val="00A03059"/>
    <w:rsid w:val="00A03532"/>
    <w:rsid w:val="00A0389E"/>
    <w:rsid w:val="00A03C4C"/>
    <w:rsid w:val="00A03C8A"/>
    <w:rsid w:val="00A03CA5"/>
    <w:rsid w:val="00A03CB9"/>
    <w:rsid w:val="00A03CF9"/>
    <w:rsid w:val="00A0414B"/>
    <w:rsid w:val="00A04439"/>
    <w:rsid w:val="00A051CD"/>
    <w:rsid w:val="00A052E0"/>
    <w:rsid w:val="00A057A0"/>
    <w:rsid w:val="00A05849"/>
    <w:rsid w:val="00A05E67"/>
    <w:rsid w:val="00A06462"/>
    <w:rsid w:val="00A067E3"/>
    <w:rsid w:val="00A06BC7"/>
    <w:rsid w:val="00A074B2"/>
    <w:rsid w:val="00A075CC"/>
    <w:rsid w:val="00A07937"/>
    <w:rsid w:val="00A07964"/>
    <w:rsid w:val="00A07A39"/>
    <w:rsid w:val="00A07F4D"/>
    <w:rsid w:val="00A07F55"/>
    <w:rsid w:val="00A1020B"/>
    <w:rsid w:val="00A10EC1"/>
    <w:rsid w:val="00A110EF"/>
    <w:rsid w:val="00A122A3"/>
    <w:rsid w:val="00A1246A"/>
    <w:rsid w:val="00A126F7"/>
    <w:rsid w:val="00A12981"/>
    <w:rsid w:val="00A12A55"/>
    <w:rsid w:val="00A12A97"/>
    <w:rsid w:val="00A13156"/>
    <w:rsid w:val="00A1317A"/>
    <w:rsid w:val="00A131FF"/>
    <w:rsid w:val="00A1334E"/>
    <w:rsid w:val="00A13526"/>
    <w:rsid w:val="00A13556"/>
    <w:rsid w:val="00A13BEB"/>
    <w:rsid w:val="00A1506D"/>
    <w:rsid w:val="00A150FD"/>
    <w:rsid w:val="00A1517A"/>
    <w:rsid w:val="00A15563"/>
    <w:rsid w:val="00A158F3"/>
    <w:rsid w:val="00A15E50"/>
    <w:rsid w:val="00A166B2"/>
    <w:rsid w:val="00A1677E"/>
    <w:rsid w:val="00A16ABA"/>
    <w:rsid w:val="00A17223"/>
    <w:rsid w:val="00A178E9"/>
    <w:rsid w:val="00A17E96"/>
    <w:rsid w:val="00A2045C"/>
    <w:rsid w:val="00A208E1"/>
    <w:rsid w:val="00A20CAA"/>
    <w:rsid w:val="00A20D05"/>
    <w:rsid w:val="00A20F4B"/>
    <w:rsid w:val="00A20F4D"/>
    <w:rsid w:val="00A21262"/>
    <w:rsid w:val="00A2197A"/>
    <w:rsid w:val="00A219F5"/>
    <w:rsid w:val="00A21A07"/>
    <w:rsid w:val="00A21B9E"/>
    <w:rsid w:val="00A21DB1"/>
    <w:rsid w:val="00A2203D"/>
    <w:rsid w:val="00A220F4"/>
    <w:rsid w:val="00A22DD9"/>
    <w:rsid w:val="00A22E81"/>
    <w:rsid w:val="00A23F38"/>
    <w:rsid w:val="00A2415B"/>
    <w:rsid w:val="00A24299"/>
    <w:rsid w:val="00A245E9"/>
    <w:rsid w:val="00A24701"/>
    <w:rsid w:val="00A24D12"/>
    <w:rsid w:val="00A24E2C"/>
    <w:rsid w:val="00A24FFF"/>
    <w:rsid w:val="00A257D0"/>
    <w:rsid w:val="00A25F2D"/>
    <w:rsid w:val="00A25FD7"/>
    <w:rsid w:val="00A26101"/>
    <w:rsid w:val="00A2647C"/>
    <w:rsid w:val="00A266AB"/>
    <w:rsid w:val="00A26B71"/>
    <w:rsid w:val="00A26D56"/>
    <w:rsid w:val="00A26DCC"/>
    <w:rsid w:val="00A26E0F"/>
    <w:rsid w:val="00A26E86"/>
    <w:rsid w:val="00A27028"/>
    <w:rsid w:val="00A270E6"/>
    <w:rsid w:val="00A270ED"/>
    <w:rsid w:val="00A271F8"/>
    <w:rsid w:val="00A27AB8"/>
    <w:rsid w:val="00A30235"/>
    <w:rsid w:val="00A30451"/>
    <w:rsid w:val="00A30AAD"/>
    <w:rsid w:val="00A30E4E"/>
    <w:rsid w:val="00A30F27"/>
    <w:rsid w:val="00A31051"/>
    <w:rsid w:val="00A3120C"/>
    <w:rsid w:val="00A31570"/>
    <w:rsid w:val="00A31E3C"/>
    <w:rsid w:val="00A31F7C"/>
    <w:rsid w:val="00A3227F"/>
    <w:rsid w:val="00A322A7"/>
    <w:rsid w:val="00A325EF"/>
    <w:rsid w:val="00A3273B"/>
    <w:rsid w:val="00A3304A"/>
    <w:rsid w:val="00A33185"/>
    <w:rsid w:val="00A336C5"/>
    <w:rsid w:val="00A339C5"/>
    <w:rsid w:val="00A33DBF"/>
    <w:rsid w:val="00A34178"/>
    <w:rsid w:val="00A34280"/>
    <w:rsid w:val="00A343CD"/>
    <w:rsid w:val="00A3442E"/>
    <w:rsid w:val="00A3463C"/>
    <w:rsid w:val="00A34653"/>
    <w:rsid w:val="00A34C1F"/>
    <w:rsid w:val="00A354E0"/>
    <w:rsid w:val="00A355DC"/>
    <w:rsid w:val="00A35670"/>
    <w:rsid w:val="00A35BF0"/>
    <w:rsid w:val="00A35E35"/>
    <w:rsid w:val="00A36183"/>
    <w:rsid w:val="00A369CC"/>
    <w:rsid w:val="00A36DE5"/>
    <w:rsid w:val="00A36F68"/>
    <w:rsid w:val="00A3709B"/>
    <w:rsid w:val="00A37F9D"/>
    <w:rsid w:val="00A4004C"/>
    <w:rsid w:val="00A40589"/>
    <w:rsid w:val="00A405A8"/>
    <w:rsid w:val="00A4062C"/>
    <w:rsid w:val="00A413F9"/>
    <w:rsid w:val="00A417C6"/>
    <w:rsid w:val="00A4193D"/>
    <w:rsid w:val="00A41EE5"/>
    <w:rsid w:val="00A4205B"/>
    <w:rsid w:val="00A423B0"/>
    <w:rsid w:val="00A42813"/>
    <w:rsid w:val="00A428D7"/>
    <w:rsid w:val="00A42ED9"/>
    <w:rsid w:val="00A432F3"/>
    <w:rsid w:val="00A4368A"/>
    <w:rsid w:val="00A43694"/>
    <w:rsid w:val="00A43743"/>
    <w:rsid w:val="00A438DC"/>
    <w:rsid w:val="00A439DD"/>
    <w:rsid w:val="00A43AFF"/>
    <w:rsid w:val="00A43CC7"/>
    <w:rsid w:val="00A441A4"/>
    <w:rsid w:val="00A44810"/>
    <w:rsid w:val="00A44C59"/>
    <w:rsid w:val="00A44F35"/>
    <w:rsid w:val="00A45206"/>
    <w:rsid w:val="00A45ADA"/>
    <w:rsid w:val="00A45B1E"/>
    <w:rsid w:val="00A45CE8"/>
    <w:rsid w:val="00A45FD4"/>
    <w:rsid w:val="00A463C6"/>
    <w:rsid w:val="00A46430"/>
    <w:rsid w:val="00A468BF"/>
    <w:rsid w:val="00A46993"/>
    <w:rsid w:val="00A46E27"/>
    <w:rsid w:val="00A47E29"/>
    <w:rsid w:val="00A502DD"/>
    <w:rsid w:val="00A502EF"/>
    <w:rsid w:val="00A5035B"/>
    <w:rsid w:val="00A50A55"/>
    <w:rsid w:val="00A51680"/>
    <w:rsid w:val="00A516F4"/>
    <w:rsid w:val="00A51F6D"/>
    <w:rsid w:val="00A521ED"/>
    <w:rsid w:val="00A52637"/>
    <w:rsid w:val="00A5264E"/>
    <w:rsid w:val="00A5298A"/>
    <w:rsid w:val="00A52EEC"/>
    <w:rsid w:val="00A52F0F"/>
    <w:rsid w:val="00A5326F"/>
    <w:rsid w:val="00A53342"/>
    <w:rsid w:val="00A53619"/>
    <w:rsid w:val="00A53738"/>
    <w:rsid w:val="00A53991"/>
    <w:rsid w:val="00A53E32"/>
    <w:rsid w:val="00A53EE1"/>
    <w:rsid w:val="00A5416F"/>
    <w:rsid w:val="00A542A2"/>
    <w:rsid w:val="00A54734"/>
    <w:rsid w:val="00A54EDF"/>
    <w:rsid w:val="00A54EF5"/>
    <w:rsid w:val="00A54F64"/>
    <w:rsid w:val="00A56895"/>
    <w:rsid w:val="00A56B11"/>
    <w:rsid w:val="00A56BA3"/>
    <w:rsid w:val="00A56C2E"/>
    <w:rsid w:val="00A56D7E"/>
    <w:rsid w:val="00A57131"/>
    <w:rsid w:val="00A5717C"/>
    <w:rsid w:val="00A57309"/>
    <w:rsid w:val="00A5739B"/>
    <w:rsid w:val="00A57438"/>
    <w:rsid w:val="00A60230"/>
    <w:rsid w:val="00A60B42"/>
    <w:rsid w:val="00A60DDF"/>
    <w:rsid w:val="00A60FAC"/>
    <w:rsid w:val="00A61E68"/>
    <w:rsid w:val="00A620E5"/>
    <w:rsid w:val="00A62761"/>
    <w:rsid w:val="00A62AE1"/>
    <w:rsid w:val="00A630D4"/>
    <w:rsid w:val="00A6359D"/>
    <w:rsid w:val="00A637EB"/>
    <w:rsid w:val="00A6404D"/>
    <w:rsid w:val="00A64136"/>
    <w:rsid w:val="00A64753"/>
    <w:rsid w:val="00A65243"/>
    <w:rsid w:val="00A65898"/>
    <w:rsid w:val="00A65D1B"/>
    <w:rsid w:val="00A66571"/>
    <w:rsid w:val="00A665D5"/>
    <w:rsid w:val="00A66753"/>
    <w:rsid w:val="00A66A92"/>
    <w:rsid w:val="00A66BA3"/>
    <w:rsid w:val="00A66C92"/>
    <w:rsid w:val="00A66E05"/>
    <w:rsid w:val="00A67128"/>
    <w:rsid w:val="00A6762D"/>
    <w:rsid w:val="00A679E8"/>
    <w:rsid w:val="00A67AA1"/>
    <w:rsid w:val="00A67E16"/>
    <w:rsid w:val="00A67F6F"/>
    <w:rsid w:val="00A7032B"/>
    <w:rsid w:val="00A703C3"/>
    <w:rsid w:val="00A70861"/>
    <w:rsid w:val="00A70AE7"/>
    <w:rsid w:val="00A7154D"/>
    <w:rsid w:val="00A717A4"/>
    <w:rsid w:val="00A71872"/>
    <w:rsid w:val="00A71986"/>
    <w:rsid w:val="00A71EBE"/>
    <w:rsid w:val="00A71F36"/>
    <w:rsid w:val="00A73324"/>
    <w:rsid w:val="00A73488"/>
    <w:rsid w:val="00A7375B"/>
    <w:rsid w:val="00A73AFF"/>
    <w:rsid w:val="00A74246"/>
    <w:rsid w:val="00A74583"/>
    <w:rsid w:val="00A74EE7"/>
    <w:rsid w:val="00A75C66"/>
    <w:rsid w:val="00A7618F"/>
    <w:rsid w:val="00A76669"/>
    <w:rsid w:val="00A76BBE"/>
    <w:rsid w:val="00A770D5"/>
    <w:rsid w:val="00A7742A"/>
    <w:rsid w:val="00A77888"/>
    <w:rsid w:val="00A7793A"/>
    <w:rsid w:val="00A80886"/>
    <w:rsid w:val="00A80899"/>
    <w:rsid w:val="00A80C16"/>
    <w:rsid w:val="00A80C45"/>
    <w:rsid w:val="00A81E50"/>
    <w:rsid w:val="00A81FA9"/>
    <w:rsid w:val="00A8222E"/>
    <w:rsid w:val="00A82503"/>
    <w:rsid w:val="00A82AFF"/>
    <w:rsid w:val="00A82E8A"/>
    <w:rsid w:val="00A833F0"/>
    <w:rsid w:val="00A836E6"/>
    <w:rsid w:val="00A83A2F"/>
    <w:rsid w:val="00A83EB4"/>
    <w:rsid w:val="00A83FCB"/>
    <w:rsid w:val="00A8455A"/>
    <w:rsid w:val="00A84792"/>
    <w:rsid w:val="00A848D6"/>
    <w:rsid w:val="00A84C4D"/>
    <w:rsid w:val="00A84DFF"/>
    <w:rsid w:val="00A84E03"/>
    <w:rsid w:val="00A85691"/>
    <w:rsid w:val="00A857F2"/>
    <w:rsid w:val="00A8612F"/>
    <w:rsid w:val="00A862A6"/>
    <w:rsid w:val="00A86367"/>
    <w:rsid w:val="00A8688F"/>
    <w:rsid w:val="00A8777F"/>
    <w:rsid w:val="00A877C2"/>
    <w:rsid w:val="00A9000F"/>
    <w:rsid w:val="00A9023D"/>
    <w:rsid w:val="00A905F6"/>
    <w:rsid w:val="00A90671"/>
    <w:rsid w:val="00A9080B"/>
    <w:rsid w:val="00A90CCE"/>
    <w:rsid w:val="00A90F32"/>
    <w:rsid w:val="00A914C5"/>
    <w:rsid w:val="00A918F2"/>
    <w:rsid w:val="00A91DDC"/>
    <w:rsid w:val="00A91EEC"/>
    <w:rsid w:val="00A92112"/>
    <w:rsid w:val="00A9217E"/>
    <w:rsid w:val="00A9263C"/>
    <w:rsid w:val="00A92660"/>
    <w:rsid w:val="00A92C8B"/>
    <w:rsid w:val="00A932E4"/>
    <w:rsid w:val="00A93BA5"/>
    <w:rsid w:val="00A93CA7"/>
    <w:rsid w:val="00A93F6E"/>
    <w:rsid w:val="00A941F2"/>
    <w:rsid w:val="00A94C0E"/>
    <w:rsid w:val="00A954C1"/>
    <w:rsid w:val="00A9557F"/>
    <w:rsid w:val="00A95654"/>
    <w:rsid w:val="00A95D65"/>
    <w:rsid w:val="00A95DE9"/>
    <w:rsid w:val="00A95E98"/>
    <w:rsid w:val="00A96228"/>
    <w:rsid w:val="00A9626A"/>
    <w:rsid w:val="00A96F0E"/>
    <w:rsid w:val="00A96FD8"/>
    <w:rsid w:val="00A970B0"/>
    <w:rsid w:val="00A97295"/>
    <w:rsid w:val="00A974D0"/>
    <w:rsid w:val="00A978CA"/>
    <w:rsid w:val="00A97B4C"/>
    <w:rsid w:val="00A97B9E"/>
    <w:rsid w:val="00A97D16"/>
    <w:rsid w:val="00A97D44"/>
    <w:rsid w:val="00A97EE9"/>
    <w:rsid w:val="00AA016A"/>
    <w:rsid w:val="00AA0860"/>
    <w:rsid w:val="00AA0FAA"/>
    <w:rsid w:val="00AA135E"/>
    <w:rsid w:val="00AA17A2"/>
    <w:rsid w:val="00AA1EA2"/>
    <w:rsid w:val="00AA2197"/>
    <w:rsid w:val="00AA27ED"/>
    <w:rsid w:val="00AA2866"/>
    <w:rsid w:val="00AA2935"/>
    <w:rsid w:val="00AA2C58"/>
    <w:rsid w:val="00AA2FDF"/>
    <w:rsid w:val="00AA34D7"/>
    <w:rsid w:val="00AA355C"/>
    <w:rsid w:val="00AA37A3"/>
    <w:rsid w:val="00AA3B45"/>
    <w:rsid w:val="00AA3ECF"/>
    <w:rsid w:val="00AA449A"/>
    <w:rsid w:val="00AA4CC7"/>
    <w:rsid w:val="00AA501E"/>
    <w:rsid w:val="00AA51C2"/>
    <w:rsid w:val="00AA5743"/>
    <w:rsid w:val="00AA580E"/>
    <w:rsid w:val="00AA5CE0"/>
    <w:rsid w:val="00AA5E8E"/>
    <w:rsid w:val="00AA6025"/>
    <w:rsid w:val="00AA6039"/>
    <w:rsid w:val="00AA63A7"/>
    <w:rsid w:val="00AA661A"/>
    <w:rsid w:val="00AA6A06"/>
    <w:rsid w:val="00AA7122"/>
    <w:rsid w:val="00AA732E"/>
    <w:rsid w:val="00AA73A4"/>
    <w:rsid w:val="00AA74F3"/>
    <w:rsid w:val="00AA7DA0"/>
    <w:rsid w:val="00AA7DD0"/>
    <w:rsid w:val="00AB04B2"/>
    <w:rsid w:val="00AB0691"/>
    <w:rsid w:val="00AB0CC0"/>
    <w:rsid w:val="00AB1679"/>
    <w:rsid w:val="00AB16B0"/>
    <w:rsid w:val="00AB1831"/>
    <w:rsid w:val="00AB19E6"/>
    <w:rsid w:val="00AB1AF9"/>
    <w:rsid w:val="00AB1E3C"/>
    <w:rsid w:val="00AB20FE"/>
    <w:rsid w:val="00AB2392"/>
    <w:rsid w:val="00AB2440"/>
    <w:rsid w:val="00AB24B2"/>
    <w:rsid w:val="00AB282E"/>
    <w:rsid w:val="00AB2BAD"/>
    <w:rsid w:val="00AB2D50"/>
    <w:rsid w:val="00AB2DD3"/>
    <w:rsid w:val="00AB3453"/>
    <w:rsid w:val="00AB3C9D"/>
    <w:rsid w:val="00AB4991"/>
    <w:rsid w:val="00AB49E9"/>
    <w:rsid w:val="00AB49F0"/>
    <w:rsid w:val="00AB4C42"/>
    <w:rsid w:val="00AB4E45"/>
    <w:rsid w:val="00AB5349"/>
    <w:rsid w:val="00AB5498"/>
    <w:rsid w:val="00AB5EF6"/>
    <w:rsid w:val="00AB5F02"/>
    <w:rsid w:val="00AB6292"/>
    <w:rsid w:val="00AB689C"/>
    <w:rsid w:val="00AB68DA"/>
    <w:rsid w:val="00AB6CA7"/>
    <w:rsid w:val="00AB77CF"/>
    <w:rsid w:val="00AB7B6E"/>
    <w:rsid w:val="00AB7FBC"/>
    <w:rsid w:val="00AB7FBD"/>
    <w:rsid w:val="00AC04AA"/>
    <w:rsid w:val="00AC0718"/>
    <w:rsid w:val="00AC0D10"/>
    <w:rsid w:val="00AC11E4"/>
    <w:rsid w:val="00AC159A"/>
    <w:rsid w:val="00AC19C8"/>
    <w:rsid w:val="00AC1DCF"/>
    <w:rsid w:val="00AC21B8"/>
    <w:rsid w:val="00AC23BD"/>
    <w:rsid w:val="00AC2602"/>
    <w:rsid w:val="00AC2936"/>
    <w:rsid w:val="00AC2BB3"/>
    <w:rsid w:val="00AC2DC6"/>
    <w:rsid w:val="00AC3034"/>
    <w:rsid w:val="00AC31AA"/>
    <w:rsid w:val="00AC335D"/>
    <w:rsid w:val="00AC3FB5"/>
    <w:rsid w:val="00AC40D5"/>
    <w:rsid w:val="00AC4545"/>
    <w:rsid w:val="00AC467C"/>
    <w:rsid w:val="00AC4B2D"/>
    <w:rsid w:val="00AC4DD3"/>
    <w:rsid w:val="00AC4E47"/>
    <w:rsid w:val="00AC51E5"/>
    <w:rsid w:val="00AC5C67"/>
    <w:rsid w:val="00AC5FF6"/>
    <w:rsid w:val="00AC63B8"/>
    <w:rsid w:val="00AC67FB"/>
    <w:rsid w:val="00AC685D"/>
    <w:rsid w:val="00AC6894"/>
    <w:rsid w:val="00AC6939"/>
    <w:rsid w:val="00AC6A41"/>
    <w:rsid w:val="00AC716D"/>
    <w:rsid w:val="00AC7190"/>
    <w:rsid w:val="00AC71BC"/>
    <w:rsid w:val="00AC72C4"/>
    <w:rsid w:val="00AC747E"/>
    <w:rsid w:val="00AC74E3"/>
    <w:rsid w:val="00AC7B24"/>
    <w:rsid w:val="00AC7BFE"/>
    <w:rsid w:val="00AD01E4"/>
    <w:rsid w:val="00AD04CC"/>
    <w:rsid w:val="00AD0858"/>
    <w:rsid w:val="00AD093F"/>
    <w:rsid w:val="00AD0960"/>
    <w:rsid w:val="00AD0EBE"/>
    <w:rsid w:val="00AD0F1B"/>
    <w:rsid w:val="00AD140A"/>
    <w:rsid w:val="00AD1802"/>
    <w:rsid w:val="00AD1892"/>
    <w:rsid w:val="00AD19FE"/>
    <w:rsid w:val="00AD2155"/>
    <w:rsid w:val="00AD22FB"/>
    <w:rsid w:val="00AD27E4"/>
    <w:rsid w:val="00AD280F"/>
    <w:rsid w:val="00AD2C53"/>
    <w:rsid w:val="00AD2E4E"/>
    <w:rsid w:val="00AD3638"/>
    <w:rsid w:val="00AD3A89"/>
    <w:rsid w:val="00AD44AB"/>
    <w:rsid w:val="00AD44C0"/>
    <w:rsid w:val="00AD45EC"/>
    <w:rsid w:val="00AD477D"/>
    <w:rsid w:val="00AD55A9"/>
    <w:rsid w:val="00AD6651"/>
    <w:rsid w:val="00AD6793"/>
    <w:rsid w:val="00AD6C4F"/>
    <w:rsid w:val="00AD6D68"/>
    <w:rsid w:val="00AD781D"/>
    <w:rsid w:val="00AD7F69"/>
    <w:rsid w:val="00AD7FBE"/>
    <w:rsid w:val="00AE0070"/>
    <w:rsid w:val="00AE0071"/>
    <w:rsid w:val="00AE01D0"/>
    <w:rsid w:val="00AE027F"/>
    <w:rsid w:val="00AE02E3"/>
    <w:rsid w:val="00AE05C9"/>
    <w:rsid w:val="00AE070C"/>
    <w:rsid w:val="00AE0855"/>
    <w:rsid w:val="00AE0AFA"/>
    <w:rsid w:val="00AE1925"/>
    <w:rsid w:val="00AE1A96"/>
    <w:rsid w:val="00AE1B05"/>
    <w:rsid w:val="00AE1DFB"/>
    <w:rsid w:val="00AE20D2"/>
    <w:rsid w:val="00AE32FA"/>
    <w:rsid w:val="00AE3530"/>
    <w:rsid w:val="00AE3A62"/>
    <w:rsid w:val="00AE3B18"/>
    <w:rsid w:val="00AE3B1F"/>
    <w:rsid w:val="00AE3F2D"/>
    <w:rsid w:val="00AE4240"/>
    <w:rsid w:val="00AE4254"/>
    <w:rsid w:val="00AE4BA7"/>
    <w:rsid w:val="00AE50E0"/>
    <w:rsid w:val="00AE5182"/>
    <w:rsid w:val="00AE5258"/>
    <w:rsid w:val="00AE572D"/>
    <w:rsid w:val="00AE5C7E"/>
    <w:rsid w:val="00AE5E49"/>
    <w:rsid w:val="00AE6BBB"/>
    <w:rsid w:val="00AE729C"/>
    <w:rsid w:val="00AE7340"/>
    <w:rsid w:val="00AE73D5"/>
    <w:rsid w:val="00AE7768"/>
    <w:rsid w:val="00AE7A18"/>
    <w:rsid w:val="00AE7C4B"/>
    <w:rsid w:val="00AE7CA1"/>
    <w:rsid w:val="00AE7CBB"/>
    <w:rsid w:val="00AF07E7"/>
    <w:rsid w:val="00AF0830"/>
    <w:rsid w:val="00AF14F0"/>
    <w:rsid w:val="00AF17AE"/>
    <w:rsid w:val="00AF1BBD"/>
    <w:rsid w:val="00AF1D05"/>
    <w:rsid w:val="00AF1D67"/>
    <w:rsid w:val="00AF1DBE"/>
    <w:rsid w:val="00AF1E09"/>
    <w:rsid w:val="00AF1FDD"/>
    <w:rsid w:val="00AF2243"/>
    <w:rsid w:val="00AF2D6F"/>
    <w:rsid w:val="00AF3513"/>
    <w:rsid w:val="00AF38B7"/>
    <w:rsid w:val="00AF39B3"/>
    <w:rsid w:val="00AF3A1F"/>
    <w:rsid w:val="00AF3AAD"/>
    <w:rsid w:val="00AF3AE9"/>
    <w:rsid w:val="00AF3B82"/>
    <w:rsid w:val="00AF472D"/>
    <w:rsid w:val="00AF4AF8"/>
    <w:rsid w:val="00AF4C28"/>
    <w:rsid w:val="00AF5091"/>
    <w:rsid w:val="00AF5920"/>
    <w:rsid w:val="00AF5B62"/>
    <w:rsid w:val="00AF6DA0"/>
    <w:rsid w:val="00AF715F"/>
    <w:rsid w:val="00AF71DF"/>
    <w:rsid w:val="00AF7245"/>
    <w:rsid w:val="00AF741D"/>
    <w:rsid w:val="00AF773D"/>
    <w:rsid w:val="00B00115"/>
    <w:rsid w:val="00B004C5"/>
    <w:rsid w:val="00B00518"/>
    <w:rsid w:val="00B006D7"/>
    <w:rsid w:val="00B00B75"/>
    <w:rsid w:val="00B00C28"/>
    <w:rsid w:val="00B00F20"/>
    <w:rsid w:val="00B011AF"/>
    <w:rsid w:val="00B015C0"/>
    <w:rsid w:val="00B0166B"/>
    <w:rsid w:val="00B0174D"/>
    <w:rsid w:val="00B01931"/>
    <w:rsid w:val="00B01D0A"/>
    <w:rsid w:val="00B0215A"/>
    <w:rsid w:val="00B021AE"/>
    <w:rsid w:val="00B021D7"/>
    <w:rsid w:val="00B027EE"/>
    <w:rsid w:val="00B02931"/>
    <w:rsid w:val="00B02B01"/>
    <w:rsid w:val="00B02B8F"/>
    <w:rsid w:val="00B03902"/>
    <w:rsid w:val="00B03BB0"/>
    <w:rsid w:val="00B03BB5"/>
    <w:rsid w:val="00B03BDC"/>
    <w:rsid w:val="00B03CCD"/>
    <w:rsid w:val="00B04052"/>
    <w:rsid w:val="00B04090"/>
    <w:rsid w:val="00B045B1"/>
    <w:rsid w:val="00B04828"/>
    <w:rsid w:val="00B04A46"/>
    <w:rsid w:val="00B04F3E"/>
    <w:rsid w:val="00B0549C"/>
    <w:rsid w:val="00B054B8"/>
    <w:rsid w:val="00B0580D"/>
    <w:rsid w:val="00B05AA7"/>
    <w:rsid w:val="00B05D76"/>
    <w:rsid w:val="00B060F2"/>
    <w:rsid w:val="00B068D6"/>
    <w:rsid w:val="00B07217"/>
    <w:rsid w:val="00B07287"/>
    <w:rsid w:val="00B073AC"/>
    <w:rsid w:val="00B07FD2"/>
    <w:rsid w:val="00B1012F"/>
    <w:rsid w:val="00B10207"/>
    <w:rsid w:val="00B102A2"/>
    <w:rsid w:val="00B10326"/>
    <w:rsid w:val="00B10B9B"/>
    <w:rsid w:val="00B10D0B"/>
    <w:rsid w:val="00B10EF6"/>
    <w:rsid w:val="00B11123"/>
    <w:rsid w:val="00B11306"/>
    <w:rsid w:val="00B1135B"/>
    <w:rsid w:val="00B114B3"/>
    <w:rsid w:val="00B12134"/>
    <w:rsid w:val="00B1249E"/>
    <w:rsid w:val="00B126B5"/>
    <w:rsid w:val="00B1286D"/>
    <w:rsid w:val="00B12BE2"/>
    <w:rsid w:val="00B12EF8"/>
    <w:rsid w:val="00B132D8"/>
    <w:rsid w:val="00B13A69"/>
    <w:rsid w:val="00B13C7A"/>
    <w:rsid w:val="00B1416F"/>
    <w:rsid w:val="00B141E7"/>
    <w:rsid w:val="00B1485F"/>
    <w:rsid w:val="00B14AF2"/>
    <w:rsid w:val="00B14D99"/>
    <w:rsid w:val="00B15243"/>
    <w:rsid w:val="00B1577A"/>
    <w:rsid w:val="00B15935"/>
    <w:rsid w:val="00B15B2E"/>
    <w:rsid w:val="00B161F2"/>
    <w:rsid w:val="00B16449"/>
    <w:rsid w:val="00B16660"/>
    <w:rsid w:val="00B16ED4"/>
    <w:rsid w:val="00B1701B"/>
    <w:rsid w:val="00B172DD"/>
    <w:rsid w:val="00B1741D"/>
    <w:rsid w:val="00B17BBC"/>
    <w:rsid w:val="00B200B7"/>
    <w:rsid w:val="00B20523"/>
    <w:rsid w:val="00B214C6"/>
    <w:rsid w:val="00B21E13"/>
    <w:rsid w:val="00B2214B"/>
    <w:rsid w:val="00B22459"/>
    <w:rsid w:val="00B22B66"/>
    <w:rsid w:val="00B22EBD"/>
    <w:rsid w:val="00B23594"/>
    <w:rsid w:val="00B23A09"/>
    <w:rsid w:val="00B23AAF"/>
    <w:rsid w:val="00B23CE0"/>
    <w:rsid w:val="00B24001"/>
    <w:rsid w:val="00B24197"/>
    <w:rsid w:val="00B241BC"/>
    <w:rsid w:val="00B24280"/>
    <w:rsid w:val="00B247F4"/>
    <w:rsid w:val="00B24B44"/>
    <w:rsid w:val="00B24C5E"/>
    <w:rsid w:val="00B24EAF"/>
    <w:rsid w:val="00B2527F"/>
    <w:rsid w:val="00B253C1"/>
    <w:rsid w:val="00B259B9"/>
    <w:rsid w:val="00B25AE8"/>
    <w:rsid w:val="00B25B24"/>
    <w:rsid w:val="00B25CB3"/>
    <w:rsid w:val="00B25FE6"/>
    <w:rsid w:val="00B26389"/>
    <w:rsid w:val="00B26CF4"/>
    <w:rsid w:val="00B272D1"/>
    <w:rsid w:val="00B27483"/>
    <w:rsid w:val="00B27C93"/>
    <w:rsid w:val="00B30090"/>
    <w:rsid w:val="00B30245"/>
    <w:rsid w:val="00B3025B"/>
    <w:rsid w:val="00B30897"/>
    <w:rsid w:val="00B3090D"/>
    <w:rsid w:val="00B30D84"/>
    <w:rsid w:val="00B30F3E"/>
    <w:rsid w:val="00B3100A"/>
    <w:rsid w:val="00B31302"/>
    <w:rsid w:val="00B3145D"/>
    <w:rsid w:val="00B3199E"/>
    <w:rsid w:val="00B31A95"/>
    <w:rsid w:val="00B31EE5"/>
    <w:rsid w:val="00B32973"/>
    <w:rsid w:val="00B32A7A"/>
    <w:rsid w:val="00B3311D"/>
    <w:rsid w:val="00B3357E"/>
    <w:rsid w:val="00B338EE"/>
    <w:rsid w:val="00B33B31"/>
    <w:rsid w:val="00B343BD"/>
    <w:rsid w:val="00B34540"/>
    <w:rsid w:val="00B347F3"/>
    <w:rsid w:val="00B34A80"/>
    <w:rsid w:val="00B34D9C"/>
    <w:rsid w:val="00B351B4"/>
    <w:rsid w:val="00B351E5"/>
    <w:rsid w:val="00B35720"/>
    <w:rsid w:val="00B35F5D"/>
    <w:rsid w:val="00B36212"/>
    <w:rsid w:val="00B3630B"/>
    <w:rsid w:val="00B365C0"/>
    <w:rsid w:val="00B36C6D"/>
    <w:rsid w:val="00B36D97"/>
    <w:rsid w:val="00B36F02"/>
    <w:rsid w:val="00B3781D"/>
    <w:rsid w:val="00B40140"/>
    <w:rsid w:val="00B40262"/>
    <w:rsid w:val="00B40649"/>
    <w:rsid w:val="00B40B94"/>
    <w:rsid w:val="00B40BB6"/>
    <w:rsid w:val="00B40E3A"/>
    <w:rsid w:val="00B40E77"/>
    <w:rsid w:val="00B41849"/>
    <w:rsid w:val="00B419B9"/>
    <w:rsid w:val="00B41D86"/>
    <w:rsid w:val="00B421BA"/>
    <w:rsid w:val="00B422DE"/>
    <w:rsid w:val="00B42325"/>
    <w:rsid w:val="00B42989"/>
    <w:rsid w:val="00B442A0"/>
    <w:rsid w:val="00B443D8"/>
    <w:rsid w:val="00B444A3"/>
    <w:rsid w:val="00B44737"/>
    <w:rsid w:val="00B449A4"/>
    <w:rsid w:val="00B44CE8"/>
    <w:rsid w:val="00B44DC8"/>
    <w:rsid w:val="00B4503E"/>
    <w:rsid w:val="00B453C2"/>
    <w:rsid w:val="00B454FF"/>
    <w:rsid w:val="00B455BD"/>
    <w:rsid w:val="00B45841"/>
    <w:rsid w:val="00B45A53"/>
    <w:rsid w:val="00B46BCA"/>
    <w:rsid w:val="00B475DC"/>
    <w:rsid w:val="00B478AA"/>
    <w:rsid w:val="00B479B8"/>
    <w:rsid w:val="00B47BA4"/>
    <w:rsid w:val="00B47DDF"/>
    <w:rsid w:val="00B47E26"/>
    <w:rsid w:val="00B5029E"/>
    <w:rsid w:val="00B5086A"/>
    <w:rsid w:val="00B50BA3"/>
    <w:rsid w:val="00B51B9B"/>
    <w:rsid w:val="00B5252B"/>
    <w:rsid w:val="00B525C6"/>
    <w:rsid w:val="00B52961"/>
    <w:rsid w:val="00B52A0C"/>
    <w:rsid w:val="00B52A5E"/>
    <w:rsid w:val="00B53178"/>
    <w:rsid w:val="00B53602"/>
    <w:rsid w:val="00B536EF"/>
    <w:rsid w:val="00B53718"/>
    <w:rsid w:val="00B53810"/>
    <w:rsid w:val="00B538D7"/>
    <w:rsid w:val="00B53CF0"/>
    <w:rsid w:val="00B53F24"/>
    <w:rsid w:val="00B54654"/>
    <w:rsid w:val="00B54CD2"/>
    <w:rsid w:val="00B55117"/>
    <w:rsid w:val="00B552F8"/>
    <w:rsid w:val="00B55360"/>
    <w:rsid w:val="00B5557E"/>
    <w:rsid w:val="00B557E7"/>
    <w:rsid w:val="00B559F0"/>
    <w:rsid w:val="00B55AF0"/>
    <w:rsid w:val="00B56018"/>
    <w:rsid w:val="00B56053"/>
    <w:rsid w:val="00B5658C"/>
    <w:rsid w:val="00B5675E"/>
    <w:rsid w:val="00B56AF0"/>
    <w:rsid w:val="00B56B27"/>
    <w:rsid w:val="00B572FD"/>
    <w:rsid w:val="00B57496"/>
    <w:rsid w:val="00B57CDF"/>
    <w:rsid w:val="00B57D4C"/>
    <w:rsid w:val="00B60011"/>
    <w:rsid w:val="00B60677"/>
    <w:rsid w:val="00B609C6"/>
    <w:rsid w:val="00B60C40"/>
    <w:rsid w:val="00B6106E"/>
    <w:rsid w:val="00B6162D"/>
    <w:rsid w:val="00B61BE7"/>
    <w:rsid w:val="00B62267"/>
    <w:rsid w:val="00B62A8A"/>
    <w:rsid w:val="00B62AE0"/>
    <w:rsid w:val="00B63425"/>
    <w:rsid w:val="00B63794"/>
    <w:rsid w:val="00B63818"/>
    <w:rsid w:val="00B6388C"/>
    <w:rsid w:val="00B64015"/>
    <w:rsid w:val="00B64176"/>
    <w:rsid w:val="00B64289"/>
    <w:rsid w:val="00B64491"/>
    <w:rsid w:val="00B645F4"/>
    <w:rsid w:val="00B64984"/>
    <w:rsid w:val="00B65CC3"/>
    <w:rsid w:val="00B66211"/>
    <w:rsid w:val="00B662DE"/>
    <w:rsid w:val="00B67C76"/>
    <w:rsid w:val="00B67D1C"/>
    <w:rsid w:val="00B701C7"/>
    <w:rsid w:val="00B706A2"/>
    <w:rsid w:val="00B70FAC"/>
    <w:rsid w:val="00B71608"/>
    <w:rsid w:val="00B7163A"/>
    <w:rsid w:val="00B7175C"/>
    <w:rsid w:val="00B71F66"/>
    <w:rsid w:val="00B7213B"/>
    <w:rsid w:val="00B72683"/>
    <w:rsid w:val="00B72832"/>
    <w:rsid w:val="00B72E42"/>
    <w:rsid w:val="00B7305A"/>
    <w:rsid w:val="00B73501"/>
    <w:rsid w:val="00B738FF"/>
    <w:rsid w:val="00B74BDF"/>
    <w:rsid w:val="00B75DEB"/>
    <w:rsid w:val="00B76452"/>
    <w:rsid w:val="00B76C3B"/>
    <w:rsid w:val="00B76EEA"/>
    <w:rsid w:val="00B76F19"/>
    <w:rsid w:val="00B7730B"/>
    <w:rsid w:val="00B7746F"/>
    <w:rsid w:val="00B776D0"/>
    <w:rsid w:val="00B7772C"/>
    <w:rsid w:val="00B778D8"/>
    <w:rsid w:val="00B80268"/>
    <w:rsid w:val="00B808FD"/>
    <w:rsid w:val="00B80F31"/>
    <w:rsid w:val="00B81D77"/>
    <w:rsid w:val="00B81F35"/>
    <w:rsid w:val="00B82942"/>
    <w:rsid w:val="00B82D68"/>
    <w:rsid w:val="00B82EBE"/>
    <w:rsid w:val="00B830A3"/>
    <w:rsid w:val="00B83628"/>
    <w:rsid w:val="00B83956"/>
    <w:rsid w:val="00B83FF5"/>
    <w:rsid w:val="00B84193"/>
    <w:rsid w:val="00B841CA"/>
    <w:rsid w:val="00B84A09"/>
    <w:rsid w:val="00B84E7A"/>
    <w:rsid w:val="00B854CE"/>
    <w:rsid w:val="00B85539"/>
    <w:rsid w:val="00B85A62"/>
    <w:rsid w:val="00B85E83"/>
    <w:rsid w:val="00B86090"/>
    <w:rsid w:val="00B8624E"/>
    <w:rsid w:val="00B86537"/>
    <w:rsid w:val="00B86AEA"/>
    <w:rsid w:val="00B86CE8"/>
    <w:rsid w:val="00B86FD7"/>
    <w:rsid w:val="00B871E8"/>
    <w:rsid w:val="00B87806"/>
    <w:rsid w:val="00B878FD"/>
    <w:rsid w:val="00B87A02"/>
    <w:rsid w:val="00B87EC9"/>
    <w:rsid w:val="00B87F23"/>
    <w:rsid w:val="00B906B7"/>
    <w:rsid w:val="00B9173C"/>
    <w:rsid w:val="00B91DE8"/>
    <w:rsid w:val="00B92025"/>
    <w:rsid w:val="00B92631"/>
    <w:rsid w:val="00B93380"/>
    <w:rsid w:val="00B93645"/>
    <w:rsid w:val="00B93874"/>
    <w:rsid w:val="00B93D08"/>
    <w:rsid w:val="00B94689"/>
    <w:rsid w:val="00B94A4A"/>
    <w:rsid w:val="00B94AD1"/>
    <w:rsid w:val="00B95272"/>
    <w:rsid w:val="00B952CA"/>
    <w:rsid w:val="00B9569E"/>
    <w:rsid w:val="00B9570E"/>
    <w:rsid w:val="00B95765"/>
    <w:rsid w:val="00B958B2"/>
    <w:rsid w:val="00B95A9F"/>
    <w:rsid w:val="00B95AE0"/>
    <w:rsid w:val="00B96D2C"/>
    <w:rsid w:val="00B96FBE"/>
    <w:rsid w:val="00B9764F"/>
    <w:rsid w:val="00B97A16"/>
    <w:rsid w:val="00B97D5C"/>
    <w:rsid w:val="00BA084C"/>
    <w:rsid w:val="00BA0BD8"/>
    <w:rsid w:val="00BA0E68"/>
    <w:rsid w:val="00BA12CA"/>
    <w:rsid w:val="00BA137C"/>
    <w:rsid w:val="00BA1B2E"/>
    <w:rsid w:val="00BA20FC"/>
    <w:rsid w:val="00BA22AC"/>
    <w:rsid w:val="00BA2547"/>
    <w:rsid w:val="00BA2ADF"/>
    <w:rsid w:val="00BA307A"/>
    <w:rsid w:val="00BA344C"/>
    <w:rsid w:val="00BA347A"/>
    <w:rsid w:val="00BA347D"/>
    <w:rsid w:val="00BA37C4"/>
    <w:rsid w:val="00BA3E02"/>
    <w:rsid w:val="00BA404C"/>
    <w:rsid w:val="00BA40B4"/>
    <w:rsid w:val="00BA44D2"/>
    <w:rsid w:val="00BA464E"/>
    <w:rsid w:val="00BA46AC"/>
    <w:rsid w:val="00BA4A86"/>
    <w:rsid w:val="00BA5274"/>
    <w:rsid w:val="00BA5334"/>
    <w:rsid w:val="00BA54DA"/>
    <w:rsid w:val="00BA60D5"/>
    <w:rsid w:val="00BA6203"/>
    <w:rsid w:val="00BA631A"/>
    <w:rsid w:val="00BA6652"/>
    <w:rsid w:val="00BA6CE2"/>
    <w:rsid w:val="00BA6D6A"/>
    <w:rsid w:val="00BA6DD1"/>
    <w:rsid w:val="00BA7147"/>
    <w:rsid w:val="00BA770E"/>
    <w:rsid w:val="00BA7B65"/>
    <w:rsid w:val="00BB00CF"/>
    <w:rsid w:val="00BB0307"/>
    <w:rsid w:val="00BB069A"/>
    <w:rsid w:val="00BB09C0"/>
    <w:rsid w:val="00BB141E"/>
    <w:rsid w:val="00BB1598"/>
    <w:rsid w:val="00BB1A53"/>
    <w:rsid w:val="00BB2042"/>
    <w:rsid w:val="00BB2188"/>
    <w:rsid w:val="00BB2460"/>
    <w:rsid w:val="00BB24DB"/>
    <w:rsid w:val="00BB2D2B"/>
    <w:rsid w:val="00BB2DD8"/>
    <w:rsid w:val="00BB3258"/>
    <w:rsid w:val="00BB3582"/>
    <w:rsid w:val="00BB3892"/>
    <w:rsid w:val="00BB3AA5"/>
    <w:rsid w:val="00BB3BF6"/>
    <w:rsid w:val="00BB43E2"/>
    <w:rsid w:val="00BB44AD"/>
    <w:rsid w:val="00BB4880"/>
    <w:rsid w:val="00BB48A3"/>
    <w:rsid w:val="00BB513E"/>
    <w:rsid w:val="00BB53F7"/>
    <w:rsid w:val="00BB60CF"/>
    <w:rsid w:val="00BB6214"/>
    <w:rsid w:val="00BB62F2"/>
    <w:rsid w:val="00BB68EF"/>
    <w:rsid w:val="00BB6BAA"/>
    <w:rsid w:val="00BB7045"/>
    <w:rsid w:val="00BB716C"/>
    <w:rsid w:val="00BB72C9"/>
    <w:rsid w:val="00BB7312"/>
    <w:rsid w:val="00BB760A"/>
    <w:rsid w:val="00BB79B0"/>
    <w:rsid w:val="00BC004F"/>
    <w:rsid w:val="00BC085C"/>
    <w:rsid w:val="00BC08DF"/>
    <w:rsid w:val="00BC0B69"/>
    <w:rsid w:val="00BC0E5C"/>
    <w:rsid w:val="00BC15A4"/>
    <w:rsid w:val="00BC1EBF"/>
    <w:rsid w:val="00BC3324"/>
    <w:rsid w:val="00BC38FD"/>
    <w:rsid w:val="00BC3C9C"/>
    <w:rsid w:val="00BC3D62"/>
    <w:rsid w:val="00BC4024"/>
    <w:rsid w:val="00BC463F"/>
    <w:rsid w:val="00BC4752"/>
    <w:rsid w:val="00BC4A31"/>
    <w:rsid w:val="00BC5360"/>
    <w:rsid w:val="00BC53B7"/>
    <w:rsid w:val="00BC54D3"/>
    <w:rsid w:val="00BC6664"/>
    <w:rsid w:val="00BC6880"/>
    <w:rsid w:val="00BC6A63"/>
    <w:rsid w:val="00BC6C25"/>
    <w:rsid w:val="00BC6D35"/>
    <w:rsid w:val="00BC6F50"/>
    <w:rsid w:val="00BC7164"/>
    <w:rsid w:val="00BC77A0"/>
    <w:rsid w:val="00BC77AE"/>
    <w:rsid w:val="00BC79F1"/>
    <w:rsid w:val="00BC7C49"/>
    <w:rsid w:val="00BC7DAB"/>
    <w:rsid w:val="00BD0265"/>
    <w:rsid w:val="00BD04CA"/>
    <w:rsid w:val="00BD0C76"/>
    <w:rsid w:val="00BD0E35"/>
    <w:rsid w:val="00BD1095"/>
    <w:rsid w:val="00BD162C"/>
    <w:rsid w:val="00BD18CB"/>
    <w:rsid w:val="00BD1E17"/>
    <w:rsid w:val="00BD25DF"/>
    <w:rsid w:val="00BD2859"/>
    <w:rsid w:val="00BD285A"/>
    <w:rsid w:val="00BD2ABE"/>
    <w:rsid w:val="00BD2F0C"/>
    <w:rsid w:val="00BD35FF"/>
    <w:rsid w:val="00BD3668"/>
    <w:rsid w:val="00BD36AD"/>
    <w:rsid w:val="00BD3DCF"/>
    <w:rsid w:val="00BD3F96"/>
    <w:rsid w:val="00BD43D6"/>
    <w:rsid w:val="00BD44C8"/>
    <w:rsid w:val="00BD5444"/>
    <w:rsid w:val="00BD5F12"/>
    <w:rsid w:val="00BD60FB"/>
    <w:rsid w:val="00BD6272"/>
    <w:rsid w:val="00BD67F9"/>
    <w:rsid w:val="00BD6D72"/>
    <w:rsid w:val="00BD6E10"/>
    <w:rsid w:val="00BD7369"/>
    <w:rsid w:val="00BD7486"/>
    <w:rsid w:val="00BD76A5"/>
    <w:rsid w:val="00BE016B"/>
    <w:rsid w:val="00BE052B"/>
    <w:rsid w:val="00BE0A7B"/>
    <w:rsid w:val="00BE0B58"/>
    <w:rsid w:val="00BE0D24"/>
    <w:rsid w:val="00BE0D79"/>
    <w:rsid w:val="00BE1412"/>
    <w:rsid w:val="00BE16C1"/>
    <w:rsid w:val="00BE1F5C"/>
    <w:rsid w:val="00BE1FA0"/>
    <w:rsid w:val="00BE2D2C"/>
    <w:rsid w:val="00BE3114"/>
    <w:rsid w:val="00BE3249"/>
    <w:rsid w:val="00BE3540"/>
    <w:rsid w:val="00BE38CD"/>
    <w:rsid w:val="00BE3D12"/>
    <w:rsid w:val="00BE4013"/>
    <w:rsid w:val="00BE428C"/>
    <w:rsid w:val="00BE4741"/>
    <w:rsid w:val="00BE486D"/>
    <w:rsid w:val="00BE4E73"/>
    <w:rsid w:val="00BE4EE4"/>
    <w:rsid w:val="00BE52BF"/>
    <w:rsid w:val="00BE53EC"/>
    <w:rsid w:val="00BE5AD8"/>
    <w:rsid w:val="00BE6449"/>
    <w:rsid w:val="00BE678F"/>
    <w:rsid w:val="00BE7119"/>
    <w:rsid w:val="00BE76BD"/>
    <w:rsid w:val="00BF022D"/>
    <w:rsid w:val="00BF02F0"/>
    <w:rsid w:val="00BF0323"/>
    <w:rsid w:val="00BF06A7"/>
    <w:rsid w:val="00BF0CD2"/>
    <w:rsid w:val="00BF26B9"/>
    <w:rsid w:val="00BF2719"/>
    <w:rsid w:val="00BF281E"/>
    <w:rsid w:val="00BF2836"/>
    <w:rsid w:val="00BF2D79"/>
    <w:rsid w:val="00BF3AFD"/>
    <w:rsid w:val="00BF3D6C"/>
    <w:rsid w:val="00BF3E3E"/>
    <w:rsid w:val="00BF4561"/>
    <w:rsid w:val="00BF46CB"/>
    <w:rsid w:val="00BF5444"/>
    <w:rsid w:val="00BF560C"/>
    <w:rsid w:val="00BF5D1A"/>
    <w:rsid w:val="00BF5E1D"/>
    <w:rsid w:val="00BF6B89"/>
    <w:rsid w:val="00BF6C7B"/>
    <w:rsid w:val="00BF72A3"/>
    <w:rsid w:val="00BF7865"/>
    <w:rsid w:val="00BF78D0"/>
    <w:rsid w:val="00BF7FEC"/>
    <w:rsid w:val="00C009F2"/>
    <w:rsid w:val="00C01131"/>
    <w:rsid w:val="00C0173A"/>
    <w:rsid w:val="00C01BBF"/>
    <w:rsid w:val="00C02172"/>
    <w:rsid w:val="00C02B72"/>
    <w:rsid w:val="00C02C85"/>
    <w:rsid w:val="00C03008"/>
    <w:rsid w:val="00C0333B"/>
    <w:rsid w:val="00C03490"/>
    <w:rsid w:val="00C034CB"/>
    <w:rsid w:val="00C03679"/>
    <w:rsid w:val="00C039D0"/>
    <w:rsid w:val="00C03ABD"/>
    <w:rsid w:val="00C03B22"/>
    <w:rsid w:val="00C040CA"/>
    <w:rsid w:val="00C04616"/>
    <w:rsid w:val="00C0470E"/>
    <w:rsid w:val="00C049C6"/>
    <w:rsid w:val="00C051A8"/>
    <w:rsid w:val="00C054BC"/>
    <w:rsid w:val="00C05751"/>
    <w:rsid w:val="00C05BB1"/>
    <w:rsid w:val="00C0606A"/>
    <w:rsid w:val="00C0651E"/>
    <w:rsid w:val="00C06680"/>
    <w:rsid w:val="00C06852"/>
    <w:rsid w:val="00C07670"/>
    <w:rsid w:val="00C07856"/>
    <w:rsid w:val="00C07932"/>
    <w:rsid w:val="00C07CD1"/>
    <w:rsid w:val="00C07EBF"/>
    <w:rsid w:val="00C102D4"/>
    <w:rsid w:val="00C10A08"/>
    <w:rsid w:val="00C10DCF"/>
    <w:rsid w:val="00C11124"/>
    <w:rsid w:val="00C11967"/>
    <w:rsid w:val="00C11C61"/>
    <w:rsid w:val="00C11F4F"/>
    <w:rsid w:val="00C11F61"/>
    <w:rsid w:val="00C11F67"/>
    <w:rsid w:val="00C122EC"/>
    <w:rsid w:val="00C127C2"/>
    <w:rsid w:val="00C12D28"/>
    <w:rsid w:val="00C13624"/>
    <w:rsid w:val="00C139C7"/>
    <w:rsid w:val="00C13B7F"/>
    <w:rsid w:val="00C154A1"/>
    <w:rsid w:val="00C157AD"/>
    <w:rsid w:val="00C157EC"/>
    <w:rsid w:val="00C15947"/>
    <w:rsid w:val="00C15ABF"/>
    <w:rsid w:val="00C16058"/>
    <w:rsid w:val="00C161C1"/>
    <w:rsid w:val="00C1682F"/>
    <w:rsid w:val="00C1705B"/>
    <w:rsid w:val="00C17337"/>
    <w:rsid w:val="00C17520"/>
    <w:rsid w:val="00C17897"/>
    <w:rsid w:val="00C17C8E"/>
    <w:rsid w:val="00C17CA7"/>
    <w:rsid w:val="00C17D57"/>
    <w:rsid w:val="00C17D7B"/>
    <w:rsid w:val="00C206B4"/>
    <w:rsid w:val="00C208E7"/>
    <w:rsid w:val="00C2109F"/>
    <w:rsid w:val="00C213E2"/>
    <w:rsid w:val="00C219DA"/>
    <w:rsid w:val="00C21B87"/>
    <w:rsid w:val="00C21F05"/>
    <w:rsid w:val="00C22001"/>
    <w:rsid w:val="00C22157"/>
    <w:rsid w:val="00C227B1"/>
    <w:rsid w:val="00C2280E"/>
    <w:rsid w:val="00C22C13"/>
    <w:rsid w:val="00C22DAE"/>
    <w:rsid w:val="00C23128"/>
    <w:rsid w:val="00C2336B"/>
    <w:rsid w:val="00C23828"/>
    <w:rsid w:val="00C2391B"/>
    <w:rsid w:val="00C23DB6"/>
    <w:rsid w:val="00C24072"/>
    <w:rsid w:val="00C2442F"/>
    <w:rsid w:val="00C246BB"/>
    <w:rsid w:val="00C24839"/>
    <w:rsid w:val="00C24DCD"/>
    <w:rsid w:val="00C25013"/>
    <w:rsid w:val="00C2551E"/>
    <w:rsid w:val="00C256AB"/>
    <w:rsid w:val="00C25849"/>
    <w:rsid w:val="00C25C41"/>
    <w:rsid w:val="00C25E5C"/>
    <w:rsid w:val="00C2608D"/>
    <w:rsid w:val="00C26112"/>
    <w:rsid w:val="00C265B6"/>
    <w:rsid w:val="00C26F81"/>
    <w:rsid w:val="00C27111"/>
    <w:rsid w:val="00C30081"/>
    <w:rsid w:val="00C304DC"/>
    <w:rsid w:val="00C30545"/>
    <w:rsid w:val="00C30DB3"/>
    <w:rsid w:val="00C312C4"/>
    <w:rsid w:val="00C31C72"/>
    <w:rsid w:val="00C31CAF"/>
    <w:rsid w:val="00C33450"/>
    <w:rsid w:val="00C33E6B"/>
    <w:rsid w:val="00C3429F"/>
    <w:rsid w:val="00C34612"/>
    <w:rsid w:val="00C34BA6"/>
    <w:rsid w:val="00C3597B"/>
    <w:rsid w:val="00C36176"/>
    <w:rsid w:val="00C36366"/>
    <w:rsid w:val="00C36984"/>
    <w:rsid w:val="00C36A16"/>
    <w:rsid w:val="00C36A49"/>
    <w:rsid w:val="00C36AE7"/>
    <w:rsid w:val="00C37CF5"/>
    <w:rsid w:val="00C37D2E"/>
    <w:rsid w:val="00C37E8B"/>
    <w:rsid w:val="00C4005A"/>
    <w:rsid w:val="00C4024E"/>
    <w:rsid w:val="00C403AF"/>
    <w:rsid w:val="00C40496"/>
    <w:rsid w:val="00C409D5"/>
    <w:rsid w:val="00C41551"/>
    <w:rsid w:val="00C4194B"/>
    <w:rsid w:val="00C41C3E"/>
    <w:rsid w:val="00C42672"/>
    <w:rsid w:val="00C427BB"/>
    <w:rsid w:val="00C432BB"/>
    <w:rsid w:val="00C435C3"/>
    <w:rsid w:val="00C437EB"/>
    <w:rsid w:val="00C438DF"/>
    <w:rsid w:val="00C43B9C"/>
    <w:rsid w:val="00C4420B"/>
    <w:rsid w:val="00C442A1"/>
    <w:rsid w:val="00C44334"/>
    <w:rsid w:val="00C44C75"/>
    <w:rsid w:val="00C44DC4"/>
    <w:rsid w:val="00C44E5F"/>
    <w:rsid w:val="00C44FA2"/>
    <w:rsid w:val="00C454D8"/>
    <w:rsid w:val="00C45936"/>
    <w:rsid w:val="00C45E34"/>
    <w:rsid w:val="00C461C3"/>
    <w:rsid w:val="00C47674"/>
    <w:rsid w:val="00C47F6B"/>
    <w:rsid w:val="00C5036A"/>
    <w:rsid w:val="00C50BC1"/>
    <w:rsid w:val="00C50E37"/>
    <w:rsid w:val="00C513F5"/>
    <w:rsid w:val="00C51B7C"/>
    <w:rsid w:val="00C51C12"/>
    <w:rsid w:val="00C51DD9"/>
    <w:rsid w:val="00C52326"/>
    <w:rsid w:val="00C53115"/>
    <w:rsid w:val="00C53197"/>
    <w:rsid w:val="00C533B7"/>
    <w:rsid w:val="00C538AA"/>
    <w:rsid w:val="00C53C0F"/>
    <w:rsid w:val="00C53E67"/>
    <w:rsid w:val="00C53F3D"/>
    <w:rsid w:val="00C54192"/>
    <w:rsid w:val="00C54346"/>
    <w:rsid w:val="00C5496F"/>
    <w:rsid w:val="00C54F00"/>
    <w:rsid w:val="00C55149"/>
    <w:rsid w:val="00C5587E"/>
    <w:rsid w:val="00C55E59"/>
    <w:rsid w:val="00C55F08"/>
    <w:rsid w:val="00C562D2"/>
    <w:rsid w:val="00C56D44"/>
    <w:rsid w:val="00C56FBD"/>
    <w:rsid w:val="00C570F4"/>
    <w:rsid w:val="00C5736F"/>
    <w:rsid w:val="00C57463"/>
    <w:rsid w:val="00C57AF6"/>
    <w:rsid w:val="00C57FA5"/>
    <w:rsid w:val="00C57FA6"/>
    <w:rsid w:val="00C6009D"/>
    <w:rsid w:val="00C60226"/>
    <w:rsid w:val="00C6039C"/>
    <w:rsid w:val="00C609D2"/>
    <w:rsid w:val="00C61471"/>
    <w:rsid w:val="00C61562"/>
    <w:rsid w:val="00C618E7"/>
    <w:rsid w:val="00C6206A"/>
    <w:rsid w:val="00C62140"/>
    <w:rsid w:val="00C6234B"/>
    <w:rsid w:val="00C623BF"/>
    <w:rsid w:val="00C6294E"/>
    <w:rsid w:val="00C6345A"/>
    <w:rsid w:val="00C63D4D"/>
    <w:rsid w:val="00C63E1C"/>
    <w:rsid w:val="00C63EAE"/>
    <w:rsid w:val="00C64083"/>
    <w:rsid w:val="00C641AF"/>
    <w:rsid w:val="00C646DA"/>
    <w:rsid w:val="00C64B0D"/>
    <w:rsid w:val="00C64D22"/>
    <w:rsid w:val="00C653DD"/>
    <w:rsid w:val="00C6548B"/>
    <w:rsid w:val="00C657CE"/>
    <w:rsid w:val="00C65829"/>
    <w:rsid w:val="00C66126"/>
    <w:rsid w:val="00C662F3"/>
    <w:rsid w:val="00C66335"/>
    <w:rsid w:val="00C66608"/>
    <w:rsid w:val="00C6678F"/>
    <w:rsid w:val="00C66E71"/>
    <w:rsid w:val="00C67494"/>
    <w:rsid w:val="00C67A14"/>
    <w:rsid w:val="00C67A17"/>
    <w:rsid w:val="00C70480"/>
    <w:rsid w:val="00C7054E"/>
    <w:rsid w:val="00C709EC"/>
    <w:rsid w:val="00C70A85"/>
    <w:rsid w:val="00C71073"/>
    <w:rsid w:val="00C713D9"/>
    <w:rsid w:val="00C714BB"/>
    <w:rsid w:val="00C71FD4"/>
    <w:rsid w:val="00C72443"/>
    <w:rsid w:val="00C7318C"/>
    <w:rsid w:val="00C73260"/>
    <w:rsid w:val="00C73989"/>
    <w:rsid w:val="00C73B9E"/>
    <w:rsid w:val="00C73F39"/>
    <w:rsid w:val="00C7447C"/>
    <w:rsid w:val="00C744C7"/>
    <w:rsid w:val="00C749FC"/>
    <w:rsid w:val="00C74C16"/>
    <w:rsid w:val="00C75242"/>
    <w:rsid w:val="00C759DD"/>
    <w:rsid w:val="00C75BAF"/>
    <w:rsid w:val="00C75BC4"/>
    <w:rsid w:val="00C75ED2"/>
    <w:rsid w:val="00C7629F"/>
    <w:rsid w:val="00C762B6"/>
    <w:rsid w:val="00C76354"/>
    <w:rsid w:val="00C76841"/>
    <w:rsid w:val="00C76FC5"/>
    <w:rsid w:val="00C77F54"/>
    <w:rsid w:val="00C80661"/>
    <w:rsid w:val="00C807B8"/>
    <w:rsid w:val="00C80A0F"/>
    <w:rsid w:val="00C81153"/>
    <w:rsid w:val="00C811F4"/>
    <w:rsid w:val="00C81486"/>
    <w:rsid w:val="00C815A3"/>
    <w:rsid w:val="00C8178D"/>
    <w:rsid w:val="00C82283"/>
    <w:rsid w:val="00C82709"/>
    <w:rsid w:val="00C82B00"/>
    <w:rsid w:val="00C82BAD"/>
    <w:rsid w:val="00C82BE0"/>
    <w:rsid w:val="00C836C1"/>
    <w:rsid w:val="00C8396E"/>
    <w:rsid w:val="00C83F25"/>
    <w:rsid w:val="00C8476E"/>
    <w:rsid w:val="00C84965"/>
    <w:rsid w:val="00C84992"/>
    <w:rsid w:val="00C84FDD"/>
    <w:rsid w:val="00C851D7"/>
    <w:rsid w:val="00C85617"/>
    <w:rsid w:val="00C8568C"/>
    <w:rsid w:val="00C859DE"/>
    <w:rsid w:val="00C85ADC"/>
    <w:rsid w:val="00C85EDB"/>
    <w:rsid w:val="00C86145"/>
    <w:rsid w:val="00C862F7"/>
    <w:rsid w:val="00C86361"/>
    <w:rsid w:val="00C8661B"/>
    <w:rsid w:val="00C86F3B"/>
    <w:rsid w:val="00C86FFE"/>
    <w:rsid w:val="00C873DF"/>
    <w:rsid w:val="00C87486"/>
    <w:rsid w:val="00C87517"/>
    <w:rsid w:val="00C87EB2"/>
    <w:rsid w:val="00C9003C"/>
    <w:rsid w:val="00C906CD"/>
    <w:rsid w:val="00C90C49"/>
    <w:rsid w:val="00C90C8D"/>
    <w:rsid w:val="00C90CF2"/>
    <w:rsid w:val="00C90CF9"/>
    <w:rsid w:val="00C90ED9"/>
    <w:rsid w:val="00C90F41"/>
    <w:rsid w:val="00C91306"/>
    <w:rsid w:val="00C91590"/>
    <w:rsid w:val="00C91959"/>
    <w:rsid w:val="00C919C6"/>
    <w:rsid w:val="00C91AA6"/>
    <w:rsid w:val="00C91E42"/>
    <w:rsid w:val="00C91F12"/>
    <w:rsid w:val="00C92079"/>
    <w:rsid w:val="00C92668"/>
    <w:rsid w:val="00C92722"/>
    <w:rsid w:val="00C9288B"/>
    <w:rsid w:val="00C92C23"/>
    <w:rsid w:val="00C92E8C"/>
    <w:rsid w:val="00C9370E"/>
    <w:rsid w:val="00C93802"/>
    <w:rsid w:val="00C939E0"/>
    <w:rsid w:val="00C949C8"/>
    <w:rsid w:val="00C94D29"/>
    <w:rsid w:val="00C95596"/>
    <w:rsid w:val="00C95CE9"/>
    <w:rsid w:val="00C95E3F"/>
    <w:rsid w:val="00C95FF2"/>
    <w:rsid w:val="00C9620D"/>
    <w:rsid w:val="00C962F4"/>
    <w:rsid w:val="00C96C98"/>
    <w:rsid w:val="00C976C2"/>
    <w:rsid w:val="00C9783D"/>
    <w:rsid w:val="00C97B4D"/>
    <w:rsid w:val="00CA01E5"/>
    <w:rsid w:val="00CA0306"/>
    <w:rsid w:val="00CA03C8"/>
    <w:rsid w:val="00CA0C5F"/>
    <w:rsid w:val="00CA139A"/>
    <w:rsid w:val="00CA188D"/>
    <w:rsid w:val="00CA1C64"/>
    <w:rsid w:val="00CA2056"/>
    <w:rsid w:val="00CA2777"/>
    <w:rsid w:val="00CA2899"/>
    <w:rsid w:val="00CA2B69"/>
    <w:rsid w:val="00CA2DF8"/>
    <w:rsid w:val="00CA333C"/>
    <w:rsid w:val="00CA3698"/>
    <w:rsid w:val="00CA38E7"/>
    <w:rsid w:val="00CA3A3D"/>
    <w:rsid w:val="00CA3A42"/>
    <w:rsid w:val="00CA3AA6"/>
    <w:rsid w:val="00CA4454"/>
    <w:rsid w:val="00CA465F"/>
    <w:rsid w:val="00CA472E"/>
    <w:rsid w:val="00CA48BE"/>
    <w:rsid w:val="00CA4A24"/>
    <w:rsid w:val="00CA5588"/>
    <w:rsid w:val="00CA57CA"/>
    <w:rsid w:val="00CA5A04"/>
    <w:rsid w:val="00CA63F6"/>
    <w:rsid w:val="00CA6906"/>
    <w:rsid w:val="00CA6AD3"/>
    <w:rsid w:val="00CA6C96"/>
    <w:rsid w:val="00CA6D3F"/>
    <w:rsid w:val="00CA75D5"/>
    <w:rsid w:val="00CA77CD"/>
    <w:rsid w:val="00CA77FB"/>
    <w:rsid w:val="00CA7B69"/>
    <w:rsid w:val="00CA7B76"/>
    <w:rsid w:val="00CA7C52"/>
    <w:rsid w:val="00CA7C95"/>
    <w:rsid w:val="00CB03FC"/>
    <w:rsid w:val="00CB0A5E"/>
    <w:rsid w:val="00CB0C9D"/>
    <w:rsid w:val="00CB0D41"/>
    <w:rsid w:val="00CB1236"/>
    <w:rsid w:val="00CB179C"/>
    <w:rsid w:val="00CB1876"/>
    <w:rsid w:val="00CB1D8B"/>
    <w:rsid w:val="00CB1DDC"/>
    <w:rsid w:val="00CB1F89"/>
    <w:rsid w:val="00CB1FE6"/>
    <w:rsid w:val="00CB224F"/>
    <w:rsid w:val="00CB235C"/>
    <w:rsid w:val="00CB2A09"/>
    <w:rsid w:val="00CB2ADF"/>
    <w:rsid w:val="00CB2D75"/>
    <w:rsid w:val="00CB32B9"/>
    <w:rsid w:val="00CB3310"/>
    <w:rsid w:val="00CB378B"/>
    <w:rsid w:val="00CB379B"/>
    <w:rsid w:val="00CB38E4"/>
    <w:rsid w:val="00CB3B56"/>
    <w:rsid w:val="00CB4010"/>
    <w:rsid w:val="00CB40E5"/>
    <w:rsid w:val="00CB489F"/>
    <w:rsid w:val="00CB4B98"/>
    <w:rsid w:val="00CB5219"/>
    <w:rsid w:val="00CB545B"/>
    <w:rsid w:val="00CB55B0"/>
    <w:rsid w:val="00CB5DD0"/>
    <w:rsid w:val="00CB60C1"/>
    <w:rsid w:val="00CB6166"/>
    <w:rsid w:val="00CB6457"/>
    <w:rsid w:val="00CB6A1B"/>
    <w:rsid w:val="00CB6B34"/>
    <w:rsid w:val="00CB6FF8"/>
    <w:rsid w:val="00CB76D2"/>
    <w:rsid w:val="00CB7AF9"/>
    <w:rsid w:val="00CB7E67"/>
    <w:rsid w:val="00CB7F5E"/>
    <w:rsid w:val="00CC0458"/>
    <w:rsid w:val="00CC0636"/>
    <w:rsid w:val="00CC0783"/>
    <w:rsid w:val="00CC0794"/>
    <w:rsid w:val="00CC097F"/>
    <w:rsid w:val="00CC0D41"/>
    <w:rsid w:val="00CC11FF"/>
    <w:rsid w:val="00CC15F5"/>
    <w:rsid w:val="00CC18E0"/>
    <w:rsid w:val="00CC20B2"/>
    <w:rsid w:val="00CC3A16"/>
    <w:rsid w:val="00CC506A"/>
    <w:rsid w:val="00CC511A"/>
    <w:rsid w:val="00CC51D4"/>
    <w:rsid w:val="00CC53B2"/>
    <w:rsid w:val="00CC5489"/>
    <w:rsid w:val="00CC5BF5"/>
    <w:rsid w:val="00CC5C56"/>
    <w:rsid w:val="00CC5CC9"/>
    <w:rsid w:val="00CC65DA"/>
    <w:rsid w:val="00CC6609"/>
    <w:rsid w:val="00CC6654"/>
    <w:rsid w:val="00CC66AF"/>
    <w:rsid w:val="00CC6D8E"/>
    <w:rsid w:val="00CC71DD"/>
    <w:rsid w:val="00CD0D46"/>
    <w:rsid w:val="00CD16D8"/>
    <w:rsid w:val="00CD1856"/>
    <w:rsid w:val="00CD196F"/>
    <w:rsid w:val="00CD1F19"/>
    <w:rsid w:val="00CD20F7"/>
    <w:rsid w:val="00CD22D5"/>
    <w:rsid w:val="00CD2773"/>
    <w:rsid w:val="00CD2F10"/>
    <w:rsid w:val="00CD3547"/>
    <w:rsid w:val="00CD3608"/>
    <w:rsid w:val="00CD37A4"/>
    <w:rsid w:val="00CD39F9"/>
    <w:rsid w:val="00CD3AED"/>
    <w:rsid w:val="00CD40C5"/>
    <w:rsid w:val="00CD5130"/>
    <w:rsid w:val="00CD6541"/>
    <w:rsid w:val="00CD6562"/>
    <w:rsid w:val="00CD6B10"/>
    <w:rsid w:val="00CD7291"/>
    <w:rsid w:val="00CD77A1"/>
    <w:rsid w:val="00CD7B86"/>
    <w:rsid w:val="00CD7E9D"/>
    <w:rsid w:val="00CD7EA5"/>
    <w:rsid w:val="00CE0979"/>
    <w:rsid w:val="00CE0CD8"/>
    <w:rsid w:val="00CE1A5C"/>
    <w:rsid w:val="00CE2D1F"/>
    <w:rsid w:val="00CE2DCB"/>
    <w:rsid w:val="00CE2F35"/>
    <w:rsid w:val="00CE3117"/>
    <w:rsid w:val="00CE3F95"/>
    <w:rsid w:val="00CE424C"/>
    <w:rsid w:val="00CE476B"/>
    <w:rsid w:val="00CE4EBA"/>
    <w:rsid w:val="00CE5120"/>
    <w:rsid w:val="00CE530B"/>
    <w:rsid w:val="00CE53AB"/>
    <w:rsid w:val="00CE53B8"/>
    <w:rsid w:val="00CE574D"/>
    <w:rsid w:val="00CE5CAC"/>
    <w:rsid w:val="00CE5EE5"/>
    <w:rsid w:val="00CE65A5"/>
    <w:rsid w:val="00CE6607"/>
    <w:rsid w:val="00CE668F"/>
    <w:rsid w:val="00CE6763"/>
    <w:rsid w:val="00CE6B79"/>
    <w:rsid w:val="00CE6C0F"/>
    <w:rsid w:val="00CE6F01"/>
    <w:rsid w:val="00CE71FF"/>
    <w:rsid w:val="00CE75C6"/>
    <w:rsid w:val="00CE79F4"/>
    <w:rsid w:val="00CF09F4"/>
    <w:rsid w:val="00CF0EC7"/>
    <w:rsid w:val="00CF1163"/>
    <w:rsid w:val="00CF1274"/>
    <w:rsid w:val="00CF17FD"/>
    <w:rsid w:val="00CF1827"/>
    <w:rsid w:val="00CF1BF2"/>
    <w:rsid w:val="00CF21B9"/>
    <w:rsid w:val="00CF363D"/>
    <w:rsid w:val="00CF3995"/>
    <w:rsid w:val="00CF3B1A"/>
    <w:rsid w:val="00CF3B69"/>
    <w:rsid w:val="00CF3E83"/>
    <w:rsid w:val="00CF3E8E"/>
    <w:rsid w:val="00CF41D9"/>
    <w:rsid w:val="00CF447C"/>
    <w:rsid w:val="00CF463A"/>
    <w:rsid w:val="00CF468E"/>
    <w:rsid w:val="00CF4913"/>
    <w:rsid w:val="00CF4A61"/>
    <w:rsid w:val="00CF50B0"/>
    <w:rsid w:val="00CF528C"/>
    <w:rsid w:val="00CF532F"/>
    <w:rsid w:val="00CF5681"/>
    <w:rsid w:val="00CF616F"/>
    <w:rsid w:val="00CF65E5"/>
    <w:rsid w:val="00CF6610"/>
    <w:rsid w:val="00CF6695"/>
    <w:rsid w:val="00CF66DC"/>
    <w:rsid w:val="00CF66E6"/>
    <w:rsid w:val="00CF6BF9"/>
    <w:rsid w:val="00CF6D3A"/>
    <w:rsid w:val="00CF731E"/>
    <w:rsid w:val="00CF77CC"/>
    <w:rsid w:val="00CF78EE"/>
    <w:rsid w:val="00CF7A45"/>
    <w:rsid w:val="00CF7D12"/>
    <w:rsid w:val="00CF7DC9"/>
    <w:rsid w:val="00CF7FA4"/>
    <w:rsid w:val="00D00042"/>
    <w:rsid w:val="00D00D6B"/>
    <w:rsid w:val="00D00E1F"/>
    <w:rsid w:val="00D00EDD"/>
    <w:rsid w:val="00D0178B"/>
    <w:rsid w:val="00D01A83"/>
    <w:rsid w:val="00D01F7B"/>
    <w:rsid w:val="00D020B1"/>
    <w:rsid w:val="00D02133"/>
    <w:rsid w:val="00D02766"/>
    <w:rsid w:val="00D02794"/>
    <w:rsid w:val="00D0285B"/>
    <w:rsid w:val="00D0294E"/>
    <w:rsid w:val="00D029A9"/>
    <w:rsid w:val="00D02B42"/>
    <w:rsid w:val="00D02D40"/>
    <w:rsid w:val="00D02ECC"/>
    <w:rsid w:val="00D02F44"/>
    <w:rsid w:val="00D0310D"/>
    <w:rsid w:val="00D03800"/>
    <w:rsid w:val="00D03E4C"/>
    <w:rsid w:val="00D03E57"/>
    <w:rsid w:val="00D03F52"/>
    <w:rsid w:val="00D048F6"/>
    <w:rsid w:val="00D04AF1"/>
    <w:rsid w:val="00D04EDE"/>
    <w:rsid w:val="00D04EEF"/>
    <w:rsid w:val="00D04F04"/>
    <w:rsid w:val="00D0510A"/>
    <w:rsid w:val="00D05425"/>
    <w:rsid w:val="00D05BCC"/>
    <w:rsid w:val="00D065D3"/>
    <w:rsid w:val="00D06E0B"/>
    <w:rsid w:val="00D0734C"/>
    <w:rsid w:val="00D074C9"/>
    <w:rsid w:val="00D076AB"/>
    <w:rsid w:val="00D076C5"/>
    <w:rsid w:val="00D07C6C"/>
    <w:rsid w:val="00D07CE0"/>
    <w:rsid w:val="00D07E4A"/>
    <w:rsid w:val="00D07FFA"/>
    <w:rsid w:val="00D10236"/>
    <w:rsid w:val="00D10964"/>
    <w:rsid w:val="00D1099C"/>
    <w:rsid w:val="00D10F19"/>
    <w:rsid w:val="00D118FD"/>
    <w:rsid w:val="00D11FE8"/>
    <w:rsid w:val="00D124AD"/>
    <w:rsid w:val="00D12784"/>
    <w:rsid w:val="00D12C5D"/>
    <w:rsid w:val="00D12F4B"/>
    <w:rsid w:val="00D12FA3"/>
    <w:rsid w:val="00D1310F"/>
    <w:rsid w:val="00D13207"/>
    <w:rsid w:val="00D132D5"/>
    <w:rsid w:val="00D1362E"/>
    <w:rsid w:val="00D13651"/>
    <w:rsid w:val="00D13E00"/>
    <w:rsid w:val="00D145CA"/>
    <w:rsid w:val="00D1462A"/>
    <w:rsid w:val="00D146DB"/>
    <w:rsid w:val="00D1488F"/>
    <w:rsid w:val="00D14C94"/>
    <w:rsid w:val="00D1566F"/>
    <w:rsid w:val="00D158AC"/>
    <w:rsid w:val="00D163B9"/>
    <w:rsid w:val="00D164AC"/>
    <w:rsid w:val="00D165EC"/>
    <w:rsid w:val="00D16D31"/>
    <w:rsid w:val="00D16DFF"/>
    <w:rsid w:val="00D16F17"/>
    <w:rsid w:val="00D170A5"/>
    <w:rsid w:val="00D174A5"/>
    <w:rsid w:val="00D17558"/>
    <w:rsid w:val="00D17BF1"/>
    <w:rsid w:val="00D2028C"/>
    <w:rsid w:val="00D20490"/>
    <w:rsid w:val="00D207F6"/>
    <w:rsid w:val="00D20C34"/>
    <w:rsid w:val="00D20F07"/>
    <w:rsid w:val="00D21470"/>
    <w:rsid w:val="00D214B4"/>
    <w:rsid w:val="00D21E38"/>
    <w:rsid w:val="00D21F2F"/>
    <w:rsid w:val="00D22209"/>
    <w:rsid w:val="00D2242A"/>
    <w:rsid w:val="00D22DE3"/>
    <w:rsid w:val="00D22F31"/>
    <w:rsid w:val="00D2302E"/>
    <w:rsid w:val="00D231C6"/>
    <w:rsid w:val="00D237D2"/>
    <w:rsid w:val="00D23C5E"/>
    <w:rsid w:val="00D2431A"/>
    <w:rsid w:val="00D2447E"/>
    <w:rsid w:val="00D246B8"/>
    <w:rsid w:val="00D24853"/>
    <w:rsid w:val="00D24A2E"/>
    <w:rsid w:val="00D24C5E"/>
    <w:rsid w:val="00D24CE1"/>
    <w:rsid w:val="00D24E7C"/>
    <w:rsid w:val="00D250EF"/>
    <w:rsid w:val="00D257D6"/>
    <w:rsid w:val="00D25B96"/>
    <w:rsid w:val="00D2611D"/>
    <w:rsid w:val="00D262B9"/>
    <w:rsid w:val="00D263EF"/>
    <w:rsid w:val="00D263FB"/>
    <w:rsid w:val="00D26799"/>
    <w:rsid w:val="00D267E4"/>
    <w:rsid w:val="00D26F4A"/>
    <w:rsid w:val="00D27527"/>
    <w:rsid w:val="00D27679"/>
    <w:rsid w:val="00D2781D"/>
    <w:rsid w:val="00D27B93"/>
    <w:rsid w:val="00D302BD"/>
    <w:rsid w:val="00D302C8"/>
    <w:rsid w:val="00D302E1"/>
    <w:rsid w:val="00D3091E"/>
    <w:rsid w:val="00D30E35"/>
    <w:rsid w:val="00D310D8"/>
    <w:rsid w:val="00D31971"/>
    <w:rsid w:val="00D31C9A"/>
    <w:rsid w:val="00D31CAE"/>
    <w:rsid w:val="00D32044"/>
    <w:rsid w:val="00D3239A"/>
    <w:rsid w:val="00D32440"/>
    <w:rsid w:val="00D32FC6"/>
    <w:rsid w:val="00D336FD"/>
    <w:rsid w:val="00D342A6"/>
    <w:rsid w:val="00D34757"/>
    <w:rsid w:val="00D348D4"/>
    <w:rsid w:val="00D34CBC"/>
    <w:rsid w:val="00D34D81"/>
    <w:rsid w:val="00D35349"/>
    <w:rsid w:val="00D3536B"/>
    <w:rsid w:val="00D35785"/>
    <w:rsid w:val="00D3586A"/>
    <w:rsid w:val="00D35BB0"/>
    <w:rsid w:val="00D35E5C"/>
    <w:rsid w:val="00D35EF6"/>
    <w:rsid w:val="00D35F9C"/>
    <w:rsid w:val="00D36205"/>
    <w:rsid w:val="00D36406"/>
    <w:rsid w:val="00D364E9"/>
    <w:rsid w:val="00D365FA"/>
    <w:rsid w:val="00D36753"/>
    <w:rsid w:val="00D36A72"/>
    <w:rsid w:val="00D36CA4"/>
    <w:rsid w:val="00D3702C"/>
    <w:rsid w:val="00D37455"/>
    <w:rsid w:val="00D37495"/>
    <w:rsid w:val="00D379EF"/>
    <w:rsid w:val="00D37DE9"/>
    <w:rsid w:val="00D40212"/>
    <w:rsid w:val="00D40521"/>
    <w:rsid w:val="00D40BC2"/>
    <w:rsid w:val="00D40C3B"/>
    <w:rsid w:val="00D4109B"/>
    <w:rsid w:val="00D41136"/>
    <w:rsid w:val="00D419F4"/>
    <w:rsid w:val="00D41FF5"/>
    <w:rsid w:val="00D423A6"/>
    <w:rsid w:val="00D427A2"/>
    <w:rsid w:val="00D4284B"/>
    <w:rsid w:val="00D42B12"/>
    <w:rsid w:val="00D42FA8"/>
    <w:rsid w:val="00D4323C"/>
    <w:rsid w:val="00D443AA"/>
    <w:rsid w:val="00D447DE"/>
    <w:rsid w:val="00D44BF1"/>
    <w:rsid w:val="00D44E9D"/>
    <w:rsid w:val="00D457CE"/>
    <w:rsid w:val="00D45CA6"/>
    <w:rsid w:val="00D45DBA"/>
    <w:rsid w:val="00D464BF"/>
    <w:rsid w:val="00D46A53"/>
    <w:rsid w:val="00D46F1D"/>
    <w:rsid w:val="00D46F6D"/>
    <w:rsid w:val="00D4718D"/>
    <w:rsid w:val="00D4767D"/>
    <w:rsid w:val="00D477E2"/>
    <w:rsid w:val="00D47BC5"/>
    <w:rsid w:val="00D47E5B"/>
    <w:rsid w:val="00D505D4"/>
    <w:rsid w:val="00D511F6"/>
    <w:rsid w:val="00D51548"/>
    <w:rsid w:val="00D51653"/>
    <w:rsid w:val="00D518D8"/>
    <w:rsid w:val="00D521EF"/>
    <w:rsid w:val="00D52885"/>
    <w:rsid w:val="00D53203"/>
    <w:rsid w:val="00D53940"/>
    <w:rsid w:val="00D53BA1"/>
    <w:rsid w:val="00D53CC4"/>
    <w:rsid w:val="00D53E26"/>
    <w:rsid w:val="00D53E5A"/>
    <w:rsid w:val="00D5451F"/>
    <w:rsid w:val="00D54C8D"/>
    <w:rsid w:val="00D54D14"/>
    <w:rsid w:val="00D55267"/>
    <w:rsid w:val="00D553D0"/>
    <w:rsid w:val="00D559D4"/>
    <w:rsid w:val="00D55D28"/>
    <w:rsid w:val="00D55DA1"/>
    <w:rsid w:val="00D55EFB"/>
    <w:rsid w:val="00D55FCE"/>
    <w:rsid w:val="00D56225"/>
    <w:rsid w:val="00D56601"/>
    <w:rsid w:val="00D56BE7"/>
    <w:rsid w:val="00D56EE7"/>
    <w:rsid w:val="00D57006"/>
    <w:rsid w:val="00D5749E"/>
    <w:rsid w:val="00D57603"/>
    <w:rsid w:val="00D57D54"/>
    <w:rsid w:val="00D57E34"/>
    <w:rsid w:val="00D57F3D"/>
    <w:rsid w:val="00D60356"/>
    <w:rsid w:val="00D60A44"/>
    <w:rsid w:val="00D60D58"/>
    <w:rsid w:val="00D60F31"/>
    <w:rsid w:val="00D61380"/>
    <w:rsid w:val="00D62345"/>
    <w:rsid w:val="00D62647"/>
    <w:rsid w:val="00D62680"/>
    <w:rsid w:val="00D6282E"/>
    <w:rsid w:val="00D628F7"/>
    <w:rsid w:val="00D62937"/>
    <w:rsid w:val="00D62D18"/>
    <w:rsid w:val="00D62EF0"/>
    <w:rsid w:val="00D6348E"/>
    <w:rsid w:val="00D637E4"/>
    <w:rsid w:val="00D648AE"/>
    <w:rsid w:val="00D64FE5"/>
    <w:rsid w:val="00D65461"/>
    <w:rsid w:val="00D65598"/>
    <w:rsid w:val="00D658D6"/>
    <w:rsid w:val="00D65E17"/>
    <w:rsid w:val="00D66456"/>
    <w:rsid w:val="00D66460"/>
    <w:rsid w:val="00D66539"/>
    <w:rsid w:val="00D665A6"/>
    <w:rsid w:val="00D66E10"/>
    <w:rsid w:val="00D66E69"/>
    <w:rsid w:val="00D66EC5"/>
    <w:rsid w:val="00D66F0A"/>
    <w:rsid w:val="00D670A7"/>
    <w:rsid w:val="00D670DB"/>
    <w:rsid w:val="00D6743F"/>
    <w:rsid w:val="00D677C3"/>
    <w:rsid w:val="00D6781D"/>
    <w:rsid w:val="00D67DA4"/>
    <w:rsid w:val="00D67F35"/>
    <w:rsid w:val="00D67FA0"/>
    <w:rsid w:val="00D71049"/>
    <w:rsid w:val="00D713C3"/>
    <w:rsid w:val="00D715AA"/>
    <w:rsid w:val="00D71A2E"/>
    <w:rsid w:val="00D72164"/>
    <w:rsid w:val="00D72182"/>
    <w:rsid w:val="00D72327"/>
    <w:rsid w:val="00D72474"/>
    <w:rsid w:val="00D72776"/>
    <w:rsid w:val="00D72BE7"/>
    <w:rsid w:val="00D72BF3"/>
    <w:rsid w:val="00D73319"/>
    <w:rsid w:val="00D7336C"/>
    <w:rsid w:val="00D7349A"/>
    <w:rsid w:val="00D734AD"/>
    <w:rsid w:val="00D7386A"/>
    <w:rsid w:val="00D7407E"/>
    <w:rsid w:val="00D7414F"/>
    <w:rsid w:val="00D74578"/>
    <w:rsid w:val="00D745EA"/>
    <w:rsid w:val="00D7478D"/>
    <w:rsid w:val="00D74B74"/>
    <w:rsid w:val="00D75029"/>
    <w:rsid w:val="00D75277"/>
    <w:rsid w:val="00D75297"/>
    <w:rsid w:val="00D752EF"/>
    <w:rsid w:val="00D752FB"/>
    <w:rsid w:val="00D755C4"/>
    <w:rsid w:val="00D75ADA"/>
    <w:rsid w:val="00D76267"/>
    <w:rsid w:val="00D76BE2"/>
    <w:rsid w:val="00D76F65"/>
    <w:rsid w:val="00D77068"/>
    <w:rsid w:val="00D77451"/>
    <w:rsid w:val="00D77723"/>
    <w:rsid w:val="00D77812"/>
    <w:rsid w:val="00D801A2"/>
    <w:rsid w:val="00D80326"/>
    <w:rsid w:val="00D806AF"/>
    <w:rsid w:val="00D80897"/>
    <w:rsid w:val="00D818BA"/>
    <w:rsid w:val="00D82869"/>
    <w:rsid w:val="00D82B89"/>
    <w:rsid w:val="00D82BC7"/>
    <w:rsid w:val="00D82FF2"/>
    <w:rsid w:val="00D831AE"/>
    <w:rsid w:val="00D831BF"/>
    <w:rsid w:val="00D83481"/>
    <w:rsid w:val="00D835EE"/>
    <w:rsid w:val="00D8369F"/>
    <w:rsid w:val="00D83BA0"/>
    <w:rsid w:val="00D83D83"/>
    <w:rsid w:val="00D83D97"/>
    <w:rsid w:val="00D84026"/>
    <w:rsid w:val="00D845AE"/>
    <w:rsid w:val="00D846CE"/>
    <w:rsid w:val="00D84B0C"/>
    <w:rsid w:val="00D84E1A"/>
    <w:rsid w:val="00D850CF"/>
    <w:rsid w:val="00D852D3"/>
    <w:rsid w:val="00D858E8"/>
    <w:rsid w:val="00D85A82"/>
    <w:rsid w:val="00D860D1"/>
    <w:rsid w:val="00D86290"/>
    <w:rsid w:val="00D864BC"/>
    <w:rsid w:val="00D86FE0"/>
    <w:rsid w:val="00D87184"/>
    <w:rsid w:val="00D871DF"/>
    <w:rsid w:val="00D87838"/>
    <w:rsid w:val="00D87CB2"/>
    <w:rsid w:val="00D87F3B"/>
    <w:rsid w:val="00D9002A"/>
    <w:rsid w:val="00D901CC"/>
    <w:rsid w:val="00D903AE"/>
    <w:rsid w:val="00D90A90"/>
    <w:rsid w:val="00D90EA2"/>
    <w:rsid w:val="00D913F0"/>
    <w:rsid w:val="00D91A82"/>
    <w:rsid w:val="00D91F33"/>
    <w:rsid w:val="00D9257F"/>
    <w:rsid w:val="00D92C67"/>
    <w:rsid w:val="00D92D7F"/>
    <w:rsid w:val="00D92F8C"/>
    <w:rsid w:val="00D9307A"/>
    <w:rsid w:val="00D932A3"/>
    <w:rsid w:val="00D93575"/>
    <w:rsid w:val="00D937E2"/>
    <w:rsid w:val="00D93F72"/>
    <w:rsid w:val="00D94207"/>
    <w:rsid w:val="00D943E9"/>
    <w:rsid w:val="00D94FC1"/>
    <w:rsid w:val="00D955D9"/>
    <w:rsid w:val="00D9588D"/>
    <w:rsid w:val="00D95C33"/>
    <w:rsid w:val="00D95D2A"/>
    <w:rsid w:val="00D95DA5"/>
    <w:rsid w:val="00D95F61"/>
    <w:rsid w:val="00D9620B"/>
    <w:rsid w:val="00D96BF1"/>
    <w:rsid w:val="00D970BC"/>
    <w:rsid w:val="00D97E89"/>
    <w:rsid w:val="00DA0BEF"/>
    <w:rsid w:val="00DA0C56"/>
    <w:rsid w:val="00DA1F0D"/>
    <w:rsid w:val="00DA23CF"/>
    <w:rsid w:val="00DA26C0"/>
    <w:rsid w:val="00DA2D57"/>
    <w:rsid w:val="00DA313B"/>
    <w:rsid w:val="00DA3169"/>
    <w:rsid w:val="00DA3339"/>
    <w:rsid w:val="00DA359E"/>
    <w:rsid w:val="00DA35BF"/>
    <w:rsid w:val="00DA375B"/>
    <w:rsid w:val="00DA3891"/>
    <w:rsid w:val="00DA39E5"/>
    <w:rsid w:val="00DA3AB5"/>
    <w:rsid w:val="00DA3B09"/>
    <w:rsid w:val="00DA3E5A"/>
    <w:rsid w:val="00DA3FC4"/>
    <w:rsid w:val="00DA40C4"/>
    <w:rsid w:val="00DA4C4D"/>
    <w:rsid w:val="00DA4D01"/>
    <w:rsid w:val="00DA57F0"/>
    <w:rsid w:val="00DA5BCF"/>
    <w:rsid w:val="00DA6090"/>
    <w:rsid w:val="00DA614C"/>
    <w:rsid w:val="00DA61D4"/>
    <w:rsid w:val="00DA648C"/>
    <w:rsid w:val="00DA64CB"/>
    <w:rsid w:val="00DA64F1"/>
    <w:rsid w:val="00DA66B0"/>
    <w:rsid w:val="00DA675E"/>
    <w:rsid w:val="00DA69C1"/>
    <w:rsid w:val="00DA70B8"/>
    <w:rsid w:val="00DA7111"/>
    <w:rsid w:val="00DA7488"/>
    <w:rsid w:val="00DA74C4"/>
    <w:rsid w:val="00DA7F41"/>
    <w:rsid w:val="00DB018F"/>
    <w:rsid w:val="00DB0206"/>
    <w:rsid w:val="00DB061D"/>
    <w:rsid w:val="00DB0937"/>
    <w:rsid w:val="00DB0A3D"/>
    <w:rsid w:val="00DB0C6A"/>
    <w:rsid w:val="00DB118C"/>
    <w:rsid w:val="00DB182C"/>
    <w:rsid w:val="00DB1840"/>
    <w:rsid w:val="00DB1A19"/>
    <w:rsid w:val="00DB1F44"/>
    <w:rsid w:val="00DB24E0"/>
    <w:rsid w:val="00DB2593"/>
    <w:rsid w:val="00DB2694"/>
    <w:rsid w:val="00DB2D47"/>
    <w:rsid w:val="00DB2D97"/>
    <w:rsid w:val="00DB2FF9"/>
    <w:rsid w:val="00DB312C"/>
    <w:rsid w:val="00DB3E16"/>
    <w:rsid w:val="00DB3E23"/>
    <w:rsid w:val="00DB42A6"/>
    <w:rsid w:val="00DB4476"/>
    <w:rsid w:val="00DB451B"/>
    <w:rsid w:val="00DB4D09"/>
    <w:rsid w:val="00DB5531"/>
    <w:rsid w:val="00DB560A"/>
    <w:rsid w:val="00DB562F"/>
    <w:rsid w:val="00DB5A98"/>
    <w:rsid w:val="00DB6947"/>
    <w:rsid w:val="00DB6AC3"/>
    <w:rsid w:val="00DB6E50"/>
    <w:rsid w:val="00DB6EAE"/>
    <w:rsid w:val="00DB7415"/>
    <w:rsid w:val="00DB795F"/>
    <w:rsid w:val="00DC045E"/>
    <w:rsid w:val="00DC08DB"/>
    <w:rsid w:val="00DC09AF"/>
    <w:rsid w:val="00DC0C1C"/>
    <w:rsid w:val="00DC0FE9"/>
    <w:rsid w:val="00DC11BE"/>
    <w:rsid w:val="00DC1313"/>
    <w:rsid w:val="00DC13D9"/>
    <w:rsid w:val="00DC141F"/>
    <w:rsid w:val="00DC171E"/>
    <w:rsid w:val="00DC1CC4"/>
    <w:rsid w:val="00DC1D49"/>
    <w:rsid w:val="00DC1ED7"/>
    <w:rsid w:val="00DC2054"/>
    <w:rsid w:val="00DC2363"/>
    <w:rsid w:val="00DC23F9"/>
    <w:rsid w:val="00DC2785"/>
    <w:rsid w:val="00DC2A4E"/>
    <w:rsid w:val="00DC2F15"/>
    <w:rsid w:val="00DC30A4"/>
    <w:rsid w:val="00DC3159"/>
    <w:rsid w:val="00DC3AC3"/>
    <w:rsid w:val="00DC3E00"/>
    <w:rsid w:val="00DC4050"/>
    <w:rsid w:val="00DC4256"/>
    <w:rsid w:val="00DC4833"/>
    <w:rsid w:val="00DC57CA"/>
    <w:rsid w:val="00DC60C4"/>
    <w:rsid w:val="00DC6D91"/>
    <w:rsid w:val="00DC6E9C"/>
    <w:rsid w:val="00DC6FC1"/>
    <w:rsid w:val="00DC70C4"/>
    <w:rsid w:val="00DC70F0"/>
    <w:rsid w:val="00DC74D5"/>
    <w:rsid w:val="00DC7504"/>
    <w:rsid w:val="00DD0846"/>
    <w:rsid w:val="00DD1E7D"/>
    <w:rsid w:val="00DD2432"/>
    <w:rsid w:val="00DD246D"/>
    <w:rsid w:val="00DD25B1"/>
    <w:rsid w:val="00DD261E"/>
    <w:rsid w:val="00DD2835"/>
    <w:rsid w:val="00DD2901"/>
    <w:rsid w:val="00DD2C61"/>
    <w:rsid w:val="00DD2ECC"/>
    <w:rsid w:val="00DD301F"/>
    <w:rsid w:val="00DD33F4"/>
    <w:rsid w:val="00DD34B7"/>
    <w:rsid w:val="00DD3A0B"/>
    <w:rsid w:val="00DD418A"/>
    <w:rsid w:val="00DD4788"/>
    <w:rsid w:val="00DD4F0E"/>
    <w:rsid w:val="00DD5282"/>
    <w:rsid w:val="00DD5C55"/>
    <w:rsid w:val="00DD64F8"/>
    <w:rsid w:val="00DD67A7"/>
    <w:rsid w:val="00DD67D2"/>
    <w:rsid w:val="00DD67D3"/>
    <w:rsid w:val="00DD7298"/>
    <w:rsid w:val="00DD743D"/>
    <w:rsid w:val="00DD775A"/>
    <w:rsid w:val="00DD7DF6"/>
    <w:rsid w:val="00DE00E3"/>
    <w:rsid w:val="00DE0312"/>
    <w:rsid w:val="00DE061A"/>
    <w:rsid w:val="00DE070F"/>
    <w:rsid w:val="00DE07DF"/>
    <w:rsid w:val="00DE1049"/>
    <w:rsid w:val="00DE1210"/>
    <w:rsid w:val="00DE141E"/>
    <w:rsid w:val="00DE18DD"/>
    <w:rsid w:val="00DE24DB"/>
    <w:rsid w:val="00DE3141"/>
    <w:rsid w:val="00DE319F"/>
    <w:rsid w:val="00DE31B8"/>
    <w:rsid w:val="00DE3B57"/>
    <w:rsid w:val="00DE3CCD"/>
    <w:rsid w:val="00DE428C"/>
    <w:rsid w:val="00DE4563"/>
    <w:rsid w:val="00DE48AE"/>
    <w:rsid w:val="00DE4A71"/>
    <w:rsid w:val="00DE4BE3"/>
    <w:rsid w:val="00DE4FE2"/>
    <w:rsid w:val="00DE52B0"/>
    <w:rsid w:val="00DE541D"/>
    <w:rsid w:val="00DE5878"/>
    <w:rsid w:val="00DE598F"/>
    <w:rsid w:val="00DE65E2"/>
    <w:rsid w:val="00DE6F2F"/>
    <w:rsid w:val="00DE70CD"/>
    <w:rsid w:val="00DE711B"/>
    <w:rsid w:val="00DE71DC"/>
    <w:rsid w:val="00DF0338"/>
    <w:rsid w:val="00DF0339"/>
    <w:rsid w:val="00DF04BE"/>
    <w:rsid w:val="00DF0BF0"/>
    <w:rsid w:val="00DF0F99"/>
    <w:rsid w:val="00DF1857"/>
    <w:rsid w:val="00DF1869"/>
    <w:rsid w:val="00DF208D"/>
    <w:rsid w:val="00DF2601"/>
    <w:rsid w:val="00DF26D8"/>
    <w:rsid w:val="00DF271D"/>
    <w:rsid w:val="00DF2889"/>
    <w:rsid w:val="00DF2A53"/>
    <w:rsid w:val="00DF2AF9"/>
    <w:rsid w:val="00DF3A43"/>
    <w:rsid w:val="00DF3CA2"/>
    <w:rsid w:val="00DF4322"/>
    <w:rsid w:val="00DF4351"/>
    <w:rsid w:val="00DF4C66"/>
    <w:rsid w:val="00DF56B1"/>
    <w:rsid w:val="00DF581B"/>
    <w:rsid w:val="00DF5D7F"/>
    <w:rsid w:val="00DF5F2F"/>
    <w:rsid w:val="00DF6607"/>
    <w:rsid w:val="00DF664E"/>
    <w:rsid w:val="00DF670A"/>
    <w:rsid w:val="00DF6974"/>
    <w:rsid w:val="00DF6FFB"/>
    <w:rsid w:val="00DF7D9C"/>
    <w:rsid w:val="00E00129"/>
    <w:rsid w:val="00E001E7"/>
    <w:rsid w:val="00E001EA"/>
    <w:rsid w:val="00E005F5"/>
    <w:rsid w:val="00E00A0E"/>
    <w:rsid w:val="00E00BBF"/>
    <w:rsid w:val="00E012DC"/>
    <w:rsid w:val="00E01463"/>
    <w:rsid w:val="00E016D8"/>
    <w:rsid w:val="00E01AD6"/>
    <w:rsid w:val="00E01E6E"/>
    <w:rsid w:val="00E021CC"/>
    <w:rsid w:val="00E022E9"/>
    <w:rsid w:val="00E02758"/>
    <w:rsid w:val="00E0277C"/>
    <w:rsid w:val="00E03507"/>
    <w:rsid w:val="00E045B0"/>
    <w:rsid w:val="00E048BF"/>
    <w:rsid w:val="00E049F4"/>
    <w:rsid w:val="00E04BC0"/>
    <w:rsid w:val="00E0525A"/>
    <w:rsid w:val="00E05293"/>
    <w:rsid w:val="00E05AB5"/>
    <w:rsid w:val="00E05AE0"/>
    <w:rsid w:val="00E05E0A"/>
    <w:rsid w:val="00E05E99"/>
    <w:rsid w:val="00E05FB4"/>
    <w:rsid w:val="00E060BE"/>
    <w:rsid w:val="00E06232"/>
    <w:rsid w:val="00E06AA5"/>
    <w:rsid w:val="00E06B9B"/>
    <w:rsid w:val="00E0760A"/>
    <w:rsid w:val="00E1004F"/>
    <w:rsid w:val="00E10239"/>
    <w:rsid w:val="00E106BD"/>
    <w:rsid w:val="00E108C3"/>
    <w:rsid w:val="00E10C28"/>
    <w:rsid w:val="00E10E66"/>
    <w:rsid w:val="00E11138"/>
    <w:rsid w:val="00E11512"/>
    <w:rsid w:val="00E11727"/>
    <w:rsid w:val="00E11DB6"/>
    <w:rsid w:val="00E1205D"/>
    <w:rsid w:val="00E12B8E"/>
    <w:rsid w:val="00E12E13"/>
    <w:rsid w:val="00E12EBD"/>
    <w:rsid w:val="00E1314E"/>
    <w:rsid w:val="00E131BB"/>
    <w:rsid w:val="00E131CD"/>
    <w:rsid w:val="00E1385A"/>
    <w:rsid w:val="00E138D6"/>
    <w:rsid w:val="00E138DA"/>
    <w:rsid w:val="00E13A8C"/>
    <w:rsid w:val="00E13B9D"/>
    <w:rsid w:val="00E13D85"/>
    <w:rsid w:val="00E13DC6"/>
    <w:rsid w:val="00E1400E"/>
    <w:rsid w:val="00E142CB"/>
    <w:rsid w:val="00E14779"/>
    <w:rsid w:val="00E1499E"/>
    <w:rsid w:val="00E1534B"/>
    <w:rsid w:val="00E1570A"/>
    <w:rsid w:val="00E15AA9"/>
    <w:rsid w:val="00E15AB9"/>
    <w:rsid w:val="00E15CC8"/>
    <w:rsid w:val="00E1630D"/>
    <w:rsid w:val="00E16A82"/>
    <w:rsid w:val="00E16AAF"/>
    <w:rsid w:val="00E17577"/>
    <w:rsid w:val="00E1789F"/>
    <w:rsid w:val="00E17B2A"/>
    <w:rsid w:val="00E20A01"/>
    <w:rsid w:val="00E20ADE"/>
    <w:rsid w:val="00E20D05"/>
    <w:rsid w:val="00E2142E"/>
    <w:rsid w:val="00E21737"/>
    <w:rsid w:val="00E21E9D"/>
    <w:rsid w:val="00E22864"/>
    <w:rsid w:val="00E2294E"/>
    <w:rsid w:val="00E22BE1"/>
    <w:rsid w:val="00E22C77"/>
    <w:rsid w:val="00E23B37"/>
    <w:rsid w:val="00E23BE3"/>
    <w:rsid w:val="00E24092"/>
    <w:rsid w:val="00E244E0"/>
    <w:rsid w:val="00E249C4"/>
    <w:rsid w:val="00E249CF"/>
    <w:rsid w:val="00E25357"/>
    <w:rsid w:val="00E2587F"/>
    <w:rsid w:val="00E25930"/>
    <w:rsid w:val="00E25C00"/>
    <w:rsid w:val="00E26083"/>
    <w:rsid w:val="00E262CA"/>
    <w:rsid w:val="00E26551"/>
    <w:rsid w:val="00E26598"/>
    <w:rsid w:val="00E269A7"/>
    <w:rsid w:val="00E26FAC"/>
    <w:rsid w:val="00E270FB"/>
    <w:rsid w:val="00E27E69"/>
    <w:rsid w:val="00E30046"/>
    <w:rsid w:val="00E30332"/>
    <w:rsid w:val="00E304D2"/>
    <w:rsid w:val="00E30783"/>
    <w:rsid w:val="00E30B16"/>
    <w:rsid w:val="00E30DB6"/>
    <w:rsid w:val="00E3162E"/>
    <w:rsid w:val="00E31A65"/>
    <w:rsid w:val="00E31B35"/>
    <w:rsid w:val="00E31CB0"/>
    <w:rsid w:val="00E322CC"/>
    <w:rsid w:val="00E328B0"/>
    <w:rsid w:val="00E328D8"/>
    <w:rsid w:val="00E32C46"/>
    <w:rsid w:val="00E32FBF"/>
    <w:rsid w:val="00E33CB4"/>
    <w:rsid w:val="00E341ED"/>
    <w:rsid w:val="00E34DC8"/>
    <w:rsid w:val="00E34FFC"/>
    <w:rsid w:val="00E35443"/>
    <w:rsid w:val="00E36023"/>
    <w:rsid w:val="00E36083"/>
    <w:rsid w:val="00E3625E"/>
    <w:rsid w:val="00E3626D"/>
    <w:rsid w:val="00E368C6"/>
    <w:rsid w:val="00E36B03"/>
    <w:rsid w:val="00E36B05"/>
    <w:rsid w:val="00E3707C"/>
    <w:rsid w:val="00E373A3"/>
    <w:rsid w:val="00E37523"/>
    <w:rsid w:val="00E3793D"/>
    <w:rsid w:val="00E37AFC"/>
    <w:rsid w:val="00E37C2D"/>
    <w:rsid w:val="00E37DE6"/>
    <w:rsid w:val="00E402BF"/>
    <w:rsid w:val="00E40415"/>
    <w:rsid w:val="00E404FA"/>
    <w:rsid w:val="00E407F2"/>
    <w:rsid w:val="00E40FB4"/>
    <w:rsid w:val="00E4123E"/>
    <w:rsid w:val="00E41288"/>
    <w:rsid w:val="00E4151C"/>
    <w:rsid w:val="00E415A6"/>
    <w:rsid w:val="00E415AC"/>
    <w:rsid w:val="00E41DD5"/>
    <w:rsid w:val="00E41E3B"/>
    <w:rsid w:val="00E42122"/>
    <w:rsid w:val="00E422D3"/>
    <w:rsid w:val="00E42588"/>
    <w:rsid w:val="00E4262D"/>
    <w:rsid w:val="00E428C4"/>
    <w:rsid w:val="00E430B9"/>
    <w:rsid w:val="00E43445"/>
    <w:rsid w:val="00E437B7"/>
    <w:rsid w:val="00E43B2C"/>
    <w:rsid w:val="00E43B49"/>
    <w:rsid w:val="00E43F54"/>
    <w:rsid w:val="00E440A1"/>
    <w:rsid w:val="00E443F5"/>
    <w:rsid w:val="00E44676"/>
    <w:rsid w:val="00E4495A"/>
    <w:rsid w:val="00E44A51"/>
    <w:rsid w:val="00E44AF1"/>
    <w:rsid w:val="00E44DDE"/>
    <w:rsid w:val="00E4578F"/>
    <w:rsid w:val="00E4591F"/>
    <w:rsid w:val="00E45E78"/>
    <w:rsid w:val="00E46191"/>
    <w:rsid w:val="00E4790A"/>
    <w:rsid w:val="00E5046E"/>
    <w:rsid w:val="00E504F3"/>
    <w:rsid w:val="00E50CE1"/>
    <w:rsid w:val="00E50E92"/>
    <w:rsid w:val="00E516BD"/>
    <w:rsid w:val="00E51711"/>
    <w:rsid w:val="00E517A6"/>
    <w:rsid w:val="00E525B1"/>
    <w:rsid w:val="00E526BE"/>
    <w:rsid w:val="00E527CC"/>
    <w:rsid w:val="00E52F82"/>
    <w:rsid w:val="00E534CF"/>
    <w:rsid w:val="00E53610"/>
    <w:rsid w:val="00E539E3"/>
    <w:rsid w:val="00E54012"/>
    <w:rsid w:val="00E542DB"/>
    <w:rsid w:val="00E546DC"/>
    <w:rsid w:val="00E54B6D"/>
    <w:rsid w:val="00E54DED"/>
    <w:rsid w:val="00E55471"/>
    <w:rsid w:val="00E55A36"/>
    <w:rsid w:val="00E55F7A"/>
    <w:rsid w:val="00E560BB"/>
    <w:rsid w:val="00E563B6"/>
    <w:rsid w:val="00E56520"/>
    <w:rsid w:val="00E5687E"/>
    <w:rsid w:val="00E570E2"/>
    <w:rsid w:val="00E57266"/>
    <w:rsid w:val="00E573FF"/>
    <w:rsid w:val="00E57EB3"/>
    <w:rsid w:val="00E60036"/>
    <w:rsid w:val="00E6031F"/>
    <w:rsid w:val="00E6073C"/>
    <w:rsid w:val="00E609BC"/>
    <w:rsid w:val="00E609CF"/>
    <w:rsid w:val="00E60E2C"/>
    <w:rsid w:val="00E611A3"/>
    <w:rsid w:val="00E61987"/>
    <w:rsid w:val="00E61B25"/>
    <w:rsid w:val="00E61C04"/>
    <w:rsid w:val="00E61C27"/>
    <w:rsid w:val="00E61D68"/>
    <w:rsid w:val="00E61FD9"/>
    <w:rsid w:val="00E6222D"/>
    <w:rsid w:val="00E6246E"/>
    <w:rsid w:val="00E62A2D"/>
    <w:rsid w:val="00E62E74"/>
    <w:rsid w:val="00E637A0"/>
    <w:rsid w:val="00E63A7A"/>
    <w:rsid w:val="00E645F9"/>
    <w:rsid w:val="00E647F9"/>
    <w:rsid w:val="00E649A7"/>
    <w:rsid w:val="00E652E3"/>
    <w:rsid w:val="00E653B9"/>
    <w:rsid w:val="00E65D30"/>
    <w:rsid w:val="00E65D91"/>
    <w:rsid w:val="00E66292"/>
    <w:rsid w:val="00E6629B"/>
    <w:rsid w:val="00E663B7"/>
    <w:rsid w:val="00E66407"/>
    <w:rsid w:val="00E666CF"/>
    <w:rsid w:val="00E66AF9"/>
    <w:rsid w:val="00E66D7A"/>
    <w:rsid w:val="00E66DFB"/>
    <w:rsid w:val="00E67346"/>
    <w:rsid w:val="00E673A9"/>
    <w:rsid w:val="00E67B16"/>
    <w:rsid w:val="00E67EFA"/>
    <w:rsid w:val="00E70095"/>
    <w:rsid w:val="00E70221"/>
    <w:rsid w:val="00E70692"/>
    <w:rsid w:val="00E70F66"/>
    <w:rsid w:val="00E710CC"/>
    <w:rsid w:val="00E7168C"/>
    <w:rsid w:val="00E71A9E"/>
    <w:rsid w:val="00E71E28"/>
    <w:rsid w:val="00E72434"/>
    <w:rsid w:val="00E72821"/>
    <w:rsid w:val="00E72EEB"/>
    <w:rsid w:val="00E732BF"/>
    <w:rsid w:val="00E73350"/>
    <w:rsid w:val="00E73713"/>
    <w:rsid w:val="00E73B71"/>
    <w:rsid w:val="00E73BD1"/>
    <w:rsid w:val="00E7417F"/>
    <w:rsid w:val="00E74294"/>
    <w:rsid w:val="00E7445A"/>
    <w:rsid w:val="00E744C0"/>
    <w:rsid w:val="00E7479D"/>
    <w:rsid w:val="00E74B9F"/>
    <w:rsid w:val="00E74DB8"/>
    <w:rsid w:val="00E7515C"/>
    <w:rsid w:val="00E75204"/>
    <w:rsid w:val="00E752A7"/>
    <w:rsid w:val="00E75430"/>
    <w:rsid w:val="00E7574B"/>
    <w:rsid w:val="00E75752"/>
    <w:rsid w:val="00E75A9A"/>
    <w:rsid w:val="00E75E82"/>
    <w:rsid w:val="00E75F6D"/>
    <w:rsid w:val="00E7622D"/>
    <w:rsid w:val="00E7639B"/>
    <w:rsid w:val="00E76D35"/>
    <w:rsid w:val="00E775C4"/>
    <w:rsid w:val="00E77DD0"/>
    <w:rsid w:val="00E77F91"/>
    <w:rsid w:val="00E8000A"/>
    <w:rsid w:val="00E803E3"/>
    <w:rsid w:val="00E80504"/>
    <w:rsid w:val="00E808FF"/>
    <w:rsid w:val="00E810E3"/>
    <w:rsid w:val="00E810EE"/>
    <w:rsid w:val="00E8127C"/>
    <w:rsid w:val="00E81B44"/>
    <w:rsid w:val="00E81CB4"/>
    <w:rsid w:val="00E81E1F"/>
    <w:rsid w:val="00E82328"/>
    <w:rsid w:val="00E8267B"/>
    <w:rsid w:val="00E82A5A"/>
    <w:rsid w:val="00E82EA1"/>
    <w:rsid w:val="00E831E1"/>
    <w:rsid w:val="00E83611"/>
    <w:rsid w:val="00E8387A"/>
    <w:rsid w:val="00E83EF9"/>
    <w:rsid w:val="00E841B9"/>
    <w:rsid w:val="00E842C7"/>
    <w:rsid w:val="00E84421"/>
    <w:rsid w:val="00E84714"/>
    <w:rsid w:val="00E84BC5"/>
    <w:rsid w:val="00E8585B"/>
    <w:rsid w:val="00E86ACA"/>
    <w:rsid w:val="00E86E82"/>
    <w:rsid w:val="00E86EFF"/>
    <w:rsid w:val="00E8703A"/>
    <w:rsid w:val="00E8760B"/>
    <w:rsid w:val="00E877F5"/>
    <w:rsid w:val="00E879F5"/>
    <w:rsid w:val="00E87A7C"/>
    <w:rsid w:val="00E87C85"/>
    <w:rsid w:val="00E87F41"/>
    <w:rsid w:val="00E902AB"/>
    <w:rsid w:val="00E90386"/>
    <w:rsid w:val="00E907D9"/>
    <w:rsid w:val="00E90896"/>
    <w:rsid w:val="00E91192"/>
    <w:rsid w:val="00E912C1"/>
    <w:rsid w:val="00E915E1"/>
    <w:rsid w:val="00E91965"/>
    <w:rsid w:val="00E91C6F"/>
    <w:rsid w:val="00E91CB1"/>
    <w:rsid w:val="00E91E27"/>
    <w:rsid w:val="00E91E31"/>
    <w:rsid w:val="00E91ED3"/>
    <w:rsid w:val="00E92145"/>
    <w:rsid w:val="00E9221A"/>
    <w:rsid w:val="00E92919"/>
    <w:rsid w:val="00E92A54"/>
    <w:rsid w:val="00E92C66"/>
    <w:rsid w:val="00E92D2D"/>
    <w:rsid w:val="00E9363E"/>
    <w:rsid w:val="00E93838"/>
    <w:rsid w:val="00E93E8D"/>
    <w:rsid w:val="00E94015"/>
    <w:rsid w:val="00E9420E"/>
    <w:rsid w:val="00E94284"/>
    <w:rsid w:val="00E9434A"/>
    <w:rsid w:val="00E94405"/>
    <w:rsid w:val="00E94BC7"/>
    <w:rsid w:val="00E9508F"/>
    <w:rsid w:val="00E95A08"/>
    <w:rsid w:val="00E95A15"/>
    <w:rsid w:val="00E95A5C"/>
    <w:rsid w:val="00E95EE0"/>
    <w:rsid w:val="00E96176"/>
    <w:rsid w:val="00E962CE"/>
    <w:rsid w:val="00E963A6"/>
    <w:rsid w:val="00E96D9D"/>
    <w:rsid w:val="00E970A7"/>
    <w:rsid w:val="00E970AF"/>
    <w:rsid w:val="00E972AB"/>
    <w:rsid w:val="00E97758"/>
    <w:rsid w:val="00E97C83"/>
    <w:rsid w:val="00EA0379"/>
    <w:rsid w:val="00EA0C22"/>
    <w:rsid w:val="00EA0E8E"/>
    <w:rsid w:val="00EA0F53"/>
    <w:rsid w:val="00EA0FAD"/>
    <w:rsid w:val="00EA1BA2"/>
    <w:rsid w:val="00EA1BF7"/>
    <w:rsid w:val="00EA1FB9"/>
    <w:rsid w:val="00EA284A"/>
    <w:rsid w:val="00EA2918"/>
    <w:rsid w:val="00EA2C49"/>
    <w:rsid w:val="00EA2C58"/>
    <w:rsid w:val="00EA2E4E"/>
    <w:rsid w:val="00EA2FB4"/>
    <w:rsid w:val="00EA3299"/>
    <w:rsid w:val="00EA33EE"/>
    <w:rsid w:val="00EA343B"/>
    <w:rsid w:val="00EA3D24"/>
    <w:rsid w:val="00EA3EC1"/>
    <w:rsid w:val="00EA3F15"/>
    <w:rsid w:val="00EA422E"/>
    <w:rsid w:val="00EA449E"/>
    <w:rsid w:val="00EA5108"/>
    <w:rsid w:val="00EA5962"/>
    <w:rsid w:val="00EA5DB6"/>
    <w:rsid w:val="00EA6054"/>
    <w:rsid w:val="00EA63D3"/>
    <w:rsid w:val="00EA7262"/>
    <w:rsid w:val="00EA7847"/>
    <w:rsid w:val="00EA7AC0"/>
    <w:rsid w:val="00EB02CF"/>
    <w:rsid w:val="00EB0ECB"/>
    <w:rsid w:val="00EB14F1"/>
    <w:rsid w:val="00EB1872"/>
    <w:rsid w:val="00EB1C3D"/>
    <w:rsid w:val="00EB1DFE"/>
    <w:rsid w:val="00EB1E10"/>
    <w:rsid w:val="00EB305D"/>
    <w:rsid w:val="00EB30B2"/>
    <w:rsid w:val="00EB3242"/>
    <w:rsid w:val="00EB3257"/>
    <w:rsid w:val="00EB341B"/>
    <w:rsid w:val="00EB3772"/>
    <w:rsid w:val="00EB3FCC"/>
    <w:rsid w:val="00EB42D8"/>
    <w:rsid w:val="00EB4C2F"/>
    <w:rsid w:val="00EB50F7"/>
    <w:rsid w:val="00EB5254"/>
    <w:rsid w:val="00EB52C2"/>
    <w:rsid w:val="00EB6091"/>
    <w:rsid w:val="00EB64FF"/>
    <w:rsid w:val="00EB68E7"/>
    <w:rsid w:val="00EB6A82"/>
    <w:rsid w:val="00EB6A87"/>
    <w:rsid w:val="00EB6C3B"/>
    <w:rsid w:val="00EB6D6B"/>
    <w:rsid w:val="00EB6EA8"/>
    <w:rsid w:val="00EB6F3E"/>
    <w:rsid w:val="00EB7A2E"/>
    <w:rsid w:val="00EC0129"/>
    <w:rsid w:val="00EC02F6"/>
    <w:rsid w:val="00EC09D1"/>
    <w:rsid w:val="00EC0AB7"/>
    <w:rsid w:val="00EC0C7C"/>
    <w:rsid w:val="00EC10BF"/>
    <w:rsid w:val="00EC14F9"/>
    <w:rsid w:val="00EC15AF"/>
    <w:rsid w:val="00EC1AF9"/>
    <w:rsid w:val="00EC1DCF"/>
    <w:rsid w:val="00EC215B"/>
    <w:rsid w:val="00EC27FB"/>
    <w:rsid w:val="00EC36F1"/>
    <w:rsid w:val="00EC38BE"/>
    <w:rsid w:val="00EC39E7"/>
    <w:rsid w:val="00EC413E"/>
    <w:rsid w:val="00EC447D"/>
    <w:rsid w:val="00EC4A14"/>
    <w:rsid w:val="00EC5227"/>
    <w:rsid w:val="00EC6311"/>
    <w:rsid w:val="00EC632B"/>
    <w:rsid w:val="00EC644F"/>
    <w:rsid w:val="00EC69FE"/>
    <w:rsid w:val="00EC6BC6"/>
    <w:rsid w:val="00EC79BA"/>
    <w:rsid w:val="00EC7B65"/>
    <w:rsid w:val="00EC7C04"/>
    <w:rsid w:val="00EC7CFE"/>
    <w:rsid w:val="00EC7E88"/>
    <w:rsid w:val="00ED0052"/>
    <w:rsid w:val="00ED02CA"/>
    <w:rsid w:val="00ED0B65"/>
    <w:rsid w:val="00ED0C17"/>
    <w:rsid w:val="00ED0FA9"/>
    <w:rsid w:val="00ED13BC"/>
    <w:rsid w:val="00ED167A"/>
    <w:rsid w:val="00ED1871"/>
    <w:rsid w:val="00ED1B9A"/>
    <w:rsid w:val="00ED1BF1"/>
    <w:rsid w:val="00ED1DB7"/>
    <w:rsid w:val="00ED2075"/>
    <w:rsid w:val="00ED2602"/>
    <w:rsid w:val="00ED2810"/>
    <w:rsid w:val="00ED28BA"/>
    <w:rsid w:val="00ED294E"/>
    <w:rsid w:val="00ED2BC2"/>
    <w:rsid w:val="00ED2D7B"/>
    <w:rsid w:val="00ED2DD0"/>
    <w:rsid w:val="00ED3181"/>
    <w:rsid w:val="00ED36E6"/>
    <w:rsid w:val="00ED3977"/>
    <w:rsid w:val="00ED3EF4"/>
    <w:rsid w:val="00ED3FD6"/>
    <w:rsid w:val="00ED4240"/>
    <w:rsid w:val="00ED4286"/>
    <w:rsid w:val="00ED432B"/>
    <w:rsid w:val="00ED466B"/>
    <w:rsid w:val="00ED46A1"/>
    <w:rsid w:val="00ED47F6"/>
    <w:rsid w:val="00ED53EA"/>
    <w:rsid w:val="00ED5792"/>
    <w:rsid w:val="00ED59F5"/>
    <w:rsid w:val="00ED5BC5"/>
    <w:rsid w:val="00ED5C52"/>
    <w:rsid w:val="00ED5E1A"/>
    <w:rsid w:val="00ED5E27"/>
    <w:rsid w:val="00ED67CD"/>
    <w:rsid w:val="00ED6916"/>
    <w:rsid w:val="00ED7581"/>
    <w:rsid w:val="00ED7705"/>
    <w:rsid w:val="00ED7C85"/>
    <w:rsid w:val="00ED7FA3"/>
    <w:rsid w:val="00EE03EF"/>
    <w:rsid w:val="00EE0454"/>
    <w:rsid w:val="00EE09B1"/>
    <w:rsid w:val="00EE0AB7"/>
    <w:rsid w:val="00EE0B44"/>
    <w:rsid w:val="00EE0EB4"/>
    <w:rsid w:val="00EE0F34"/>
    <w:rsid w:val="00EE1580"/>
    <w:rsid w:val="00EE15BF"/>
    <w:rsid w:val="00EE24D9"/>
    <w:rsid w:val="00EE2E6E"/>
    <w:rsid w:val="00EE2EEB"/>
    <w:rsid w:val="00EE33CC"/>
    <w:rsid w:val="00EE3687"/>
    <w:rsid w:val="00EE3BC8"/>
    <w:rsid w:val="00EE3C56"/>
    <w:rsid w:val="00EE40D7"/>
    <w:rsid w:val="00EE41F0"/>
    <w:rsid w:val="00EE46DA"/>
    <w:rsid w:val="00EE4774"/>
    <w:rsid w:val="00EE4C2F"/>
    <w:rsid w:val="00EE4C3C"/>
    <w:rsid w:val="00EE4D14"/>
    <w:rsid w:val="00EE4E64"/>
    <w:rsid w:val="00EE50E9"/>
    <w:rsid w:val="00EE50F8"/>
    <w:rsid w:val="00EE52F4"/>
    <w:rsid w:val="00EE5729"/>
    <w:rsid w:val="00EE58FF"/>
    <w:rsid w:val="00EE5B6B"/>
    <w:rsid w:val="00EE5C2B"/>
    <w:rsid w:val="00EE5DAE"/>
    <w:rsid w:val="00EE5E2F"/>
    <w:rsid w:val="00EE6138"/>
    <w:rsid w:val="00EE625E"/>
    <w:rsid w:val="00EE6AAD"/>
    <w:rsid w:val="00EE6DAB"/>
    <w:rsid w:val="00EE7136"/>
    <w:rsid w:val="00EE7B4E"/>
    <w:rsid w:val="00EE7C1B"/>
    <w:rsid w:val="00EE7D7A"/>
    <w:rsid w:val="00EE7DEF"/>
    <w:rsid w:val="00EE7E99"/>
    <w:rsid w:val="00EF03B6"/>
    <w:rsid w:val="00EF1699"/>
    <w:rsid w:val="00EF1AAA"/>
    <w:rsid w:val="00EF1EBC"/>
    <w:rsid w:val="00EF2272"/>
    <w:rsid w:val="00EF3214"/>
    <w:rsid w:val="00EF3293"/>
    <w:rsid w:val="00EF3648"/>
    <w:rsid w:val="00EF3BE4"/>
    <w:rsid w:val="00EF3CD6"/>
    <w:rsid w:val="00EF4795"/>
    <w:rsid w:val="00EF51D9"/>
    <w:rsid w:val="00EF53AC"/>
    <w:rsid w:val="00EF5D5B"/>
    <w:rsid w:val="00EF5DF3"/>
    <w:rsid w:val="00EF5F44"/>
    <w:rsid w:val="00EF60A5"/>
    <w:rsid w:val="00EF6547"/>
    <w:rsid w:val="00EF6613"/>
    <w:rsid w:val="00EF6E9E"/>
    <w:rsid w:val="00EF71C6"/>
    <w:rsid w:val="00EF72D8"/>
    <w:rsid w:val="00EF7B58"/>
    <w:rsid w:val="00EF7D31"/>
    <w:rsid w:val="00F00451"/>
    <w:rsid w:val="00F00649"/>
    <w:rsid w:val="00F0133A"/>
    <w:rsid w:val="00F01A70"/>
    <w:rsid w:val="00F02026"/>
    <w:rsid w:val="00F02645"/>
    <w:rsid w:val="00F02C7B"/>
    <w:rsid w:val="00F02CA7"/>
    <w:rsid w:val="00F02DFC"/>
    <w:rsid w:val="00F0337B"/>
    <w:rsid w:val="00F034B8"/>
    <w:rsid w:val="00F039F6"/>
    <w:rsid w:val="00F03A7F"/>
    <w:rsid w:val="00F03F3F"/>
    <w:rsid w:val="00F04E45"/>
    <w:rsid w:val="00F04EFA"/>
    <w:rsid w:val="00F050BE"/>
    <w:rsid w:val="00F051E3"/>
    <w:rsid w:val="00F052FE"/>
    <w:rsid w:val="00F05663"/>
    <w:rsid w:val="00F05705"/>
    <w:rsid w:val="00F0593B"/>
    <w:rsid w:val="00F05CA5"/>
    <w:rsid w:val="00F0608B"/>
    <w:rsid w:val="00F065E1"/>
    <w:rsid w:val="00F06F36"/>
    <w:rsid w:val="00F06FEC"/>
    <w:rsid w:val="00F074A9"/>
    <w:rsid w:val="00F0759E"/>
    <w:rsid w:val="00F07CAB"/>
    <w:rsid w:val="00F07F90"/>
    <w:rsid w:val="00F104E2"/>
    <w:rsid w:val="00F10876"/>
    <w:rsid w:val="00F10931"/>
    <w:rsid w:val="00F10A11"/>
    <w:rsid w:val="00F10A25"/>
    <w:rsid w:val="00F111F0"/>
    <w:rsid w:val="00F112D9"/>
    <w:rsid w:val="00F112DC"/>
    <w:rsid w:val="00F1168A"/>
    <w:rsid w:val="00F11834"/>
    <w:rsid w:val="00F11918"/>
    <w:rsid w:val="00F11C9B"/>
    <w:rsid w:val="00F11F16"/>
    <w:rsid w:val="00F124B8"/>
    <w:rsid w:val="00F12B5C"/>
    <w:rsid w:val="00F13247"/>
    <w:rsid w:val="00F133EA"/>
    <w:rsid w:val="00F13C3C"/>
    <w:rsid w:val="00F14613"/>
    <w:rsid w:val="00F14AB2"/>
    <w:rsid w:val="00F14E96"/>
    <w:rsid w:val="00F15006"/>
    <w:rsid w:val="00F159E4"/>
    <w:rsid w:val="00F15AAC"/>
    <w:rsid w:val="00F15DE6"/>
    <w:rsid w:val="00F15F03"/>
    <w:rsid w:val="00F16445"/>
    <w:rsid w:val="00F1665D"/>
    <w:rsid w:val="00F166EB"/>
    <w:rsid w:val="00F16949"/>
    <w:rsid w:val="00F16A43"/>
    <w:rsid w:val="00F16ABB"/>
    <w:rsid w:val="00F16BC1"/>
    <w:rsid w:val="00F16DA1"/>
    <w:rsid w:val="00F177DF"/>
    <w:rsid w:val="00F178CC"/>
    <w:rsid w:val="00F17C72"/>
    <w:rsid w:val="00F20934"/>
    <w:rsid w:val="00F20C89"/>
    <w:rsid w:val="00F20C8F"/>
    <w:rsid w:val="00F20DA0"/>
    <w:rsid w:val="00F21116"/>
    <w:rsid w:val="00F21670"/>
    <w:rsid w:val="00F219FF"/>
    <w:rsid w:val="00F22394"/>
    <w:rsid w:val="00F223E3"/>
    <w:rsid w:val="00F22763"/>
    <w:rsid w:val="00F22C7D"/>
    <w:rsid w:val="00F22FF2"/>
    <w:rsid w:val="00F22FFA"/>
    <w:rsid w:val="00F2320D"/>
    <w:rsid w:val="00F2378F"/>
    <w:rsid w:val="00F23C99"/>
    <w:rsid w:val="00F24068"/>
    <w:rsid w:val="00F2465D"/>
    <w:rsid w:val="00F24952"/>
    <w:rsid w:val="00F24CE5"/>
    <w:rsid w:val="00F25071"/>
    <w:rsid w:val="00F2517C"/>
    <w:rsid w:val="00F25800"/>
    <w:rsid w:val="00F26209"/>
    <w:rsid w:val="00F26277"/>
    <w:rsid w:val="00F2677A"/>
    <w:rsid w:val="00F26A45"/>
    <w:rsid w:val="00F26B02"/>
    <w:rsid w:val="00F26D8B"/>
    <w:rsid w:val="00F271B2"/>
    <w:rsid w:val="00F27391"/>
    <w:rsid w:val="00F27392"/>
    <w:rsid w:val="00F276A8"/>
    <w:rsid w:val="00F27BE8"/>
    <w:rsid w:val="00F27E3F"/>
    <w:rsid w:val="00F303D8"/>
    <w:rsid w:val="00F30B59"/>
    <w:rsid w:val="00F3247E"/>
    <w:rsid w:val="00F32672"/>
    <w:rsid w:val="00F3276D"/>
    <w:rsid w:val="00F3282F"/>
    <w:rsid w:val="00F32ABE"/>
    <w:rsid w:val="00F32FFB"/>
    <w:rsid w:val="00F33473"/>
    <w:rsid w:val="00F334EF"/>
    <w:rsid w:val="00F33A8D"/>
    <w:rsid w:val="00F33C38"/>
    <w:rsid w:val="00F34A40"/>
    <w:rsid w:val="00F34A93"/>
    <w:rsid w:val="00F34EEC"/>
    <w:rsid w:val="00F34F60"/>
    <w:rsid w:val="00F3508B"/>
    <w:rsid w:val="00F352E1"/>
    <w:rsid w:val="00F355F3"/>
    <w:rsid w:val="00F357FB"/>
    <w:rsid w:val="00F35829"/>
    <w:rsid w:val="00F35E59"/>
    <w:rsid w:val="00F35F82"/>
    <w:rsid w:val="00F360F8"/>
    <w:rsid w:val="00F36C80"/>
    <w:rsid w:val="00F3704A"/>
    <w:rsid w:val="00F372CC"/>
    <w:rsid w:val="00F37D43"/>
    <w:rsid w:val="00F40278"/>
    <w:rsid w:val="00F40391"/>
    <w:rsid w:val="00F4049D"/>
    <w:rsid w:val="00F404E5"/>
    <w:rsid w:val="00F406E7"/>
    <w:rsid w:val="00F406F4"/>
    <w:rsid w:val="00F40921"/>
    <w:rsid w:val="00F409EA"/>
    <w:rsid w:val="00F40B25"/>
    <w:rsid w:val="00F40D67"/>
    <w:rsid w:val="00F41250"/>
    <w:rsid w:val="00F419A8"/>
    <w:rsid w:val="00F41B13"/>
    <w:rsid w:val="00F42616"/>
    <w:rsid w:val="00F4262C"/>
    <w:rsid w:val="00F42634"/>
    <w:rsid w:val="00F42747"/>
    <w:rsid w:val="00F428C0"/>
    <w:rsid w:val="00F42D9D"/>
    <w:rsid w:val="00F42E0F"/>
    <w:rsid w:val="00F431B7"/>
    <w:rsid w:val="00F435C5"/>
    <w:rsid w:val="00F43D58"/>
    <w:rsid w:val="00F445C1"/>
    <w:rsid w:val="00F44667"/>
    <w:rsid w:val="00F44769"/>
    <w:rsid w:val="00F45449"/>
    <w:rsid w:val="00F456FF"/>
    <w:rsid w:val="00F4597D"/>
    <w:rsid w:val="00F45A80"/>
    <w:rsid w:val="00F45DE7"/>
    <w:rsid w:val="00F46022"/>
    <w:rsid w:val="00F4665F"/>
    <w:rsid w:val="00F46780"/>
    <w:rsid w:val="00F467E6"/>
    <w:rsid w:val="00F4688A"/>
    <w:rsid w:val="00F46B2B"/>
    <w:rsid w:val="00F46B2E"/>
    <w:rsid w:val="00F46F02"/>
    <w:rsid w:val="00F46F9E"/>
    <w:rsid w:val="00F47415"/>
    <w:rsid w:val="00F4766F"/>
    <w:rsid w:val="00F478AE"/>
    <w:rsid w:val="00F478FB"/>
    <w:rsid w:val="00F5015C"/>
    <w:rsid w:val="00F503AB"/>
    <w:rsid w:val="00F50580"/>
    <w:rsid w:val="00F506D2"/>
    <w:rsid w:val="00F50AD2"/>
    <w:rsid w:val="00F50E51"/>
    <w:rsid w:val="00F5148F"/>
    <w:rsid w:val="00F514C0"/>
    <w:rsid w:val="00F51664"/>
    <w:rsid w:val="00F51ACB"/>
    <w:rsid w:val="00F51ACC"/>
    <w:rsid w:val="00F51C41"/>
    <w:rsid w:val="00F51DE4"/>
    <w:rsid w:val="00F52318"/>
    <w:rsid w:val="00F5245B"/>
    <w:rsid w:val="00F526B9"/>
    <w:rsid w:val="00F52CE8"/>
    <w:rsid w:val="00F53163"/>
    <w:rsid w:val="00F533C6"/>
    <w:rsid w:val="00F533FC"/>
    <w:rsid w:val="00F53EC4"/>
    <w:rsid w:val="00F5409F"/>
    <w:rsid w:val="00F5510D"/>
    <w:rsid w:val="00F551E7"/>
    <w:rsid w:val="00F55268"/>
    <w:rsid w:val="00F55509"/>
    <w:rsid w:val="00F556CB"/>
    <w:rsid w:val="00F55980"/>
    <w:rsid w:val="00F55DFB"/>
    <w:rsid w:val="00F5609F"/>
    <w:rsid w:val="00F56BC9"/>
    <w:rsid w:val="00F57BF8"/>
    <w:rsid w:val="00F57C52"/>
    <w:rsid w:val="00F60125"/>
    <w:rsid w:val="00F601EF"/>
    <w:rsid w:val="00F60889"/>
    <w:rsid w:val="00F60896"/>
    <w:rsid w:val="00F6098A"/>
    <w:rsid w:val="00F60B35"/>
    <w:rsid w:val="00F60D0B"/>
    <w:rsid w:val="00F60DFE"/>
    <w:rsid w:val="00F60FA4"/>
    <w:rsid w:val="00F616B2"/>
    <w:rsid w:val="00F618F2"/>
    <w:rsid w:val="00F61D38"/>
    <w:rsid w:val="00F62297"/>
    <w:rsid w:val="00F62539"/>
    <w:rsid w:val="00F62B63"/>
    <w:rsid w:val="00F62C2F"/>
    <w:rsid w:val="00F62E19"/>
    <w:rsid w:val="00F6376F"/>
    <w:rsid w:val="00F639A7"/>
    <w:rsid w:val="00F6440C"/>
    <w:rsid w:val="00F6476B"/>
    <w:rsid w:val="00F6477A"/>
    <w:rsid w:val="00F648CE"/>
    <w:rsid w:val="00F64BD8"/>
    <w:rsid w:val="00F64F29"/>
    <w:rsid w:val="00F6557A"/>
    <w:rsid w:val="00F655BA"/>
    <w:rsid w:val="00F66362"/>
    <w:rsid w:val="00F663B6"/>
    <w:rsid w:val="00F66424"/>
    <w:rsid w:val="00F66628"/>
    <w:rsid w:val="00F6673C"/>
    <w:rsid w:val="00F66830"/>
    <w:rsid w:val="00F668EF"/>
    <w:rsid w:val="00F66C2D"/>
    <w:rsid w:val="00F67382"/>
    <w:rsid w:val="00F67525"/>
    <w:rsid w:val="00F704EE"/>
    <w:rsid w:val="00F70F6C"/>
    <w:rsid w:val="00F71154"/>
    <w:rsid w:val="00F71333"/>
    <w:rsid w:val="00F71799"/>
    <w:rsid w:val="00F718D6"/>
    <w:rsid w:val="00F71BD5"/>
    <w:rsid w:val="00F71F5B"/>
    <w:rsid w:val="00F71FFC"/>
    <w:rsid w:val="00F731DC"/>
    <w:rsid w:val="00F746C6"/>
    <w:rsid w:val="00F74EB7"/>
    <w:rsid w:val="00F75A21"/>
    <w:rsid w:val="00F75F66"/>
    <w:rsid w:val="00F760D5"/>
    <w:rsid w:val="00F7649E"/>
    <w:rsid w:val="00F76899"/>
    <w:rsid w:val="00F7689F"/>
    <w:rsid w:val="00F77557"/>
    <w:rsid w:val="00F77C8C"/>
    <w:rsid w:val="00F77D2D"/>
    <w:rsid w:val="00F809A4"/>
    <w:rsid w:val="00F80B68"/>
    <w:rsid w:val="00F80C4E"/>
    <w:rsid w:val="00F80C58"/>
    <w:rsid w:val="00F80C9C"/>
    <w:rsid w:val="00F81414"/>
    <w:rsid w:val="00F8147E"/>
    <w:rsid w:val="00F81681"/>
    <w:rsid w:val="00F8185E"/>
    <w:rsid w:val="00F821A3"/>
    <w:rsid w:val="00F82305"/>
    <w:rsid w:val="00F82512"/>
    <w:rsid w:val="00F825B7"/>
    <w:rsid w:val="00F8267A"/>
    <w:rsid w:val="00F82A3D"/>
    <w:rsid w:val="00F82E06"/>
    <w:rsid w:val="00F8305F"/>
    <w:rsid w:val="00F832E9"/>
    <w:rsid w:val="00F83316"/>
    <w:rsid w:val="00F8334D"/>
    <w:rsid w:val="00F834A5"/>
    <w:rsid w:val="00F83643"/>
    <w:rsid w:val="00F8366E"/>
    <w:rsid w:val="00F8384C"/>
    <w:rsid w:val="00F83855"/>
    <w:rsid w:val="00F83EA8"/>
    <w:rsid w:val="00F83EA9"/>
    <w:rsid w:val="00F84671"/>
    <w:rsid w:val="00F84BA0"/>
    <w:rsid w:val="00F84BA8"/>
    <w:rsid w:val="00F85053"/>
    <w:rsid w:val="00F85170"/>
    <w:rsid w:val="00F8585B"/>
    <w:rsid w:val="00F85977"/>
    <w:rsid w:val="00F859B8"/>
    <w:rsid w:val="00F85A8E"/>
    <w:rsid w:val="00F85E0D"/>
    <w:rsid w:val="00F862F5"/>
    <w:rsid w:val="00F86D06"/>
    <w:rsid w:val="00F86F63"/>
    <w:rsid w:val="00F87845"/>
    <w:rsid w:val="00F87934"/>
    <w:rsid w:val="00F87972"/>
    <w:rsid w:val="00F87BAE"/>
    <w:rsid w:val="00F916A9"/>
    <w:rsid w:val="00F9184C"/>
    <w:rsid w:val="00F9196E"/>
    <w:rsid w:val="00F91A81"/>
    <w:rsid w:val="00F91EB5"/>
    <w:rsid w:val="00F920AD"/>
    <w:rsid w:val="00F9238A"/>
    <w:rsid w:val="00F929AB"/>
    <w:rsid w:val="00F92B02"/>
    <w:rsid w:val="00F9314A"/>
    <w:rsid w:val="00F931ED"/>
    <w:rsid w:val="00F9328E"/>
    <w:rsid w:val="00F939D1"/>
    <w:rsid w:val="00F93E2A"/>
    <w:rsid w:val="00F940B2"/>
    <w:rsid w:val="00F9494F"/>
    <w:rsid w:val="00F94CB1"/>
    <w:rsid w:val="00F94DCF"/>
    <w:rsid w:val="00F94E3E"/>
    <w:rsid w:val="00F950ED"/>
    <w:rsid w:val="00F9521B"/>
    <w:rsid w:val="00F952FA"/>
    <w:rsid w:val="00F955D8"/>
    <w:rsid w:val="00F95A11"/>
    <w:rsid w:val="00F95B56"/>
    <w:rsid w:val="00F960BB"/>
    <w:rsid w:val="00F961A6"/>
    <w:rsid w:val="00F96766"/>
    <w:rsid w:val="00F96E95"/>
    <w:rsid w:val="00F97542"/>
    <w:rsid w:val="00F97B18"/>
    <w:rsid w:val="00F97CE9"/>
    <w:rsid w:val="00F97FE5"/>
    <w:rsid w:val="00FA03F5"/>
    <w:rsid w:val="00FA0643"/>
    <w:rsid w:val="00FA0649"/>
    <w:rsid w:val="00FA0CEC"/>
    <w:rsid w:val="00FA0D30"/>
    <w:rsid w:val="00FA0F51"/>
    <w:rsid w:val="00FA0FBA"/>
    <w:rsid w:val="00FA11BE"/>
    <w:rsid w:val="00FA17FB"/>
    <w:rsid w:val="00FA187F"/>
    <w:rsid w:val="00FA1B01"/>
    <w:rsid w:val="00FA1B74"/>
    <w:rsid w:val="00FA2070"/>
    <w:rsid w:val="00FA2409"/>
    <w:rsid w:val="00FA3554"/>
    <w:rsid w:val="00FA3646"/>
    <w:rsid w:val="00FA3906"/>
    <w:rsid w:val="00FA3989"/>
    <w:rsid w:val="00FA3B70"/>
    <w:rsid w:val="00FA3BEC"/>
    <w:rsid w:val="00FA3E82"/>
    <w:rsid w:val="00FA3FB1"/>
    <w:rsid w:val="00FA40B1"/>
    <w:rsid w:val="00FA47A2"/>
    <w:rsid w:val="00FA5623"/>
    <w:rsid w:val="00FA5769"/>
    <w:rsid w:val="00FA5E2C"/>
    <w:rsid w:val="00FA5FE6"/>
    <w:rsid w:val="00FA633E"/>
    <w:rsid w:val="00FA64FF"/>
    <w:rsid w:val="00FA6BD5"/>
    <w:rsid w:val="00FA72CB"/>
    <w:rsid w:val="00FA7650"/>
    <w:rsid w:val="00FA7DF1"/>
    <w:rsid w:val="00FB00AA"/>
    <w:rsid w:val="00FB024A"/>
    <w:rsid w:val="00FB086D"/>
    <w:rsid w:val="00FB0A1B"/>
    <w:rsid w:val="00FB0EAE"/>
    <w:rsid w:val="00FB0F6E"/>
    <w:rsid w:val="00FB10B5"/>
    <w:rsid w:val="00FB1431"/>
    <w:rsid w:val="00FB1AC5"/>
    <w:rsid w:val="00FB1E4C"/>
    <w:rsid w:val="00FB2047"/>
    <w:rsid w:val="00FB2596"/>
    <w:rsid w:val="00FB26C1"/>
    <w:rsid w:val="00FB2916"/>
    <w:rsid w:val="00FB2BE3"/>
    <w:rsid w:val="00FB2CAF"/>
    <w:rsid w:val="00FB30A0"/>
    <w:rsid w:val="00FB31DB"/>
    <w:rsid w:val="00FB3263"/>
    <w:rsid w:val="00FB334F"/>
    <w:rsid w:val="00FB3C0F"/>
    <w:rsid w:val="00FB3C20"/>
    <w:rsid w:val="00FB3D1E"/>
    <w:rsid w:val="00FB3EA3"/>
    <w:rsid w:val="00FB3F9E"/>
    <w:rsid w:val="00FB4870"/>
    <w:rsid w:val="00FB4CAD"/>
    <w:rsid w:val="00FB4EAA"/>
    <w:rsid w:val="00FB5C1E"/>
    <w:rsid w:val="00FB5D1B"/>
    <w:rsid w:val="00FB6175"/>
    <w:rsid w:val="00FB628C"/>
    <w:rsid w:val="00FB6646"/>
    <w:rsid w:val="00FB6949"/>
    <w:rsid w:val="00FB6AE6"/>
    <w:rsid w:val="00FB6CF1"/>
    <w:rsid w:val="00FB6DDB"/>
    <w:rsid w:val="00FB6E6A"/>
    <w:rsid w:val="00FB6F01"/>
    <w:rsid w:val="00FB7174"/>
    <w:rsid w:val="00FB7604"/>
    <w:rsid w:val="00FB7807"/>
    <w:rsid w:val="00FB7CAA"/>
    <w:rsid w:val="00FB7F16"/>
    <w:rsid w:val="00FC0542"/>
    <w:rsid w:val="00FC056B"/>
    <w:rsid w:val="00FC057A"/>
    <w:rsid w:val="00FC09FA"/>
    <w:rsid w:val="00FC0AED"/>
    <w:rsid w:val="00FC0B2B"/>
    <w:rsid w:val="00FC0BA1"/>
    <w:rsid w:val="00FC0CEF"/>
    <w:rsid w:val="00FC1147"/>
    <w:rsid w:val="00FC180D"/>
    <w:rsid w:val="00FC18CB"/>
    <w:rsid w:val="00FC1964"/>
    <w:rsid w:val="00FC1CD1"/>
    <w:rsid w:val="00FC1EBA"/>
    <w:rsid w:val="00FC226E"/>
    <w:rsid w:val="00FC2308"/>
    <w:rsid w:val="00FC269E"/>
    <w:rsid w:val="00FC2E6E"/>
    <w:rsid w:val="00FC350E"/>
    <w:rsid w:val="00FC3DF0"/>
    <w:rsid w:val="00FC46C6"/>
    <w:rsid w:val="00FC47E7"/>
    <w:rsid w:val="00FC53AD"/>
    <w:rsid w:val="00FC5821"/>
    <w:rsid w:val="00FC58EF"/>
    <w:rsid w:val="00FC5B5F"/>
    <w:rsid w:val="00FC5E63"/>
    <w:rsid w:val="00FC6329"/>
    <w:rsid w:val="00FC664C"/>
    <w:rsid w:val="00FC66E9"/>
    <w:rsid w:val="00FC679F"/>
    <w:rsid w:val="00FC721B"/>
    <w:rsid w:val="00FC7371"/>
    <w:rsid w:val="00FC7862"/>
    <w:rsid w:val="00FC7AB4"/>
    <w:rsid w:val="00FC7B12"/>
    <w:rsid w:val="00FC7EE3"/>
    <w:rsid w:val="00FD14E5"/>
    <w:rsid w:val="00FD1D75"/>
    <w:rsid w:val="00FD1EA8"/>
    <w:rsid w:val="00FD1F95"/>
    <w:rsid w:val="00FD2202"/>
    <w:rsid w:val="00FD22D7"/>
    <w:rsid w:val="00FD231C"/>
    <w:rsid w:val="00FD23E3"/>
    <w:rsid w:val="00FD33DF"/>
    <w:rsid w:val="00FD36C4"/>
    <w:rsid w:val="00FD3B25"/>
    <w:rsid w:val="00FD4388"/>
    <w:rsid w:val="00FD49DC"/>
    <w:rsid w:val="00FD4E33"/>
    <w:rsid w:val="00FD5213"/>
    <w:rsid w:val="00FD5B10"/>
    <w:rsid w:val="00FD5BE8"/>
    <w:rsid w:val="00FD5CA5"/>
    <w:rsid w:val="00FD616E"/>
    <w:rsid w:val="00FD64F4"/>
    <w:rsid w:val="00FD6C50"/>
    <w:rsid w:val="00FD6C98"/>
    <w:rsid w:val="00FD6FD6"/>
    <w:rsid w:val="00FD6FE6"/>
    <w:rsid w:val="00FD78BA"/>
    <w:rsid w:val="00FE0032"/>
    <w:rsid w:val="00FE02F1"/>
    <w:rsid w:val="00FE0808"/>
    <w:rsid w:val="00FE0A4C"/>
    <w:rsid w:val="00FE0F9C"/>
    <w:rsid w:val="00FE1347"/>
    <w:rsid w:val="00FE1635"/>
    <w:rsid w:val="00FE26FB"/>
    <w:rsid w:val="00FE2903"/>
    <w:rsid w:val="00FE2A60"/>
    <w:rsid w:val="00FE2AC3"/>
    <w:rsid w:val="00FE2E80"/>
    <w:rsid w:val="00FE2F98"/>
    <w:rsid w:val="00FE337F"/>
    <w:rsid w:val="00FE33A7"/>
    <w:rsid w:val="00FE39D7"/>
    <w:rsid w:val="00FE3A18"/>
    <w:rsid w:val="00FE3A63"/>
    <w:rsid w:val="00FE3F1A"/>
    <w:rsid w:val="00FE4C0E"/>
    <w:rsid w:val="00FE502A"/>
    <w:rsid w:val="00FE569A"/>
    <w:rsid w:val="00FE5BCA"/>
    <w:rsid w:val="00FE5D3C"/>
    <w:rsid w:val="00FE5F8F"/>
    <w:rsid w:val="00FE6339"/>
    <w:rsid w:val="00FE6761"/>
    <w:rsid w:val="00FE6927"/>
    <w:rsid w:val="00FE6AE2"/>
    <w:rsid w:val="00FE6C8C"/>
    <w:rsid w:val="00FE70F1"/>
    <w:rsid w:val="00FE7704"/>
    <w:rsid w:val="00FE7844"/>
    <w:rsid w:val="00FE78D4"/>
    <w:rsid w:val="00FE79DC"/>
    <w:rsid w:val="00FE7BD5"/>
    <w:rsid w:val="00FF01DC"/>
    <w:rsid w:val="00FF0836"/>
    <w:rsid w:val="00FF0C0A"/>
    <w:rsid w:val="00FF1318"/>
    <w:rsid w:val="00FF151E"/>
    <w:rsid w:val="00FF1691"/>
    <w:rsid w:val="00FF1F53"/>
    <w:rsid w:val="00FF2551"/>
    <w:rsid w:val="00FF2B16"/>
    <w:rsid w:val="00FF2C6A"/>
    <w:rsid w:val="00FF3643"/>
    <w:rsid w:val="00FF3729"/>
    <w:rsid w:val="00FF3759"/>
    <w:rsid w:val="00FF3C7A"/>
    <w:rsid w:val="00FF3CDE"/>
    <w:rsid w:val="00FF441E"/>
    <w:rsid w:val="00FF45CB"/>
    <w:rsid w:val="00FF479C"/>
    <w:rsid w:val="00FF4893"/>
    <w:rsid w:val="00FF49B9"/>
    <w:rsid w:val="00FF5343"/>
    <w:rsid w:val="00FF54EC"/>
    <w:rsid w:val="00FF5A00"/>
    <w:rsid w:val="00FF5B78"/>
    <w:rsid w:val="00FF667E"/>
    <w:rsid w:val="00FF67BF"/>
    <w:rsid w:val="00FF6B40"/>
    <w:rsid w:val="00FF6D9B"/>
    <w:rsid w:val="00FF7255"/>
    <w:rsid w:val="00FF78B5"/>
    <w:rsid w:val="00FF7DFF"/>
    <w:rsid w:val="00FF7ED8"/>
    <w:rsid w:val="01729E1A"/>
    <w:rsid w:val="01F8F232"/>
    <w:rsid w:val="0702B3F5"/>
    <w:rsid w:val="07220001"/>
    <w:rsid w:val="07FD2777"/>
    <w:rsid w:val="0867600B"/>
    <w:rsid w:val="0867C6D5"/>
    <w:rsid w:val="0C184C74"/>
    <w:rsid w:val="0C7FF67A"/>
    <w:rsid w:val="0E863368"/>
    <w:rsid w:val="0F24F28A"/>
    <w:rsid w:val="1071CC62"/>
    <w:rsid w:val="14B07DFD"/>
    <w:rsid w:val="14CB11B8"/>
    <w:rsid w:val="15067122"/>
    <w:rsid w:val="15E73EA6"/>
    <w:rsid w:val="17CBF76D"/>
    <w:rsid w:val="17ED49BE"/>
    <w:rsid w:val="197B384C"/>
    <w:rsid w:val="1A51D570"/>
    <w:rsid w:val="1A7912D9"/>
    <w:rsid w:val="1F5CF585"/>
    <w:rsid w:val="1F62852B"/>
    <w:rsid w:val="21D2A1C6"/>
    <w:rsid w:val="221369D5"/>
    <w:rsid w:val="223A7FFC"/>
    <w:rsid w:val="235CBC7E"/>
    <w:rsid w:val="27088758"/>
    <w:rsid w:val="27C61733"/>
    <w:rsid w:val="299B41DA"/>
    <w:rsid w:val="2A741608"/>
    <w:rsid w:val="2B97345D"/>
    <w:rsid w:val="2DC318BF"/>
    <w:rsid w:val="2FBD67DE"/>
    <w:rsid w:val="30D54F76"/>
    <w:rsid w:val="317B24DF"/>
    <w:rsid w:val="31BF86B4"/>
    <w:rsid w:val="321D405E"/>
    <w:rsid w:val="3254A5E6"/>
    <w:rsid w:val="3366A780"/>
    <w:rsid w:val="3808EB95"/>
    <w:rsid w:val="3917F838"/>
    <w:rsid w:val="3B132B91"/>
    <w:rsid w:val="3B408DBA"/>
    <w:rsid w:val="3D5F5B8D"/>
    <w:rsid w:val="3E9F422B"/>
    <w:rsid w:val="4524B7CD"/>
    <w:rsid w:val="46AED285"/>
    <w:rsid w:val="48409F1A"/>
    <w:rsid w:val="4868837F"/>
    <w:rsid w:val="48CDDCC6"/>
    <w:rsid w:val="4A850093"/>
    <w:rsid w:val="4C5036EE"/>
    <w:rsid w:val="4C51003C"/>
    <w:rsid w:val="4CF2E787"/>
    <w:rsid w:val="4EEBA691"/>
    <w:rsid w:val="50933906"/>
    <w:rsid w:val="50E45BE6"/>
    <w:rsid w:val="51BED0C6"/>
    <w:rsid w:val="51F3562C"/>
    <w:rsid w:val="51FE380F"/>
    <w:rsid w:val="521D53BE"/>
    <w:rsid w:val="52DA10EB"/>
    <w:rsid w:val="544D3CA8"/>
    <w:rsid w:val="54CCA5CC"/>
    <w:rsid w:val="54CD3AE6"/>
    <w:rsid w:val="552C8F84"/>
    <w:rsid w:val="55C6B71B"/>
    <w:rsid w:val="5C6EDEBB"/>
    <w:rsid w:val="5D3567E2"/>
    <w:rsid w:val="5E840FFB"/>
    <w:rsid w:val="5FF2FE50"/>
    <w:rsid w:val="61104DD6"/>
    <w:rsid w:val="62B7AE82"/>
    <w:rsid w:val="6754098E"/>
    <w:rsid w:val="67A79772"/>
    <w:rsid w:val="67C0B6F4"/>
    <w:rsid w:val="6BF290A4"/>
    <w:rsid w:val="6ECB4034"/>
    <w:rsid w:val="709213D9"/>
    <w:rsid w:val="70A6E51D"/>
    <w:rsid w:val="72A59669"/>
    <w:rsid w:val="72CC3EB5"/>
    <w:rsid w:val="752C83B2"/>
    <w:rsid w:val="7726FCD1"/>
    <w:rsid w:val="772B1187"/>
    <w:rsid w:val="78983828"/>
    <w:rsid w:val="7900D3B5"/>
    <w:rsid w:val="7B4221CE"/>
    <w:rsid w:val="7E02E08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50D3E4"/>
  <w15:chartTrackingRefBased/>
  <w15:docId w15:val="{0315918B-FA7D-4294-9693-51E4BA9A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36"/>
    <w:rPr>
      <w:rFonts w:ascii="Bookman Old Style" w:hAnsi="Bookman Old Style"/>
      <w:sz w:val="24"/>
      <w:szCs w:val="24"/>
    </w:rPr>
  </w:style>
  <w:style w:type="paragraph" w:styleId="Ttulo1">
    <w:name w:val="heading 1"/>
    <w:basedOn w:val="Normal"/>
    <w:next w:val="Normal"/>
    <w:link w:val="Ttulo1Car"/>
    <w:uiPriority w:val="9"/>
    <w:qFormat/>
    <w:rsid w:val="002331C9"/>
    <w:pPr>
      <w:keepNext/>
      <w:jc w:val="center"/>
      <w:outlineLvl w:val="0"/>
    </w:pPr>
    <w:rPr>
      <w:b/>
      <w:szCs w:val="20"/>
    </w:rPr>
  </w:style>
  <w:style w:type="paragraph" w:styleId="Ttulo2">
    <w:name w:val="heading 2"/>
    <w:basedOn w:val="Normal"/>
    <w:next w:val="Normal"/>
    <w:link w:val="Ttulo2Car"/>
    <w:uiPriority w:val="9"/>
    <w:semiHidden/>
    <w:unhideWhenUsed/>
    <w:qFormat/>
    <w:rsid w:val="00203634"/>
    <w:pPr>
      <w:keepNext/>
      <w:keepLines/>
      <w:spacing w:before="40"/>
      <w:outlineLvl w:val="1"/>
    </w:pPr>
    <w:rPr>
      <w:rFonts w:ascii="Cambria" w:eastAsia="MS Gothic" w:hAnsi="Cambria"/>
      <w:color w:val="365F91"/>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aliases w:val="TBG Heading 4,o"/>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uiPriority w:val="99"/>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uiPriority w:val="10"/>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10"/>
    <w:rsid w:val="00795BFB"/>
    <w:rPr>
      <w:rFonts w:ascii="Arial" w:hAnsi="Arial" w:cs="Arial"/>
      <w:b/>
      <w:bCs/>
      <w:sz w:val="24"/>
      <w:szCs w:val="24"/>
    </w:rPr>
  </w:style>
  <w:style w:type="paragraph" w:styleId="Prrafodelista">
    <w:name w:val="List Paragraph"/>
    <w:aliases w:val="Párrafo de lista1,Bolita,Párrafo de lista3,BOLA,Párrafo de lista21"/>
    <w:basedOn w:val="Normal"/>
    <w:link w:val="PrrafodelistaCar"/>
    <w:uiPriority w:val="34"/>
    <w:qFormat/>
    <w:rsid w:val="001405C6"/>
    <w:pPr>
      <w:ind w:left="708"/>
    </w:pPr>
    <w:rPr>
      <w:sz w:val="20"/>
      <w:szCs w:val="20"/>
    </w:rPr>
  </w:style>
  <w:style w:type="character" w:customStyle="1" w:styleId="PrrafodelistaCar">
    <w:name w:val="Párrafo de lista Car"/>
    <w:aliases w:val="Párrafo de lista1 Car,Bolita Car,Párrafo de lista3 Car,BOLA Car,Párrafo de lista2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customStyle="1" w:styleId="Epgrafe">
    <w:name w:val="Epígrafe"/>
    <w:basedOn w:val="Normal"/>
    <w:next w:val="Normal"/>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6E1410"/>
    <w:pPr>
      <w:widowControl w:val="0"/>
      <w:numPr>
        <w:numId w:val="2"/>
      </w:numPr>
      <w:tabs>
        <w:tab w:val="left" w:pos="1559"/>
      </w:tabs>
      <w:adjustRightInd w:val="0"/>
      <w:jc w:val="both"/>
      <w:textAlignment w:val="baseline"/>
    </w:pPr>
    <w:rPr>
      <w:bCs/>
      <w:lang w:val="x-none" w:eastAsia="x-none"/>
    </w:rPr>
  </w:style>
  <w:style w:type="character" w:customStyle="1" w:styleId="ARTICULOSCar">
    <w:name w:val="ARTICULOS Car"/>
    <w:link w:val="ARTICULOS"/>
    <w:rsid w:val="00FC7B12"/>
    <w:rPr>
      <w:rFonts w:ascii="Bookman Old Style" w:hAnsi="Bookman Old Style"/>
      <w:bCs/>
      <w:sz w:val="24"/>
      <w:szCs w:val="24"/>
      <w:lang w:val="x-none" w:eastAsia="x-none"/>
    </w:rPr>
  </w:style>
  <w:style w:type="character" w:customStyle="1" w:styleId="Ttulo2Car">
    <w:name w:val="Título 2 Car"/>
    <w:basedOn w:val="Fuentedeprrafopredeter"/>
    <w:link w:val="Ttulo2"/>
    <w:uiPriority w:val="9"/>
    <w:semiHidden/>
    <w:rsid w:val="00203634"/>
    <w:rPr>
      <w:rFonts w:ascii="Cambria" w:eastAsia="MS Gothic" w:hAnsi="Cambria"/>
      <w:color w:val="365F91"/>
      <w:sz w:val="26"/>
      <w:szCs w:val="26"/>
      <w:lang w:val="es-ES" w:eastAsia="es-ES"/>
    </w:rPr>
  </w:style>
  <w:style w:type="character" w:customStyle="1" w:styleId="PiedepginaCar">
    <w:name w:val="Pie de página Car"/>
    <w:link w:val="Piedepgina"/>
    <w:uiPriority w:val="99"/>
    <w:rsid w:val="00203634"/>
    <w:rPr>
      <w:sz w:val="24"/>
      <w:szCs w:val="24"/>
      <w:lang w:val="es-ES" w:eastAsia="es-ES"/>
    </w:rPr>
  </w:style>
  <w:style w:type="character" w:styleId="Refdecomentario">
    <w:name w:val="annotation reference"/>
    <w:rsid w:val="00203634"/>
    <w:rPr>
      <w:sz w:val="16"/>
      <w:szCs w:val="16"/>
    </w:rPr>
  </w:style>
  <w:style w:type="paragraph" w:styleId="Textocomentario">
    <w:name w:val="annotation text"/>
    <w:basedOn w:val="Normal"/>
    <w:link w:val="TextocomentarioCar"/>
    <w:uiPriority w:val="99"/>
    <w:rsid w:val="00203634"/>
    <w:pPr>
      <w:widowControl w:val="0"/>
      <w:adjustRightInd w:val="0"/>
      <w:spacing w:line="360" w:lineRule="atLeast"/>
      <w:jc w:val="both"/>
      <w:textAlignment w:val="baseline"/>
    </w:pPr>
    <w:rPr>
      <w:sz w:val="20"/>
      <w:szCs w:val="20"/>
    </w:rPr>
  </w:style>
  <w:style w:type="character" w:customStyle="1" w:styleId="TextocomentarioCar">
    <w:name w:val="Texto comentario Car"/>
    <w:basedOn w:val="Fuentedeprrafopredeter"/>
    <w:link w:val="Textocomentario"/>
    <w:uiPriority w:val="99"/>
    <w:rsid w:val="00203634"/>
  </w:style>
  <w:style w:type="paragraph" w:customStyle="1" w:styleId="Default">
    <w:name w:val="Default"/>
    <w:rsid w:val="00203634"/>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203634"/>
    <w:pPr>
      <w:spacing w:line="240" w:lineRule="auto"/>
    </w:pPr>
    <w:rPr>
      <w:b/>
      <w:bCs/>
    </w:rPr>
  </w:style>
  <w:style w:type="character" w:customStyle="1" w:styleId="AsuntodelcomentarioCar">
    <w:name w:val="Asunto del comentario Car"/>
    <w:basedOn w:val="TextocomentarioCar"/>
    <w:link w:val="Asuntodelcomentario"/>
    <w:uiPriority w:val="99"/>
    <w:semiHidden/>
    <w:rsid w:val="00203634"/>
    <w:rPr>
      <w:b/>
      <w:bCs/>
      <w:lang w:val="es-ES" w:eastAsia="es-ES"/>
    </w:rPr>
  </w:style>
  <w:style w:type="paragraph" w:styleId="TDC3">
    <w:name w:val="toc 3"/>
    <w:basedOn w:val="Normal"/>
    <w:next w:val="Normal"/>
    <w:autoRedefine/>
    <w:uiPriority w:val="39"/>
    <w:rsid w:val="00203634"/>
    <w:pPr>
      <w:ind w:left="480"/>
    </w:pPr>
  </w:style>
  <w:style w:type="paragraph" w:customStyle="1" w:styleId="xl28">
    <w:name w:val="xl28"/>
    <w:basedOn w:val="Normal"/>
    <w:rsid w:val="00203634"/>
    <w:pPr>
      <w:pBdr>
        <w:left w:val="single" w:sz="4" w:space="0" w:color="auto"/>
        <w:bottom w:val="single" w:sz="4" w:space="0" w:color="auto"/>
      </w:pBdr>
      <w:spacing w:before="100" w:after="100"/>
      <w:jc w:val="center"/>
    </w:pPr>
    <w:rPr>
      <w:rFonts w:ascii="Arial" w:hAnsi="Arial"/>
      <w:b/>
      <w:sz w:val="22"/>
      <w:szCs w:val="20"/>
      <w:lang w:eastAsia="es-MX"/>
    </w:rPr>
  </w:style>
  <w:style w:type="paragraph" w:customStyle="1" w:styleId="xl32">
    <w:name w:val="xl32"/>
    <w:basedOn w:val="Normal"/>
    <w:rsid w:val="00203634"/>
    <w:pPr>
      <w:pBdr>
        <w:left w:val="single" w:sz="4" w:space="0" w:color="auto"/>
        <w:right w:val="single" w:sz="4" w:space="0" w:color="auto"/>
      </w:pBdr>
      <w:spacing w:before="100" w:after="100"/>
      <w:jc w:val="center"/>
    </w:pPr>
    <w:rPr>
      <w:rFonts w:ascii="Arial" w:hAnsi="Arial"/>
      <w:sz w:val="22"/>
      <w:szCs w:val="20"/>
      <w:lang w:eastAsia="es-MX"/>
    </w:rPr>
  </w:style>
  <w:style w:type="character" w:styleId="Textodelmarcadordeposicin">
    <w:name w:val="Placeholder Text"/>
    <w:uiPriority w:val="99"/>
    <w:semiHidden/>
    <w:rsid w:val="00203634"/>
    <w:rPr>
      <w:color w:val="808080"/>
    </w:rPr>
  </w:style>
  <w:style w:type="paragraph" w:styleId="Revisin">
    <w:name w:val="Revision"/>
    <w:hidden/>
    <w:uiPriority w:val="99"/>
    <w:semiHidden/>
    <w:rsid w:val="00203634"/>
    <w:rPr>
      <w:sz w:val="24"/>
      <w:szCs w:val="24"/>
      <w:lang w:val="es-ES" w:eastAsia="es-ES"/>
    </w:rPr>
  </w:style>
  <w:style w:type="paragraph" w:customStyle="1" w:styleId="Comentarios">
    <w:name w:val="Comentarios"/>
    <w:basedOn w:val="Textoindependiente"/>
    <w:rsid w:val="00203634"/>
    <w:pPr>
      <w:numPr>
        <w:numId w:val="3"/>
      </w:numPr>
      <w:jc w:val="both"/>
    </w:pPr>
    <w:rPr>
      <w:rFonts w:cs="Times New Roman"/>
      <w:b w:val="0"/>
      <w:bCs w:val="0"/>
      <w:sz w:val="22"/>
      <w:szCs w:val="20"/>
      <w:lang w:val="x-none" w:eastAsia="x-none"/>
    </w:rPr>
  </w:style>
  <w:style w:type="paragraph" w:styleId="Textonotaalfinal">
    <w:name w:val="endnote text"/>
    <w:basedOn w:val="Normal"/>
    <w:link w:val="TextonotaalfinalCar"/>
    <w:uiPriority w:val="99"/>
    <w:semiHidden/>
    <w:unhideWhenUsed/>
    <w:rsid w:val="00203634"/>
    <w:pPr>
      <w:widowControl w:val="0"/>
      <w:adjustRightInd w:val="0"/>
      <w:jc w:val="both"/>
      <w:textAlignment w:val="baseline"/>
    </w:pPr>
    <w:rPr>
      <w:sz w:val="20"/>
      <w:szCs w:val="20"/>
    </w:rPr>
  </w:style>
  <w:style w:type="character" w:customStyle="1" w:styleId="TextonotaalfinalCar">
    <w:name w:val="Texto nota al final Car"/>
    <w:basedOn w:val="Fuentedeprrafopredeter"/>
    <w:link w:val="Textonotaalfinal"/>
    <w:uiPriority w:val="99"/>
    <w:semiHidden/>
    <w:rsid w:val="00203634"/>
  </w:style>
  <w:style w:type="character" w:styleId="Refdenotaalfinal">
    <w:name w:val="endnote reference"/>
    <w:uiPriority w:val="99"/>
    <w:semiHidden/>
    <w:unhideWhenUsed/>
    <w:rsid w:val="00203634"/>
    <w:rPr>
      <w:vertAlign w:val="superscript"/>
    </w:rPr>
  </w:style>
  <w:style w:type="paragraph" w:styleId="Textonotapie">
    <w:name w:val="footnote text"/>
    <w:aliases w:val="fn,footnote text,Footnote Text Char Char Char Char Char,Footnote Text Char Char Char Char,Footnote reference,FA Fu,texto de nota al pie,Footnote Text Char Char Char,Footnote Text Char,Footnote Text Char Char Char Char Char Char Char Cha"/>
    <w:basedOn w:val="Normal"/>
    <w:link w:val="TextonotapieCar"/>
    <w:uiPriority w:val="99"/>
    <w:rsid w:val="00203634"/>
    <w:pPr>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texto de nota al pie Car,Footnote Text Char Char Char Car,Footnote Text Char Car"/>
    <w:basedOn w:val="Fuentedeprrafopredeter"/>
    <w:link w:val="Textonotapie"/>
    <w:uiPriority w:val="99"/>
    <w:rsid w:val="00203634"/>
    <w:rPr>
      <w:rFonts w:ascii="Arial" w:hAnsi="Arial"/>
      <w:lang w:val="es-ES_tradnl" w:eastAsia="x-none"/>
    </w:rPr>
  </w:style>
  <w:style w:type="character" w:styleId="Refdenotaalpie">
    <w:name w:val="footnote reference"/>
    <w:aliases w:val="Texto de nota al pie,Footnotes refss,Appel note de bas de page,Ref,de nota al pie,FC,Appel note d,Appel note de,Appel note de bas de p,Ref. de nota al pie 2,Appel note de bas de,referencia nota al pie,Pie de Página,Footnote number"/>
    <w:uiPriority w:val="99"/>
    <w:rsid w:val="00203634"/>
    <w:rPr>
      <w:vertAlign w:val="superscript"/>
    </w:rPr>
  </w:style>
  <w:style w:type="character" w:styleId="Hipervnculo">
    <w:name w:val="Hyperlink"/>
    <w:uiPriority w:val="99"/>
    <w:unhideWhenUsed/>
    <w:rsid w:val="00203634"/>
    <w:rPr>
      <w:color w:val="0000FF"/>
      <w:u w:val="single"/>
    </w:rPr>
  </w:style>
  <w:style w:type="character" w:styleId="Hipervnculovisitado">
    <w:name w:val="FollowedHyperlink"/>
    <w:uiPriority w:val="99"/>
    <w:semiHidden/>
    <w:unhideWhenUsed/>
    <w:rsid w:val="00203634"/>
    <w:rPr>
      <w:color w:val="800080"/>
      <w:u w:val="single"/>
    </w:rPr>
  </w:style>
  <w:style w:type="paragraph" w:customStyle="1" w:styleId="Textoindependiente21">
    <w:name w:val="Texto independiente 21"/>
    <w:basedOn w:val="Normal"/>
    <w:rsid w:val="00203634"/>
    <w:pPr>
      <w:widowControl w:val="0"/>
      <w:tabs>
        <w:tab w:val="left" w:pos="3420"/>
      </w:tabs>
      <w:jc w:val="both"/>
    </w:pPr>
    <w:rPr>
      <w:rFonts w:ascii="Arial" w:hAnsi="Arial"/>
      <w:sz w:val="20"/>
      <w:szCs w:val="20"/>
    </w:rPr>
  </w:style>
  <w:style w:type="paragraph" w:customStyle="1" w:styleId="Estilo2">
    <w:name w:val="Estilo2"/>
    <w:basedOn w:val="Estilo1"/>
    <w:link w:val="Estilo2Car"/>
    <w:rsid w:val="00203634"/>
    <w:pPr>
      <w:keepNext/>
      <w:widowControl w:val="0"/>
      <w:shd w:val="clear" w:color="auto" w:fill="auto"/>
      <w:tabs>
        <w:tab w:val="num" w:pos="5126"/>
      </w:tabs>
      <w:adjustRightInd w:val="0"/>
      <w:ind w:left="3686"/>
      <w:jc w:val="both"/>
      <w:textAlignment w:val="baseline"/>
      <w:outlineLvl w:val="0"/>
    </w:pPr>
    <w:rPr>
      <w:rFonts w:ascii="Bookman Old Style" w:hAnsi="Bookman Old Style"/>
      <w:b/>
      <w:bCs/>
      <w:color w:val="auto"/>
      <w:sz w:val="24"/>
      <w:szCs w:val="24"/>
      <w:lang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203634"/>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203634"/>
    <w:rPr>
      <w:rFonts w:ascii="Tahoma" w:hAnsi="Tahoma"/>
      <w:sz w:val="16"/>
      <w:szCs w:val="16"/>
    </w:rPr>
  </w:style>
  <w:style w:type="character" w:customStyle="1" w:styleId="MapadeldocumentoCar">
    <w:name w:val="Mapa del documento Car"/>
    <w:basedOn w:val="Fuentedeprrafopredeter"/>
    <w:link w:val="Mapadeldocumento"/>
    <w:uiPriority w:val="99"/>
    <w:semiHidden/>
    <w:rsid w:val="00203634"/>
    <w:rPr>
      <w:rFonts w:ascii="Tahoma" w:hAnsi="Tahoma"/>
      <w:sz w:val="16"/>
      <w:szCs w:val="16"/>
      <w:lang w:val="es-ES" w:eastAsia="es-ES"/>
    </w:rPr>
  </w:style>
  <w:style w:type="character" w:customStyle="1" w:styleId="TextocomentarioCar1">
    <w:name w:val="Texto comentario Car1"/>
    <w:uiPriority w:val="99"/>
    <w:rsid w:val="00203634"/>
    <w:rPr>
      <w:rFonts w:ascii="Arial" w:hAnsi="Arial"/>
      <w:lang w:val="es-ES_tradnl"/>
    </w:rPr>
  </w:style>
  <w:style w:type="character" w:customStyle="1" w:styleId="Ttulo1Car">
    <w:name w:val="Título 1 Car"/>
    <w:link w:val="Ttulo1"/>
    <w:uiPriority w:val="9"/>
    <w:rsid w:val="00203634"/>
    <w:rPr>
      <w:rFonts w:ascii="Bookman Old Style" w:hAnsi="Bookman Old Style"/>
      <w:b/>
      <w:sz w:val="24"/>
    </w:rPr>
  </w:style>
  <w:style w:type="paragraph" w:customStyle="1" w:styleId="CM29">
    <w:name w:val="CM29"/>
    <w:basedOn w:val="Default"/>
    <w:next w:val="Default"/>
    <w:uiPriority w:val="99"/>
    <w:rsid w:val="00203634"/>
    <w:rPr>
      <w:rFonts w:ascii="Arial" w:eastAsia="Times New Roman" w:hAnsi="Arial" w:cs="Arial"/>
      <w:color w:val="auto"/>
      <w:lang w:eastAsia="es-CO"/>
    </w:rPr>
  </w:style>
  <w:style w:type="character" w:customStyle="1" w:styleId="textonavy1">
    <w:name w:val="texto_navy1"/>
    <w:rsid w:val="00203634"/>
    <w:rPr>
      <w:color w:val="000080"/>
    </w:rPr>
  </w:style>
  <w:style w:type="paragraph" w:customStyle="1" w:styleId="Estilo5">
    <w:name w:val="Estilo5"/>
    <w:basedOn w:val="Estilo1"/>
    <w:qFormat/>
    <w:rsid w:val="00203634"/>
    <w:pPr>
      <w:keepNext/>
      <w:numPr>
        <w:numId w:val="4"/>
      </w:numPr>
      <w:shd w:val="clear" w:color="auto" w:fill="auto"/>
      <w:spacing w:before="240" w:after="60"/>
      <w:jc w:val="both"/>
      <w:outlineLvl w:val="0"/>
    </w:pPr>
    <w:rPr>
      <w:rFonts w:ascii="Arial" w:hAnsi="Arial"/>
      <w:b/>
      <w:color w:val="auto"/>
      <w:kern w:val="28"/>
      <w:sz w:val="22"/>
      <w:szCs w:val="22"/>
      <w:lang w:val="es-ES_tradnl"/>
      <w14:shadow w14:blurRad="0" w14:dist="0" w14:dir="0" w14:sx="0" w14:sy="0" w14:kx="0" w14:ky="0" w14:algn="none">
        <w14:srgbClr w14:val="000000"/>
      </w14:shadow>
      <w14:textOutline w14:w="0" w14:cap="rnd" w14:cmpd="sng" w14:algn="ctr">
        <w14:noFill/>
        <w14:prstDash w14:val="solid"/>
        <w14:bevel/>
      </w14:textOutline>
    </w:rPr>
  </w:style>
  <w:style w:type="paragraph" w:styleId="Textosinformato">
    <w:name w:val="Plain Text"/>
    <w:basedOn w:val="Normal"/>
    <w:link w:val="TextosinformatoCar"/>
    <w:rsid w:val="00203634"/>
    <w:rPr>
      <w:rFonts w:ascii="Courier New" w:hAnsi="Courier New" w:cs="Courier New"/>
      <w:sz w:val="20"/>
      <w:szCs w:val="20"/>
    </w:rPr>
  </w:style>
  <w:style w:type="character" w:customStyle="1" w:styleId="TextosinformatoCar">
    <w:name w:val="Texto sin formato Car"/>
    <w:basedOn w:val="Fuentedeprrafopredeter"/>
    <w:link w:val="Textosinformato"/>
    <w:rsid w:val="00203634"/>
    <w:rPr>
      <w:rFonts w:ascii="Courier New" w:hAnsi="Courier New" w:cs="Courier New"/>
    </w:rPr>
  </w:style>
  <w:style w:type="paragraph" w:styleId="NormalWeb">
    <w:name w:val="Normal (Web)"/>
    <w:basedOn w:val="Normal"/>
    <w:uiPriority w:val="99"/>
    <w:unhideWhenUsed/>
    <w:rsid w:val="00203634"/>
    <w:pPr>
      <w:spacing w:before="100" w:beforeAutospacing="1" w:after="100" w:afterAutospacing="1"/>
    </w:pPr>
  </w:style>
  <w:style w:type="paragraph" w:customStyle="1" w:styleId="CM9">
    <w:name w:val="CM9"/>
    <w:basedOn w:val="Default"/>
    <w:next w:val="Default"/>
    <w:uiPriority w:val="99"/>
    <w:rsid w:val="00203634"/>
    <w:rPr>
      <w:rFonts w:ascii="Arial" w:eastAsia="Times New Roman" w:hAnsi="Arial" w:cs="Arial"/>
      <w:color w:val="auto"/>
      <w:lang w:eastAsia="es-CO"/>
    </w:rPr>
  </w:style>
  <w:style w:type="paragraph" w:styleId="Descripcin">
    <w:name w:val="caption"/>
    <w:basedOn w:val="Normal"/>
    <w:next w:val="Normal"/>
    <w:uiPriority w:val="35"/>
    <w:unhideWhenUsed/>
    <w:qFormat/>
    <w:rsid w:val="00B30245"/>
    <w:pPr>
      <w:spacing w:after="200"/>
    </w:pPr>
    <w:rPr>
      <w:i/>
      <w:iCs/>
      <w:color w:val="44546A" w:themeColor="text2"/>
      <w:sz w:val="18"/>
      <w:szCs w:val="18"/>
    </w:rPr>
  </w:style>
  <w:style w:type="paragraph" w:customStyle="1" w:styleId="paragraph">
    <w:name w:val="paragraph"/>
    <w:basedOn w:val="Normal"/>
    <w:rsid w:val="002135CA"/>
    <w:pPr>
      <w:spacing w:before="100" w:beforeAutospacing="1" w:after="100" w:afterAutospacing="1"/>
    </w:pPr>
  </w:style>
  <w:style w:type="character" w:customStyle="1" w:styleId="normaltextrun">
    <w:name w:val="normaltextrun"/>
    <w:basedOn w:val="Fuentedeprrafopredeter"/>
    <w:rsid w:val="002135CA"/>
  </w:style>
  <w:style w:type="character" w:customStyle="1" w:styleId="eop">
    <w:name w:val="eop"/>
    <w:basedOn w:val="Fuentedeprrafopredeter"/>
    <w:rsid w:val="002135CA"/>
  </w:style>
  <w:style w:type="paragraph" w:customStyle="1" w:styleId="Textoindependiente22">
    <w:name w:val="Texto independiente 22"/>
    <w:basedOn w:val="Normal"/>
    <w:rsid w:val="00972345"/>
    <w:pPr>
      <w:widowControl w:val="0"/>
      <w:tabs>
        <w:tab w:val="left" w:pos="3420"/>
      </w:tabs>
      <w:jc w:val="both"/>
    </w:pPr>
    <w:rPr>
      <w:rFonts w:ascii="Arial" w:hAnsi="Arial"/>
      <w:sz w:val="20"/>
      <w:szCs w:val="20"/>
    </w:rPr>
  </w:style>
  <w:style w:type="paragraph" w:customStyle="1" w:styleId="titulo12">
    <w:name w:val="titulo12"/>
    <w:basedOn w:val="Normal"/>
    <w:next w:val="Normal"/>
    <w:link w:val="titulo12Car"/>
    <w:qFormat/>
    <w:rsid w:val="00972345"/>
    <w:pPr>
      <w:widowControl w:val="0"/>
      <w:adjustRightInd w:val="0"/>
      <w:jc w:val="both"/>
      <w:textAlignment w:val="baseline"/>
    </w:pPr>
    <w:rPr>
      <w:bCs/>
      <w:lang w:val="x-none" w:eastAsia="x-none"/>
    </w:rPr>
  </w:style>
  <w:style w:type="character" w:customStyle="1" w:styleId="titulo12Car">
    <w:name w:val="titulo12 Car"/>
    <w:link w:val="titulo12"/>
    <w:rsid w:val="00972345"/>
    <w:rPr>
      <w:bCs/>
      <w:sz w:val="24"/>
      <w:szCs w:val="24"/>
      <w:lang w:val="x-none" w:eastAsia="x-none"/>
    </w:rPr>
  </w:style>
  <w:style w:type="paragraph" w:styleId="TtuloTDC">
    <w:name w:val="TOC Heading"/>
    <w:basedOn w:val="Ttulo1"/>
    <w:next w:val="Normal"/>
    <w:uiPriority w:val="39"/>
    <w:unhideWhenUsed/>
    <w:qFormat/>
    <w:rsid w:val="00972345"/>
    <w:pPr>
      <w:keepLines/>
      <w:spacing w:before="480"/>
      <w:jc w:val="left"/>
      <w:outlineLvl w:val="9"/>
    </w:pPr>
    <w:rPr>
      <w:rFonts w:asciiTheme="majorHAnsi" w:eastAsiaTheme="majorEastAsia" w:hAnsiTheme="majorHAnsi" w:cstheme="majorBidi"/>
      <w:bCs/>
      <w:color w:val="2E74B5" w:themeColor="accent1" w:themeShade="BF"/>
      <w:sz w:val="28"/>
      <w:szCs w:val="28"/>
    </w:rPr>
  </w:style>
  <w:style w:type="paragraph" w:styleId="TDC2">
    <w:name w:val="toc 2"/>
    <w:basedOn w:val="Normal"/>
    <w:next w:val="Normal"/>
    <w:autoRedefine/>
    <w:uiPriority w:val="39"/>
    <w:unhideWhenUsed/>
    <w:rsid w:val="00972345"/>
    <w:pPr>
      <w:spacing w:after="100"/>
      <w:ind w:left="240"/>
      <w:jc w:val="both"/>
    </w:pPr>
    <w:rPr>
      <w:rFonts w:eastAsiaTheme="minorHAnsi" w:cstheme="minorBidi"/>
      <w:szCs w:val="22"/>
      <w:lang w:eastAsia="en-US"/>
    </w:rPr>
  </w:style>
  <w:style w:type="character" w:customStyle="1" w:styleId="hps">
    <w:name w:val="hps"/>
    <w:basedOn w:val="Fuentedeprrafopredeter"/>
    <w:rsid w:val="00972345"/>
  </w:style>
  <w:style w:type="paragraph" w:customStyle="1" w:styleId="Car4">
    <w:name w:val="Car4"/>
    <w:basedOn w:val="Normal"/>
    <w:rsid w:val="00972345"/>
    <w:pPr>
      <w:spacing w:after="160" w:line="240" w:lineRule="exact"/>
      <w:jc w:val="both"/>
    </w:pPr>
    <w:rPr>
      <w:rFonts w:ascii="Tahoma" w:hAnsi="Tahoma"/>
      <w:sz w:val="20"/>
      <w:szCs w:val="20"/>
      <w:lang w:val="en-US" w:eastAsia="en-US"/>
    </w:rPr>
  </w:style>
  <w:style w:type="paragraph" w:customStyle="1" w:styleId="estilo10">
    <w:name w:val="estilo1"/>
    <w:basedOn w:val="Normal"/>
    <w:rsid w:val="00972345"/>
    <w:pPr>
      <w:spacing w:before="230" w:after="230" w:line="216" w:lineRule="atLeast"/>
      <w:ind w:left="230" w:right="230"/>
    </w:pPr>
    <w:rPr>
      <w:rFonts w:ascii="Verdana" w:hAnsi="Verdana"/>
      <w:color w:val="000000"/>
      <w:sz w:val="18"/>
      <w:szCs w:val="18"/>
      <w:lang w:val="en-GB" w:eastAsia="en-GB"/>
    </w:rPr>
  </w:style>
  <w:style w:type="character" w:customStyle="1" w:styleId="A2">
    <w:name w:val="A2"/>
    <w:uiPriority w:val="99"/>
    <w:rsid w:val="00972345"/>
    <w:rPr>
      <w:rFonts w:cs="Franklin Gothic Book"/>
      <w:i/>
      <w:iCs/>
      <w:color w:val="000000"/>
      <w:sz w:val="22"/>
      <w:szCs w:val="22"/>
    </w:rPr>
  </w:style>
  <w:style w:type="paragraph" w:customStyle="1" w:styleId="PreformattedText">
    <w:name w:val="Preformatted Text"/>
    <w:basedOn w:val="Normal"/>
    <w:qFormat/>
    <w:rsid w:val="00972345"/>
    <w:pPr>
      <w:widowControl w:val="0"/>
    </w:pPr>
    <w:rPr>
      <w:rFonts w:ascii="Liberation Mono" w:eastAsia="Liberation Mono" w:hAnsi="Liberation Mono" w:cs="Liberation Mono"/>
      <w:sz w:val="20"/>
      <w:szCs w:val="20"/>
      <w:lang w:val="en-US" w:eastAsia="zh-CN" w:bidi="hi-IN"/>
    </w:rPr>
  </w:style>
  <w:style w:type="character" w:customStyle="1" w:styleId="Mencinsinresolver1">
    <w:name w:val="Mención sin resolver1"/>
    <w:basedOn w:val="Fuentedeprrafopredeter"/>
    <w:uiPriority w:val="99"/>
    <w:semiHidden/>
    <w:unhideWhenUsed/>
    <w:rsid w:val="004039B9"/>
    <w:rPr>
      <w:color w:val="605E5C"/>
      <w:shd w:val="clear" w:color="auto" w:fill="E1DFDD"/>
    </w:rPr>
  </w:style>
  <w:style w:type="character" w:styleId="nfasis">
    <w:name w:val="Emphasis"/>
    <w:basedOn w:val="Fuentedeprrafopredeter"/>
    <w:uiPriority w:val="20"/>
    <w:qFormat/>
    <w:rsid w:val="00BF28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8513">
      <w:bodyDiv w:val="1"/>
      <w:marLeft w:val="0"/>
      <w:marRight w:val="0"/>
      <w:marTop w:val="0"/>
      <w:marBottom w:val="0"/>
      <w:divBdr>
        <w:top w:val="none" w:sz="0" w:space="0" w:color="auto"/>
        <w:left w:val="none" w:sz="0" w:space="0" w:color="auto"/>
        <w:bottom w:val="none" w:sz="0" w:space="0" w:color="auto"/>
        <w:right w:val="none" w:sz="0" w:space="0" w:color="auto"/>
      </w:divBdr>
    </w:div>
    <w:div w:id="178084637">
      <w:bodyDiv w:val="1"/>
      <w:marLeft w:val="0"/>
      <w:marRight w:val="0"/>
      <w:marTop w:val="0"/>
      <w:marBottom w:val="0"/>
      <w:divBdr>
        <w:top w:val="none" w:sz="0" w:space="0" w:color="auto"/>
        <w:left w:val="none" w:sz="0" w:space="0" w:color="auto"/>
        <w:bottom w:val="none" w:sz="0" w:space="0" w:color="auto"/>
        <w:right w:val="none" w:sz="0" w:space="0" w:color="auto"/>
      </w:divBdr>
    </w:div>
    <w:div w:id="431556732">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sChild>
        <w:div w:id="8025668">
          <w:marLeft w:val="0"/>
          <w:marRight w:val="0"/>
          <w:marTop w:val="0"/>
          <w:marBottom w:val="0"/>
          <w:divBdr>
            <w:top w:val="none" w:sz="0" w:space="0" w:color="auto"/>
            <w:left w:val="none" w:sz="0" w:space="0" w:color="auto"/>
            <w:bottom w:val="none" w:sz="0" w:space="0" w:color="auto"/>
            <w:right w:val="none" w:sz="0" w:space="0" w:color="auto"/>
          </w:divBdr>
        </w:div>
        <w:div w:id="315764874">
          <w:marLeft w:val="0"/>
          <w:marRight w:val="0"/>
          <w:marTop w:val="0"/>
          <w:marBottom w:val="0"/>
          <w:divBdr>
            <w:top w:val="none" w:sz="0" w:space="0" w:color="auto"/>
            <w:left w:val="none" w:sz="0" w:space="0" w:color="auto"/>
            <w:bottom w:val="none" w:sz="0" w:space="0" w:color="auto"/>
            <w:right w:val="none" w:sz="0" w:space="0" w:color="auto"/>
          </w:divBdr>
        </w:div>
        <w:div w:id="383145860">
          <w:marLeft w:val="0"/>
          <w:marRight w:val="0"/>
          <w:marTop w:val="0"/>
          <w:marBottom w:val="0"/>
          <w:divBdr>
            <w:top w:val="none" w:sz="0" w:space="0" w:color="auto"/>
            <w:left w:val="none" w:sz="0" w:space="0" w:color="auto"/>
            <w:bottom w:val="none" w:sz="0" w:space="0" w:color="auto"/>
            <w:right w:val="none" w:sz="0" w:space="0" w:color="auto"/>
          </w:divBdr>
        </w:div>
        <w:div w:id="392436395">
          <w:marLeft w:val="0"/>
          <w:marRight w:val="0"/>
          <w:marTop w:val="0"/>
          <w:marBottom w:val="0"/>
          <w:divBdr>
            <w:top w:val="none" w:sz="0" w:space="0" w:color="auto"/>
            <w:left w:val="none" w:sz="0" w:space="0" w:color="auto"/>
            <w:bottom w:val="none" w:sz="0" w:space="0" w:color="auto"/>
            <w:right w:val="none" w:sz="0" w:space="0" w:color="auto"/>
          </w:divBdr>
        </w:div>
        <w:div w:id="553003895">
          <w:marLeft w:val="0"/>
          <w:marRight w:val="0"/>
          <w:marTop w:val="0"/>
          <w:marBottom w:val="0"/>
          <w:divBdr>
            <w:top w:val="none" w:sz="0" w:space="0" w:color="auto"/>
            <w:left w:val="none" w:sz="0" w:space="0" w:color="auto"/>
            <w:bottom w:val="none" w:sz="0" w:space="0" w:color="auto"/>
            <w:right w:val="none" w:sz="0" w:space="0" w:color="auto"/>
          </w:divBdr>
        </w:div>
        <w:div w:id="651831984">
          <w:marLeft w:val="0"/>
          <w:marRight w:val="0"/>
          <w:marTop w:val="0"/>
          <w:marBottom w:val="0"/>
          <w:divBdr>
            <w:top w:val="none" w:sz="0" w:space="0" w:color="auto"/>
            <w:left w:val="none" w:sz="0" w:space="0" w:color="auto"/>
            <w:bottom w:val="none" w:sz="0" w:space="0" w:color="auto"/>
            <w:right w:val="none" w:sz="0" w:space="0" w:color="auto"/>
          </w:divBdr>
        </w:div>
        <w:div w:id="716318310">
          <w:marLeft w:val="0"/>
          <w:marRight w:val="0"/>
          <w:marTop w:val="0"/>
          <w:marBottom w:val="0"/>
          <w:divBdr>
            <w:top w:val="none" w:sz="0" w:space="0" w:color="auto"/>
            <w:left w:val="none" w:sz="0" w:space="0" w:color="auto"/>
            <w:bottom w:val="none" w:sz="0" w:space="0" w:color="auto"/>
            <w:right w:val="none" w:sz="0" w:space="0" w:color="auto"/>
          </w:divBdr>
        </w:div>
        <w:div w:id="783502497">
          <w:marLeft w:val="0"/>
          <w:marRight w:val="0"/>
          <w:marTop w:val="0"/>
          <w:marBottom w:val="0"/>
          <w:divBdr>
            <w:top w:val="none" w:sz="0" w:space="0" w:color="auto"/>
            <w:left w:val="none" w:sz="0" w:space="0" w:color="auto"/>
            <w:bottom w:val="none" w:sz="0" w:space="0" w:color="auto"/>
            <w:right w:val="none" w:sz="0" w:space="0" w:color="auto"/>
          </w:divBdr>
        </w:div>
        <w:div w:id="911934742">
          <w:marLeft w:val="0"/>
          <w:marRight w:val="0"/>
          <w:marTop w:val="0"/>
          <w:marBottom w:val="0"/>
          <w:divBdr>
            <w:top w:val="none" w:sz="0" w:space="0" w:color="auto"/>
            <w:left w:val="none" w:sz="0" w:space="0" w:color="auto"/>
            <w:bottom w:val="none" w:sz="0" w:space="0" w:color="auto"/>
            <w:right w:val="none" w:sz="0" w:space="0" w:color="auto"/>
          </w:divBdr>
        </w:div>
        <w:div w:id="1507161694">
          <w:marLeft w:val="0"/>
          <w:marRight w:val="0"/>
          <w:marTop w:val="0"/>
          <w:marBottom w:val="0"/>
          <w:divBdr>
            <w:top w:val="none" w:sz="0" w:space="0" w:color="auto"/>
            <w:left w:val="none" w:sz="0" w:space="0" w:color="auto"/>
            <w:bottom w:val="none" w:sz="0" w:space="0" w:color="auto"/>
            <w:right w:val="none" w:sz="0" w:space="0" w:color="auto"/>
          </w:divBdr>
        </w:div>
      </w:divsChild>
    </w:div>
    <w:div w:id="591743926">
      <w:bodyDiv w:val="1"/>
      <w:marLeft w:val="0"/>
      <w:marRight w:val="0"/>
      <w:marTop w:val="0"/>
      <w:marBottom w:val="0"/>
      <w:divBdr>
        <w:top w:val="none" w:sz="0" w:space="0" w:color="auto"/>
        <w:left w:val="none" w:sz="0" w:space="0" w:color="auto"/>
        <w:bottom w:val="none" w:sz="0" w:space="0" w:color="auto"/>
        <w:right w:val="none" w:sz="0" w:space="0" w:color="auto"/>
      </w:divBdr>
      <w:divsChild>
        <w:div w:id="118645281">
          <w:marLeft w:val="360"/>
          <w:marRight w:val="0"/>
          <w:marTop w:val="200"/>
          <w:marBottom w:val="0"/>
          <w:divBdr>
            <w:top w:val="none" w:sz="0" w:space="0" w:color="auto"/>
            <w:left w:val="none" w:sz="0" w:space="0" w:color="auto"/>
            <w:bottom w:val="none" w:sz="0" w:space="0" w:color="auto"/>
            <w:right w:val="none" w:sz="0" w:space="0" w:color="auto"/>
          </w:divBdr>
        </w:div>
        <w:div w:id="720908614">
          <w:marLeft w:val="360"/>
          <w:marRight w:val="0"/>
          <w:marTop w:val="200"/>
          <w:marBottom w:val="0"/>
          <w:divBdr>
            <w:top w:val="none" w:sz="0" w:space="0" w:color="auto"/>
            <w:left w:val="none" w:sz="0" w:space="0" w:color="auto"/>
            <w:bottom w:val="none" w:sz="0" w:space="0" w:color="auto"/>
            <w:right w:val="none" w:sz="0" w:space="0" w:color="auto"/>
          </w:divBdr>
        </w:div>
        <w:div w:id="1845119966">
          <w:marLeft w:val="1080"/>
          <w:marRight w:val="0"/>
          <w:marTop w:val="100"/>
          <w:marBottom w:val="0"/>
          <w:divBdr>
            <w:top w:val="none" w:sz="0" w:space="0" w:color="auto"/>
            <w:left w:val="none" w:sz="0" w:space="0" w:color="auto"/>
            <w:bottom w:val="none" w:sz="0" w:space="0" w:color="auto"/>
            <w:right w:val="none" w:sz="0" w:space="0" w:color="auto"/>
          </w:divBdr>
        </w:div>
        <w:div w:id="2029135680">
          <w:marLeft w:val="1080"/>
          <w:marRight w:val="0"/>
          <w:marTop w:val="100"/>
          <w:marBottom w:val="0"/>
          <w:divBdr>
            <w:top w:val="none" w:sz="0" w:space="0" w:color="auto"/>
            <w:left w:val="none" w:sz="0" w:space="0" w:color="auto"/>
            <w:bottom w:val="none" w:sz="0" w:space="0" w:color="auto"/>
            <w:right w:val="none" w:sz="0" w:space="0" w:color="auto"/>
          </w:divBdr>
        </w:div>
      </w:divsChild>
    </w:div>
    <w:div w:id="1155685935">
      <w:bodyDiv w:val="1"/>
      <w:marLeft w:val="0"/>
      <w:marRight w:val="0"/>
      <w:marTop w:val="0"/>
      <w:marBottom w:val="0"/>
      <w:divBdr>
        <w:top w:val="none" w:sz="0" w:space="0" w:color="auto"/>
        <w:left w:val="none" w:sz="0" w:space="0" w:color="auto"/>
        <w:bottom w:val="none" w:sz="0" w:space="0" w:color="auto"/>
        <w:right w:val="none" w:sz="0" w:space="0" w:color="auto"/>
      </w:divBdr>
      <w:divsChild>
        <w:div w:id="698168822">
          <w:marLeft w:val="0"/>
          <w:marRight w:val="0"/>
          <w:marTop w:val="0"/>
          <w:marBottom w:val="0"/>
          <w:divBdr>
            <w:top w:val="none" w:sz="0" w:space="0" w:color="auto"/>
            <w:left w:val="none" w:sz="0" w:space="0" w:color="auto"/>
            <w:bottom w:val="none" w:sz="0" w:space="0" w:color="auto"/>
            <w:right w:val="none" w:sz="0" w:space="0" w:color="auto"/>
          </w:divBdr>
        </w:div>
      </w:divsChild>
    </w:div>
    <w:div w:id="1526747823">
      <w:bodyDiv w:val="1"/>
      <w:marLeft w:val="0"/>
      <w:marRight w:val="0"/>
      <w:marTop w:val="0"/>
      <w:marBottom w:val="0"/>
      <w:divBdr>
        <w:top w:val="none" w:sz="0" w:space="0" w:color="auto"/>
        <w:left w:val="none" w:sz="0" w:space="0" w:color="auto"/>
        <w:bottom w:val="none" w:sz="0" w:space="0" w:color="auto"/>
        <w:right w:val="none" w:sz="0" w:space="0" w:color="auto"/>
      </w:divBdr>
    </w:div>
    <w:div w:id="1724253958">
      <w:bodyDiv w:val="1"/>
      <w:marLeft w:val="0"/>
      <w:marRight w:val="0"/>
      <w:marTop w:val="0"/>
      <w:marBottom w:val="0"/>
      <w:divBdr>
        <w:top w:val="none" w:sz="0" w:space="0" w:color="auto"/>
        <w:left w:val="none" w:sz="0" w:space="0" w:color="auto"/>
        <w:bottom w:val="none" w:sz="0" w:space="0" w:color="auto"/>
        <w:right w:val="none" w:sz="0" w:space="0" w:color="auto"/>
      </w:divBdr>
    </w:div>
    <w:div w:id="2019649083">
      <w:bodyDiv w:val="1"/>
      <w:marLeft w:val="0"/>
      <w:marRight w:val="0"/>
      <w:marTop w:val="0"/>
      <w:marBottom w:val="0"/>
      <w:divBdr>
        <w:top w:val="none" w:sz="0" w:space="0" w:color="auto"/>
        <w:left w:val="none" w:sz="0" w:space="0" w:color="auto"/>
        <w:bottom w:val="none" w:sz="0" w:space="0" w:color="auto"/>
        <w:right w:val="none" w:sz="0" w:space="0" w:color="auto"/>
      </w:divBdr>
    </w:div>
    <w:div w:id="2121878114">
      <w:bodyDiv w:val="1"/>
      <w:marLeft w:val="0"/>
      <w:marRight w:val="0"/>
      <w:marTop w:val="0"/>
      <w:marBottom w:val="0"/>
      <w:divBdr>
        <w:top w:val="none" w:sz="0" w:space="0" w:color="auto"/>
        <w:left w:val="none" w:sz="0" w:space="0" w:color="auto"/>
        <w:bottom w:val="none" w:sz="0" w:space="0" w:color="auto"/>
        <w:right w:val="none" w:sz="0" w:space="0" w:color="auto"/>
      </w:divBdr>
    </w:div>
    <w:div w:id="21355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8C42CE87DF4F4FA9E3AB51A63EFD9C" ma:contentTypeVersion="12" ma:contentTypeDescription="Crear nuevo documento." ma:contentTypeScope="" ma:versionID="e90309cc78c2df519d3ebc8944217816">
  <xsd:schema xmlns:xsd="http://www.w3.org/2001/XMLSchema" xmlns:xs="http://www.w3.org/2001/XMLSchema" xmlns:p="http://schemas.microsoft.com/office/2006/metadata/properties" xmlns:ns2="442751cd-85a6-4d9f-a3da-9ea20e9e0a20" xmlns:ns3="bbe900ca-133d-4e71-bf25-4fa3d6075698" targetNamespace="http://schemas.microsoft.com/office/2006/metadata/properties" ma:root="true" ma:fieldsID="8c5e3429f09255912ff99331acfe6e44" ns2:_="" ns3:_="">
    <xsd:import namespace="442751cd-85a6-4d9f-a3da-9ea20e9e0a20"/>
    <xsd:import namespace="bbe900ca-133d-4e71-bf25-4fa3d6075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751cd-85a6-4d9f-a3da-9ea20e9e0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e900ca-133d-4e71-bf25-4fa3d607569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48c527d9-7727-4564-9d15-815acd2d3370}" ma:internalName="TaxCatchAll" ma:showField="CatchAllData" ma:web="bbe900ca-133d-4e71-bf25-4fa3d6075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2751cd-85a6-4d9f-a3da-9ea20e9e0a20">
      <Terms xmlns="http://schemas.microsoft.com/office/infopath/2007/PartnerControls"/>
    </lcf76f155ced4ddcb4097134ff3c332f>
    <TaxCatchAll xmlns="bbe900ca-133d-4e71-bf25-4fa3d6075698" xsi:nil="true"/>
  </documentManagement>
</p:properties>
</file>

<file path=customXml/itemProps1.xml><?xml version="1.0" encoding="utf-8"?>
<ds:datastoreItem xmlns:ds="http://schemas.openxmlformats.org/officeDocument/2006/customXml" ds:itemID="{A9C8EE1D-DB05-4FF0-B14C-19BDF7DB53FD}">
  <ds:schemaRefs>
    <ds:schemaRef ds:uri="http://schemas.openxmlformats.org/officeDocument/2006/bibliography"/>
  </ds:schemaRefs>
</ds:datastoreItem>
</file>

<file path=customXml/itemProps2.xml><?xml version="1.0" encoding="utf-8"?>
<ds:datastoreItem xmlns:ds="http://schemas.openxmlformats.org/officeDocument/2006/customXml" ds:itemID="{6E1D70FE-EC29-40F7-A993-E9D28CD16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751cd-85a6-4d9f-a3da-9ea20e9e0a20"/>
    <ds:schemaRef ds:uri="bbe900ca-133d-4e71-bf25-4fa3d607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BA6D2-6B4D-4ED0-80FD-DD65463E42AF}">
  <ds:schemaRefs>
    <ds:schemaRef ds:uri="http://schemas.microsoft.com/sharepoint/v3/contenttype/forms"/>
  </ds:schemaRefs>
</ds:datastoreItem>
</file>

<file path=customXml/itemProps4.xml><?xml version="1.0" encoding="utf-8"?>
<ds:datastoreItem xmlns:ds="http://schemas.openxmlformats.org/officeDocument/2006/customXml" ds:itemID="{16FF3865-40B5-4683-A994-571188668839}">
  <ds:schemaRefs>
    <ds:schemaRef ds:uri="http://schemas.microsoft.com/office/2006/metadata/properties"/>
    <ds:schemaRef ds:uri="http://schemas.microsoft.com/office/infopath/2007/PartnerControls"/>
    <ds:schemaRef ds:uri="442751cd-85a6-4d9f-a3da-9ea20e9e0a20"/>
    <ds:schemaRef ds:uri="bbe900ca-133d-4e71-bf25-4fa3d6075698"/>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3</Pages>
  <Words>9196</Words>
  <Characters>50578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2022-02-01T07:02:00Z</cp:lastPrinted>
  <dcterms:created xsi:type="dcterms:W3CDTF">2022-06-02T23:41:00Z</dcterms:created>
  <dcterms:modified xsi:type="dcterms:W3CDTF">2022-06-02T23:41:00Z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0x010100F48C42CE87DF4F4FA9E3AB51A63EFD9C</vt:lpwstr>
  </property>
  <property fmtid="{D5CDD505-2E9C-101B-9397-08002B2CF9AE}" pid="3" name="MediaServiceImageTags">
    <vt:lpwstr/>
  </property>
</Properties>
</file>