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C52AA4">
        <w:rPr>
          <w:szCs w:val="24"/>
          <w:lang w:val="es-MX"/>
        </w:rPr>
        <w:t>abril 24 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C52AA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051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611CBF">
        <w:rPr>
          <w:b/>
          <w:szCs w:val="24"/>
        </w:rPr>
        <w:t>EMPRESAS DISTRIBUIDORAS Y COMERCIALIZADORAS DE GAS COMBUSTIBLE POR REDES DE TUBERÍA</w:t>
      </w:r>
      <w:r w:rsidR="00323E3E">
        <w:rPr>
          <w:b/>
          <w:szCs w:val="24"/>
        </w:rPr>
        <w:t>.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="00611CBF">
        <w:rPr>
          <w:b/>
          <w:szCs w:val="24"/>
        </w:rPr>
        <w:t>DIRECCIÓN EJECUTIVA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983812">
        <w:rPr>
          <w:b/>
          <w:szCs w:val="24"/>
        </w:rPr>
        <w:t xml:space="preserve">PUBLICACIÓN DEL DOCUMENTO CREG QUE CONTIENE LA </w:t>
      </w:r>
      <w:r w:rsidR="00CE6ED1">
        <w:rPr>
          <w:b/>
          <w:szCs w:val="24"/>
        </w:rPr>
        <w:t>DEFINICIÓN DE</w:t>
      </w:r>
      <w:r w:rsidR="00611CBF">
        <w:rPr>
          <w:b/>
          <w:szCs w:val="24"/>
        </w:rPr>
        <w:t xml:space="preserve"> LAS FUNCIONES </w:t>
      </w:r>
      <w:r w:rsidR="00983812">
        <w:rPr>
          <w:b/>
          <w:szCs w:val="24"/>
        </w:rPr>
        <w:t xml:space="preserve">ÓPTIMAS PARA DETERMINAR LA </w:t>
      </w:r>
      <w:r w:rsidR="00611CBF">
        <w:rPr>
          <w:b/>
          <w:szCs w:val="24"/>
        </w:rPr>
        <w:t>REMUNERARÁ</w:t>
      </w:r>
      <w:r w:rsidR="00983812">
        <w:rPr>
          <w:b/>
          <w:szCs w:val="24"/>
        </w:rPr>
        <w:t>CIÓN DE</w:t>
      </w:r>
      <w:r w:rsidR="00611CBF">
        <w:rPr>
          <w:b/>
          <w:szCs w:val="24"/>
        </w:rPr>
        <w:t xml:space="preserve"> LOS GASTOS DE AOM DE LAS ACTIVIDADES DE DISTRIBUCIÓN</w:t>
      </w:r>
      <w:r w:rsidR="00983812">
        <w:rPr>
          <w:b/>
          <w:szCs w:val="24"/>
        </w:rPr>
        <w:t xml:space="preserve"> Y</w:t>
      </w:r>
      <w:r w:rsidR="00611CBF">
        <w:rPr>
          <w:b/>
          <w:szCs w:val="24"/>
        </w:rPr>
        <w:t xml:space="preserve"> </w:t>
      </w:r>
      <w:r w:rsidR="00983812">
        <w:rPr>
          <w:b/>
          <w:szCs w:val="24"/>
        </w:rPr>
        <w:t xml:space="preserve">COMERCIALIZACIÓN </w:t>
      </w:r>
      <w:r w:rsidR="00611CBF">
        <w:rPr>
          <w:b/>
          <w:szCs w:val="24"/>
        </w:rPr>
        <w:t xml:space="preserve">DE GAS COMBUSTIBLE POR REDES DE TUBERÍA Y </w:t>
      </w:r>
      <w:r w:rsidR="00983812">
        <w:rPr>
          <w:b/>
          <w:szCs w:val="24"/>
        </w:rPr>
        <w:t xml:space="preserve">DE </w:t>
      </w:r>
      <w:r w:rsidR="00611CBF">
        <w:rPr>
          <w:b/>
          <w:szCs w:val="24"/>
        </w:rPr>
        <w:t xml:space="preserve"> OTROS ACTIVOS PARA LA ACTIVIDAD DE DISTRIBUCIÓN</w:t>
      </w:r>
      <w:r w:rsidR="00983812">
        <w:rPr>
          <w:b/>
          <w:szCs w:val="24"/>
        </w:rPr>
        <w:t xml:space="preserve"> – </w:t>
      </w:r>
      <w:r w:rsidR="00CD23D4">
        <w:rPr>
          <w:b/>
          <w:szCs w:val="24"/>
        </w:rPr>
        <w:t xml:space="preserve">CONFORME A LO DEFINIDO EN EL </w:t>
      </w:r>
      <w:r w:rsidR="00983812">
        <w:rPr>
          <w:b/>
          <w:szCs w:val="24"/>
        </w:rPr>
        <w:t xml:space="preserve">ANEXO 9 Y 10 </w:t>
      </w:r>
      <w:r w:rsidR="00CD23D4">
        <w:rPr>
          <w:b/>
          <w:szCs w:val="24"/>
        </w:rPr>
        <w:t xml:space="preserve">DE LA </w:t>
      </w:r>
      <w:r w:rsidR="00983812">
        <w:rPr>
          <w:b/>
          <w:szCs w:val="24"/>
        </w:rPr>
        <w:t>RESOLUCIÓN CREG 202 DE 2013.</w:t>
      </w:r>
    </w:p>
    <w:p w:rsidR="007C6743" w:rsidRDefault="007C6743" w:rsidP="00870BFD">
      <w:pPr>
        <w:spacing w:before="120" w:after="120"/>
        <w:rPr>
          <w:rFonts w:cs="Arial"/>
          <w:szCs w:val="24"/>
        </w:rPr>
      </w:pPr>
    </w:p>
    <w:p w:rsidR="00CD23D4" w:rsidRDefault="00CD23D4" w:rsidP="000C4CCA">
      <w:pPr>
        <w:rPr>
          <w:rFonts w:cs="Arial"/>
        </w:rPr>
      </w:pPr>
      <w:r>
        <w:rPr>
          <w:rFonts w:cs="Arial"/>
        </w:rPr>
        <w:t>Mediante</w:t>
      </w:r>
      <w:r w:rsidR="002B3AB1">
        <w:rPr>
          <w:rFonts w:cs="Arial"/>
        </w:rPr>
        <w:t xml:space="preserve"> l</w:t>
      </w:r>
      <w:r w:rsidR="000C4CCA" w:rsidRPr="00973B9C">
        <w:rPr>
          <w:rFonts w:cs="Arial"/>
        </w:rPr>
        <w:t xml:space="preserve">a Resolución CREG 202 de 2013 </w:t>
      </w:r>
      <w:r w:rsidR="00983812" w:rsidRPr="00973B9C">
        <w:rPr>
          <w:rFonts w:cs="Arial"/>
        </w:rPr>
        <w:t>modificad</w:t>
      </w:r>
      <w:r w:rsidR="00983812">
        <w:rPr>
          <w:rFonts w:cs="Arial"/>
        </w:rPr>
        <w:t>a</w:t>
      </w:r>
      <w:r w:rsidR="00983812" w:rsidRPr="00973B9C">
        <w:rPr>
          <w:rFonts w:cs="Arial"/>
        </w:rPr>
        <w:t xml:space="preserve"> </w:t>
      </w:r>
      <w:r w:rsidR="000C4CCA" w:rsidRPr="00973B9C">
        <w:rPr>
          <w:rFonts w:cs="Arial"/>
        </w:rPr>
        <w:t>por la Resolución CREG 138 de 2014</w:t>
      </w:r>
      <w:r w:rsidR="00983812">
        <w:rPr>
          <w:rFonts w:cs="Arial"/>
        </w:rPr>
        <w:t xml:space="preserve"> </w:t>
      </w:r>
      <w:r w:rsidR="002B3AB1">
        <w:rPr>
          <w:rFonts w:cs="Arial"/>
        </w:rPr>
        <w:t>se establecieron los criterios generales para remunerar la actividad de distribución de gas combustible por redes de tubería</w:t>
      </w:r>
      <w:r>
        <w:rPr>
          <w:rFonts w:cs="Arial"/>
        </w:rPr>
        <w:t xml:space="preserve">. </w:t>
      </w:r>
    </w:p>
    <w:p w:rsidR="00CD23D4" w:rsidRDefault="00CD23D4" w:rsidP="000C4CCA">
      <w:pPr>
        <w:rPr>
          <w:rFonts w:cs="Arial"/>
        </w:rPr>
      </w:pPr>
    </w:p>
    <w:p w:rsidR="00983812" w:rsidRDefault="00CD23D4" w:rsidP="000C4CCA">
      <w:pPr>
        <w:rPr>
          <w:rFonts w:cs="Arial"/>
        </w:rPr>
      </w:pPr>
      <w:r>
        <w:rPr>
          <w:rFonts w:cs="Arial"/>
        </w:rPr>
        <w:t xml:space="preserve">En el </w:t>
      </w:r>
      <w:r w:rsidR="00983812">
        <w:rPr>
          <w:rFonts w:cs="Arial"/>
        </w:rPr>
        <w:t xml:space="preserve">  anexos 9</w:t>
      </w:r>
      <w:r>
        <w:rPr>
          <w:rFonts w:cs="Arial"/>
        </w:rPr>
        <w:t xml:space="preserve"> </w:t>
      </w:r>
      <w:r w:rsidR="00983812">
        <w:rPr>
          <w:rFonts w:cs="Arial"/>
        </w:rPr>
        <w:t xml:space="preserve">denominado </w:t>
      </w:r>
      <w:r>
        <w:rPr>
          <w:rFonts w:cs="Arial"/>
        </w:rPr>
        <w:t>“</w:t>
      </w:r>
      <w:r w:rsidR="00983812">
        <w:rPr>
          <w:rFonts w:cs="Arial"/>
        </w:rPr>
        <w:t>Otros activos</w:t>
      </w:r>
      <w:r>
        <w:rPr>
          <w:rFonts w:cs="Arial"/>
        </w:rPr>
        <w:t>”</w:t>
      </w:r>
      <w:r w:rsidR="00983812">
        <w:rPr>
          <w:rFonts w:cs="Arial"/>
        </w:rPr>
        <w:t xml:space="preserve"> </w:t>
      </w:r>
      <w:r>
        <w:rPr>
          <w:rFonts w:cs="Arial"/>
        </w:rPr>
        <w:t xml:space="preserve">de la mencionada resolución se indicó </w:t>
      </w:r>
      <w:r w:rsidR="00983812">
        <w:rPr>
          <w:rFonts w:cs="Arial"/>
        </w:rPr>
        <w:t>lo siguiente:</w:t>
      </w:r>
    </w:p>
    <w:p w:rsidR="00983812" w:rsidRDefault="00983812" w:rsidP="000C4CCA">
      <w:pPr>
        <w:rPr>
          <w:rFonts w:cs="Arial"/>
        </w:rPr>
      </w:pPr>
    </w:p>
    <w:p w:rsidR="002B3AB1" w:rsidRPr="000E3790" w:rsidRDefault="002B3AB1" w:rsidP="000E3790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  <w:r w:rsidRPr="000E3790">
        <w:rPr>
          <w:rFonts w:cs="Arial"/>
          <w:i/>
          <w:spacing w:val="0"/>
          <w:sz w:val="22"/>
          <w:szCs w:val="24"/>
          <w:lang w:eastAsia="es-CO"/>
        </w:rPr>
        <w:t>“…La Comisión a través de circular publicará un documento que será sometido a comentario la función óptima que mejor estime el comportamiento de los otros activos para el siguiente período tarifario.</w:t>
      </w:r>
    </w:p>
    <w:p w:rsidR="002B3AB1" w:rsidRPr="000E3790" w:rsidRDefault="002B3AB1" w:rsidP="000E3790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</w:p>
    <w:p w:rsidR="002B3AB1" w:rsidRPr="000E3790" w:rsidRDefault="002B3AB1" w:rsidP="000E3790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  <w:r w:rsidRPr="000E3790">
        <w:rPr>
          <w:rFonts w:cs="Arial"/>
          <w:i/>
          <w:spacing w:val="0"/>
          <w:sz w:val="22"/>
          <w:szCs w:val="24"/>
          <w:lang w:eastAsia="es-CO"/>
        </w:rPr>
        <w:t>A través de circular se publicará el documento definitivo el cual contendrá la respuesta a cada uno de los comentarios recibidos y la función óptima que mejor estime el comportamiento de los otros activos para el siguiente período tarifario…”</w:t>
      </w:r>
    </w:p>
    <w:p w:rsidR="00983812" w:rsidRDefault="00983812" w:rsidP="000C4CCA">
      <w:pPr>
        <w:rPr>
          <w:rFonts w:cs="Arial"/>
        </w:rPr>
      </w:pPr>
    </w:p>
    <w:p w:rsidR="00983812" w:rsidRDefault="00983812" w:rsidP="000C4CCA">
      <w:pPr>
        <w:rPr>
          <w:rFonts w:cs="Arial"/>
        </w:rPr>
      </w:pPr>
      <w:r>
        <w:rPr>
          <w:rFonts w:cs="Arial"/>
        </w:rPr>
        <w:t xml:space="preserve">Así mismo, en el Anexo 10, nombrado </w:t>
      </w:r>
      <w:r w:rsidR="00CD23D4">
        <w:rPr>
          <w:rFonts w:cs="Arial"/>
        </w:rPr>
        <w:t>“</w:t>
      </w:r>
      <w:r>
        <w:rPr>
          <w:rFonts w:cs="Arial"/>
        </w:rPr>
        <w:t>Metodología para establecer el costo eficiente de administración operación y mantenimiento – AOM de la actividad de distribución de gas combustible</w:t>
      </w:r>
      <w:r w:rsidR="00CD23D4">
        <w:rPr>
          <w:rFonts w:cs="Arial"/>
        </w:rPr>
        <w:t>”</w:t>
      </w:r>
      <w:r>
        <w:rPr>
          <w:rFonts w:cs="Arial"/>
        </w:rPr>
        <w:t xml:space="preserve"> s</w:t>
      </w:r>
      <w:r w:rsidR="001B38F1">
        <w:rPr>
          <w:rFonts w:cs="Arial"/>
        </w:rPr>
        <w:t>e s</w:t>
      </w:r>
      <w:r>
        <w:rPr>
          <w:rFonts w:cs="Arial"/>
        </w:rPr>
        <w:t>eñal</w:t>
      </w:r>
      <w:r w:rsidR="00C52AA4">
        <w:rPr>
          <w:rFonts w:cs="Arial"/>
        </w:rPr>
        <w:t>ó</w:t>
      </w:r>
      <w:r>
        <w:rPr>
          <w:rFonts w:cs="Arial"/>
        </w:rPr>
        <w:t xml:space="preserve"> en los </w:t>
      </w:r>
      <w:r w:rsidR="00CD23D4">
        <w:rPr>
          <w:rFonts w:cs="Arial"/>
        </w:rPr>
        <w:t>numerales 4 y 5 del numeral 10.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lo</w:t>
      </w:r>
      <w:proofErr w:type="gramEnd"/>
      <w:r>
        <w:rPr>
          <w:rFonts w:cs="Arial"/>
        </w:rPr>
        <w:t xml:space="preserve"> siguiente:</w:t>
      </w:r>
    </w:p>
    <w:p w:rsidR="00983812" w:rsidRDefault="00983812" w:rsidP="000C4CCA">
      <w:pPr>
        <w:rPr>
          <w:rFonts w:cs="Arial"/>
        </w:rPr>
      </w:pPr>
    </w:p>
    <w:p w:rsidR="00983812" w:rsidRDefault="00983812" w:rsidP="000C4CCA">
      <w:pPr>
        <w:rPr>
          <w:rFonts w:cs="Arial"/>
        </w:rPr>
      </w:pPr>
    </w:p>
    <w:p w:rsidR="002B3AB1" w:rsidRDefault="002B3AB1" w:rsidP="000C4CCA">
      <w:pPr>
        <w:rPr>
          <w:rFonts w:cs="Arial"/>
        </w:rPr>
      </w:pPr>
    </w:p>
    <w:p w:rsidR="002B3AB1" w:rsidRPr="000E3790" w:rsidRDefault="002B3AB1" w:rsidP="002B3AB1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  <w:r w:rsidRPr="000E3790">
        <w:rPr>
          <w:rFonts w:cs="Arial"/>
          <w:i/>
          <w:spacing w:val="0"/>
          <w:sz w:val="22"/>
          <w:szCs w:val="24"/>
          <w:lang w:eastAsia="es-CO"/>
        </w:rPr>
        <w:lastRenderedPageBreak/>
        <w:t>“4. La Comisión a través de circular publicará un documento para someter a comentario la función óptima que mejor estime el comportamiento de los gastos AOM de las actividades de distribución y comercialización para el siguiente período tarifario.</w:t>
      </w:r>
    </w:p>
    <w:p w:rsidR="002B3AB1" w:rsidRPr="000E3790" w:rsidRDefault="002B3AB1" w:rsidP="002B3AB1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</w:p>
    <w:p w:rsidR="002B3AB1" w:rsidRPr="000E3790" w:rsidRDefault="002B3AB1" w:rsidP="002B3AB1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  <w:r w:rsidRPr="000E3790">
        <w:rPr>
          <w:rFonts w:cs="Arial"/>
          <w:i/>
          <w:spacing w:val="0"/>
          <w:sz w:val="22"/>
          <w:szCs w:val="24"/>
          <w:lang w:eastAsia="es-CO"/>
        </w:rPr>
        <w:t>5. A través de circular se publicará el documento definitivo el cual contendrá la respuesta a cada uno de los comentarios recibidos y la función óptima que mejor estime el comportamiento de los gastos AOM de las actividades de distribución y comercialización para el siguiente período tarifario”.</w:t>
      </w:r>
    </w:p>
    <w:p w:rsidR="002B3AB1" w:rsidRPr="000E3790" w:rsidRDefault="002B3AB1" w:rsidP="002B3AB1">
      <w:pPr>
        <w:ind w:left="284"/>
        <w:rPr>
          <w:rFonts w:cs="Arial"/>
          <w:i/>
          <w:spacing w:val="0"/>
          <w:sz w:val="22"/>
          <w:szCs w:val="24"/>
          <w:lang w:eastAsia="es-CO"/>
        </w:rPr>
      </w:pPr>
    </w:p>
    <w:p w:rsidR="002B3AB1" w:rsidRPr="00265B0B" w:rsidRDefault="002B3AB1" w:rsidP="002B3AB1">
      <w:pPr>
        <w:pStyle w:val="Textoindependiente"/>
        <w:spacing w:after="0" w:line="240" w:lineRule="auto"/>
        <w:rPr>
          <w:szCs w:val="24"/>
        </w:rPr>
      </w:pPr>
      <w:r>
        <w:rPr>
          <w:rFonts w:cs="Arial"/>
        </w:rPr>
        <w:t>Conforme</w:t>
      </w:r>
      <w:r w:rsidR="00983812">
        <w:rPr>
          <w:rFonts w:cs="Arial"/>
        </w:rPr>
        <w:t xml:space="preserve"> lo </w:t>
      </w:r>
      <w:r>
        <w:rPr>
          <w:rFonts w:cs="Arial"/>
        </w:rPr>
        <w:t>anterior,</w:t>
      </w:r>
      <w:r w:rsidR="000C4CCA">
        <w:rPr>
          <w:rFonts w:cs="Arial"/>
        </w:rPr>
        <w:t xml:space="preserve"> la Comisión a través de circular </w:t>
      </w:r>
      <w:r w:rsidR="00983812">
        <w:rPr>
          <w:rFonts w:cs="Arial"/>
        </w:rPr>
        <w:t xml:space="preserve">118 de 2014 publicó para comentarios el </w:t>
      </w:r>
      <w:r w:rsidR="001B38F1">
        <w:rPr>
          <w:rFonts w:cs="Arial"/>
        </w:rPr>
        <w:t>d</w:t>
      </w:r>
      <w:r w:rsidR="00983812">
        <w:rPr>
          <w:rFonts w:cs="Arial"/>
        </w:rPr>
        <w:t xml:space="preserve">ocumento denominado </w:t>
      </w:r>
      <w:r w:rsidRPr="002B3AB1">
        <w:rPr>
          <w:rFonts w:cs="Arial"/>
          <w:i/>
        </w:rPr>
        <w:t>“</w:t>
      </w:r>
      <w:r w:rsidRPr="002B3AB1">
        <w:rPr>
          <w:i/>
          <w:szCs w:val="24"/>
        </w:rPr>
        <w:t xml:space="preserve">Metodológica </w:t>
      </w:r>
      <w:r>
        <w:rPr>
          <w:i/>
          <w:szCs w:val="24"/>
        </w:rPr>
        <w:t>para l</w:t>
      </w:r>
      <w:r w:rsidRPr="002B3AB1">
        <w:rPr>
          <w:i/>
          <w:szCs w:val="24"/>
        </w:rPr>
        <w:t xml:space="preserve">a </w:t>
      </w:r>
      <w:r w:rsidR="000E3790" w:rsidRPr="002B3AB1">
        <w:rPr>
          <w:i/>
          <w:szCs w:val="24"/>
        </w:rPr>
        <w:t xml:space="preserve">estimación </w:t>
      </w:r>
      <w:r w:rsidR="000E3790">
        <w:rPr>
          <w:i/>
          <w:szCs w:val="24"/>
        </w:rPr>
        <w:t>d</w:t>
      </w:r>
      <w:r w:rsidR="000E3790" w:rsidRPr="002B3AB1">
        <w:rPr>
          <w:i/>
          <w:szCs w:val="24"/>
        </w:rPr>
        <w:t xml:space="preserve">e las funciones </w:t>
      </w:r>
      <w:r w:rsidR="000E3790">
        <w:rPr>
          <w:i/>
          <w:szCs w:val="24"/>
        </w:rPr>
        <w:t>con l</w:t>
      </w:r>
      <w:r w:rsidR="000E3790" w:rsidRPr="002B3AB1">
        <w:rPr>
          <w:i/>
          <w:szCs w:val="24"/>
        </w:rPr>
        <w:t xml:space="preserve">as </w:t>
      </w:r>
      <w:r w:rsidR="000E3790">
        <w:rPr>
          <w:i/>
          <w:szCs w:val="24"/>
        </w:rPr>
        <w:t>q</w:t>
      </w:r>
      <w:r w:rsidR="000E3790" w:rsidRPr="002B3AB1">
        <w:rPr>
          <w:i/>
          <w:szCs w:val="24"/>
        </w:rPr>
        <w:t xml:space="preserve">ue </w:t>
      </w:r>
      <w:r w:rsidR="000E3790">
        <w:rPr>
          <w:i/>
          <w:szCs w:val="24"/>
        </w:rPr>
        <w:t>s</w:t>
      </w:r>
      <w:r w:rsidR="000E3790" w:rsidRPr="002B3AB1">
        <w:rPr>
          <w:i/>
          <w:szCs w:val="24"/>
        </w:rPr>
        <w:t xml:space="preserve">e </w:t>
      </w:r>
      <w:r w:rsidR="000E3790">
        <w:rPr>
          <w:i/>
          <w:szCs w:val="24"/>
        </w:rPr>
        <w:t>r</w:t>
      </w:r>
      <w:r w:rsidR="000E3790" w:rsidRPr="002B3AB1">
        <w:rPr>
          <w:i/>
          <w:szCs w:val="24"/>
        </w:rPr>
        <w:t xml:space="preserve">emunerarán </w:t>
      </w:r>
      <w:r w:rsidR="000E3790">
        <w:rPr>
          <w:i/>
          <w:szCs w:val="24"/>
        </w:rPr>
        <w:t>l</w:t>
      </w:r>
      <w:r w:rsidR="000E3790" w:rsidRPr="002B3AB1">
        <w:rPr>
          <w:i/>
          <w:szCs w:val="24"/>
        </w:rPr>
        <w:t xml:space="preserve">os gastos </w:t>
      </w:r>
      <w:r>
        <w:rPr>
          <w:i/>
          <w:szCs w:val="24"/>
        </w:rPr>
        <w:t>d</w:t>
      </w:r>
      <w:r w:rsidRPr="002B3AB1">
        <w:rPr>
          <w:i/>
          <w:szCs w:val="24"/>
        </w:rPr>
        <w:t xml:space="preserve">e AOM </w:t>
      </w:r>
      <w:r>
        <w:rPr>
          <w:i/>
          <w:szCs w:val="24"/>
        </w:rPr>
        <w:t>de l</w:t>
      </w:r>
      <w:r w:rsidRPr="002B3AB1">
        <w:rPr>
          <w:i/>
          <w:szCs w:val="24"/>
        </w:rPr>
        <w:t xml:space="preserve">as </w:t>
      </w:r>
      <w:r w:rsidR="000E3790" w:rsidRPr="002B3AB1">
        <w:rPr>
          <w:i/>
          <w:szCs w:val="24"/>
        </w:rPr>
        <w:t xml:space="preserve">actividades </w:t>
      </w:r>
      <w:r w:rsidR="000E3790">
        <w:rPr>
          <w:i/>
          <w:szCs w:val="24"/>
        </w:rPr>
        <w:t>d</w:t>
      </w:r>
      <w:r w:rsidR="000E3790" w:rsidRPr="002B3AB1">
        <w:rPr>
          <w:i/>
          <w:szCs w:val="24"/>
        </w:rPr>
        <w:t xml:space="preserve">e comercialización </w:t>
      </w:r>
      <w:r w:rsidR="000E3790">
        <w:rPr>
          <w:i/>
          <w:szCs w:val="24"/>
        </w:rPr>
        <w:t>y</w:t>
      </w:r>
      <w:r w:rsidR="000E3790" w:rsidRPr="002B3AB1">
        <w:rPr>
          <w:i/>
          <w:szCs w:val="24"/>
        </w:rPr>
        <w:t xml:space="preserve"> distribución </w:t>
      </w:r>
      <w:r w:rsidR="000E3790">
        <w:rPr>
          <w:i/>
          <w:szCs w:val="24"/>
        </w:rPr>
        <w:t>d</w:t>
      </w:r>
      <w:r w:rsidR="000E3790" w:rsidRPr="002B3AB1">
        <w:rPr>
          <w:i/>
          <w:szCs w:val="24"/>
        </w:rPr>
        <w:t>e</w:t>
      </w:r>
      <w:bookmarkStart w:id="0" w:name="_GoBack"/>
      <w:bookmarkEnd w:id="0"/>
      <w:r w:rsidR="000E3790" w:rsidRPr="002B3AB1">
        <w:rPr>
          <w:i/>
          <w:szCs w:val="24"/>
        </w:rPr>
        <w:t xml:space="preserve"> gas combustible </w:t>
      </w:r>
      <w:r w:rsidR="000E3790">
        <w:rPr>
          <w:i/>
          <w:szCs w:val="24"/>
        </w:rPr>
        <w:t>p</w:t>
      </w:r>
      <w:r w:rsidR="000E3790" w:rsidRPr="002B3AB1">
        <w:rPr>
          <w:i/>
          <w:szCs w:val="24"/>
        </w:rPr>
        <w:t xml:space="preserve">or redes </w:t>
      </w:r>
      <w:r w:rsidR="000E3790">
        <w:rPr>
          <w:i/>
          <w:szCs w:val="24"/>
        </w:rPr>
        <w:t>d</w:t>
      </w:r>
      <w:r w:rsidR="000E3790" w:rsidRPr="002B3AB1">
        <w:rPr>
          <w:i/>
          <w:szCs w:val="24"/>
        </w:rPr>
        <w:t xml:space="preserve">e tubería </w:t>
      </w:r>
      <w:r w:rsidR="000E3790">
        <w:rPr>
          <w:i/>
          <w:szCs w:val="24"/>
        </w:rPr>
        <w:t>y</w:t>
      </w:r>
      <w:r w:rsidR="000E3790" w:rsidRPr="002B3AB1">
        <w:rPr>
          <w:i/>
          <w:szCs w:val="24"/>
        </w:rPr>
        <w:t xml:space="preserve"> los </w:t>
      </w:r>
      <w:r w:rsidRPr="002B3AB1">
        <w:rPr>
          <w:i/>
          <w:szCs w:val="24"/>
        </w:rPr>
        <w:t xml:space="preserve">Otros </w:t>
      </w:r>
      <w:r w:rsidR="000E3790" w:rsidRPr="002B3AB1">
        <w:rPr>
          <w:i/>
          <w:szCs w:val="24"/>
        </w:rPr>
        <w:t xml:space="preserve">activos </w:t>
      </w:r>
      <w:r w:rsidR="000E3790">
        <w:rPr>
          <w:i/>
          <w:szCs w:val="24"/>
        </w:rPr>
        <w:t>p</w:t>
      </w:r>
      <w:r w:rsidR="000E3790" w:rsidRPr="002B3AB1">
        <w:rPr>
          <w:i/>
          <w:szCs w:val="24"/>
        </w:rPr>
        <w:t xml:space="preserve">ara </w:t>
      </w:r>
      <w:r w:rsidR="000E3790">
        <w:rPr>
          <w:i/>
          <w:szCs w:val="24"/>
        </w:rPr>
        <w:t>l</w:t>
      </w:r>
      <w:r w:rsidR="000E3790" w:rsidRPr="002B3AB1">
        <w:rPr>
          <w:i/>
          <w:szCs w:val="24"/>
        </w:rPr>
        <w:t>a actividad</w:t>
      </w:r>
      <w:r w:rsidR="000E3790">
        <w:rPr>
          <w:i/>
          <w:szCs w:val="24"/>
        </w:rPr>
        <w:t xml:space="preserve"> d</w:t>
      </w:r>
      <w:r w:rsidR="000E3790" w:rsidRPr="002B3AB1">
        <w:rPr>
          <w:i/>
          <w:szCs w:val="24"/>
        </w:rPr>
        <w:t>e distribución</w:t>
      </w:r>
      <w:r w:rsidRPr="002B3AB1">
        <w:rPr>
          <w:i/>
          <w:szCs w:val="24"/>
        </w:rPr>
        <w:t>”</w:t>
      </w:r>
      <w:r w:rsidR="00CD23D4">
        <w:rPr>
          <w:i/>
          <w:szCs w:val="24"/>
        </w:rPr>
        <w:t xml:space="preserve"> </w:t>
      </w:r>
      <w:r w:rsidR="00CD23D4" w:rsidRPr="000E3790">
        <w:rPr>
          <w:szCs w:val="24"/>
        </w:rPr>
        <w:t>y</w:t>
      </w:r>
      <w:r w:rsidRPr="000E3790">
        <w:rPr>
          <w:szCs w:val="24"/>
        </w:rPr>
        <w:t xml:space="preserve"> del cual se </w:t>
      </w:r>
      <w:r w:rsidR="00CD23D4" w:rsidRPr="000E3790">
        <w:rPr>
          <w:szCs w:val="24"/>
        </w:rPr>
        <w:t>recibieron</w:t>
      </w:r>
      <w:r w:rsidRPr="000E3790">
        <w:rPr>
          <w:szCs w:val="24"/>
        </w:rPr>
        <w:t xml:space="preserve"> comentarios hasta el  </w:t>
      </w:r>
      <w:r w:rsidR="00CD23D4" w:rsidRPr="000E3790">
        <w:rPr>
          <w:szCs w:val="24"/>
        </w:rPr>
        <w:t xml:space="preserve">pasado </w:t>
      </w:r>
      <w:r w:rsidRPr="000E3790">
        <w:rPr>
          <w:szCs w:val="24"/>
        </w:rPr>
        <w:t>19 de enero de 2015</w:t>
      </w:r>
      <w:r w:rsidR="00265B0B" w:rsidRPr="000E3790">
        <w:rPr>
          <w:szCs w:val="24"/>
        </w:rPr>
        <w:t>.</w:t>
      </w:r>
    </w:p>
    <w:p w:rsidR="00983812" w:rsidRDefault="00983812" w:rsidP="000C4CCA">
      <w:pPr>
        <w:rPr>
          <w:rFonts w:cs="Arial"/>
        </w:rPr>
      </w:pPr>
    </w:p>
    <w:p w:rsidR="00265B0B" w:rsidRDefault="00CD23D4" w:rsidP="00CD23D4">
      <w:pPr>
        <w:rPr>
          <w:rFonts w:cs="Arial"/>
        </w:rPr>
      </w:pPr>
      <w:r>
        <w:rPr>
          <w:rFonts w:cs="Arial"/>
        </w:rPr>
        <w:t>Una vez finalizado el proceso de consulta</w:t>
      </w:r>
      <w:r w:rsidR="00265B0B">
        <w:rPr>
          <w:rFonts w:cs="Arial"/>
        </w:rPr>
        <w:t>,</w:t>
      </w:r>
      <w:r>
        <w:rPr>
          <w:rFonts w:cs="Arial"/>
        </w:rPr>
        <w:t xml:space="preserve"> el Director Ejecutivo de la Comisión</w:t>
      </w:r>
      <w:r w:rsidR="00265B0B">
        <w:rPr>
          <w:rFonts w:cs="Arial"/>
        </w:rPr>
        <w:t xml:space="preserve"> se permite </w:t>
      </w:r>
      <w:r>
        <w:rPr>
          <w:rFonts w:cs="Arial"/>
        </w:rPr>
        <w:t>publica</w:t>
      </w:r>
      <w:r w:rsidR="00265B0B">
        <w:rPr>
          <w:rFonts w:cs="Arial"/>
        </w:rPr>
        <w:t>r</w:t>
      </w:r>
      <w:r>
        <w:rPr>
          <w:rFonts w:cs="Arial"/>
        </w:rPr>
        <w:t xml:space="preserve"> </w:t>
      </w:r>
      <w:r w:rsidR="000834FC">
        <w:rPr>
          <w:rFonts w:cs="Arial"/>
        </w:rPr>
        <w:t xml:space="preserve">para conocimiento de los agentes y demás interesados, </w:t>
      </w:r>
      <w:r>
        <w:rPr>
          <w:rFonts w:cs="Arial"/>
        </w:rPr>
        <w:t xml:space="preserve">el </w:t>
      </w:r>
      <w:r w:rsidR="00983812">
        <w:rPr>
          <w:rFonts w:cs="Arial"/>
        </w:rPr>
        <w:t xml:space="preserve">Documento </w:t>
      </w:r>
      <w:r>
        <w:rPr>
          <w:rFonts w:cs="Arial"/>
        </w:rPr>
        <w:t>CREG</w:t>
      </w:r>
      <w:r w:rsidR="000834FC">
        <w:rPr>
          <w:rFonts w:cs="Arial"/>
        </w:rPr>
        <w:t xml:space="preserve"> mediante el cual se adoptan las funciones de AOM y Otros Activos </w:t>
      </w:r>
      <w:r w:rsidR="00265B0B">
        <w:rPr>
          <w:rFonts w:cs="Arial"/>
        </w:rPr>
        <w:t xml:space="preserve">el cual </w:t>
      </w:r>
      <w:r w:rsidR="000834FC">
        <w:rPr>
          <w:rFonts w:cs="Arial"/>
        </w:rPr>
        <w:t>se encuent</w:t>
      </w:r>
      <w:r w:rsidR="00265B0B">
        <w:rPr>
          <w:rFonts w:cs="Arial"/>
        </w:rPr>
        <w:t>ra anexo a la presente circular.</w:t>
      </w:r>
    </w:p>
    <w:p w:rsidR="00265B0B" w:rsidRDefault="00265B0B" w:rsidP="00CD23D4">
      <w:pPr>
        <w:rPr>
          <w:rFonts w:cs="Arial"/>
        </w:rPr>
      </w:pPr>
    </w:p>
    <w:p w:rsidR="004B1117" w:rsidRDefault="004B1117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C52AA4">
      <w:pPr>
        <w:pStyle w:val="Textoindependiente"/>
        <w:spacing w:after="0" w:line="240" w:lineRule="auto"/>
        <w:jc w:val="left"/>
        <w:rPr>
          <w:szCs w:val="24"/>
        </w:rPr>
      </w:pPr>
      <w:r w:rsidRPr="00F05F11">
        <w:rPr>
          <w:szCs w:val="24"/>
        </w:rPr>
        <w:t>Cordialmente,</w:t>
      </w:r>
    </w:p>
    <w:p w:rsidR="00942B3A" w:rsidRDefault="00942B3A">
      <w:pPr>
        <w:jc w:val="center"/>
        <w:rPr>
          <w:szCs w:val="24"/>
        </w:rPr>
      </w:pPr>
    </w:p>
    <w:p w:rsidR="002D500C" w:rsidRDefault="002D500C">
      <w:pPr>
        <w:jc w:val="center"/>
        <w:rPr>
          <w:szCs w:val="24"/>
        </w:rPr>
      </w:pPr>
    </w:p>
    <w:p w:rsidR="00C52AA4" w:rsidRDefault="00C52AA4">
      <w:pPr>
        <w:jc w:val="center"/>
        <w:rPr>
          <w:szCs w:val="24"/>
        </w:rPr>
      </w:pPr>
    </w:p>
    <w:p w:rsidR="002D500C" w:rsidRPr="00F05F11" w:rsidRDefault="002D500C">
      <w:pPr>
        <w:jc w:val="center"/>
        <w:rPr>
          <w:szCs w:val="24"/>
        </w:rPr>
      </w:pPr>
    </w:p>
    <w:p w:rsidR="00265B0B" w:rsidRDefault="004B1117" w:rsidP="000E379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p w:rsidR="00265B0B" w:rsidRDefault="00265B0B" w:rsidP="000E3790">
      <w:pPr>
        <w:jc w:val="center"/>
        <w:rPr>
          <w:rFonts w:cs="Arial"/>
        </w:rPr>
      </w:pPr>
    </w:p>
    <w:p w:rsidR="00265B0B" w:rsidRDefault="00265B0B" w:rsidP="00265B0B">
      <w:pPr>
        <w:rPr>
          <w:rFonts w:cs="Arial"/>
        </w:rPr>
      </w:pPr>
    </w:p>
    <w:p w:rsidR="00A0514B" w:rsidRDefault="00A0514B" w:rsidP="00265B0B">
      <w:pPr>
        <w:rPr>
          <w:rFonts w:cs="Arial"/>
        </w:rPr>
      </w:pPr>
    </w:p>
    <w:p w:rsidR="00777E7A" w:rsidRPr="000E3790" w:rsidRDefault="00265B0B" w:rsidP="000E3790">
      <w:pPr>
        <w:ind w:left="851" w:hanging="851"/>
        <w:rPr>
          <w:rFonts w:cs="Arial"/>
          <w:i/>
          <w:sz w:val="22"/>
          <w:szCs w:val="24"/>
        </w:rPr>
      </w:pPr>
      <w:r w:rsidRPr="000E3790">
        <w:rPr>
          <w:rFonts w:cs="Arial"/>
          <w:i/>
          <w:sz w:val="22"/>
        </w:rPr>
        <w:t xml:space="preserve">Anexo: </w:t>
      </w:r>
      <w:r w:rsidR="00CC42A7">
        <w:rPr>
          <w:rFonts w:cs="Arial"/>
          <w:i/>
          <w:sz w:val="22"/>
        </w:rPr>
        <w:tab/>
      </w:r>
      <w:r w:rsidRPr="000E3790">
        <w:rPr>
          <w:rFonts w:cs="Arial"/>
          <w:i/>
          <w:sz w:val="22"/>
        </w:rPr>
        <w:t xml:space="preserve">Documento CREG “Análisis de los Comentarios a la Circular CREG 118 de 2014 y </w:t>
      </w:r>
      <w:r w:rsidR="000E3790">
        <w:rPr>
          <w:rFonts w:cs="Arial"/>
          <w:i/>
          <w:sz w:val="22"/>
        </w:rPr>
        <w:t>d</w:t>
      </w:r>
      <w:r w:rsidRPr="000E3790">
        <w:rPr>
          <w:rFonts w:cs="Arial"/>
          <w:i/>
          <w:sz w:val="22"/>
        </w:rPr>
        <w:t xml:space="preserve">efinición de las </w:t>
      </w:r>
      <w:r w:rsidR="000E3790">
        <w:rPr>
          <w:rFonts w:cs="Arial"/>
          <w:i/>
          <w:sz w:val="22"/>
        </w:rPr>
        <w:t>f</w:t>
      </w:r>
      <w:r w:rsidRPr="000E3790">
        <w:rPr>
          <w:rFonts w:cs="Arial"/>
          <w:i/>
          <w:sz w:val="22"/>
        </w:rPr>
        <w:t xml:space="preserve">unciones con las que se </w:t>
      </w:r>
      <w:r w:rsidR="000E3790">
        <w:rPr>
          <w:rFonts w:cs="Arial"/>
          <w:i/>
          <w:sz w:val="22"/>
        </w:rPr>
        <w:t>r</w:t>
      </w:r>
      <w:r w:rsidRPr="000E3790">
        <w:rPr>
          <w:rFonts w:cs="Arial"/>
          <w:i/>
          <w:sz w:val="22"/>
        </w:rPr>
        <w:t xml:space="preserve">emunerarán los </w:t>
      </w:r>
      <w:r w:rsidR="000E3790">
        <w:rPr>
          <w:rFonts w:cs="Arial"/>
          <w:i/>
          <w:sz w:val="22"/>
        </w:rPr>
        <w:t>g</w:t>
      </w:r>
      <w:r w:rsidRPr="000E3790">
        <w:rPr>
          <w:rFonts w:cs="Arial"/>
          <w:i/>
          <w:sz w:val="22"/>
        </w:rPr>
        <w:t xml:space="preserve">astos de AOM de las </w:t>
      </w:r>
      <w:r w:rsidR="000E3790">
        <w:rPr>
          <w:rFonts w:cs="Arial"/>
          <w:i/>
          <w:sz w:val="22"/>
        </w:rPr>
        <w:t>a</w:t>
      </w:r>
      <w:r w:rsidRPr="000E3790">
        <w:rPr>
          <w:rFonts w:cs="Arial"/>
          <w:i/>
          <w:sz w:val="22"/>
        </w:rPr>
        <w:t>ctividades de distribución y comercialización de gas combustible por redes de tubería y los otros activos para la actividad de distribución”</w:t>
      </w:r>
    </w:p>
    <w:sectPr w:rsidR="00777E7A" w:rsidRPr="000E3790" w:rsidSect="00794DD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92" w:rsidRDefault="00766692">
      <w:r>
        <w:separator/>
      </w:r>
    </w:p>
  </w:endnote>
  <w:endnote w:type="continuationSeparator" w:id="0">
    <w:p w:rsidR="00766692" w:rsidRDefault="0076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3C2A37B" wp14:editId="5D065F27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9911A0" wp14:editId="4445E5B1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92" w:rsidRDefault="00766692">
      <w:r>
        <w:separator/>
      </w:r>
    </w:p>
  </w:footnote>
  <w:footnote w:type="continuationSeparator" w:id="0">
    <w:p w:rsidR="00766692" w:rsidRDefault="00766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DB" w:rsidRPr="00794DDB" w:rsidRDefault="00794DDB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180504C7" wp14:editId="13950AB5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</w:t>
    </w:r>
    <w:r w:rsidR="00C52AA4">
      <w:rPr>
        <w:i/>
        <w:sz w:val="18"/>
        <w:szCs w:val="18"/>
        <w:u w:val="single"/>
      </w:rPr>
      <w:t>051</w:t>
    </w:r>
  </w:p>
  <w:p w:rsidR="00794DDB" w:rsidRPr="00794DDB" w:rsidRDefault="000834FC">
    <w:pPr>
      <w:pStyle w:val="Encabezado"/>
      <w:rPr>
        <w:i/>
        <w:sz w:val="18"/>
        <w:szCs w:val="18"/>
        <w:u w:val="single"/>
      </w:rPr>
    </w:pPr>
    <w:r>
      <w:rPr>
        <w:i/>
        <w:sz w:val="18"/>
        <w:szCs w:val="18"/>
        <w:u w:val="single"/>
      </w:rPr>
      <w:t>Abril de 2015</w:t>
    </w:r>
  </w:p>
  <w:p w:rsidR="00794DDB" w:rsidRDefault="00794DDB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6467E4" w:rsidRPr="006467E4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6467E4" w:rsidRPr="006467E4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87D4138" wp14:editId="583BEA51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48C21F0"/>
    <w:multiLevelType w:val="hybridMultilevel"/>
    <w:tmpl w:val="6DDAC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20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55DC5"/>
    <w:rsid w:val="00056CDE"/>
    <w:rsid w:val="000834FC"/>
    <w:rsid w:val="00090E4B"/>
    <w:rsid w:val="00091AE0"/>
    <w:rsid w:val="000A14C9"/>
    <w:rsid w:val="000C4CCA"/>
    <w:rsid w:val="000C64E4"/>
    <w:rsid w:val="000D777E"/>
    <w:rsid w:val="000E3790"/>
    <w:rsid w:val="000E7AF5"/>
    <w:rsid w:val="000F30A3"/>
    <w:rsid w:val="00121012"/>
    <w:rsid w:val="00126596"/>
    <w:rsid w:val="0012789F"/>
    <w:rsid w:val="001506D8"/>
    <w:rsid w:val="00155662"/>
    <w:rsid w:val="00161D6B"/>
    <w:rsid w:val="00183683"/>
    <w:rsid w:val="001844DC"/>
    <w:rsid w:val="00194974"/>
    <w:rsid w:val="001A2EF4"/>
    <w:rsid w:val="001B38B8"/>
    <w:rsid w:val="001B38F1"/>
    <w:rsid w:val="001B703F"/>
    <w:rsid w:val="001D272D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65B0B"/>
    <w:rsid w:val="002712F6"/>
    <w:rsid w:val="002735A0"/>
    <w:rsid w:val="00275542"/>
    <w:rsid w:val="0027710A"/>
    <w:rsid w:val="002863B2"/>
    <w:rsid w:val="00293E85"/>
    <w:rsid w:val="002B3AB1"/>
    <w:rsid w:val="002D500C"/>
    <w:rsid w:val="002D5456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3F24ED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A732C"/>
    <w:rsid w:val="004B1117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4BD9"/>
    <w:rsid w:val="00565F57"/>
    <w:rsid w:val="0059117A"/>
    <w:rsid w:val="00596160"/>
    <w:rsid w:val="005A26C0"/>
    <w:rsid w:val="005D2C4F"/>
    <w:rsid w:val="005E0359"/>
    <w:rsid w:val="005E7492"/>
    <w:rsid w:val="005F3F65"/>
    <w:rsid w:val="005F5D8B"/>
    <w:rsid w:val="006029F0"/>
    <w:rsid w:val="00611CBF"/>
    <w:rsid w:val="00615CC8"/>
    <w:rsid w:val="0062147F"/>
    <w:rsid w:val="006259A8"/>
    <w:rsid w:val="006467E4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710553"/>
    <w:rsid w:val="00721BAC"/>
    <w:rsid w:val="00722BCC"/>
    <w:rsid w:val="00733367"/>
    <w:rsid w:val="007447A6"/>
    <w:rsid w:val="00744C2E"/>
    <w:rsid w:val="007502CE"/>
    <w:rsid w:val="00752210"/>
    <w:rsid w:val="00766692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86078"/>
    <w:rsid w:val="008930E3"/>
    <w:rsid w:val="008A308C"/>
    <w:rsid w:val="008B47E4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83812"/>
    <w:rsid w:val="009911D6"/>
    <w:rsid w:val="00996334"/>
    <w:rsid w:val="009A5AA0"/>
    <w:rsid w:val="009B3EC4"/>
    <w:rsid w:val="009B7AF0"/>
    <w:rsid w:val="009C41FA"/>
    <w:rsid w:val="009E1D40"/>
    <w:rsid w:val="009F6F93"/>
    <w:rsid w:val="00A0514B"/>
    <w:rsid w:val="00A069D6"/>
    <w:rsid w:val="00A07404"/>
    <w:rsid w:val="00A20856"/>
    <w:rsid w:val="00A24F55"/>
    <w:rsid w:val="00A300CF"/>
    <w:rsid w:val="00A4273C"/>
    <w:rsid w:val="00A436E3"/>
    <w:rsid w:val="00A46D21"/>
    <w:rsid w:val="00A531E2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52AA4"/>
    <w:rsid w:val="00C63190"/>
    <w:rsid w:val="00C6591A"/>
    <w:rsid w:val="00C671D4"/>
    <w:rsid w:val="00C77034"/>
    <w:rsid w:val="00CA6BC8"/>
    <w:rsid w:val="00CA7C8D"/>
    <w:rsid w:val="00CB282C"/>
    <w:rsid w:val="00CB3C2B"/>
    <w:rsid w:val="00CB6659"/>
    <w:rsid w:val="00CC42A7"/>
    <w:rsid w:val="00CC6A4E"/>
    <w:rsid w:val="00CC7AA7"/>
    <w:rsid w:val="00CD23D4"/>
    <w:rsid w:val="00CD7923"/>
    <w:rsid w:val="00CE5ABA"/>
    <w:rsid w:val="00CE60E4"/>
    <w:rsid w:val="00CE6ED1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344D1"/>
    <w:rsid w:val="00D441DB"/>
    <w:rsid w:val="00D45E63"/>
    <w:rsid w:val="00D55437"/>
    <w:rsid w:val="00D57A36"/>
    <w:rsid w:val="00D81758"/>
    <w:rsid w:val="00D843CC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1F05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uiPriority w:val="99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CA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uiPriority w:val="99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CA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43F97-48A0-47B6-835C-98A33A51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2</Pages>
  <Words>504</Words>
  <Characters>2669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3167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2015-04-24T22:57:00Z</cp:lastPrinted>
  <dcterms:created xsi:type="dcterms:W3CDTF">2015-04-24T22:58:00Z</dcterms:created>
  <dcterms:modified xsi:type="dcterms:W3CDTF">2015-04-24T22:58:00Z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