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E359E" w14:textId="65C7806F" w:rsidR="00242A5A" w:rsidRDefault="537A99E0" w:rsidP="001857D8">
      <w:pPr>
        <w:rPr>
          <w:rFonts w:ascii="Arial" w:hAnsi="Arial" w:cs="Arial"/>
          <w:sz w:val="22"/>
          <w:szCs w:val="22"/>
          <w:lang w:val="es-MX"/>
        </w:rPr>
      </w:pPr>
      <w:r w:rsidRPr="537A99E0">
        <w:rPr>
          <w:rFonts w:ascii="Arial" w:hAnsi="Arial" w:cs="Arial"/>
          <w:sz w:val="22"/>
          <w:szCs w:val="22"/>
          <w:lang w:val="es-MX"/>
        </w:rPr>
        <w:t>Bogotá, D.C., 14 de octubre de 2022</w:t>
      </w:r>
    </w:p>
    <w:p w14:paraId="37E5588D" w14:textId="77777777" w:rsidR="001857D8" w:rsidRDefault="001857D8" w:rsidP="001857D8">
      <w:pPr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</w:p>
    <w:p w14:paraId="48F6C692" w14:textId="6F331419" w:rsidR="00DE381D" w:rsidRDefault="00DE381D" w:rsidP="001857D8">
      <w:pPr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DE381D">
        <w:rPr>
          <w:rFonts w:ascii="Arial" w:hAnsi="Arial" w:cs="Arial"/>
          <w:b/>
          <w:bCs/>
          <w:i/>
          <w:iCs/>
          <w:kern w:val="60"/>
          <w:sz w:val="40"/>
          <w:szCs w:val="40"/>
        </w:rPr>
        <w:t>CIRCULAR No.</w:t>
      </w:r>
      <w:r w:rsidR="005B674F"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 </w:t>
      </w:r>
      <w:r w:rsidR="0035623D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09</w:t>
      </w:r>
      <w:r w:rsidR="009B2ABB">
        <w:rPr>
          <w:rFonts w:ascii="Arial" w:hAnsi="Arial" w:cs="Arial"/>
          <w:b/>
          <w:bCs/>
          <w:i/>
          <w:iCs/>
          <w:kern w:val="60"/>
          <w:sz w:val="40"/>
          <w:szCs w:val="40"/>
        </w:rPr>
        <w:t>7</w:t>
      </w:r>
    </w:p>
    <w:p w14:paraId="5AEDA9F0" w14:textId="77777777" w:rsidR="001857D8" w:rsidRPr="00316A01" w:rsidRDefault="001857D8" w:rsidP="001857D8">
      <w:pPr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</w:p>
    <w:p w14:paraId="7A351F92" w14:textId="6D32B584" w:rsidR="00DE381D" w:rsidRPr="00223349" w:rsidRDefault="00DE381D" w:rsidP="001B134D">
      <w:pPr>
        <w:pStyle w:val="Sangradetextonormal"/>
        <w:spacing w:line="360" w:lineRule="auto"/>
        <w:ind w:left="1412" w:hanging="1412"/>
        <w:jc w:val="both"/>
        <w:rPr>
          <w:rFonts w:ascii="Arial" w:hAnsi="Arial" w:cs="Arial"/>
          <w:b/>
        </w:rPr>
      </w:pPr>
      <w:r w:rsidRPr="00223349">
        <w:rPr>
          <w:rFonts w:ascii="Arial" w:hAnsi="Arial" w:cs="Arial"/>
          <w:b/>
        </w:rPr>
        <w:t>PARA:</w:t>
      </w:r>
      <w:r w:rsidRPr="00223349">
        <w:rPr>
          <w:rFonts w:ascii="Arial" w:hAnsi="Arial" w:cs="Arial"/>
          <w:b/>
        </w:rPr>
        <w:tab/>
      </w:r>
      <w:r w:rsidR="000849B5">
        <w:rPr>
          <w:rFonts w:ascii="Arial" w:hAnsi="Arial" w:cs="Arial"/>
          <w:b/>
        </w:rPr>
        <w:t xml:space="preserve">USUARIOS FINALES, </w:t>
      </w:r>
      <w:r w:rsidR="00EB3DC1">
        <w:rPr>
          <w:rFonts w:ascii="Arial" w:hAnsi="Arial" w:cs="Arial"/>
          <w:b/>
        </w:rPr>
        <w:t>PRESTADORES DEL SERVICIO</w:t>
      </w:r>
      <w:r w:rsidR="000849B5">
        <w:rPr>
          <w:rFonts w:ascii="Arial" w:hAnsi="Arial" w:cs="Arial"/>
          <w:b/>
        </w:rPr>
        <w:t>, ENTIDADES DE VIGILANCIA CONTROL DEL SERVICIO PÚBLICO DOMICILIARIO DE ENERGÍA ELÉCTRICO Y TERCEROS INTERESADOS.</w:t>
      </w:r>
    </w:p>
    <w:p w14:paraId="510BB146" w14:textId="77777777" w:rsidR="0027152F" w:rsidRDefault="0027152F" w:rsidP="001857D8">
      <w:pPr>
        <w:pStyle w:val="Sangradetextonormal"/>
        <w:spacing w:line="360" w:lineRule="auto"/>
        <w:ind w:left="1412" w:hanging="1412"/>
        <w:rPr>
          <w:rFonts w:ascii="Arial" w:hAnsi="Arial" w:cs="Arial"/>
          <w:b/>
        </w:rPr>
      </w:pPr>
    </w:p>
    <w:p w14:paraId="6F4D6107" w14:textId="674EB1E6" w:rsidR="00DE381D" w:rsidRPr="00223349" w:rsidRDefault="00DE381D" w:rsidP="001857D8">
      <w:pPr>
        <w:pStyle w:val="Sangradetextonormal"/>
        <w:spacing w:line="360" w:lineRule="auto"/>
        <w:ind w:left="1412" w:hanging="1412"/>
        <w:rPr>
          <w:rFonts w:ascii="Arial" w:hAnsi="Arial" w:cs="Arial"/>
          <w:b/>
        </w:rPr>
      </w:pPr>
      <w:r w:rsidRPr="00223349">
        <w:rPr>
          <w:rFonts w:ascii="Arial" w:hAnsi="Arial" w:cs="Arial"/>
          <w:b/>
        </w:rPr>
        <w:t>DE:</w:t>
      </w:r>
      <w:r w:rsidRPr="00223349">
        <w:rPr>
          <w:rFonts w:ascii="Arial" w:hAnsi="Arial" w:cs="Arial"/>
          <w:b/>
        </w:rPr>
        <w:tab/>
        <w:t>DIRECCIÓN EJECUTIVA</w:t>
      </w:r>
    </w:p>
    <w:p w14:paraId="3F8FB79F" w14:textId="77777777" w:rsidR="0027152F" w:rsidRDefault="0027152F" w:rsidP="001857D8">
      <w:pPr>
        <w:pStyle w:val="Sangradetextonormal"/>
        <w:spacing w:line="360" w:lineRule="auto"/>
        <w:ind w:left="1412" w:hanging="1412"/>
        <w:rPr>
          <w:rFonts w:ascii="Arial" w:hAnsi="Arial" w:cs="Arial"/>
          <w:b/>
        </w:rPr>
      </w:pPr>
    </w:p>
    <w:p w14:paraId="63DDCA95" w14:textId="6E199417" w:rsidR="00DE381D" w:rsidRDefault="00DE381D" w:rsidP="000849B5">
      <w:pPr>
        <w:pStyle w:val="Sangradetextonormal"/>
        <w:spacing w:line="360" w:lineRule="auto"/>
        <w:ind w:left="1412" w:hanging="1412"/>
        <w:jc w:val="both"/>
        <w:rPr>
          <w:rFonts w:ascii="Arial" w:hAnsi="Arial" w:cs="Arial"/>
          <w:b/>
        </w:rPr>
      </w:pPr>
      <w:r w:rsidRPr="00223349">
        <w:rPr>
          <w:rFonts w:ascii="Arial" w:hAnsi="Arial" w:cs="Arial"/>
          <w:b/>
        </w:rPr>
        <w:t>ASUNTO:</w:t>
      </w:r>
      <w:r w:rsidRPr="00223349">
        <w:rPr>
          <w:rFonts w:ascii="Arial" w:hAnsi="Arial" w:cs="Arial"/>
          <w:b/>
        </w:rPr>
        <w:tab/>
      </w:r>
      <w:r w:rsidR="004E64C5">
        <w:rPr>
          <w:rFonts w:ascii="Arial" w:hAnsi="Arial" w:cs="Arial"/>
          <w:b/>
        </w:rPr>
        <w:t xml:space="preserve">ACTUALIZACIÓN </w:t>
      </w:r>
      <w:r w:rsidR="00611F77">
        <w:rPr>
          <w:rFonts w:ascii="Arial" w:hAnsi="Arial" w:cs="Arial"/>
          <w:b/>
        </w:rPr>
        <w:t>INFORME</w:t>
      </w:r>
      <w:r w:rsidR="005B674F">
        <w:rPr>
          <w:rFonts w:ascii="Arial" w:hAnsi="Arial" w:cs="Arial"/>
          <w:b/>
        </w:rPr>
        <w:t xml:space="preserve"> CONSOLIDAD</w:t>
      </w:r>
      <w:r w:rsidR="00DF1FA9">
        <w:rPr>
          <w:rFonts w:ascii="Arial" w:hAnsi="Arial" w:cs="Arial"/>
          <w:b/>
        </w:rPr>
        <w:t>O</w:t>
      </w:r>
      <w:r w:rsidR="000849B5">
        <w:rPr>
          <w:rFonts w:ascii="Arial" w:hAnsi="Arial" w:cs="Arial"/>
          <w:b/>
        </w:rPr>
        <w:t xml:space="preserve"> DE </w:t>
      </w:r>
      <w:r w:rsidR="005B674F">
        <w:rPr>
          <w:rFonts w:ascii="Arial" w:hAnsi="Arial" w:cs="Arial"/>
          <w:b/>
        </w:rPr>
        <w:t>MODIFICACIONES</w:t>
      </w:r>
      <w:r w:rsidR="000849B5">
        <w:rPr>
          <w:rFonts w:ascii="Arial" w:hAnsi="Arial" w:cs="Arial"/>
          <w:b/>
        </w:rPr>
        <w:t xml:space="preserve"> DE </w:t>
      </w:r>
      <w:r w:rsidR="003C5844">
        <w:rPr>
          <w:rFonts w:ascii="Arial" w:hAnsi="Arial" w:cs="Arial"/>
          <w:b/>
        </w:rPr>
        <w:t>CONTRATOS</w:t>
      </w:r>
      <w:r w:rsidR="000849B5">
        <w:rPr>
          <w:rFonts w:ascii="Arial" w:hAnsi="Arial" w:cs="Arial"/>
          <w:b/>
        </w:rPr>
        <w:t xml:space="preserve"> DE</w:t>
      </w:r>
      <w:r w:rsidR="00387BFA">
        <w:rPr>
          <w:rFonts w:ascii="Arial" w:hAnsi="Arial" w:cs="Arial"/>
          <w:b/>
        </w:rPr>
        <w:t xml:space="preserve"> SUMINISTRO DE</w:t>
      </w:r>
      <w:r w:rsidR="000849B5">
        <w:rPr>
          <w:rFonts w:ascii="Arial" w:hAnsi="Arial" w:cs="Arial"/>
          <w:b/>
        </w:rPr>
        <w:t xml:space="preserve"> ENERGÍA ELÉCTRICA DERIVADOS DE LAS </w:t>
      </w:r>
      <w:r w:rsidR="00387BFA">
        <w:rPr>
          <w:rFonts w:ascii="Arial" w:hAnsi="Arial" w:cs="Arial"/>
          <w:b/>
        </w:rPr>
        <w:t xml:space="preserve">MEDIDAS </w:t>
      </w:r>
      <w:r w:rsidR="005B674F">
        <w:rPr>
          <w:rFonts w:ascii="Arial" w:hAnsi="Arial" w:cs="Arial"/>
          <w:b/>
        </w:rPr>
        <w:t>CONTENIDAS</w:t>
      </w:r>
      <w:r w:rsidR="000849B5">
        <w:rPr>
          <w:rFonts w:ascii="Arial" w:hAnsi="Arial" w:cs="Arial"/>
          <w:b/>
        </w:rPr>
        <w:t xml:space="preserve"> EN LA</w:t>
      </w:r>
      <w:r w:rsidR="000849B5" w:rsidRPr="000849B5">
        <w:rPr>
          <w:rFonts w:ascii="Arial" w:hAnsi="Arial" w:cs="Arial"/>
          <w:b/>
        </w:rPr>
        <w:t xml:space="preserve"> </w:t>
      </w:r>
      <w:r w:rsidR="000849B5">
        <w:rPr>
          <w:rFonts w:ascii="Arial" w:hAnsi="Arial" w:cs="Arial"/>
          <w:b/>
        </w:rPr>
        <w:t>RESOLUCIÓN CREG 101 029 DE 2022</w:t>
      </w:r>
    </w:p>
    <w:p w14:paraId="62B48615" w14:textId="77777777" w:rsidR="001857D8" w:rsidRPr="00807E96" w:rsidRDefault="001857D8" w:rsidP="00807E96">
      <w:pPr>
        <w:pStyle w:val="Sangradetextonormal"/>
        <w:spacing w:line="360" w:lineRule="auto"/>
        <w:ind w:left="1412" w:hanging="1412"/>
        <w:rPr>
          <w:rFonts w:ascii="Arial" w:hAnsi="Arial" w:cs="Arial"/>
          <w:b/>
        </w:rPr>
      </w:pPr>
    </w:p>
    <w:p w14:paraId="5531088F" w14:textId="49161271" w:rsidR="00611F77" w:rsidRDefault="004E64C5" w:rsidP="00807E96">
      <w:pPr>
        <w:pStyle w:val="Textoindependiente"/>
        <w:spacing w:after="240" w:line="360" w:lineRule="auto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 xml:space="preserve">En atención a las comunicaciones recibidas </w:t>
      </w:r>
      <w:r w:rsidR="006D0278">
        <w:rPr>
          <w:rFonts w:cs="Arial"/>
          <w:spacing w:val="0"/>
          <w:sz w:val="24"/>
          <w:szCs w:val="24"/>
        </w:rPr>
        <w:t>con posterioridad al corte efectuado para la</w:t>
      </w:r>
      <w:r w:rsidR="00A876FC">
        <w:rPr>
          <w:rFonts w:cs="Arial"/>
          <w:spacing w:val="0"/>
          <w:sz w:val="24"/>
          <w:szCs w:val="24"/>
        </w:rPr>
        <w:t xml:space="preserve"> publicación de la Circular CREG 096 de 2022</w:t>
      </w:r>
      <w:r w:rsidR="000849B5">
        <w:rPr>
          <w:rFonts w:cs="Arial"/>
          <w:spacing w:val="0"/>
          <w:sz w:val="24"/>
          <w:szCs w:val="24"/>
        </w:rPr>
        <w:t>,</w:t>
      </w:r>
      <w:r w:rsidR="0031447C">
        <w:rPr>
          <w:rFonts w:cs="Arial"/>
          <w:spacing w:val="0"/>
          <w:sz w:val="24"/>
          <w:szCs w:val="24"/>
        </w:rPr>
        <w:t xml:space="preserve"> que</w:t>
      </w:r>
      <w:r w:rsidR="00087D5C">
        <w:rPr>
          <w:rFonts w:cs="Arial"/>
          <w:spacing w:val="0"/>
          <w:sz w:val="24"/>
          <w:szCs w:val="24"/>
        </w:rPr>
        <w:t xml:space="preserve"> </w:t>
      </w:r>
      <w:r w:rsidR="0031447C">
        <w:rPr>
          <w:rFonts w:cs="Arial"/>
          <w:spacing w:val="0"/>
          <w:sz w:val="24"/>
          <w:szCs w:val="24"/>
        </w:rPr>
        <w:t>permitieron</w:t>
      </w:r>
      <w:r w:rsidR="00A83780">
        <w:rPr>
          <w:rFonts w:cs="Arial"/>
          <w:spacing w:val="0"/>
          <w:sz w:val="24"/>
          <w:szCs w:val="24"/>
        </w:rPr>
        <w:t>: i)</w:t>
      </w:r>
      <w:r w:rsidR="0031447C">
        <w:rPr>
          <w:rFonts w:cs="Arial"/>
          <w:spacing w:val="0"/>
          <w:sz w:val="24"/>
          <w:szCs w:val="24"/>
        </w:rPr>
        <w:t xml:space="preserve"> </w:t>
      </w:r>
      <w:r w:rsidR="00E03FC0">
        <w:rPr>
          <w:rFonts w:cs="Arial"/>
          <w:spacing w:val="0"/>
          <w:sz w:val="24"/>
          <w:szCs w:val="24"/>
        </w:rPr>
        <w:t xml:space="preserve">identificar </w:t>
      </w:r>
      <w:r w:rsidR="0031447C">
        <w:rPr>
          <w:rFonts w:cs="Arial"/>
          <w:spacing w:val="0"/>
          <w:sz w:val="24"/>
          <w:szCs w:val="24"/>
        </w:rPr>
        <w:t>agentes</w:t>
      </w:r>
      <w:r w:rsidR="00DD5055">
        <w:rPr>
          <w:rFonts w:cs="Arial"/>
          <w:spacing w:val="0"/>
          <w:sz w:val="24"/>
          <w:szCs w:val="24"/>
        </w:rPr>
        <w:t xml:space="preserve"> adicionales</w:t>
      </w:r>
      <w:r w:rsidR="0031447C">
        <w:rPr>
          <w:rFonts w:cs="Arial"/>
          <w:spacing w:val="0"/>
          <w:sz w:val="24"/>
          <w:szCs w:val="24"/>
        </w:rPr>
        <w:t xml:space="preserve"> que se acogieron a las medidas señaladas en la Resolución</w:t>
      </w:r>
      <w:r w:rsidR="0031447C" w:rsidRPr="00FE7A6C">
        <w:rPr>
          <w:rFonts w:cs="Arial"/>
          <w:spacing w:val="0"/>
          <w:sz w:val="24"/>
          <w:szCs w:val="24"/>
        </w:rPr>
        <w:t xml:space="preserve"> CREG 101 029 de 2022</w:t>
      </w:r>
      <w:r w:rsidR="005F15A8">
        <w:rPr>
          <w:rFonts w:cs="Arial"/>
          <w:spacing w:val="0"/>
          <w:sz w:val="24"/>
          <w:szCs w:val="24"/>
        </w:rPr>
        <w:t xml:space="preserve"> dentro del plazo allí señalado</w:t>
      </w:r>
      <w:r w:rsidR="00B961F7">
        <w:rPr>
          <w:rFonts w:cs="Arial"/>
          <w:spacing w:val="0"/>
          <w:sz w:val="24"/>
          <w:szCs w:val="24"/>
        </w:rPr>
        <w:t xml:space="preserve">, iii) </w:t>
      </w:r>
      <w:r w:rsidR="004774B8">
        <w:rPr>
          <w:rFonts w:cs="Arial"/>
          <w:spacing w:val="0"/>
          <w:sz w:val="24"/>
          <w:szCs w:val="24"/>
        </w:rPr>
        <w:t xml:space="preserve">incluir </w:t>
      </w:r>
      <w:r w:rsidR="00B961F7">
        <w:rPr>
          <w:rFonts w:cs="Arial"/>
          <w:spacing w:val="0"/>
          <w:sz w:val="24"/>
          <w:szCs w:val="24"/>
        </w:rPr>
        <w:t>contratos adicionales que fueron modifica</w:t>
      </w:r>
      <w:r w:rsidR="00631DB6">
        <w:rPr>
          <w:rFonts w:cs="Arial"/>
          <w:spacing w:val="0"/>
          <w:sz w:val="24"/>
          <w:szCs w:val="24"/>
        </w:rPr>
        <w:t>dos dentro del plazo señalado en la Resolución</w:t>
      </w:r>
      <w:r w:rsidR="00631DB6" w:rsidRPr="00FE7A6C">
        <w:rPr>
          <w:rFonts w:cs="Arial"/>
          <w:spacing w:val="0"/>
          <w:sz w:val="24"/>
          <w:szCs w:val="24"/>
        </w:rPr>
        <w:t xml:space="preserve"> CREG 101 029 de 2022</w:t>
      </w:r>
      <w:r w:rsidR="00BA252A">
        <w:rPr>
          <w:rFonts w:cs="Arial"/>
          <w:spacing w:val="0"/>
          <w:sz w:val="24"/>
          <w:szCs w:val="24"/>
        </w:rPr>
        <w:t xml:space="preserve"> y ii)</w:t>
      </w:r>
      <w:r w:rsidR="0031447C">
        <w:rPr>
          <w:rFonts w:cs="Arial"/>
          <w:spacing w:val="0"/>
          <w:sz w:val="24"/>
          <w:szCs w:val="24"/>
        </w:rPr>
        <w:t xml:space="preserve"> </w:t>
      </w:r>
      <w:r w:rsidR="004774B8">
        <w:rPr>
          <w:rFonts w:cs="Arial"/>
          <w:spacing w:val="0"/>
          <w:sz w:val="24"/>
          <w:szCs w:val="24"/>
        </w:rPr>
        <w:t xml:space="preserve">eliminar </w:t>
      </w:r>
      <w:r w:rsidR="00BA252A">
        <w:rPr>
          <w:rFonts w:cs="Arial"/>
          <w:spacing w:val="0"/>
          <w:sz w:val="24"/>
          <w:szCs w:val="24"/>
        </w:rPr>
        <w:t>r</w:t>
      </w:r>
      <w:r w:rsidR="001F0130">
        <w:rPr>
          <w:rFonts w:cs="Arial"/>
          <w:spacing w:val="0"/>
          <w:sz w:val="24"/>
          <w:szCs w:val="24"/>
        </w:rPr>
        <w:t>egistros</w:t>
      </w:r>
      <w:r w:rsidR="00A01002">
        <w:rPr>
          <w:rFonts w:cs="Arial"/>
          <w:spacing w:val="0"/>
          <w:sz w:val="24"/>
          <w:szCs w:val="24"/>
        </w:rPr>
        <w:t xml:space="preserve"> </w:t>
      </w:r>
      <w:r w:rsidR="001F0130">
        <w:rPr>
          <w:rFonts w:cs="Arial"/>
          <w:spacing w:val="0"/>
          <w:sz w:val="24"/>
          <w:szCs w:val="24"/>
        </w:rPr>
        <w:t>duplicados</w:t>
      </w:r>
      <w:r w:rsidR="00BA252A">
        <w:rPr>
          <w:rFonts w:cs="Arial"/>
          <w:spacing w:val="0"/>
          <w:sz w:val="24"/>
          <w:szCs w:val="24"/>
        </w:rPr>
        <w:t>;</w:t>
      </w:r>
      <w:r w:rsidR="000849B5">
        <w:rPr>
          <w:rFonts w:cs="Arial"/>
          <w:spacing w:val="0"/>
          <w:sz w:val="24"/>
          <w:szCs w:val="24"/>
        </w:rPr>
        <w:t xml:space="preserve"> </w:t>
      </w:r>
      <w:r w:rsidR="001D3145">
        <w:rPr>
          <w:rFonts w:cs="Arial"/>
          <w:spacing w:val="0"/>
          <w:sz w:val="24"/>
          <w:szCs w:val="24"/>
        </w:rPr>
        <w:t>esta</w:t>
      </w:r>
      <w:r w:rsidR="000849B5">
        <w:rPr>
          <w:rFonts w:cs="Arial"/>
          <w:spacing w:val="0"/>
          <w:sz w:val="24"/>
          <w:szCs w:val="24"/>
        </w:rPr>
        <w:t xml:space="preserve"> </w:t>
      </w:r>
      <w:r w:rsidR="001D3064">
        <w:rPr>
          <w:rFonts w:cs="Arial"/>
          <w:spacing w:val="0"/>
          <w:sz w:val="24"/>
          <w:szCs w:val="24"/>
        </w:rPr>
        <w:t xml:space="preserve">Comisión </w:t>
      </w:r>
      <w:r w:rsidR="00A876FC">
        <w:rPr>
          <w:rFonts w:cs="Arial"/>
          <w:spacing w:val="0"/>
          <w:sz w:val="24"/>
          <w:szCs w:val="24"/>
        </w:rPr>
        <w:t>presenta</w:t>
      </w:r>
      <w:r w:rsidR="00611F77">
        <w:rPr>
          <w:rFonts w:cs="Arial"/>
          <w:spacing w:val="0"/>
          <w:sz w:val="24"/>
          <w:szCs w:val="24"/>
        </w:rPr>
        <w:t xml:space="preserve"> </w:t>
      </w:r>
      <w:r w:rsidR="000849B5">
        <w:rPr>
          <w:rFonts w:cs="Arial"/>
          <w:spacing w:val="0"/>
          <w:sz w:val="24"/>
          <w:szCs w:val="24"/>
        </w:rPr>
        <w:t xml:space="preserve">el </w:t>
      </w:r>
      <w:r w:rsidR="00611F77">
        <w:rPr>
          <w:rFonts w:cs="Arial"/>
          <w:spacing w:val="0"/>
          <w:sz w:val="24"/>
          <w:szCs w:val="24"/>
        </w:rPr>
        <w:t>informe</w:t>
      </w:r>
      <w:r w:rsidR="00A876FC">
        <w:rPr>
          <w:rFonts w:cs="Arial"/>
          <w:spacing w:val="0"/>
          <w:sz w:val="24"/>
          <w:szCs w:val="24"/>
        </w:rPr>
        <w:t xml:space="preserve"> actualizado</w:t>
      </w:r>
      <w:r w:rsidR="00611F77">
        <w:rPr>
          <w:rFonts w:cs="Arial"/>
          <w:spacing w:val="0"/>
          <w:sz w:val="24"/>
          <w:szCs w:val="24"/>
        </w:rPr>
        <w:t xml:space="preserve"> </w:t>
      </w:r>
      <w:r w:rsidR="000849B5">
        <w:rPr>
          <w:rFonts w:cs="Arial"/>
          <w:spacing w:val="0"/>
          <w:sz w:val="24"/>
          <w:szCs w:val="24"/>
        </w:rPr>
        <w:t>de</w:t>
      </w:r>
      <w:r w:rsidR="001D3145">
        <w:rPr>
          <w:rFonts w:cs="Arial"/>
          <w:spacing w:val="0"/>
          <w:sz w:val="24"/>
          <w:szCs w:val="24"/>
        </w:rPr>
        <w:t xml:space="preserve"> ajustes</w:t>
      </w:r>
      <w:r w:rsidR="007C7037">
        <w:rPr>
          <w:rFonts w:cs="Arial"/>
          <w:spacing w:val="0"/>
          <w:sz w:val="24"/>
          <w:szCs w:val="24"/>
        </w:rPr>
        <w:t xml:space="preserve"> contractuales</w:t>
      </w:r>
      <w:r w:rsidR="001D3145">
        <w:rPr>
          <w:rFonts w:cs="Arial"/>
          <w:spacing w:val="0"/>
          <w:sz w:val="24"/>
          <w:szCs w:val="24"/>
        </w:rPr>
        <w:t xml:space="preserve"> real</w:t>
      </w:r>
      <w:r w:rsidR="00767A63">
        <w:rPr>
          <w:rFonts w:cs="Arial"/>
          <w:spacing w:val="0"/>
          <w:sz w:val="24"/>
          <w:szCs w:val="24"/>
        </w:rPr>
        <w:t xml:space="preserve">izados </w:t>
      </w:r>
      <w:r w:rsidR="00002F9E">
        <w:rPr>
          <w:rFonts w:cs="Arial"/>
          <w:spacing w:val="0"/>
          <w:sz w:val="24"/>
          <w:szCs w:val="24"/>
        </w:rPr>
        <w:t>por parte de agentes registrados ante el Administrador del Sistema de Intercambios Comerciales – ASIC</w:t>
      </w:r>
      <w:r w:rsidR="000849B5">
        <w:rPr>
          <w:rFonts w:cs="Arial"/>
          <w:spacing w:val="0"/>
          <w:sz w:val="24"/>
          <w:szCs w:val="24"/>
        </w:rPr>
        <w:t>.</w:t>
      </w:r>
    </w:p>
    <w:p w14:paraId="3CB9E97E" w14:textId="6B111B59" w:rsidR="002B7231" w:rsidRDefault="0002244C" w:rsidP="003B3544">
      <w:pPr>
        <w:pStyle w:val="Textoindependiente"/>
        <w:spacing w:before="240" w:after="240" w:line="360" w:lineRule="auto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 xml:space="preserve">Esta Comisión </w:t>
      </w:r>
      <w:r w:rsidR="00471141">
        <w:rPr>
          <w:rFonts w:cs="Arial"/>
          <w:spacing w:val="0"/>
          <w:sz w:val="24"/>
          <w:szCs w:val="24"/>
        </w:rPr>
        <w:t xml:space="preserve">destacada </w:t>
      </w:r>
      <w:r>
        <w:rPr>
          <w:rFonts w:cs="Arial"/>
          <w:spacing w:val="0"/>
          <w:sz w:val="24"/>
          <w:szCs w:val="24"/>
        </w:rPr>
        <w:t>que</w:t>
      </w:r>
      <w:r w:rsidR="002B7231">
        <w:rPr>
          <w:rFonts w:cs="Arial"/>
          <w:spacing w:val="0"/>
          <w:sz w:val="24"/>
          <w:szCs w:val="24"/>
        </w:rPr>
        <w:t>:</w:t>
      </w:r>
    </w:p>
    <w:p w14:paraId="063D1F53" w14:textId="3187E70D" w:rsidR="0031372E" w:rsidRDefault="002B7231" w:rsidP="003B3544">
      <w:pPr>
        <w:pStyle w:val="Textoindependiente"/>
        <w:numPr>
          <w:ilvl w:val="0"/>
          <w:numId w:val="4"/>
        </w:numPr>
        <w:spacing w:before="240" w:after="240" w:line="360" w:lineRule="auto"/>
        <w:ind w:left="426" w:hanging="437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>E</w:t>
      </w:r>
      <w:r w:rsidR="0002244C">
        <w:rPr>
          <w:rFonts w:cs="Arial"/>
          <w:spacing w:val="0"/>
          <w:sz w:val="24"/>
          <w:szCs w:val="24"/>
        </w:rPr>
        <w:t>l fin regulatorio de las medidas contenidas en la Resolución</w:t>
      </w:r>
      <w:r w:rsidR="0002244C" w:rsidRPr="00FE7A6C">
        <w:rPr>
          <w:rFonts w:cs="Arial"/>
          <w:spacing w:val="0"/>
          <w:sz w:val="24"/>
          <w:szCs w:val="24"/>
        </w:rPr>
        <w:t xml:space="preserve"> CREG 101 029 de 2022</w:t>
      </w:r>
      <w:r w:rsidR="0000080A">
        <w:rPr>
          <w:rFonts w:cs="Arial"/>
          <w:spacing w:val="0"/>
          <w:sz w:val="24"/>
          <w:szCs w:val="24"/>
        </w:rPr>
        <w:t xml:space="preserve"> para el ajuste de precios, indexadores y plazos de pago, es el </w:t>
      </w:r>
      <w:r w:rsidR="009B5752">
        <w:rPr>
          <w:rFonts w:cs="Arial"/>
          <w:spacing w:val="0"/>
          <w:sz w:val="24"/>
          <w:szCs w:val="24"/>
        </w:rPr>
        <w:t>traslado</w:t>
      </w:r>
      <w:r w:rsidR="00A83E15">
        <w:rPr>
          <w:rFonts w:cs="Arial"/>
          <w:spacing w:val="0"/>
          <w:sz w:val="24"/>
          <w:szCs w:val="24"/>
        </w:rPr>
        <w:t xml:space="preserve"> de</w:t>
      </w:r>
      <w:r w:rsidR="004B5211">
        <w:rPr>
          <w:rFonts w:cs="Arial"/>
          <w:spacing w:val="0"/>
          <w:sz w:val="24"/>
          <w:szCs w:val="24"/>
        </w:rPr>
        <w:t xml:space="preserve"> las reducciones </w:t>
      </w:r>
      <w:r w:rsidR="00D73EB6">
        <w:rPr>
          <w:rFonts w:cs="Arial"/>
          <w:spacing w:val="0"/>
          <w:sz w:val="24"/>
          <w:szCs w:val="24"/>
        </w:rPr>
        <w:t>resultantes</w:t>
      </w:r>
      <w:r w:rsidR="004B5211">
        <w:rPr>
          <w:rFonts w:cs="Arial"/>
          <w:spacing w:val="0"/>
          <w:sz w:val="24"/>
          <w:szCs w:val="24"/>
        </w:rPr>
        <w:t xml:space="preserve"> en el costo de la energía</w:t>
      </w:r>
      <w:r w:rsidR="00A83E15">
        <w:rPr>
          <w:rFonts w:cs="Arial"/>
          <w:spacing w:val="0"/>
          <w:sz w:val="24"/>
          <w:szCs w:val="24"/>
        </w:rPr>
        <w:t xml:space="preserve"> a los usuarios finales</w:t>
      </w:r>
      <w:r w:rsidR="00D73EB6">
        <w:rPr>
          <w:rFonts w:cs="Arial"/>
          <w:spacing w:val="0"/>
          <w:sz w:val="24"/>
          <w:szCs w:val="24"/>
        </w:rPr>
        <w:t>.</w:t>
      </w:r>
    </w:p>
    <w:p w14:paraId="2CFE441D" w14:textId="2DA98EE1" w:rsidR="002B7231" w:rsidRDefault="00B47D68" w:rsidP="003B3544">
      <w:pPr>
        <w:pStyle w:val="Textoindependiente"/>
        <w:numPr>
          <w:ilvl w:val="0"/>
          <w:numId w:val="4"/>
        </w:numPr>
        <w:spacing w:before="240" w:after="240" w:line="360" w:lineRule="auto"/>
        <w:ind w:left="426" w:hanging="437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lastRenderedPageBreak/>
        <w:t>Los informes</w:t>
      </w:r>
      <w:r w:rsidR="002B7231">
        <w:rPr>
          <w:rFonts w:cs="Arial"/>
          <w:spacing w:val="0"/>
          <w:sz w:val="24"/>
          <w:szCs w:val="24"/>
        </w:rPr>
        <w:t xml:space="preserve"> </w:t>
      </w:r>
      <w:r>
        <w:rPr>
          <w:rFonts w:cs="Arial"/>
          <w:spacing w:val="0"/>
          <w:sz w:val="24"/>
          <w:szCs w:val="24"/>
        </w:rPr>
        <w:t>contenidos</w:t>
      </w:r>
      <w:r w:rsidR="00405249">
        <w:rPr>
          <w:rFonts w:cs="Arial"/>
          <w:spacing w:val="0"/>
          <w:sz w:val="24"/>
          <w:szCs w:val="24"/>
        </w:rPr>
        <w:t xml:space="preserve"> </w:t>
      </w:r>
      <w:r>
        <w:rPr>
          <w:rFonts w:cs="Arial"/>
          <w:spacing w:val="0"/>
          <w:sz w:val="24"/>
          <w:szCs w:val="24"/>
        </w:rPr>
        <w:t>en</w:t>
      </w:r>
      <w:r w:rsidR="002B7231">
        <w:rPr>
          <w:rFonts w:cs="Arial"/>
          <w:spacing w:val="0"/>
          <w:sz w:val="24"/>
          <w:szCs w:val="24"/>
        </w:rPr>
        <w:t xml:space="preserve"> la presente circular</w:t>
      </w:r>
      <w:r>
        <w:rPr>
          <w:rFonts w:cs="Arial"/>
          <w:spacing w:val="0"/>
          <w:sz w:val="24"/>
          <w:szCs w:val="24"/>
        </w:rPr>
        <w:t xml:space="preserve"> y en</w:t>
      </w:r>
      <w:r w:rsidR="00405249">
        <w:rPr>
          <w:rFonts w:cs="Arial"/>
          <w:spacing w:val="0"/>
          <w:sz w:val="24"/>
          <w:szCs w:val="24"/>
        </w:rPr>
        <w:t xml:space="preserve"> la</w:t>
      </w:r>
      <w:r w:rsidR="002B7231">
        <w:rPr>
          <w:rFonts w:cs="Arial"/>
          <w:spacing w:val="0"/>
          <w:sz w:val="24"/>
          <w:szCs w:val="24"/>
        </w:rPr>
        <w:t xml:space="preserve"> Circular CREG 096 de 2022</w:t>
      </w:r>
      <w:r w:rsidR="00405249">
        <w:rPr>
          <w:rFonts w:cs="Arial"/>
          <w:spacing w:val="0"/>
          <w:sz w:val="24"/>
          <w:szCs w:val="24"/>
        </w:rPr>
        <w:t>, son de</w:t>
      </w:r>
      <w:r w:rsidR="00EC0A2B">
        <w:rPr>
          <w:rFonts w:cs="Arial"/>
          <w:spacing w:val="0"/>
          <w:sz w:val="24"/>
          <w:szCs w:val="24"/>
        </w:rPr>
        <w:t xml:space="preserve"> carácter INFORMATIVO</w:t>
      </w:r>
      <w:r w:rsidR="00817179">
        <w:rPr>
          <w:rFonts w:cs="Arial"/>
          <w:spacing w:val="0"/>
          <w:sz w:val="24"/>
          <w:szCs w:val="24"/>
        </w:rPr>
        <w:t>,</w:t>
      </w:r>
      <w:r w:rsidR="00EC0A2B">
        <w:rPr>
          <w:rFonts w:cs="Arial"/>
          <w:spacing w:val="0"/>
          <w:sz w:val="24"/>
          <w:szCs w:val="24"/>
        </w:rPr>
        <w:t xml:space="preserve"> y no eximen a los </w:t>
      </w:r>
      <w:r w:rsidR="00A15D51">
        <w:rPr>
          <w:rFonts w:cs="Arial"/>
          <w:spacing w:val="0"/>
          <w:sz w:val="24"/>
          <w:szCs w:val="24"/>
        </w:rPr>
        <w:t>agentes</w:t>
      </w:r>
      <w:r w:rsidR="00223AB9">
        <w:rPr>
          <w:rFonts w:cs="Arial"/>
          <w:spacing w:val="0"/>
          <w:sz w:val="24"/>
          <w:szCs w:val="24"/>
        </w:rPr>
        <w:t xml:space="preserve"> de dar cumplimiento </w:t>
      </w:r>
      <w:r w:rsidR="00707DD2">
        <w:rPr>
          <w:rFonts w:cs="Arial"/>
          <w:spacing w:val="0"/>
          <w:sz w:val="24"/>
          <w:szCs w:val="24"/>
        </w:rPr>
        <w:t>al deber de información ante el ASIC</w:t>
      </w:r>
      <w:r w:rsidR="004F5F6D">
        <w:rPr>
          <w:rFonts w:cs="Arial"/>
          <w:spacing w:val="0"/>
          <w:sz w:val="24"/>
          <w:szCs w:val="24"/>
        </w:rPr>
        <w:t>, señalado en el artículo 4 de la Resolución</w:t>
      </w:r>
      <w:r w:rsidR="004F5F6D" w:rsidRPr="00FE7A6C">
        <w:rPr>
          <w:rFonts w:cs="Arial"/>
          <w:spacing w:val="0"/>
          <w:sz w:val="24"/>
          <w:szCs w:val="24"/>
        </w:rPr>
        <w:t xml:space="preserve"> CREG 101 029 de 2022</w:t>
      </w:r>
      <w:r w:rsidR="004F5F6D">
        <w:rPr>
          <w:rFonts w:cs="Arial"/>
          <w:spacing w:val="0"/>
          <w:sz w:val="24"/>
          <w:szCs w:val="24"/>
        </w:rPr>
        <w:t>.</w:t>
      </w:r>
    </w:p>
    <w:p w14:paraId="6088A9CF" w14:textId="778B0AE0" w:rsidR="004F5F6D" w:rsidRDefault="00DB559B" w:rsidP="00D4766E">
      <w:pPr>
        <w:pStyle w:val="Textoindependiente"/>
        <w:numPr>
          <w:ilvl w:val="0"/>
          <w:numId w:val="4"/>
        </w:numPr>
        <w:spacing w:before="240" w:after="0" w:line="360" w:lineRule="auto"/>
        <w:ind w:left="426" w:hanging="437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>Estos informes tampoco</w:t>
      </w:r>
      <w:r w:rsidR="00E8177B">
        <w:rPr>
          <w:rFonts w:cs="Arial"/>
          <w:spacing w:val="0"/>
          <w:sz w:val="24"/>
          <w:szCs w:val="24"/>
        </w:rPr>
        <w:t xml:space="preserve"> </w:t>
      </w:r>
      <w:r w:rsidR="004F5F6D">
        <w:rPr>
          <w:rFonts w:cs="Arial"/>
          <w:spacing w:val="0"/>
          <w:sz w:val="24"/>
          <w:szCs w:val="24"/>
        </w:rPr>
        <w:t xml:space="preserve">eximen a los </w:t>
      </w:r>
      <w:r w:rsidR="00935F9F">
        <w:rPr>
          <w:rFonts w:cs="Arial"/>
          <w:spacing w:val="0"/>
          <w:sz w:val="24"/>
          <w:szCs w:val="24"/>
        </w:rPr>
        <w:t>agentes que</w:t>
      </w:r>
      <w:r w:rsidR="00E241D4">
        <w:rPr>
          <w:rFonts w:cs="Arial"/>
          <w:spacing w:val="0"/>
          <w:sz w:val="24"/>
          <w:szCs w:val="24"/>
        </w:rPr>
        <w:t xml:space="preserve"> </w:t>
      </w:r>
      <w:r w:rsidR="00E241D4" w:rsidRPr="00E241D4">
        <w:rPr>
          <w:rFonts w:cs="Arial"/>
          <w:spacing w:val="0"/>
          <w:sz w:val="24"/>
          <w:szCs w:val="24"/>
        </w:rPr>
        <w:t xml:space="preserve">no </w:t>
      </w:r>
      <w:r w:rsidR="00EE500B">
        <w:rPr>
          <w:rFonts w:cs="Arial"/>
          <w:spacing w:val="0"/>
          <w:sz w:val="24"/>
          <w:szCs w:val="24"/>
        </w:rPr>
        <w:t>hubieran llegado a pactar</w:t>
      </w:r>
      <w:r w:rsidR="00E241D4" w:rsidRPr="00E241D4">
        <w:rPr>
          <w:rFonts w:cs="Arial"/>
          <w:spacing w:val="0"/>
          <w:sz w:val="24"/>
          <w:szCs w:val="24"/>
        </w:rPr>
        <w:t xml:space="preserve"> modificaciones </w:t>
      </w:r>
      <w:r w:rsidR="00DA63C8">
        <w:rPr>
          <w:rFonts w:cs="Arial"/>
          <w:spacing w:val="0"/>
          <w:sz w:val="24"/>
          <w:szCs w:val="24"/>
        </w:rPr>
        <w:t>contractuales</w:t>
      </w:r>
      <w:r w:rsidR="00277440">
        <w:rPr>
          <w:rFonts w:cs="Arial"/>
          <w:spacing w:val="0"/>
          <w:sz w:val="24"/>
          <w:szCs w:val="24"/>
        </w:rPr>
        <w:t>,</w:t>
      </w:r>
      <w:r w:rsidR="00E241D4" w:rsidRPr="00E241D4">
        <w:rPr>
          <w:rFonts w:cs="Arial"/>
          <w:spacing w:val="0"/>
          <w:sz w:val="24"/>
          <w:szCs w:val="24"/>
        </w:rPr>
        <w:t xml:space="preserve"> </w:t>
      </w:r>
      <w:r w:rsidR="00EE500B">
        <w:rPr>
          <w:rFonts w:cs="Arial"/>
          <w:spacing w:val="0"/>
          <w:sz w:val="24"/>
          <w:szCs w:val="24"/>
        </w:rPr>
        <w:t>de</w:t>
      </w:r>
      <w:r w:rsidR="00820D4A">
        <w:rPr>
          <w:rFonts w:cs="Arial"/>
          <w:spacing w:val="0"/>
          <w:sz w:val="24"/>
          <w:szCs w:val="24"/>
        </w:rPr>
        <w:t xml:space="preserve"> dar cumplimiento a</w:t>
      </w:r>
      <w:r w:rsidR="00EE500B">
        <w:rPr>
          <w:rFonts w:cs="Arial"/>
          <w:spacing w:val="0"/>
          <w:sz w:val="24"/>
          <w:szCs w:val="24"/>
        </w:rPr>
        <w:t>l deber de</w:t>
      </w:r>
      <w:r w:rsidR="00E241D4" w:rsidRPr="00E241D4">
        <w:rPr>
          <w:rFonts w:cs="Arial"/>
          <w:spacing w:val="0"/>
          <w:sz w:val="24"/>
          <w:szCs w:val="24"/>
        </w:rPr>
        <w:t xml:space="preserve"> </w:t>
      </w:r>
      <w:r w:rsidR="00A75518">
        <w:rPr>
          <w:rFonts w:cs="Arial"/>
          <w:spacing w:val="0"/>
          <w:sz w:val="24"/>
          <w:szCs w:val="24"/>
        </w:rPr>
        <w:t>informar por</w:t>
      </w:r>
      <w:r w:rsidR="00E241D4" w:rsidRPr="00E241D4">
        <w:rPr>
          <w:rFonts w:cs="Arial"/>
          <w:spacing w:val="0"/>
          <w:sz w:val="24"/>
          <w:szCs w:val="24"/>
        </w:rPr>
        <w:t xml:space="preserve"> escrito </w:t>
      </w:r>
      <w:r w:rsidR="00A75518">
        <w:rPr>
          <w:rFonts w:cs="Arial"/>
          <w:spacing w:val="0"/>
          <w:sz w:val="24"/>
          <w:szCs w:val="24"/>
        </w:rPr>
        <w:t>a</w:t>
      </w:r>
      <w:r w:rsidR="00E241D4" w:rsidRPr="00E241D4">
        <w:rPr>
          <w:rFonts w:cs="Arial"/>
          <w:spacing w:val="0"/>
          <w:sz w:val="24"/>
          <w:szCs w:val="24"/>
        </w:rPr>
        <w:t xml:space="preserve"> la Superintendencia de Servicios Públicos Domiciliarios</w:t>
      </w:r>
      <w:r w:rsidR="00E8177B">
        <w:rPr>
          <w:rFonts w:cs="Arial"/>
          <w:spacing w:val="0"/>
          <w:sz w:val="24"/>
          <w:szCs w:val="24"/>
        </w:rPr>
        <w:t>,</w:t>
      </w:r>
      <w:r w:rsidR="00E241D4" w:rsidRPr="00E241D4">
        <w:rPr>
          <w:rFonts w:cs="Arial"/>
          <w:spacing w:val="0"/>
          <w:sz w:val="24"/>
          <w:szCs w:val="24"/>
        </w:rPr>
        <w:t xml:space="preserve"> </w:t>
      </w:r>
      <w:r w:rsidR="00A75518">
        <w:rPr>
          <w:rFonts w:cs="Arial"/>
          <w:spacing w:val="0"/>
          <w:sz w:val="24"/>
          <w:szCs w:val="24"/>
        </w:rPr>
        <w:t xml:space="preserve">los </w:t>
      </w:r>
      <w:r w:rsidR="00E241D4" w:rsidRPr="00E241D4">
        <w:rPr>
          <w:rFonts w:cs="Arial"/>
          <w:spacing w:val="0"/>
          <w:sz w:val="24"/>
          <w:szCs w:val="24"/>
        </w:rPr>
        <w:t>detall</w:t>
      </w:r>
      <w:r w:rsidR="00A75518">
        <w:rPr>
          <w:rFonts w:cs="Arial"/>
          <w:spacing w:val="0"/>
          <w:sz w:val="24"/>
          <w:szCs w:val="24"/>
        </w:rPr>
        <w:t>es de</w:t>
      </w:r>
      <w:r w:rsidR="00E241D4" w:rsidRPr="00E241D4">
        <w:rPr>
          <w:rFonts w:cs="Arial"/>
          <w:spacing w:val="0"/>
          <w:sz w:val="24"/>
          <w:szCs w:val="24"/>
        </w:rPr>
        <w:t xml:space="preserve"> la gestión adelantada y las razones por las cuales no fueron modificados sus contratos</w:t>
      </w:r>
      <w:r>
        <w:rPr>
          <w:rFonts w:cs="Arial"/>
          <w:spacing w:val="0"/>
          <w:sz w:val="24"/>
          <w:szCs w:val="24"/>
        </w:rPr>
        <w:t>,</w:t>
      </w:r>
      <w:r w:rsidR="00A75518">
        <w:rPr>
          <w:rFonts w:cs="Arial"/>
          <w:spacing w:val="0"/>
          <w:sz w:val="24"/>
          <w:szCs w:val="24"/>
        </w:rPr>
        <w:t xml:space="preserve"> de </w:t>
      </w:r>
      <w:r w:rsidR="00E41C55">
        <w:rPr>
          <w:rFonts w:cs="Arial"/>
          <w:spacing w:val="0"/>
          <w:sz w:val="24"/>
          <w:szCs w:val="24"/>
        </w:rPr>
        <w:t>acuerdo</w:t>
      </w:r>
      <w:r w:rsidR="00A75518">
        <w:rPr>
          <w:rFonts w:cs="Arial"/>
          <w:spacing w:val="0"/>
          <w:sz w:val="24"/>
          <w:szCs w:val="24"/>
        </w:rPr>
        <w:t xml:space="preserve"> con lo</w:t>
      </w:r>
      <w:r>
        <w:rPr>
          <w:rFonts w:cs="Arial"/>
          <w:spacing w:val="0"/>
          <w:sz w:val="24"/>
          <w:szCs w:val="24"/>
        </w:rPr>
        <w:t xml:space="preserve"> señalado en el parágrafo 1 del artículo 4 de la Resolución</w:t>
      </w:r>
      <w:r w:rsidRPr="00FE7A6C">
        <w:rPr>
          <w:rFonts w:cs="Arial"/>
          <w:spacing w:val="0"/>
          <w:sz w:val="24"/>
          <w:szCs w:val="24"/>
        </w:rPr>
        <w:t xml:space="preserve"> CREG 101 029 de 2022</w:t>
      </w:r>
      <w:r w:rsidR="00807E96">
        <w:rPr>
          <w:rFonts w:cs="Arial"/>
          <w:spacing w:val="0"/>
          <w:sz w:val="24"/>
          <w:szCs w:val="24"/>
        </w:rPr>
        <w:t>.</w:t>
      </w:r>
    </w:p>
    <w:p w14:paraId="4B8F98EA" w14:textId="77777777" w:rsidR="00611F77" w:rsidRDefault="00611F77" w:rsidP="001857D8">
      <w:pPr>
        <w:pStyle w:val="Textoindependiente"/>
        <w:spacing w:after="0" w:line="360" w:lineRule="auto"/>
        <w:jc w:val="left"/>
        <w:rPr>
          <w:rFonts w:cs="Arial"/>
          <w:spacing w:val="0"/>
          <w:sz w:val="24"/>
          <w:szCs w:val="24"/>
        </w:rPr>
      </w:pPr>
    </w:p>
    <w:p w14:paraId="4D7DFC1E" w14:textId="3ACAF3F6" w:rsidR="0027152F" w:rsidRDefault="00DE381D" w:rsidP="00D97C0D">
      <w:pPr>
        <w:pStyle w:val="Textoindependiente"/>
        <w:spacing w:after="0" w:line="360" w:lineRule="auto"/>
        <w:rPr>
          <w:rFonts w:cs="Arial"/>
          <w:b/>
          <w:bCs/>
          <w:sz w:val="24"/>
          <w:szCs w:val="24"/>
        </w:rPr>
      </w:pPr>
      <w:r w:rsidRPr="00223349">
        <w:rPr>
          <w:rFonts w:cs="Arial"/>
          <w:spacing w:val="0"/>
          <w:sz w:val="24"/>
          <w:szCs w:val="24"/>
        </w:rPr>
        <w:t>Cordialmente,</w:t>
      </w:r>
    </w:p>
    <w:p w14:paraId="255F74F0" w14:textId="77777777" w:rsidR="003514BC" w:rsidRDefault="003514BC" w:rsidP="001857D8">
      <w:pPr>
        <w:pStyle w:val="Textoindependiente"/>
        <w:spacing w:after="0" w:line="360" w:lineRule="auto"/>
        <w:jc w:val="center"/>
        <w:rPr>
          <w:rFonts w:cs="Arial"/>
          <w:b/>
          <w:bCs/>
          <w:sz w:val="24"/>
          <w:szCs w:val="24"/>
        </w:rPr>
      </w:pPr>
    </w:p>
    <w:p w14:paraId="1EC323F0" w14:textId="77777777" w:rsidR="00D4766E" w:rsidRDefault="00D4766E" w:rsidP="001857D8">
      <w:pPr>
        <w:pStyle w:val="Textoindependiente"/>
        <w:spacing w:after="0" w:line="360" w:lineRule="auto"/>
        <w:jc w:val="center"/>
        <w:rPr>
          <w:rFonts w:cs="Arial"/>
          <w:b/>
          <w:bCs/>
          <w:sz w:val="24"/>
          <w:szCs w:val="24"/>
        </w:rPr>
      </w:pPr>
    </w:p>
    <w:p w14:paraId="2BE18D20" w14:textId="77777777" w:rsidR="00471141" w:rsidRDefault="00DE381D" w:rsidP="00830ED7">
      <w:pPr>
        <w:pStyle w:val="Textoindependiente"/>
        <w:spacing w:after="0" w:line="360" w:lineRule="auto"/>
        <w:jc w:val="center"/>
        <w:rPr>
          <w:rFonts w:cs="Arial"/>
          <w:b/>
          <w:bCs/>
          <w:sz w:val="24"/>
          <w:szCs w:val="24"/>
        </w:rPr>
      </w:pPr>
      <w:r w:rsidRPr="00242A5A">
        <w:rPr>
          <w:rFonts w:cs="Arial"/>
          <w:b/>
          <w:bCs/>
          <w:sz w:val="24"/>
          <w:szCs w:val="24"/>
        </w:rPr>
        <w:t>JORGE ALBERTO VALENCIA MAR</w:t>
      </w:r>
      <w:r w:rsidR="00242A5A">
        <w:rPr>
          <w:rFonts w:cs="Arial"/>
          <w:b/>
          <w:bCs/>
          <w:sz w:val="24"/>
          <w:szCs w:val="24"/>
        </w:rPr>
        <w:t>Í</w:t>
      </w:r>
      <w:r w:rsidRPr="00242A5A">
        <w:rPr>
          <w:rFonts w:cs="Arial"/>
          <w:b/>
          <w:bCs/>
          <w:sz w:val="24"/>
          <w:szCs w:val="24"/>
        </w:rPr>
        <w:t>N</w:t>
      </w:r>
    </w:p>
    <w:p w14:paraId="43CBFF14" w14:textId="4A1C9436" w:rsidR="00F33BF5" w:rsidRDefault="00F33BF5" w:rsidP="00830ED7">
      <w:pPr>
        <w:pStyle w:val="Textoindependiente"/>
        <w:spacing w:after="0" w:line="360" w:lineRule="auto"/>
        <w:jc w:val="center"/>
        <w:rPr>
          <w:rFonts w:cs="Arial"/>
          <w:b/>
          <w:bCs/>
        </w:rPr>
      </w:pPr>
      <w:r>
        <w:rPr>
          <w:rFonts w:cs="Arial"/>
          <w:b/>
          <w:bCs/>
          <w:sz w:val="24"/>
          <w:szCs w:val="24"/>
        </w:rPr>
        <w:br w:type="page"/>
      </w:r>
    </w:p>
    <w:p w14:paraId="2293F0EC" w14:textId="1DA0D45D" w:rsidR="00275C77" w:rsidRDefault="00275C77" w:rsidP="001857D8">
      <w:pPr>
        <w:pStyle w:val="Textoindependiente"/>
        <w:spacing w:after="0" w:line="360" w:lineRule="auto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lastRenderedPageBreak/>
        <w:t>ANEXO</w:t>
      </w:r>
    </w:p>
    <w:p w14:paraId="18219494" w14:textId="77777777" w:rsidR="00275C77" w:rsidRDefault="00275C77" w:rsidP="001857D8">
      <w:pPr>
        <w:pStyle w:val="Textoindependiente"/>
        <w:spacing w:after="0" w:line="360" w:lineRule="auto"/>
        <w:jc w:val="center"/>
        <w:rPr>
          <w:rFonts w:cs="Arial"/>
          <w:b/>
          <w:bCs/>
          <w:sz w:val="24"/>
          <w:szCs w:val="24"/>
        </w:rPr>
      </w:pPr>
    </w:p>
    <w:p w14:paraId="2EE72EE8" w14:textId="45349CC1" w:rsidR="003B57E4" w:rsidRDefault="00D27ADD" w:rsidP="001857D8">
      <w:pPr>
        <w:pStyle w:val="Textoindependiente"/>
        <w:spacing w:after="0" w:line="360" w:lineRule="auto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Tabla 1. </w:t>
      </w:r>
      <w:r w:rsidR="00DD54FB">
        <w:rPr>
          <w:rFonts w:cs="Arial"/>
          <w:b/>
          <w:bCs/>
          <w:sz w:val="24"/>
          <w:szCs w:val="24"/>
        </w:rPr>
        <w:t>Resumen de contratos modificados y agentes</w:t>
      </w:r>
    </w:p>
    <w:tbl>
      <w:tblPr>
        <w:tblW w:w="73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6"/>
        <w:gridCol w:w="1136"/>
        <w:gridCol w:w="776"/>
      </w:tblGrid>
      <w:tr w:rsidR="007E7165" w14:paraId="353E04EC" w14:textId="77777777" w:rsidTr="007E7165">
        <w:trPr>
          <w:trHeight w:val="312"/>
          <w:jc w:val="center"/>
        </w:trPr>
        <w:tc>
          <w:tcPr>
            <w:tcW w:w="547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FB52F65" w14:textId="77777777" w:rsidR="007E7165" w:rsidRDefault="007E716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No. Contratos reportados con negociación concluida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4E80C9C" w14:textId="77777777" w:rsidR="007E7165" w:rsidRDefault="007E71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1,260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5388B20" w14:textId="77777777" w:rsidR="007E7165" w:rsidRDefault="007E71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7E7165" w14:paraId="2499C681" w14:textId="77777777" w:rsidTr="007E7165">
        <w:trPr>
          <w:trHeight w:val="312"/>
          <w:jc w:val="center"/>
        </w:trPr>
        <w:tc>
          <w:tcPr>
            <w:tcW w:w="5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F915A" w14:textId="77777777" w:rsidR="007E7165" w:rsidRDefault="007E7165">
            <w:pPr>
              <w:ind w:firstLineChars="200" w:firstLine="48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No. Contratos modificados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7E557" w14:textId="77777777" w:rsidR="007E7165" w:rsidRDefault="007E71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60490" w14:textId="77777777" w:rsidR="007E7165" w:rsidRDefault="007E71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68%</w:t>
            </w:r>
          </w:p>
        </w:tc>
      </w:tr>
      <w:tr w:rsidR="007E7165" w14:paraId="5E7D3260" w14:textId="77777777" w:rsidTr="007E7165">
        <w:trPr>
          <w:trHeight w:val="312"/>
          <w:jc w:val="center"/>
        </w:trPr>
        <w:tc>
          <w:tcPr>
            <w:tcW w:w="5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11390" w14:textId="77777777" w:rsidR="007E7165" w:rsidRDefault="007E7165">
            <w:pPr>
              <w:ind w:firstLineChars="200" w:firstLine="48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No. Contratos no modificados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846D7" w14:textId="77777777" w:rsidR="007E7165" w:rsidRDefault="007E71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2838B" w14:textId="77777777" w:rsidR="007E7165" w:rsidRDefault="007E71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32%</w:t>
            </w:r>
          </w:p>
        </w:tc>
      </w:tr>
      <w:tr w:rsidR="007E7165" w14:paraId="044AABA2" w14:textId="77777777" w:rsidTr="007E7165">
        <w:trPr>
          <w:trHeight w:val="312"/>
          <w:jc w:val="center"/>
        </w:trPr>
        <w:tc>
          <w:tcPr>
            <w:tcW w:w="5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286A3" w14:textId="77777777" w:rsidR="007E7165" w:rsidRDefault="007E716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3D50F" w14:textId="77777777" w:rsidR="007E7165" w:rsidRDefault="007E7165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182FA" w14:textId="77777777" w:rsidR="007E7165" w:rsidRDefault="007E7165">
            <w:pPr>
              <w:rPr>
                <w:sz w:val="20"/>
                <w:szCs w:val="20"/>
              </w:rPr>
            </w:pPr>
          </w:p>
        </w:tc>
      </w:tr>
      <w:tr w:rsidR="007E7165" w14:paraId="0857FC3C" w14:textId="77777777" w:rsidTr="007E7165">
        <w:trPr>
          <w:trHeight w:val="312"/>
          <w:jc w:val="center"/>
        </w:trPr>
        <w:tc>
          <w:tcPr>
            <w:tcW w:w="547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FA70E3D" w14:textId="77777777" w:rsidR="007E7165" w:rsidRDefault="007E716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No. Contratos modificados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6DA1055" w14:textId="77777777" w:rsidR="007E7165" w:rsidRDefault="007E71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6B13C01" w14:textId="77777777" w:rsidR="007E7165" w:rsidRDefault="007E71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7E7165" w14:paraId="5C6634AD" w14:textId="77777777" w:rsidTr="007E7165">
        <w:trPr>
          <w:trHeight w:val="312"/>
          <w:jc w:val="center"/>
        </w:trPr>
        <w:tc>
          <w:tcPr>
            <w:tcW w:w="5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445AA" w14:textId="77777777" w:rsidR="007E7165" w:rsidRDefault="007E7165">
            <w:pPr>
              <w:ind w:firstLineChars="200" w:firstLine="48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Mercado regulado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1699E" w14:textId="77777777" w:rsidR="007E7165" w:rsidRDefault="007E71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DAA97" w14:textId="77777777" w:rsidR="007E7165" w:rsidRDefault="007E71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53%</w:t>
            </w:r>
          </w:p>
        </w:tc>
      </w:tr>
      <w:tr w:rsidR="007E7165" w14:paraId="0C3D758A" w14:textId="77777777" w:rsidTr="007E7165">
        <w:trPr>
          <w:trHeight w:val="312"/>
          <w:jc w:val="center"/>
        </w:trPr>
        <w:tc>
          <w:tcPr>
            <w:tcW w:w="5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FB82C" w14:textId="77777777" w:rsidR="007E7165" w:rsidRDefault="007E7165">
            <w:pPr>
              <w:ind w:firstLineChars="200" w:firstLine="48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Mercado no regulado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95C56" w14:textId="77777777" w:rsidR="007E7165" w:rsidRDefault="007E71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7F563" w14:textId="77777777" w:rsidR="007E7165" w:rsidRDefault="007E71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47%</w:t>
            </w:r>
          </w:p>
        </w:tc>
      </w:tr>
      <w:tr w:rsidR="007E7165" w14:paraId="65D39237" w14:textId="77777777" w:rsidTr="007E7165">
        <w:trPr>
          <w:trHeight w:val="312"/>
          <w:jc w:val="center"/>
        </w:trPr>
        <w:tc>
          <w:tcPr>
            <w:tcW w:w="5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2E6CF" w14:textId="77777777" w:rsidR="007E7165" w:rsidRDefault="007E716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D509B" w14:textId="77777777" w:rsidR="007E7165" w:rsidRDefault="007E7165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A0B61" w14:textId="77777777" w:rsidR="007E7165" w:rsidRDefault="007E7165">
            <w:pPr>
              <w:rPr>
                <w:sz w:val="20"/>
                <w:szCs w:val="20"/>
              </w:rPr>
            </w:pPr>
          </w:p>
        </w:tc>
      </w:tr>
      <w:tr w:rsidR="007E7165" w14:paraId="5F302735" w14:textId="77777777" w:rsidTr="007E7165">
        <w:trPr>
          <w:trHeight w:val="312"/>
          <w:jc w:val="center"/>
        </w:trPr>
        <w:tc>
          <w:tcPr>
            <w:tcW w:w="547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09D47E3" w14:textId="77777777" w:rsidR="007E7165" w:rsidRDefault="007E716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No. Contratos no modificados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CDB8544" w14:textId="77777777" w:rsidR="007E7165" w:rsidRDefault="007E71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C944536" w14:textId="77777777" w:rsidR="007E7165" w:rsidRDefault="007E71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7E7165" w14:paraId="1D7631E3" w14:textId="77777777" w:rsidTr="007E7165">
        <w:trPr>
          <w:trHeight w:val="312"/>
          <w:jc w:val="center"/>
        </w:trPr>
        <w:tc>
          <w:tcPr>
            <w:tcW w:w="5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D04C7" w14:textId="77777777" w:rsidR="007E7165" w:rsidRDefault="007E7165">
            <w:pPr>
              <w:ind w:firstLineChars="200" w:firstLine="48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Mercado regulado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D2F0A" w14:textId="77777777" w:rsidR="007E7165" w:rsidRDefault="007E71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29049" w14:textId="77777777" w:rsidR="007E7165" w:rsidRDefault="007E71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52%</w:t>
            </w:r>
          </w:p>
        </w:tc>
      </w:tr>
      <w:tr w:rsidR="007E7165" w14:paraId="706F51DF" w14:textId="77777777" w:rsidTr="007E7165">
        <w:trPr>
          <w:trHeight w:val="312"/>
          <w:jc w:val="center"/>
        </w:trPr>
        <w:tc>
          <w:tcPr>
            <w:tcW w:w="5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4A48F" w14:textId="77777777" w:rsidR="007E7165" w:rsidRDefault="007E7165">
            <w:pPr>
              <w:ind w:firstLineChars="200" w:firstLine="48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Mercado no regulado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9ECA5" w14:textId="77777777" w:rsidR="007E7165" w:rsidRDefault="007E71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868F5" w14:textId="77777777" w:rsidR="007E7165" w:rsidRDefault="007E71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48%</w:t>
            </w:r>
          </w:p>
        </w:tc>
      </w:tr>
      <w:tr w:rsidR="007E7165" w14:paraId="04D5CB7E" w14:textId="77777777" w:rsidTr="007E7165">
        <w:trPr>
          <w:trHeight w:val="312"/>
          <w:jc w:val="center"/>
        </w:trPr>
        <w:tc>
          <w:tcPr>
            <w:tcW w:w="5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4D42A" w14:textId="77777777" w:rsidR="007E7165" w:rsidRDefault="007E716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C4EB6" w14:textId="77777777" w:rsidR="007E7165" w:rsidRDefault="007E7165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474E9" w14:textId="77777777" w:rsidR="007E7165" w:rsidRDefault="007E7165">
            <w:pPr>
              <w:rPr>
                <w:sz w:val="20"/>
                <w:szCs w:val="20"/>
              </w:rPr>
            </w:pPr>
          </w:p>
        </w:tc>
      </w:tr>
      <w:tr w:rsidR="007E7165" w14:paraId="0BDB6C22" w14:textId="77777777" w:rsidTr="007E7165">
        <w:trPr>
          <w:trHeight w:val="312"/>
          <w:jc w:val="center"/>
        </w:trPr>
        <w:tc>
          <w:tcPr>
            <w:tcW w:w="547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8EC40C5" w14:textId="77777777" w:rsidR="007E7165" w:rsidRDefault="007E716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No. Agentes ASIC (vendedores o compradores)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A7D8E8C" w14:textId="77777777" w:rsidR="007E7165" w:rsidRDefault="007E71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DD2678C" w14:textId="77777777" w:rsidR="007E7165" w:rsidRDefault="007E71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7E7165" w14:paraId="776CF676" w14:textId="77777777" w:rsidTr="007E7165">
        <w:trPr>
          <w:trHeight w:val="312"/>
          <w:jc w:val="center"/>
        </w:trPr>
        <w:tc>
          <w:tcPr>
            <w:tcW w:w="5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01B01" w14:textId="77777777" w:rsidR="007E7165" w:rsidRDefault="007E7165">
            <w:pPr>
              <w:ind w:firstLineChars="200" w:firstLine="48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No. Agentes ASIC con contratos modificados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90094" w14:textId="77777777" w:rsidR="007E7165" w:rsidRDefault="007E71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81A7C" w14:textId="77777777" w:rsidR="007E7165" w:rsidRDefault="007E71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71%</w:t>
            </w:r>
          </w:p>
        </w:tc>
      </w:tr>
      <w:tr w:rsidR="007E7165" w14:paraId="16125B14" w14:textId="77777777" w:rsidTr="007E7165">
        <w:trPr>
          <w:trHeight w:val="312"/>
          <w:jc w:val="center"/>
        </w:trPr>
        <w:tc>
          <w:tcPr>
            <w:tcW w:w="5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810E4" w14:textId="77777777" w:rsidR="007E7165" w:rsidRDefault="007E7165">
            <w:pPr>
              <w:ind w:firstLineChars="200" w:firstLine="48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No. Agentes ASIC que no modificaron contratos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CD6C4" w14:textId="77777777" w:rsidR="007E7165" w:rsidRDefault="007E71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7F22B" w14:textId="77777777" w:rsidR="007E7165" w:rsidRDefault="007E71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29%</w:t>
            </w:r>
          </w:p>
        </w:tc>
      </w:tr>
    </w:tbl>
    <w:p w14:paraId="611AED9E" w14:textId="00574463" w:rsidR="00F33BF5" w:rsidRDefault="00F33BF5" w:rsidP="001857D8">
      <w:pPr>
        <w:pStyle w:val="Textoindependiente"/>
        <w:spacing w:after="0" w:line="360" w:lineRule="auto"/>
        <w:jc w:val="center"/>
        <w:rPr>
          <w:rFonts w:cs="Arial"/>
          <w:b/>
          <w:bCs/>
          <w:sz w:val="24"/>
          <w:szCs w:val="24"/>
        </w:rPr>
      </w:pPr>
    </w:p>
    <w:p w14:paraId="3E1D5C08" w14:textId="02768FD5" w:rsidR="00433B00" w:rsidRDefault="00433B00">
      <w:pPr>
        <w:rPr>
          <w:rFonts w:ascii="Arial" w:hAnsi="Arial" w:cs="Arial"/>
          <w:b/>
          <w:bCs/>
          <w:spacing w:val="-5"/>
        </w:rPr>
      </w:pPr>
      <w:r>
        <w:rPr>
          <w:rFonts w:cs="Arial"/>
          <w:b/>
          <w:bCs/>
        </w:rPr>
        <w:br w:type="page"/>
      </w:r>
    </w:p>
    <w:p w14:paraId="0A6E2389" w14:textId="634FA61F" w:rsidR="001573D9" w:rsidRDefault="001573D9" w:rsidP="001857D8">
      <w:pPr>
        <w:pStyle w:val="Textoindependiente"/>
        <w:spacing w:after="0" w:line="360" w:lineRule="auto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lastRenderedPageBreak/>
        <w:t xml:space="preserve">Tabla 2. </w:t>
      </w:r>
      <w:r w:rsidR="00624B69">
        <w:rPr>
          <w:rFonts w:cs="Arial"/>
          <w:b/>
          <w:bCs/>
          <w:sz w:val="24"/>
          <w:szCs w:val="24"/>
        </w:rPr>
        <w:t>A</w:t>
      </w:r>
      <w:r>
        <w:rPr>
          <w:rFonts w:cs="Arial"/>
          <w:b/>
          <w:bCs/>
          <w:sz w:val="24"/>
          <w:szCs w:val="24"/>
        </w:rPr>
        <w:t>gentes que modificaron contratos</w:t>
      </w:r>
    </w:p>
    <w:tbl>
      <w:tblPr>
        <w:tblW w:w="10065" w:type="dxa"/>
        <w:tblInd w:w="-2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"/>
        <w:gridCol w:w="4098"/>
        <w:gridCol w:w="1358"/>
        <w:gridCol w:w="1534"/>
        <w:gridCol w:w="1281"/>
        <w:gridCol w:w="1358"/>
      </w:tblGrid>
      <w:tr w:rsidR="00C330AC" w:rsidRPr="00C330AC" w14:paraId="0C14AEA4" w14:textId="77777777" w:rsidTr="00C330AC">
        <w:trPr>
          <w:trHeight w:val="864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60580A93" w14:textId="77777777" w:rsidR="00C330AC" w:rsidRPr="00C330AC" w:rsidRDefault="00C330A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C9A8976" w14:textId="77777777" w:rsidR="00C330AC" w:rsidRPr="00C330AC" w:rsidRDefault="00C330A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AGENTE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3F984876" w14:textId="77777777" w:rsidR="00C330AC" w:rsidRPr="00C330AC" w:rsidRDefault="00C330A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TOTAL CONTRATOS MODIFICADOS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5020B37A" w14:textId="77777777" w:rsidR="00C330AC" w:rsidRPr="00C330AC" w:rsidRDefault="00C330A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TOTAL CONTRATOS NO MODIFICADOS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11923CA5" w14:textId="77777777" w:rsidR="00C330AC" w:rsidRPr="00C330AC" w:rsidRDefault="00C330A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TOTAL CONTRATOS REPORTADOS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322D39F1" w14:textId="77777777" w:rsidR="00C330AC" w:rsidRPr="00C330AC" w:rsidRDefault="00C330A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% CONTRATOS MODIFICADOS</w:t>
            </w:r>
          </w:p>
        </w:tc>
      </w:tr>
      <w:tr w:rsidR="00C330AC" w:rsidRPr="00C330AC" w14:paraId="3AAB714D" w14:textId="77777777" w:rsidTr="00C330AC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7C8620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32241D" w14:textId="77777777" w:rsidR="00C330AC" w:rsidRPr="00C330AC" w:rsidRDefault="00C330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AES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A01FA2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EA8569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0CD4C7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4BA2A5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63%</w:t>
            </w:r>
          </w:p>
        </w:tc>
      </w:tr>
      <w:tr w:rsidR="00C330AC" w:rsidRPr="00C330AC" w14:paraId="44C1A633" w14:textId="77777777" w:rsidTr="00C330AC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267D40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9FD7C5" w14:textId="77777777" w:rsidR="00C330AC" w:rsidRPr="00C330AC" w:rsidRDefault="00C330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AIRE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255A09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FBF153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65BFC4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7A880A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72%</w:t>
            </w:r>
          </w:p>
        </w:tc>
      </w:tr>
      <w:tr w:rsidR="00C330AC" w:rsidRPr="00C330AC" w14:paraId="1A05ED37" w14:textId="77777777" w:rsidTr="00C330AC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11BFB4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F439AD" w14:textId="77777777" w:rsidR="00C330AC" w:rsidRPr="00C330AC" w:rsidRDefault="00C330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AMERICANA DE ENERGIA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558127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48B72C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A7CC28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4FE4B6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41%</w:t>
            </w:r>
          </w:p>
        </w:tc>
      </w:tr>
      <w:tr w:rsidR="00C330AC" w:rsidRPr="00C330AC" w14:paraId="2D53D7CB" w14:textId="77777777" w:rsidTr="00C330AC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6A1B50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A6BF14" w14:textId="77777777" w:rsidR="00C330AC" w:rsidRPr="00C330AC" w:rsidRDefault="00C330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CARIBEMAR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FD3536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EF3560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DF9F22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E8AD79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67%</w:t>
            </w:r>
          </w:p>
        </w:tc>
      </w:tr>
      <w:tr w:rsidR="00C330AC" w:rsidRPr="00C330AC" w14:paraId="3CEE9B11" w14:textId="77777777" w:rsidTr="00C330AC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8A629D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F5C8AC" w14:textId="77777777" w:rsidR="00C330AC" w:rsidRPr="00C330AC" w:rsidRDefault="00C330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CCG ENERGY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204BB2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04C402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E03A20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229659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</w:tr>
      <w:tr w:rsidR="00C330AC" w:rsidRPr="00C330AC" w14:paraId="5EA6CBC6" w14:textId="77777777" w:rsidTr="00C330AC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BFA0A3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824F4D" w14:textId="77777777" w:rsidR="00C330AC" w:rsidRPr="00C330AC" w:rsidRDefault="00C330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CEDENAR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291EC1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8DAD87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46DE98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D66327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79%</w:t>
            </w:r>
          </w:p>
        </w:tc>
      </w:tr>
      <w:tr w:rsidR="00C330AC" w:rsidRPr="00C330AC" w14:paraId="6641D50B" w14:textId="77777777" w:rsidTr="00C330AC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E44777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968695" w14:textId="77777777" w:rsidR="00C330AC" w:rsidRPr="00C330AC" w:rsidRDefault="00C330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CELSIA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B5E09D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76C2BF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19FFD1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77B405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83%</w:t>
            </w:r>
          </w:p>
        </w:tc>
      </w:tr>
      <w:tr w:rsidR="00C330AC" w:rsidRPr="00C330AC" w14:paraId="0553274A" w14:textId="77777777" w:rsidTr="00C330AC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9704CE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A00556" w14:textId="77777777" w:rsidR="00C330AC" w:rsidRPr="00C330AC" w:rsidRDefault="00C330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CENS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F99E6B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3F311B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4BC887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58B637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70%</w:t>
            </w:r>
          </w:p>
        </w:tc>
      </w:tr>
      <w:tr w:rsidR="00C330AC" w:rsidRPr="00C330AC" w14:paraId="207E5AA1" w14:textId="77777777" w:rsidTr="00C330AC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16E40C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3799F8" w14:textId="77777777" w:rsidR="00C330AC" w:rsidRPr="00C330AC" w:rsidRDefault="00C330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CEO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1A915E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47878F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284C91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0E4BCA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70%</w:t>
            </w:r>
          </w:p>
        </w:tc>
      </w:tr>
      <w:tr w:rsidR="00C330AC" w:rsidRPr="00C330AC" w14:paraId="2DF6D284" w14:textId="77777777" w:rsidTr="00C330AC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678897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EFC1E0" w14:textId="77777777" w:rsidR="00C330AC" w:rsidRPr="00C330AC" w:rsidRDefault="00C330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CETSA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ED90FA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DFC885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1C8044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71848C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</w:tr>
      <w:tr w:rsidR="00C330AC" w:rsidRPr="00C330AC" w14:paraId="34A35E04" w14:textId="77777777" w:rsidTr="00C330AC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F6DBC1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597818" w14:textId="77777777" w:rsidR="00C330AC" w:rsidRPr="00C330AC" w:rsidRDefault="00C330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CEMEX ENERGY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6109AA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BC632D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357377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9B65F7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60%</w:t>
            </w:r>
          </w:p>
        </w:tc>
      </w:tr>
      <w:tr w:rsidR="00C330AC" w:rsidRPr="00C330AC" w14:paraId="7589DC9A" w14:textId="77777777" w:rsidTr="00C330AC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5A9C83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333E5C" w14:textId="77777777" w:rsidR="00C330AC" w:rsidRPr="00C330AC" w:rsidRDefault="00C330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CHEC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EC1123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5A2AA7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234430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FBBCE2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51%</w:t>
            </w:r>
          </w:p>
        </w:tc>
      </w:tr>
      <w:tr w:rsidR="00C330AC" w:rsidRPr="00C330AC" w14:paraId="003A9876" w14:textId="77777777" w:rsidTr="00C330AC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E0EA1E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826994" w14:textId="77777777" w:rsidR="00C330AC" w:rsidRPr="00C330AC" w:rsidRDefault="00C330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COENERSA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18FCBA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A43AA0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69B170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C9010F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16%</w:t>
            </w:r>
          </w:p>
        </w:tc>
      </w:tr>
      <w:tr w:rsidR="00C330AC" w:rsidRPr="00C330AC" w14:paraId="0FDF036B" w14:textId="77777777" w:rsidTr="00C330AC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F78BA8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B58CFD" w14:textId="77777777" w:rsidR="00C330AC" w:rsidRPr="00C330AC" w:rsidRDefault="00C330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COLENERGIA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EEAFC9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DA7EC0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3D3F39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AF65BF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</w:tr>
      <w:tr w:rsidR="00C330AC" w:rsidRPr="00C330AC" w14:paraId="112F7B5E" w14:textId="77777777" w:rsidTr="00C330AC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92C7BB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05430D" w14:textId="77777777" w:rsidR="00C330AC" w:rsidRPr="00C330AC" w:rsidRDefault="00C330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COLOMBINA ENERGIA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EA15C6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5234C8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BFAD0E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5EC81B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67%</w:t>
            </w:r>
          </w:p>
        </w:tc>
      </w:tr>
      <w:tr w:rsidR="00C330AC" w:rsidRPr="00C330AC" w14:paraId="4D9C34C9" w14:textId="77777777" w:rsidTr="00C330AC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9C8A88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7B64E3" w14:textId="0A53186D" w:rsidR="00C330AC" w:rsidRPr="00C330AC" w:rsidRDefault="00C330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COMERCIALIZADORA DEL </w:t>
            </w:r>
            <w:r w:rsidR="00817179">
              <w:rPr>
                <w:rFonts w:ascii="Calibri" w:hAnsi="Calibri" w:cs="Calibri"/>
                <w:color w:val="000000"/>
                <w:sz w:val="20"/>
                <w:szCs w:val="20"/>
              </w:rPr>
              <w:t>café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DA3E5E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977731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C43A84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0597C6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20%</w:t>
            </w:r>
          </w:p>
        </w:tc>
      </w:tr>
      <w:tr w:rsidR="00C330AC" w:rsidRPr="00C330AC" w14:paraId="35FDE939" w14:textId="77777777" w:rsidTr="00C330AC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A1E326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942ABA" w14:textId="77777777" w:rsidR="00C330AC" w:rsidRPr="00C330AC" w:rsidRDefault="00C330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DEPI ENERGY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382092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467CAC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29A13C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1B50F6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40%</w:t>
            </w:r>
          </w:p>
        </w:tc>
      </w:tr>
      <w:tr w:rsidR="00C330AC" w:rsidRPr="00C330AC" w14:paraId="4D878AEB" w14:textId="77777777" w:rsidTr="00C330AC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E91336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92E0D9" w14:textId="77777777" w:rsidR="00C330AC" w:rsidRPr="00C330AC" w:rsidRDefault="00C330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DICEL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C8C3B1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08357F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F8F498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CC528C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43%</w:t>
            </w:r>
          </w:p>
        </w:tc>
      </w:tr>
      <w:tr w:rsidR="00C330AC" w:rsidRPr="00C330AC" w14:paraId="2C5F1B64" w14:textId="77777777" w:rsidTr="00C330AC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E92CD7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6A1B49" w14:textId="77777777" w:rsidR="00C330AC" w:rsidRPr="00C330AC" w:rsidRDefault="00C330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DISTRIBUIDORA DEL PACIFICO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A57792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E8CA6C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AA556B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9BCEF4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50%</w:t>
            </w:r>
          </w:p>
        </w:tc>
      </w:tr>
      <w:tr w:rsidR="00C330AC" w:rsidRPr="00C330AC" w14:paraId="2FD70FB6" w14:textId="77777777" w:rsidTr="00C330AC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AAA05F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D73C92" w14:textId="77777777" w:rsidR="00C330AC" w:rsidRPr="00C330AC" w:rsidRDefault="00C330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ECOMMERCIAL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3B81A3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E90077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C39C2F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4BB7CC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93%</w:t>
            </w:r>
          </w:p>
        </w:tc>
      </w:tr>
      <w:tr w:rsidR="00C330AC" w:rsidRPr="00C330AC" w14:paraId="7C06A2DD" w14:textId="77777777" w:rsidTr="00C330AC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8283AB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022D0E" w14:textId="77777777" w:rsidR="00C330AC" w:rsidRPr="00C330AC" w:rsidRDefault="00C330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ECOPETROL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876E8A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A89918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061C51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7906CC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</w:tr>
      <w:tr w:rsidR="00C330AC" w:rsidRPr="00C330AC" w14:paraId="212C7019" w14:textId="77777777" w:rsidTr="00C330AC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A2E190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B40CBA" w14:textId="77777777" w:rsidR="00C330AC" w:rsidRPr="00C330AC" w:rsidRDefault="00C330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EGECOL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593D59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9349E4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86590B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12AABB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</w:tr>
      <w:tr w:rsidR="00C330AC" w:rsidRPr="00C330AC" w14:paraId="4CD55ACC" w14:textId="77777777" w:rsidTr="00C330AC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D53059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AC98D4" w14:textId="77777777" w:rsidR="00C330AC" w:rsidRPr="00C330AC" w:rsidRDefault="00C330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ELECTRIFICADORA DE SANTANDER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6FD654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7E4222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BC08AB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A53454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74%</w:t>
            </w:r>
          </w:p>
        </w:tc>
      </w:tr>
      <w:tr w:rsidR="00C330AC" w:rsidRPr="00C330AC" w14:paraId="7AD4E5BC" w14:textId="77777777" w:rsidTr="00C330AC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092D9C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2789EB" w14:textId="77777777" w:rsidR="00C330AC" w:rsidRPr="00C330AC" w:rsidRDefault="00C330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ELECTRIFICADORA DEL CAQUETA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E2EAD0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5723E0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081AF2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FE9633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</w:tr>
      <w:tr w:rsidR="00C330AC" w:rsidRPr="00C330AC" w14:paraId="57CBE46A" w14:textId="77777777" w:rsidTr="00C330AC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7E5AE0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712DB4" w14:textId="77777777" w:rsidR="00C330AC" w:rsidRPr="00C330AC" w:rsidRDefault="00C330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ELECTRIFICADORA DEL HUILA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F2FC34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C21801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1FB248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075EC8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29%</w:t>
            </w:r>
          </w:p>
        </w:tc>
      </w:tr>
      <w:tr w:rsidR="00C330AC" w:rsidRPr="00C330AC" w14:paraId="0171B970" w14:textId="77777777" w:rsidTr="00C330AC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069478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7A90E4" w14:textId="77777777" w:rsidR="00C330AC" w:rsidRPr="00C330AC" w:rsidRDefault="00C330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ELECTRIFICADORA DEL META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1557BD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D3D07E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F23BA7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E75340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54%</w:t>
            </w:r>
          </w:p>
        </w:tc>
      </w:tr>
      <w:tr w:rsidR="00C330AC" w:rsidRPr="00C330AC" w14:paraId="01837412" w14:textId="77777777" w:rsidTr="00C330AC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E3A27B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DD0347" w14:textId="77777777" w:rsidR="00C330AC" w:rsidRPr="00C330AC" w:rsidRDefault="00C330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EMCALI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D3A1C8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F23EDD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626985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76E6DD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31%</w:t>
            </w:r>
          </w:p>
        </w:tc>
      </w:tr>
      <w:tr w:rsidR="00C330AC" w:rsidRPr="00C330AC" w14:paraId="4E3CF334" w14:textId="77777777" w:rsidTr="00C330AC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088A77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B4CC5B" w14:textId="77777777" w:rsidR="00C330AC" w:rsidRPr="00C330AC" w:rsidRDefault="00C330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EMP CARTAGENA DEL CHAIRA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1064DD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FA2B0B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523966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70CB88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</w:tr>
      <w:tr w:rsidR="00C330AC" w:rsidRPr="00C330AC" w14:paraId="3EA07304" w14:textId="77777777" w:rsidTr="00C330AC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4AE0B8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9BA99E" w14:textId="77777777" w:rsidR="00C330AC" w:rsidRPr="00C330AC" w:rsidRDefault="00C330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EMPRESA DE ENERGIA DE ARAUCA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C6E3C6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1CE072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DB5421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372557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50%</w:t>
            </w:r>
          </w:p>
        </w:tc>
      </w:tr>
      <w:tr w:rsidR="00C330AC" w:rsidRPr="00C330AC" w14:paraId="1321E163" w14:textId="77777777" w:rsidTr="00C330AC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693653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55C7C5" w14:textId="77777777" w:rsidR="00C330AC" w:rsidRPr="00C330AC" w:rsidRDefault="00C330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EMPRESA DE ENERGIA DE BOYACA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DDC48F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CA5C51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447C5F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642665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69%</w:t>
            </w:r>
          </w:p>
        </w:tc>
      </w:tr>
      <w:tr w:rsidR="00C330AC" w:rsidRPr="00C330AC" w14:paraId="562F184F" w14:textId="77777777" w:rsidTr="00C330AC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D04DA3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3F224E" w14:textId="77777777" w:rsidR="00C330AC" w:rsidRPr="00C330AC" w:rsidRDefault="00C330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EMPRESA DE ENERGIA DE CASANARE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13FE19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07F75A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A8EB3F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55A887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</w:tr>
      <w:tr w:rsidR="00C330AC" w:rsidRPr="00C330AC" w14:paraId="278DCFBB" w14:textId="77777777" w:rsidTr="00C330AC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C483A9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FBD8FC" w14:textId="77777777" w:rsidR="00C330AC" w:rsidRPr="00C330AC" w:rsidRDefault="00C330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EMPRESA DE ENERGIA DE PEREIRA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C03FA5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567FC6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7098E3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A5FAA9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86%</w:t>
            </w:r>
          </w:p>
        </w:tc>
      </w:tr>
      <w:tr w:rsidR="00C330AC" w:rsidRPr="00C330AC" w14:paraId="3F876015" w14:textId="77777777" w:rsidTr="00C330AC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670477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23004E" w14:textId="77777777" w:rsidR="00C330AC" w:rsidRPr="00C330AC" w:rsidRDefault="00C330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EMPRESA DE ENERGIA DEL BAJO PUTUMAYO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CF7739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1D72BD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C79CDF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D9D32F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33%</w:t>
            </w:r>
          </w:p>
        </w:tc>
      </w:tr>
      <w:tr w:rsidR="00C330AC" w:rsidRPr="00C330AC" w14:paraId="1187B246" w14:textId="77777777" w:rsidTr="00C330AC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7DCD56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3B3B07" w14:textId="77777777" w:rsidR="00C330AC" w:rsidRPr="00C330AC" w:rsidRDefault="00C330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EMPRESA DE ENERGIA DEL QUINDIO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544CC4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11D126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915F65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056F32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81%</w:t>
            </w:r>
          </w:p>
        </w:tc>
      </w:tr>
      <w:tr w:rsidR="00C330AC" w:rsidRPr="00C330AC" w14:paraId="42471488" w14:textId="77777777" w:rsidTr="00C330AC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CEEA7E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06AD0E" w14:textId="6F67769C" w:rsidR="00C330AC" w:rsidRPr="00C330AC" w:rsidRDefault="00C330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EMPRESA DE ENERGIA VALLE DE SIBUNDOY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29BE49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75EC50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F75ADB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655A53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18%</w:t>
            </w:r>
          </w:p>
        </w:tc>
      </w:tr>
      <w:tr w:rsidR="00C330AC" w:rsidRPr="00C330AC" w14:paraId="629E53A2" w14:textId="77777777" w:rsidTr="00C330AC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EB76A1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32D46E" w14:textId="77777777" w:rsidR="00C330AC" w:rsidRPr="00C330AC" w:rsidRDefault="00C330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EMPRESA ENERGIA PUTUMAYO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0C66E9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D4E883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E8CAB2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B4F817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80%</w:t>
            </w:r>
          </w:p>
        </w:tc>
      </w:tr>
      <w:tr w:rsidR="00C330AC" w:rsidRPr="00C330AC" w14:paraId="20546B60" w14:textId="77777777" w:rsidTr="00C330AC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FB606A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37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AEB84C" w14:textId="77777777" w:rsidR="00C330AC" w:rsidRPr="00C330AC" w:rsidRDefault="00C330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EMPRESA MUNICIPAL DE ENERGIA ELECTRICA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E103C5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5A4CF8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47ACF8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C38F12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</w:tr>
      <w:tr w:rsidR="00C330AC" w:rsidRPr="00C330AC" w14:paraId="045434E6" w14:textId="77777777" w:rsidTr="00C330AC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A80070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25BC3B" w14:textId="77777777" w:rsidR="00C330AC" w:rsidRPr="00C330AC" w:rsidRDefault="00C330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ENEL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B2DA5C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6FB45E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6755CA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52DF7B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83%</w:t>
            </w:r>
          </w:p>
        </w:tc>
      </w:tr>
      <w:tr w:rsidR="00C330AC" w:rsidRPr="00C330AC" w14:paraId="64AABA9E" w14:textId="77777777" w:rsidTr="00C330AC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7E0C69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AEDC1A" w14:textId="77777777" w:rsidR="00C330AC" w:rsidRPr="00C330AC" w:rsidRDefault="00C330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ENERCO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3EC7FB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8ACFAA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4D5A51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8E99AF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60%</w:t>
            </w:r>
          </w:p>
        </w:tc>
      </w:tr>
      <w:tr w:rsidR="00C330AC" w:rsidRPr="00C330AC" w14:paraId="34CCB85D" w14:textId="77777777" w:rsidTr="00C330AC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C63CC2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158D88" w14:textId="77777777" w:rsidR="00C330AC" w:rsidRPr="00C330AC" w:rsidRDefault="00C330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ENERGETICOS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E376F2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56E1E6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253966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180034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94%</w:t>
            </w:r>
          </w:p>
        </w:tc>
      </w:tr>
      <w:tr w:rsidR="00C330AC" w:rsidRPr="00C330AC" w14:paraId="732F1FC0" w14:textId="77777777" w:rsidTr="00C330AC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C989CC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B831EC" w14:textId="77777777" w:rsidR="00C330AC" w:rsidRPr="00C330AC" w:rsidRDefault="00C330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ENERGIA LIMPIA Y EFICIENTE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600A45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76C33E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2D1AFC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70F9E1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67%</w:t>
            </w:r>
          </w:p>
        </w:tc>
      </w:tr>
      <w:tr w:rsidR="00C330AC" w:rsidRPr="00C330AC" w14:paraId="790F07EB" w14:textId="77777777" w:rsidTr="00C330AC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E2020E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75D64A" w14:textId="77777777" w:rsidR="00C330AC" w:rsidRPr="00C330AC" w:rsidRDefault="00C330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ENERGIA Y AGUA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AA8A74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8E7F79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BD1E33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3C4AD1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50%</w:t>
            </w:r>
          </w:p>
        </w:tc>
      </w:tr>
      <w:tr w:rsidR="00C330AC" w:rsidRPr="00C330AC" w14:paraId="498704A6" w14:textId="77777777" w:rsidTr="00C330AC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AFB3F6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97CC4A" w14:textId="77777777" w:rsidR="00C330AC" w:rsidRPr="00C330AC" w:rsidRDefault="00C330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ENERGUAVIARE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85309C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A6C914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7D0093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8BC810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</w:tr>
      <w:tr w:rsidR="00C330AC" w:rsidRPr="00C330AC" w14:paraId="0825F0DD" w14:textId="77777777" w:rsidTr="00C330AC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CA3170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D78D6B" w14:textId="77777777" w:rsidR="00C330AC" w:rsidRPr="00C330AC" w:rsidRDefault="00C330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ENERMAS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594C1D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C9D351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BCC203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6BC308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50%</w:t>
            </w:r>
          </w:p>
        </w:tc>
      </w:tr>
      <w:tr w:rsidR="00C330AC" w:rsidRPr="00C330AC" w14:paraId="72B482EC" w14:textId="77777777" w:rsidTr="00C330AC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95F194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618372" w14:textId="77777777" w:rsidR="00C330AC" w:rsidRPr="00C330AC" w:rsidRDefault="00C330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ENERTOTAL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FC8D98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D0F09C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AB7C32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C856BD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90%</w:t>
            </w:r>
          </w:p>
        </w:tc>
      </w:tr>
      <w:tr w:rsidR="00C330AC" w:rsidRPr="00C330AC" w14:paraId="77520BC9" w14:textId="77777777" w:rsidTr="00C330AC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0F9817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4A63AC" w14:textId="77777777" w:rsidR="00C330AC" w:rsidRPr="00C330AC" w:rsidRDefault="00C330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ENERVISA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DEBBF6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DDBD95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BEE8A7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F01B3E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</w:tr>
      <w:tr w:rsidR="00C330AC" w:rsidRPr="00C330AC" w14:paraId="17390BF8" w14:textId="77777777" w:rsidTr="00C330AC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9B1E4D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E62240" w14:textId="77777777" w:rsidR="00C330AC" w:rsidRPr="00C330AC" w:rsidRDefault="00C330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EPM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BCC684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18AAEB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61C19A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4D0EAF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66%</w:t>
            </w:r>
          </w:p>
        </w:tc>
      </w:tr>
      <w:tr w:rsidR="00C330AC" w:rsidRPr="00C330AC" w14:paraId="3C226A76" w14:textId="77777777" w:rsidTr="00C330AC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8CEC02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46C411" w14:textId="77777777" w:rsidR="00C330AC" w:rsidRPr="00C330AC" w:rsidRDefault="00C330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ESPACIO PRODUCTIVO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DCBAFB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FE3B3A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32E647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B91334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81%</w:t>
            </w:r>
          </w:p>
        </w:tc>
      </w:tr>
      <w:tr w:rsidR="00C330AC" w:rsidRPr="00C330AC" w14:paraId="133A2EA2" w14:textId="77777777" w:rsidTr="00C330AC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5B1008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82AA3F" w14:textId="77777777" w:rsidR="00C330AC" w:rsidRPr="00C330AC" w:rsidRDefault="00C330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FORCEFUL ENERGY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C9F43A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AB1787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B29AAA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E45914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</w:tr>
      <w:tr w:rsidR="00C330AC" w:rsidRPr="00C330AC" w14:paraId="4FDE0515" w14:textId="77777777" w:rsidTr="00C330AC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1BB293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9E944F" w14:textId="77777777" w:rsidR="00C330AC" w:rsidRPr="00C330AC" w:rsidRDefault="00C330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FRANCA ENERGIA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AC6B8D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A6B353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3A4C59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8FB9F7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67%</w:t>
            </w:r>
          </w:p>
        </w:tc>
      </w:tr>
      <w:tr w:rsidR="00C330AC" w:rsidRPr="00C330AC" w14:paraId="52DD2B39" w14:textId="77777777" w:rsidTr="00C330AC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75D3FE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527730" w14:textId="77777777" w:rsidR="00C330AC" w:rsidRPr="00C330AC" w:rsidRDefault="00C330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FUENTES DE ENERGIAS RENOVABLES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B343F4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42C779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EB5303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DC5CB3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57%</w:t>
            </w:r>
          </w:p>
        </w:tc>
      </w:tr>
      <w:tr w:rsidR="00C330AC" w:rsidRPr="00C330AC" w14:paraId="33C317A6" w14:textId="77777777" w:rsidTr="00C330AC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D00EA4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CE5065" w14:textId="77777777" w:rsidR="00C330AC" w:rsidRPr="00C330AC" w:rsidRDefault="00C330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GAP ENERGY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EEE99D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850B57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110A9C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D0BBD9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</w:tr>
      <w:tr w:rsidR="00C330AC" w:rsidRPr="00C330AC" w14:paraId="7D23EE6D" w14:textId="77777777" w:rsidTr="00C330AC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6F19E5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4157E5" w14:textId="77777777" w:rsidR="00C330AC" w:rsidRPr="00C330AC" w:rsidRDefault="00C330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GECELCA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D5CB5A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E70966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604F65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D29826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92%</w:t>
            </w:r>
          </w:p>
        </w:tc>
      </w:tr>
      <w:tr w:rsidR="00C330AC" w:rsidRPr="00C330AC" w14:paraId="7F8C0523" w14:textId="77777777" w:rsidTr="00C330AC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7EB8EB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88E9D0" w14:textId="77777777" w:rsidR="00C330AC" w:rsidRPr="00C330AC" w:rsidRDefault="00C330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GENERADORA COLOMBIANA DE ELECTRICIDAD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7E8D41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FDD566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F07B5A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B9089C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</w:tr>
      <w:tr w:rsidR="00C330AC" w:rsidRPr="00C330AC" w14:paraId="6C612B1B" w14:textId="77777777" w:rsidTr="00C330AC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ADFFF5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4137BD" w14:textId="77777777" w:rsidR="00C330AC" w:rsidRPr="00C330AC" w:rsidRDefault="00C330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GENERARCO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04306A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C23BC8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7C495D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17493A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30%</w:t>
            </w:r>
          </w:p>
        </w:tc>
      </w:tr>
      <w:tr w:rsidR="00C330AC" w:rsidRPr="00C330AC" w14:paraId="1D364268" w14:textId="77777777" w:rsidTr="00C330AC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BFA05E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783633" w14:textId="77777777" w:rsidR="00C330AC" w:rsidRPr="00C330AC" w:rsidRDefault="00C330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GENERSYS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C42C9F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F0D7C2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91FB08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58154F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20%</w:t>
            </w:r>
          </w:p>
        </w:tc>
      </w:tr>
      <w:tr w:rsidR="00C330AC" w:rsidRPr="00C330AC" w14:paraId="27300143" w14:textId="77777777" w:rsidTr="00C330AC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9E46EE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13E64F" w14:textId="77777777" w:rsidR="00C330AC" w:rsidRPr="00C330AC" w:rsidRDefault="00C330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GESTION ENERGETICA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775A56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D175D2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A1FEAA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B37F85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64%</w:t>
            </w:r>
          </w:p>
        </w:tc>
      </w:tr>
      <w:tr w:rsidR="00C330AC" w:rsidRPr="00C330AC" w14:paraId="55801400" w14:textId="77777777" w:rsidTr="00C330AC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AD290D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0CBD07" w14:textId="77777777" w:rsidR="00C330AC" w:rsidRPr="00C330AC" w:rsidRDefault="00C330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GREENYELLOW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BC7F34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689035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712270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42ECB7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</w:tr>
      <w:tr w:rsidR="00C330AC" w:rsidRPr="00C330AC" w14:paraId="5B9B15FC" w14:textId="77777777" w:rsidTr="00C330AC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8C36F1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248773" w14:textId="77777777" w:rsidR="00C330AC" w:rsidRPr="00C330AC" w:rsidRDefault="00C330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HIDROELECTRICA ALTO PORCE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6D470E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4BBCBA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9400D7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F106B5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</w:tr>
      <w:tr w:rsidR="00C330AC" w:rsidRPr="00C330AC" w14:paraId="7B7E97F1" w14:textId="77777777" w:rsidTr="00C330AC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A74248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A6A6EA" w14:textId="77777777" w:rsidR="00C330AC" w:rsidRPr="00C330AC" w:rsidRDefault="00C330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HZ ENERGY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5E21EC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481614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83D1B6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1101CA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67%</w:t>
            </w:r>
          </w:p>
        </w:tc>
      </w:tr>
      <w:tr w:rsidR="00C330AC" w:rsidRPr="00C330AC" w14:paraId="3DCDE2A1" w14:textId="77777777" w:rsidTr="00C330AC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97F887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26362C" w14:textId="77777777" w:rsidR="00C330AC" w:rsidRPr="00C330AC" w:rsidRDefault="00C330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IA ENERGIA Y GESTION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F91BBC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A9EEC2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398529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B632F6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63%</w:t>
            </w:r>
          </w:p>
        </w:tc>
      </w:tr>
      <w:tr w:rsidR="00C330AC" w:rsidRPr="00C330AC" w14:paraId="1DFCD74B" w14:textId="77777777" w:rsidTr="00C330AC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7C1D79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835C6A" w14:textId="77777777" w:rsidR="00C330AC" w:rsidRPr="00C330AC" w:rsidRDefault="00C330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ISAGEN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7CFD7D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1579FB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F5564B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FC595B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99%</w:t>
            </w:r>
          </w:p>
        </w:tc>
      </w:tr>
      <w:tr w:rsidR="00C330AC" w:rsidRPr="00C330AC" w14:paraId="39E1C17B" w14:textId="77777777" w:rsidTr="00C330AC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DC2CEB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B3F097" w14:textId="77777777" w:rsidR="00C330AC" w:rsidRPr="00C330AC" w:rsidRDefault="00C330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ITALCOL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2193B2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2BC809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A60033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6272F9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</w:tr>
      <w:tr w:rsidR="00C330AC" w:rsidRPr="00C330AC" w14:paraId="4C4A9C94" w14:textId="77777777" w:rsidTr="00C330AC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C84B73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03445C" w14:textId="77777777" w:rsidR="00C330AC" w:rsidRPr="00C330AC" w:rsidRDefault="00C330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LA CASCADA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623F23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1CE0A8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E356AF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81669F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</w:tr>
      <w:tr w:rsidR="00C330AC" w:rsidRPr="00C330AC" w14:paraId="3F9C70E0" w14:textId="77777777" w:rsidTr="00C330AC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65CA28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094C0F" w14:textId="77777777" w:rsidR="00C330AC" w:rsidRPr="00C330AC" w:rsidRDefault="00C330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MESSER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B781AA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F622A8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9C874E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FFBA56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63%</w:t>
            </w:r>
          </w:p>
        </w:tc>
      </w:tr>
      <w:tr w:rsidR="00C330AC" w:rsidRPr="00C330AC" w14:paraId="75B2F87E" w14:textId="77777777" w:rsidTr="00C330AC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A3101F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AE71CB" w14:textId="77777777" w:rsidR="00C330AC" w:rsidRPr="00C330AC" w:rsidRDefault="00C330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NEU ENERGY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504E65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DC1D69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60F8C6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347D2D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50%</w:t>
            </w:r>
          </w:p>
        </w:tc>
      </w:tr>
      <w:tr w:rsidR="00C330AC" w:rsidRPr="00C330AC" w14:paraId="1B501873" w14:textId="77777777" w:rsidTr="00C330AC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F3EF1C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28F065" w14:textId="77777777" w:rsidR="00C330AC" w:rsidRPr="00C330AC" w:rsidRDefault="00C330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NITRO ENERGY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9B29D5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A0B3BC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1C0797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5C12F5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48%</w:t>
            </w:r>
          </w:p>
        </w:tc>
      </w:tr>
      <w:tr w:rsidR="00C330AC" w:rsidRPr="00C330AC" w14:paraId="7876431A" w14:textId="77777777" w:rsidTr="00C330AC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C6A647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E5DBF7" w14:textId="77777777" w:rsidR="00C330AC" w:rsidRPr="00C330AC" w:rsidRDefault="00C330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PROENERGY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347B68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6F151A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897BDB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61729A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77%</w:t>
            </w:r>
          </w:p>
        </w:tc>
      </w:tr>
      <w:tr w:rsidR="00C330AC" w:rsidRPr="00C330AC" w14:paraId="00C36D4E" w14:textId="77777777" w:rsidTr="00C330AC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F92F62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9BB504" w14:textId="77777777" w:rsidR="00C330AC" w:rsidRPr="00C330AC" w:rsidRDefault="00C330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PROFESIONALES ENERGIA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7C4261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0B5A9C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9FBE34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50BF30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71%</w:t>
            </w:r>
          </w:p>
        </w:tc>
      </w:tr>
      <w:tr w:rsidR="00C330AC" w:rsidRPr="00C330AC" w14:paraId="61D511AF" w14:textId="77777777" w:rsidTr="00C330AC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450D25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162D0B" w14:textId="77777777" w:rsidR="00C330AC" w:rsidRPr="00C330AC" w:rsidRDefault="00C330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PROYECTOS ENERGETICOS DEL CAUCA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CAD3D1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2CC415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6B1439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F3AA32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</w:tr>
      <w:tr w:rsidR="00C330AC" w:rsidRPr="00C330AC" w14:paraId="4125A42C" w14:textId="77777777" w:rsidTr="00C330AC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145864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8FCACC" w14:textId="77777777" w:rsidR="00C330AC" w:rsidRPr="00C330AC" w:rsidRDefault="00C330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QI ENERGY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63BF1D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A78E8F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14C150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491133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47%</w:t>
            </w:r>
          </w:p>
        </w:tc>
      </w:tr>
      <w:tr w:rsidR="00C330AC" w:rsidRPr="00C330AC" w14:paraId="574ECF63" w14:textId="77777777" w:rsidTr="00C330AC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18133C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A6CA2D" w14:textId="77777777" w:rsidR="00C330AC" w:rsidRPr="00C330AC" w:rsidRDefault="00C330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RIOPAILA ENERGIA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A6F0F8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774504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9F8C17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CDF577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</w:tr>
      <w:tr w:rsidR="00C330AC" w:rsidRPr="00C330AC" w14:paraId="416746E5" w14:textId="77777777" w:rsidTr="00C330AC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76FE3B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03DB2D" w14:textId="77777777" w:rsidR="00C330AC" w:rsidRPr="00C330AC" w:rsidRDefault="00C330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RISARALDA ENERGIA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FC1A99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9543D7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5843ED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32DD79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</w:tr>
      <w:tr w:rsidR="00C330AC" w:rsidRPr="00C330AC" w14:paraId="4BA3F9C0" w14:textId="77777777" w:rsidTr="00C330AC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179429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9BC1FC" w14:textId="77777777" w:rsidR="00C330AC" w:rsidRPr="00C330AC" w:rsidRDefault="00C330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RUITOQUE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6DB942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691B93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53C752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126470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69%</w:t>
            </w:r>
          </w:p>
        </w:tc>
      </w:tr>
      <w:tr w:rsidR="00C330AC" w:rsidRPr="00C330AC" w14:paraId="0225EEF5" w14:textId="77777777" w:rsidTr="00C330AC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B10527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1F912B" w14:textId="77777777" w:rsidR="00C330AC" w:rsidRPr="00C330AC" w:rsidRDefault="00C330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SOUTH 32 ENERGY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10FCF4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C510C8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21911D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C8D1D1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44%</w:t>
            </w:r>
          </w:p>
        </w:tc>
      </w:tr>
      <w:tr w:rsidR="00C330AC" w:rsidRPr="00C330AC" w14:paraId="55017BD1" w14:textId="77777777" w:rsidTr="00C330AC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4CF10B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C7E3C8" w14:textId="77777777" w:rsidR="00C330AC" w:rsidRPr="00C330AC" w:rsidRDefault="00C330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SPECTRUM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7A1D48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C20F23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CB87D8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274EA9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20%</w:t>
            </w:r>
          </w:p>
        </w:tc>
      </w:tr>
      <w:tr w:rsidR="00C330AC" w:rsidRPr="00C330AC" w14:paraId="7D7F95F0" w14:textId="77777777" w:rsidTr="00C330AC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F7D346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77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70EFCF" w14:textId="77777777" w:rsidR="00C330AC" w:rsidRPr="00C330AC" w:rsidRDefault="00C330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TERPEL ENERGIA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ACA7B2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AA4D27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5EA3D1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BF49D1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47%</w:t>
            </w:r>
          </w:p>
        </w:tc>
      </w:tr>
      <w:tr w:rsidR="00C330AC" w:rsidRPr="00C330AC" w14:paraId="5B0A5716" w14:textId="77777777" w:rsidTr="00C330AC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A80F2D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5AF5E9" w14:textId="77777777" w:rsidR="00C330AC" w:rsidRPr="00C330AC" w:rsidRDefault="00C330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TRANSACCIONES ENERGETICAS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98A6D6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454C9E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98F9F3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B9D418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</w:tr>
      <w:tr w:rsidR="00C330AC" w:rsidRPr="00C330AC" w14:paraId="152A5483" w14:textId="77777777" w:rsidTr="00C330AC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BBD3F0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BE7C12" w14:textId="77777777" w:rsidR="00C330AC" w:rsidRPr="00C330AC" w:rsidRDefault="00C330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URRA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AAAF3B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114B77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88F6AF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6C8B57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79%</w:t>
            </w:r>
          </w:p>
        </w:tc>
      </w:tr>
      <w:tr w:rsidR="00C330AC" w:rsidRPr="00C330AC" w14:paraId="0AAE34F4" w14:textId="77777777" w:rsidTr="00C330AC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F8D925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AF12B8" w14:textId="77777777" w:rsidR="00C330AC" w:rsidRPr="00C330AC" w:rsidRDefault="00C330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VATIA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6DF21C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EE1122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143405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1C8885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72%</w:t>
            </w:r>
          </w:p>
        </w:tc>
      </w:tr>
      <w:tr w:rsidR="00C330AC" w:rsidRPr="00C330AC" w14:paraId="3B077382" w14:textId="77777777" w:rsidTr="00C330AC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3237ED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985D49" w14:textId="77777777" w:rsidR="00C330AC" w:rsidRPr="00C330AC" w:rsidRDefault="00C330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VOLTAJE EMPRESARIAL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3F795D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1F8EF8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BCA40D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EE462F" w14:textId="77777777" w:rsidR="00C330AC" w:rsidRPr="00C330AC" w:rsidRDefault="00C330A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30AC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</w:tr>
    </w:tbl>
    <w:p w14:paraId="3E4FBCC9" w14:textId="1AA06265" w:rsidR="00B55EC1" w:rsidRDefault="00B55EC1" w:rsidP="001857D8">
      <w:pPr>
        <w:pStyle w:val="Textoindependiente"/>
        <w:spacing w:after="0" w:line="360" w:lineRule="auto"/>
        <w:jc w:val="center"/>
        <w:rPr>
          <w:rFonts w:cs="Arial"/>
          <w:b/>
          <w:bCs/>
          <w:sz w:val="24"/>
          <w:szCs w:val="24"/>
        </w:rPr>
      </w:pPr>
    </w:p>
    <w:p w14:paraId="15EB7318" w14:textId="77777777" w:rsidR="00B55EC1" w:rsidRDefault="00B55EC1">
      <w:pPr>
        <w:rPr>
          <w:rFonts w:ascii="Arial" w:hAnsi="Arial" w:cs="Arial"/>
          <w:b/>
          <w:bCs/>
          <w:spacing w:val="-5"/>
        </w:rPr>
      </w:pPr>
      <w:r>
        <w:rPr>
          <w:rFonts w:cs="Arial"/>
          <w:b/>
          <w:bCs/>
        </w:rPr>
        <w:br w:type="page"/>
      </w:r>
    </w:p>
    <w:p w14:paraId="04AB0E41" w14:textId="56AF7A11" w:rsidR="00B55EC1" w:rsidRDefault="00B55EC1" w:rsidP="00B55EC1">
      <w:pPr>
        <w:pStyle w:val="Textoindependiente"/>
        <w:spacing w:after="0" w:line="360" w:lineRule="auto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lastRenderedPageBreak/>
        <w:t xml:space="preserve">Tabla 3. </w:t>
      </w:r>
      <w:r w:rsidR="00624B69">
        <w:rPr>
          <w:rFonts w:cs="Arial"/>
          <w:b/>
          <w:bCs/>
          <w:sz w:val="24"/>
          <w:szCs w:val="24"/>
        </w:rPr>
        <w:t>A</w:t>
      </w:r>
      <w:r>
        <w:rPr>
          <w:rFonts w:cs="Arial"/>
          <w:b/>
          <w:bCs/>
          <w:sz w:val="24"/>
          <w:szCs w:val="24"/>
        </w:rPr>
        <w:t xml:space="preserve">gentes que </w:t>
      </w:r>
      <w:r w:rsidR="00624B69">
        <w:rPr>
          <w:rFonts w:cs="Arial"/>
          <w:b/>
          <w:bCs/>
          <w:sz w:val="24"/>
          <w:szCs w:val="24"/>
        </w:rPr>
        <w:t>no</w:t>
      </w:r>
      <w:r>
        <w:rPr>
          <w:rFonts w:cs="Arial"/>
          <w:b/>
          <w:bCs/>
          <w:sz w:val="24"/>
          <w:szCs w:val="24"/>
        </w:rPr>
        <w:t xml:space="preserve"> modificaron contratos</w:t>
      </w:r>
    </w:p>
    <w:tbl>
      <w:tblPr>
        <w:tblW w:w="67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4500"/>
        <w:gridCol w:w="1832"/>
      </w:tblGrid>
      <w:tr w:rsidR="003106B7" w14:paraId="127EFE51" w14:textId="77777777" w:rsidTr="00127FEA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8066A66" w14:textId="77777777" w:rsidR="003106B7" w:rsidRDefault="003106B7" w:rsidP="003106B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No.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92CBFDF" w14:textId="77777777" w:rsidR="003106B7" w:rsidRDefault="003106B7" w:rsidP="003106B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AGENTE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4C9884F" w14:textId="77777777" w:rsidR="003106B7" w:rsidRDefault="003106B7" w:rsidP="003106B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 CONTRATOS</w:t>
            </w:r>
          </w:p>
        </w:tc>
      </w:tr>
      <w:tr w:rsidR="003106B7" w14:paraId="13506A5E" w14:textId="77777777" w:rsidTr="00127FEA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F2512" w14:textId="77777777" w:rsidR="003106B7" w:rsidRDefault="003106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DED7E" w14:textId="77777777" w:rsidR="003106B7" w:rsidRDefault="003106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AGENTE EXPERTO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CDF54" w14:textId="77777777" w:rsidR="003106B7" w:rsidRDefault="003106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3106B7" w14:paraId="48E724B6" w14:textId="77777777" w:rsidTr="00127FEA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0D4B41" w14:textId="77777777" w:rsidR="003106B7" w:rsidRDefault="003106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0CAB72" w14:textId="77777777" w:rsidR="003106B7" w:rsidRDefault="003106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BIA ENERGY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9FC0B" w14:textId="77777777" w:rsidR="003106B7" w:rsidRDefault="003106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3106B7" w14:paraId="290F60EB" w14:textId="77777777" w:rsidTr="00127FEA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78377A" w14:textId="77777777" w:rsidR="003106B7" w:rsidRDefault="003106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52999" w14:textId="77777777" w:rsidR="003106B7" w:rsidRDefault="003106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BTG PACTUAL COMERCIALIZADORA DE ENERGIA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9AA19" w14:textId="77777777" w:rsidR="003106B7" w:rsidRDefault="003106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3106B7" w14:paraId="5935CAE3" w14:textId="77777777" w:rsidTr="00127FEA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05D70F" w14:textId="77777777" w:rsidR="003106B7" w:rsidRDefault="003106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18436C" w14:textId="77777777" w:rsidR="003106B7" w:rsidRDefault="003106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CEE ENERGY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F726F" w14:textId="77777777" w:rsidR="003106B7" w:rsidRDefault="003106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3106B7" w14:paraId="0280C29F" w14:textId="77777777" w:rsidTr="00127FEA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B55A00" w14:textId="77777777" w:rsidR="003106B7" w:rsidRDefault="003106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B5A6" w14:textId="77777777" w:rsidR="003106B7" w:rsidRDefault="003106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CENTRAL HIDROELECTRICA CONCORDIA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80B1" w14:textId="77777777" w:rsidR="003106B7" w:rsidRDefault="003106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3106B7" w14:paraId="4C20C900" w14:textId="77777777" w:rsidTr="00127FEA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B709B5" w14:textId="77777777" w:rsidR="003106B7" w:rsidRDefault="003106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2439" w14:textId="77777777" w:rsidR="003106B7" w:rsidRDefault="003106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CENTRAL HIDROELECTRICA ZEUS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6636A" w14:textId="77777777" w:rsidR="003106B7" w:rsidRDefault="003106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3106B7" w14:paraId="5A62AAFF" w14:textId="77777777" w:rsidTr="00127FEA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CBE9A2" w14:textId="77777777" w:rsidR="003106B7" w:rsidRDefault="003106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E9D27" w14:textId="77777777" w:rsidR="003106B7" w:rsidRDefault="003106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COMPAÑIA ELECTRICA DE SOCHAGOTA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FCEF1" w14:textId="77777777" w:rsidR="003106B7" w:rsidRDefault="003106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3106B7" w14:paraId="07BF12F9" w14:textId="77777777" w:rsidTr="00127FEA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46E25D" w14:textId="77777777" w:rsidR="003106B7" w:rsidRDefault="003106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6C893" w14:textId="77777777" w:rsidR="003106B7" w:rsidRDefault="003106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COMPAÑIA INTEGRAL ENERGETICA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9917B" w14:textId="77777777" w:rsidR="003106B7" w:rsidRDefault="003106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3106B7" w14:paraId="78AE4B2F" w14:textId="77777777" w:rsidTr="00127FEA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479487" w14:textId="77777777" w:rsidR="003106B7" w:rsidRDefault="003106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9D01D" w14:textId="77777777" w:rsidR="003106B7" w:rsidRDefault="003106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ENERGETICA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D6E7" w14:textId="77777777" w:rsidR="003106B7" w:rsidRDefault="003106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3106B7" w14:paraId="6F1FDB9C" w14:textId="77777777" w:rsidTr="00127FEA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874029" w14:textId="77777777" w:rsidR="003106B7" w:rsidRDefault="003106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48EC" w14:textId="77777777" w:rsidR="003106B7" w:rsidRDefault="003106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ENERGIA RENOVABLE COLOMBIA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B7261" w14:textId="77777777" w:rsidR="003106B7" w:rsidRDefault="003106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3106B7" w14:paraId="3730FD9D" w14:textId="77777777" w:rsidTr="00127FEA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38F0D9" w14:textId="77777777" w:rsidR="003106B7" w:rsidRDefault="003106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C945F" w14:textId="77777777" w:rsidR="003106B7" w:rsidRDefault="003106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ENERSUA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4A454" w14:textId="77777777" w:rsidR="003106B7" w:rsidRDefault="003106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3106B7" w14:paraId="5470A2A7" w14:textId="77777777" w:rsidTr="00127FEA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7E345E" w14:textId="77777777" w:rsidR="003106B7" w:rsidRDefault="003106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BED2A" w14:textId="77777777" w:rsidR="003106B7" w:rsidRDefault="003106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EOLOS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63734" w14:textId="77777777" w:rsidR="003106B7" w:rsidRDefault="003106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3106B7" w14:paraId="3FEBD125" w14:textId="77777777" w:rsidTr="00127FEA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1CB591" w14:textId="77777777" w:rsidR="003106B7" w:rsidRDefault="003106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E276F" w14:textId="77777777" w:rsidR="003106B7" w:rsidRDefault="003106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FOTOVOLTAICO ARRAYANES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BAA29" w14:textId="77777777" w:rsidR="003106B7" w:rsidRDefault="003106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3106B7" w14:paraId="6B7089FD" w14:textId="77777777" w:rsidTr="00127FEA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C341A5" w14:textId="77777777" w:rsidR="003106B7" w:rsidRDefault="003106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BA4289" w14:textId="77777777" w:rsidR="003106B7" w:rsidRDefault="003106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GENERADORA ALEJANDRIA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77BAE" w14:textId="77777777" w:rsidR="003106B7" w:rsidRDefault="003106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3106B7" w14:paraId="17089A47" w14:textId="77777777" w:rsidTr="00127FEA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6AAF90" w14:textId="77777777" w:rsidR="003106B7" w:rsidRDefault="003106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DDFC82" w14:textId="77777777" w:rsidR="003106B7" w:rsidRDefault="003106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GENERSA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CCEDD" w14:textId="77777777" w:rsidR="003106B7" w:rsidRDefault="003106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3106B7" w14:paraId="62AD4B7A" w14:textId="77777777" w:rsidTr="00127FEA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134CCA" w14:textId="77777777" w:rsidR="003106B7" w:rsidRDefault="003106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5C7A9" w14:textId="77777777" w:rsidR="003106B7" w:rsidRDefault="003106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GENERSOL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975EA" w14:textId="77777777" w:rsidR="003106B7" w:rsidRDefault="003106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3106B7" w14:paraId="06823A75" w14:textId="77777777" w:rsidTr="00127FEA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356D60" w14:textId="77777777" w:rsidR="003106B7" w:rsidRDefault="003106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1BE7C" w14:textId="77777777" w:rsidR="003106B7" w:rsidRDefault="003106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GENMAS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5873E" w14:textId="77777777" w:rsidR="003106B7" w:rsidRDefault="003106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3106B7" w14:paraId="78C7E73B" w14:textId="77777777" w:rsidTr="00127FEA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094151" w14:textId="77777777" w:rsidR="003106B7" w:rsidRDefault="003106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B9DB5" w14:textId="77777777" w:rsidR="003106B7" w:rsidRDefault="003106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HIDROENERGIA LA MONTAÑA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E2E6C" w14:textId="77777777" w:rsidR="003106B7" w:rsidRDefault="003106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3106B7" w14:paraId="1F7D9A3D" w14:textId="77777777" w:rsidTr="00127FEA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FEC855" w14:textId="77777777" w:rsidR="003106B7" w:rsidRDefault="003106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82F21" w14:textId="77777777" w:rsidR="003106B7" w:rsidRDefault="003106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IAC ENERGY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5056A" w14:textId="77777777" w:rsidR="003106B7" w:rsidRDefault="003106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3106B7" w14:paraId="00B08708" w14:textId="77777777" w:rsidTr="00127FEA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92CAD6" w14:textId="77777777" w:rsidR="003106B7" w:rsidRDefault="003106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7C41D2" w14:textId="77777777" w:rsidR="003106B7" w:rsidRDefault="003106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JEMEIWAA KA I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5D31B" w14:textId="77777777" w:rsidR="003106B7" w:rsidRDefault="003106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3106B7" w14:paraId="41680FB2" w14:textId="77777777" w:rsidTr="00127FEA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38F7AE" w14:textId="77777777" w:rsidR="003106B7" w:rsidRDefault="003106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2836A" w14:textId="77777777" w:rsidR="003106B7" w:rsidRDefault="003106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PARQUE SOLAR LOS GIRASOLES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83724" w14:textId="77777777" w:rsidR="003106B7" w:rsidRDefault="003106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3106B7" w14:paraId="50B24912" w14:textId="77777777" w:rsidTr="00127FEA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2EF6EB" w14:textId="77777777" w:rsidR="003106B7" w:rsidRDefault="003106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37009" w14:textId="77777777" w:rsidR="003106B7" w:rsidRDefault="003106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PCH SAN BARTOLOME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DDADE" w14:textId="77777777" w:rsidR="003106B7" w:rsidRDefault="003106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3106B7" w14:paraId="36370638" w14:textId="77777777" w:rsidTr="00127FEA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AA09E2" w14:textId="77777777" w:rsidR="003106B7" w:rsidRDefault="003106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A14D8" w14:textId="77777777" w:rsidR="003106B7" w:rsidRDefault="003106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SANTAFE ENERGY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E71F8" w14:textId="77777777" w:rsidR="003106B7" w:rsidRDefault="003106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3106B7" w14:paraId="54A6BCCB" w14:textId="77777777" w:rsidTr="00127FEA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F664FD" w14:textId="77777777" w:rsidR="003106B7" w:rsidRDefault="003106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2529" w14:textId="77777777" w:rsidR="003106B7" w:rsidRDefault="003106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SOL DE CIENAGAS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77B6C" w14:textId="77777777" w:rsidR="003106B7" w:rsidRDefault="003106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3106B7" w14:paraId="45F53B75" w14:textId="77777777" w:rsidTr="00127FEA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A59A6E" w14:textId="77777777" w:rsidR="003106B7" w:rsidRDefault="003106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229E7" w14:textId="77777777" w:rsidR="003106B7" w:rsidRDefault="003106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SOLARPACK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E68BF" w14:textId="77777777" w:rsidR="003106B7" w:rsidRDefault="003106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3106B7" w14:paraId="20AC1DB7" w14:textId="77777777" w:rsidTr="00127FEA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F6C9B3" w14:textId="77777777" w:rsidR="003106B7" w:rsidRDefault="003106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4BBD4" w14:textId="77777777" w:rsidR="003106B7" w:rsidRDefault="003106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SPK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6B21F" w14:textId="77777777" w:rsidR="003106B7" w:rsidRDefault="003106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3106B7" w14:paraId="422B72D6" w14:textId="77777777" w:rsidTr="00127FEA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FCAFC7" w14:textId="77777777" w:rsidR="003106B7" w:rsidRDefault="003106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024E8" w14:textId="77777777" w:rsidR="003106B7" w:rsidRDefault="003106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SUBA SOLAR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4BA4A" w14:textId="77777777" w:rsidR="003106B7" w:rsidRDefault="003106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3106B7" w14:paraId="35E01C82" w14:textId="77777777" w:rsidTr="00127FEA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E1604C" w14:textId="77777777" w:rsidR="003106B7" w:rsidRDefault="003106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8144F" w14:textId="77777777" w:rsidR="003106B7" w:rsidRDefault="003106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TECHNOELITE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FE63A" w14:textId="77777777" w:rsidR="003106B7" w:rsidRDefault="003106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3106B7" w14:paraId="6E19A580" w14:textId="77777777" w:rsidTr="00127FEA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B26E1B" w14:textId="77777777" w:rsidR="003106B7" w:rsidRDefault="003106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6FB91" w14:textId="77777777" w:rsidR="003106B7" w:rsidRDefault="003106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TERMOMECHERO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DC9F6" w14:textId="77777777" w:rsidR="003106B7" w:rsidRDefault="003106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3106B7" w14:paraId="0D17CA0E" w14:textId="77777777" w:rsidTr="00127FEA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EF161C" w14:textId="77777777" w:rsidR="003106B7" w:rsidRDefault="003106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1EB1" w14:textId="77777777" w:rsidR="003106B7" w:rsidRDefault="003106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TERMOTASAJERO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64311" w14:textId="77777777" w:rsidR="003106B7" w:rsidRDefault="003106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3106B7" w14:paraId="61949D2B" w14:textId="77777777" w:rsidTr="00127FEA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AF3D9F" w14:textId="77777777" w:rsidR="003106B7" w:rsidRDefault="003106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BE1FE" w14:textId="77777777" w:rsidR="003106B7" w:rsidRDefault="003106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TERMOYOPAL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98FF5" w14:textId="77777777" w:rsidR="003106B7" w:rsidRDefault="003106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3106B7" w14:paraId="72FC34C2" w14:textId="77777777" w:rsidTr="00127FEA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5E5B6E" w14:textId="77777777" w:rsidR="003106B7" w:rsidRDefault="003106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65883" w14:textId="77777777" w:rsidR="003106B7" w:rsidRDefault="003106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TRINA SOLAR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E735A" w14:textId="77777777" w:rsidR="003106B7" w:rsidRDefault="003106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3106B7" w14:paraId="36021107" w14:textId="77777777" w:rsidTr="00127FEA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80FA6D" w14:textId="77777777" w:rsidR="003106B7" w:rsidRDefault="003106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3FC7D" w14:textId="77777777" w:rsidR="003106B7" w:rsidRDefault="003106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VIENTOS DEL NORTE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A3FE5" w14:textId="77777777" w:rsidR="003106B7" w:rsidRDefault="003106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</w:tbl>
    <w:p w14:paraId="043FB21B" w14:textId="6A4D06F6" w:rsidR="00CF0DCB" w:rsidRDefault="00CF0DCB" w:rsidP="001857D8">
      <w:pPr>
        <w:pStyle w:val="Textoindependiente"/>
        <w:spacing w:after="0" w:line="360" w:lineRule="auto"/>
        <w:jc w:val="center"/>
        <w:rPr>
          <w:rFonts w:cs="Arial"/>
          <w:b/>
          <w:bCs/>
          <w:sz w:val="24"/>
          <w:szCs w:val="24"/>
        </w:rPr>
      </w:pPr>
    </w:p>
    <w:p w14:paraId="42E51B17" w14:textId="3E1E1CF8" w:rsidR="00955CB8" w:rsidRDefault="00CF0DCB" w:rsidP="00FB0C79">
      <w:pPr>
        <w:pStyle w:val="Textoindependiente"/>
        <w:spacing w:after="0" w:line="360" w:lineRule="auto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br w:type="page"/>
      </w:r>
      <w:r>
        <w:rPr>
          <w:rFonts w:cs="Arial"/>
          <w:b/>
          <w:bCs/>
          <w:sz w:val="24"/>
          <w:szCs w:val="24"/>
        </w:rPr>
        <w:lastRenderedPageBreak/>
        <w:t>Tabla 4. Agentes sin reporte de información</w:t>
      </w:r>
    </w:p>
    <w:tbl>
      <w:tblPr>
        <w:tblW w:w="69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6484"/>
      </w:tblGrid>
      <w:tr w:rsidR="00127FEA" w14:paraId="57432E41" w14:textId="77777777" w:rsidTr="001D12DF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40E8A11E" w14:textId="77777777" w:rsidR="00127FEA" w:rsidRDefault="00127FE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No.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3779D091" w14:textId="782CF7CD" w:rsidR="00127FEA" w:rsidRDefault="00127FE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AGENTE</w:t>
            </w:r>
            <w:r w:rsidR="001D12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ASIC</w:t>
            </w:r>
          </w:p>
        </w:tc>
      </w:tr>
      <w:tr w:rsidR="00127FEA" w14:paraId="7490CC89" w14:textId="77777777" w:rsidTr="001D12DF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525CD0" w14:textId="77777777" w:rsidR="00127FEA" w:rsidRDefault="00127F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BF724D" w14:textId="1DFCBF3B" w:rsidR="00127FEA" w:rsidRDefault="00127F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ASC INGENIERIA </w:t>
            </w:r>
          </w:p>
        </w:tc>
      </w:tr>
      <w:tr w:rsidR="00127FEA" w14:paraId="682D4D29" w14:textId="77777777" w:rsidTr="001D12DF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03986E" w14:textId="77777777" w:rsidR="00127FEA" w:rsidRDefault="00127F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FBAD20" w14:textId="77777777" w:rsidR="00127FEA" w:rsidRDefault="00127F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AMPERIA </w:t>
            </w:r>
          </w:p>
        </w:tc>
      </w:tr>
      <w:tr w:rsidR="00127FEA" w14:paraId="3FCC8681" w14:textId="77777777" w:rsidTr="001D12DF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F60200" w14:textId="77777777" w:rsidR="00127FEA" w:rsidRDefault="00127F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B78740" w14:textId="77777777" w:rsidR="00127FEA" w:rsidRDefault="00127F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APH SERVICIOS ELECTRICOS </w:t>
            </w:r>
          </w:p>
        </w:tc>
      </w:tr>
      <w:tr w:rsidR="00127FEA" w14:paraId="580F0004" w14:textId="77777777" w:rsidTr="001D12DF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50DE34" w14:textId="77777777" w:rsidR="00127FEA" w:rsidRDefault="00127F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69347A" w14:textId="77777777" w:rsidR="00127FEA" w:rsidRDefault="00127F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ATLÁNTICA COLOMBIA </w:t>
            </w:r>
          </w:p>
        </w:tc>
      </w:tr>
      <w:tr w:rsidR="00127FEA" w14:paraId="3CA1B1C6" w14:textId="77777777" w:rsidTr="001D12DF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806F2C" w14:textId="77777777" w:rsidR="00127FEA" w:rsidRDefault="00127F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35BD08" w14:textId="77777777" w:rsidR="00127FEA" w:rsidRDefault="00127F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AURES BAJO </w:t>
            </w:r>
          </w:p>
        </w:tc>
      </w:tr>
      <w:tr w:rsidR="00127FEA" w14:paraId="6CF36595" w14:textId="77777777" w:rsidTr="001D12DF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2DD8EA" w14:textId="77777777" w:rsidR="00127FEA" w:rsidRDefault="00127F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E756A2" w14:textId="77777777" w:rsidR="00127FEA" w:rsidRDefault="00127F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AXIA ENERGIA </w:t>
            </w:r>
          </w:p>
        </w:tc>
      </w:tr>
      <w:tr w:rsidR="00127FEA" w14:paraId="203DEF75" w14:textId="77777777" w:rsidTr="001D12DF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8CF213" w14:textId="77777777" w:rsidR="00127FEA" w:rsidRDefault="00127F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2FA0F0" w14:textId="77777777" w:rsidR="00127FEA" w:rsidRDefault="00127F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BEAM ENERGY INNOVATION </w:t>
            </w:r>
          </w:p>
        </w:tc>
      </w:tr>
      <w:tr w:rsidR="00127FEA" w14:paraId="1332D47C" w14:textId="77777777" w:rsidTr="001D12DF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180DEF" w14:textId="77777777" w:rsidR="00127FEA" w:rsidRDefault="00127F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DB46AA" w14:textId="77777777" w:rsidR="00127FEA" w:rsidRDefault="00127F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BIOGAS COLOMBIA </w:t>
            </w:r>
          </w:p>
        </w:tc>
      </w:tr>
      <w:tr w:rsidR="00127FEA" w14:paraId="18157B1F" w14:textId="77777777" w:rsidTr="001D12DF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0E52AB" w14:textId="77777777" w:rsidR="00127FEA" w:rsidRDefault="00127F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8637BF" w14:textId="77777777" w:rsidR="00127FEA" w:rsidRDefault="00127F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BIOGER </w:t>
            </w:r>
          </w:p>
        </w:tc>
      </w:tr>
      <w:tr w:rsidR="00127FEA" w14:paraId="44A0A363" w14:textId="77777777" w:rsidTr="001D12DF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211AD9" w14:textId="77777777" w:rsidR="00127FEA" w:rsidRDefault="00127F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0FAE5B" w14:textId="77777777" w:rsidR="00127FEA" w:rsidRDefault="00127F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CARBOENERGY </w:t>
            </w:r>
          </w:p>
        </w:tc>
      </w:tr>
      <w:tr w:rsidR="00127FEA" w14:paraId="49F1901F" w14:textId="77777777" w:rsidTr="001D12DF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A8EDFF" w14:textId="77777777" w:rsidR="00127FEA" w:rsidRDefault="00127F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BF3218" w14:textId="77777777" w:rsidR="00127FEA" w:rsidRDefault="00127F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CEE ENERGY </w:t>
            </w:r>
          </w:p>
        </w:tc>
      </w:tr>
      <w:tr w:rsidR="00127FEA" w14:paraId="249600BC" w14:textId="77777777" w:rsidTr="001D12DF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32C117" w14:textId="77777777" w:rsidR="00127FEA" w:rsidRDefault="00127F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26624D" w14:textId="77777777" w:rsidR="00127FEA" w:rsidRDefault="00127F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CENTRAL HIDROELÉCTRICA EL EDÉN </w:t>
            </w:r>
          </w:p>
        </w:tc>
      </w:tr>
      <w:tr w:rsidR="00127FEA" w14:paraId="2E75E892" w14:textId="77777777" w:rsidTr="001D12DF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A70131" w14:textId="77777777" w:rsidR="00127FEA" w:rsidRDefault="00127F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E586ED" w14:textId="77777777" w:rsidR="00127FEA" w:rsidRDefault="00127F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CENTRAL HIDROELÉCTRICA TZ II </w:t>
            </w:r>
          </w:p>
        </w:tc>
      </w:tr>
      <w:tr w:rsidR="00127FEA" w14:paraId="79EB17A7" w14:textId="77777777" w:rsidTr="001D12DF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6804E6" w14:textId="77777777" w:rsidR="00127FEA" w:rsidRDefault="00127F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90DFEB" w14:textId="77777777" w:rsidR="00127FEA" w:rsidRDefault="00127F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CENTRALES ELECTRICAS DEL CAUCA</w:t>
            </w:r>
          </w:p>
        </w:tc>
      </w:tr>
      <w:tr w:rsidR="00127FEA" w14:paraId="27C739FC" w14:textId="77777777" w:rsidTr="001D12DF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F76757" w14:textId="77777777" w:rsidR="00127FEA" w:rsidRDefault="00127F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44503F" w14:textId="77777777" w:rsidR="00127FEA" w:rsidRDefault="00127F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COMPAÑIA DE LUZ INTELIGENTE DE COLOMBIA - CLIC </w:t>
            </w:r>
          </w:p>
        </w:tc>
      </w:tr>
      <w:tr w:rsidR="00127FEA" w14:paraId="39FC68A0" w14:textId="77777777" w:rsidTr="001D12DF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083BC3" w14:textId="77777777" w:rsidR="00127FEA" w:rsidRDefault="00127F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E958B1" w14:textId="77777777" w:rsidR="00127FEA" w:rsidRDefault="00127F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CONSULTORES EN ENERGIA </w:t>
            </w:r>
          </w:p>
        </w:tc>
      </w:tr>
      <w:tr w:rsidR="00127FEA" w14:paraId="483800E9" w14:textId="77777777" w:rsidTr="001D12DF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46924D" w14:textId="77777777" w:rsidR="00127FEA" w:rsidRDefault="00127F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675515" w14:textId="77777777" w:rsidR="00127FEA" w:rsidRDefault="00127F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COX ENERGY COMERCIALIZADORA </w:t>
            </w:r>
          </w:p>
        </w:tc>
      </w:tr>
      <w:tr w:rsidR="00127FEA" w14:paraId="1D9E05BF" w14:textId="77777777" w:rsidTr="001D12DF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87D545" w14:textId="77777777" w:rsidR="00127FEA" w:rsidRDefault="00127F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0D7DC0" w14:textId="77777777" w:rsidR="00127FEA" w:rsidRDefault="00127F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E2 ENERGIA EFICIENTE </w:t>
            </w:r>
          </w:p>
        </w:tc>
      </w:tr>
      <w:tr w:rsidR="00127FEA" w14:paraId="0C1A76D9" w14:textId="77777777" w:rsidTr="001D12DF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4F1F71" w14:textId="77777777" w:rsidR="00127FEA" w:rsidRDefault="00127F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760E96" w14:textId="77777777" w:rsidR="00127FEA" w:rsidRDefault="00127F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EDN COLOMBIA </w:t>
            </w:r>
          </w:p>
        </w:tc>
      </w:tr>
      <w:tr w:rsidR="00127FEA" w14:paraId="7C9B091E" w14:textId="77777777" w:rsidTr="001D12DF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4E1AF3" w14:textId="77777777" w:rsidR="00127FEA" w:rsidRDefault="00127F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6CDE5A" w14:textId="77777777" w:rsidR="00127FEA" w:rsidRDefault="00127F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ELECTRIFICADORA DEL CARIBE </w:t>
            </w:r>
          </w:p>
        </w:tc>
      </w:tr>
      <w:tr w:rsidR="00127FEA" w14:paraId="15849416" w14:textId="77777777" w:rsidTr="001D12DF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B9CFB6" w14:textId="77777777" w:rsidR="00127FEA" w:rsidRDefault="00127F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62773A" w14:textId="77777777" w:rsidR="00127FEA" w:rsidRDefault="00127F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ELECTRIFICADORA DEL MUNICIPIO DE RIOSUCIO CHOCO </w:t>
            </w:r>
          </w:p>
        </w:tc>
      </w:tr>
      <w:tr w:rsidR="00127FEA" w14:paraId="7631CA4F" w14:textId="77777777" w:rsidTr="001D12DF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31C352" w14:textId="77777777" w:rsidR="00127FEA" w:rsidRDefault="00127F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1EE487" w14:textId="77777777" w:rsidR="00127FEA" w:rsidRDefault="00127F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EMPRESA DE ENERGIA DE GUAPI </w:t>
            </w:r>
          </w:p>
        </w:tc>
      </w:tr>
      <w:tr w:rsidR="00127FEA" w14:paraId="6F32DD87" w14:textId="77777777" w:rsidTr="001D12DF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2B2C8A" w14:textId="77777777" w:rsidR="00127FEA" w:rsidRDefault="00127F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589401" w14:textId="77777777" w:rsidR="00127FEA" w:rsidRDefault="00127F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EMPRESA DE ENERGÍA ELÉCTRICA DEL DEPARTAMENTO DEL VICHADA</w:t>
            </w:r>
          </w:p>
        </w:tc>
      </w:tr>
      <w:tr w:rsidR="00127FEA" w14:paraId="2D119527" w14:textId="77777777" w:rsidTr="001D12DF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6964DB" w14:textId="77777777" w:rsidR="00127FEA" w:rsidRDefault="00127F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4ECCC0" w14:textId="77777777" w:rsidR="00127FEA" w:rsidRDefault="00127F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EMPRESA DE SERVICIOS PUBLICOS DE SANTANDER </w:t>
            </w:r>
          </w:p>
        </w:tc>
      </w:tr>
      <w:tr w:rsidR="00127FEA" w14:paraId="279C2588" w14:textId="77777777" w:rsidTr="001D12DF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93C3E0" w14:textId="77777777" w:rsidR="00127FEA" w:rsidRDefault="00127F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CE1F86" w14:textId="77777777" w:rsidR="00127FEA" w:rsidRDefault="00127F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EMPRESA DE SERVICIOS PÚBLICOS DEL OCCIDENTE COLOMBIANO</w:t>
            </w:r>
          </w:p>
        </w:tc>
      </w:tr>
      <w:tr w:rsidR="00127FEA" w14:paraId="1FD6FAC2" w14:textId="77777777" w:rsidTr="001D12DF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58A1AF" w14:textId="77777777" w:rsidR="00127FEA" w:rsidRDefault="00127F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3F70CB" w14:textId="77777777" w:rsidR="00127FEA" w:rsidRDefault="00127F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EMPRESA MULTIPROPOSITO DE CALARCA </w:t>
            </w:r>
          </w:p>
        </w:tc>
      </w:tr>
      <w:tr w:rsidR="00127FEA" w14:paraId="3B70D585" w14:textId="77777777" w:rsidTr="001D12DF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5EA43E" w14:textId="77777777" w:rsidR="00127FEA" w:rsidRDefault="00127F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CFA81A" w14:textId="77777777" w:rsidR="00127FEA" w:rsidRDefault="00127F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EMPRESA SIGLO XXI EICE ESP</w:t>
            </w:r>
          </w:p>
        </w:tc>
      </w:tr>
      <w:tr w:rsidR="00127FEA" w14:paraId="29271872" w14:textId="77777777" w:rsidTr="001D12DF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BC34B1" w14:textId="77777777" w:rsidR="00127FEA" w:rsidRDefault="00127F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3E614A" w14:textId="77777777" w:rsidR="00127FEA" w:rsidRDefault="00127F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EMPRESAS MUNICIPALES DE CARTAGO </w:t>
            </w:r>
          </w:p>
        </w:tc>
      </w:tr>
      <w:tr w:rsidR="00127FEA" w14:paraId="727BAEA0" w14:textId="77777777" w:rsidTr="001D12DF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E1889B" w14:textId="77777777" w:rsidR="00127FEA" w:rsidRDefault="00127F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428F2D" w14:textId="77777777" w:rsidR="00127FEA" w:rsidRDefault="00127F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ENERBIT </w:t>
            </w:r>
          </w:p>
        </w:tc>
      </w:tr>
      <w:tr w:rsidR="00127FEA" w14:paraId="27E78352" w14:textId="77777777" w:rsidTr="001D12DF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E724F1" w14:textId="77777777" w:rsidR="00127FEA" w:rsidRDefault="00127F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80EBEB" w14:textId="77777777" w:rsidR="00127FEA" w:rsidRDefault="00127F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ENERGIA DEL RIO PIEDRAS </w:t>
            </w:r>
          </w:p>
        </w:tc>
      </w:tr>
      <w:tr w:rsidR="00127FEA" w14:paraId="176F544B" w14:textId="77777777" w:rsidTr="001D12DF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A59875" w14:textId="77777777" w:rsidR="00127FEA" w:rsidRDefault="00127F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D6BF22" w14:textId="77777777" w:rsidR="00127FEA" w:rsidRDefault="00127F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ENERGIA DEL SUROESTE </w:t>
            </w:r>
          </w:p>
        </w:tc>
      </w:tr>
      <w:tr w:rsidR="00127FEA" w14:paraId="21B76B20" w14:textId="77777777" w:rsidTr="001D12DF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018C07" w14:textId="77777777" w:rsidR="00127FEA" w:rsidRDefault="00127F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65A6A9" w14:textId="77777777" w:rsidR="00127FEA" w:rsidRDefault="00127F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ENERGIA Y GAS DE COLOMBIA </w:t>
            </w:r>
          </w:p>
        </w:tc>
      </w:tr>
      <w:tr w:rsidR="00127FEA" w14:paraId="7466282D" w14:textId="77777777" w:rsidTr="001D12DF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957A47" w14:textId="77777777" w:rsidR="00127FEA" w:rsidRDefault="00127F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80AC7E" w14:textId="77777777" w:rsidR="00127FEA" w:rsidRDefault="00127F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ENERXIA COLOMBIA </w:t>
            </w:r>
          </w:p>
        </w:tc>
      </w:tr>
      <w:tr w:rsidR="00127FEA" w14:paraId="029D6FE7" w14:textId="77777777" w:rsidTr="001D12DF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202E5A" w14:textId="77777777" w:rsidR="00127FEA" w:rsidRDefault="00127F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9EEAAC" w14:textId="77777777" w:rsidR="00127FEA" w:rsidRDefault="00127F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ENGIE COLOMBIA ENERGIA </w:t>
            </w:r>
          </w:p>
        </w:tc>
      </w:tr>
      <w:tr w:rsidR="00127FEA" w14:paraId="0CDC7DD7" w14:textId="77777777" w:rsidTr="001D12DF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DA92DC" w14:textId="77777777" w:rsidR="00127FEA" w:rsidRDefault="00127F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40E6A1" w14:textId="77777777" w:rsidR="00127FEA" w:rsidRDefault="00127F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EOLOS ENERGÍA </w:t>
            </w:r>
          </w:p>
        </w:tc>
      </w:tr>
      <w:tr w:rsidR="00127FEA" w14:paraId="607DA8DB" w14:textId="77777777" w:rsidTr="001D12DF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D4624C" w14:textId="77777777" w:rsidR="00127FEA" w:rsidRDefault="00127F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CBB222" w14:textId="77777777" w:rsidR="00127FEA" w:rsidRDefault="00127F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ERCO GENERACION </w:t>
            </w:r>
          </w:p>
        </w:tc>
      </w:tr>
      <w:tr w:rsidR="00127FEA" w14:paraId="4EDC7F42" w14:textId="77777777" w:rsidTr="001D12DF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C3B69E" w14:textId="77777777" w:rsidR="00127FEA" w:rsidRDefault="00127F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41BC2B" w14:textId="77777777" w:rsidR="00127FEA" w:rsidRDefault="00127F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ÉRGON ENERGY </w:t>
            </w:r>
          </w:p>
        </w:tc>
      </w:tr>
      <w:tr w:rsidR="00127FEA" w14:paraId="6BC92F8F" w14:textId="77777777" w:rsidTr="001D12DF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0AE54F" w14:textId="77777777" w:rsidR="00127FEA" w:rsidRDefault="00127F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0BFBD6" w14:textId="77777777" w:rsidR="00127FEA" w:rsidRDefault="00127F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GENERADORA CANTAYÚS </w:t>
            </w:r>
          </w:p>
        </w:tc>
      </w:tr>
      <w:tr w:rsidR="00127FEA" w14:paraId="0E2BA108" w14:textId="77777777" w:rsidTr="001D12DF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327397" w14:textId="77777777" w:rsidR="00127FEA" w:rsidRDefault="00127F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39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893E66" w14:textId="77777777" w:rsidR="00127FEA" w:rsidRDefault="00127F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GENERAMOS ENERGIA </w:t>
            </w:r>
          </w:p>
        </w:tc>
      </w:tr>
      <w:tr w:rsidR="00127FEA" w14:paraId="4F6C8AC8" w14:textId="77777777" w:rsidTr="001D12DF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CD5871" w14:textId="77777777" w:rsidR="00127FEA" w:rsidRDefault="00127F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C6CB27" w14:textId="77777777" w:rsidR="00127FEA" w:rsidRDefault="00127F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GENERCOMERCIAL </w:t>
            </w:r>
          </w:p>
        </w:tc>
      </w:tr>
      <w:tr w:rsidR="00127FEA" w14:paraId="350D3048" w14:textId="77777777" w:rsidTr="001D12DF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14FEFD" w14:textId="77777777" w:rsidR="00127FEA" w:rsidRDefault="00127F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86EBB4" w14:textId="77777777" w:rsidR="00127FEA" w:rsidRDefault="00127F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GENERPUTUMAYO </w:t>
            </w:r>
          </w:p>
        </w:tc>
      </w:tr>
      <w:tr w:rsidR="00127FEA" w14:paraId="038E297C" w14:textId="77777777" w:rsidTr="001D12DF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021678" w14:textId="77777777" w:rsidR="00127FEA" w:rsidRDefault="00127F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24CB0B" w14:textId="77777777" w:rsidR="00127FEA" w:rsidRDefault="00127F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GHL ENERGY </w:t>
            </w:r>
          </w:p>
        </w:tc>
      </w:tr>
      <w:tr w:rsidR="00127FEA" w14:paraId="2F785BFE" w14:textId="77777777" w:rsidTr="001D12DF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DA2E45" w14:textId="77777777" w:rsidR="00127FEA" w:rsidRDefault="00127F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2DFE0E" w14:textId="77777777" w:rsidR="00127FEA" w:rsidRDefault="00127F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GREENWOOD ENERGY </w:t>
            </w:r>
          </w:p>
        </w:tc>
      </w:tr>
      <w:tr w:rsidR="00127FEA" w14:paraId="2D1F8904" w14:textId="77777777" w:rsidTr="001D12DF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6DF152" w14:textId="77777777" w:rsidR="00127FEA" w:rsidRDefault="00127F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CFACA9" w14:textId="77777777" w:rsidR="00127FEA" w:rsidRDefault="00127F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HIDROELECTRICA BARRANCAS </w:t>
            </w:r>
          </w:p>
        </w:tc>
      </w:tr>
      <w:tr w:rsidR="00127FEA" w14:paraId="3647B295" w14:textId="77777777" w:rsidTr="001D12DF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D82C15" w14:textId="77777777" w:rsidR="00127FEA" w:rsidRDefault="00127F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1FDBFF" w14:textId="77777777" w:rsidR="00127FEA" w:rsidRDefault="00127F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HIDROTOLIMA </w:t>
            </w:r>
          </w:p>
        </w:tc>
      </w:tr>
      <w:tr w:rsidR="00127FEA" w14:paraId="4CBC8CB0" w14:textId="77777777" w:rsidTr="001D12DF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9ADC03" w14:textId="77777777" w:rsidR="00127FEA" w:rsidRDefault="00127F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F74FC9" w14:textId="75A5FFE1" w:rsidR="00127FEA" w:rsidRDefault="00127F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INVERSIONES, SUMINISTROS Y SERVICIOS SAFEANA </w:t>
            </w:r>
          </w:p>
        </w:tc>
      </w:tr>
      <w:tr w:rsidR="00127FEA" w14:paraId="5672229F" w14:textId="77777777" w:rsidTr="001D12DF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6E1E64" w14:textId="77777777" w:rsidR="00127FEA" w:rsidRDefault="00127F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90D618" w14:textId="77777777" w:rsidR="00127FEA" w:rsidRDefault="00127F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J.A. INFRAESTRUCTURA</w:t>
            </w:r>
          </w:p>
        </w:tc>
      </w:tr>
      <w:tr w:rsidR="00127FEA" w14:paraId="10C2A0C2" w14:textId="77777777" w:rsidTr="001D12DF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A707AC" w14:textId="77777777" w:rsidR="00127FEA" w:rsidRDefault="00127F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DE507C" w14:textId="77777777" w:rsidR="00127FEA" w:rsidRDefault="00127F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JULIA - RD </w:t>
            </w:r>
          </w:p>
        </w:tc>
      </w:tr>
      <w:tr w:rsidR="00127FEA" w14:paraId="28F1A9B0" w14:textId="77777777" w:rsidTr="001D12DF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9DE1AF" w14:textId="77777777" w:rsidR="00127FEA" w:rsidRDefault="00127F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E7BAAF" w14:textId="77777777" w:rsidR="00127FEA" w:rsidRDefault="00127F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LATINOAMERICAN ENERGY</w:t>
            </w:r>
          </w:p>
        </w:tc>
      </w:tr>
      <w:tr w:rsidR="00127FEA" w14:paraId="767C223A" w14:textId="77777777" w:rsidTr="001D12DF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077DCF" w14:textId="77777777" w:rsidR="00127FEA" w:rsidRDefault="00127F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7242DE" w14:textId="77777777" w:rsidR="00127FEA" w:rsidRDefault="00127F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LUMINA ENERGY </w:t>
            </w:r>
          </w:p>
        </w:tc>
      </w:tr>
      <w:tr w:rsidR="00127FEA" w14:paraId="3FCC622A" w14:textId="77777777" w:rsidTr="001D12DF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39F459" w14:textId="77777777" w:rsidR="00127FEA" w:rsidRDefault="00127F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5FB5C0" w14:textId="77777777" w:rsidR="00127FEA" w:rsidRDefault="00127F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MERELEC COLOMBIA </w:t>
            </w:r>
          </w:p>
        </w:tc>
      </w:tr>
      <w:tr w:rsidR="00127FEA" w14:paraId="3658AACF" w14:textId="77777777" w:rsidTr="001D12DF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DEAFD0" w14:textId="77777777" w:rsidR="00127FEA" w:rsidRDefault="00127F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0B8E22" w14:textId="77777777" w:rsidR="00127FEA" w:rsidRDefault="00127F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NEXTGY </w:t>
            </w:r>
          </w:p>
        </w:tc>
      </w:tr>
      <w:tr w:rsidR="00127FEA" w14:paraId="1069EA3E" w14:textId="77777777" w:rsidTr="001D12DF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9D95BA" w14:textId="77777777" w:rsidR="00127FEA" w:rsidRDefault="00127F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85C1D5" w14:textId="77777777" w:rsidR="00127FEA" w:rsidRDefault="00127F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NOVA ENERGY STAR </w:t>
            </w:r>
          </w:p>
        </w:tc>
      </w:tr>
      <w:tr w:rsidR="00127FEA" w14:paraId="02BF52B8" w14:textId="77777777" w:rsidTr="001D12DF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4BF941" w14:textId="77777777" w:rsidR="00127FEA" w:rsidRDefault="00127F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A61D4F" w14:textId="77777777" w:rsidR="00127FEA" w:rsidRDefault="00127F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P.CH EL COCUYO </w:t>
            </w:r>
          </w:p>
        </w:tc>
      </w:tr>
      <w:tr w:rsidR="00127FEA" w14:paraId="01C4866D" w14:textId="77777777" w:rsidTr="001D12DF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D5095B" w14:textId="77777777" w:rsidR="00127FEA" w:rsidRDefault="00127F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D4977F" w14:textId="77777777" w:rsidR="00127FEA" w:rsidRDefault="00127F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PLUSENERGY </w:t>
            </w:r>
          </w:p>
        </w:tc>
      </w:tr>
      <w:tr w:rsidR="00127FEA" w14:paraId="2B29635B" w14:textId="77777777" w:rsidTr="001D12DF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65B926" w14:textId="77777777" w:rsidR="00127FEA" w:rsidRDefault="00127F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7CE9FD" w14:textId="77777777" w:rsidR="00127FEA" w:rsidRDefault="00127F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POWER FINTECH </w:t>
            </w:r>
          </w:p>
        </w:tc>
      </w:tr>
      <w:tr w:rsidR="00127FEA" w14:paraId="709BB8D3" w14:textId="77777777" w:rsidTr="001D12DF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D568BB" w14:textId="77777777" w:rsidR="00127FEA" w:rsidRDefault="00127F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1FC37F" w14:textId="77777777" w:rsidR="00127FEA" w:rsidRDefault="00127F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PRIME TERMOFLORES </w:t>
            </w:r>
          </w:p>
        </w:tc>
      </w:tr>
      <w:tr w:rsidR="00127FEA" w14:paraId="59308814" w14:textId="77777777" w:rsidTr="001D12DF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0E60C1" w14:textId="77777777" w:rsidR="00127FEA" w:rsidRDefault="00127F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A28762" w14:textId="77777777" w:rsidR="00127FEA" w:rsidRDefault="00127F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PRIME TERMOVALLE</w:t>
            </w:r>
          </w:p>
        </w:tc>
      </w:tr>
      <w:tr w:rsidR="00127FEA" w14:paraId="0D0BB85B" w14:textId="77777777" w:rsidTr="001D12DF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E13A10" w14:textId="77777777" w:rsidR="00127FEA" w:rsidRDefault="00127F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7D46A4" w14:textId="77777777" w:rsidR="00127FEA" w:rsidRDefault="00127F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PROELECTRICA</w:t>
            </w:r>
          </w:p>
        </w:tc>
      </w:tr>
      <w:tr w:rsidR="00127FEA" w14:paraId="30827DCC" w14:textId="77777777" w:rsidTr="001D12DF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AC2612" w14:textId="77777777" w:rsidR="00127FEA" w:rsidRDefault="00127F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3D3E0F" w14:textId="77777777" w:rsidR="00127FEA" w:rsidRDefault="00127F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PROMOENERCOL COMERCIALIZADORA DE ENERGÍA </w:t>
            </w:r>
          </w:p>
        </w:tc>
      </w:tr>
      <w:tr w:rsidR="00127FEA" w14:paraId="54EA1D68" w14:textId="77777777" w:rsidTr="001D12DF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20C55E" w14:textId="77777777" w:rsidR="00127FEA" w:rsidRDefault="00127F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405ADA" w14:textId="77777777" w:rsidR="00127FEA" w:rsidRDefault="00127F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SMARTEN </w:t>
            </w:r>
          </w:p>
        </w:tc>
      </w:tr>
      <w:tr w:rsidR="00127FEA" w14:paraId="5A37316E" w14:textId="77777777" w:rsidTr="001D12DF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77122C" w14:textId="77777777" w:rsidR="00127FEA" w:rsidRDefault="00127F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00F155" w14:textId="77777777" w:rsidR="00127FEA" w:rsidRDefault="00127F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SOCIEDAD DE ECONOMIA MIXTA ALUMBRADO PUBLICO DE PITALITO </w:t>
            </w:r>
          </w:p>
        </w:tc>
      </w:tr>
      <w:tr w:rsidR="00127FEA" w14:paraId="195E034E" w14:textId="77777777" w:rsidTr="001D12DF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7023DA" w14:textId="77777777" w:rsidR="00127FEA" w:rsidRDefault="00127F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1C2255" w14:textId="77777777" w:rsidR="00127FEA" w:rsidRDefault="00127F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SOL &amp; CIELO ENERGIA </w:t>
            </w:r>
          </w:p>
        </w:tc>
      </w:tr>
      <w:tr w:rsidR="00127FEA" w14:paraId="60EECB5E" w14:textId="77777777" w:rsidTr="001D12DF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B17485" w14:textId="77777777" w:rsidR="00127FEA" w:rsidRDefault="00127F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CFDA1A" w14:textId="77777777" w:rsidR="00127FEA" w:rsidRDefault="00127F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SOUL ENERGY </w:t>
            </w:r>
          </w:p>
        </w:tc>
      </w:tr>
      <w:tr w:rsidR="00127FEA" w14:paraId="2DAD736D" w14:textId="77777777" w:rsidTr="001D12DF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FCD0A1" w14:textId="77777777" w:rsidR="00127FEA" w:rsidRDefault="00127F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DC9784" w14:textId="77777777" w:rsidR="00127FEA" w:rsidRDefault="00127F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SURENERGY </w:t>
            </w:r>
          </w:p>
        </w:tc>
      </w:tr>
      <w:tr w:rsidR="00127FEA" w14:paraId="071D1A39" w14:textId="77777777" w:rsidTr="001D12DF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31F995" w14:textId="77777777" w:rsidR="00127FEA" w:rsidRDefault="00127F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40B2EF" w14:textId="77777777" w:rsidR="00127FEA" w:rsidRDefault="00127F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SVC ESP SAS ZOMAC</w:t>
            </w:r>
          </w:p>
        </w:tc>
      </w:tr>
      <w:tr w:rsidR="00127FEA" w14:paraId="1AF07115" w14:textId="77777777" w:rsidTr="001D12DF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83B44F" w14:textId="77777777" w:rsidR="00127FEA" w:rsidRDefault="00127F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A8FCA1" w14:textId="77777777" w:rsidR="00127FEA" w:rsidRDefault="00127F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TERMO CARIBE </w:t>
            </w:r>
          </w:p>
        </w:tc>
      </w:tr>
      <w:tr w:rsidR="00127FEA" w14:paraId="664A06E5" w14:textId="77777777" w:rsidTr="001D12DF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2EE5DD" w14:textId="77777777" w:rsidR="00127FEA" w:rsidRDefault="00127F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3513EB" w14:textId="77777777" w:rsidR="00127FEA" w:rsidRDefault="00127F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TERMOBARRANQUILLA</w:t>
            </w:r>
          </w:p>
        </w:tc>
      </w:tr>
      <w:tr w:rsidR="00127FEA" w14:paraId="4278AC66" w14:textId="77777777" w:rsidTr="001D12DF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F767F1" w14:textId="77777777" w:rsidR="00127FEA" w:rsidRDefault="00127F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5B5FD7" w14:textId="77777777" w:rsidR="00127FEA" w:rsidRDefault="00127F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TERMOCANDELARIA</w:t>
            </w:r>
          </w:p>
        </w:tc>
      </w:tr>
      <w:tr w:rsidR="00127FEA" w14:paraId="7AA943CA" w14:textId="77777777" w:rsidTr="001D12DF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7A911C" w14:textId="77777777" w:rsidR="00127FEA" w:rsidRDefault="00127F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1DA0A9" w14:textId="77777777" w:rsidR="00127FEA" w:rsidRDefault="00127F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TERMOCARTAGENA</w:t>
            </w:r>
          </w:p>
        </w:tc>
      </w:tr>
      <w:tr w:rsidR="00127FEA" w14:paraId="58B72439" w14:textId="77777777" w:rsidTr="001D12DF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9A98C3" w14:textId="77777777" w:rsidR="00127FEA" w:rsidRDefault="00127F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E35EC3" w14:textId="77777777" w:rsidR="00127FEA" w:rsidRDefault="00127F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TERMOEMCALI I </w:t>
            </w:r>
          </w:p>
        </w:tc>
      </w:tr>
      <w:tr w:rsidR="00127FEA" w14:paraId="1111BFA6" w14:textId="77777777" w:rsidTr="001D12DF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F58031" w14:textId="77777777" w:rsidR="00127FEA" w:rsidRDefault="00127F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439757" w14:textId="77777777" w:rsidR="00127FEA" w:rsidRDefault="00127F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TERMONORTE </w:t>
            </w:r>
          </w:p>
        </w:tc>
      </w:tr>
      <w:tr w:rsidR="00127FEA" w14:paraId="0D0A0726" w14:textId="77777777" w:rsidTr="001D12DF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F1EB04" w14:textId="77777777" w:rsidR="00127FEA" w:rsidRDefault="00127F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D1DCA3" w14:textId="77777777" w:rsidR="00127FEA" w:rsidRDefault="00127F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TERMOPIEDRAS </w:t>
            </w:r>
          </w:p>
        </w:tc>
      </w:tr>
      <w:tr w:rsidR="00127FEA" w14:paraId="3F1D940E" w14:textId="77777777" w:rsidTr="001D12DF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C0FD8B" w14:textId="77777777" w:rsidR="00127FEA" w:rsidRDefault="00127F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CB94F1" w14:textId="77777777" w:rsidR="00127FEA" w:rsidRDefault="00127F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UNERGY ENERGY DIGITAL </w:t>
            </w:r>
          </w:p>
        </w:tc>
      </w:tr>
      <w:tr w:rsidR="00127FEA" w14:paraId="2C138A1A" w14:textId="77777777" w:rsidTr="001D12DF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C5A0E5" w14:textId="77777777" w:rsidR="00127FEA" w:rsidRDefault="00127F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BA59CA" w14:textId="77777777" w:rsidR="00127FEA" w:rsidRDefault="00127F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VACHE</w:t>
            </w:r>
          </w:p>
        </w:tc>
      </w:tr>
      <w:tr w:rsidR="00127FEA" w14:paraId="0DA7EDD1" w14:textId="77777777" w:rsidTr="001D12DF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A5DAB2" w14:textId="77777777" w:rsidR="00127FEA" w:rsidRDefault="00127F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C38A92" w14:textId="77777777" w:rsidR="00127FEA" w:rsidRDefault="00127F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VITOL ENERGÍA </w:t>
            </w:r>
          </w:p>
        </w:tc>
      </w:tr>
      <w:tr w:rsidR="00127FEA" w14:paraId="41D621E5" w14:textId="77777777" w:rsidTr="001D12DF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5B182E" w14:textId="77777777" w:rsidR="00127FEA" w:rsidRDefault="00127F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BB91D4" w14:textId="77777777" w:rsidR="00127FEA" w:rsidRDefault="00127F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XT ENERGÍA </w:t>
            </w:r>
          </w:p>
        </w:tc>
      </w:tr>
      <w:tr w:rsidR="00127FEA" w14:paraId="1D315D55" w14:textId="77777777" w:rsidTr="001D12DF">
        <w:trPr>
          <w:trHeight w:val="288"/>
          <w:jc w:val="center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DF2AA7" w14:textId="77777777" w:rsidR="00127FEA" w:rsidRDefault="00127F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74280D" w14:textId="77777777" w:rsidR="00127FEA" w:rsidRDefault="00127F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YARIGUIES SOLAR </w:t>
            </w:r>
          </w:p>
        </w:tc>
      </w:tr>
    </w:tbl>
    <w:p w14:paraId="10DDA185" w14:textId="01328509" w:rsidR="00CF0DCB" w:rsidRPr="00242A5A" w:rsidRDefault="00985FF3" w:rsidP="001857D8">
      <w:pPr>
        <w:pStyle w:val="Textoindependiente"/>
        <w:spacing w:after="0" w:line="360" w:lineRule="auto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FIN DEL ANEXO</w:t>
      </w:r>
    </w:p>
    <w:sectPr w:rsidR="00CF0DCB" w:rsidRPr="00242A5A" w:rsidSect="008B0943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979" w:right="1418" w:bottom="1985" w:left="1418" w:header="156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0ADEF" w14:textId="77777777" w:rsidR="00822B75" w:rsidRDefault="00822B75" w:rsidP="00AA0519">
      <w:r>
        <w:separator/>
      </w:r>
    </w:p>
  </w:endnote>
  <w:endnote w:type="continuationSeparator" w:id="0">
    <w:p w14:paraId="79ECB8EE" w14:textId="77777777" w:rsidR="00822B75" w:rsidRDefault="00822B75" w:rsidP="00AA0519">
      <w:r>
        <w:continuationSeparator/>
      </w:r>
    </w:p>
  </w:endnote>
  <w:endnote w:type="continuationNotice" w:id="1">
    <w:p w14:paraId="79ED1AB6" w14:textId="77777777" w:rsidR="00822B75" w:rsidRDefault="00822B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656D" w14:textId="3481B366" w:rsidR="00735E1F" w:rsidRDefault="003B1FEC" w:rsidP="00735E1F">
    <w:pPr>
      <w:jc w:val="cent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6ECC2AB7" wp14:editId="4CF4E285">
          <wp:simplePos x="0" y="0"/>
          <wp:positionH relativeFrom="margin">
            <wp:posOffset>-905510</wp:posOffset>
          </wp:positionH>
          <wp:positionV relativeFrom="paragraph">
            <wp:posOffset>-629920</wp:posOffset>
          </wp:positionV>
          <wp:extent cx="7750098" cy="1248555"/>
          <wp:effectExtent l="0" t="0" r="3810" b="8890"/>
          <wp:wrapNone/>
          <wp:docPr id="2" name="Imagen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889B" w14:textId="1ED06985" w:rsidR="003F2F4B" w:rsidRDefault="003B1FEC" w:rsidP="003F2F4B">
    <w:pPr>
      <w:jc w:val="cent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7CCCAF8A" wp14:editId="01D65A66">
          <wp:simplePos x="0" y="0"/>
          <wp:positionH relativeFrom="page">
            <wp:align>right</wp:align>
          </wp:positionH>
          <wp:positionV relativeFrom="paragraph">
            <wp:posOffset>-401247</wp:posOffset>
          </wp:positionV>
          <wp:extent cx="7750098" cy="1248555"/>
          <wp:effectExtent l="0" t="0" r="3810" b="8890"/>
          <wp:wrapNone/>
          <wp:docPr id="1" name="Imagen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78187" w14:textId="77777777" w:rsidR="00822B75" w:rsidRDefault="00822B75" w:rsidP="00AA0519">
      <w:r>
        <w:separator/>
      </w:r>
    </w:p>
  </w:footnote>
  <w:footnote w:type="continuationSeparator" w:id="0">
    <w:p w14:paraId="5F69C8BA" w14:textId="77777777" w:rsidR="00822B75" w:rsidRDefault="00822B75" w:rsidP="00AA0519">
      <w:r>
        <w:continuationSeparator/>
      </w:r>
    </w:p>
  </w:footnote>
  <w:footnote w:type="continuationNotice" w:id="1">
    <w:p w14:paraId="4107F450" w14:textId="77777777" w:rsidR="00822B75" w:rsidRDefault="00822B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8324" w14:textId="445631C7" w:rsidR="003F2F4B" w:rsidRPr="00C9169C" w:rsidRDefault="008B0943" w:rsidP="002E0B21">
    <w:pPr>
      <w:pStyle w:val="Destinario"/>
      <w:spacing w:before="240"/>
      <w:rPr>
        <w:sz w:val="22"/>
        <w:szCs w:val="22"/>
        <w:lang w:val="es-ES"/>
      </w:rPr>
    </w:pPr>
    <w:r w:rsidRPr="00C9169C">
      <w:rPr>
        <w:rStyle w:val="DestinatariosegundapginaCar"/>
        <w:noProof/>
        <w:sz w:val="20"/>
        <w:szCs w:val="20"/>
      </w:rPr>
      <w:drawing>
        <wp:anchor distT="0" distB="0" distL="114300" distR="114300" simplePos="0" relativeHeight="251658241" behindDoc="1" locked="0" layoutInCell="1" allowOverlap="1" wp14:anchorId="012A5AF7" wp14:editId="739D8723">
          <wp:simplePos x="0" y="0"/>
          <wp:positionH relativeFrom="column">
            <wp:posOffset>-366849</wp:posOffset>
          </wp:positionH>
          <wp:positionV relativeFrom="paragraph">
            <wp:posOffset>-661942</wp:posOffset>
          </wp:positionV>
          <wp:extent cx="1104900" cy="618490"/>
          <wp:effectExtent l="0" t="0" r="0" b="0"/>
          <wp:wrapNone/>
          <wp:docPr id="30" name="Imagen 3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n 3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C63DE" w14:textId="304C0F04" w:rsidR="00F82573" w:rsidRDefault="008622F2" w:rsidP="008622F2">
    <w:pPr>
      <w:pStyle w:val="Encabezado"/>
      <w:tabs>
        <w:tab w:val="clear" w:pos="4419"/>
        <w:tab w:val="left" w:pos="7274"/>
      </w:tabs>
      <w:ind w:right="-1369"/>
      <w:jc w:val="both"/>
    </w:pPr>
    <w:r>
      <w:rPr>
        <w:noProof/>
      </w:rPr>
      <w:drawing>
        <wp:anchor distT="0" distB="0" distL="114300" distR="114300" simplePos="0" relativeHeight="251658244" behindDoc="1" locked="0" layoutInCell="1" allowOverlap="1" wp14:anchorId="51615789" wp14:editId="6A377C77">
          <wp:simplePos x="0" y="0"/>
          <wp:positionH relativeFrom="column">
            <wp:posOffset>3276600</wp:posOffset>
          </wp:positionH>
          <wp:positionV relativeFrom="paragraph">
            <wp:posOffset>-419735</wp:posOffset>
          </wp:positionV>
          <wp:extent cx="3346234" cy="527857"/>
          <wp:effectExtent l="0" t="0" r="6985" b="5715"/>
          <wp:wrapNone/>
          <wp:docPr id="4" name="Imagen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6234" cy="527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2C51612" wp14:editId="227128D0">
          <wp:simplePos x="0" y="0"/>
          <wp:positionH relativeFrom="column">
            <wp:posOffset>-471805</wp:posOffset>
          </wp:positionH>
          <wp:positionV relativeFrom="paragraph">
            <wp:posOffset>-527685</wp:posOffset>
          </wp:positionV>
          <wp:extent cx="1104900" cy="618490"/>
          <wp:effectExtent l="0" t="0" r="0" b="0"/>
          <wp:wrapNone/>
          <wp:docPr id="33" name="Imagen 3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D3FCD"/>
    <w:multiLevelType w:val="hybridMultilevel"/>
    <w:tmpl w:val="2E9C904C"/>
    <w:lvl w:ilvl="0" w:tplc="11EA9C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82BF2"/>
    <w:multiLevelType w:val="hybridMultilevel"/>
    <w:tmpl w:val="46440D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14CB5"/>
    <w:multiLevelType w:val="hybridMultilevel"/>
    <w:tmpl w:val="EE26B080"/>
    <w:lvl w:ilvl="0" w:tplc="B1429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EE5FB4"/>
    <w:multiLevelType w:val="hybridMultilevel"/>
    <w:tmpl w:val="3BDA8C22"/>
    <w:lvl w:ilvl="0" w:tplc="B1429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198491">
    <w:abstractNumId w:val="1"/>
  </w:num>
  <w:num w:numId="2" w16cid:durableId="1944025544">
    <w:abstractNumId w:val="2"/>
  </w:num>
  <w:num w:numId="3" w16cid:durableId="1221864057">
    <w:abstractNumId w:val="3"/>
  </w:num>
  <w:num w:numId="4" w16cid:durableId="1096442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0080A"/>
    <w:rsid w:val="00002F9E"/>
    <w:rsid w:val="00004C45"/>
    <w:rsid w:val="00005BE9"/>
    <w:rsid w:val="00011EC2"/>
    <w:rsid w:val="0001281F"/>
    <w:rsid w:val="0002244C"/>
    <w:rsid w:val="0004025C"/>
    <w:rsid w:val="00043891"/>
    <w:rsid w:val="00045A7F"/>
    <w:rsid w:val="00046BDF"/>
    <w:rsid w:val="00053206"/>
    <w:rsid w:val="00060AD6"/>
    <w:rsid w:val="00060CBB"/>
    <w:rsid w:val="00060CC4"/>
    <w:rsid w:val="000626A9"/>
    <w:rsid w:val="0006325B"/>
    <w:rsid w:val="00063856"/>
    <w:rsid w:val="00071BA7"/>
    <w:rsid w:val="00074D17"/>
    <w:rsid w:val="00080736"/>
    <w:rsid w:val="0008168D"/>
    <w:rsid w:val="00082470"/>
    <w:rsid w:val="000849B5"/>
    <w:rsid w:val="00087D5C"/>
    <w:rsid w:val="00091ACC"/>
    <w:rsid w:val="000A66D0"/>
    <w:rsid w:val="000B1623"/>
    <w:rsid w:val="000B439A"/>
    <w:rsid w:val="000C3B47"/>
    <w:rsid w:val="000C626F"/>
    <w:rsid w:val="000F0227"/>
    <w:rsid w:val="000F11F6"/>
    <w:rsid w:val="000F1BFA"/>
    <w:rsid w:val="000F38B4"/>
    <w:rsid w:val="001019AE"/>
    <w:rsid w:val="00102EC3"/>
    <w:rsid w:val="00110F53"/>
    <w:rsid w:val="001215BB"/>
    <w:rsid w:val="00121DAE"/>
    <w:rsid w:val="00123CC7"/>
    <w:rsid w:val="00124C31"/>
    <w:rsid w:val="00127FEA"/>
    <w:rsid w:val="00137991"/>
    <w:rsid w:val="0014353D"/>
    <w:rsid w:val="00153BE7"/>
    <w:rsid w:val="001573D9"/>
    <w:rsid w:val="00157A19"/>
    <w:rsid w:val="0016467A"/>
    <w:rsid w:val="0017389A"/>
    <w:rsid w:val="00174212"/>
    <w:rsid w:val="00180792"/>
    <w:rsid w:val="001857D8"/>
    <w:rsid w:val="00194797"/>
    <w:rsid w:val="001B03B6"/>
    <w:rsid w:val="001B134D"/>
    <w:rsid w:val="001C3EC4"/>
    <w:rsid w:val="001D12DF"/>
    <w:rsid w:val="001D3064"/>
    <w:rsid w:val="001D3145"/>
    <w:rsid w:val="001E2DD2"/>
    <w:rsid w:val="001E4179"/>
    <w:rsid w:val="001F0130"/>
    <w:rsid w:val="001F303A"/>
    <w:rsid w:val="001F47AB"/>
    <w:rsid w:val="0020116C"/>
    <w:rsid w:val="00201D41"/>
    <w:rsid w:val="002147A0"/>
    <w:rsid w:val="00223AB9"/>
    <w:rsid w:val="002273CB"/>
    <w:rsid w:val="002302DC"/>
    <w:rsid w:val="0024085D"/>
    <w:rsid w:val="00242A5A"/>
    <w:rsid w:val="002647D6"/>
    <w:rsid w:val="00270D74"/>
    <w:rsid w:val="0027152F"/>
    <w:rsid w:val="00275C77"/>
    <w:rsid w:val="00277440"/>
    <w:rsid w:val="002945FA"/>
    <w:rsid w:val="002A2AF1"/>
    <w:rsid w:val="002A3070"/>
    <w:rsid w:val="002A4B2F"/>
    <w:rsid w:val="002B341D"/>
    <w:rsid w:val="002B7231"/>
    <w:rsid w:val="002C26C3"/>
    <w:rsid w:val="002C4D4F"/>
    <w:rsid w:val="002C7284"/>
    <w:rsid w:val="002C7D5C"/>
    <w:rsid w:val="002D2144"/>
    <w:rsid w:val="002E0B21"/>
    <w:rsid w:val="002F440B"/>
    <w:rsid w:val="002F7974"/>
    <w:rsid w:val="003060E4"/>
    <w:rsid w:val="003106B7"/>
    <w:rsid w:val="003116F3"/>
    <w:rsid w:val="0031372E"/>
    <w:rsid w:val="0031447C"/>
    <w:rsid w:val="00316A01"/>
    <w:rsid w:val="00317D0E"/>
    <w:rsid w:val="00324760"/>
    <w:rsid w:val="003269A3"/>
    <w:rsid w:val="00327B2C"/>
    <w:rsid w:val="00327B59"/>
    <w:rsid w:val="00331D17"/>
    <w:rsid w:val="00337663"/>
    <w:rsid w:val="003514BC"/>
    <w:rsid w:val="00353D1D"/>
    <w:rsid w:val="00354BBC"/>
    <w:rsid w:val="0035623D"/>
    <w:rsid w:val="00361DFF"/>
    <w:rsid w:val="0036515D"/>
    <w:rsid w:val="00365889"/>
    <w:rsid w:val="00374514"/>
    <w:rsid w:val="0038014E"/>
    <w:rsid w:val="00387BFA"/>
    <w:rsid w:val="003923BE"/>
    <w:rsid w:val="003976B6"/>
    <w:rsid w:val="003A1C0D"/>
    <w:rsid w:val="003A7FC9"/>
    <w:rsid w:val="003B1FEC"/>
    <w:rsid w:val="003B3544"/>
    <w:rsid w:val="003B57E4"/>
    <w:rsid w:val="003C1E8E"/>
    <w:rsid w:val="003C5844"/>
    <w:rsid w:val="003C7E1C"/>
    <w:rsid w:val="003E01AB"/>
    <w:rsid w:val="003F2F4B"/>
    <w:rsid w:val="003F5358"/>
    <w:rsid w:val="00402539"/>
    <w:rsid w:val="00402AC6"/>
    <w:rsid w:val="00405249"/>
    <w:rsid w:val="004170AF"/>
    <w:rsid w:val="004204C6"/>
    <w:rsid w:val="004323B3"/>
    <w:rsid w:val="00433B00"/>
    <w:rsid w:val="0045064D"/>
    <w:rsid w:val="004524EB"/>
    <w:rsid w:val="00456720"/>
    <w:rsid w:val="00457CC2"/>
    <w:rsid w:val="00462012"/>
    <w:rsid w:val="00463831"/>
    <w:rsid w:val="00471141"/>
    <w:rsid w:val="004737D9"/>
    <w:rsid w:val="00475840"/>
    <w:rsid w:val="004774B8"/>
    <w:rsid w:val="00477A2A"/>
    <w:rsid w:val="00483D6B"/>
    <w:rsid w:val="00487754"/>
    <w:rsid w:val="004963BD"/>
    <w:rsid w:val="004A077E"/>
    <w:rsid w:val="004A5A88"/>
    <w:rsid w:val="004A6CAB"/>
    <w:rsid w:val="004B5211"/>
    <w:rsid w:val="004C0855"/>
    <w:rsid w:val="004C69B7"/>
    <w:rsid w:val="004C6A03"/>
    <w:rsid w:val="004E64C5"/>
    <w:rsid w:val="004F23D6"/>
    <w:rsid w:val="004F5F6D"/>
    <w:rsid w:val="005031B8"/>
    <w:rsid w:val="00506D02"/>
    <w:rsid w:val="00511044"/>
    <w:rsid w:val="005154E7"/>
    <w:rsid w:val="00515BEF"/>
    <w:rsid w:val="0052203C"/>
    <w:rsid w:val="005313B5"/>
    <w:rsid w:val="005663FE"/>
    <w:rsid w:val="00566D4E"/>
    <w:rsid w:val="005723D7"/>
    <w:rsid w:val="00587F12"/>
    <w:rsid w:val="00591394"/>
    <w:rsid w:val="00595F3A"/>
    <w:rsid w:val="005A400D"/>
    <w:rsid w:val="005A4453"/>
    <w:rsid w:val="005B4F83"/>
    <w:rsid w:val="005B53D9"/>
    <w:rsid w:val="005B5736"/>
    <w:rsid w:val="005B674F"/>
    <w:rsid w:val="005B6AE1"/>
    <w:rsid w:val="005C18DF"/>
    <w:rsid w:val="005C287A"/>
    <w:rsid w:val="005C42EC"/>
    <w:rsid w:val="005C4D3B"/>
    <w:rsid w:val="005D7D66"/>
    <w:rsid w:val="005E366C"/>
    <w:rsid w:val="005F15A8"/>
    <w:rsid w:val="005F670C"/>
    <w:rsid w:val="005F6877"/>
    <w:rsid w:val="005F7B53"/>
    <w:rsid w:val="00602072"/>
    <w:rsid w:val="0060443C"/>
    <w:rsid w:val="00611DF0"/>
    <w:rsid w:val="00611F77"/>
    <w:rsid w:val="00624B69"/>
    <w:rsid w:val="00626C4A"/>
    <w:rsid w:val="00631DB6"/>
    <w:rsid w:val="006328E6"/>
    <w:rsid w:val="0064307E"/>
    <w:rsid w:val="00651863"/>
    <w:rsid w:val="00662539"/>
    <w:rsid w:val="006629AD"/>
    <w:rsid w:val="006713CA"/>
    <w:rsid w:val="0067213E"/>
    <w:rsid w:val="00675C96"/>
    <w:rsid w:val="00681ED2"/>
    <w:rsid w:val="006922E6"/>
    <w:rsid w:val="00696252"/>
    <w:rsid w:val="006A4BBC"/>
    <w:rsid w:val="006A68C7"/>
    <w:rsid w:val="006C6A2B"/>
    <w:rsid w:val="006C740D"/>
    <w:rsid w:val="006D0278"/>
    <w:rsid w:val="006D2C06"/>
    <w:rsid w:val="006E386A"/>
    <w:rsid w:val="006E7CD3"/>
    <w:rsid w:val="006F6650"/>
    <w:rsid w:val="006F76F8"/>
    <w:rsid w:val="0070319F"/>
    <w:rsid w:val="0070716E"/>
    <w:rsid w:val="00707DD2"/>
    <w:rsid w:val="00710981"/>
    <w:rsid w:val="00717096"/>
    <w:rsid w:val="007223B5"/>
    <w:rsid w:val="00735E1F"/>
    <w:rsid w:val="0074199A"/>
    <w:rsid w:val="007427AF"/>
    <w:rsid w:val="007434B6"/>
    <w:rsid w:val="007436ED"/>
    <w:rsid w:val="00752DEC"/>
    <w:rsid w:val="007619F8"/>
    <w:rsid w:val="00762CBD"/>
    <w:rsid w:val="007653FD"/>
    <w:rsid w:val="0076765C"/>
    <w:rsid w:val="00767A63"/>
    <w:rsid w:val="00771FCE"/>
    <w:rsid w:val="00781B91"/>
    <w:rsid w:val="007854A3"/>
    <w:rsid w:val="0078631A"/>
    <w:rsid w:val="00793A25"/>
    <w:rsid w:val="007A7C1D"/>
    <w:rsid w:val="007B25F4"/>
    <w:rsid w:val="007B4171"/>
    <w:rsid w:val="007C7037"/>
    <w:rsid w:val="007D4DF9"/>
    <w:rsid w:val="007D718A"/>
    <w:rsid w:val="007E292C"/>
    <w:rsid w:val="007E3FF7"/>
    <w:rsid w:val="007E7165"/>
    <w:rsid w:val="007F1321"/>
    <w:rsid w:val="007F1D13"/>
    <w:rsid w:val="007F42E3"/>
    <w:rsid w:val="007F4E31"/>
    <w:rsid w:val="00807E96"/>
    <w:rsid w:val="00817179"/>
    <w:rsid w:val="00820D4A"/>
    <w:rsid w:val="00822B75"/>
    <w:rsid w:val="00823401"/>
    <w:rsid w:val="0082725B"/>
    <w:rsid w:val="00830B93"/>
    <w:rsid w:val="00830ED7"/>
    <w:rsid w:val="00840192"/>
    <w:rsid w:val="00840DFC"/>
    <w:rsid w:val="00847FE4"/>
    <w:rsid w:val="00851F86"/>
    <w:rsid w:val="008622F2"/>
    <w:rsid w:val="00866957"/>
    <w:rsid w:val="00866EB5"/>
    <w:rsid w:val="00875AA3"/>
    <w:rsid w:val="008776E3"/>
    <w:rsid w:val="00884D22"/>
    <w:rsid w:val="008B0943"/>
    <w:rsid w:val="008B5FCD"/>
    <w:rsid w:val="008B64C6"/>
    <w:rsid w:val="008C5BF5"/>
    <w:rsid w:val="008C6E4E"/>
    <w:rsid w:val="008D2801"/>
    <w:rsid w:val="008E191D"/>
    <w:rsid w:val="008E24E2"/>
    <w:rsid w:val="008E6288"/>
    <w:rsid w:val="008E6DBB"/>
    <w:rsid w:val="00920858"/>
    <w:rsid w:val="00921E06"/>
    <w:rsid w:val="00930F73"/>
    <w:rsid w:val="00935F9F"/>
    <w:rsid w:val="00945F49"/>
    <w:rsid w:val="00951EAD"/>
    <w:rsid w:val="00952B9A"/>
    <w:rsid w:val="00953B40"/>
    <w:rsid w:val="00955CB8"/>
    <w:rsid w:val="00957BE3"/>
    <w:rsid w:val="0096122C"/>
    <w:rsid w:val="00964109"/>
    <w:rsid w:val="00965805"/>
    <w:rsid w:val="00976702"/>
    <w:rsid w:val="009818F7"/>
    <w:rsid w:val="00983534"/>
    <w:rsid w:val="00985FF3"/>
    <w:rsid w:val="009A3312"/>
    <w:rsid w:val="009A6CC5"/>
    <w:rsid w:val="009B2ABB"/>
    <w:rsid w:val="009B5752"/>
    <w:rsid w:val="009D665E"/>
    <w:rsid w:val="009E2D49"/>
    <w:rsid w:val="009E6AAB"/>
    <w:rsid w:val="009E7865"/>
    <w:rsid w:val="009F302D"/>
    <w:rsid w:val="009F3478"/>
    <w:rsid w:val="009F5428"/>
    <w:rsid w:val="00A01002"/>
    <w:rsid w:val="00A10F8C"/>
    <w:rsid w:val="00A15CDD"/>
    <w:rsid w:val="00A15D51"/>
    <w:rsid w:val="00A15D55"/>
    <w:rsid w:val="00A2676F"/>
    <w:rsid w:val="00A33CFC"/>
    <w:rsid w:val="00A43C3E"/>
    <w:rsid w:val="00A46716"/>
    <w:rsid w:val="00A47B7F"/>
    <w:rsid w:val="00A61018"/>
    <w:rsid w:val="00A61B06"/>
    <w:rsid w:val="00A6743F"/>
    <w:rsid w:val="00A67D65"/>
    <w:rsid w:val="00A72850"/>
    <w:rsid w:val="00A75518"/>
    <w:rsid w:val="00A83780"/>
    <w:rsid w:val="00A83E15"/>
    <w:rsid w:val="00A84924"/>
    <w:rsid w:val="00A876FC"/>
    <w:rsid w:val="00A87C5D"/>
    <w:rsid w:val="00A90A86"/>
    <w:rsid w:val="00A92B44"/>
    <w:rsid w:val="00AA0519"/>
    <w:rsid w:val="00AA3A21"/>
    <w:rsid w:val="00AA7A5F"/>
    <w:rsid w:val="00AC01D4"/>
    <w:rsid w:val="00AC23D0"/>
    <w:rsid w:val="00AD3723"/>
    <w:rsid w:val="00AF5D39"/>
    <w:rsid w:val="00B10B6C"/>
    <w:rsid w:val="00B14080"/>
    <w:rsid w:val="00B14AE9"/>
    <w:rsid w:val="00B179C5"/>
    <w:rsid w:val="00B20658"/>
    <w:rsid w:val="00B35E2E"/>
    <w:rsid w:val="00B47D68"/>
    <w:rsid w:val="00B50EDE"/>
    <w:rsid w:val="00B532EB"/>
    <w:rsid w:val="00B55EC1"/>
    <w:rsid w:val="00B74C8C"/>
    <w:rsid w:val="00B74DFE"/>
    <w:rsid w:val="00B768BC"/>
    <w:rsid w:val="00B82814"/>
    <w:rsid w:val="00B84933"/>
    <w:rsid w:val="00B86AA8"/>
    <w:rsid w:val="00B961F7"/>
    <w:rsid w:val="00BA252A"/>
    <w:rsid w:val="00BA56E2"/>
    <w:rsid w:val="00BC03F7"/>
    <w:rsid w:val="00BD021F"/>
    <w:rsid w:val="00BD1584"/>
    <w:rsid w:val="00BD438A"/>
    <w:rsid w:val="00BD7625"/>
    <w:rsid w:val="00BF2331"/>
    <w:rsid w:val="00C024D7"/>
    <w:rsid w:val="00C2348E"/>
    <w:rsid w:val="00C32181"/>
    <w:rsid w:val="00C3302D"/>
    <w:rsid w:val="00C330AC"/>
    <w:rsid w:val="00C339B2"/>
    <w:rsid w:val="00C354FC"/>
    <w:rsid w:val="00C41EE0"/>
    <w:rsid w:val="00C4439A"/>
    <w:rsid w:val="00C51BCA"/>
    <w:rsid w:val="00C6145C"/>
    <w:rsid w:val="00C712DF"/>
    <w:rsid w:val="00C75549"/>
    <w:rsid w:val="00C81AE5"/>
    <w:rsid w:val="00C81E1F"/>
    <w:rsid w:val="00C82382"/>
    <w:rsid w:val="00C82A04"/>
    <w:rsid w:val="00C87CC1"/>
    <w:rsid w:val="00C9169C"/>
    <w:rsid w:val="00C95E87"/>
    <w:rsid w:val="00CA29DB"/>
    <w:rsid w:val="00CA36E9"/>
    <w:rsid w:val="00CB3588"/>
    <w:rsid w:val="00CB3666"/>
    <w:rsid w:val="00CB5D3D"/>
    <w:rsid w:val="00CC2A52"/>
    <w:rsid w:val="00CD6394"/>
    <w:rsid w:val="00CE66F4"/>
    <w:rsid w:val="00CF0DCB"/>
    <w:rsid w:val="00D014FA"/>
    <w:rsid w:val="00D0150C"/>
    <w:rsid w:val="00D22084"/>
    <w:rsid w:val="00D26233"/>
    <w:rsid w:val="00D27ADD"/>
    <w:rsid w:val="00D45002"/>
    <w:rsid w:val="00D4766E"/>
    <w:rsid w:val="00D47B87"/>
    <w:rsid w:val="00D568E7"/>
    <w:rsid w:val="00D6219A"/>
    <w:rsid w:val="00D666BB"/>
    <w:rsid w:val="00D6681D"/>
    <w:rsid w:val="00D71F69"/>
    <w:rsid w:val="00D73EB6"/>
    <w:rsid w:val="00D7490C"/>
    <w:rsid w:val="00D754A1"/>
    <w:rsid w:val="00D76C05"/>
    <w:rsid w:val="00D83B7A"/>
    <w:rsid w:val="00D915DC"/>
    <w:rsid w:val="00D93A1A"/>
    <w:rsid w:val="00D97C0D"/>
    <w:rsid w:val="00DA3385"/>
    <w:rsid w:val="00DA63C8"/>
    <w:rsid w:val="00DA741F"/>
    <w:rsid w:val="00DB559B"/>
    <w:rsid w:val="00DD5055"/>
    <w:rsid w:val="00DD54FB"/>
    <w:rsid w:val="00DE32E6"/>
    <w:rsid w:val="00DE381D"/>
    <w:rsid w:val="00DE72E5"/>
    <w:rsid w:val="00DE7969"/>
    <w:rsid w:val="00DF1239"/>
    <w:rsid w:val="00DF1FA9"/>
    <w:rsid w:val="00DF47FC"/>
    <w:rsid w:val="00DF79E2"/>
    <w:rsid w:val="00E00364"/>
    <w:rsid w:val="00E035CC"/>
    <w:rsid w:val="00E03FC0"/>
    <w:rsid w:val="00E062E9"/>
    <w:rsid w:val="00E241D4"/>
    <w:rsid w:val="00E30CF9"/>
    <w:rsid w:val="00E32FD6"/>
    <w:rsid w:val="00E41C55"/>
    <w:rsid w:val="00E56853"/>
    <w:rsid w:val="00E607F4"/>
    <w:rsid w:val="00E66726"/>
    <w:rsid w:val="00E77923"/>
    <w:rsid w:val="00E8177B"/>
    <w:rsid w:val="00E83817"/>
    <w:rsid w:val="00E87D6C"/>
    <w:rsid w:val="00E91BB2"/>
    <w:rsid w:val="00E96665"/>
    <w:rsid w:val="00EA1A7B"/>
    <w:rsid w:val="00EA4F63"/>
    <w:rsid w:val="00EA6EBF"/>
    <w:rsid w:val="00EB3DC1"/>
    <w:rsid w:val="00EB5047"/>
    <w:rsid w:val="00EC0A2B"/>
    <w:rsid w:val="00EC11C1"/>
    <w:rsid w:val="00EC5291"/>
    <w:rsid w:val="00ED012B"/>
    <w:rsid w:val="00ED61F0"/>
    <w:rsid w:val="00EE500B"/>
    <w:rsid w:val="00EF04C4"/>
    <w:rsid w:val="00EF1DF2"/>
    <w:rsid w:val="00EF7F58"/>
    <w:rsid w:val="00F01210"/>
    <w:rsid w:val="00F02D43"/>
    <w:rsid w:val="00F02DC7"/>
    <w:rsid w:val="00F13D47"/>
    <w:rsid w:val="00F22CBF"/>
    <w:rsid w:val="00F23CDC"/>
    <w:rsid w:val="00F32F00"/>
    <w:rsid w:val="00F33BF5"/>
    <w:rsid w:val="00F35EFC"/>
    <w:rsid w:val="00F36C2A"/>
    <w:rsid w:val="00F44686"/>
    <w:rsid w:val="00F50E5D"/>
    <w:rsid w:val="00F60124"/>
    <w:rsid w:val="00F6502A"/>
    <w:rsid w:val="00F67B0A"/>
    <w:rsid w:val="00F80B1D"/>
    <w:rsid w:val="00F82573"/>
    <w:rsid w:val="00F8792A"/>
    <w:rsid w:val="00F9333F"/>
    <w:rsid w:val="00FA0CDB"/>
    <w:rsid w:val="00FA15BA"/>
    <w:rsid w:val="00FA6661"/>
    <w:rsid w:val="00FB0C79"/>
    <w:rsid w:val="00FC0727"/>
    <w:rsid w:val="00FC339A"/>
    <w:rsid w:val="00FC759B"/>
    <w:rsid w:val="00FD2A8B"/>
    <w:rsid w:val="00FE1054"/>
    <w:rsid w:val="00FE351A"/>
    <w:rsid w:val="00FE7A6C"/>
    <w:rsid w:val="083A7F0E"/>
    <w:rsid w:val="13F86C00"/>
    <w:rsid w:val="1F1131FE"/>
    <w:rsid w:val="2BDC00CE"/>
    <w:rsid w:val="2C40F5EF"/>
    <w:rsid w:val="3184AFB2"/>
    <w:rsid w:val="45ED78E0"/>
    <w:rsid w:val="537A99E0"/>
    <w:rsid w:val="57AA85B3"/>
    <w:rsid w:val="6537D4BF"/>
    <w:rsid w:val="6F8E1A81"/>
    <w:rsid w:val="75F98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131FE"/>
  <w15:chartTrackingRefBased/>
  <w15:docId w15:val="{DB16FE3E-12C3-4968-87E3-40585F9DA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DF9"/>
    <w:pPr>
      <w:spacing w:line="240" w:lineRule="auto"/>
    </w:pPr>
    <w:rPr>
      <w:rFonts w:ascii="Times New Roman" w:eastAsia="Times New Roman" w:hAnsi="Times New Roman" w:cs="Times New Roman"/>
      <w:lang w:eastAsia="es-CO"/>
    </w:rPr>
  </w:style>
  <w:style w:type="paragraph" w:styleId="Ttulo2">
    <w:name w:val="heading 2"/>
    <w:basedOn w:val="Normal"/>
    <w:next w:val="Normal"/>
    <w:link w:val="Ttulo2Car"/>
    <w:uiPriority w:val="9"/>
    <w:unhideWhenUsed/>
    <w:rsid w:val="005A4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5A44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E381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hAnsi="Arial"/>
      <w:spacing w:val="-5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57B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BE3"/>
  </w:style>
  <w:style w:type="paragraph" w:styleId="Textodeglobo">
    <w:name w:val="Balloon Text"/>
    <w:basedOn w:val="Normal"/>
    <w:link w:val="TextodegloboCar"/>
    <w:uiPriority w:val="99"/>
    <w:semiHidden/>
    <w:unhideWhenUsed/>
    <w:rsid w:val="00457C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CC2"/>
    <w:rPr>
      <w:rFonts w:ascii="Segoe UI" w:eastAsiaTheme="minorEastAsia" w:hAnsi="Segoe UI" w:cs="Segoe UI"/>
      <w:sz w:val="18"/>
      <w:szCs w:val="18"/>
      <w:lang w:val="es-ES_tradnl"/>
    </w:rPr>
  </w:style>
  <w:style w:type="paragraph" w:customStyle="1" w:styleId="Ciudad">
    <w:name w:val="Ciudad"/>
    <w:basedOn w:val="Normal"/>
    <w:qFormat/>
    <w:rsid w:val="007F4E31"/>
    <w:pPr>
      <w:spacing w:before="240" w:after="360"/>
    </w:pPr>
  </w:style>
  <w:style w:type="paragraph" w:customStyle="1" w:styleId="Asunto">
    <w:name w:val="Asunto"/>
    <w:basedOn w:val="Normal"/>
    <w:qFormat/>
    <w:rsid w:val="004C69B7"/>
    <w:pPr>
      <w:spacing w:before="360" w:after="360"/>
      <w:contextualSpacing/>
    </w:pPr>
  </w:style>
  <w:style w:type="paragraph" w:customStyle="1" w:styleId="Informacindestinatario">
    <w:name w:val="Información destinatario"/>
    <w:basedOn w:val="Normal"/>
    <w:rsid w:val="004C69B7"/>
  </w:style>
  <w:style w:type="paragraph" w:customStyle="1" w:styleId="Expediente">
    <w:name w:val="Expediente"/>
    <w:basedOn w:val="Asunto"/>
    <w:qFormat/>
    <w:rsid w:val="005F6877"/>
    <w:pPr>
      <w:spacing w:before="0"/>
    </w:pPr>
  </w:style>
  <w:style w:type="paragraph" w:customStyle="1" w:styleId="Destinario">
    <w:name w:val="Destinario"/>
    <w:basedOn w:val="Normal"/>
    <w:link w:val="DestinarioCar"/>
    <w:qFormat/>
    <w:rsid w:val="00A84924"/>
    <w:pPr>
      <w:contextualSpacing/>
    </w:pPr>
  </w:style>
  <w:style w:type="paragraph" w:customStyle="1" w:styleId="Cordialmente">
    <w:name w:val="Cordialmente"/>
    <w:basedOn w:val="Normal"/>
    <w:qFormat/>
    <w:rsid w:val="005F6877"/>
    <w:pPr>
      <w:spacing w:after="480"/>
    </w:pPr>
  </w:style>
  <w:style w:type="paragraph" w:customStyle="1" w:styleId="Director">
    <w:name w:val="Director"/>
    <w:basedOn w:val="Normal"/>
    <w:qFormat/>
    <w:rsid w:val="00FC759B"/>
    <w:pPr>
      <w:spacing w:after="360"/>
      <w:contextualSpacing/>
    </w:pPr>
  </w:style>
  <w:style w:type="character" w:styleId="Referenciasutil">
    <w:name w:val="Subtle Reference"/>
    <w:basedOn w:val="Fuentedeprrafopredeter"/>
    <w:uiPriority w:val="31"/>
    <w:rsid w:val="005A4453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rsid w:val="005A445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4453"/>
    <w:rPr>
      <w:i/>
      <w:iCs/>
      <w:color w:val="5B9BD5" w:themeColor="accent1"/>
    </w:rPr>
  </w:style>
  <w:style w:type="character" w:styleId="Textoennegrita">
    <w:name w:val="Strong"/>
    <w:basedOn w:val="Fuentedeprrafopredeter"/>
    <w:uiPriority w:val="22"/>
    <w:rsid w:val="005A4453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5A44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A445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Destinatariosegundapgina">
    <w:name w:val="Destinatario segunda página"/>
    <w:basedOn w:val="Destinario"/>
    <w:link w:val="DestinatariosegundapginaCar"/>
    <w:autoRedefine/>
    <w:qFormat/>
    <w:rsid w:val="008B0943"/>
    <w:pPr>
      <w:spacing w:before="840" w:line="480" w:lineRule="auto"/>
    </w:pPr>
  </w:style>
  <w:style w:type="character" w:customStyle="1" w:styleId="DestinarioCar">
    <w:name w:val="Destinario Car"/>
    <w:basedOn w:val="Fuentedeprrafopredeter"/>
    <w:link w:val="Destinario"/>
    <w:rsid w:val="00EC5291"/>
  </w:style>
  <w:style w:type="character" w:customStyle="1" w:styleId="DestinatariosegundapginaCar">
    <w:name w:val="Destinatario segunda página Car"/>
    <w:basedOn w:val="DestinarioCar"/>
    <w:link w:val="Destinatariosegundapgina"/>
    <w:rsid w:val="008B0943"/>
  </w:style>
  <w:style w:type="character" w:customStyle="1" w:styleId="Ttulo5Car">
    <w:name w:val="Título 5 Car"/>
    <w:basedOn w:val="Fuentedeprrafopredeter"/>
    <w:link w:val="Ttulo5"/>
    <w:uiPriority w:val="9"/>
    <w:semiHidden/>
    <w:rsid w:val="00DE381D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E381D"/>
    <w:pPr>
      <w:ind w:left="283"/>
    </w:pPr>
    <w:rPr>
      <w:rFonts w:eastAsiaTheme="minorEastAsia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E381D"/>
    <w:rPr>
      <w:rFonts w:eastAsiaTheme="minorEastAsia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6765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6765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6765C"/>
    <w:rPr>
      <w:vertAlign w:val="superscript"/>
    </w:rPr>
  </w:style>
  <w:style w:type="paragraph" w:styleId="Prrafodelista">
    <w:name w:val="List Paragraph"/>
    <w:basedOn w:val="Normal"/>
    <w:uiPriority w:val="34"/>
    <w:rsid w:val="00110F5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C18D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C18DF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E062E9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882A4-6231-4B7C-BFEB-BCBED7A75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1260</Words>
  <Characters>6930</Characters>
  <Application>Microsoft Office Word</Application>
  <DocSecurity>0</DocSecurity>
  <Lines>57</Lines>
  <Paragraphs>16</Paragraphs>
  <ScaleCrop>false</ScaleCrop>
  <Company/>
  <LinksUpToDate>false</LinksUpToDate>
  <CharactersWithSpaces>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Cruz</dc:creator>
  <cp:keywords>PLANTILLA CARTA CREG</cp:keywords>
  <dc:description/>
  <cp:lastModifiedBy>Luz Stella Rojas Macias</cp:lastModifiedBy>
  <cp:revision>3</cp:revision>
  <cp:lastPrinted>2019-03-28T17:24:00Z</cp:lastPrinted>
  <dcterms:created xsi:type="dcterms:W3CDTF">2022-10-14T20:17:00Z</dcterms:created>
  <dcterms:modified xsi:type="dcterms:W3CDTF">2022-10-14T20:17:00Z</dcterms:modified>
</cp:coreProperties>
</file>