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6B4B" w14:textId="1E0CF9F9" w:rsidR="007E08A5" w:rsidRPr="0017084B" w:rsidRDefault="007E08A5" w:rsidP="007E08A5">
      <w:pPr>
        <w:ind w:right="-285"/>
        <w:rPr>
          <w:rFonts w:ascii="Arial" w:hAnsi="Arial" w:cs="Arial"/>
          <w:szCs w:val="22"/>
        </w:rPr>
      </w:pPr>
      <w:r w:rsidRPr="0017084B">
        <w:rPr>
          <w:rFonts w:ascii="Arial" w:hAnsi="Arial" w:cs="Arial"/>
          <w:szCs w:val="22"/>
        </w:rPr>
        <w:t xml:space="preserve">Bogotá, D.C., </w:t>
      </w:r>
      <w:r w:rsidR="00D83458">
        <w:rPr>
          <w:rFonts w:ascii="Arial" w:hAnsi="Arial" w:cs="Arial"/>
          <w:szCs w:val="22"/>
        </w:rPr>
        <w:t>15 de febrero de 2023</w:t>
      </w:r>
    </w:p>
    <w:p w14:paraId="098D52E3" w14:textId="098A7B58" w:rsidR="005C6A18" w:rsidRDefault="005C6A18"/>
    <w:p w14:paraId="5FC2C9D1" w14:textId="09D1A90E" w:rsidR="007E08A5" w:rsidRPr="0017084B" w:rsidRDefault="007E08A5" w:rsidP="007E08A5">
      <w:pPr>
        <w:autoSpaceDE w:val="0"/>
        <w:autoSpaceDN w:val="0"/>
        <w:adjustRightInd w:val="0"/>
        <w:spacing w:before="240" w:after="120"/>
        <w:ind w:right="-285"/>
        <w:jc w:val="center"/>
        <w:rPr>
          <w:rFonts w:ascii="Arial" w:eastAsia="SimSun" w:hAnsi="Arial" w:cs="Arial"/>
          <w:b/>
          <w:bCs/>
          <w:i/>
          <w:iCs/>
          <w:color w:val="000000"/>
          <w:sz w:val="40"/>
          <w:szCs w:val="37"/>
          <w:lang w:eastAsia="es-CO"/>
        </w:rPr>
      </w:pPr>
      <w:r w:rsidRPr="0017084B">
        <w:rPr>
          <w:rFonts w:ascii="Arial" w:eastAsia="SimSun" w:hAnsi="Arial" w:cs="Arial"/>
          <w:b/>
          <w:bCs/>
          <w:i/>
          <w:iCs/>
          <w:color w:val="000000"/>
          <w:sz w:val="40"/>
          <w:szCs w:val="37"/>
          <w:lang w:eastAsia="es-CO"/>
        </w:rPr>
        <w:t>CIRCULAR No.</w:t>
      </w:r>
      <w:r>
        <w:rPr>
          <w:rFonts w:ascii="Arial" w:eastAsia="SimSun" w:hAnsi="Arial" w:cs="Arial"/>
          <w:b/>
          <w:bCs/>
          <w:i/>
          <w:iCs/>
          <w:color w:val="000000"/>
          <w:sz w:val="40"/>
          <w:szCs w:val="37"/>
          <w:lang w:eastAsia="es-CO"/>
        </w:rPr>
        <w:t>0</w:t>
      </w:r>
      <w:r w:rsidR="00D83458">
        <w:rPr>
          <w:rFonts w:ascii="Arial" w:eastAsia="SimSun" w:hAnsi="Arial" w:cs="Arial"/>
          <w:b/>
          <w:bCs/>
          <w:i/>
          <w:iCs/>
          <w:color w:val="000000"/>
          <w:sz w:val="40"/>
          <w:szCs w:val="37"/>
          <w:lang w:eastAsia="es-CO"/>
        </w:rPr>
        <w:t>13</w:t>
      </w:r>
    </w:p>
    <w:p w14:paraId="4EC53928" w14:textId="77777777" w:rsidR="007E08A5" w:rsidRPr="0017084B" w:rsidRDefault="007E08A5" w:rsidP="007E08A5">
      <w:pPr>
        <w:autoSpaceDE w:val="0"/>
        <w:autoSpaceDN w:val="0"/>
        <w:adjustRightInd w:val="0"/>
        <w:ind w:right="-285"/>
        <w:rPr>
          <w:rFonts w:ascii="Arial" w:eastAsia="SimSun" w:hAnsi="Arial" w:cs="Arial"/>
          <w:b/>
          <w:bCs/>
          <w:i/>
          <w:iCs/>
          <w:color w:val="000000"/>
          <w:szCs w:val="22"/>
          <w:lang w:eastAsia="es-CO"/>
        </w:rPr>
      </w:pPr>
    </w:p>
    <w:p w14:paraId="7F2E9263" w14:textId="77777777" w:rsidR="007E08A5" w:rsidRDefault="007E08A5" w:rsidP="007E08A5">
      <w:pPr>
        <w:autoSpaceDE w:val="0"/>
        <w:autoSpaceDN w:val="0"/>
        <w:adjustRightInd w:val="0"/>
        <w:ind w:left="1418" w:right="-285" w:hanging="1418"/>
        <w:jc w:val="both"/>
        <w:rPr>
          <w:rFonts w:ascii="Arial" w:eastAsia="SimSun" w:hAnsi="Arial" w:cs="Arial"/>
          <w:color w:val="000000"/>
          <w:szCs w:val="22"/>
          <w:lang w:eastAsia="es-CO"/>
        </w:rPr>
      </w:pPr>
    </w:p>
    <w:p w14:paraId="38B2DE85" w14:textId="6E6DF536" w:rsidR="007E08A5" w:rsidRPr="00052AE2" w:rsidRDefault="007E08A5" w:rsidP="007E08A5">
      <w:pPr>
        <w:autoSpaceDE w:val="0"/>
        <w:autoSpaceDN w:val="0"/>
        <w:adjustRightInd w:val="0"/>
        <w:ind w:left="1418" w:right="-285" w:hanging="1418"/>
        <w:jc w:val="both"/>
        <w:rPr>
          <w:rFonts w:ascii="Arial" w:eastAsia="SimSun" w:hAnsi="Arial" w:cs="Arial"/>
          <w:b/>
          <w:color w:val="000000"/>
          <w:szCs w:val="22"/>
          <w:lang w:eastAsia="es-CO"/>
        </w:rPr>
      </w:pPr>
      <w:r w:rsidRPr="00052AE2">
        <w:rPr>
          <w:rFonts w:ascii="Arial" w:eastAsia="SimSun" w:hAnsi="Arial" w:cs="Arial"/>
          <w:b/>
          <w:color w:val="000000"/>
          <w:szCs w:val="22"/>
          <w:lang w:eastAsia="es-CO"/>
        </w:rPr>
        <w:t>PARA:</w:t>
      </w:r>
      <w:r w:rsidRPr="00052AE2">
        <w:rPr>
          <w:rFonts w:ascii="Arial" w:eastAsia="SimSun" w:hAnsi="Arial" w:cs="Arial"/>
          <w:b/>
          <w:color w:val="000000"/>
          <w:szCs w:val="22"/>
          <w:lang w:eastAsia="es-CO"/>
        </w:rPr>
        <w:tab/>
      </w:r>
      <w:r w:rsidRPr="007E08A5">
        <w:rPr>
          <w:rFonts w:ascii="Arial" w:eastAsia="SimSun" w:hAnsi="Arial" w:cs="Arial"/>
          <w:b/>
          <w:color w:val="000000"/>
          <w:szCs w:val="22"/>
          <w:lang w:eastAsia="es-CO"/>
        </w:rPr>
        <w:t xml:space="preserve">SURCOLOMBIANA DE GAS S.A. E.S.P </w:t>
      </w:r>
    </w:p>
    <w:p w14:paraId="410F6637" w14:textId="77777777" w:rsidR="007E08A5" w:rsidRPr="00052AE2" w:rsidRDefault="007E08A5" w:rsidP="007E08A5">
      <w:pPr>
        <w:autoSpaceDE w:val="0"/>
        <w:autoSpaceDN w:val="0"/>
        <w:adjustRightInd w:val="0"/>
        <w:ind w:left="1418" w:right="-285" w:hanging="1418"/>
        <w:jc w:val="both"/>
        <w:rPr>
          <w:rFonts w:ascii="Arial" w:eastAsia="SimSun" w:hAnsi="Arial" w:cs="Arial"/>
          <w:b/>
          <w:color w:val="000000"/>
          <w:szCs w:val="22"/>
          <w:lang w:eastAsia="es-CO"/>
        </w:rPr>
      </w:pPr>
    </w:p>
    <w:p w14:paraId="06D113EA" w14:textId="0717CF7B" w:rsidR="007E08A5" w:rsidRPr="00052AE2" w:rsidRDefault="007E08A5" w:rsidP="007E08A5">
      <w:pPr>
        <w:autoSpaceDE w:val="0"/>
        <w:autoSpaceDN w:val="0"/>
        <w:adjustRightInd w:val="0"/>
        <w:ind w:left="1418" w:right="-285" w:hanging="1418"/>
        <w:jc w:val="both"/>
        <w:rPr>
          <w:rFonts w:ascii="Arial" w:eastAsia="SimSun" w:hAnsi="Arial" w:cs="Arial"/>
          <w:b/>
          <w:color w:val="000000"/>
          <w:szCs w:val="22"/>
          <w:lang w:eastAsia="es-CO"/>
        </w:rPr>
      </w:pPr>
      <w:r w:rsidRPr="00052AE2">
        <w:rPr>
          <w:rFonts w:ascii="Arial" w:eastAsia="SimSun" w:hAnsi="Arial" w:cs="Arial"/>
          <w:b/>
          <w:color w:val="000000"/>
          <w:szCs w:val="22"/>
          <w:lang w:eastAsia="es-CO"/>
        </w:rPr>
        <w:t>DE:</w:t>
      </w:r>
      <w:r w:rsidRPr="00052AE2">
        <w:rPr>
          <w:rFonts w:ascii="Arial" w:eastAsia="SimSun" w:hAnsi="Arial" w:cs="Arial"/>
          <w:b/>
          <w:color w:val="000000"/>
          <w:szCs w:val="22"/>
          <w:lang w:eastAsia="es-CO"/>
        </w:rPr>
        <w:tab/>
        <w:t xml:space="preserve">DIRECCIÓN EJECUTIVA </w:t>
      </w:r>
    </w:p>
    <w:p w14:paraId="1DF5B9DF" w14:textId="77777777" w:rsidR="007E08A5" w:rsidRPr="00052AE2" w:rsidRDefault="007E08A5" w:rsidP="007E08A5">
      <w:pPr>
        <w:autoSpaceDE w:val="0"/>
        <w:autoSpaceDN w:val="0"/>
        <w:adjustRightInd w:val="0"/>
        <w:ind w:left="1418" w:right="-285" w:hanging="1418"/>
        <w:jc w:val="both"/>
        <w:rPr>
          <w:rFonts w:ascii="Arial" w:eastAsia="SimSun" w:hAnsi="Arial" w:cs="Arial"/>
          <w:b/>
          <w:color w:val="000000"/>
          <w:szCs w:val="22"/>
          <w:lang w:eastAsia="es-CO"/>
        </w:rPr>
      </w:pPr>
    </w:p>
    <w:p w14:paraId="76E86CE3" w14:textId="77777777" w:rsidR="007E08A5" w:rsidRPr="00052AE2" w:rsidRDefault="007E08A5" w:rsidP="00FD3F2E">
      <w:pPr>
        <w:autoSpaceDE w:val="0"/>
        <w:autoSpaceDN w:val="0"/>
        <w:adjustRightInd w:val="0"/>
        <w:spacing w:line="360" w:lineRule="auto"/>
        <w:ind w:left="1418" w:right="-285" w:hanging="1418"/>
        <w:jc w:val="both"/>
        <w:rPr>
          <w:rFonts w:ascii="Arial" w:eastAsia="SimSun" w:hAnsi="Arial" w:cs="Arial"/>
          <w:b/>
          <w:color w:val="000000"/>
          <w:szCs w:val="22"/>
          <w:lang w:eastAsia="es-CO"/>
        </w:rPr>
      </w:pPr>
      <w:r w:rsidRPr="00052AE2">
        <w:rPr>
          <w:rFonts w:ascii="Arial" w:eastAsia="SimSun" w:hAnsi="Arial" w:cs="Arial"/>
          <w:b/>
          <w:color w:val="000000"/>
          <w:szCs w:val="22"/>
          <w:lang w:eastAsia="es-CO"/>
        </w:rPr>
        <w:t>ASUNTO:</w:t>
      </w:r>
      <w:r w:rsidRPr="00052AE2">
        <w:rPr>
          <w:rFonts w:ascii="Arial" w:eastAsia="SimSun" w:hAnsi="Arial" w:cs="Arial"/>
          <w:b/>
          <w:color w:val="000000"/>
          <w:szCs w:val="22"/>
          <w:lang w:eastAsia="es-CO"/>
        </w:rPr>
        <w:tab/>
      </w:r>
      <w:r>
        <w:rPr>
          <w:rFonts w:ascii="Arial" w:eastAsia="SimSun" w:hAnsi="Arial" w:cs="Arial"/>
          <w:b/>
          <w:color w:val="000000"/>
          <w:szCs w:val="22"/>
          <w:lang w:eastAsia="es-CO"/>
        </w:rPr>
        <w:t>CARGOS DE DISTRIBUCIÓN Y COMERCIALIZACIÓN DE GAS COMBUSTIBLE APROBADOS QUE, CONFORME A LA METODOLOGÍA VIGENTE, PIERDEN VIGENCIA.</w:t>
      </w:r>
    </w:p>
    <w:p w14:paraId="5F44658F" w14:textId="77777777" w:rsidR="007E08A5" w:rsidRDefault="007E08A5" w:rsidP="00ED315B">
      <w:pPr>
        <w:adjustRightInd w:val="0"/>
        <w:spacing w:before="240" w:after="240" w:line="276" w:lineRule="auto"/>
        <w:ind w:right="-285"/>
        <w:jc w:val="both"/>
        <w:rPr>
          <w:rFonts w:ascii="Arial" w:eastAsia="Times New Roman" w:hAnsi="Arial" w:cs="Arial"/>
          <w:szCs w:val="22"/>
          <w:lang w:eastAsia="es-ES"/>
        </w:rPr>
      </w:pPr>
      <w:r w:rsidRPr="006379F2">
        <w:rPr>
          <w:rFonts w:ascii="Arial" w:eastAsia="Times New Roman" w:hAnsi="Arial" w:cs="Arial"/>
          <w:szCs w:val="22"/>
          <w:lang w:eastAsia="es-ES"/>
        </w:rPr>
        <w:t>La Dirección Ejecutiva de la Comisión de Regu</w:t>
      </w:r>
      <w:r>
        <w:rPr>
          <w:rFonts w:ascii="Arial" w:eastAsia="Times New Roman" w:hAnsi="Arial" w:cs="Arial"/>
          <w:szCs w:val="22"/>
          <w:lang w:eastAsia="es-ES"/>
        </w:rPr>
        <w:t xml:space="preserve">lación de Energía y Gas, CREG, informa sobre la pérdida de vigencia de cargos de distribución y de comercialización aprobados por la Comisión, en virtud de lo establecido en la Metodología </w:t>
      </w:r>
      <w:r w:rsidRPr="00675EEA">
        <w:rPr>
          <w:rFonts w:ascii="Arial" w:eastAsia="Times New Roman" w:hAnsi="Arial" w:cs="Arial"/>
          <w:szCs w:val="22"/>
          <w:lang w:eastAsia="es-ES"/>
        </w:rPr>
        <w:t>para remunerar la actividad de distribución de gas combustible por redes de tubería</w:t>
      </w:r>
      <w:r>
        <w:rPr>
          <w:rFonts w:ascii="Arial" w:eastAsia="Times New Roman" w:hAnsi="Arial" w:cs="Arial"/>
          <w:szCs w:val="22"/>
          <w:lang w:eastAsia="es-ES"/>
        </w:rPr>
        <w:t xml:space="preserve">, contenida en la Resoluciones CREG 202 de 2013, CREG 138 de 2014, </w:t>
      </w:r>
      <w:r w:rsidRPr="00CC3B5E">
        <w:rPr>
          <w:rFonts w:ascii="Arial" w:eastAsia="Times New Roman" w:hAnsi="Arial" w:cs="Arial"/>
          <w:szCs w:val="22"/>
          <w:lang w:eastAsia="es-ES"/>
        </w:rPr>
        <w:t>CREG 090 y 132 de 2018</w:t>
      </w:r>
      <w:r>
        <w:rPr>
          <w:rFonts w:ascii="Arial" w:eastAsia="Times New Roman" w:hAnsi="Arial" w:cs="Arial"/>
          <w:szCs w:val="22"/>
          <w:lang w:eastAsia="es-ES"/>
        </w:rPr>
        <w:t xml:space="preserve">, y CREG 011 de 2020, en adelante “La Metodología”, así: </w:t>
      </w:r>
    </w:p>
    <w:p w14:paraId="622614D0" w14:textId="77777777" w:rsidR="007E08A5" w:rsidRPr="00370862" w:rsidRDefault="007E08A5" w:rsidP="00ED315B">
      <w:pPr>
        <w:pStyle w:val="Prrafodelista"/>
        <w:numPr>
          <w:ilvl w:val="0"/>
          <w:numId w:val="1"/>
        </w:numPr>
        <w:spacing w:line="276" w:lineRule="auto"/>
        <w:ind w:right="-285"/>
        <w:jc w:val="both"/>
        <w:rPr>
          <w:rFonts w:ascii="Arial" w:eastAsia="Times New Roman" w:hAnsi="Arial" w:cs="Arial"/>
          <w:b/>
          <w:szCs w:val="22"/>
          <w:u w:val="single"/>
          <w:lang w:eastAsia="es-ES"/>
        </w:rPr>
      </w:pPr>
      <w:r w:rsidRPr="00370862">
        <w:rPr>
          <w:rFonts w:ascii="Arial" w:eastAsia="Times New Roman" w:hAnsi="Arial" w:cs="Arial"/>
          <w:b/>
          <w:szCs w:val="22"/>
          <w:u w:val="single"/>
          <w:lang w:eastAsia="es-ES"/>
        </w:rPr>
        <w:t>PÉRDIDA DE VIGENCIA DE ALGUNOS CARGOS TARIFARIOS DE DISTRIBUCION APROBADOS</w:t>
      </w:r>
      <w:r>
        <w:rPr>
          <w:rFonts w:ascii="Arial" w:eastAsia="Times New Roman" w:hAnsi="Arial" w:cs="Arial"/>
          <w:b/>
          <w:szCs w:val="22"/>
          <w:u w:val="single"/>
          <w:lang w:eastAsia="es-ES"/>
        </w:rPr>
        <w:t>,</w:t>
      </w:r>
      <w:r w:rsidRPr="00370862">
        <w:rPr>
          <w:rFonts w:ascii="Arial" w:eastAsia="Times New Roman" w:hAnsi="Arial" w:cs="Arial"/>
          <w:b/>
          <w:szCs w:val="22"/>
          <w:u w:val="single"/>
          <w:lang w:eastAsia="es-ES"/>
        </w:rPr>
        <w:t xml:space="preserve"> EN VIRTUD DE LO PREVISTO EN EL PARÁGRAFO DEL ARTÍCULO 7 DE LA METODOLOGÍA VIGENTE. </w:t>
      </w:r>
    </w:p>
    <w:p w14:paraId="69F95803" w14:textId="77777777" w:rsidR="007E08A5" w:rsidRDefault="007E08A5" w:rsidP="00ED315B">
      <w:pPr>
        <w:spacing w:line="276" w:lineRule="auto"/>
        <w:ind w:right="-285"/>
        <w:jc w:val="both"/>
        <w:rPr>
          <w:rFonts w:ascii="Arial" w:eastAsia="Times New Roman" w:hAnsi="Arial" w:cs="Arial"/>
          <w:szCs w:val="22"/>
          <w:lang w:eastAsia="es-ES"/>
        </w:rPr>
      </w:pPr>
    </w:p>
    <w:p w14:paraId="1DB24CE0" w14:textId="77777777" w:rsidR="007E08A5" w:rsidRDefault="007E08A5" w:rsidP="00ED315B">
      <w:pPr>
        <w:spacing w:line="276" w:lineRule="auto"/>
        <w:ind w:right="-285"/>
        <w:jc w:val="both"/>
        <w:rPr>
          <w:rFonts w:ascii="Arial" w:eastAsia="Times New Roman" w:hAnsi="Arial" w:cs="Arial"/>
          <w:szCs w:val="22"/>
          <w:lang w:eastAsia="es-ES"/>
        </w:rPr>
      </w:pPr>
      <w:r>
        <w:rPr>
          <w:rFonts w:ascii="Arial" w:eastAsia="Times New Roman" w:hAnsi="Arial" w:cs="Arial"/>
          <w:szCs w:val="22"/>
          <w:lang w:eastAsia="es-ES"/>
        </w:rPr>
        <w:t xml:space="preserve">El Parágrafo del </w:t>
      </w:r>
      <w:r w:rsidRPr="00D002F5">
        <w:rPr>
          <w:rFonts w:ascii="Arial" w:eastAsia="Times New Roman" w:hAnsi="Arial" w:cs="Arial"/>
          <w:szCs w:val="22"/>
          <w:lang w:eastAsia="es-ES"/>
        </w:rPr>
        <w:t xml:space="preserve">Artículo </w:t>
      </w:r>
      <w:r>
        <w:rPr>
          <w:rFonts w:ascii="Arial" w:eastAsia="Times New Roman" w:hAnsi="Arial" w:cs="Arial"/>
          <w:szCs w:val="22"/>
          <w:lang w:eastAsia="es-ES"/>
        </w:rPr>
        <w:t>7</w:t>
      </w:r>
      <w:r w:rsidRPr="00D002F5">
        <w:rPr>
          <w:rFonts w:ascii="Arial" w:eastAsia="Times New Roman" w:hAnsi="Arial" w:cs="Arial"/>
          <w:szCs w:val="22"/>
          <w:lang w:eastAsia="es-ES"/>
        </w:rPr>
        <w:t xml:space="preserve"> de la </w:t>
      </w:r>
      <w:r>
        <w:rPr>
          <w:rFonts w:ascii="Arial" w:eastAsia="Times New Roman" w:hAnsi="Arial" w:cs="Arial"/>
          <w:szCs w:val="22"/>
          <w:lang w:eastAsia="es-ES"/>
        </w:rPr>
        <w:t xml:space="preserve">Metodología vigente establece lo siguiente: </w:t>
      </w:r>
    </w:p>
    <w:p w14:paraId="5C3BE26C" w14:textId="77777777" w:rsidR="007E08A5" w:rsidRDefault="007E08A5" w:rsidP="00ED315B">
      <w:pPr>
        <w:spacing w:line="276" w:lineRule="auto"/>
        <w:ind w:right="-285"/>
        <w:jc w:val="both"/>
        <w:rPr>
          <w:rFonts w:ascii="Arial" w:eastAsia="Times New Roman" w:hAnsi="Arial" w:cs="Arial"/>
          <w:szCs w:val="22"/>
          <w:lang w:eastAsia="es-ES"/>
        </w:rPr>
      </w:pPr>
    </w:p>
    <w:p w14:paraId="006A3A28" w14:textId="77777777" w:rsidR="007E08A5" w:rsidRPr="00D0625C" w:rsidRDefault="007E08A5" w:rsidP="00ED315B">
      <w:pPr>
        <w:spacing w:line="276" w:lineRule="auto"/>
        <w:ind w:left="360" w:right="-1"/>
        <w:jc w:val="both"/>
        <w:rPr>
          <w:rFonts w:ascii="Arial" w:eastAsia="Times New Roman" w:hAnsi="Arial" w:cs="Arial"/>
          <w:i/>
          <w:iCs/>
          <w:sz w:val="20"/>
          <w:szCs w:val="20"/>
          <w:lang w:val="es-ES" w:eastAsia="es-ES"/>
        </w:rPr>
      </w:pPr>
      <w:r>
        <w:rPr>
          <w:rFonts w:ascii="Arial" w:eastAsia="Times New Roman" w:hAnsi="Arial" w:cs="Arial"/>
          <w:b/>
          <w:i/>
          <w:iCs/>
          <w:sz w:val="20"/>
          <w:szCs w:val="20"/>
          <w:lang w:val="es-ES" w:eastAsia="es-ES"/>
        </w:rPr>
        <w:t xml:space="preserve">“Artículo 7. VIGENCIA DE LOS NUEVOS CARGOS. </w:t>
      </w:r>
      <w:r w:rsidRPr="00D0625C">
        <w:rPr>
          <w:rFonts w:ascii="Arial" w:eastAsia="Times New Roman" w:hAnsi="Arial" w:cs="Arial"/>
          <w:i/>
          <w:iCs/>
          <w:sz w:val="20"/>
          <w:szCs w:val="20"/>
          <w:lang w:val="es-ES" w:eastAsia="es-ES"/>
        </w:rPr>
        <w:t>(…)</w:t>
      </w:r>
    </w:p>
    <w:p w14:paraId="0645B9BF" w14:textId="77777777" w:rsidR="007E08A5" w:rsidRDefault="007E08A5" w:rsidP="00ED315B">
      <w:pPr>
        <w:spacing w:line="276" w:lineRule="auto"/>
        <w:ind w:left="360" w:right="-1"/>
        <w:jc w:val="both"/>
        <w:rPr>
          <w:rFonts w:ascii="Arial" w:eastAsia="Times New Roman" w:hAnsi="Arial" w:cs="Arial"/>
          <w:b/>
          <w:i/>
          <w:iCs/>
          <w:sz w:val="20"/>
          <w:szCs w:val="20"/>
          <w:lang w:val="es-ES" w:eastAsia="es-ES"/>
        </w:rPr>
      </w:pPr>
    </w:p>
    <w:p w14:paraId="0B76BB09" w14:textId="77777777" w:rsidR="00992376" w:rsidRPr="00992376" w:rsidRDefault="007E08A5" w:rsidP="00ED315B">
      <w:pPr>
        <w:spacing w:before="240" w:after="240" w:line="276" w:lineRule="auto"/>
        <w:jc w:val="both"/>
        <w:rPr>
          <w:rFonts w:ascii="Arial" w:hAnsi="Arial" w:cs="Arial"/>
          <w:i/>
          <w:iCs/>
          <w:sz w:val="18"/>
          <w:szCs w:val="18"/>
        </w:rPr>
      </w:pPr>
      <w:r w:rsidRPr="00D0625C">
        <w:rPr>
          <w:rFonts w:ascii="Arial" w:eastAsia="Times New Roman" w:hAnsi="Arial" w:cs="Arial"/>
          <w:b/>
          <w:i/>
          <w:iCs/>
          <w:sz w:val="20"/>
          <w:szCs w:val="20"/>
          <w:lang w:val="es-ES" w:eastAsia="es-ES"/>
        </w:rPr>
        <w:t>Parágrafo</w:t>
      </w:r>
      <w:r w:rsidRPr="00D0625C">
        <w:rPr>
          <w:rFonts w:ascii="Arial" w:eastAsia="Times New Roman" w:hAnsi="Arial" w:cs="Arial"/>
          <w:i/>
          <w:iCs/>
          <w:sz w:val="20"/>
          <w:szCs w:val="20"/>
          <w:lang w:val="es-ES" w:eastAsia="es-ES"/>
        </w:rPr>
        <w:t>.</w:t>
      </w:r>
      <w:r w:rsidR="00992376">
        <w:rPr>
          <w:rFonts w:ascii="Arial" w:eastAsia="Times New Roman" w:hAnsi="Arial" w:cs="Arial"/>
          <w:i/>
          <w:iCs/>
          <w:sz w:val="20"/>
          <w:szCs w:val="20"/>
          <w:lang w:val="es-ES" w:eastAsia="es-ES"/>
        </w:rPr>
        <w:t xml:space="preserve"> </w:t>
      </w:r>
      <w:r w:rsidR="00992376" w:rsidRPr="00992376">
        <w:rPr>
          <w:rFonts w:ascii="Arial" w:hAnsi="Arial" w:cs="Arial"/>
          <w:i/>
          <w:iCs/>
          <w:sz w:val="18"/>
          <w:szCs w:val="18"/>
        </w:rPr>
        <w:t xml:space="preserve">Conforme a lo dispuesto en el Parágrafo del Artículo 7 de la Metodología </w:t>
      </w:r>
      <w:bookmarkStart w:id="0" w:name="_Hlk35526646"/>
      <w:r w:rsidR="00992376" w:rsidRPr="00992376">
        <w:rPr>
          <w:rFonts w:ascii="Arial" w:hAnsi="Arial" w:cs="Arial"/>
          <w:i/>
          <w:iCs/>
          <w:sz w:val="18"/>
          <w:szCs w:val="18"/>
        </w:rPr>
        <w:t>contenida en las Resoluciones CREG 202 de 2013, 138 de 2014, 090 de 2018, 132 de 2018 y 011 de 2020</w:t>
      </w:r>
      <w:bookmarkEnd w:id="0"/>
      <w:r w:rsidR="00992376" w:rsidRPr="00992376">
        <w:rPr>
          <w:rFonts w:ascii="Arial" w:hAnsi="Arial" w:cs="Arial"/>
          <w:i/>
          <w:iCs/>
          <w:sz w:val="18"/>
          <w:szCs w:val="18"/>
        </w:rPr>
        <w:t xml:space="preserve">, si transcurridos doce (12) meses desde la fecha en que haya quedado en firme la presente Resolución, el Distribuidor no ha iniciado la construcción del respectivo Sistema de Distribución, los cargos aprobados, así como la totalidad de lo dispuesto en la presente Resolución perderán su vigencia. </w:t>
      </w:r>
    </w:p>
    <w:p w14:paraId="5A33C20A" w14:textId="06DE0827" w:rsidR="007E08A5" w:rsidRPr="00161814" w:rsidRDefault="00992376" w:rsidP="00ED315B">
      <w:pPr>
        <w:spacing w:before="240" w:after="240" w:line="276" w:lineRule="auto"/>
        <w:ind w:right="-234"/>
        <w:jc w:val="both"/>
        <w:rPr>
          <w:rFonts w:ascii="Arial" w:eastAsia="Times New Roman" w:hAnsi="Arial" w:cs="Arial"/>
          <w:szCs w:val="22"/>
          <w:lang w:val="es-CO" w:eastAsia="es-ES"/>
        </w:rPr>
      </w:pPr>
      <w:r w:rsidRPr="00992376">
        <w:rPr>
          <w:rFonts w:ascii="Arial" w:hAnsi="Arial" w:cs="Arial"/>
          <w:i/>
          <w:iCs/>
          <w:sz w:val="18"/>
          <w:szCs w:val="18"/>
        </w:rPr>
        <w:t>Se entenderá que el Distribuidor no ha iniciado la construcción del respectivo Sistema de Distribución si, doce (12) meses después de que hayan quedado en firme los cargos aprobados en la presente Resolución no ha ejecutado al menos un cincuenta por ciento (50%) de las inversiones propuestas para el primer año de inversión</w:t>
      </w:r>
      <w:r w:rsidR="007E08A5" w:rsidRPr="00D0625C">
        <w:rPr>
          <w:rFonts w:ascii="Arial" w:eastAsia="Times New Roman" w:hAnsi="Arial" w:cs="Arial"/>
          <w:i/>
          <w:iCs/>
          <w:sz w:val="20"/>
          <w:szCs w:val="20"/>
          <w:lang w:val="es-ES" w:eastAsia="es-ES"/>
        </w:rPr>
        <w:t>.</w:t>
      </w:r>
      <w:r w:rsidR="007E08A5">
        <w:rPr>
          <w:rFonts w:ascii="Arial" w:eastAsia="Times New Roman" w:hAnsi="Arial" w:cs="Arial"/>
          <w:i/>
          <w:iCs/>
          <w:sz w:val="20"/>
          <w:szCs w:val="20"/>
          <w:lang w:val="es-ES" w:eastAsia="es-ES"/>
        </w:rPr>
        <w:t>”</w:t>
      </w:r>
      <w:r w:rsidR="007E08A5" w:rsidRPr="00D0625C">
        <w:rPr>
          <w:rFonts w:ascii="Arial" w:eastAsia="Times New Roman" w:hAnsi="Arial" w:cs="Arial"/>
          <w:bCs/>
          <w:iCs/>
          <w:sz w:val="20"/>
          <w:szCs w:val="20"/>
          <w:lang w:val="es-ES" w:eastAsia="es-ES"/>
        </w:rPr>
        <w:t xml:space="preserve"> </w:t>
      </w:r>
      <w:r w:rsidR="007E08A5" w:rsidRPr="00D0625C">
        <w:rPr>
          <w:rFonts w:ascii="Arial" w:eastAsia="Times New Roman" w:hAnsi="Arial" w:cs="Arial"/>
          <w:bCs/>
          <w:iCs/>
          <w:sz w:val="18"/>
          <w:szCs w:val="18"/>
          <w:lang w:val="es-ES" w:eastAsia="es-ES"/>
        </w:rPr>
        <w:t>(Resaltado fuera de texto)</w:t>
      </w:r>
    </w:p>
    <w:p w14:paraId="590967E0" w14:textId="617D67D0" w:rsidR="007E08A5" w:rsidRDefault="007E08A5" w:rsidP="00ED315B">
      <w:pPr>
        <w:spacing w:line="276" w:lineRule="auto"/>
        <w:ind w:right="-285"/>
        <w:jc w:val="both"/>
        <w:rPr>
          <w:rFonts w:ascii="Arial" w:eastAsia="Times New Roman" w:hAnsi="Arial" w:cs="Arial"/>
          <w:iCs/>
          <w:szCs w:val="22"/>
          <w:lang w:val="es-ES" w:eastAsia="es-ES"/>
        </w:rPr>
      </w:pPr>
      <w:r>
        <w:rPr>
          <w:rFonts w:ascii="Arial" w:eastAsia="Times New Roman" w:hAnsi="Arial" w:cs="Arial"/>
          <w:iCs/>
          <w:szCs w:val="22"/>
          <w:lang w:val="es-ES" w:eastAsia="es-ES"/>
        </w:rPr>
        <w:lastRenderedPageBreak/>
        <w:t xml:space="preserve">Cabe precisar que, en cumplimiento del Parágrafo transcrito, en </w:t>
      </w:r>
      <w:r w:rsidR="00396D28">
        <w:rPr>
          <w:rFonts w:ascii="Arial" w:eastAsia="Times New Roman" w:hAnsi="Arial" w:cs="Arial"/>
          <w:iCs/>
          <w:szCs w:val="22"/>
          <w:lang w:val="es-ES" w:eastAsia="es-ES"/>
        </w:rPr>
        <w:t>la parte resolutiva</w:t>
      </w:r>
      <w:r>
        <w:rPr>
          <w:rFonts w:ascii="Arial" w:eastAsia="Times New Roman" w:hAnsi="Arial" w:cs="Arial"/>
          <w:iCs/>
          <w:szCs w:val="22"/>
          <w:lang w:val="es-ES" w:eastAsia="es-ES"/>
        </w:rPr>
        <w:t xml:space="preserve"> de cada una de las resoluciones de aprobación de cargos expedidas se incluye lo previsto en dicha disposición. </w:t>
      </w:r>
    </w:p>
    <w:p w14:paraId="58E2E606" w14:textId="77777777" w:rsidR="007E08A5" w:rsidRDefault="007E08A5" w:rsidP="00ED315B">
      <w:pPr>
        <w:spacing w:line="276" w:lineRule="auto"/>
        <w:ind w:right="-285"/>
        <w:jc w:val="both"/>
        <w:rPr>
          <w:rFonts w:ascii="Arial" w:eastAsia="Times New Roman" w:hAnsi="Arial" w:cs="Arial"/>
          <w:iCs/>
          <w:szCs w:val="22"/>
          <w:lang w:val="es-ES" w:eastAsia="es-ES"/>
        </w:rPr>
      </w:pPr>
    </w:p>
    <w:p w14:paraId="1EC74F92" w14:textId="5132E814" w:rsidR="007E08A5" w:rsidRDefault="007E08A5" w:rsidP="002B13C9">
      <w:pPr>
        <w:tabs>
          <w:tab w:val="left" w:pos="7797"/>
          <w:tab w:val="left" w:pos="8505"/>
        </w:tabs>
        <w:spacing w:line="276" w:lineRule="auto"/>
        <w:ind w:right="-283"/>
        <w:jc w:val="both"/>
        <w:rPr>
          <w:rFonts w:ascii="Arial" w:eastAsia="Times New Roman" w:hAnsi="Arial" w:cs="Arial"/>
          <w:iCs/>
          <w:szCs w:val="22"/>
          <w:lang w:val="es-ES" w:eastAsia="es-ES"/>
        </w:rPr>
      </w:pPr>
      <w:r>
        <w:rPr>
          <w:rFonts w:ascii="Arial" w:eastAsia="Times New Roman" w:hAnsi="Arial" w:cs="Arial"/>
          <w:iCs/>
          <w:szCs w:val="22"/>
          <w:lang w:val="es-ES" w:eastAsia="es-ES"/>
        </w:rPr>
        <w:t>Con base en dicha disposición, e</w:t>
      </w:r>
      <w:r w:rsidRPr="00370862">
        <w:rPr>
          <w:rFonts w:ascii="Arial" w:eastAsia="Times New Roman" w:hAnsi="Arial" w:cs="Arial"/>
          <w:iCs/>
          <w:szCs w:val="22"/>
          <w:lang w:val="es-ES" w:eastAsia="es-ES"/>
        </w:rPr>
        <w:t xml:space="preserve">sta Comisión consultó el Sistema Único de </w:t>
      </w:r>
      <w:r w:rsidR="00992376">
        <w:rPr>
          <w:rFonts w:ascii="Arial" w:eastAsia="Times New Roman" w:hAnsi="Arial" w:cs="Arial"/>
          <w:iCs/>
          <w:szCs w:val="22"/>
          <w:lang w:val="es-ES" w:eastAsia="es-ES"/>
        </w:rPr>
        <w:t>i</w:t>
      </w:r>
      <w:r w:rsidRPr="00370862">
        <w:rPr>
          <w:rFonts w:ascii="Arial" w:eastAsia="Times New Roman" w:hAnsi="Arial" w:cs="Arial"/>
          <w:iCs/>
          <w:szCs w:val="22"/>
          <w:lang w:val="es-ES" w:eastAsia="es-ES"/>
        </w:rPr>
        <w:t>nformación, SUI</w:t>
      </w:r>
      <w:r>
        <w:rPr>
          <w:rFonts w:ascii="Arial" w:eastAsia="Times New Roman" w:hAnsi="Arial" w:cs="Arial"/>
          <w:iCs/>
          <w:szCs w:val="22"/>
          <w:lang w:val="es-ES" w:eastAsia="es-ES"/>
        </w:rPr>
        <w:t>,</w:t>
      </w:r>
      <w:r w:rsidRPr="00370862">
        <w:rPr>
          <w:rFonts w:ascii="Arial" w:eastAsia="Times New Roman" w:hAnsi="Arial" w:cs="Arial"/>
          <w:iCs/>
          <w:szCs w:val="22"/>
          <w:lang w:val="es-ES" w:eastAsia="es-ES"/>
        </w:rPr>
        <w:t xml:space="preserve"> administrado y operado por la Superintendencia de Servicios Públicos Domiciliarios</w:t>
      </w:r>
      <w:r>
        <w:rPr>
          <w:rFonts w:ascii="Arial" w:eastAsia="Times New Roman" w:hAnsi="Arial" w:cs="Arial"/>
          <w:iCs/>
          <w:szCs w:val="22"/>
          <w:lang w:val="es-ES" w:eastAsia="es-ES"/>
        </w:rPr>
        <w:t>,</w:t>
      </w:r>
      <w:r w:rsidRPr="00370862">
        <w:rPr>
          <w:rFonts w:ascii="Arial" w:eastAsia="Times New Roman" w:hAnsi="Arial" w:cs="Arial"/>
          <w:iCs/>
          <w:szCs w:val="22"/>
          <w:lang w:val="es-ES" w:eastAsia="es-ES"/>
        </w:rPr>
        <w:t xml:space="preserve"> y no encontró evidencia de prestación del servicio en los municipios que conforman los mercados relevantes respecto de los cuales se aprobaron </w:t>
      </w:r>
      <w:r>
        <w:rPr>
          <w:rFonts w:ascii="Arial" w:eastAsia="Times New Roman" w:hAnsi="Arial" w:cs="Arial"/>
          <w:iCs/>
          <w:szCs w:val="22"/>
          <w:lang w:val="es-ES" w:eastAsia="es-ES"/>
        </w:rPr>
        <w:t xml:space="preserve">los </w:t>
      </w:r>
      <w:r w:rsidRPr="00370862">
        <w:rPr>
          <w:rFonts w:ascii="Arial" w:eastAsia="Times New Roman" w:hAnsi="Arial" w:cs="Arial"/>
          <w:iCs/>
          <w:szCs w:val="22"/>
          <w:lang w:val="es-ES" w:eastAsia="es-ES"/>
        </w:rPr>
        <w:t xml:space="preserve">cargos de distribución </w:t>
      </w:r>
      <w:r>
        <w:rPr>
          <w:rFonts w:ascii="Arial" w:eastAsia="Times New Roman" w:hAnsi="Arial" w:cs="Arial"/>
          <w:iCs/>
          <w:szCs w:val="22"/>
          <w:lang w:val="es-ES" w:eastAsia="es-ES"/>
        </w:rPr>
        <w:t xml:space="preserve">y comercialización </w:t>
      </w:r>
      <w:r w:rsidRPr="00370862">
        <w:rPr>
          <w:rFonts w:ascii="Arial" w:eastAsia="Times New Roman" w:hAnsi="Arial" w:cs="Arial"/>
          <w:iCs/>
          <w:szCs w:val="22"/>
          <w:lang w:val="es-ES" w:eastAsia="es-ES"/>
        </w:rPr>
        <w:t xml:space="preserve">de gas por redes de tubería relacionados en la </w:t>
      </w:r>
      <w:r>
        <w:rPr>
          <w:rFonts w:ascii="Arial" w:eastAsia="Times New Roman" w:hAnsi="Arial" w:cs="Arial"/>
          <w:iCs/>
          <w:szCs w:val="22"/>
          <w:lang w:val="es-ES" w:eastAsia="es-ES"/>
        </w:rPr>
        <w:t>siguiente tabla:</w:t>
      </w:r>
    </w:p>
    <w:p w14:paraId="28FE25AD" w14:textId="77777777" w:rsidR="0049345C" w:rsidRDefault="0049345C" w:rsidP="00ED315B">
      <w:pPr>
        <w:tabs>
          <w:tab w:val="left" w:pos="7797"/>
          <w:tab w:val="left" w:pos="8505"/>
        </w:tabs>
        <w:spacing w:line="276" w:lineRule="auto"/>
        <w:ind w:right="-283"/>
        <w:rPr>
          <w:rFonts w:ascii="Arial" w:eastAsia="Times New Roman" w:hAnsi="Arial" w:cs="Arial"/>
          <w:iCs/>
          <w:szCs w:val="22"/>
          <w:lang w:val="es-ES" w:eastAsia="es-ES"/>
        </w:rPr>
      </w:pPr>
    </w:p>
    <w:p w14:paraId="6C447C87" w14:textId="38F83298" w:rsidR="0049345C" w:rsidRDefault="0049345C" w:rsidP="00ED315B">
      <w:pPr>
        <w:spacing w:line="276" w:lineRule="auto"/>
        <w:ind w:right="-285"/>
        <w:jc w:val="center"/>
        <w:rPr>
          <w:rFonts w:ascii="Arial" w:eastAsia="Times New Roman" w:hAnsi="Arial" w:cs="Arial"/>
          <w:iCs/>
          <w:szCs w:val="22"/>
          <w:lang w:val="es-ES" w:eastAsia="es-ES"/>
        </w:rPr>
      </w:pPr>
      <w:r w:rsidRPr="00370862">
        <w:rPr>
          <w:rFonts w:ascii="Arial" w:eastAsia="Times New Roman" w:hAnsi="Arial" w:cs="Arial"/>
          <w:b/>
          <w:iCs/>
          <w:sz w:val="20"/>
          <w:szCs w:val="20"/>
          <w:lang w:val="es-ES" w:eastAsia="es-ES"/>
        </w:rPr>
        <w:t>Tabla 1</w:t>
      </w:r>
    </w:p>
    <w:tbl>
      <w:tblPr>
        <w:tblStyle w:val="Tablaconcuadrcula"/>
        <w:tblW w:w="9452" w:type="dxa"/>
        <w:tblLook w:val="04A0" w:firstRow="1" w:lastRow="0" w:firstColumn="1" w:lastColumn="0" w:noHBand="0" w:noVBand="1"/>
      </w:tblPr>
      <w:tblGrid>
        <w:gridCol w:w="1980"/>
        <w:gridCol w:w="2835"/>
        <w:gridCol w:w="4637"/>
      </w:tblGrid>
      <w:tr w:rsidR="0049345C" w:rsidRPr="00396BAF" w14:paraId="16B6CE6E" w14:textId="77777777" w:rsidTr="00ED315B">
        <w:trPr>
          <w:trHeight w:val="244"/>
          <w:tblHeader/>
        </w:trPr>
        <w:tc>
          <w:tcPr>
            <w:tcW w:w="1980" w:type="dxa"/>
            <w:shd w:val="clear" w:color="auto" w:fill="D9D9D9" w:themeFill="background1" w:themeFillShade="D9"/>
            <w:vAlign w:val="center"/>
          </w:tcPr>
          <w:p w14:paraId="2E620EB9" w14:textId="77777777" w:rsidR="0049345C" w:rsidRPr="00ED315B" w:rsidRDefault="0049345C" w:rsidP="00ED315B">
            <w:pPr>
              <w:spacing w:line="276" w:lineRule="auto"/>
              <w:ind w:right="-105"/>
              <w:jc w:val="center"/>
              <w:rPr>
                <w:rFonts w:asciiTheme="majorHAnsi" w:hAnsiTheme="majorHAnsi" w:cs="Arial"/>
                <w:b/>
                <w:color w:val="000000"/>
                <w:sz w:val="20"/>
                <w:szCs w:val="20"/>
              </w:rPr>
            </w:pPr>
            <w:r w:rsidRPr="00ED315B">
              <w:rPr>
                <w:rFonts w:asciiTheme="majorHAnsi" w:hAnsiTheme="majorHAnsi" w:cs="Arial"/>
                <w:b/>
                <w:color w:val="000000"/>
                <w:sz w:val="20"/>
                <w:szCs w:val="20"/>
              </w:rPr>
              <w:t>Resolución de aprobación de cargos</w:t>
            </w:r>
          </w:p>
        </w:tc>
        <w:tc>
          <w:tcPr>
            <w:tcW w:w="2835" w:type="dxa"/>
            <w:shd w:val="clear" w:color="auto" w:fill="D9D9D9" w:themeFill="background1" w:themeFillShade="D9"/>
            <w:vAlign w:val="center"/>
          </w:tcPr>
          <w:p w14:paraId="02DB9259" w14:textId="77777777" w:rsidR="0049345C" w:rsidRPr="00ED315B" w:rsidRDefault="0049345C" w:rsidP="00ED315B">
            <w:pPr>
              <w:spacing w:line="276" w:lineRule="auto"/>
              <w:jc w:val="center"/>
              <w:rPr>
                <w:rFonts w:asciiTheme="majorHAnsi" w:hAnsiTheme="majorHAnsi" w:cs="Arial"/>
                <w:b/>
                <w:color w:val="000000"/>
                <w:sz w:val="20"/>
                <w:szCs w:val="20"/>
              </w:rPr>
            </w:pPr>
            <w:r w:rsidRPr="00ED315B">
              <w:rPr>
                <w:rFonts w:asciiTheme="majorHAnsi" w:hAnsiTheme="majorHAnsi" w:cs="Arial"/>
                <w:b/>
                <w:color w:val="000000"/>
                <w:sz w:val="20"/>
                <w:szCs w:val="20"/>
              </w:rPr>
              <w:t>Empresa que solicitó la aprobación de los cargos</w:t>
            </w:r>
          </w:p>
        </w:tc>
        <w:tc>
          <w:tcPr>
            <w:tcW w:w="4637" w:type="dxa"/>
            <w:shd w:val="clear" w:color="auto" w:fill="D9D9D9" w:themeFill="background1" w:themeFillShade="D9"/>
            <w:vAlign w:val="center"/>
          </w:tcPr>
          <w:p w14:paraId="3C8A0A38" w14:textId="77777777" w:rsidR="0049345C" w:rsidRPr="00ED315B" w:rsidRDefault="0049345C" w:rsidP="00ED315B">
            <w:pPr>
              <w:spacing w:line="276" w:lineRule="auto"/>
              <w:ind w:right="-285"/>
              <w:jc w:val="center"/>
              <w:rPr>
                <w:rFonts w:asciiTheme="majorHAnsi" w:hAnsiTheme="majorHAnsi" w:cs="Arial"/>
                <w:b/>
                <w:bCs/>
                <w:color w:val="000000"/>
                <w:sz w:val="20"/>
                <w:szCs w:val="20"/>
              </w:rPr>
            </w:pPr>
            <w:r w:rsidRPr="00ED315B">
              <w:rPr>
                <w:rFonts w:asciiTheme="majorHAnsi" w:hAnsiTheme="majorHAnsi" w:cs="Calibri"/>
                <w:b/>
                <w:bCs/>
                <w:color w:val="000000"/>
                <w:sz w:val="20"/>
                <w:szCs w:val="20"/>
              </w:rPr>
              <w:t>Municipios que conforman el Mercado Relevante</w:t>
            </w:r>
          </w:p>
        </w:tc>
      </w:tr>
      <w:tr w:rsidR="0049345C" w:rsidRPr="00396BAF" w14:paraId="16D3E9BD" w14:textId="77777777" w:rsidTr="00ED315B">
        <w:trPr>
          <w:trHeight w:val="261"/>
        </w:trPr>
        <w:tc>
          <w:tcPr>
            <w:tcW w:w="1980" w:type="dxa"/>
            <w:vAlign w:val="center"/>
          </w:tcPr>
          <w:p w14:paraId="7E1A1265" w14:textId="2E160CEF" w:rsidR="0049345C" w:rsidRPr="00ED315B" w:rsidRDefault="0049345C" w:rsidP="00ED315B">
            <w:pPr>
              <w:spacing w:line="276" w:lineRule="auto"/>
              <w:ind w:right="-105"/>
              <w:rPr>
                <w:rFonts w:asciiTheme="majorHAnsi" w:hAnsiTheme="majorHAnsi" w:cs="Arial"/>
                <w:b/>
                <w:bCs/>
                <w:color w:val="000000"/>
                <w:sz w:val="20"/>
                <w:szCs w:val="20"/>
              </w:rPr>
            </w:pPr>
            <w:r w:rsidRPr="00ED315B">
              <w:rPr>
                <w:rFonts w:asciiTheme="majorHAnsi" w:hAnsiTheme="majorHAnsi" w:cs="Arial"/>
                <w:b/>
                <w:bCs/>
                <w:color w:val="000000"/>
                <w:sz w:val="20"/>
                <w:szCs w:val="20"/>
              </w:rPr>
              <w:t>CREG 194 de 2019 CREG 195 de 2019</w:t>
            </w:r>
          </w:p>
        </w:tc>
        <w:tc>
          <w:tcPr>
            <w:tcW w:w="2835" w:type="dxa"/>
            <w:vAlign w:val="center"/>
          </w:tcPr>
          <w:p w14:paraId="4940B4FC" w14:textId="77777777" w:rsidR="0049345C" w:rsidRPr="00ED315B" w:rsidRDefault="0049345C" w:rsidP="00ED315B">
            <w:pPr>
              <w:spacing w:line="276" w:lineRule="auto"/>
              <w:rPr>
                <w:rFonts w:asciiTheme="majorHAnsi" w:hAnsiTheme="majorHAnsi" w:cs="Arial"/>
                <w:color w:val="000000"/>
                <w:sz w:val="20"/>
                <w:szCs w:val="20"/>
              </w:rPr>
            </w:pPr>
            <w:r w:rsidRPr="00ED315B">
              <w:rPr>
                <w:rFonts w:asciiTheme="majorHAnsi" w:hAnsiTheme="majorHAnsi" w:cs="Arial"/>
                <w:color w:val="000000"/>
                <w:sz w:val="20"/>
                <w:szCs w:val="20"/>
              </w:rPr>
              <w:t>Surcolombiana de Gas S.A. E.S.P.</w:t>
            </w:r>
          </w:p>
        </w:tc>
        <w:tc>
          <w:tcPr>
            <w:tcW w:w="4637" w:type="dxa"/>
            <w:vAlign w:val="center"/>
          </w:tcPr>
          <w:p w14:paraId="526C10F8" w14:textId="7B4366CE" w:rsidR="0049345C" w:rsidRPr="00ED315B" w:rsidRDefault="0049345C" w:rsidP="00ED315B">
            <w:pPr>
              <w:spacing w:line="276" w:lineRule="auto"/>
              <w:ind w:right="-15"/>
              <w:jc w:val="both"/>
              <w:rPr>
                <w:rFonts w:asciiTheme="majorHAnsi" w:hAnsiTheme="majorHAnsi" w:cs="Arial"/>
                <w:color w:val="000000"/>
                <w:sz w:val="20"/>
                <w:szCs w:val="20"/>
              </w:rPr>
            </w:pPr>
            <w:r w:rsidRPr="00ED315B">
              <w:rPr>
                <w:rFonts w:asciiTheme="majorHAnsi" w:hAnsiTheme="majorHAnsi" w:cs="Arial"/>
                <w:color w:val="000000"/>
                <w:sz w:val="20"/>
                <w:szCs w:val="20"/>
              </w:rPr>
              <w:t>Municipio de San Miguel, Departamento de Putumayo.</w:t>
            </w:r>
          </w:p>
        </w:tc>
      </w:tr>
    </w:tbl>
    <w:p w14:paraId="769E7746" w14:textId="63CBF62D" w:rsidR="0049345C" w:rsidRDefault="0049345C" w:rsidP="00ED315B">
      <w:pPr>
        <w:tabs>
          <w:tab w:val="left" w:pos="7797"/>
          <w:tab w:val="left" w:pos="8505"/>
        </w:tabs>
        <w:spacing w:line="276" w:lineRule="auto"/>
        <w:ind w:right="-283"/>
      </w:pPr>
    </w:p>
    <w:p w14:paraId="0ECB4EA1" w14:textId="152DD1BB" w:rsidR="00ED315B" w:rsidRDefault="0049345C" w:rsidP="00ED315B">
      <w:pPr>
        <w:spacing w:line="276" w:lineRule="auto"/>
        <w:ind w:right="-284"/>
        <w:jc w:val="both"/>
        <w:rPr>
          <w:rFonts w:ascii="Arial" w:eastAsia="Times New Roman" w:hAnsi="Arial" w:cs="Arial"/>
          <w:iCs/>
          <w:szCs w:val="22"/>
          <w:lang w:val="es-ES" w:eastAsia="es-ES"/>
        </w:rPr>
      </w:pPr>
      <w:r>
        <w:rPr>
          <w:rFonts w:ascii="Arial" w:eastAsia="Times New Roman" w:hAnsi="Arial" w:cs="Arial"/>
          <w:iCs/>
          <w:szCs w:val="22"/>
          <w:lang w:val="es-ES" w:eastAsia="es-ES"/>
        </w:rPr>
        <w:t xml:space="preserve">Con base en lo anterior, respecto de los cargos aprobados para los mercados relevantes en cuestión, transcurridos más de dos (2) años desde la fecha de aprobación del cargo, sin evidencia de que exista prestación del servicio en esos mercados relevantes, en la medida en que para los años posteriores a dicha aprobación y hasta la fecha no se han reportado en el SUI ventas de gas, ni facturación de dicho servicio, al respecto, la Comisión de Regulación de Energía y Gas CREG, </w:t>
      </w:r>
      <w:r w:rsidR="0076709E">
        <w:rPr>
          <w:rFonts w:ascii="Arial" w:eastAsia="Times New Roman" w:hAnsi="Arial" w:cs="Arial"/>
          <w:iCs/>
          <w:szCs w:val="22"/>
          <w:lang w:val="es-ES" w:eastAsia="es-ES"/>
        </w:rPr>
        <w:t xml:space="preserve">mediante la comunicación S2023000590 </w:t>
      </w:r>
      <w:r w:rsidR="0076709E" w:rsidRPr="0076709E">
        <w:rPr>
          <w:rFonts w:ascii="Arial" w:eastAsia="Times New Roman" w:hAnsi="Arial" w:cs="Arial"/>
          <w:iCs/>
          <w:szCs w:val="22"/>
          <w:lang w:val="es-ES" w:eastAsia="es-ES"/>
        </w:rPr>
        <w:t>Solicit</w:t>
      </w:r>
      <w:r w:rsidR="0076709E">
        <w:rPr>
          <w:rFonts w:ascii="Arial" w:eastAsia="Times New Roman" w:hAnsi="Arial" w:cs="Arial"/>
          <w:iCs/>
          <w:szCs w:val="22"/>
          <w:lang w:val="es-ES" w:eastAsia="es-ES"/>
        </w:rPr>
        <w:t>ó</w:t>
      </w:r>
      <w:r w:rsidR="0076709E" w:rsidRPr="0076709E">
        <w:rPr>
          <w:rFonts w:ascii="Arial" w:eastAsia="Times New Roman" w:hAnsi="Arial" w:cs="Arial"/>
          <w:iCs/>
          <w:szCs w:val="22"/>
          <w:lang w:val="es-ES" w:eastAsia="es-ES"/>
        </w:rPr>
        <w:t xml:space="preserve"> certificación sobre el inicio de </w:t>
      </w:r>
      <w:r w:rsidR="0076709E">
        <w:rPr>
          <w:rFonts w:ascii="Arial" w:eastAsia="Times New Roman" w:hAnsi="Arial" w:cs="Arial"/>
          <w:iCs/>
          <w:szCs w:val="22"/>
          <w:lang w:val="es-ES" w:eastAsia="es-ES"/>
        </w:rPr>
        <w:t xml:space="preserve">la </w:t>
      </w:r>
      <w:r w:rsidR="0076709E" w:rsidRPr="0076709E">
        <w:rPr>
          <w:rFonts w:ascii="Arial" w:eastAsia="Times New Roman" w:hAnsi="Arial" w:cs="Arial"/>
          <w:iCs/>
          <w:szCs w:val="22"/>
          <w:lang w:val="es-ES" w:eastAsia="es-ES"/>
        </w:rPr>
        <w:t xml:space="preserve">prestación del servicio de gas combustible por redes en el mercado relevante de distribución </w:t>
      </w:r>
      <w:r w:rsidR="00CB63B2">
        <w:rPr>
          <w:rFonts w:ascii="Arial" w:eastAsia="Times New Roman" w:hAnsi="Arial" w:cs="Arial"/>
          <w:iCs/>
          <w:szCs w:val="22"/>
          <w:lang w:val="es-ES" w:eastAsia="es-ES"/>
        </w:rPr>
        <w:t xml:space="preserve">para el municipio de San Miguel Enel departamento de Putumayo, </w:t>
      </w:r>
      <w:r w:rsidR="0076709E" w:rsidRPr="0076709E">
        <w:rPr>
          <w:rFonts w:ascii="Arial" w:eastAsia="Times New Roman" w:hAnsi="Arial" w:cs="Arial"/>
          <w:iCs/>
          <w:szCs w:val="22"/>
          <w:lang w:val="es-ES" w:eastAsia="es-ES"/>
        </w:rPr>
        <w:t>aprobado mediante Resolución CREG 194 de 2019</w:t>
      </w:r>
      <w:r w:rsidR="00BC22B2">
        <w:rPr>
          <w:rFonts w:ascii="Arial" w:eastAsia="Times New Roman" w:hAnsi="Arial" w:cs="Arial"/>
          <w:iCs/>
          <w:szCs w:val="22"/>
          <w:lang w:val="es-ES" w:eastAsia="es-ES"/>
        </w:rPr>
        <w:t>.</w:t>
      </w:r>
    </w:p>
    <w:p w14:paraId="574B9834" w14:textId="77777777" w:rsidR="00ED315B" w:rsidRDefault="00ED315B" w:rsidP="00ED315B">
      <w:pPr>
        <w:spacing w:line="276" w:lineRule="auto"/>
        <w:ind w:right="-284"/>
        <w:jc w:val="both"/>
        <w:rPr>
          <w:rFonts w:ascii="Arial" w:eastAsia="Times New Roman" w:hAnsi="Arial" w:cs="Arial"/>
          <w:iCs/>
          <w:szCs w:val="22"/>
          <w:lang w:val="es-ES" w:eastAsia="es-ES"/>
        </w:rPr>
      </w:pPr>
    </w:p>
    <w:p w14:paraId="2892DD4A" w14:textId="7E65105E" w:rsidR="00FD3F2E" w:rsidRDefault="0076709E" w:rsidP="00ED315B">
      <w:pPr>
        <w:spacing w:line="276" w:lineRule="auto"/>
        <w:ind w:right="-284"/>
        <w:jc w:val="both"/>
        <w:rPr>
          <w:rFonts w:ascii="Arial" w:hAnsi="Arial" w:cs="Arial"/>
          <w:shd w:val="clear" w:color="auto" w:fill="FFFFFF"/>
        </w:rPr>
      </w:pPr>
      <w:r>
        <w:rPr>
          <w:rFonts w:ascii="Arial" w:eastAsia="Times New Roman" w:hAnsi="Arial" w:cs="Arial"/>
          <w:iCs/>
          <w:szCs w:val="22"/>
          <w:lang w:val="es-ES" w:eastAsia="es-ES"/>
        </w:rPr>
        <w:t xml:space="preserve">La Empresa SURCOLOMBIANA DE GAS S.A E.S.P., respondió a la CREG, mediante la comunicación con radicado E2023001360 del 30 de enero de 2023, </w:t>
      </w:r>
      <w:r w:rsidR="003232DA">
        <w:rPr>
          <w:rFonts w:ascii="Arial" w:eastAsia="Times New Roman" w:hAnsi="Arial" w:cs="Arial"/>
          <w:iCs/>
          <w:szCs w:val="22"/>
          <w:lang w:val="es-ES" w:eastAsia="es-ES"/>
        </w:rPr>
        <w:t xml:space="preserve">que </w:t>
      </w:r>
      <w:r>
        <w:rPr>
          <w:rFonts w:ascii="Arial" w:hAnsi="Arial" w:cs="Arial"/>
          <w:shd w:val="clear" w:color="auto" w:fill="FFFFFF"/>
        </w:rPr>
        <w:t>no ejecut</w:t>
      </w:r>
      <w:r w:rsidR="003232DA">
        <w:rPr>
          <w:rFonts w:ascii="Arial" w:hAnsi="Arial" w:cs="Arial"/>
          <w:shd w:val="clear" w:color="auto" w:fill="FFFFFF"/>
        </w:rPr>
        <w:t>ó</w:t>
      </w:r>
      <w:r>
        <w:rPr>
          <w:rFonts w:ascii="Arial" w:hAnsi="Arial" w:cs="Arial"/>
          <w:shd w:val="clear" w:color="auto" w:fill="FFFFFF"/>
        </w:rPr>
        <w:t xml:space="preserve"> el proyecto </w:t>
      </w:r>
      <w:r w:rsidR="00ED315B">
        <w:rPr>
          <w:rFonts w:ascii="Arial" w:hAnsi="Arial" w:cs="Arial"/>
          <w:shd w:val="clear" w:color="auto" w:fill="FFFFFF"/>
        </w:rPr>
        <w:t>en</w:t>
      </w:r>
      <w:r w:rsidR="00BC22B2">
        <w:rPr>
          <w:rFonts w:ascii="Arial" w:hAnsi="Arial" w:cs="Arial"/>
          <w:shd w:val="clear" w:color="auto" w:fill="FFFFFF"/>
        </w:rPr>
        <w:t xml:space="preserve"> </w:t>
      </w:r>
      <w:r w:rsidR="00ED315B">
        <w:rPr>
          <w:rFonts w:ascii="Arial" w:hAnsi="Arial" w:cs="Arial"/>
          <w:shd w:val="clear" w:color="auto" w:fill="FFFFFF"/>
        </w:rPr>
        <w:t>el</w:t>
      </w:r>
      <w:r>
        <w:rPr>
          <w:rFonts w:ascii="Arial" w:hAnsi="Arial" w:cs="Arial"/>
          <w:shd w:val="clear" w:color="auto" w:fill="FFFFFF"/>
        </w:rPr>
        <w:t xml:space="preserve"> Municipio de San Miguel con cargos aprobados bajo la Resolución CREG 194 de 2019, al igual que los proyectos de los Municipios de Orito y Valle del Guamuez</w:t>
      </w:r>
      <w:r w:rsidR="00FD3F2E">
        <w:rPr>
          <w:rFonts w:ascii="Arial" w:hAnsi="Arial" w:cs="Arial"/>
          <w:shd w:val="clear" w:color="auto" w:fill="FFFFFF"/>
        </w:rPr>
        <w:t>.</w:t>
      </w:r>
    </w:p>
    <w:p w14:paraId="27A6516A" w14:textId="77777777" w:rsidR="00FD3F2E" w:rsidRDefault="00FD3F2E" w:rsidP="00ED315B">
      <w:pPr>
        <w:spacing w:line="276" w:lineRule="auto"/>
        <w:ind w:right="-284"/>
        <w:jc w:val="both"/>
        <w:rPr>
          <w:rFonts w:ascii="Arial" w:hAnsi="Arial" w:cs="Arial"/>
          <w:shd w:val="clear" w:color="auto" w:fill="FFFFFF"/>
        </w:rPr>
      </w:pPr>
    </w:p>
    <w:p w14:paraId="33EAB1C8" w14:textId="62196BC3" w:rsidR="0049345C" w:rsidRDefault="00FD3F2E" w:rsidP="00ED315B">
      <w:pPr>
        <w:spacing w:line="276" w:lineRule="auto"/>
        <w:ind w:right="-284"/>
        <w:jc w:val="both"/>
        <w:rPr>
          <w:rFonts w:ascii="Arial" w:eastAsia="Times New Roman" w:hAnsi="Arial" w:cs="Arial"/>
          <w:iCs/>
          <w:szCs w:val="22"/>
          <w:lang w:val="es-ES" w:eastAsia="es-ES"/>
        </w:rPr>
      </w:pPr>
      <w:r>
        <w:rPr>
          <w:rFonts w:ascii="Arial" w:hAnsi="Arial" w:cs="Arial"/>
          <w:shd w:val="clear" w:color="auto" w:fill="FFFFFF"/>
        </w:rPr>
        <w:t xml:space="preserve">Por lo anterior, </w:t>
      </w:r>
      <w:r w:rsidR="0049345C">
        <w:rPr>
          <w:rFonts w:ascii="Arial" w:eastAsia="Times New Roman" w:hAnsi="Arial" w:cs="Arial"/>
          <w:iCs/>
          <w:szCs w:val="22"/>
          <w:lang w:val="es-ES" w:eastAsia="es-ES"/>
        </w:rPr>
        <w:t>se considera que se cumplen los supuestos previstos en el Parágrafo del Artículo 7 de la Metodología y, en consecuencia, éstos perdieron vigencia de pleno derecho.</w:t>
      </w:r>
    </w:p>
    <w:p w14:paraId="4DB31860" w14:textId="77777777" w:rsidR="0049345C" w:rsidRDefault="0049345C" w:rsidP="00ED315B">
      <w:pPr>
        <w:spacing w:line="276" w:lineRule="auto"/>
        <w:ind w:right="-285"/>
        <w:jc w:val="both"/>
        <w:rPr>
          <w:rFonts w:ascii="Arial" w:eastAsia="Times New Roman" w:hAnsi="Arial" w:cs="Arial"/>
          <w:iCs/>
          <w:szCs w:val="22"/>
          <w:lang w:val="es-ES" w:eastAsia="es-ES"/>
        </w:rPr>
      </w:pPr>
    </w:p>
    <w:p w14:paraId="6A8E0B8D" w14:textId="77777777" w:rsidR="00ED315B" w:rsidRDefault="0049345C" w:rsidP="00ED315B">
      <w:pPr>
        <w:spacing w:line="276" w:lineRule="auto"/>
        <w:ind w:right="-285"/>
        <w:jc w:val="both"/>
        <w:rPr>
          <w:rFonts w:ascii="Arial" w:eastAsia="Times New Roman" w:hAnsi="Arial" w:cs="Arial"/>
          <w:szCs w:val="22"/>
          <w:lang w:eastAsia="es-ES"/>
        </w:rPr>
      </w:pPr>
      <w:r>
        <w:rPr>
          <w:rFonts w:ascii="Arial" w:eastAsia="Times New Roman" w:hAnsi="Arial" w:cs="Arial"/>
          <w:szCs w:val="22"/>
          <w:lang w:eastAsia="es-ES"/>
        </w:rPr>
        <w:t xml:space="preserve">Se precisa que, igualmente, perdió su vigencia el </w:t>
      </w:r>
      <w:r w:rsidRPr="000758E3">
        <w:rPr>
          <w:rFonts w:ascii="Arial" w:eastAsia="Times New Roman" w:hAnsi="Arial" w:cs="Arial"/>
          <w:szCs w:val="22"/>
          <w:lang w:eastAsia="es-ES"/>
        </w:rPr>
        <w:t>Cargo Máximo Base de Comercialización de gas combustible por redes de tubería a usuarios regulados</w:t>
      </w:r>
      <w:r>
        <w:rPr>
          <w:rFonts w:ascii="Arial" w:eastAsia="Times New Roman" w:hAnsi="Arial" w:cs="Arial"/>
          <w:szCs w:val="22"/>
          <w:lang w:eastAsia="es-ES"/>
        </w:rPr>
        <w:t xml:space="preserve"> aprobado en cada caso, </w:t>
      </w:r>
    </w:p>
    <w:p w14:paraId="43A5382A" w14:textId="77777777" w:rsidR="00ED315B" w:rsidRDefault="00ED315B" w:rsidP="00ED315B">
      <w:pPr>
        <w:spacing w:line="276" w:lineRule="auto"/>
        <w:ind w:right="-285"/>
        <w:jc w:val="both"/>
        <w:rPr>
          <w:rFonts w:ascii="Arial" w:eastAsia="Times New Roman" w:hAnsi="Arial" w:cs="Arial"/>
          <w:szCs w:val="22"/>
          <w:lang w:eastAsia="es-ES"/>
        </w:rPr>
      </w:pPr>
    </w:p>
    <w:p w14:paraId="6ABB0918" w14:textId="4B3ECF58" w:rsidR="0049345C" w:rsidRDefault="0049345C" w:rsidP="00ED315B">
      <w:pPr>
        <w:spacing w:line="276" w:lineRule="auto"/>
        <w:ind w:right="-285"/>
        <w:jc w:val="both"/>
        <w:rPr>
          <w:rFonts w:ascii="Arial" w:eastAsia="Times New Roman" w:hAnsi="Arial" w:cs="Arial"/>
          <w:szCs w:val="22"/>
          <w:lang w:eastAsia="es-ES"/>
        </w:rPr>
      </w:pPr>
      <w:r>
        <w:rPr>
          <w:rFonts w:ascii="Arial" w:eastAsia="Times New Roman" w:hAnsi="Arial" w:cs="Arial"/>
          <w:szCs w:val="22"/>
          <w:lang w:eastAsia="es-ES"/>
        </w:rPr>
        <w:lastRenderedPageBreak/>
        <w:t>teniendo en cuenta que, como se señaló en el Numeral 1 de esta Circular, el Mercado Relevante de Comercialización</w:t>
      </w:r>
      <w:r w:rsidRPr="006B206A">
        <w:rPr>
          <w:rFonts w:ascii="Arial" w:eastAsia="Times New Roman" w:hAnsi="Arial" w:cs="Arial"/>
          <w:szCs w:val="22"/>
          <w:lang w:eastAsia="es-ES"/>
        </w:rPr>
        <w:t xml:space="preserve"> </w:t>
      </w:r>
      <w:r>
        <w:rPr>
          <w:rFonts w:ascii="Arial" w:eastAsia="Times New Roman" w:hAnsi="Arial" w:cs="Arial"/>
          <w:szCs w:val="22"/>
          <w:lang w:eastAsia="es-ES"/>
        </w:rPr>
        <w:t>corresponde exactamente al mercado relevante para el cual se aprobó el cargo de distribución y, en consecuencia, su vigencia está afecta a la existencia de dicho mercado.</w:t>
      </w:r>
    </w:p>
    <w:p w14:paraId="2458BEFA" w14:textId="77777777" w:rsidR="0049345C" w:rsidRDefault="0049345C" w:rsidP="00ED315B">
      <w:pPr>
        <w:spacing w:line="276" w:lineRule="auto"/>
        <w:ind w:right="-285"/>
        <w:jc w:val="both"/>
        <w:rPr>
          <w:rFonts w:ascii="Arial" w:eastAsia="Times New Roman" w:hAnsi="Arial" w:cs="Arial"/>
          <w:iCs/>
          <w:szCs w:val="22"/>
          <w:lang w:val="es-ES" w:eastAsia="es-ES"/>
        </w:rPr>
      </w:pPr>
    </w:p>
    <w:p w14:paraId="7BA34DD1" w14:textId="3A1791CC" w:rsidR="0049345C" w:rsidRDefault="0049345C" w:rsidP="00ED315B">
      <w:pPr>
        <w:spacing w:line="276" w:lineRule="auto"/>
        <w:ind w:right="-285"/>
        <w:jc w:val="both"/>
        <w:rPr>
          <w:rFonts w:ascii="Arial" w:eastAsia="Times New Roman" w:hAnsi="Arial" w:cs="Arial"/>
          <w:szCs w:val="22"/>
          <w:lang w:eastAsia="es-ES"/>
        </w:rPr>
      </w:pPr>
      <w:r>
        <w:rPr>
          <w:rFonts w:ascii="Arial" w:eastAsia="Times New Roman" w:hAnsi="Arial" w:cs="Arial"/>
          <w:szCs w:val="22"/>
          <w:lang w:eastAsia="es-ES"/>
        </w:rPr>
        <w:t xml:space="preserve">Sin perjuicio de lo anterior, en el evento de que alguna empresa se encuentre prestando el servicio en los mercados relevantes para los cuales se aprobaron cargos mediante los actos administrativos relacionados en la Tabla </w:t>
      </w:r>
      <w:r w:rsidR="00FD3F2E">
        <w:rPr>
          <w:rFonts w:ascii="Arial" w:eastAsia="Times New Roman" w:hAnsi="Arial" w:cs="Arial"/>
          <w:szCs w:val="22"/>
          <w:lang w:eastAsia="es-ES"/>
        </w:rPr>
        <w:t>1</w:t>
      </w:r>
      <w:r>
        <w:rPr>
          <w:rFonts w:ascii="Arial" w:eastAsia="Times New Roman" w:hAnsi="Arial" w:cs="Arial"/>
          <w:szCs w:val="22"/>
          <w:lang w:eastAsia="es-ES"/>
        </w:rPr>
        <w:t xml:space="preserve"> y cuente con información que desvirtúe la mencionada pérdida de vigencia, se solicita manifestarlo a esta Comisión, adjuntando los correspondientes soportes, dentro de los diez (10) días hábiles siguientes a la publicación de esta Circular.</w:t>
      </w:r>
    </w:p>
    <w:p w14:paraId="22B01A9B" w14:textId="4CC90475" w:rsidR="0049345C" w:rsidRDefault="0049345C" w:rsidP="00992376">
      <w:pPr>
        <w:tabs>
          <w:tab w:val="left" w:pos="7797"/>
          <w:tab w:val="left" w:pos="8505"/>
        </w:tabs>
        <w:ind w:right="-283"/>
      </w:pPr>
    </w:p>
    <w:p w14:paraId="56BCE2B4" w14:textId="27520A4E" w:rsidR="00ED315B" w:rsidRDefault="00ED315B" w:rsidP="00992376">
      <w:pPr>
        <w:tabs>
          <w:tab w:val="left" w:pos="7797"/>
          <w:tab w:val="left" w:pos="8505"/>
        </w:tabs>
        <w:ind w:right="-283"/>
      </w:pPr>
    </w:p>
    <w:p w14:paraId="7A09DCC6" w14:textId="77777777" w:rsidR="00ED315B" w:rsidRPr="0017084B" w:rsidRDefault="00ED315B" w:rsidP="00ED315B">
      <w:pPr>
        <w:ind w:right="-285"/>
        <w:rPr>
          <w:rFonts w:ascii="Arial" w:eastAsia="Times New Roman" w:hAnsi="Arial" w:cs="Arial"/>
          <w:szCs w:val="22"/>
          <w:lang w:eastAsia="es-ES"/>
        </w:rPr>
      </w:pPr>
      <w:r w:rsidRPr="0017084B">
        <w:rPr>
          <w:rFonts w:ascii="Arial" w:eastAsia="Times New Roman" w:hAnsi="Arial" w:cs="Arial"/>
          <w:szCs w:val="22"/>
          <w:lang w:eastAsia="es-ES"/>
        </w:rPr>
        <w:t>Cordialmente,</w:t>
      </w:r>
    </w:p>
    <w:p w14:paraId="6767846C" w14:textId="77777777" w:rsidR="00ED315B" w:rsidRPr="0017084B" w:rsidRDefault="00ED315B" w:rsidP="00ED315B">
      <w:pPr>
        <w:ind w:left="1440" w:right="-285" w:hanging="1440"/>
        <w:jc w:val="both"/>
        <w:rPr>
          <w:rFonts w:ascii="Arial" w:hAnsi="Arial" w:cs="Arial"/>
          <w:szCs w:val="22"/>
        </w:rPr>
      </w:pPr>
    </w:p>
    <w:p w14:paraId="0950240A" w14:textId="77777777" w:rsidR="00ED315B" w:rsidRPr="0017084B" w:rsidRDefault="00ED315B" w:rsidP="00ED315B">
      <w:pPr>
        <w:ind w:left="1440" w:right="-285" w:hanging="1440"/>
        <w:jc w:val="both"/>
        <w:rPr>
          <w:rFonts w:ascii="Arial" w:hAnsi="Arial" w:cs="Arial"/>
          <w:szCs w:val="22"/>
        </w:rPr>
      </w:pPr>
    </w:p>
    <w:p w14:paraId="62835053" w14:textId="77777777" w:rsidR="00ED315B" w:rsidRDefault="00ED315B" w:rsidP="00ED315B">
      <w:pPr>
        <w:ind w:left="1440" w:right="-285" w:hanging="1440"/>
        <w:jc w:val="both"/>
        <w:rPr>
          <w:rFonts w:ascii="Arial" w:hAnsi="Arial" w:cs="Arial"/>
          <w:szCs w:val="22"/>
        </w:rPr>
      </w:pPr>
    </w:p>
    <w:p w14:paraId="62AD5EEF" w14:textId="21DE772F" w:rsidR="00ED315B" w:rsidRDefault="00ED315B" w:rsidP="00ED315B">
      <w:pPr>
        <w:ind w:left="1440" w:right="-285" w:hanging="1440"/>
        <w:jc w:val="both"/>
        <w:rPr>
          <w:rFonts w:ascii="Arial" w:hAnsi="Arial" w:cs="Arial"/>
          <w:szCs w:val="22"/>
        </w:rPr>
      </w:pPr>
    </w:p>
    <w:p w14:paraId="6E8F0E14" w14:textId="77777777" w:rsidR="00ED315B" w:rsidRDefault="00ED315B" w:rsidP="00ED315B">
      <w:pPr>
        <w:ind w:left="1440" w:right="-285" w:hanging="1440"/>
        <w:jc w:val="both"/>
        <w:rPr>
          <w:rFonts w:ascii="Arial" w:hAnsi="Arial" w:cs="Arial"/>
          <w:szCs w:val="22"/>
        </w:rPr>
      </w:pPr>
    </w:p>
    <w:p w14:paraId="727C33DC" w14:textId="77777777" w:rsidR="00ED315B" w:rsidRPr="0017084B" w:rsidRDefault="00ED315B" w:rsidP="00ED315B">
      <w:pPr>
        <w:ind w:left="1440" w:right="-285" w:hanging="1440"/>
        <w:jc w:val="both"/>
        <w:rPr>
          <w:rFonts w:ascii="Arial" w:hAnsi="Arial" w:cs="Arial"/>
          <w:szCs w:val="22"/>
        </w:rPr>
      </w:pPr>
    </w:p>
    <w:p w14:paraId="11620FEE" w14:textId="7ABFB965" w:rsidR="00ED315B" w:rsidRDefault="00396D28" w:rsidP="00396D28">
      <w:pPr>
        <w:tabs>
          <w:tab w:val="left" w:pos="7797"/>
          <w:tab w:val="left" w:pos="8505"/>
        </w:tabs>
        <w:ind w:right="-283"/>
        <w:jc w:val="center"/>
      </w:pPr>
      <w:r>
        <w:rPr>
          <w:rFonts w:ascii="Arial" w:hAnsi="Arial" w:cs="Arial"/>
          <w:szCs w:val="22"/>
        </w:rPr>
        <w:t>NATASHA AVENDAÑO GARCÍA</w:t>
      </w:r>
    </w:p>
    <w:sectPr w:rsidR="00ED315B" w:rsidSect="00FD3F2E">
      <w:headerReference w:type="default" r:id="rId8"/>
      <w:footerReference w:type="default" r:id="rId9"/>
      <w:pgSz w:w="12240" w:h="15840"/>
      <w:pgMar w:top="1417" w:right="1325" w:bottom="1417" w:left="1701" w:header="39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E032" w14:textId="77777777" w:rsidR="001048C8" w:rsidRDefault="001048C8" w:rsidP="007E08A5">
      <w:r>
        <w:separator/>
      </w:r>
    </w:p>
  </w:endnote>
  <w:endnote w:type="continuationSeparator" w:id="0">
    <w:p w14:paraId="7AE5C381" w14:textId="77777777" w:rsidR="001048C8" w:rsidRDefault="001048C8" w:rsidP="007E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8700" w14:textId="04727505" w:rsidR="00FD3F2E" w:rsidRDefault="00FD3F2E">
    <w:pPr>
      <w:pStyle w:val="Piedepgina"/>
    </w:pPr>
    <w:r>
      <w:rPr>
        <w:noProof/>
      </w:rPr>
      <w:drawing>
        <wp:anchor distT="0" distB="0" distL="114300" distR="114300" simplePos="0" relativeHeight="251663360" behindDoc="0" locked="0" layoutInCell="1" allowOverlap="1" wp14:anchorId="35FFF03F" wp14:editId="382B7807">
          <wp:simplePos x="0" y="0"/>
          <wp:positionH relativeFrom="page">
            <wp:align>left</wp:align>
          </wp:positionH>
          <wp:positionV relativeFrom="paragraph">
            <wp:posOffset>-431800</wp:posOffset>
          </wp:positionV>
          <wp:extent cx="7745339" cy="1248770"/>
          <wp:effectExtent l="0" t="0" r="0" b="8890"/>
          <wp:wrapNone/>
          <wp:docPr id="34" name="Imagen 34"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C381" w14:textId="77777777" w:rsidR="001048C8" w:rsidRDefault="001048C8" w:rsidP="007E08A5">
      <w:r>
        <w:separator/>
      </w:r>
    </w:p>
  </w:footnote>
  <w:footnote w:type="continuationSeparator" w:id="0">
    <w:p w14:paraId="67712510" w14:textId="77777777" w:rsidR="001048C8" w:rsidRDefault="001048C8" w:rsidP="007E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D76D" w14:textId="65F3AC8F" w:rsidR="007E08A5" w:rsidRDefault="007E08A5">
    <w:pPr>
      <w:pStyle w:val="Encabezado"/>
    </w:pPr>
    <w:r>
      <w:rPr>
        <w:noProof/>
      </w:rPr>
      <w:drawing>
        <wp:anchor distT="0" distB="0" distL="114300" distR="114300" simplePos="0" relativeHeight="251661312" behindDoc="1" locked="0" layoutInCell="1" allowOverlap="1" wp14:anchorId="42129BC1" wp14:editId="50D18FA7">
          <wp:simplePos x="0" y="0"/>
          <wp:positionH relativeFrom="column">
            <wp:posOffset>3035300</wp:posOffset>
          </wp:positionH>
          <wp:positionV relativeFrom="paragraph">
            <wp:posOffset>49530</wp:posOffset>
          </wp:positionV>
          <wp:extent cx="3346234" cy="527857"/>
          <wp:effectExtent l="0" t="0" r="6985" b="5715"/>
          <wp:wrapNone/>
          <wp:docPr id="14" name="Imagen 1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r w:rsidRPr="00D64248">
      <w:rPr>
        <w:noProof/>
        <w:lang w:val="es-CO" w:eastAsia="es-CO"/>
      </w:rPr>
      <w:drawing>
        <wp:anchor distT="0" distB="0" distL="114300" distR="114300" simplePos="0" relativeHeight="251659264" behindDoc="1" locked="0" layoutInCell="1" allowOverlap="1" wp14:anchorId="7FBB9F31" wp14:editId="1791CBDF">
          <wp:simplePos x="0" y="0"/>
          <wp:positionH relativeFrom="margin">
            <wp:align>left</wp:align>
          </wp:positionH>
          <wp:positionV relativeFrom="paragraph">
            <wp:posOffset>37465</wp:posOffset>
          </wp:positionV>
          <wp:extent cx="1250315" cy="699135"/>
          <wp:effectExtent l="0" t="0" r="6985" b="571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REG menos peso para membrete.jpg"/>
                  <pic:cNvPicPr/>
                </pic:nvPicPr>
                <pic:blipFill>
                  <a:blip r:embed="rId2">
                    <a:extLst>
                      <a:ext uri="{28A0092B-C50C-407E-A947-70E740481C1C}">
                        <a14:useLocalDpi xmlns:a14="http://schemas.microsoft.com/office/drawing/2010/main" val="0"/>
                      </a:ext>
                    </a:extLst>
                  </a:blip>
                  <a:stretch>
                    <a:fillRect/>
                  </a:stretch>
                </pic:blipFill>
                <pic:spPr>
                  <a:xfrm>
                    <a:off x="0" y="0"/>
                    <a:ext cx="1250315" cy="699135"/>
                  </a:xfrm>
                  <a:prstGeom prst="rect">
                    <a:avLst/>
                  </a:prstGeom>
                </pic:spPr>
              </pic:pic>
            </a:graphicData>
          </a:graphic>
          <wp14:sizeRelH relativeFrom="page">
            <wp14:pctWidth>0</wp14:pctWidth>
          </wp14:sizeRelH>
          <wp14:sizeRelV relativeFrom="page">
            <wp14:pctHeight>0</wp14:pctHeight>
          </wp14:sizeRelV>
        </wp:anchor>
      </w:drawing>
    </w:r>
  </w:p>
  <w:p w14:paraId="4289D370" w14:textId="798E5F87" w:rsidR="007E08A5" w:rsidRDefault="007E08A5">
    <w:pPr>
      <w:pStyle w:val="Encabezado"/>
    </w:pPr>
  </w:p>
  <w:p w14:paraId="447ECDC7" w14:textId="10E64722" w:rsidR="007E08A5" w:rsidRDefault="007E08A5">
    <w:pPr>
      <w:pStyle w:val="Encabezado"/>
    </w:pPr>
  </w:p>
  <w:p w14:paraId="6D438B70" w14:textId="3DD6C910" w:rsidR="007E08A5" w:rsidRDefault="007E08A5">
    <w:pPr>
      <w:pStyle w:val="Encabezado"/>
    </w:pPr>
  </w:p>
  <w:p w14:paraId="389D9E19" w14:textId="77777777" w:rsidR="007E08A5" w:rsidRDefault="007E08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30C60"/>
    <w:multiLevelType w:val="hybridMultilevel"/>
    <w:tmpl w:val="9288DE64"/>
    <w:lvl w:ilvl="0" w:tplc="D95EAE2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64666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A5"/>
    <w:rsid w:val="001048C8"/>
    <w:rsid w:val="00245D57"/>
    <w:rsid w:val="002910F8"/>
    <w:rsid w:val="002B13C9"/>
    <w:rsid w:val="003232DA"/>
    <w:rsid w:val="00354002"/>
    <w:rsid w:val="00396D28"/>
    <w:rsid w:val="00491FCB"/>
    <w:rsid w:val="0049345C"/>
    <w:rsid w:val="005C6A18"/>
    <w:rsid w:val="0076709E"/>
    <w:rsid w:val="007E08A5"/>
    <w:rsid w:val="009239F1"/>
    <w:rsid w:val="00935922"/>
    <w:rsid w:val="00992376"/>
    <w:rsid w:val="00BC22B2"/>
    <w:rsid w:val="00CB63B2"/>
    <w:rsid w:val="00D83458"/>
    <w:rsid w:val="00DA364D"/>
    <w:rsid w:val="00DD5605"/>
    <w:rsid w:val="00E410C3"/>
    <w:rsid w:val="00E56914"/>
    <w:rsid w:val="00E953D8"/>
    <w:rsid w:val="00ED315B"/>
    <w:rsid w:val="00FD3F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187CB"/>
  <w15:chartTrackingRefBased/>
  <w15:docId w15:val="{28865243-D39E-4FFA-BD48-4C385D91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5"/>
    <w:pPr>
      <w:spacing w:after="0" w:line="240" w:lineRule="auto"/>
    </w:pPr>
    <w:rPr>
      <w:rFonts w:eastAsiaTheme="minorEastAsia"/>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8A5"/>
    <w:pPr>
      <w:tabs>
        <w:tab w:val="center" w:pos="4419"/>
        <w:tab w:val="right" w:pos="8838"/>
      </w:tabs>
    </w:pPr>
  </w:style>
  <w:style w:type="character" w:customStyle="1" w:styleId="EncabezadoCar">
    <w:name w:val="Encabezado Car"/>
    <w:basedOn w:val="Fuentedeprrafopredeter"/>
    <w:link w:val="Encabezado"/>
    <w:uiPriority w:val="99"/>
    <w:rsid w:val="007E08A5"/>
  </w:style>
  <w:style w:type="paragraph" w:styleId="Piedepgina">
    <w:name w:val="footer"/>
    <w:basedOn w:val="Normal"/>
    <w:link w:val="PiedepginaCar"/>
    <w:uiPriority w:val="99"/>
    <w:unhideWhenUsed/>
    <w:rsid w:val="007E08A5"/>
    <w:pPr>
      <w:tabs>
        <w:tab w:val="center" w:pos="4419"/>
        <w:tab w:val="right" w:pos="8838"/>
      </w:tabs>
    </w:pPr>
  </w:style>
  <w:style w:type="character" w:customStyle="1" w:styleId="PiedepginaCar">
    <w:name w:val="Pie de página Car"/>
    <w:basedOn w:val="Fuentedeprrafopredeter"/>
    <w:link w:val="Piedepgina"/>
    <w:uiPriority w:val="99"/>
    <w:rsid w:val="007E08A5"/>
  </w:style>
  <w:style w:type="paragraph" w:styleId="Prrafodelista">
    <w:name w:val="List Paragraph"/>
    <w:basedOn w:val="Normal"/>
    <w:link w:val="PrrafodelistaCar"/>
    <w:uiPriority w:val="34"/>
    <w:qFormat/>
    <w:rsid w:val="007E08A5"/>
    <w:pPr>
      <w:ind w:left="720"/>
      <w:contextualSpacing/>
    </w:pPr>
  </w:style>
  <w:style w:type="character" w:customStyle="1" w:styleId="PrrafodelistaCar">
    <w:name w:val="Párrafo de lista Car"/>
    <w:link w:val="Prrafodelista"/>
    <w:uiPriority w:val="34"/>
    <w:rsid w:val="007E08A5"/>
    <w:rPr>
      <w:rFonts w:eastAsiaTheme="minorEastAsia"/>
      <w:kern w:val="0"/>
      <w:sz w:val="24"/>
      <w:szCs w:val="24"/>
      <w:lang w:val="es-ES_tradnl"/>
      <w14:ligatures w14:val="none"/>
    </w:rPr>
  </w:style>
  <w:style w:type="table" w:styleId="Tablaconcuadrcula">
    <w:name w:val="Table Grid"/>
    <w:basedOn w:val="Tablanormal"/>
    <w:uiPriority w:val="39"/>
    <w:rsid w:val="004934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tor">
    <w:name w:val="Director"/>
    <w:basedOn w:val="Normal"/>
    <w:qFormat/>
    <w:rsid w:val="00ED315B"/>
    <w:pPr>
      <w:spacing w:before="120" w:after="360" w:line="360" w:lineRule="auto"/>
      <w:contextualSpacing/>
    </w:pPr>
    <w:rPr>
      <w:rFonts w:eastAsiaTheme="minorHAnsi"/>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29F31-74A2-4AAA-917E-69372737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766</Words>
  <Characters>4217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Alonso Jaramillo Castrillon</dc:creator>
  <cp:keywords/>
  <dc:description/>
  <cp:lastModifiedBy>Diana Patino</cp:lastModifiedBy>
  <cp:revision>8</cp:revision>
  <dcterms:created xsi:type="dcterms:W3CDTF">2023-02-02T19:59:00Z</dcterms:created>
  <dcterms:modified xsi:type="dcterms:W3CDTF">2023-05-23T14:02:00Z</dcterms:modified>
</cp:coreProperties>
</file>